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C75" w:rsidRPr="005C1FB5" w:rsidRDefault="005C1FB5" w:rsidP="005C1FB5">
      <w:pPr>
        <w:ind w:firstLineChars="0" w:firstLine="0"/>
        <w:jc w:val="left"/>
        <w:rPr>
          <w:rFonts w:ascii="Times New Roman" w:eastAsia="黑体" w:hAnsi="Times New Roman" w:cs="Times New Roman"/>
          <w:sz w:val="32"/>
          <w:szCs w:val="32"/>
        </w:rPr>
      </w:pPr>
      <w:r w:rsidRPr="005C1FB5">
        <w:rPr>
          <w:rFonts w:ascii="Times New Roman" w:eastAsia="黑体" w:hAnsi="黑体" w:cs="Times New Roman"/>
          <w:sz w:val="32"/>
          <w:szCs w:val="32"/>
        </w:rPr>
        <w:t>附件</w:t>
      </w:r>
      <w:r w:rsidRPr="005C1FB5">
        <w:rPr>
          <w:rFonts w:ascii="Times New Roman" w:eastAsia="黑体" w:hAnsi="Times New Roman" w:cs="Times New Roman"/>
          <w:sz w:val="32"/>
          <w:szCs w:val="32"/>
        </w:rPr>
        <w:t>2</w:t>
      </w:r>
    </w:p>
    <w:p w:rsidR="009E4C75" w:rsidRDefault="009E4C75">
      <w:pPr>
        <w:ind w:firstLine="480"/>
      </w:pPr>
    </w:p>
    <w:p w:rsidR="009E4C75" w:rsidRDefault="009E4C75">
      <w:pPr>
        <w:ind w:firstLine="480"/>
      </w:pPr>
    </w:p>
    <w:p w:rsidR="009E4C75" w:rsidRDefault="009E4C75">
      <w:pPr>
        <w:ind w:firstLine="480"/>
      </w:pPr>
    </w:p>
    <w:p w:rsidR="009E4C75" w:rsidRDefault="009E4C75">
      <w:pPr>
        <w:ind w:firstLine="480"/>
      </w:pPr>
    </w:p>
    <w:p w:rsidR="009E4C75" w:rsidRDefault="009E4C75">
      <w:pPr>
        <w:ind w:firstLine="480"/>
      </w:pPr>
    </w:p>
    <w:p w:rsidR="009E4C75" w:rsidRDefault="00A93C38">
      <w:pPr>
        <w:ind w:firstLineChars="0" w:firstLine="0"/>
        <w:jc w:val="center"/>
        <w:rPr>
          <w:rFonts w:ascii="黑体" w:eastAsia="黑体" w:hAnsi="黑体"/>
          <w:sz w:val="44"/>
          <w:szCs w:val="44"/>
        </w:rPr>
      </w:pPr>
      <w:r>
        <w:rPr>
          <w:rFonts w:ascii="黑体" w:eastAsia="黑体" w:hAnsi="黑体" w:hint="eastAsia"/>
          <w:sz w:val="44"/>
          <w:szCs w:val="44"/>
        </w:rPr>
        <w:t>石狮市</w:t>
      </w:r>
      <w:r>
        <w:rPr>
          <w:rFonts w:ascii="黑体" w:eastAsia="黑体" w:hAnsi="黑体"/>
          <w:sz w:val="44"/>
          <w:szCs w:val="44"/>
        </w:rPr>
        <w:t>课后服务</w:t>
      </w:r>
      <w:r>
        <w:rPr>
          <w:rFonts w:ascii="黑体" w:eastAsia="黑体" w:hAnsi="黑体" w:hint="eastAsia"/>
          <w:sz w:val="44"/>
          <w:szCs w:val="44"/>
        </w:rPr>
        <w:t>专项资金</w:t>
      </w:r>
      <w:r>
        <w:rPr>
          <w:rFonts w:ascii="黑体" w:eastAsia="黑体" w:hAnsi="黑体"/>
          <w:sz w:val="44"/>
          <w:szCs w:val="44"/>
        </w:rPr>
        <w:br/>
      </w:r>
      <w:r>
        <w:rPr>
          <w:rFonts w:ascii="黑体" w:eastAsia="黑体" w:hAnsi="黑体" w:hint="eastAsia"/>
          <w:sz w:val="44"/>
          <w:szCs w:val="44"/>
        </w:rPr>
        <w:t>绩效评价报告</w:t>
      </w:r>
    </w:p>
    <w:p w:rsidR="009E4C75" w:rsidRDefault="009E4C75">
      <w:pPr>
        <w:ind w:firstLine="480"/>
      </w:pPr>
    </w:p>
    <w:p w:rsidR="009E4C75" w:rsidRDefault="009E4C75">
      <w:pPr>
        <w:ind w:firstLine="480"/>
      </w:pPr>
    </w:p>
    <w:p w:rsidR="009E4C75" w:rsidRDefault="009E4C75">
      <w:pPr>
        <w:ind w:firstLine="480"/>
      </w:pPr>
    </w:p>
    <w:p w:rsidR="009E4C75" w:rsidRDefault="009E4C75">
      <w:pPr>
        <w:ind w:firstLine="480"/>
      </w:pPr>
    </w:p>
    <w:p w:rsidR="009E4C75" w:rsidRDefault="009E4C75">
      <w:pPr>
        <w:ind w:firstLine="480"/>
      </w:pPr>
    </w:p>
    <w:tbl>
      <w:tblPr>
        <w:tblStyle w:val="a8"/>
        <w:tblW w:w="8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6169"/>
      </w:tblGrid>
      <w:tr w:rsidR="009E4C75">
        <w:tc>
          <w:tcPr>
            <w:tcW w:w="2127" w:type="dxa"/>
          </w:tcPr>
          <w:p w:rsidR="009E4C75" w:rsidRDefault="00A93C38">
            <w:pPr>
              <w:ind w:firstLineChars="0" w:firstLine="0"/>
              <w:jc w:val="distribute"/>
              <w:rPr>
                <w:sz w:val="28"/>
                <w:szCs w:val="28"/>
              </w:rPr>
            </w:pPr>
            <w:r>
              <w:rPr>
                <w:rFonts w:hint="eastAsia"/>
                <w:sz w:val="28"/>
                <w:szCs w:val="28"/>
              </w:rPr>
              <w:t>项目名称：</w:t>
            </w:r>
          </w:p>
        </w:tc>
        <w:tc>
          <w:tcPr>
            <w:tcW w:w="6169" w:type="dxa"/>
            <w:tcBorders>
              <w:bottom w:val="single" w:sz="4" w:space="0" w:color="auto"/>
            </w:tcBorders>
          </w:tcPr>
          <w:p w:rsidR="009E4C75" w:rsidRDefault="00A93C38">
            <w:pPr>
              <w:ind w:firstLineChars="0" w:firstLine="0"/>
              <w:jc w:val="center"/>
              <w:rPr>
                <w:color w:val="000000" w:themeColor="text1"/>
                <w:sz w:val="28"/>
                <w:szCs w:val="28"/>
              </w:rPr>
            </w:pPr>
            <w:r>
              <w:rPr>
                <w:rFonts w:hint="eastAsia"/>
                <w:color w:val="000000" w:themeColor="text1"/>
                <w:sz w:val="28"/>
                <w:szCs w:val="28"/>
              </w:rPr>
              <w:t>石狮市课后服务专项资金</w:t>
            </w:r>
          </w:p>
        </w:tc>
      </w:tr>
      <w:tr w:rsidR="009E4C75">
        <w:tc>
          <w:tcPr>
            <w:tcW w:w="2127" w:type="dxa"/>
          </w:tcPr>
          <w:p w:rsidR="009E4C75" w:rsidRDefault="00A93C38">
            <w:pPr>
              <w:ind w:firstLineChars="0" w:firstLine="0"/>
              <w:jc w:val="distribute"/>
              <w:rPr>
                <w:sz w:val="28"/>
                <w:szCs w:val="28"/>
              </w:rPr>
            </w:pPr>
            <w:r>
              <w:rPr>
                <w:rFonts w:hint="eastAsia"/>
                <w:sz w:val="28"/>
                <w:szCs w:val="28"/>
              </w:rPr>
              <w:t>项目承担单位：</w:t>
            </w:r>
          </w:p>
        </w:tc>
        <w:tc>
          <w:tcPr>
            <w:tcW w:w="6169" w:type="dxa"/>
            <w:tcBorders>
              <w:bottom w:val="single" w:sz="4" w:space="0" w:color="auto"/>
            </w:tcBorders>
          </w:tcPr>
          <w:p w:rsidR="009E4C75" w:rsidRDefault="00A93C38">
            <w:pPr>
              <w:ind w:firstLineChars="0" w:firstLine="0"/>
              <w:jc w:val="center"/>
              <w:rPr>
                <w:color w:val="000000" w:themeColor="text1"/>
                <w:sz w:val="28"/>
                <w:szCs w:val="28"/>
              </w:rPr>
            </w:pPr>
            <w:r>
              <w:rPr>
                <w:rFonts w:hint="eastAsia"/>
                <w:color w:val="000000" w:themeColor="text1"/>
                <w:sz w:val="28"/>
                <w:szCs w:val="28"/>
              </w:rPr>
              <w:t>石狮市教育局</w:t>
            </w:r>
          </w:p>
        </w:tc>
      </w:tr>
      <w:tr w:rsidR="009E4C75">
        <w:tc>
          <w:tcPr>
            <w:tcW w:w="2127" w:type="dxa"/>
          </w:tcPr>
          <w:p w:rsidR="009E4C75" w:rsidRDefault="00A93C38">
            <w:pPr>
              <w:ind w:firstLineChars="0" w:firstLine="0"/>
              <w:jc w:val="distribute"/>
              <w:rPr>
                <w:sz w:val="28"/>
                <w:szCs w:val="28"/>
              </w:rPr>
            </w:pPr>
            <w:r>
              <w:rPr>
                <w:rFonts w:hint="eastAsia"/>
                <w:sz w:val="28"/>
                <w:szCs w:val="28"/>
              </w:rPr>
              <w:t>项目总金额：</w:t>
            </w:r>
          </w:p>
        </w:tc>
        <w:tc>
          <w:tcPr>
            <w:tcW w:w="6169" w:type="dxa"/>
            <w:tcBorders>
              <w:top w:val="single" w:sz="4" w:space="0" w:color="auto"/>
              <w:bottom w:val="single" w:sz="4" w:space="0" w:color="auto"/>
            </w:tcBorders>
          </w:tcPr>
          <w:p w:rsidR="009E4C75" w:rsidRDefault="00A93C38">
            <w:pPr>
              <w:ind w:firstLineChars="0" w:firstLine="0"/>
              <w:jc w:val="center"/>
              <w:rPr>
                <w:color w:val="000000" w:themeColor="text1"/>
                <w:sz w:val="28"/>
                <w:szCs w:val="28"/>
              </w:rPr>
            </w:pPr>
            <w:r>
              <w:rPr>
                <w:rFonts w:hint="eastAsia"/>
                <w:color w:val="000000" w:themeColor="text1"/>
                <w:sz w:val="28"/>
                <w:szCs w:val="28"/>
              </w:rPr>
              <w:t>700万元</w:t>
            </w:r>
          </w:p>
        </w:tc>
      </w:tr>
      <w:tr w:rsidR="009E4C75">
        <w:tc>
          <w:tcPr>
            <w:tcW w:w="2127" w:type="dxa"/>
          </w:tcPr>
          <w:p w:rsidR="009E4C75" w:rsidRDefault="00A93C38">
            <w:pPr>
              <w:ind w:firstLineChars="0" w:firstLine="0"/>
              <w:jc w:val="distribute"/>
              <w:rPr>
                <w:sz w:val="28"/>
                <w:szCs w:val="28"/>
              </w:rPr>
            </w:pPr>
            <w:r>
              <w:rPr>
                <w:rFonts w:hint="eastAsia"/>
                <w:sz w:val="28"/>
                <w:szCs w:val="28"/>
              </w:rPr>
              <w:t>评价年度：</w:t>
            </w:r>
          </w:p>
        </w:tc>
        <w:tc>
          <w:tcPr>
            <w:tcW w:w="6169" w:type="dxa"/>
            <w:tcBorders>
              <w:top w:val="single" w:sz="4" w:space="0" w:color="auto"/>
              <w:bottom w:val="single" w:sz="4" w:space="0" w:color="auto"/>
            </w:tcBorders>
          </w:tcPr>
          <w:p w:rsidR="009E4C75" w:rsidRDefault="00A93C38">
            <w:pPr>
              <w:ind w:firstLineChars="0" w:firstLine="0"/>
              <w:jc w:val="center"/>
              <w:rPr>
                <w:color w:val="000000" w:themeColor="text1"/>
                <w:sz w:val="28"/>
                <w:szCs w:val="28"/>
              </w:rPr>
            </w:pPr>
            <w:r>
              <w:rPr>
                <w:rFonts w:hint="eastAsia"/>
                <w:color w:val="000000" w:themeColor="text1"/>
                <w:sz w:val="28"/>
                <w:szCs w:val="28"/>
              </w:rPr>
              <w:t>2018年度</w:t>
            </w:r>
          </w:p>
        </w:tc>
      </w:tr>
      <w:tr w:rsidR="009E4C75">
        <w:tc>
          <w:tcPr>
            <w:tcW w:w="2127" w:type="dxa"/>
          </w:tcPr>
          <w:p w:rsidR="009E4C75" w:rsidRDefault="00A93C38">
            <w:pPr>
              <w:ind w:firstLineChars="0" w:firstLine="0"/>
              <w:jc w:val="distribute"/>
              <w:rPr>
                <w:sz w:val="28"/>
                <w:szCs w:val="28"/>
              </w:rPr>
            </w:pPr>
            <w:r>
              <w:rPr>
                <w:rFonts w:hint="eastAsia"/>
                <w:sz w:val="28"/>
                <w:szCs w:val="28"/>
              </w:rPr>
              <w:t>评价机构：</w:t>
            </w:r>
          </w:p>
        </w:tc>
        <w:tc>
          <w:tcPr>
            <w:tcW w:w="6169" w:type="dxa"/>
            <w:tcBorders>
              <w:top w:val="single" w:sz="4" w:space="0" w:color="auto"/>
              <w:bottom w:val="single" w:sz="4" w:space="0" w:color="auto"/>
            </w:tcBorders>
          </w:tcPr>
          <w:p w:rsidR="009E4C75" w:rsidRDefault="00A93C38">
            <w:pPr>
              <w:ind w:firstLineChars="0" w:firstLine="0"/>
              <w:jc w:val="center"/>
              <w:rPr>
                <w:color w:val="000000" w:themeColor="text1"/>
                <w:sz w:val="28"/>
                <w:szCs w:val="28"/>
              </w:rPr>
            </w:pPr>
            <w:r>
              <w:rPr>
                <w:rFonts w:hint="eastAsia"/>
                <w:color w:val="000000" w:themeColor="text1"/>
                <w:sz w:val="28"/>
                <w:szCs w:val="28"/>
              </w:rPr>
              <w:t>福建征安会计师事务所（特殊普通合伙）</w:t>
            </w:r>
          </w:p>
        </w:tc>
      </w:tr>
    </w:tbl>
    <w:p w:rsidR="009E4C75" w:rsidRDefault="009E4C75">
      <w:pPr>
        <w:ind w:firstLineChars="0" w:firstLine="0"/>
      </w:pPr>
    </w:p>
    <w:p w:rsidR="009E4C75" w:rsidRDefault="009E4C75">
      <w:pPr>
        <w:ind w:firstLineChars="0" w:firstLine="0"/>
        <w:jc w:val="center"/>
      </w:pPr>
    </w:p>
    <w:p w:rsidR="009E4C75" w:rsidRDefault="009E4C75">
      <w:pPr>
        <w:ind w:firstLineChars="0" w:firstLine="0"/>
        <w:jc w:val="center"/>
      </w:pPr>
    </w:p>
    <w:p w:rsidR="009E4C75" w:rsidRDefault="009E4C75">
      <w:pPr>
        <w:ind w:firstLineChars="0" w:firstLine="0"/>
        <w:jc w:val="center"/>
      </w:pPr>
    </w:p>
    <w:p w:rsidR="009E4C75" w:rsidRDefault="009E4C75">
      <w:pPr>
        <w:ind w:firstLineChars="0" w:firstLine="0"/>
        <w:jc w:val="center"/>
      </w:pPr>
    </w:p>
    <w:p w:rsidR="009E4C75" w:rsidRDefault="009E4C75">
      <w:pPr>
        <w:ind w:firstLineChars="0" w:firstLine="0"/>
        <w:jc w:val="center"/>
      </w:pPr>
    </w:p>
    <w:p w:rsidR="009E4C75" w:rsidRDefault="009E4C75">
      <w:pPr>
        <w:ind w:firstLineChars="0" w:firstLine="0"/>
        <w:jc w:val="center"/>
      </w:pPr>
    </w:p>
    <w:p w:rsidR="009E4C75" w:rsidRDefault="00A93C38">
      <w:pPr>
        <w:ind w:firstLineChars="0" w:firstLine="0"/>
        <w:jc w:val="center"/>
      </w:pPr>
      <w:r>
        <w:t>201</w:t>
      </w:r>
      <w:r>
        <w:rPr>
          <w:rFonts w:hint="eastAsia"/>
        </w:rPr>
        <w:t>9</w:t>
      </w:r>
      <w:r>
        <w:t>年</w:t>
      </w:r>
      <w:r w:rsidR="00E679CB">
        <w:rPr>
          <w:rFonts w:hint="eastAsia"/>
        </w:rPr>
        <w:t>8</w:t>
      </w:r>
      <w:r>
        <w:t>月</w:t>
      </w:r>
      <w:r>
        <w:rPr>
          <w:rFonts w:hint="eastAsia"/>
        </w:rPr>
        <w:t>1</w:t>
      </w:r>
      <w:r w:rsidR="00E679CB">
        <w:rPr>
          <w:rFonts w:hint="eastAsia"/>
        </w:rPr>
        <w:t>9</w:t>
      </w:r>
      <w:bookmarkStart w:id="0" w:name="_GoBack"/>
      <w:bookmarkEnd w:id="0"/>
      <w:r>
        <w:t>日</w:t>
      </w:r>
    </w:p>
    <w:p w:rsidR="009E4C75" w:rsidRDefault="009E4C75">
      <w:pPr>
        <w:ind w:firstLineChars="0" w:firstLine="0"/>
        <w:jc w:val="center"/>
      </w:pPr>
    </w:p>
    <w:p w:rsidR="009E4C75" w:rsidRDefault="009E4C75">
      <w:pPr>
        <w:ind w:firstLineChars="0" w:firstLine="0"/>
        <w:jc w:val="center"/>
      </w:pPr>
    </w:p>
    <w:p w:rsidR="009E4C75" w:rsidRDefault="009E4C75">
      <w:pPr>
        <w:ind w:firstLineChars="0" w:firstLine="0"/>
        <w:jc w:val="center"/>
      </w:pPr>
    </w:p>
    <w:p w:rsidR="009E4C75" w:rsidRDefault="00A93C38">
      <w:pPr>
        <w:ind w:firstLineChars="0" w:firstLine="0"/>
        <w:jc w:val="center"/>
        <w:rPr>
          <w:rFonts w:ascii="黑体" w:eastAsia="黑体" w:hAnsi="黑体" w:cs="黑体"/>
          <w:sz w:val="32"/>
          <w:szCs w:val="32"/>
        </w:rPr>
      </w:pPr>
      <w:r>
        <w:rPr>
          <w:rFonts w:ascii="黑体" w:eastAsia="黑体" w:hAnsi="黑体" w:cs="黑体" w:hint="eastAsia"/>
          <w:sz w:val="32"/>
          <w:szCs w:val="32"/>
        </w:rPr>
        <w:t>绩效评价工作小组成员名单</w:t>
      </w:r>
    </w:p>
    <w:p w:rsidR="009E4C75" w:rsidRDefault="009E4C75">
      <w:pPr>
        <w:ind w:firstLineChars="0" w:firstLine="0"/>
        <w:jc w:val="center"/>
        <w:rPr>
          <w:rFonts w:ascii="黑体" w:eastAsia="黑体" w:hAnsi="黑体" w:cs="黑体"/>
          <w:sz w:val="32"/>
          <w:szCs w:val="32"/>
        </w:rPr>
      </w:pPr>
    </w:p>
    <w:tbl>
      <w:tblPr>
        <w:tblStyle w:val="a8"/>
        <w:tblW w:w="9149" w:type="dxa"/>
        <w:jc w:val="center"/>
        <w:tblLayout w:type="fixed"/>
        <w:tblLook w:val="04A0"/>
      </w:tblPr>
      <w:tblGrid>
        <w:gridCol w:w="919"/>
        <w:gridCol w:w="1040"/>
        <w:gridCol w:w="2714"/>
        <w:gridCol w:w="1626"/>
        <w:gridCol w:w="1765"/>
        <w:gridCol w:w="1085"/>
      </w:tblGrid>
      <w:tr w:rsidR="009E4C75">
        <w:trPr>
          <w:trHeight w:val="498"/>
          <w:jc w:val="center"/>
        </w:trPr>
        <w:tc>
          <w:tcPr>
            <w:tcW w:w="919"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序号</w:t>
            </w:r>
          </w:p>
        </w:tc>
        <w:tc>
          <w:tcPr>
            <w:tcW w:w="1040"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姓名</w:t>
            </w:r>
          </w:p>
        </w:tc>
        <w:tc>
          <w:tcPr>
            <w:tcW w:w="2714" w:type="dxa"/>
            <w:vAlign w:val="center"/>
          </w:tcPr>
          <w:p w:rsidR="009E4C75" w:rsidRDefault="00A93C38">
            <w:pPr>
              <w:spacing w:line="240" w:lineRule="auto"/>
              <w:ind w:firstLine="480"/>
              <w:jc w:val="center"/>
              <w:rPr>
                <w:rFonts w:ascii="仿宋" w:eastAsia="仿宋" w:hAnsi="仿宋"/>
                <w:szCs w:val="24"/>
              </w:rPr>
            </w:pPr>
            <w:r>
              <w:rPr>
                <w:rFonts w:ascii="仿宋" w:eastAsia="仿宋" w:hAnsi="仿宋" w:hint="eastAsia"/>
                <w:szCs w:val="24"/>
              </w:rPr>
              <w:t>工作单位</w:t>
            </w:r>
          </w:p>
        </w:tc>
        <w:tc>
          <w:tcPr>
            <w:tcW w:w="1626" w:type="dxa"/>
            <w:vAlign w:val="center"/>
          </w:tcPr>
          <w:p w:rsidR="009E4C75" w:rsidRDefault="00A93C38">
            <w:pPr>
              <w:spacing w:line="240" w:lineRule="auto"/>
              <w:ind w:firstLine="480"/>
              <w:jc w:val="center"/>
              <w:rPr>
                <w:rFonts w:ascii="仿宋" w:eastAsia="仿宋" w:hAnsi="仿宋"/>
                <w:szCs w:val="24"/>
              </w:rPr>
            </w:pPr>
            <w:r>
              <w:rPr>
                <w:rFonts w:ascii="仿宋" w:eastAsia="仿宋" w:hAnsi="仿宋" w:hint="eastAsia"/>
                <w:szCs w:val="24"/>
              </w:rPr>
              <w:t>职级</w:t>
            </w:r>
          </w:p>
        </w:tc>
        <w:tc>
          <w:tcPr>
            <w:tcW w:w="1765"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电话</w:t>
            </w:r>
          </w:p>
        </w:tc>
        <w:tc>
          <w:tcPr>
            <w:tcW w:w="1085"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备注</w:t>
            </w:r>
          </w:p>
        </w:tc>
      </w:tr>
      <w:tr w:rsidR="009E4C75">
        <w:trPr>
          <w:trHeight w:val="624"/>
          <w:jc w:val="center"/>
        </w:trPr>
        <w:tc>
          <w:tcPr>
            <w:tcW w:w="919"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1</w:t>
            </w:r>
          </w:p>
        </w:tc>
        <w:tc>
          <w:tcPr>
            <w:tcW w:w="1040"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冯春雷</w:t>
            </w:r>
          </w:p>
        </w:tc>
        <w:tc>
          <w:tcPr>
            <w:tcW w:w="2714"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注册会计师</w:t>
            </w:r>
          </w:p>
        </w:tc>
        <w:tc>
          <w:tcPr>
            <w:tcW w:w="1765"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13960355816</w:t>
            </w:r>
          </w:p>
        </w:tc>
        <w:tc>
          <w:tcPr>
            <w:tcW w:w="1085" w:type="dxa"/>
            <w:vAlign w:val="center"/>
          </w:tcPr>
          <w:p w:rsidR="009E4C75" w:rsidRDefault="009E4C75">
            <w:pPr>
              <w:spacing w:line="240" w:lineRule="auto"/>
              <w:ind w:firstLineChars="0" w:firstLine="0"/>
              <w:jc w:val="center"/>
              <w:rPr>
                <w:rFonts w:ascii="仿宋" w:eastAsia="仿宋" w:hAnsi="仿宋"/>
                <w:szCs w:val="24"/>
              </w:rPr>
            </w:pPr>
          </w:p>
        </w:tc>
      </w:tr>
      <w:tr w:rsidR="009E4C75">
        <w:trPr>
          <w:trHeight w:val="592"/>
          <w:jc w:val="center"/>
        </w:trPr>
        <w:tc>
          <w:tcPr>
            <w:tcW w:w="919"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2</w:t>
            </w:r>
          </w:p>
        </w:tc>
        <w:tc>
          <w:tcPr>
            <w:tcW w:w="1040"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汪德宁</w:t>
            </w:r>
          </w:p>
        </w:tc>
        <w:tc>
          <w:tcPr>
            <w:tcW w:w="2714"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注册会计师</w:t>
            </w:r>
          </w:p>
        </w:tc>
        <w:tc>
          <w:tcPr>
            <w:tcW w:w="1765"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18359269983</w:t>
            </w:r>
          </w:p>
        </w:tc>
        <w:tc>
          <w:tcPr>
            <w:tcW w:w="1085" w:type="dxa"/>
            <w:vAlign w:val="center"/>
          </w:tcPr>
          <w:p w:rsidR="009E4C75" w:rsidRDefault="009E4C75">
            <w:pPr>
              <w:spacing w:line="240" w:lineRule="auto"/>
              <w:ind w:firstLine="480"/>
              <w:jc w:val="center"/>
              <w:rPr>
                <w:rFonts w:ascii="仿宋" w:eastAsia="仿宋" w:hAnsi="仿宋"/>
                <w:szCs w:val="24"/>
              </w:rPr>
            </w:pPr>
          </w:p>
        </w:tc>
      </w:tr>
      <w:tr w:rsidR="009E4C75">
        <w:trPr>
          <w:jc w:val="center"/>
        </w:trPr>
        <w:tc>
          <w:tcPr>
            <w:tcW w:w="919"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3</w:t>
            </w:r>
          </w:p>
        </w:tc>
        <w:tc>
          <w:tcPr>
            <w:tcW w:w="1040"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吴诗妮</w:t>
            </w:r>
          </w:p>
        </w:tc>
        <w:tc>
          <w:tcPr>
            <w:tcW w:w="2714"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主任</w:t>
            </w:r>
          </w:p>
        </w:tc>
        <w:tc>
          <w:tcPr>
            <w:tcW w:w="1765"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18876502666</w:t>
            </w:r>
          </w:p>
        </w:tc>
        <w:tc>
          <w:tcPr>
            <w:tcW w:w="1085" w:type="dxa"/>
            <w:vAlign w:val="center"/>
          </w:tcPr>
          <w:p w:rsidR="009E4C75" w:rsidRDefault="009E4C75">
            <w:pPr>
              <w:spacing w:line="240" w:lineRule="auto"/>
              <w:ind w:firstLine="480"/>
              <w:jc w:val="center"/>
              <w:rPr>
                <w:rFonts w:ascii="仿宋" w:eastAsia="仿宋" w:hAnsi="仿宋"/>
                <w:szCs w:val="24"/>
              </w:rPr>
            </w:pPr>
          </w:p>
        </w:tc>
      </w:tr>
      <w:tr w:rsidR="009E4C75">
        <w:trPr>
          <w:jc w:val="center"/>
        </w:trPr>
        <w:tc>
          <w:tcPr>
            <w:tcW w:w="919"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4</w:t>
            </w:r>
          </w:p>
        </w:tc>
        <w:tc>
          <w:tcPr>
            <w:tcW w:w="1040"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邱若琳</w:t>
            </w:r>
          </w:p>
        </w:tc>
        <w:tc>
          <w:tcPr>
            <w:tcW w:w="2714"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会计师</w:t>
            </w:r>
          </w:p>
        </w:tc>
        <w:tc>
          <w:tcPr>
            <w:tcW w:w="1765"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18695602908</w:t>
            </w:r>
          </w:p>
        </w:tc>
        <w:tc>
          <w:tcPr>
            <w:tcW w:w="1085" w:type="dxa"/>
            <w:vAlign w:val="center"/>
          </w:tcPr>
          <w:p w:rsidR="009E4C75" w:rsidRDefault="009E4C75">
            <w:pPr>
              <w:spacing w:line="240" w:lineRule="auto"/>
              <w:ind w:firstLine="480"/>
              <w:jc w:val="center"/>
              <w:rPr>
                <w:rFonts w:ascii="仿宋" w:eastAsia="仿宋" w:hAnsi="仿宋"/>
                <w:szCs w:val="24"/>
              </w:rPr>
            </w:pPr>
          </w:p>
        </w:tc>
      </w:tr>
      <w:tr w:rsidR="009E4C75">
        <w:trPr>
          <w:jc w:val="center"/>
        </w:trPr>
        <w:tc>
          <w:tcPr>
            <w:tcW w:w="919"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5</w:t>
            </w:r>
          </w:p>
        </w:tc>
        <w:tc>
          <w:tcPr>
            <w:tcW w:w="1040"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丁盈盈</w:t>
            </w:r>
          </w:p>
        </w:tc>
        <w:tc>
          <w:tcPr>
            <w:tcW w:w="2714"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助理会计师</w:t>
            </w:r>
          </w:p>
        </w:tc>
        <w:tc>
          <w:tcPr>
            <w:tcW w:w="1765" w:type="dxa"/>
            <w:vAlign w:val="center"/>
          </w:tcPr>
          <w:p w:rsidR="009E4C75" w:rsidRDefault="00A93C38">
            <w:pPr>
              <w:spacing w:line="240" w:lineRule="auto"/>
              <w:ind w:firstLineChars="0" w:firstLine="0"/>
              <w:jc w:val="center"/>
              <w:rPr>
                <w:rFonts w:ascii="仿宋" w:eastAsia="仿宋" w:hAnsi="仿宋"/>
                <w:szCs w:val="24"/>
              </w:rPr>
            </w:pPr>
            <w:r>
              <w:rPr>
                <w:rFonts w:ascii="仿宋" w:eastAsia="仿宋" w:hAnsi="仿宋" w:hint="eastAsia"/>
                <w:szCs w:val="24"/>
              </w:rPr>
              <w:t>13599172382</w:t>
            </w:r>
          </w:p>
        </w:tc>
        <w:tc>
          <w:tcPr>
            <w:tcW w:w="1085" w:type="dxa"/>
            <w:vAlign w:val="center"/>
          </w:tcPr>
          <w:p w:rsidR="009E4C75" w:rsidRDefault="009E4C75">
            <w:pPr>
              <w:spacing w:line="240" w:lineRule="auto"/>
              <w:ind w:firstLine="480"/>
              <w:jc w:val="center"/>
              <w:rPr>
                <w:rFonts w:ascii="仿宋" w:eastAsia="仿宋" w:hAnsi="仿宋"/>
                <w:szCs w:val="24"/>
              </w:rPr>
            </w:pPr>
          </w:p>
        </w:tc>
      </w:tr>
    </w:tbl>
    <w:p w:rsidR="009E4C75" w:rsidRDefault="00A93C38">
      <w:pPr>
        <w:ind w:firstLineChars="0" w:firstLine="0"/>
      </w:pPr>
      <w:r>
        <w:br w:type="page"/>
      </w:r>
    </w:p>
    <w:p w:rsidR="009E4C75" w:rsidRDefault="00A93C38">
      <w:pPr>
        <w:ind w:firstLineChars="0" w:firstLine="0"/>
        <w:jc w:val="center"/>
        <w:rPr>
          <w:rFonts w:ascii="黑体" w:eastAsia="黑体" w:hAnsi="黑体"/>
          <w:sz w:val="28"/>
          <w:szCs w:val="28"/>
        </w:rPr>
      </w:pPr>
      <w:r>
        <w:rPr>
          <w:rFonts w:ascii="黑体" w:eastAsia="黑体" w:hAnsi="黑体" w:hint="eastAsia"/>
          <w:sz w:val="28"/>
          <w:szCs w:val="28"/>
        </w:rPr>
        <w:lastRenderedPageBreak/>
        <w:t>目录</w:t>
      </w:r>
    </w:p>
    <w:p w:rsidR="009E4C75" w:rsidRDefault="009E4C75">
      <w:pPr>
        <w:ind w:firstLine="480"/>
      </w:pPr>
    </w:p>
    <w:sdt>
      <w:sdtPr>
        <w:rPr>
          <w:rFonts w:ascii="宋体" w:eastAsia="宋体" w:hAnsi="宋体" w:cstheme="minorBidi"/>
          <w:color w:val="auto"/>
          <w:kern w:val="2"/>
          <w:sz w:val="24"/>
          <w:szCs w:val="22"/>
          <w:lang w:val="zh-CN"/>
        </w:rPr>
        <w:id w:val="1488508411"/>
      </w:sdtPr>
      <w:sdtEndPr>
        <w:rPr>
          <w:b/>
          <w:bCs/>
        </w:rPr>
      </w:sdtEndPr>
      <w:sdtContent>
        <w:p w:rsidR="009E4C75" w:rsidRDefault="009E4C75">
          <w:pPr>
            <w:pStyle w:val="TOC1"/>
          </w:pPr>
        </w:p>
        <w:p w:rsidR="009E4C75" w:rsidRDefault="00C773F9" w:rsidP="00AC095C">
          <w:pPr>
            <w:pStyle w:val="10"/>
            <w:tabs>
              <w:tab w:val="right" w:leader="dot" w:pos="8306"/>
            </w:tabs>
            <w:ind w:firstLine="480"/>
          </w:pPr>
          <w:r w:rsidRPr="00C773F9">
            <w:fldChar w:fldCharType="begin"/>
          </w:r>
          <w:r w:rsidR="00A93C38">
            <w:instrText xml:space="preserve"> TOC \o "1-3" \h \z \u </w:instrText>
          </w:r>
          <w:r w:rsidRPr="00C773F9">
            <w:fldChar w:fldCharType="separate"/>
          </w:r>
          <w:hyperlink w:anchor="_Toc15360" w:history="1">
            <w:r w:rsidR="00A93C38">
              <w:rPr>
                <w:rFonts w:hint="eastAsia"/>
              </w:rPr>
              <w:t>引言</w:t>
            </w:r>
            <w:r w:rsidR="00A93C38">
              <w:tab/>
            </w:r>
            <w:fldSimple w:instr=" PAGEREF _Toc15360 ">
              <w:r w:rsidR="005C1FB5">
                <w:rPr>
                  <w:noProof/>
                </w:rPr>
                <w:t>1</w:t>
              </w:r>
            </w:fldSimple>
          </w:hyperlink>
        </w:p>
        <w:p w:rsidR="009E4C75" w:rsidRDefault="00C773F9" w:rsidP="00AC095C">
          <w:pPr>
            <w:pStyle w:val="10"/>
            <w:tabs>
              <w:tab w:val="right" w:leader="dot" w:pos="8306"/>
            </w:tabs>
            <w:ind w:firstLine="480"/>
          </w:pPr>
          <w:hyperlink w:anchor="_Toc28762" w:history="1">
            <w:r w:rsidR="00A93C38">
              <w:t xml:space="preserve">一、 </w:t>
            </w:r>
            <w:r w:rsidR="00A93C38">
              <w:rPr>
                <w:rFonts w:hint="eastAsia"/>
              </w:rPr>
              <w:t>专项资金</w:t>
            </w:r>
            <w:r w:rsidR="00A93C38">
              <w:t>绩效评价指标体系的设计</w:t>
            </w:r>
            <w:r w:rsidR="00A93C38">
              <w:tab/>
            </w:r>
            <w:fldSimple w:instr=" PAGEREF _Toc28762 ">
              <w:r w:rsidR="005C1FB5">
                <w:rPr>
                  <w:noProof/>
                </w:rPr>
                <w:t>1</w:t>
              </w:r>
            </w:fldSimple>
          </w:hyperlink>
        </w:p>
        <w:p w:rsidR="009E4C75" w:rsidRDefault="00C773F9" w:rsidP="00AC095C">
          <w:pPr>
            <w:pStyle w:val="20"/>
            <w:tabs>
              <w:tab w:val="right" w:leader="dot" w:pos="8306"/>
            </w:tabs>
            <w:ind w:left="480" w:firstLine="480"/>
          </w:pPr>
          <w:hyperlink w:anchor="_Toc17926" w:history="1">
            <w:r w:rsidR="00A93C38">
              <w:rPr>
                <w:szCs w:val="28"/>
              </w:rPr>
              <w:t xml:space="preserve">（一） </w:t>
            </w:r>
            <w:r w:rsidR="00A93C38">
              <w:rPr>
                <w:rFonts w:hint="eastAsia"/>
                <w:szCs w:val="28"/>
              </w:rPr>
              <w:t>绩效评价指标的确定应当遵循的原则</w:t>
            </w:r>
            <w:r w:rsidR="00A93C38">
              <w:tab/>
            </w:r>
            <w:fldSimple w:instr=" PAGEREF _Toc17926 ">
              <w:r w:rsidR="005C1FB5">
                <w:rPr>
                  <w:noProof/>
                </w:rPr>
                <w:t>1</w:t>
              </w:r>
            </w:fldSimple>
          </w:hyperlink>
        </w:p>
        <w:p w:rsidR="009E4C75" w:rsidRDefault="00C773F9" w:rsidP="00AC095C">
          <w:pPr>
            <w:pStyle w:val="20"/>
            <w:tabs>
              <w:tab w:val="right" w:leader="dot" w:pos="8306"/>
            </w:tabs>
            <w:ind w:left="480" w:firstLine="480"/>
          </w:pPr>
          <w:hyperlink w:anchor="_Toc17031" w:history="1">
            <w:r w:rsidR="00A93C38">
              <w:rPr>
                <w:szCs w:val="28"/>
              </w:rPr>
              <w:t xml:space="preserve">（二） </w:t>
            </w:r>
            <w:r w:rsidR="00A93C38">
              <w:rPr>
                <w:rFonts w:hint="eastAsia"/>
                <w:szCs w:val="28"/>
              </w:rPr>
              <w:t>绩效评价方法的选用</w:t>
            </w:r>
            <w:r w:rsidR="00A93C38">
              <w:tab/>
            </w:r>
            <w:fldSimple w:instr=" PAGEREF _Toc17031 ">
              <w:r w:rsidR="005C1FB5">
                <w:rPr>
                  <w:noProof/>
                </w:rPr>
                <w:t>2</w:t>
              </w:r>
            </w:fldSimple>
          </w:hyperlink>
        </w:p>
        <w:p w:rsidR="009E4C75" w:rsidRDefault="00C773F9" w:rsidP="00AC095C">
          <w:pPr>
            <w:pStyle w:val="20"/>
            <w:tabs>
              <w:tab w:val="right" w:leader="dot" w:pos="8306"/>
            </w:tabs>
            <w:ind w:left="480" w:firstLine="480"/>
          </w:pPr>
          <w:hyperlink w:anchor="_Toc4970" w:history="1">
            <w:r w:rsidR="00A93C38">
              <w:rPr>
                <w:szCs w:val="28"/>
              </w:rPr>
              <w:t xml:space="preserve">（三） </w:t>
            </w:r>
            <w:r w:rsidR="00A93C38">
              <w:rPr>
                <w:rFonts w:hint="eastAsia"/>
                <w:szCs w:val="28"/>
              </w:rPr>
              <w:t>绩效评价标准的确定</w:t>
            </w:r>
            <w:r w:rsidR="00A93C38">
              <w:tab/>
            </w:r>
            <w:fldSimple w:instr=" PAGEREF _Toc4970 ">
              <w:r w:rsidR="005C1FB5">
                <w:rPr>
                  <w:noProof/>
                </w:rPr>
                <w:t>2</w:t>
              </w:r>
            </w:fldSimple>
          </w:hyperlink>
        </w:p>
        <w:p w:rsidR="009E4C75" w:rsidRDefault="00C773F9" w:rsidP="00AC095C">
          <w:pPr>
            <w:pStyle w:val="10"/>
            <w:tabs>
              <w:tab w:val="right" w:leader="dot" w:pos="8306"/>
            </w:tabs>
            <w:ind w:firstLine="480"/>
          </w:pPr>
          <w:hyperlink w:anchor="_Toc20669" w:history="1">
            <w:r w:rsidR="00A93C38">
              <w:t xml:space="preserve">二、 </w:t>
            </w:r>
            <w:r w:rsidR="00A93C38">
              <w:rPr>
                <w:rFonts w:hint="eastAsia"/>
              </w:rPr>
              <w:t>项目概况</w:t>
            </w:r>
            <w:r w:rsidR="00A93C38">
              <w:tab/>
            </w:r>
            <w:fldSimple w:instr=" PAGEREF _Toc20669 ">
              <w:r w:rsidR="005C1FB5">
                <w:rPr>
                  <w:noProof/>
                </w:rPr>
                <w:t>2</w:t>
              </w:r>
            </w:fldSimple>
          </w:hyperlink>
        </w:p>
        <w:p w:rsidR="009E4C75" w:rsidRDefault="00C773F9" w:rsidP="00AC095C">
          <w:pPr>
            <w:pStyle w:val="20"/>
            <w:tabs>
              <w:tab w:val="right" w:leader="dot" w:pos="8306"/>
            </w:tabs>
            <w:ind w:left="480" w:firstLine="480"/>
          </w:pPr>
          <w:hyperlink w:anchor="_Toc16195" w:history="1">
            <w:r w:rsidR="00A93C38">
              <w:rPr>
                <w:szCs w:val="28"/>
              </w:rPr>
              <w:t xml:space="preserve">（一） </w:t>
            </w:r>
            <w:r w:rsidR="00A93C38">
              <w:rPr>
                <w:rFonts w:hint="eastAsia"/>
                <w:szCs w:val="28"/>
              </w:rPr>
              <w:t>项目单位基本情况</w:t>
            </w:r>
            <w:r w:rsidR="00A93C38">
              <w:tab/>
            </w:r>
            <w:fldSimple w:instr=" PAGEREF _Toc16195 ">
              <w:r w:rsidR="005C1FB5">
                <w:rPr>
                  <w:noProof/>
                </w:rPr>
                <w:t>2</w:t>
              </w:r>
            </w:fldSimple>
          </w:hyperlink>
        </w:p>
        <w:p w:rsidR="009E4C75" w:rsidRDefault="00C773F9" w:rsidP="00AC095C">
          <w:pPr>
            <w:pStyle w:val="20"/>
            <w:tabs>
              <w:tab w:val="right" w:leader="dot" w:pos="8306"/>
            </w:tabs>
            <w:ind w:left="480" w:firstLine="480"/>
          </w:pPr>
          <w:hyperlink w:anchor="_Toc7393" w:history="1">
            <w:r w:rsidR="00A93C38">
              <w:rPr>
                <w:szCs w:val="28"/>
              </w:rPr>
              <w:t xml:space="preserve">（二） </w:t>
            </w:r>
            <w:r w:rsidR="00A93C38">
              <w:rPr>
                <w:rFonts w:hint="eastAsia"/>
                <w:szCs w:val="28"/>
              </w:rPr>
              <w:t>项目基本情况</w:t>
            </w:r>
            <w:r w:rsidR="00A93C38">
              <w:tab/>
            </w:r>
            <w:fldSimple w:instr=" PAGEREF _Toc7393 ">
              <w:r w:rsidR="005C1FB5">
                <w:rPr>
                  <w:noProof/>
                </w:rPr>
                <w:t>3</w:t>
              </w:r>
            </w:fldSimple>
          </w:hyperlink>
        </w:p>
        <w:p w:rsidR="009E4C75" w:rsidRDefault="00C773F9" w:rsidP="00AC095C">
          <w:pPr>
            <w:pStyle w:val="20"/>
            <w:tabs>
              <w:tab w:val="right" w:leader="dot" w:pos="8306"/>
            </w:tabs>
            <w:ind w:left="480" w:firstLine="480"/>
          </w:pPr>
          <w:hyperlink w:anchor="_Toc29283" w:history="1">
            <w:r w:rsidR="00A93C38">
              <w:rPr>
                <w:szCs w:val="28"/>
              </w:rPr>
              <w:t xml:space="preserve">（三） </w:t>
            </w:r>
            <w:r w:rsidR="00A93C38">
              <w:rPr>
                <w:rFonts w:hint="eastAsia"/>
                <w:szCs w:val="28"/>
              </w:rPr>
              <w:t>项目的组织管理情况</w:t>
            </w:r>
            <w:r w:rsidR="00A93C38">
              <w:tab/>
            </w:r>
            <w:fldSimple w:instr=" PAGEREF _Toc29283 ">
              <w:r w:rsidR="005C1FB5">
                <w:rPr>
                  <w:noProof/>
                </w:rPr>
                <w:t>4</w:t>
              </w:r>
            </w:fldSimple>
          </w:hyperlink>
        </w:p>
        <w:p w:rsidR="009E4C75" w:rsidRDefault="00C773F9" w:rsidP="00AC095C">
          <w:pPr>
            <w:pStyle w:val="20"/>
            <w:tabs>
              <w:tab w:val="right" w:leader="dot" w:pos="8306"/>
            </w:tabs>
            <w:ind w:left="480" w:firstLine="480"/>
          </w:pPr>
          <w:hyperlink w:anchor="_Toc10491" w:history="1">
            <w:r w:rsidR="00A93C38">
              <w:rPr>
                <w:szCs w:val="28"/>
              </w:rPr>
              <w:t xml:space="preserve">（四） </w:t>
            </w:r>
            <w:r w:rsidR="00A93C38">
              <w:rPr>
                <w:rFonts w:hint="eastAsia"/>
                <w:szCs w:val="28"/>
              </w:rPr>
              <w:t>项目财务管理状况</w:t>
            </w:r>
            <w:r w:rsidR="00A93C38">
              <w:tab/>
            </w:r>
            <w:fldSimple w:instr=" PAGEREF _Toc10491 ">
              <w:r w:rsidR="005C1FB5">
                <w:rPr>
                  <w:noProof/>
                </w:rPr>
                <w:t>4</w:t>
              </w:r>
            </w:fldSimple>
          </w:hyperlink>
        </w:p>
        <w:p w:rsidR="009E4C75" w:rsidRDefault="00C773F9" w:rsidP="00AC095C">
          <w:pPr>
            <w:pStyle w:val="10"/>
            <w:tabs>
              <w:tab w:val="right" w:leader="dot" w:pos="8306"/>
            </w:tabs>
            <w:ind w:firstLine="480"/>
          </w:pPr>
          <w:hyperlink w:anchor="_Toc6469" w:history="1">
            <w:r w:rsidR="00A93C38">
              <w:t xml:space="preserve">三、 </w:t>
            </w:r>
            <w:r w:rsidR="00A93C38">
              <w:rPr>
                <w:rFonts w:hint="eastAsia"/>
              </w:rPr>
              <w:t>石狮市</w:t>
            </w:r>
            <w:r w:rsidR="00A93C38">
              <w:t>课后服务</w:t>
            </w:r>
            <w:r w:rsidR="00A93C38">
              <w:rPr>
                <w:rFonts w:hint="eastAsia"/>
              </w:rPr>
              <w:t>专项资金绩效评价</w:t>
            </w:r>
            <w:r w:rsidR="00A93C38">
              <w:tab/>
            </w:r>
            <w:fldSimple w:instr=" PAGEREF _Toc6469 ">
              <w:r w:rsidR="005C1FB5">
                <w:rPr>
                  <w:noProof/>
                </w:rPr>
                <w:t>7</w:t>
              </w:r>
            </w:fldSimple>
          </w:hyperlink>
        </w:p>
        <w:p w:rsidR="009E4C75" w:rsidRDefault="00C773F9" w:rsidP="00AC095C">
          <w:pPr>
            <w:pStyle w:val="20"/>
            <w:tabs>
              <w:tab w:val="right" w:leader="dot" w:pos="8306"/>
            </w:tabs>
            <w:ind w:left="480" w:firstLine="480"/>
          </w:pPr>
          <w:hyperlink w:anchor="_Toc8163" w:history="1">
            <w:r w:rsidR="00A93C38">
              <w:rPr>
                <w:szCs w:val="28"/>
              </w:rPr>
              <w:t xml:space="preserve">（一） </w:t>
            </w:r>
            <w:r w:rsidR="00A93C38">
              <w:rPr>
                <w:rFonts w:hint="eastAsia"/>
                <w:szCs w:val="28"/>
              </w:rPr>
              <w:t>项目管理情况（权重1</w:t>
            </w:r>
            <w:r w:rsidR="00A93C38">
              <w:rPr>
                <w:szCs w:val="28"/>
              </w:rPr>
              <w:t>0</w:t>
            </w:r>
            <w:r w:rsidR="00A93C38">
              <w:rPr>
                <w:rFonts w:hint="eastAsia"/>
                <w:szCs w:val="28"/>
              </w:rPr>
              <w:t>%）</w:t>
            </w:r>
            <w:r w:rsidR="00A93C38">
              <w:tab/>
            </w:r>
            <w:fldSimple w:instr=" PAGEREF _Toc8163 ">
              <w:r w:rsidR="005C1FB5">
                <w:rPr>
                  <w:noProof/>
                </w:rPr>
                <w:t>7</w:t>
              </w:r>
            </w:fldSimple>
          </w:hyperlink>
        </w:p>
        <w:p w:rsidR="009E4C75" w:rsidRDefault="00C773F9" w:rsidP="00AC095C">
          <w:pPr>
            <w:pStyle w:val="20"/>
            <w:tabs>
              <w:tab w:val="right" w:leader="dot" w:pos="8306"/>
            </w:tabs>
            <w:ind w:left="480" w:firstLine="480"/>
          </w:pPr>
          <w:hyperlink w:anchor="_Toc2693" w:history="1">
            <w:r w:rsidR="00A93C38">
              <w:rPr>
                <w:szCs w:val="28"/>
              </w:rPr>
              <w:t xml:space="preserve">（二） </w:t>
            </w:r>
            <w:r w:rsidR="00A93C38">
              <w:rPr>
                <w:rFonts w:hint="eastAsia"/>
                <w:szCs w:val="28"/>
              </w:rPr>
              <w:t>投入情况的评价（权重2</w:t>
            </w:r>
            <w:r w:rsidR="00A93C38">
              <w:rPr>
                <w:szCs w:val="28"/>
              </w:rPr>
              <w:t>0</w:t>
            </w:r>
            <w:r w:rsidR="00A93C38">
              <w:rPr>
                <w:rFonts w:hint="eastAsia"/>
                <w:szCs w:val="28"/>
              </w:rPr>
              <w:t>%）</w:t>
            </w:r>
            <w:r w:rsidR="00A93C38">
              <w:tab/>
            </w:r>
            <w:fldSimple w:instr=" PAGEREF _Toc2693 ">
              <w:r w:rsidR="005C1FB5">
                <w:rPr>
                  <w:noProof/>
                </w:rPr>
                <w:t>8</w:t>
              </w:r>
            </w:fldSimple>
          </w:hyperlink>
        </w:p>
        <w:p w:rsidR="009E4C75" w:rsidRDefault="00C773F9" w:rsidP="00AC095C">
          <w:pPr>
            <w:pStyle w:val="20"/>
            <w:tabs>
              <w:tab w:val="right" w:leader="dot" w:pos="8306"/>
            </w:tabs>
            <w:ind w:left="480" w:firstLine="480"/>
          </w:pPr>
          <w:hyperlink w:anchor="_Toc94" w:history="1">
            <w:r w:rsidR="00A93C38">
              <w:rPr>
                <w:szCs w:val="28"/>
              </w:rPr>
              <w:t xml:space="preserve">（三） </w:t>
            </w:r>
            <w:r w:rsidR="00A93C38">
              <w:rPr>
                <w:rFonts w:hint="eastAsia"/>
                <w:szCs w:val="28"/>
              </w:rPr>
              <w:t>过程管理的评价（权重为2</w:t>
            </w:r>
            <w:r w:rsidR="00A93C38">
              <w:rPr>
                <w:szCs w:val="28"/>
              </w:rPr>
              <w:t>0</w:t>
            </w:r>
            <w:r w:rsidR="00A93C38">
              <w:rPr>
                <w:rFonts w:hint="eastAsia"/>
                <w:szCs w:val="28"/>
              </w:rPr>
              <w:t>%）</w:t>
            </w:r>
            <w:r w:rsidR="00A93C38">
              <w:tab/>
            </w:r>
            <w:fldSimple w:instr=" PAGEREF _Toc94 ">
              <w:r w:rsidR="005C1FB5">
                <w:rPr>
                  <w:noProof/>
                </w:rPr>
                <w:t>9</w:t>
              </w:r>
            </w:fldSimple>
          </w:hyperlink>
        </w:p>
        <w:p w:rsidR="009E4C75" w:rsidRDefault="00C773F9" w:rsidP="00AC095C">
          <w:pPr>
            <w:pStyle w:val="20"/>
            <w:tabs>
              <w:tab w:val="right" w:leader="dot" w:pos="8306"/>
            </w:tabs>
            <w:ind w:left="480" w:firstLine="480"/>
          </w:pPr>
          <w:hyperlink w:anchor="_Toc10754" w:history="1">
            <w:r w:rsidR="00A93C38">
              <w:rPr>
                <w:szCs w:val="28"/>
              </w:rPr>
              <w:t xml:space="preserve">（四） </w:t>
            </w:r>
            <w:r w:rsidR="00A93C38">
              <w:rPr>
                <w:rFonts w:hint="eastAsia"/>
                <w:szCs w:val="28"/>
              </w:rPr>
              <w:t>产出与效益的评价（权重为</w:t>
            </w:r>
            <w:r w:rsidR="00A93C38">
              <w:rPr>
                <w:szCs w:val="28"/>
              </w:rPr>
              <w:t>50</w:t>
            </w:r>
            <w:r w:rsidR="00A93C38">
              <w:rPr>
                <w:rFonts w:hint="eastAsia"/>
                <w:szCs w:val="28"/>
              </w:rPr>
              <w:t>%）</w:t>
            </w:r>
            <w:r w:rsidR="00A93C38">
              <w:tab/>
            </w:r>
            <w:fldSimple w:instr=" PAGEREF _Toc10754 ">
              <w:r w:rsidR="005C1FB5">
                <w:rPr>
                  <w:noProof/>
                </w:rPr>
                <w:t>10</w:t>
              </w:r>
            </w:fldSimple>
          </w:hyperlink>
        </w:p>
        <w:p w:rsidR="009E4C75" w:rsidRDefault="00C773F9" w:rsidP="00AC095C">
          <w:pPr>
            <w:pStyle w:val="10"/>
            <w:tabs>
              <w:tab w:val="right" w:leader="dot" w:pos="8306"/>
            </w:tabs>
            <w:ind w:firstLine="480"/>
          </w:pPr>
          <w:hyperlink w:anchor="_Toc17980" w:history="1">
            <w:r w:rsidR="00A93C38">
              <w:t xml:space="preserve">四、 </w:t>
            </w:r>
            <w:r w:rsidR="00A93C38">
              <w:rPr>
                <w:rFonts w:hint="eastAsia"/>
              </w:rPr>
              <w:t>石狮市</w:t>
            </w:r>
            <w:r w:rsidR="00A93C38">
              <w:t>课后服务</w:t>
            </w:r>
            <w:r w:rsidR="00A93C38">
              <w:rPr>
                <w:rFonts w:hint="eastAsia"/>
              </w:rPr>
              <w:t>专项实施中存在的问题及相应的改进对策</w:t>
            </w:r>
            <w:r w:rsidR="00A93C38">
              <w:tab/>
            </w:r>
            <w:fldSimple w:instr=" PAGEREF _Toc17980 ">
              <w:r w:rsidR="005C1FB5">
                <w:rPr>
                  <w:noProof/>
                </w:rPr>
                <w:t>12</w:t>
              </w:r>
            </w:fldSimple>
          </w:hyperlink>
        </w:p>
        <w:p w:rsidR="009E4C75" w:rsidRDefault="00C773F9" w:rsidP="00AC095C">
          <w:pPr>
            <w:pStyle w:val="20"/>
            <w:tabs>
              <w:tab w:val="right" w:leader="dot" w:pos="8306"/>
            </w:tabs>
            <w:ind w:left="480" w:firstLine="480"/>
          </w:pPr>
          <w:hyperlink w:anchor="_Toc13844" w:history="1">
            <w:r w:rsidR="00A93C38">
              <w:rPr>
                <w:szCs w:val="28"/>
              </w:rPr>
              <w:t xml:space="preserve">（一） </w:t>
            </w:r>
            <w:r w:rsidR="00A93C38">
              <w:rPr>
                <w:rFonts w:hint="eastAsia"/>
                <w:szCs w:val="28"/>
              </w:rPr>
              <w:t>项目实施中存在的问题</w:t>
            </w:r>
            <w:r w:rsidR="00A93C38">
              <w:tab/>
            </w:r>
            <w:fldSimple w:instr=" PAGEREF _Toc13844 ">
              <w:r w:rsidR="005C1FB5">
                <w:rPr>
                  <w:noProof/>
                </w:rPr>
                <w:t>12</w:t>
              </w:r>
            </w:fldSimple>
          </w:hyperlink>
        </w:p>
        <w:p w:rsidR="009E4C75" w:rsidRDefault="00C773F9" w:rsidP="00AC095C">
          <w:pPr>
            <w:pStyle w:val="20"/>
            <w:tabs>
              <w:tab w:val="right" w:leader="dot" w:pos="8306"/>
            </w:tabs>
            <w:ind w:left="480" w:firstLine="480"/>
          </w:pPr>
          <w:hyperlink w:anchor="_Toc10536" w:history="1">
            <w:r w:rsidR="00A93C38">
              <w:rPr>
                <w:szCs w:val="28"/>
              </w:rPr>
              <w:t xml:space="preserve">（二） </w:t>
            </w:r>
            <w:r w:rsidR="00A93C38">
              <w:rPr>
                <w:rFonts w:hint="eastAsia"/>
                <w:szCs w:val="28"/>
              </w:rPr>
              <w:t>相应的改进对策</w:t>
            </w:r>
            <w:r w:rsidR="00A93C38">
              <w:tab/>
            </w:r>
            <w:fldSimple w:instr=" PAGEREF _Toc10536 ">
              <w:r w:rsidR="005C1FB5">
                <w:rPr>
                  <w:noProof/>
                </w:rPr>
                <w:t>13</w:t>
              </w:r>
            </w:fldSimple>
          </w:hyperlink>
        </w:p>
        <w:p w:rsidR="009E4C75" w:rsidRDefault="00C773F9">
          <w:pPr>
            <w:ind w:firstLineChars="0" w:firstLine="0"/>
          </w:pPr>
          <w:r>
            <w:rPr>
              <w:bCs/>
              <w:lang w:val="zh-CN"/>
            </w:rPr>
            <w:fldChar w:fldCharType="end"/>
          </w:r>
        </w:p>
      </w:sdtContent>
    </w:sdt>
    <w:p w:rsidR="009E4C75" w:rsidRDefault="009E4C75">
      <w:pPr>
        <w:ind w:firstLineChars="0" w:firstLine="0"/>
      </w:pPr>
    </w:p>
    <w:p w:rsidR="009E4C75" w:rsidRDefault="009E4C75">
      <w:pPr>
        <w:ind w:firstLine="480"/>
      </w:pPr>
    </w:p>
    <w:p w:rsidR="009E4C75" w:rsidRDefault="009E4C75">
      <w:pPr>
        <w:ind w:firstLine="480"/>
      </w:pPr>
    </w:p>
    <w:p w:rsidR="009E4C75" w:rsidRDefault="009E4C75">
      <w:pPr>
        <w:ind w:firstLine="480"/>
      </w:pPr>
    </w:p>
    <w:p w:rsidR="009E4C75" w:rsidRDefault="009E4C75">
      <w:pPr>
        <w:ind w:firstLine="480"/>
        <w:sectPr w:rsidR="009E4C7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9E4C75" w:rsidRDefault="00A93C38">
      <w:pPr>
        <w:pStyle w:val="1"/>
      </w:pPr>
      <w:bookmarkStart w:id="1" w:name="_Toc15360"/>
      <w:r>
        <w:rPr>
          <w:rFonts w:hint="eastAsia"/>
        </w:rPr>
        <w:lastRenderedPageBreak/>
        <w:t>引言</w:t>
      </w:r>
      <w:bookmarkEnd w:id="1"/>
    </w:p>
    <w:p w:rsidR="009E4C75" w:rsidRDefault="00A93C38">
      <w:pPr>
        <w:ind w:firstLine="480"/>
      </w:pPr>
      <w:r>
        <w:rPr>
          <w:rFonts w:hint="eastAsia"/>
        </w:rPr>
        <w:t>根据《中华人民共和国预算法》、福建省财政厅关于印发《福建省财政支出绩效评价管理办法》的通知（闽财绩〔</w:t>
      </w:r>
      <w:r>
        <w:t>2015〕4号）、</w:t>
      </w:r>
      <w:r>
        <w:rPr>
          <w:rFonts w:hint="eastAsia"/>
        </w:rPr>
        <w:t>《石狮市财政局关于开展2018年度财政支出绩效重点评价工作的通知》（狮财绩〔2019〕2号）、《石狮市财政支出绩效评价工作实施方案的通知》（狮政办〔2017〕50号）、《石狮市财政支出绩效评价管理规定》（狮财预〔2017〕55号）</w:t>
      </w:r>
      <w:r>
        <w:t>等</w:t>
      </w:r>
      <w:r>
        <w:rPr>
          <w:rFonts w:hint="eastAsia"/>
        </w:rPr>
        <w:t>文件</w:t>
      </w:r>
      <w:r>
        <w:t>要求，</w:t>
      </w:r>
      <w:r>
        <w:rPr>
          <w:rFonts w:hint="eastAsia"/>
        </w:rPr>
        <w:t>福建征安会计师事务所接</w:t>
      </w:r>
      <w:r>
        <w:t>受</w:t>
      </w:r>
      <w:r>
        <w:rPr>
          <w:rFonts w:hint="eastAsia"/>
        </w:rPr>
        <w:t>石狮</w:t>
      </w:r>
      <w:r>
        <w:t>市财政局委托组建项目绩效评价工作小组，对201</w:t>
      </w:r>
      <w:r>
        <w:rPr>
          <w:rFonts w:hint="eastAsia"/>
        </w:rPr>
        <w:t>8</w:t>
      </w:r>
      <w:r>
        <w:t>年</w:t>
      </w:r>
      <w:r>
        <w:rPr>
          <w:rFonts w:hint="eastAsia"/>
        </w:rPr>
        <w:t>石狮市</w:t>
      </w:r>
      <w:r>
        <w:t>课后服务</w:t>
      </w:r>
      <w:r>
        <w:rPr>
          <w:rFonts w:hint="eastAsia"/>
        </w:rPr>
        <w:t>专项资金</w:t>
      </w:r>
      <w:r>
        <w:t>实施绩效评价工作。</w:t>
      </w:r>
    </w:p>
    <w:p w:rsidR="009E4C75" w:rsidRDefault="00AC095C">
      <w:pPr>
        <w:pStyle w:val="p1"/>
        <w:widowControl/>
        <w:ind w:firstLine="480"/>
      </w:pPr>
      <w:r w:rsidRPr="004D19C7">
        <w:rPr>
          <w:rFonts w:ascii="宋体" w:eastAsia="宋体" w:hAnsi="宋体" w:cstheme="minorBidi" w:hint="eastAsia"/>
          <w:kern w:val="2"/>
          <w:sz w:val="24"/>
          <w:szCs w:val="22"/>
        </w:rPr>
        <w:t>本次绩效评价的对象是财政预算下拨的2018年度石狮市</w:t>
      </w:r>
      <w:r w:rsidRPr="004D19C7">
        <w:rPr>
          <w:rFonts w:ascii="宋体" w:eastAsia="宋体" w:hAnsi="宋体" w:cstheme="minorBidi"/>
          <w:kern w:val="2"/>
          <w:sz w:val="24"/>
          <w:szCs w:val="22"/>
        </w:rPr>
        <w:t>课后服务</w:t>
      </w:r>
      <w:r w:rsidRPr="004D19C7">
        <w:rPr>
          <w:rFonts w:ascii="宋体" w:eastAsia="宋体" w:hAnsi="宋体" w:cstheme="minorBidi" w:hint="eastAsia"/>
          <w:kern w:val="2"/>
          <w:sz w:val="24"/>
          <w:szCs w:val="22"/>
        </w:rPr>
        <w:t>专项资金652.407万元（含午托、少年宫经费，下同）。</w:t>
      </w:r>
      <w:r w:rsidR="00A93C38">
        <w:rPr>
          <w:rFonts w:ascii="宋体" w:eastAsia="宋体" w:hAnsi="宋体" w:cstheme="minorBidi" w:hint="eastAsia"/>
          <w:kern w:val="2"/>
          <w:sz w:val="24"/>
          <w:szCs w:val="22"/>
        </w:rPr>
        <w:t>绩效评价工作小组在收集、整理、汇总、分析相关绩效评价资料的基础上，通过查账、实地调查等方式进行了解核实，并对相关评价指标进行汇总分析，对照评价指标和标准进行评议与打分，形成《2018年石狮市</w:t>
      </w:r>
      <w:r w:rsidR="00A93C38">
        <w:rPr>
          <w:rFonts w:ascii="宋体" w:eastAsia="宋体" w:hAnsi="宋体" w:cstheme="minorBidi"/>
          <w:kern w:val="2"/>
          <w:sz w:val="24"/>
          <w:szCs w:val="22"/>
        </w:rPr>
        <w:t>课后服务</w:t>
      </w:r>
      <w:r w:rsidR="00A93C38">
        <w:rPr>
          <w:rFonts w:ascii="宋体" w:eastAsia="宋体" w:hAnsi="宋体" w:cstheme="minorBidi" w:hint="eastAsia"/>
          <w:kern w:val="2"/>
          <w:sz w:val="24"/>
          <w:szCs w:val="22"/>
        </w:rPr>
        <w:t>专项资金绩效评价报告》。</w:t>
      </w:r>
    </w:p>
    <w:p w:rsidR="009E4C75" w:rsidRDefault="00A93C38">
      <w:pPr>
        <w:pStyle w:val="1"/>
        <w:numPr>
          <w:ilvl w:val="0"/>
          <w:numId w:val="1"/>
        </w:numPr>
        <w:ind w:left="0" w:firstLine="0"/>
      </w:pPr>
      <w:bookmarkStart w:id="2" w:name="_Toc28762"/>
      <w:r>
        <w:rPr>
          <w:rFonts w:hint="eastAsia"/>
        </w:rPr>
        <w:t>专项资金</w:t>
      </w:r>
      <w:r>
        <w:t>绩效评价指标体系的设计</w:t>
      </w:r>
      <w:bookmarkEnd w:id="2"/>
    </w:p>
    <w:p w:rsidR="009E4C75" w:rsidRDefault="00A93C38">
      <w:pPr>
        <w:ind w:firstLine="480"/>
      </w:pPr>
      <w:r>
        <w:rPr>
          <w:rFonts w:hint="eastAsia"/>
        </w:rPr>
        <w:t>石狮市</w:t>
      </w:r>
      <w:r>
        <w:t>课后服务</w:t>
      </w:r>
      <w:r>
        <w:rPr>
          <w:rFonts w:hint="eastAsia"/>
        </w:rPr>
        <w:t>专项资金绩效评价，是指根据设定的绩效目标，运用科学、合理的绩效评价指标、评价标准和评价方法，对石狮市</w:t>
      </w:r>
      <w:r>
        <w:t>课后服务</w:t>
      </w:r>
      <w:r>
        <w:rPr>
          <w:rFonts w:hint="eastAsia"/>
        </w:rPr>
        <w:t>专项资金的经济性、效率性和效益性进行客观、公正的评价。因此评价指标、评价方法和评价标准的确定是绩效评价中至关重要的一环。</w:t>
      </w:r>
    </w:p>
    <w:p w:rsidR="009E4C75" w:rsidRDefault="00A93C38">
      <w:pPr>
        <w:pStyle w:val="2"/>
        <w:numPr>
          <w:ilvl w:val="0"/>
          <w:numId w:val="2"/>
        </w:numPr>
        <w:ind w:firstLineChars="0"/>
        <w:rPr>
          <w:b w:val="0"/>
          <w:sz w:val="28"/>
          <w:szCs w:val="28"/>
        </w:rPr>
      </w:pPr>
      <w:bookmarkStart w:id="3" w:name="_Toc17926"/>
      <w:r>
        <w:rPr>
          <w:rFonts w:hint="eastAsia"/>
          <w:b w:val="0"/>
          <w:sz w:val="28"/>
          <w:szCs w:val="28"/>
        </w:rPr>
        <w:t>绩效评价指标的确定应当遵循的原则</w:t>
      </w:r>
      <w:bookmarkEnd w:id="3"/>
    </w:p>
    <w:p w:rsidR="009E4C75" w:rsidRDefault="00A93C38">
      <w:pPr>
        <w:ind w:firstLine="480"/>
      </w:pPr>
      <w:r>
        <w:rPr>
          <w:rFonts w:hint="eastAsia"/>
        </w:rPr>
        <w:t>根据财政部于</w:t>
      </w:r>
      <w:r>
        <w:t>2011年出台的《财政支出绩效评价管理暂行办法》，绩效评价指标的确定应当遵循以下基本原则：</w:t>
      </w:r>
    </w:p>
    <w:p w:rsidR="009E4C75" w:rsidRDefault="00A93C38">
      <w:pPr>
        <w:ind w:firstLine="480"/>
      </w:pPr>
      <w:r>
        <w:rPr>
          <w:rFonts w:ascii="黑体" w:eastAsia="黑体" w:hAnsi="黑体"/>
        </w:rPr>
        <w:t>1.相关性原则。</w:t>
      </w:r>
      <w:r>
        <w:t>确定的绩效评价指标应当与绩效目标有直接的联系，能够恰当反</w:t>
      </w:r>
      <w:r>
        <w:rPr>
          <w:rFonts w:hint="eastAsia"/>
        </w:rPr>
        <w:t>映目标的实现程度，而与绩效目标无关的指标不应列入评价体系。</w:t>
      </w:r>
    </w:p>
    <w:p w:rsidR="009E4C75" w:rsidRDefault="00A93C38">
      <w:pPr>
        <w:ind w:firstLine="480"/>
      </w:pPr>
      <w:r>
        <w:rPr>
          <w:rFonts w:ascii="黑体" w:eastAsia="黑体" w:hAnsi="黑体"/>
        </w:rPr>
        <w:t>2.重要性原则。</w:t>
      </w:r>
      <w:r>
        <w:t>应当优先使用最具评价对象代表性、最能反映评价要求的核心指标，而对于那些无足轻重、可有可无的指标应该舍弃，否则，可能造成评价体系过于庞杂，可操作性不强，且不能突出反映问题。</w:t>
      </w:r>
    </w:p>
    <w:p w:rsidR="009E4C75" w:rsidRDefault="00A93C38">
      <w:pPr>
        <w:ind w:firstLine="480"/>
      </w:pPr>
      <w:r>
        <w:rPr>
          <w:rFonts w:ascii="黑体" w:eastAsia="黑体" w:hAnsi="黑体"/>
        </w:rPr>
        <w:lastRenderedPageBreak/>
        <w:t>3.可比性原则。</w:t>
      </w:r>
      <w:r>
        <w:t>对同类评价对象要设定共性的绩效评价指标，以便于评价结果可以相互比较。</w:t>
      </w:r>
    </w:p>
    <w:p w:rsidR="009E4C75" w:rsidRDefault="00A93C38">
      <w:pPr>
        <w:ind w:firstLine="480"/>
      </w:pPr>
      <w:r>
        <w:rPr>
          <w:rFonts w:ascii="黑体" w:eastAsia="黑体" w:hAnsi="黑体"/>
        </w:rPr>
        <w:t>4.系统性原则。</w:t>
      </w:r>
      <w:r>
        <w:t>应当将定量指标与定性指标相结合，系统反映财政支出所产生的社会效益、经济效益、环境效益和可持续影响等。</w:t>
      </w:r>
    </w:p>
    <w:p w:rsidR="009E4C75" w:rsidRDefault="00A93C38">
      <w:pPr>
        <w:ind w:firstLine="480"/>
      </w:pPr>
      <w:r>
        <w:rPr>
          <w:rFonts w:ascii="黑体" w:eastAsia="黑体" w:hAnsi="黑体"/>
        </w:rPr>
        <w:t>5.经济性原则。</w:t>
      </w:r>
      <w:r>
        <w:t>绩效评价指标不是设计得越复杂越好，应当通俗易懂、简便易行，数据的获得应当考虑现实条件和可操作性，符合成本效益原则。</w:t>
      </w:r>
    </w:p>
    <w:p w:rsidR="009E4C75" w:rsidRDefault="00A93C38">
      <w:pPr>
        <w:pStyle w:val="2"/>
        <w:numPr>
          <w:ilvl w:val="0"/>
          <w:numId w:val="2"/>
        </w:numPr>
        <w:ind w:firstLineChars="0"/>
        <w:rPr>
          <w:b w:val="0"/>
          <w:sz w:val="28"/>
          <w:szCs w:val="28"/>
        </w:rPr>
      </w:pPr>
      <w:bookmarkStart w:id="4" w:name="_Toc17031"/>
      <w:r>
        <w:rPr>
          <w:rFonts w:hint="eastAsia"/>
          <w:b w:val="0"/>
          <w:sz w:val="28"/>
          <w:szCs w:val="28"/>
        </w:rPr>
        <w:t>绩效评价方法的选用</w:t>
      </w:r>
      <w:bookmarkEnd w:id="4"/>
    </w:p>
    <w:p w:rsidR="009E4C75" w:rsidRDefault="00A93C38">
      <w:pPr>
        <w:ind w:firstLine="480"/>
      </w:pPr>
      <w:r>
        <w:rPr>
          <w:rFonts w:hint="eastAsia"/>
        </w:rPr>
        <w:t>本次石狮市</w:t>
      </w:r>
      <w:r>
        <w:t>课后服务</w:t>
      </w:r>
      <w:r>
        <w:rPr>
          <w:rFonts w:hint="eastAsia"/>
        </w:rPr>
        <w:t>专项资金绩效评价主要采用比较法、成本效益分析法、公众评判法等。</w:t>
      </w:r>
    </w:p>
    <w:p w:rsidR="009E4C75" w:rsidRDefault="00A93C38">
      <w:pPr>
        <w:ind w:firstLine="480"/>
      </w:pPr>
      <w:r>
        <w:rPr>
          <w:rFonts w:ascii="黑体" w:eastAsia="黑体" w:hAnsi="黑体"/>
        </w:rPr>
        <w:t>1.比较法。</w:t>
      </w:r>
      <w:r>
        <w:t>是指通过实际支出、实施效果等与绩效目标、历史情况、不同地区同类支出等的比较，综合分析绩效目标实现程度。</w:t>
      </w:r>
    </w:p>
    <w:p w:rsidR="009E4C75" w:rsidRDefault="00A93C38">
      <w:pPr>
        <w:ind w:firstLine="480"/>
      </w:pPr>
      <w:r>
        <w:rPr>
          <w:rFonts w:ascii="黑体" w:eastAsia="黑体" w:hAnsi="黑体"/>
        </w:rPr>
        <w:t>2.成本效益分析法。</w:t>
      </w:r>
      <w:r>
        <w:t>是指将一定时期内的支出与效益进行对比分析，以评价绩效目标实现程度。</w:t>
      </w:r>
    </w:p>
    <w:p w:rsidR="009E4C75" w:rsidRDefault="00A93C38">
      <w:pPr>
        <w:ind w:firstLine="480"/>
      </w:pPr>
      <w:r>
        <w:rPr>
          <w:rFonts w:ascii="黑体" w:eastAsia="黑体" w:hAnsi="黑体"/>
        </w:rPr>
        <w:t>3.服务对象评判法。</w:t>
      </w:r>
      <w:r>
        <w:t>是指通过对服务对象进行问卷及抽样调查等对财政支出的效果进行评判，评价绩效目标实现程度。</w:t>
      </w:r>
    </w:p>
    <w:p w:rsidR="009E4C75" w:rsidRDefault="00A93C38">
      <w:pPr>
        <w:pStyle w:val="2"/>
        <w:numPr>
          <w:ilvl w:val="0"/>
          <w:numId w:val="2"/>
        </w:numPr>
        <w:ind w:firstLineChars="0"/>
        <w:rPr>
          <w:b w:val="0"/>
          <w:sz w:val="28"/>
          <w:szCs w:val="28"/>
        </w:rPr>
      </w:pPr>
      <w:bookmarkStart w:id="5" w:name="_Toc4970"/>
      <w:r>
        <w:rPr>
          <w:rFonts w:hint="eastAsia"/>
          <w:b w:val="0"/>
          <w:sz w:val="28"/>
          <w:szCs w:val="28"/>
        </w:rPr>
        <w:t>绩效评价标准的确定</w:t>
      </w:r>
      <w:bookmarkEnd w:id="5"/>
    </w:p>
    <w:p w:rsidR="009E4C75" w:rsidRDefault="00A93C38">
      <w:pPr>
        <w:ind w:firstLine="480"/>
      </w:pPr>
      <w:r>
        <w:rPr>
          <w:rFonts w:hint="eastAsia"/>
        </w:rPr>
        <w:t>绩效评价标准是衡量财政支出绩效目标完成程度的尺度，对</w:t>
      </w:r>
      <w:bookmarkStart w:id="6" w:name="_Hlk495061849"/>
      <w:r>
        <w:rPr>
          <w:rFonts w:hint="eastAsia"/>
        </w:rPr>
        <w:t>石狮市</w:t>
      </w:r>
      <w:r>
        <w:t>课后服务</w:t>
      </w:r>
      <w:r>
        <w:rPr>
          <w:rFonts w:hint="eastAsia"/>
        </w:rPr>
        <w:t>专项</w:t>
      </w:r>
      <w:bookmarkEnd w:id="6"/>
      <w:r>
        <w:rPr>
          <w:rFonts w:hint="eastAsia"/>
        </w:rPr>
        <w:t>资金绩效评价采用的标准主要包括：</w:t>
      </w:r>
    </w:p>
    <w:p w:rsidR="009E4C75" w:rsidRDefault="00A93C38">
      <w:pPr>
        <w:ind w:firstLine="480"/>
      </w:pPr>
      <w:r>
        <w:rPr>
          <w:rFonts w:ascii="黑体" w:eastAsia="黑体" w:hAnsi="黑体"/>
        </w:rPr>
        <w:t>1.计划标准。</w:t>
      </w:r>
      <w:r>
        <w:t>是指以预先制定的目标、计划、预算、定额等数据作为评价的标准。</w:t>
      </w:r>
    </w:p>
    <w:p w:rsidR="009E4C75" w:rsidRDefault="00A93C38">
      <w:pPr>
        <w:ind w:firstLine="480"/>
      </w:pPr>
      <w:r>
        <w:rPr>
          <w:rFonts w:ascii="黑体" w:eastAsia="黑体" w:hAnsi="黑体"/>
        </w:rPr>
        <w:t>2.行业标准。</w:t>
      </w:r>
      <w:r>
        <w:t>是指参照</w:t>
      </w:r>
      <w:r>
        <w:rPr>
          <w:rFonts w:hint="eastAsia"/>
        </w:rPr>
        <w:t>各级政府课后服务</w:t>
      </w:r>
      <w:r>
        <w:t>项目绩效指标数据而制定相应的评价标准。</w:t>
      </w:r>
    </w:p>
    <w:p w:rsidR="009E4C75" w:rsidRDefault="00A93C38">
      <w:pPr>
        <w:ind w:firstLine="480"/>
      </w:pPr>
      <w:r>
        <w:rPr>
          <w:rFonts w:hint="eastAsia"/>
        </w:rPr>
        <w:t>综上，基于上述绩效评价原则、方法和标准选用的考量，我们设计了石狮市</w:t>
      </w:r>
      <w:r>
        <w:t>课后服务</w:t>
      </w:r>
      <w:r>
        <w:rPr>
          <w:rFonts w:hint="eastAsia"/>
        </w:rPr>
        <w:t>专项资金绩效评价指标，并分别赋予了相应的权重和分值，具体参见表</w:t>
      </w:r>
      <w:r>
        <w:t>“</w:t>
      </w:r>
      <w:r>
        <w:rPr>
          <w:rFonts w:hint="eastAsia"/>
        </w:rPr>
        <w:t>石狮市</w:t>
      </w:r>
      <w:r>
        <w:t>课后服务</w:t>
      </w:r>
      <w:r>
        <w:rPr>
          <w:rFonts w:hint="eastAsia"/>
        </w:rPr>
        <w:t>专项资金绩效评价指标体系</w:t>
      </w:r>
      <w:r>
        <w:t>”。</w:t>
      </w:r>
    </w:p>
    <w:p w:rsidR="009E4C75" w:rsidRDefault="00A93C38">
      <w:pPr>
        <w:pStyle w:val="1"/>
        <w:numPr>
          <w:ilvl w:val="0"/>
          <w:numId w:val="1"/>
        </w:numPr>
        <w:ind w:left="0" w:firstLine="0"/>
      </w:pPr>
      <w:bookmarkStart w:id="7" w:name="_Toc20669"/>
      <w:r>
        <w:rPr>
          <w:rFonts w:hint="eastAsia"/>
        </w:rPr>
        <w:t>项目概况</w:t>
      </w:r>
      <w:bookmarkEnd w:id="7"/>
    </w:p>
    <w:p w:rsidR="009E4C75" w:rsidRDefault="00A93C38">
      <w:pPr>
        <w:pStyle w:val="2"/>
        <w:numPr>
          <w:ilvl w:val="0"/>
          <w:numId w:val="3"/>
        </w:numPr>
        <w:ind w:firstLineChars="0"/>
        <w:rPr>
          <w:b w:val="0"/>
          <w:sz w:val="28"/>
          <w:szCs w:val="28"/>
        </w:rPr>
      </w:pPr>
      <w:bookmarkStart w:id="8" w:name="_Toc16195"/>
      <w:r>
        <w:rPr>
          <w:rFonts w:hint="eastAsia"/>
          <w:b w:val="0"/>
          <w:sz w:val="28"/>
          <w:szCs w:val="28"/>
        </w:rPr>
        <w:t>项目单位基本情况</w:t>
      </w:r>
      <w:bookmarkEnd w:id="8"/>
    </w:p>
    <w:p w:rsidR="009E4C75" w:rsidRDefault="00A93C38">
      <w:pPr>
        <w:ind w:firstLine="480"/>
        <w:rPr>
          <w:color w:val="000000" w:themeColor="text1"/>
        </w:rPr>
      </w:pPr>
      <w:r>
        <w:rPr>
          <w:rFonts w:hint="eastAsia"/>
        </w:rPr>
        <w:lastRenderedPageBreak/>
        <w:t>石狮</w:t>
      </w:r>
      <w:r>
        <w:t>市教育局作为分管教育的政府部门，其主要职责</w:t>
      </w:r>
      <w:r>
        <w:rPr>
          <w:rFonts w:hint="eastAsia"/>
        </w:rPr>
        <w:t>：</w:t>
      </w:r>
      <w:r>
        <w:rPr>
          <w:rFonts w:hint="eastAsia"/>
          <w:color w:val="000000" w:themeColor="text1"/>
        </w:rPr>
        <w:t>贯彻执行党和国家有关教育的方针、政策、法律、法规， 提出我市的贯彻意见和实施办法并组织、监督实施；研究拟订全市教育政策，并对贯彻落实情况进行指导、检查；统筹全市教育事业的改革与发展，研究拟订全市教育事业的发展规划及年度计划，协调、指导教育改革与发展规划的全面措施；引导、扶持民办教育发展，指导、检查、评估民办学校的教育教学工作；主管全市招生工作，负责指定全市年度招生计划，管理全市各类学历教育考试；负责提出市每年教育经费计划的建设，管理使用市级教育经费，确定各级各类学校的受费标准并监督、检查执行情况，指导、监督全市学校条件装备、信息化建设、校办产业和基建工作；主管全市教师工作，负责全市教育系统劳动工资、人事管理工作，统筹规划并指导各级各类学校教师和教育管理人员队伍建设，负责教师资格的认定及教师职务制度的实施工作，统筹管理各级各类学校教师表彰奖惩工作，指导中小学内部管理体制改革；制定全市师范类毕业生就业政策并组织实施；指导各级各类学校的德育、体育卫生与文化艺术、国防教育等工作，检查、督促、指导为成年人保护和预防青少年犯罪及校园治安综合治理工作；负责教育督导与评估工作，负责全市语言文字规范化、标准化的宣传和推广工作，指导有关的教育学会、协会、基金会等社团组织工作，开展同香港、澳门特别行政区和台湾地区及对外教育合作交流；组织协调、督促检查和综合指导全市教育系统党风廉政建设、行风建设和腐败工作；指导全市各级各类学校党建、思想政治工作和精神文明建设以及工会、共青团工作、抓好市直中小学领导班子的思想作风建设；组织、协调全市各级各类学校的安全和稳定工作，及时妥善处理学校的突发事件等。</w:t>
      </w:r>
    </w:p>
    <w:p w:rsidR="009E4C75" w:rsidRDefault="00A93C38">
      <w:pPr>
        <w:pStyle w:val="2"/>
        <w:numPr>
          <w:ilvl w:val="0"/>
          <w:numId w:val="3"/>
        </w:numPr>
        <w:ind w:firstLineChars="0"/>
        <w:rPr>
          <w:b w:val="0"/>
          <w:sz w:val="28"/>
          <w:szCs w:val="28"/>
        </w:rPr>
      </w:pPr>
      <w:bookmarkStart w:id="9" w:name="_Toc7393"/>
      <w:r>
        <w:rPr>
          <w:rFonts w:hint="eastAsia"/>
          <w:b w:val="0"/>
          <w:sz w:val="28"/>
          <w:szCs w:val="28"/>
        </w:rPr>
        <w:t>项目基本情况</w:t>
      </w:r>
      <w:bookmarkEnd w:id="9"/>
    </w:p>
    <w:p w:rsidR="009E4C75" w:rsidRDefault="00A93C38">
      <w:pPr>
        <w:ind w:firstLine="480"/>
      </w:pPr>
      <w:r>
        <w:rPr>
          <w:rFonts w:hint="eastAsia"/>
        </w:rPr>
        <w:t>为贯彻党的十九大精神，落实上级关于推进教育体制机制改革的部署要求，结合《教育部办公厅关于做好中小学生课后服务工作的指导意见》（教基一</w:t>
      </w:r>
      <w:r>
        <w:t>厅〔2017〕2号</w:t>
      </w:r>
      <w:r>
        <w:rPr>
          <w:rFonts w:hint="eastAsia"/>
        </w:rPr>
        <w:t>）、省教育厅等五部门印发的《关于做好中小学生课后服务工作的指导意见》</w:t>
      </w:r>
      <w:r>
        <w:t>（闽教基〔2018〕13号）</w:t>
      </w:r>
      <w:r>
        <w:rPr>
          <w:rFonts w:hint="eastAsia"/>
        </w:rPr>
        <w:t>等文件精神，石狮市委市政府下达《中共石狮市委 石狮市人民政府关于兴办2018年为民办实事项目的决定》（狮委〔2018〕5号）文件，</w:t>
      </w:r>
      <w:r>
        <w:t>将课后服务工作列为为民办实事项目</w:t>
      </w:r>
      <w:r>
        <w:rPr>
          <w:rFonts w:hint="eastAsia"/>
        </w:rPr>
        <w:t>。</w:t>
      </w:r>
    </w:p>
    <w:p w:rsidR="009E4C75" w:rsidRDefault="00A93C38">
      <w:pPr>
        <w:pStyle w:val="11"/>
        <w:numPr>
          <w:ilvl w:val="0"/>
          <w:numId w:val="4"/>
        </w:numPr>
        <w:ind w:firstLineChars="0"/>
        <w:rPr>
          <w:rFonts w:ascii="黑体" w:eastAsia="黑体" w:hAnsi="黑体"/>
        </w:rPr>
      </w:pPr>
      <w:r>
        <w:rPr>
          <w:rFonts w:ascii="黑体" w:eastAsia="黑体" w:hAnsi="黑体"/>
        </w:rPr>
        <w:t>项目涉及范围</w:t>
      </w:r>
    </w:p>
    <w:p w:rsidR="009E4C75" w:rsidRDefault="00A93C38">
      <w:pPr>
        <w:ind w:firstLine="480"/>
      </w:pPr>
      <w:r>
        <w:rPr>
          <w:rFonts w:hint="eastAsia"/>
        </w:rPr>
        <w:lastRenderedPageBreak/>
        <w:t>项目主要涉及2018年春季全市进行课后服务试点工作的有实验中学附小、实验小学、锦峰实验学校等11所学校。2018年秋季全面启动课后服务工作，全市67所小学</w:t>
      </w:r>
      <w:r>
        <w:t>，</w:t>
      </w:r>
      <w:r>
        <w:rPr>
          <w:rFonts w:hint="eastAsia"/>
        </w:rPr>
        <w:t>实际参加课后服务学校44所</w:t>
      </w:r>
      <w:r>
        <w:t>。</w:t>
      </w:r>
    </w:p>
    <w:p w:rsidR="009E4C75" w:rsidRDefault="00A93C38">
      <w:pPr>
        <w:pStyle w:val="11"/>
        <w:numPr>
          <w:ilvl w:val="0"/>
          <w:numId w:val="4"/>
        </w:numPr>
        <w:ind w:firstLineChars="0"/>
        <w:rPr>
          <w:rFonts w:ascii="黑体" w:eastAsia="黑体" w:hAnsi="黑体"/>
        </w:rPr>
      </w:pPr>
      <w:r>
        <w:rPr>
          <w:rFonts w:ascii="黑体" w:eastAsia="黑体" w:hAnsi="黑体"/>
        </w:rPr>
        <w:t>项目主要内容</w:t>
      </w:r>
    </w:p>
    <w:p w:rsidR="009E4C75" w:rsidRDefault="00A93C38">
      <w:pPr>
        <w:ind w:firstLine="480"/>
      </w:pPr>
      <w:r>
        <w:rPr>
          <w:rFonts w:hint="eastAsia"/>
        </w:rPr>
        <w:t>专项资金主要用于参与课后服务教职工劳务费、外聘教师或团队费用、低值易耗品购置费、购买活动课程及引进第三方服务机构等相关费用。</w:t>
      </w:r>
    </w:p>
    <w:p w:rsidR="009E4C75" w:rsidRDefault="00A93C38">
      <w:pPr>
        <w:pStyle w:val="11"/>
        <w:numPr>
          <w:ilvl w:val="0"/>
          <w:numId w:val="4"/>
        </w:numPr>
        <w:ind w:firstLineChars="0"/>
        <w:rPr>
          <w:rFonts w:ascii="黑体" w:eastAsia="黑体" w:hAnsi="黑体"/>
        </w:rPr>
      </w:pPr>
      <w:r>
        <w:rPr>
          <w:rFonts w:ascii="黑体" w:eastAsia="黑体" w:hAnsi="黑体"/>
        </w:rPr>
        <w:t>总体目标</w:t>
      </w:r>
    </w:p>
    <w:p w:rsidR="009E4C75" w:rsidRDefault="00A93C38">
      <w:pPr>
        <w:ind w:firstLine="480"/>
      </w:pPr>
      <w:r>
        <w:rPr>
          <w:rFonts w:hint="eastAsia"/>
        </w:rPr>
        <w:t>石狮市人民政府办公室印发狮政办〔2018〕68号《石狮市小学生课后服务工作实施方案的通知》文件，把课后服务</w:t>
      </w:r>
      <w:r>
        <w:t>作为</w:t>
      </w:r>
      <w:r>
        <w:rPr>
          <w:rFonts w:hint="eastAsia"/>
        </w:rPr>
        <w:t>补民生短板，</w:t>
      </w:r>
      <w:r>
        <w:t>精准关怀服务群众的重要内容</w:t>
      </w:r>
      <w:r>
        <w:rPr>
          <w:rFonts w:hint="eastAsia"/>
        </w:rPr>
        <w:t>，抓好推进落实。开展小学生课后服务，旨在促进学生健康成长、帮助家长解决按时接送学生困难；缓解学校放学时段交通拥堵压力，保障学生健康安全，减轻学生课外负担，培养学生兴趣爱好，提高教育服务能力，解除群众、职工后顾之忧</w:t>
      </w:r>
      <w:r>
        <w:t>。</w:t>
      </w:r>
    </w:p>
    <w:p w:rsidR="009E4C75" w:rsidRDefault="00A93C38">
      <w:pPr>
        <w:pStyle w:val="2"/>
        <w:numPr>
          <w:ilvl w:val="0"/>
          <w:numId w:val="3"/>
        </w:numPr>
        <w:ind w:firstLineChars="0"/>
        <w:rPr>
          <w:b w:val="0"/>
          <w:sz w:val="28"/>
          <w:szCs w:val="28"/>
        </w:rPr>
      </w:pPr>
      <w:bookmarkStart w:id="10" w:name="_Toc29283"/>
      <w:r>
        <w:rPr>
          <w:rFonts w:hint="eastAsia"/>
          <w:b w:val="0"/>
          <w:sz w:val="28"/>
          <w:szCs w:val="28"/>
        </w:rPr>
        <w:t>项目的组织管理情况</w:t>
      </w:r>
      <w:bookmarkEnd w:id="10"/>
    </w:p>
    <w:p w:rsidR="009E4C75" w:rsidRDefault="00A93C38">
      <w:pPr>
        <w:pStyle w:val="11"/>
        <w:numPr>
          <w:ilvl w:val="0"/>
          <w:numId w:val="5"/>
        </w:numPr>
        <w:ind w:firstLineChars="0"/>
        <w:rPr>
          <w:rFonts w:ascii="黑体" w:eastAsia="黑体" w:hAnsi="黑体"/>
        </w:rPr>
      </w:pPr>
      <w:r>
        <w:rPr>
          <w:rFonts w:ascii="黑体" w:eastAsia="黑体" w:hAnsi="黑体"/>
        </w:rPr>
        <w:t>项目执行情况</w:t>
      </w:r>
    </w:p>
    <w:p w:rsidR="009E4C75" w:rsidRDefault="00A93C38">
      <w:pPr>
        <w:ind w:firstLine="480"/>
        <w:rPr>
          <w:color w:val="000000" w:themeColor="text1"/>
        </w:rPr>
      </w:pPr>
      <w:r>
        <w:rPr>
          <w:rFonts w:hint="eastAsia"/>
        </w:rPr>
        <w:t>石狮</w:t>
      </w:r>
      <w:r>
        <w:t>市教育局负责专项资金的预算编制、审核、公开、提出资金分配方案，实施绩效评价和管理监督。</w:t>
      </w:r>
      <w:r>
        <w:rPr>
          <w:rFonts w:hint="eastAsia"/>
        </w:rPr>
        <w:t>参与课后</w:t>
      </w:r>
      <w:r>
        <w:rPr>
          <w:rFonts w:hint="eastAsia"/>
          <w:color w:val="000000" w:themeColor="text1"/>
        </w:rPr>
        <w:t>服务的44</w:t>
      </w:r>
      <w:r>
        <w:rPr>
          <w:color w:val="000000" w:themeColor="text1"/>
        </w:rPr>
        <w:t>所小学是专项资金实施主体和使用单位，规范、安全使用专项资金</w:t>
      </w:r>
      <w:r>
        <w:rPr>
          <w:rFonts w:hint="eastAsia"/>
          <w:color w:val="000000" w:themeColor="text1"/>
        </w:rPr>
        <w:t>，将资金用于课后服务人员报酬、第三方机构费用及课后服务项目所需硬件购置等方面</w:t>
      </w:r>
      <w:r>
        <w:rPr>
          <w:color w:val="000000" w:themeColor="text1"/>
        </w:rPr>
        <w:t>。</w:t>
      </w:r>
    </w:p>
    <w:p w:rsidR="009E4C75" w:rsidRDefault="00A93C38">
      <w:pPr>
        <w:pStyle w:val="11"/>
        <w:numPr>
          <w:ilvl w:val="0"/>
          <w:numId w:val="5"/>
        </w:numPr>
        <w:ind w:firstLineChars="0"/>
        <w:rPr>
          <w:rFonts w:ascii="黑体" w:eastAsia="黑体" w:hAnsi="黑体"/>
          <w:color w:val="000000" w:themeColor="text1"/>
        </w:rPr>
      </w:pPr>
      <w:r>
        <w:rPr>
          <w:rFonts w:ascii="黑体" w:eastAsia="黑体" w:hAnsi="黑体"/>
          <w:color w:val="000000" w:themeColor="text1"/>
        </w:rPr>
        <w:t>项目管理制度及执行情况</w:t>
      </w:r>
    </w:p>
    <w:p w:rsidR="009E4C75" w:rsidRDefault="00A93C38">
      <w:pPr>
        <w:ind w:firstLine="480"/>
        <w:rPr>
          <w:color w:val="000000" w:themeColor="text1"/>
        </w:rPr>
      </w:pPr>
      <w:r>
        <w:rPr>
          <w:rFonts w:hint="eastAsia"/>
          <w:color w:val="000000" w:themeColor="text1"/>
        </w:rPr>
        <w:t>为规范、加强市级石狮市</w:t>
      </w:r>
      <w:r>
        <w:rPr>
          <w:color w:val="000000" w:themeColor="text1"/>
        </w:rPr>
        <w:t>课后服务</w:t>
      </w:r>
      <w:r>
        <w:rPr>
          <w:rFonts w:hint="eastAsia"/>
          <w:color w:val="000000" w:themeColor="text1"/>
        </w:rPr>
        <w:t>专项资金的使用和管理，提高资金使用效益，</w:t>
      </w:r>
      <w:r>
        <w:rPr>
          <w:color w:val="000000" w:themeColor="text1"/>
        </w:rPr>
        <w:t>参与课后服务项目的小学</w:t>
      </w:r>
      <w:r>
        <w:rPr>
          <w:rFonts w:hint="eastAsia"/>
          <w:color w:val="000000" w:themeColor="text1"/>
        </w:rPr>
        <w:t>严格按照财务管理制度</w:t>
      </w:r>
      <w:r>
        <w:rPr>
          <w:color w:val="000000" w:themeColor="text1"/>
        </w:rPr>
        <w:t>，</w:t>
      </w:r>
      <w:r>
        <w:rPr>
          <w:rFonts w:hint="eastAsia"/>
          <w:color w:val="000000" w:themeColor="text1"/>
        </w:rPr>
        <w:t>做到专款专用</w:t>
      </w:r>
      <w:r>
        <w:rPr>
          <w:color w:val="000000" w:themeColor="text1"/>
        </w:rPr>
        <w:t>。</w:t>
      </w:r>
    </w:p>
    <w:p w:rsidR="009E4C75" w:rsidRDefault="00A93C38">
      <w:pPr>
        <w:pStyle w:val="2"/>
        <w:numPr>
          <w:ilvl w:val="0"/>
          <w:numId w:val="3"/>
        </w:numPr>
        <w:ind w:firstLineChars="0"/>
        <w:rPr>
          <w:b w:val="0"/>
          <w:color w:val="000000" w:themeColor="text1"/>
          <w:sz w:val="28"/>
          <w:szCs w:val="28"/>
        </w:rPr>
      </w:pPr>
      <w:bookmarkStart w:id="11" w:name="_Toc10491"/>
      <w:r>
        <w:rPr>
          <w:rFonts w:hint="eastAsia"/>
          <w:b w:val="0"/>
          <w:color w:val="000000" w:themeColor="text1"/>
          <w:sz w:val="28"/>
          <w:szCs w:val="28"/>
        </w:rPr>
        <w:t>项目财务管理状况</w:t>
      </w:r>
      <w:bookmarkEnd w:id="11"/>
    </w:p>
    <w:p w:rsidR="009E4C75" w:rsidRDefault="00A93C38">
      <w:pPr>
        <w:pStyle w:val="11"/>
        <w:numPr>
          <w:ilvl w:val="0"/>
          <w:numId w:val="6"/>
        </w:numPr>
        <w:ind w:firstLineChars="0"/>
        <w:rPr>
          <w:rFonts w:ascii="黑体" w:eastAsia="黑体" w:hAnsi="黑体"/>
          <w:color w:val="000000" w:themeColor="text1"/>
        </w:rPr>
      </w:pPr>
      <w:r>
        <w:rPr>
          <w:rFonts w:ascii="黑体" w:eastAsia="黑体" w:hAnsi="黑体"/>
          <w:color w:val="000000" w:themeColor="text1"/>
        </w:rPr>
        <w:t>项目投入情况和实际支出情况</w:t>
      </w:r>
    </w:p>
    <w:p w:rsidR="009E4C75" w:rsidRDefault="00A93C38">
      <w:pPr>
        <w:ind w:firstLine="480"/>
        <w:rPr>
          <w:color w:val="000000" w:themeColor="text1"/>
        </w:rPr>
      </w:pPr>
      <w:r>
        <w:rPr>
          <w:color w:val="000000" w:themeColor="text1"/>
        </w:rPr>
        <w:t>201</w:t>
      </w:r>
      <w:r>
        <w:rPr>
          <w:rFonts w:hint="eastAsia"/>
          <w:color w:val="000000" w:themeColor="text1"/>
        </w:rPr>
        <w:t>8</w:t>
      </w:r>
      <w:r>
        <w:rPr>
          <w:color w:val="000000" w:themeColor="text1"/>
        </w:rPr>
        <w:t>年度</w:t>
      </w:r>
      <w:r>
        <w:rPr>
          <w:rFonts w:hint="eastAsia"/>
          <w:color w:val="000000" w:themeColor="text1"/>
        </w:rPr>
        <w:t>石狮市</w:t>
      </w:r>
      <w:r>
        <w:rPr>
          <w:color w:val="000000" w:themeColor="text1"/>
        </w:rPr>
        <w:t>课后服务</w:t>
      </w:r>
      <w:r>
        <w:rPr>
          <w:rFonts w:hint="eastAsia"/>
          <w:color w:val="000000" w:themeColor="text1"/>
        </w:rPr>
        <w:t>专项资金6,524,070.00</w:t>
      </w:r>
      <w:r>
        <w:rPr>
          <w:color w:val="000000" w:themeColor="text1"/>
        </w:rPr>
        <w:t>元，全部为</w:t>
      </w:r>
      <w:r>
        <w:rPr>
          <w:rFonts w:hint="eastAsia"/>
          <w:color w:val="000000" w:themeColor="text1"/>
        </w:rPr>
        <w:t>石狮</w:t>
      </w:r>
      <w:r>
        <w:rPr>
          <w:color w:val="000000" w:themeColor="text1"/>
        </w:rPr>
        <w:t>市财政局下拨财政资金，无自筹资金。</w:t>
      </w:r>
    </w:p>
    <w:p w:rsidR="009E4C75" w:rsidRDefault="00A93C38">
      <w:pPr>
        <w:ind w:firstLine="480"/>
        <w:rPr>
          <w:color w:val="000000" w:themeColor="text1"/>
        </w:rPr>
      </w:pPr>
      <w:r>
        <w:rPr>
          <w:rFonts w:hint="eastAsia"/>
          <w:color w:val="000000" w:themeColor="text1"/>
        </w:rPr>
        <w:t>该项目</w:t>
      </w:r>
      <w:r>
        <w:rPr>
          <w:color w:val="000000" w:themeColor="text1"/>
        </w:rPr>
        <w:t>预计投入</w:t>
      </w:r>
      <w:r>
        <w:rPr>
          <w:rFonts w:hint="eastAsia"/>
          <w:color w:val="000000" w:themeColor="text1"/>
        </w:rPr>
        <w:t>资金共计</w:t>
      </w:r>
      <w:r>
        <w:rPr>
          <w:color w:val="000000" w:themeColor="text1"/>
        </w:rPr>
        <w:t>7,000,000.00元，实际投入</w:t>
      </w:r>
      <w:r>
        <w:rPr>
          <w:rFonts w:hint="eastAsia"/>
          <w:color w:val="000000" w:themeColor="text1"/>
        </w:rPr>
        <w:t>6,524,070.00</w:t>
      </w:r>
      <w:r>
        <w:rPr>
          <w:color w:val="000000" w:themeColor="text1"/>
        </w:rPr>
        <w:t>元</w:t>
      </w:r>
      <w:r>
        <w:rPr>
          <w:rFonts w:hint="eastAsia"/>
          <w:color w:val="000000" w:themeColor="text1"/>
        </w:rPr>
        <w:t>。</w:t>
      </w:r>
    </w:p>
    <w:p w:rsidR="009E4C75" w:rsidRDefault="00A93C38">
      <w:pPr>
        <w:pStyle w:val="11"/>
        <w:numPr>
          <w:ilvl w:val="0"/>
          <w:numId w:val="6"/>
        </w:numPr>
        <w:ind w:firstLineChars="0"/>
        <w:rPr>
          <w:rFonts w:ascii="黑体" w:eastAsia="黑体" w:hAnsi="黑体"/>
          <w:color w:val="000000" w:themeColor="text1"/>
        </w:rPr>
      </w:pPr>
      <w:r>
        <w:rPr>
          <w:rFonts w:ascii="黑体" w:eastAsia="黑体" w:hAnsi="黑体"/>
          <w:color w:val="000000" w:themeColor="text1"/>
        </w:rPr>
        <w:t>资金到位情况</w:t>
      </w:r>
    </w:p>
    <w:p w:rsidR="009E4C75" w:rsidRDefault="00A93C38">
      <w:pPr>
        <w:ind w:firstLine="480"/>
        <w:rPr>
          <w:color w:val="000000" w:themeColor="text1"/>
        </w:rPr>
      </w:pPr>
      <w:r>
        <w:rPr>
          <w:rFonts w:hint="eastAsia"/>
          <w:color w:val="000000" w:themeColor="text1"/>
        </w:rPr>
        <w:t>石狮</w:t>
      </w:r>
      <w:r>
        <w:rPr>
          <w:color w:val="000000" w:themeColor="text1"/>
        </w:rPr>
        <w:t>市财政局</w:t>
      </w:r>
      <w:r>
        <w:rPr>
          <w:rFonts w:hint="eastAsia"/>
          <w:color w:val="000000" w:themeColor="text1"/>
        </w:rPr>
        <w:t>于2018年共</w:t>
      </w:r>
      <w:r>
        <w:rPr>
          <w:color w:val="000000" w:themeColor="text1"/>
        </w:rPr>
        <w:t>下拨</w:t>
      </w:r>
      <w:r>
        <w:rPr>
          <w:rFonts w:hint="eastAsia"/>
          <w:color w:val="000000" w:themeColor="text1"/>
        </w:rPr>
        <w:t>6,524,070.00</w:t>
      </w:r>
      <w:r>
        <w:rPr>
          <w:color w:val="000000" w:themeColor="text1"/>
        </w:rPr>
        <w:t>元</w:t>
      </w:r>
      <w:r>
        <w:rPr>
          <w:rFonts w:hint="eastAsia"/>
          <w:color w:val="000000" w:themeColor="text1"/>
        </w:rPr>
        <w:t>，具体如下：</w:t>
      </w:r>
    </w:p>
    <w:tbl>
      <w:tblPr>
        <w:tblW w:w="8682" w:type="dxa"/>
        <w:tblLayout w:type="fixed"/>
        <w:tblCellMar>
          <w:left w:w="0" w:type="dxa"/>
          <w:right w:w="0" w:type="dxa"/>
        </w:tblCellMar>
        <w:tblLook w:val="04A0"/>
      </w:tblPr>
      <w:tblGrid>
        <w:gridCol w:w="595"/>
        <w:gridCol w:w="2210"/>
        <w:gridCol w:w="1050"/>
        <w:gridCol w:w="886"/>
        <w:gridCol w:w="1118"/>
        <w:gridCol w:w="982"/>
        <w:gridCol w:w="804"/>
        <w:gridCol w:w="1037"/>
      </w:tblGrid>
      <w:tr w:rsidR="009E4C75">
        <w:trPr>
          <w:cantSplit/>
          <w:trHeight w:hRule="exact" w:val="652"/>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lastRenderedPageBreak/>
              <w:t>序号</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学校名称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春季午托管理经费补助</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春季课后服务经费补助</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秋季课后服务经费补助</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青少年宫活动经费补助</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其他开办费用</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合计金额</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9E4C75">
            <w:pPr>
              <w:spacing w:line="240" w:lineRule="auto"/>
              <w:ind w:firstLine="320"/>
              <w:jc w:val="center"/>
              <w:rPr>
                <w:rFonts w:cs="宋体"/>
                <w:color w:val="000000"/>
                <w:sz w:val="16"/>
                <w:szCs w:val="16"/>
              </w:rPr>
            </w:pP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合计</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sz w:val="16"/>
                <w:szCs w:val="16"/>
              </w:rPr>
            </w:pPr>
            <w:r>
              <w:rPr>
                <w:rFonts w:ascii="Calibri" w:hAnsi="Calibri" w:cs="Calibri"/>
                <w:color w:val="000000"/>
                <w:kern w:val="0"/>
                <w:sz w:val="16"/>
                <w:szCs w:val="16"/>
                <w:lang/>
              </w:rPr>
              <w:t>1,371,875.00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sz w:val="16"/>
                <w:szCs w:val="16"/>
              </w:rPr>
            </w:pPr>
            <w:r>
              <w:rPr>
                <w:rFonts w:ascii="Calibri" w:hAnsi="Calibri" w:cs="Calibri"/>
                <w:color w:val="000000"/>
                <w:kern w:val="0"/>
                <w:sz w:val="16"/>
                <w:szCs w:val="16"/>
                <w:lang/>
              </w:rPr>
              <w:t>625,195.00</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sz w:val="16"/>
                <w:szCs w:val="16"/>
              </w:rPr>
            </w:pPr>
            <w:r>
              <w:rPr>
                <w:rFonts w:ascii="Calibri" w:hAnsi="Calibri" w:cs="Calibri"/>
                <w:color w:val="000000"/>
                <w:kern w:val="0"/>
                <w:sz w:val="16"/>
                <w:szCs w:val="16"/>
                <w:lang/>
              </w:rPr>
              <w:t>2,437,000.00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sz w:val="16"/>
                <w:szCs w:val="16"/>
              </w:rPr>
            </w:pPr>
            <w:r>
              <w:rPr>
                <w:rFonts w:ascii="Calibri" w:hAnsi="Calibri" w:cs="Calibri"/>
                <w:color w:val="000000"/>
                <w:kern w:val="0"/>
                <w:sz w:val="16"/>
                <w:szCs w:val="16"/>
                <w:lang/>
              </w:rPr>
              <w:t>2,050,000.00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sz w:val="16"/>
                <w:szCs w:val="16"/>
              </w:rPr>
            </w:pPr>
            <w:r>
              <w:rPr>
                <w:rFonts w:ascii="Calibri" w:hAnsi="Calibri" w:cs="Calibri"/>
                <w:color w:val="000000"/>
                <w:kern w:val="0"/>
                <w:sz w:val="16"/>
                <w:szCs w:val="16"/>
                <w:lang/>
              </w:rPr>
              <w:t>40,000.00</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sz w:val="16"/>
                <w:szCs w:val="16"/>
              </w:rPr>
            </w:pPr>
            <w:r>
              <w:rPr>
                <w:rFonts w:ascii="Calibri" w:hAnsi="Calibri" w:cs="Calibri"/>
                <w:color w:val="000000"/>
                <w:kern w:val="0"/>
                <w:sz w:val="16"/>
                <w:szCs w:val="16"/>
                <w:lang/>
              </w:rPr>
              <w:t>6,524,070.00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石狮市凤里街道宽仁小学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58,625.00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108,625.00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石狮市凤里街道五星小学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69,750.00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119,750.00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3</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石狮市大仑中心小学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9,375.00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59,375.00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4</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石狮市湖滨街道办事处林边小学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20,875.00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70,875.00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5</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石狮市湖滨街道办事处长福小学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29,500.00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79,500.00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6</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石狮市新湖中心小学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46,250.00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96,250.00</w:t>
            </w:r>
          </w:p>
        </w:tc>
      </w:tr>
      <w:tr w:rsidR="009E4C75">
        <w:trPr>
          <w:cantSplit/>
          <w:trHeight w:hRule="exact" w:val="58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7</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厦门外国语学校石狮分校附属小学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46,500.00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46,500.00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8</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石狮市灵秀镇塘园小学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62,250.00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112,250.00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9</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石狮市灵秀镇古洋小学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10</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石狮市灵秀镇华山小学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12,500.00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12,500.00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11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石狮市灵秀镇塔前小学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12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石狮市灵秀镇港塘小学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123,875.00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173,875.00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13</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石狮市宝盖镇前坑小学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10,875.00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10,875.00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14</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石狮市宝盖镇塘边小学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15</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石狮市龟湖中心小学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54,750.00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104,750.00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16</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石狮市宝盖镇桃源小学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11,625.00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11,625.00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17</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石狮市教师进修学校附属小学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53,875.00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103,875.00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18</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石狮市蚶江镇莲埭小学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19</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石狮市蚶江镇洪窟小学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20</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石狮市蚶江镇峰山小学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21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石狮市蚶江中心小学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22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石狮市永宁中心小学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23</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石狮市祥芝镇大堡小学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37,500.00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87,500.00</w:t>
            </w:r>
          </w:p>
        </w:tc>
      </w:tr>
      <w:tr w:rsidR="009E4C75">
        <w:trPr>
          <w:cantSplit/>
          <w:trHeight w:hRule="exact" w:val="652"/>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24</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泉州师范学院附属小学石狮校区</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10,625.00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60,625.00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25</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石狮市祥芝镇莲坂小学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35,250.00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85,250.00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26</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石狮市祥芝镇紫湖小学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16,625.00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66,625.00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27</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石狮市祥芝中心小学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28,125.00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78,125.00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lastRenderedPageBreak/>
              <w:t>28</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石狮市鸿山镇锦林小学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29</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石狮市鸿山镇鸿山小学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16,625.00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16,625.00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30</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石狮市福民中心小学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26,940.00</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112,125.00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189,065.00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31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石狮市锦尚镇锦里小学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32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石狮市锦尚镇琼山中心小学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33</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石狮市实验小学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67,500.00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197,000.00</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197,000.00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511,500.00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34</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石狮市第二实验小学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152,500.00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93,750.00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296,250.00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35</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石狮市第三实验小学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218,750.00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12,875.00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281,625.00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36</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石狮市鹏山师范附属小学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47,625.00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97,625.00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37</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石狮市第三中学附属小学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25,000.00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75,000.00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38</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石狮市锦峰实验学校</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150,000.00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29,040.00</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173,875.00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402,915.00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39</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石狮市仁爱学校</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10,750.00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10,750.00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40</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石狮市实验中学附属小学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299,125.00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294,125.00</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323,500.00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966,750.00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41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石狮市第四实验小学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24,840.00</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137,750.00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212,590.00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42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石狮市第五实验小学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260,250.00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76,500.00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386,750.00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43</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石狮市第六实验小学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121,250.00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66,625.00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237,875.00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44</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石狮市实验小学蚶江校区</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r>
      <w:tr w:rsidR="009E4C75">
        <w:trPr>
          <w:cantSplit/>
          <w:trHeight w:hRule="exact" w:val="625"/>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45</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石狮市实验中学附属小学东明校区</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102,500.00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53,250.00</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94,250.00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300,000.00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46</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石狮市第三实验小学复光校区</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320"/>
              <w:jc w:val="center"/>
              <w:textAlignment w:val="center"/>
              <w:rPr>
                <w:rFonts w:cs="宋体"/>
                <w:color w:val="000000"/>
                <w:sz w:val="16"/>
                <w:szCs w:val="16"/>
              </w:rPr>
            </w:pPr>
            <w:r>
              <w:rPr>
                <w:rFonts w:cs="宋体" w:hint="eastAsia"/>
                <w:color w:val="000000"/>
                <w:kern w:val="0"/>
                <w:sz w:val="16"/>
                <w:szCs w:val="16"/>
                <w:lang/>
              </w:rPr>
              <w:t>47</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石狮市教育局</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310,000.00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40,000.00</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400,000.00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石狮市教育局</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40,000.00</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40,000.00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石狮市中英文实验学校</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250,000.00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250,000.00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（3）</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石狮市自然门学校</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30,000.00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50,000.00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80,000.00</w:t>
            </w:r>
          </w:p>
        </w:tc>
      </w:tr>
      <w:tr w:rsidR="009E4C75">
        <w:trPr>
          <w:cantSplit/>
          <w:trHeight w:hRule="exact" w:val="454"/>
        </w:trPr>
        <w:tc>
          <w:tcPr>
            <w:tcW w:w="59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（4）</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cs="宋体"/>
                <w:color w:val="000000"/>
                <w:sz w:val="16"/>
                <w:szCs w:val="16"/>
              </w:rPr>
            </w:pPr>
            <w:r>
              <w:rPr>
                <w:rFonts w:cs="宋体" w:hint="eastAsia"/>
                <w:color w:val="000000"/>
                <w:kern w:val="0"/>
                <w:sz w:val="16"/>
                <w:szCs w:val="16"/>
                <w:lang/>
              </w:rPr>
              <w:t>石狮行实小学</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30,000.00</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9E4C75">
            <w:pPr>
              <w:widowControl/>
              <w:spacing w:line="240" w:lineRule="auto"/>
              <w:ind w:firstLineChars="0" w:firstLine="0"/>
              <w:jc w:val="center"/>
              <w:textAlignment w:val="center"/>
              <w:rPr>
                <w:rFonts w:ascii="Calibri" w:hAnsi="Calibri" w:cs="Calibri"/>
                <w:color w:val="000000"/>
                <w:kern w:val="0"/>
                <w:sz w:val="16"/>
                <w:szCs w:val="16"/>
                <w:lang/>
              </w:rPr>
            </w:pP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E4C75" w:rsidRDefault="00A93C38">
            <w:pPr>
              <w:widowControl/>
              <w:spacing w:line="240" w:lineRule="auto"/>
              <w:ind w:firstLineChars="0" w:firstLine="0"/>
              <w:jc w:val="center"/>
              <w:textAlignment w:val="center"/>
              <w:rPr>
                <w:rFonts w:ascii="Calibri" w:hAnsi="Calibri" w:cs="Calibri"/>
                <w:color w:val="000000"/>
                <w:kern w:val="0"/>
                <w:sz w:val="16"/>
                <w:szCs w:val="16"/>
                <w:lang/>
              </w:rPr>
            </w:pPr>
            <w:r>
              <w:rPr>
                <w:rFonts w:ascii="Calibri" w:hAnsi="Calibri" w:cs="Calibri" w:hint="eastAsia"/>
                <w:color w:val="000000"/>
                <w:kern w:val="0"/>
                <w:sz w:val="16"/>
                <w:szCs w:val="16"/>
                <w:lang/>
              </w:rPr>
              <w:t>30,000.00</w:t>
            </w:r>
          </w:p>
        </w:tc>
      </w:tr>
    </w:tbl>
    <w:p w:rsidR="009E4C75" w:rsidRDefault="00A93C38">
      <w:pPr>
        <w:pStyle w:val="11"/>
        <w:numPr>
          <w:ilvl w:val="0"/>
          <w:numId w:val="6"/>
        </w:numPr>
        <w:ind w:firstLineChars="0"/>
        <w:rPr>
          <w:rFonts w:ascii="黑体" w:eastAsia="黑体" w:hAnsi="黑体"/>
        </w:rPr>
      </w:pPr>
      <w:r>
        <w:rPr>
          <w:rFonts w:ascii="黑体" w:eastAsia="黑体" w:hAnsi="黑体"/>
        </w:rPr>
        <w:t>资金使用合法性、合规性</w:t>
      </w:r>
    </w:p>
    <w:p w:rsidR="009E4C75" w:rsidRDefault="00A93C38">
      <w:pPr>
        <w:ind w:firstLine="480"/>
      </w:pPr>
      <w:r>
        <w:rPr>
          <w:rFonts w:hint="eastAsia"/>
        </w:rPr>
        <w:t>石狮市教育局对专项资金的使用进行监督，促使各参与课后服务学校合法、合规使用专项资金，发挥资金效益。石狮市</w:t>
      </w:r>
      <w:r>
        <w:t>参与课后服务项目的学校，</w:t>
      </w:r>
      <w:r>
        <w:rPr>
          <w:rFonts w:hint="eastAsia"/>
        </w:rPr>
        <w:t>应通过学校公示栏、网站、微信公众号等方式公示课后服务项目情况。专项资金应当实行专款专用，不得用于与项目无关的支出。</w:t>
      </w:r>
    </w:p>
    <w:p w:rsidR="009E4C75" w:rsidRDefault="00A93C38">
      <w:pPr>
        <w:ind w:firstLine="480"/>
      </w:pPr>
      <w:r>
        <w:rPr>
          <w:rFonts w:hint="eastAsia"/>
        </w:rPr>
        <w:t>根据绩效评价工作小组随机抽样、现场调查，石狮市</w:t>
      </w:r>
      <w:r>
        <w:t>参与课后服务项目的学</w:t>
      </w:r>
      <w:r>
        <w:lastRenderedPageBreak/>
        <w:t>校</w:t>
      </w:r>
      <w:r>
        <w:rPr>
          <w:rFonts w:hint="eastAsia"/>
        </w:rPr>
        <w:t>建立了财务管理制度，设置了专门会计科目对课后服务项目进行专门核算。</w:t>
      </w:r>
    </w:p>
    <w:p w:rsidR="009E4C75" w:rsidRDefault="00A93C38">
      <w:pPr>
        <w:pStyle w:val="1"/>
        <w:numPr>
          <w:ilvl w:val="0"/>
          <w:numId w:val="1"/>
        </w:numPr>
        <w:ind w:left="0" w:firstLine="0"/>
      </w:pPr>
      <w:bookmarkStart w:id="12" w:name="_Toc6469"/>
      <w:r>
        <w:rPr>
          <w:rFonts w:hint="eastAsia"/>
        </w:rPr>
        <w:t>石狮市</w:t>
      </w:r>
      <w:r>
        <w:t>课后服务</w:t>
      </w:r>
      <w:r>
        <w:rPr>
          <w:rFonts w:hint="eastAsia"/>
        </w:rPr>
        <w:t>专项资金绩效评价</w:t>
      </w:r>
      <w:bookmarkEnd w:id="12"/>
    </w:p>
    <w:p w:rsidR="009E4C75" w:rsidRDefault="00A93C38">
      <w:pPr>
        <w:ind w:firstLine="480"/>
      </w:pPr>
      <w:r>
        <w:rPr>
          <w:rFonts w:hint="eastAsia"/>
        </w:rPr>
        <w:t>绩效评价工作小组根据《石狮市财政局关于开展2018年度财政支出绩效重点评价工作的通知》（狮财绩〔2019〕2号），对石狮市</w:t>
      </w:r>
      <w:r>
        <w:t>课后服务</w:t>
      </w:r>
      <w:r>
        <w:rPr>
          <w:rFonts w:hint="eastAsia"/>
        </w:rPr>
        <w:t>专项资金的绩效主要从项目管理、投入、过程、产出与效益四个方面着手进行评价，权重分别为10%、</w:t>
      </w:r>
      <w:r>
        <w:t>20%、20%、</w:t>
      </w:r>
      <w:r>
        <w:rPr>
          <w:rFonts w:hint="eastAsia"/>
        </w:rPr>
        <w:t>5</w:t>
      </w:r>
      <w:r>
        <w:t>0%</w:t>
      </w:r>
      <w:r>
        <w:rPr>
          <w:rFonts w:hint="eastAsia"/>
        </w:rPr>
        <w:t>。</w:t>
      </w:r>
    </w:p>
    <w:p w:rsidR="009E4C75" w:rsidRDefault="00A93C38">
      <w:pPr>
        <w:pStyle w:val="2"/>
        <w:numPr>
          <w:ilvl w:val="0"/>
          <w:numId w:val="7"/>
        </w:numPr>
        <w:ind w:firstLineChars="0"/>
        <w:rPr>
          <w:b w:val="0"/>
          <w:sz w:val="28"/>
          <w:szCs w:val="28"/>
        </w:rPr>
      </w:pPr>
      <w:bookmarkStart w:id="13" w:name="_Toc8163"/>
      <w:r>
        <w:rPr>
          <w:rFonts w:hint="eastAsia"/>
          <w:b w:val="0"/>
          <w:sz w:val="28"/>
          <w:szCs w:val="28"/>
        </w:rPr>
        <w:t>项目管理情况（权重1</w:t>
      </w:r>
      <w:r>
        <w:rPr>
          <w:b w:val="0"/>
          <w:sz w:val="28"/>
          <w:szCs w:val="28"/>
        </w:rPr>
        <w:t>0</w:t>
      </w:r>
      <w:r>
        <w:rPr>
          <w:rFonts w:hint="eastAsia"/>
          <w:b w:val="0"/>
          <w:sz w:val="28"/>
          <w:szCs w:val="28"/>
        </w:rPr>
        <w:t>%）</w:t>
      </w:r>
      <w:bookmarkEnd w:id="13"/>
    </w:p>
    <w:p w:rsidR="009E4C75" w:rsidRDefault="00A93C38">
      <w:pPr>
        <w:ind w:firstLine="480"/>
      </w:pPr>
      <w:r>
        <w:rPr>
          <w:rFonts w:hint="eastAsia"/>
        </w:rPr>
        <w:t>项目管理设置项目目标二级指标，主要从目标制定</w:t>
      </w:r>
      <w:r>
        <w:t>情况</w:t>
      </w:r>
      <w:r>
        <w:rPr>
          <w:rFonts w:hint="eastAsia"/>
        </w:rPr>
        <w:t>、目标完成</w:t>
      </w:r>
      <w:r>
        <w:t>情况</w:t>
      </w:r>
      <w:r>
        <w:rPr>
          <w:rFonts w:hint="eastAsia"/>
        </w:rPr>
        <w:t>、管理制度保障情况三方面进行绩效评价。</w:t>
      </w:r>
    </w:p>
    <w:p w:rsidR="009E4C75" w:rsidRDefault="00A93C38">
      <w:pPr>
        <w:pStyle w:val="11"/>
        <w:numPr>
          <w:ilvl w:val="0"/>
          <w:numId w:val="8"/>
        </w:numPr>
        <w:ind w:firstLineChars="0"/>
        <w:rPr>
          <w:rFonts w:ascii="黑体" w:eastAsia="黑体" w:hAnsi="黑体"/>
        </w:rPr>
      </w:pPr>
      <w:r>
        <w:rPr>
          <w:rFonts w:ascii="黑体" w:eastAsia="黑体" w:hAnsi="黑体" w:hint="eastAsia"/>
        </w:rPr>
        <w:t>目标制定情况（分值为3分）</w:t>
      </w:r>
    </w:p>
    <w:p w:rsidR="009E4C75" w:rsidRDefault="00A93C38">
      <w:pPr>
        <w:ind w:firstLineChars="0" w:firstLine="480"/>
      </w:pPr>
      <w:r>
        <w:rPr>
          <w:rFonts w:hint="eastAsia"/>
        </w:rPr>
        <w:t>该指标主要考核项目绩效目标是否设立、目标是否明确并细化等情况，从项目是否按照规定的程序申请设立、绩效目标是否明确且具有可操作性和事前是否已经过必要的可行性研究、专家论证、风险评估、集体决策等三方面进行评价。</w:t>
      </w:r>
    </w:p>
    <w:p w:rsidR="009E4C75" w:rsidRDefault="00A93C38">
      <w:pPr>
        <w:ind w:firstLineChars="0" w:firstLine="480"/>
      </w:pPr>
      <w:r>
        <w:rPr>
          <w:rFonts w:hint="eastAsia"/>
        </w:rPr>
        <w:t>课后服务项目按程序设立绩效目标，主要绩效目标有：参加课后服务学校数44所、学生参加课后服务40000人次、课后服务质量优良、安全管理、缓解交通压力、增加人民群众的获得感和幸福感、促进学生全面发展等。绩效目标较明确，事前经过必要的可行性研究、评估，故本项得分</w:t>
      </w:r>
      <w:r>
        <w:t>3</w:t>
      </w:r>
      <w:r>
        <w:rPr>
          <w:rFonts w:hint="eastAsia"/>
        </w:rPr>
        <w:t>分。</w:t>
      </w:r>
    </w:p>
    <w:p w:rsidR="009E4C75" w:rsidRDefault="00A93C38">
      <w:pPr>
        <w:pStyle w:val="11"/>
        <w:numPr>
          <w:ilvl w:val="0"/>
          <w:numId w:val="8"/>
        </w:numPr>
        <w:ind w:firstLineChars="0"/>
        <w:rPr>
          <w:rFonts w:ascii="黑体" w:eastAsia="黑体" w:hAnsi="黑体"/>
        </w:rPr>
      </w:pPr>
      <w:r>
        <w:rPr>
          <w:rFonts w:ascii="黑体" w:eastAsia="黑体" w:hAnsi="黑体" w:hint="eastAsia"/>
        </w:rPr>
        <w:t>目标完成情况（分值为3分）</w:t>
      </w:r>
    </w:p>
    <w:p w:rsidR="009E4C75" w:rsidRDefault="00A93C38">
      <w:pPr>
        <w:ind w:firstLineChars="0" w:firstLine="0"/>
      </w:pPr>
      <w:r>
        <w:rPr>
          <w:rFonts w:hint="eastAsia"/>
        </w:rPr>
        <w:t xml:space="preserve">   该指标主要考核目标是否按时完成。开展课后服务，缓解</w:t>
      </w:r>
      <w:r>
        <w:t>了</w:t>
      </w:r>
      <w:r>
        <w:rPr>
          <w:rFonts w:hint="eastAsia"/>
        </w:rPr>
        <w:t>学校放学时段交通拥堵压力，减轻学生课外负担，培养学生兴趣爱好，提高教育服务能力，解除部分群众、职工后顾之忧，增强人民群众的获得感和幸福感，但大部分学校未引进第三方服务的学校，教师的压力较大。故本项为部分按时完成，得分2分。</w:t>
      </w:r>
    </w:p>
    <w:p w:rsidR="009E4C75" w:rsidRDefault="00A93C38">
      <w:pPr>
        <w:numPr>
          <w:ilvl w:val="0"/>
          <w:numId w:val="8"/>
        </w:numPr>
        <w:ind w:firstLineChars="0"/>
        <w:rPr>
          <w:rFonts w:ascii="黑体" w:eastAsia="黑体" w:hAnsi="黑体"/>
        </w:rPr>
      </w:pPr>
      <w:r>
        <w:rPr>
          <w:rFonts w:ascii="黑体" w:eastAsia="黑体" w:hAnsi="黑体" w:hint="eastAsia"/>
        </w:rPr>
        <w:t>管理制度保障情况（4分）</w:t>
      </w:r>
    </w:p>
    <w:p w:rsidR="009E4C75" w:rsidRDefault="00A93C38">
      <w:pPr>
        <w:ind w:firstLine="480"/>
      </w:pPr>
      <w:r>
        <w:rPr>
          <w:rFonts w:hint="eastAsia"/>
        </w:rPr>
        <w:t>管理制度保障情况从是否制定或具有相应的业务管理制度、管理制度是否健全以及是否得到有效执行三方面评价。</w:t>
      </w:r>
    </w:p>
    <w:p w:rsidR="009E4C75" w:rsidRDefault="00A93C38">
      <w:pPr>
        <w:numPr>
          <w:ilvl w:val="0"/>
          <w:numId w:val="9"/>
        </w:numPr>
        <w:ind w:firstLine="480"/>
      </w:pPr>
      <w:r>
        <w:rPr>
          <w:rFonts w:hint="eastAsia"/>
        </w:rPr>
        <w:t>经</w:t>
      </w:r>
      <w:r>
        <w:t>抽查</w:t>
      </w:r>
      <w:r>
        <w:rPr>
          <w:rFonts w:hint="eastAsia"/>
        </w:rPr>
        <w:t>，参与课后服务学校提供了学校管理制度和财务管理制度，在根本上保证本项目“有法可依”。</w:t>
      </w:r>
    </w:p>
    <w:p w:rsidR="009E4C75" w:rsidRDefault="00A93C38">
      <w:pPr>
        <w:numPr>
          <w:ilvl w:val="0"/>
          <w:numId w:val="9"/>
        </w:numPr>
        <w:ind w:firstLine="480"/>
      </w:pPr>
      <w:r>
        <w:rPr>
          <w:rFonts w:hint="eastAsia"/>
        </w:rPr>
        <w:lastRenderedPageBreak/>
        <w:t>石狮市人民政府办公室印发狮政办〔2018〕68号《石狮市小学生课后服务工作实施方案的通知》，各参与课后服务学校制定了相关管理制度，基本上按课后服务工作实施方案及相关制度执行。</w:t>
      </w:r>
    </w:p>
    <w:p w:rsidR="009E4C75" w:rsidRDefault="00A93C38">
      <w:pPr>
        <w:ind w:firstLine="480"/>
      </w:pPr>
      <w:r>
        <w:rPr>
          <w:rFonts w:hint="eastAsia"/>
        </w:rPr>
        <w:t>综上，本项得分</w:t>
      </w:r>
      <w:r>
        <w:t>3</w:t>
      </w:r>
      <w:r>
        <w:rPr>
          <w:rFonts w:hint="eastAsia"/>
        </w:rPr>
        <w:t>分。</w:t>
      </w:r>
    </w:p>
    <w:p w:rsidR="009E4C75" w:rsidRDefault="00A93C38">
      <w:pPr>
        <w:pStyle w:val="2"/>
        <w:numPr>
          <w:ilvl w:val="0"/>
          <w:numId w:val="7"/>
        </w:numPr>
        <w:ind w:firstLineChars="0"/>
        <w:rPr>
          <w:b w:val="0"/>
          <w:sz w:val="28"/>
          <w:szCs w:val="28"/>
        </w:rPr>
      </w:pPr>
      <w:bookmarkStart w:id="14" w:name="_Toc2693"/>
      <w:r>
        <w:rPr>
          <w:rFonts w:hint="eastAsia"/>
          <w:b w:val="0"/>
          <w:sz w:val="28"/>
          <w:szCs w:val="28"/>
        </w:rPr>
        <w:t>投入情况的评价（权重2</w:t>
      </w:r>
      <w:r>
        <w:rPr>
          <w:b w:val="0"/>
          <w:sz w:val="28"/>
          <w:szCs w:val="28"/>
        </w:rPr>
        <w:t>0</w:t>
      </w:r>
      <w:r>
        <w:rPr>
          <w:rFonts w:hint="eastAsia"/>
          <w:b w:val="0"/>
          <w:sz w:val="28"/>
          <w:szCs w:val="28"/>
        </w:rPr>
        <w:t>%）</w:t>
      </w:r>
      <w:bookmarkEnd w:id="14"/>
    </w:p>
    <w:p w:rsidR="009E4C75" w:rsidRDefault="00A93C38">
      <w:pPr>
        <w:ind w:firstLine="480"/>
      </w:pPr>
      <w:r>
        <w:rPr>
          <w:rFonts w:hint="eastAsia"/>
        </w:rPr>
        <w:t>投入情况分为资金到位和资金管理两个二级指标，其中资金到位指标权重为5%，从资金到位率和到位时效两方面进行评价；资金管理指标权重为15%，从资金使用、资金拨付、成本控制、财务管理等四个方面进行评价</w:t>
      </w:r>
    </w:p>
    <w:p w:rsidR="009E4C75" w:rsidRDefault="00A93C38">
      <w:pPr>
        <w:numPr>
          <w:ilvl w:val="0"/>
          <w:numId w:val="10"/>
        </w:numPr>
        <w:ind w:firstLine="480"/>
        <w:rPr>
          <w:rFonts w:ascii="黑体" w:eastAsia="黑体" w:hAnsi="黑体" w:cs="黑体"/>
        </w:rPr>
      </w:pPr>
      <w:r>
        <w:rPr>
          <w:rFonts w:ascii="黑体" w:eastAsia="黑体" w:hAnsi="黑体" w:cs="黑体" w:hint="eastAsia"/>
        </w:rPr>
        <w:t>资金到位率（分值3分）</w:t>
      </w:r>
    </w:p>
    <w:p w:rsidR="009E4C75" w:rsidRDefault="00A93C38">
      <w:pPr>
        <w:ind w:firstLineChars="0" w:firstLine="480"/>
      </w:pPr>
      <w:r>
        <w:rPr>
          <w:rFonts w:hint="eastAsia"/>
        </w:rPr>
        <w:t>资金到位率=实际到位资金/计划到位资金</w:t>
      </w:r>
      <w:r>
        <w:rPr>
          <w:rFonts w:hint="eastAsia"/>
          <w:color w:val="000000" w:themeColor="text1"/>
        </w:rPr>
        <w:t>×</w:t>
      </w:r>
      <w:r>
        <w:rPr>
          <w:rFonts w:hint="eastAsia"/>
        </w:rPr>
        <w:t>100%。通过计算项目实际到位资金占计划的比重，对资金到位情况进行评价。</w:t>
      </w:r>
    </w:p>
    <w:p w:rsidR="009E4C75" w:rsidRDefault="00A93C38">
      <w:pPr>
        <w:ind w:firstLineChars="0" w:firstLine="480"/>
        <w:rPr>
          <w:color w:val="000000" w:themeColor="text1"/>
        </w:rPr>
      </w:pPr>
      <w:r>
        <w:rPr>
          <w:rFonts w:hint="eastAsia"/>
          <w:color w:val="000000" w:themeColor="text1"/>
        </w:rPr>
        <w:t>资金到位率=652.41/700×100%=93.20%</w:t>
      </w:r>
      <w:r>
        <w:rPr>
          <w:color w:val="000000" w:themeColor="text1"/>
        </w:rPr>
        <w:t>，</w:t>
      </w:r>
      <w:r>
        <w:rPr>
          <w:rFonts w:hint="eastAsia"/>
          <w:color w:val="000000" w:themeColor="text1"/>
        </w:rPr>
        <w:t>大于90%，该指标得分3分。</w:t>
      </w:r>
    </w:p>
    <w:p w:rsidR="009E4C75" w:rsidRDefault="00A93C38">
      <w:pPr>
        <w:numPr>
          <w:ilvl w:val="0"/>
          <w:numId w:val="10"/>
        </w:numPr>
        <w:ind w:firstLine="480"/>
        <w:rPr>
          <w:rFonts w:ascii="黑体" w:eastAsia="黑体" w:hAnsi="黑体" w:cs="黑体"/>
        </w:rPr>
      </w:pPr>
      <w:r>
        <w:rPr>
          <w:rFonts w:ascii="黑体" w:eastAsia="黑体" w:hAnsi="黑体" w:cs="黑体" w:hint="eastAsia"/>
        </w:rPr>
        <w:t>到位时效情况（分值2分）</w:t>
      </w:r>
    </w:p>
    <w:p w:rsidR="009E4C75" w:rsidRDefault="00A93C38">
      <w:pPr>
        <w:ind w:firstLineChars="0" w:firstLine="480"/>
      </w:pPr>
      <w:r>
        <w:rPr>
          <w:rFonts w:hint="eastAsia"/>
        </w:rPr>
        <w:t>到位时效指标评价资金到位是否及时、是否影响项目进度。石狮</w:t>
      </w:r>
      <w:r>
        <w:t>市课后服务项</w:t>
      </w:r>
      <w:r>
        <w:rPr>
          <w:color w:val="000000" w:themeColor="text1"/>
        </w:rPr>
        <w:t>目资金由财政局统一下拨至学校，</w:t>
      </w:r>
      <w:r>
        <w:t>通过银行转账，资金拨付及时，</w:t>
      </w:r>
      <w:r>
        <w:rPr>
          <w:rFonts w:hint="eastAsia"/>
        </w:rPr>
        <w:t>本项得分</w:t>
      </w:r>
      <w:r>
        <w:t>2</w:t>
      </w:r>
      <w:r>
        <w:rPr>
          <w:rFonts w:hint="eastAsia"/>
        </w:rPr>
        <w:t>分。</w:t>
      </w:r>
    </w:p>
    <w:p w:rsidR="009E4C75" w:rsidRDefault="00A93C38">
      <w:pPr>
        <w:numPr>
          <w:ilvl w:val="0"/>
          <w:numId w:val="10"/>
        </w:numPr>
        <w:ind w:firstLine="480"/>
        <w:rPr>
          <w:rFonts w:ascii="黑体" w:eastAsia="黑体" w:hAnsi="黑体" w:cs="黑体"/>
        </w:rPr>
      </w:pPr>
      <w:r>
        <w:rPr>
          <w:rFonts w:ascii="黑体" w:eastAsia="黑体" w:hAnsi="黑体" w:cs="黑体" w:hint="eastAsia"/>
        </w:rPr>
        <w:t>资金使用情况（5分）</w:t>
      </w:r>
    </w:p>
    <w:p w:rsidR="009E4C75" w:rsidRDefault="00A93C38">
      <w:pPr>
        <w:ind w:firstLine="480"/>
      </w:pPr>
      <w:r>
        <w:rPr>
          <w:rFonts w:hint="eastAsia"/>
        </w:rPr>
        <w:t>资金使用情况指标主要评价项目支出</w:t>
      </w:r>
      <w:r>
        <w:t>是否存在依据不合规、虚列项目支出的情况；是否存在截留、挤占、挪用项目资金情况；是否存在超标准开支情况</w:t>
      </w:r>
      <w:r>
        <w:rPr>
          <w:rFonts w:hint="eastAsia"/>
        </w:rPr>
        <w:t>。</w:t>
      </w:r>
    </w:p>
    <w:p w:rsidR="009E4C75" w:rsidRDefault="00A93C38">
      <w:pPr>
        <w:ind w:firstLine="480"/>
      </w:pPr>
      <w:r>
        <w:t>抽查5所小学</w:t>
      </w:r>
      <w:r>
        <w:rPr>
          <w:rFonts w:hint="eastAsia"/>
        </w:rPr>
        <w:t>会计凭证、明细账等会计核算资料，未发现虚列支出、挤占挪用资金等情况。本项得分5分。</w:t>
      </w:r>
    </w:p>
    <w:p w:rsidR="009E4C75" w:rsidRDefault="00A93C38">
      <w:pPr>
        <w:numPr>
          <w:ilvl w:val="0"/>
          <w:numId w:val="10"/>
        </w:numPr>
        <w:ind w:firstLine="480"/>
        <w:rPr>
          <w:rFonts w:ascii="黑体" w:eastAsia="黑体" w:hAnsi="黑体" w:cs="黑体"/>
        </w:rPr>
      </w:pPr>
      <w:r>
        <w:rPr>
          <w:rFonts w:ascii="黑体" w:eastAsia="黑体" w:hAnsi="黑体" w:cs="黑体" w:hint="eastAsia"/>
        </w:rPr>
        <w:t>资金拨付情况（3分）</w:t>
      </w:r>
    </w:p>
    <w:p w:rsidR="009E4C75" w:rsidRDefault="00A93C38">
      <w:pPr>
        <w:ind w:firstLine="480"/>
      </w:pPr>
      <w:r>
        <w:t>资金拨付</w:t>
      </w:r>
      <w:r>
        <w:rPr>
          <w:rFonts w:hint="eastAsia"/>
        </w:rPr>
        <w:t>指标评价资金拨付</w:t>
      </w:r>
      <w:r>
        <w:t>是否及时，是否通过银行转账</w:t>
      </w:r>
      <w:r>
        <w:rPr>
          <w:rFonts w:hint="eastAsia"/>
        </w:rPr>
        <w:t>。经检查，参与课后服务学校将该专项资金主要用于课后服务教师报酬、课后服务硬件配置及支付第三方机构费用等。资金拨付较及时，本项得分3分。</w:t>
      </w:r>
    </w:p>
    <w:p w:rsidR="009E4C75" w:rsidRDefault="00A93C38">
      <w:pPr>
        <w:pStyle w:val="11"/>
        <w:ind w:left="480" w:firstLineChars="0" w:firstLine="0"/>
        <w:rPr>
          <w:rFonts w:ascii="黑体" w:eastAsia="黑体" w:hAnsi="黑体"/>
        </w:rPr>
      </w:pPr>
      <w:r>
        <w:rPr>
          <w:rFonts w:ascii="黑体" w:eastAsia="黑体" w:hAnsi="黑体" w:hint="eastAsia"/>
        </w:rPr>
        <w:t>5.成本控制情况</w:t>
      </w:r>
      <w:r>
        <w:rPr>
          <w:rFonts w:ascii="黑体" w:eastAsia="黑体" w:hAnsi="黑体"/>
        </w:rPr>
        <w:t>（</w:t>
      </w:r>
      <w:r>
        <w:rPr>
          <w:rFonts w:ascii="黑体" w:eastAsia="黑体" w:hAnsi="黑体" w:hint="eastAsia"/>
        </w:rPr>
        <w:t>分值为5</w:t>
      </w:r>
      <w:r>
        <w:rPr>
          <w:rFonts w:ascii="黑体" w:eastAsia="黑体" w:hAnsi="黑体"/>
        </w:rPr>
        <w:t>分）</w:t>
      </w:r>
    </w:p>
    <w:p w:rsidR="009E4C75" w:rsidRDefault="00A93C38">
      <w:pPr>
        <w:ind w:firstLine="480"/>
      </w:pPr>
      <w:r>
        <w:rPr>
          <w:rFonts w:hint="eastAsia"/>
        </w:rPr>
        <w:t>成本控制情况主要评价项目成本与概算或预算差异情况。成本控制率＝截至年末累计支出数/概算或当年度预算。截至2018年12月31日，成本控制率＝652.41/700</w:t>
      </w:r>
      <w:r>
        <w:rPr>
          <w:rFonts w:hint="eastAsia"/>
          <w:color w:val="000000" w:themeColor="text1"/>
        </w:rPr>
        <w:t>×</w:t>
      </w:r>
      <w:r>
        <w:rPr>
          <w:rFonts w:hint="eastAsia"/>
        </w:rPr>
        <w:t>100%=93.20%，小于100%，此项得</w:t>
      </w:r>
      <w:r>
        <w:t>5</w:t>
      </w:r>
      <w:r>
        <w:rPr>
          <w:rFonts w:hint="eastAsia"/>
        </w:rPr>
        <w:t>分。</w:t>
      </w:r>
    </w:p>
    <w:p w:rsidR="009E4C75" w:rsidRDefault="00A93C38">
      <w:pPr>
        <w:pStyle w:val="11"/>
        <w:ind w:left="480" w:firstLineChars="0" w:firstLine="0"/>
        <w:rPr>
          <w:rFonts w:ascii="黑体" w:eastAsia="黑体" w:hAnsi="黑体"/>
        </w:rPr>
      </w:pPr>
      <w:r>
        <w:rPr>
          <w:rFonts w:ascii="黑体" w:eastAsia="黑体" w:hAnsi="黑体" w:hint="eastAsia"/>
        </w:rPr>
        <w:lastRenderedPageBreak/>
        <w:t>6.财务管理</w:t>
      </w:r>
      <w:r>
        <w:rPr>
          <w:rFonts w:ascii="黑体" w:eastAsia="黑体" w:hAnsi="黑体"/>
        </w:rPr>
        <w:t>（</w:t>
      </w:r>
      <w:r>
        <w:rPr>
          <w:rFonts w:ascii="黑体" w:eastAsia="黑体" w:hAnsi="黑体" w:hint="eastAsia"/>
        </w:rPr>
        <w:t>分值为2</w:t>
      </w:r>
      <w:r>
        <w:rPr>
          <w:rFonts w:ascii="黑体" w:eastAsia="黑体" w:hAnsi="黑体"/>
        </w:rPr>
        <w:t>分）</w:t>
      </w:r>
    </w:p>
    <w:p w:rsidR="009E4C75" w:rsidRDefault="00A93C38">
      <w:pPr>
        <w:ind w:firstLine="480"/>
      </w:pPr>
      <w:r>
        <w:rPr>
          <w:rFonts w:hint="eastAsia"/>
        </w:rPr>
        <w:t>财务管理情况主要评价资金管理、费用支出等制度是否健全且有效执行。经抽查，参与课后服务学校提供了财务管理制度、明细账等会计核算资料，本项得</w:t>
      </w:r>
      <w:r>
        <w:t>2</w:t>
      </w:r>
      <w:r>
        <w:rPr>
          <w:rFonts w:hint="eastAsia"/>
        </w:rPr>
        <w:t>分。</w:t>
      </w:r>
    </w:p>
    <w:p w:rsidR="009E4C75" w:rsidRDefault="00A93C38">
      <w:pPr>
        <w:pStyle w:val="2"/>
        <w:numPr>
          <w:ilvl w:val="0"/>
          <w:numId w:val="7"/>
        </w:numPr>
        <w:ind w:firstLineChars="0"/>
        <w:rPr>
          <w:b w:val="0"/>
          <w:sz w:val="28"/>
          <w:szCs w:val="28"/>
        </w:rPr>
      </w:pPr>
      <w:bookmarkStart w:id="15" w:name="_Toc94"/>
      <w:r>
        <w:rPr>
          <w:rFonts w:hint="eastAsia"/>
          <w:b w:val="0"/>
          <w:sz w:val="28"/>
          <w:szCs w:val="28"/>
        </w:rPr>
        <w:t>过程管理的评价（权重为2</w:t>
      </w:r>
      <w:r>
        <w:rPr>
          <w:b w:val="0"/>
          <w:sz w:val="28"/>
          <w:szCs w:val="28"/>
        </w:rPr>
        <w:t>0</w:t>
      </w:r>
      <w:r>
        <w:rPr>
          <w:rFonts w:hint="eastAsia"/>
          <w:b w:val="0"/>
          <w:sz w:val="28"/>
          <w:szCs w:val="28"/>
        </w:rPr>
        <w:t>%）</w:t>
      </w:r>
      <w:bookmarkEnd w:id="15"/>
    </w:p>
    <w:p w:rsidR="009E4C75" w:rsidRDefault="00A93C38" w:rsidP="00AC095C">
      <w:pPr>
        <w:ind w:firstLine="480"/>
      </w:pPr>
      <w:r>
        <w:rPr>
          <w:rFonts w:hint="eastAsia"/>
        </w:rPr>
        <w:t>过程管理下设项目实施和会计信息管理两个二级指标，其中项目实施指标权重为16%，会计信息管理指标权重为4%。</w:t>
      </w:r>
    </w:p>
    <w:p w:rsidR="009E4C75" w:rsidRDefault="00A93C38">
      <w:pPr>
        <w:pStyle w:val="11"/>
        <w:numPr>
          <w:ilvl w:val="0"/>
          <w:numId w:val="11"/>
        </w:numPr>
        <w:ind w:firstLineChars="0"/>
        <w:rPr>
          <w:rFonts w:ascii="黑体" w:eastAsia="黑体" w:hAnsi="黑体"/>
        </w:rPr>
      </w:pPr>
      <w:r>
        <w:rPr>
          <w:rFonts w:ascii="黑体" w:eastAsia="黑体" w:hAnsi="黑体" w:hint="eastAsia"/>
        </w:rPr>
        <w:t>项目实施</w:t>
      </w:r>
      <w:r>
        <w:rPr>
          <w:rFonts w:ascii="黑体" w:eastAsia="黑体" w:hAnsi="黑体"/>
        </w:rPr>
        <w:t>（</w:t>
      </w:r>
      <w:r>
        <w:rPr>
          <w:rFonts w:ascii="黑体" w:eastAsia="黑体" w:hAnsi="黑体" w:hint="eastAsia"/>
        </w:rPr>
        <w:t>分值为16</w:t>
      </w:r>
      <w:r>
        <w:rPr>
          <w:rFonts w:ascii="黑体" w:eastAsia="黑体" w:hAnsi="黑体"/>
        </w:rPr>
        <w:t>分）</w:t>
      </w:r>
    </w:p>
    <w:p w:rsidR="009E4C75" w:rsidRDefault="00A93C38">
      <w:pPr>
        <w:ind w:firstLine="480"/>
      </w:pPr>
      <w:r>
        <w:rPr>
          <w:rFonts w:hint="eastAsia"/>
        </w:rPr>
        <w:t>项目实施主要从</w:t>
      </w:r>
      <w:r>
        <w:t>组织机构、实施方案、人员配备、安全管理、服务质量可控性五</w:t>
      </w:r>
      <w:r>
        <w:rPr>
          <w:rFonts w:hint="eastAsia"/>
        </w:rPr>
        <w:t>个方面进行评价。</w:t>
      </w:r>
    </w:p>
    <w:p w:rsidR="009E4C75" w:rsidRDefault="00A93C38">
      <w:pPr>
        <w:pStyle w:val="11"/>
        <w:numPr>
          <w:ilvl w:val="0"/>
          <w:numId w:val="12"/>
        </w:numPr>
        <w:ind w:firstLine="480"/>
      </w:pPr>
      <w:r>
        <w:t>组织</w:t>
      </w:r>
      <w:r>
        <w:rPr>
          <w:rFonts w:hint="eastAsia"/>
        </w:rPr>
        <w:t>机</w:t>
      </w:r>
      <w:r>
        <w:t>构</w:t>
      </w:r>
      <w:r>
        <w:rPr>
          <w:rFonts w:hint="eastAsia"/>
        </w:rPr>
        <w:t>（</w:t>
      </w:r>
      <w:r>
        <w:rPr>
          <w:rFonts w:hint="eastAsia"/>
          <w:kern w:val="0"/>
        </w:rPr>
        <w:t>分值为</w:t>
      </w:r>
      <w:r>
        <w:rPr>
          <w:kern w:val="0"/>
        </w:rPr>
        <w:t>4</w:t>
      </w:r>
      <w:r>
        <w:t>分）</w:t>
      </w:r>
    </w:p>
    <w:p w:rsidR="009E4C75" w:rsidRDefault="00A93C38">
      <w:pPr>
        <w:ind w:firstLine="480"/>
      </w:pPr>
      <w:r>
        <w:t>组织机构通过</w:t>
      </w:r>
      <w:r>
        <w:rPr>
          <w:rFonts w:hint="eastAsia"/>
        </w:rPr>
        <w:t>幼儿园组织机构是否健全，分工是否明确</w:t>
      </w:r>
      <w:r>
        <w:t>进行评价。</w:t>
      </w:r>
      <w:r>
        <w:rPr>
          <w:rFonts w:hint="eastAsia"/>
        </w:rPr>
        <w:t>经抽查，参与课后服务学校大都</w:t>
      </w:r>
      <w:r>
        <w:t>成立课后服务工作领导小组、领导小组办公室</w:t>
      </w:r>
      <w:r>
        <w:rPr>
          <w:rFonts w:hint="eastAsia"/>
        </w:rPr>
        <w:t>，分工较明确</w:t>
      </w:r>
      <w:r>
        <w:t>。此项得分3分。</w:t>
      </w:r>
    </w:p>
    <w:p w:rsidR="009E4C75" w:rsidRDefault="00A93C38">
      <w:pPr>
        <w:pStyle w:val="11"/>
        <w:numPr>
          <w:ilvl w:val="0"/>
          <w:numId w:val="12"/>
        </w:numPr>
        <w:ind w:firstLine="480"/>
      </w:pPr>
      <w:r>
        <w:t>实施方案</w:t>
      </w:r>
      <w:r>
        <w:rPr>
          <w:rFonts w:hint="eastAsia"/>
        </w:rPr>
        <w:t>（</w:t>
      </w:r>
      <w:r>
        <w:rPr>
          <w:rFonts w:hint="eastAsia"/>
          <w:kern w:val="0"/>
        </w:rPr>
        <w:t>分值为</w:t>
      </w:r>
      <w:r>
        <w:rPr>
          <w:kern w:val="0"/>
        </w:rPr>
        <w:t>3</w:t>
      </w:r>
      <w:r>
        <w:t>分）</w:t>
      </w:r>
    </w:p>
    <w:p w:rsidR="009E4C75" w:rsidRDefault="00A93C38">
      <w:pPr>
        <w:ind w:firstLine="480"/>
      </w:pPr>
      <w:r>
        <w:t>实施方案通过</w:t>
      </w:r>
      <w:r>
        <w:rPr>
          <w:rFonts w:hint="eastAsia"/>
        </w:rPr>
        <w:t>是否制定课后服务实施方案，实施方案是否有较强的操作性，实施方案是否得到执行</w:t>
      </w:r>
      <w:r>
        <w:t>进行评价。石狮市人民政府办公室印发狮政办〔2018〕68号《石狮市小学生课后服务工作实施方案的通知》</w:t>
      </w:r>
      <w:r>
        <w:rPr>
          <w:rFonts w:hint="eastAsia"/>
        </w:rPr>
        <w:t>。经抽查，参与课后服务学校</w:t>
      </w:r>
      <w:r>
        <w:t>制定</w:t>
      </w:r>
      <w:r>
        <w:rPr>
          <w:rFonts w:hint="eastAsia"/>
        </w:rPr>
        <w:t>了</w:t>
      </w:r>
      <w:r>
        <w:t>课后服务工作管理制度、课后服务考勤制度、课后服务安全管理制度、制定课后服务监督考核制度等</w:t>
      </w:r>
      <w:r>
        <w:rPr>
          <w:rFonts w:hint="eastAsia"/>
        </w:rPr>
        <w:t>，基本上得到有效执行。</w:t>
      </w:r>
      <w:r>
        <w:t>此项得分2分。</w:t>
      </w:r>
    </w:p>
    <w:p w:rsidR="009E4C75" w:rsidRDefault="00A93C38">
      <w:pPr>
        <w:pStyle w:val="11"/>
        <w:numPr>
          <w:ilvl w:val="0"/>
          <w:numId w:val="12"/>
        </w:numPr>
        <w:ind w:firstLine="480"/>
      </w:pPr>
      <w:r>
        <w:t>人员配备</w:t>
      </w:r>
      <w:r>
        <w:rPr>
          <w:rFonts w:hint="eastAsia"/>
        </w:rPr>
        <w:t>（</w:t>
      </w:r>
      <w:r>
        <w:rPr>
          <w:rFonts w:hint="eastAsia"/>
          <w:kern w:val="0"/>
        </w:rPr>
        <w:t>分值为</w:t>
      </w:r>
      <w:r>
        <w:rPr>
          <w:kern w:val="0"/>
        </w:rPr>
        <w:t>3</w:t>
      </w:r>
      <w:r>
        <w:t>分）</w:t>
      </w:r>
    </w:p>
    <w:p w:rsidR="009E4C75" w:rsidRDefault="00A93C38" w:rsidP="00AC095C">
      <w:pPr>
        <w:pStyle w:val="11"/>
        <w:ind w:firstLine="480"/>
      </w:pPr>
      <w:r>
        <w:rPr>
          <w:rFonts w:hint="eastAsia"/>
        </w:rPr>
        <w:t>人员配备</w:t>
      </w:r>
      <w:r>
        <w:t>通过人员配备</w:t>
      </w:r>
      <w:r>
        <w:rPr>
          <w:rFonts w:hint="eastAsia"/>
        </w:rPr>
        <w:t>是否合理、参与服务人员是否有保障</w:t>
      </w:r>
      <w:r>
        <w:t>进行评价。</w:t>
      </w:r>
    </w:p>
    <w:p w:rsidR="009E4C75" w:rsidRDefault="00A93C38">
      <w:pPr>
        <w:ind w:firstLine="480"/>
      </w:pPr>
      <w:r>
        <w:rPr>
          <w:rFonts w:hint="eastAsia"/>
        </w:rPr>
        <w:t>经询问，</w:t>
      </w:r>
      <w:r>
        <w:t>未引进第三方服务的石狮市第二实验小学、石狮市第三实验小学、石狮第五实验小学，</w:t>
      </w:r>
      <w:r>
        <w:rPr>
          <w:rFonts w:hint="eastAsia"/>
        </w:rPr>
        <w:t>因</w:t>
      </w:r>
      <w:r>
        <w:t>教师</w:t>
      </w:r>
      <w:r>
        <w:rPr>
          <w:rFonts w:hint="eastAsia"/>
        </w:rPr>
        <w:t>除了参与</w:t>
      </w:r>
      <w:r>
        <w:t>午托</w:t>
      </w:r>
      <w:r>
        <w:rPr>
          <w:rFonts w:hint="eastAsia"/>
        </w:rPr>
        <w:t>服务</w:t>
      </w:r>
      <w:r>
        <w:t>，</w:t>
      </w:r>
      <w:r>
        <w:rPr>
          <w:rFonts w:hint="eastAsia"/>
        </w:rPr>
        <w:t>还要参与</w:t>
      </w:r>
      <w:r>
        <w:t>课后服务项目，</w:t>
      </w:r>
      <w:r>
        <w:rPr>
          <w:rFonts w:hint="eastAsia"/>
        </w:rPr>
        <w:t>加上安排课程，</w:t>
      </w:r>
      <w:r>
        <w:t>一天工作时间太长，</w:t>
      </w:r>
      <w:r>
        <w:rPr>
          <w:rFonts w:hint="eastAsia"/>
        </w:rPr>
        <w:t>没有</w:t>
      </w:r>
      <w:r>
        <w:t>得到</w:t>
      </w:r>
      <w:r>
        <w:rPr>
          <w:rFonts w:hint="eastAsia"/>
        </w:rPr>
        <w:t>更</w:t>
      </w:r>
      <w:r>
        <w:t>好的休息，导致</w:t>
      </w:r>
      <w:r>
        <w:rPr>
          <w:rFonts w:hint="eastAsia"/>
        </w:rPr>
        <w:t>教师</w:t>
      </w:r>
      <w:r>
        <w:t>上课效率</w:t>
      </w:r>
      <w:r>
        <w:rPr>
          <w:rFonts w:hint="eastAsia"/>
        </w:rPr>
        <w:t>低。课后服务项目经费较少，给课后服务人员报酬较低，导致参与课后服务项目人员</w:t>
      </w:r>
      <w:r>
        <w:t>积极性不高</w:t>
      </w:r>
      <w:r>
        <w:rPr>
          <w:rFonts w:hint="eastAsia"/>
        </w:rPr>
        <w:t>；</w:t>
      </w:r>
      <w:r>
        <w:t>引进第三方服务的石狮市第四实验小学、石狮市实验中学附属小学，</w:t>
      </w:r>
      <w:r>
        <w:rPr>
          <w:rFonts w:hint="eastAsia"/>
        </w:rPr>
        <w:t>实行学校外聘教师犯罪记录准入查询、聘任公示、聘任报备、聘任考核等制度，禁止不良记录人员参与课后服务，同时通过适当收费，有一些可不用参与课后活动</w:t>
      </w:r>
      <w:r>
        <w:rPr>
          <w:rFonts w:hint="eastAsia"/>
        </w:rPr>
        <w:lastRenderedPageBreak/>
        <w:t>的学生回归家庭，充分发挥课后服务效益。</w:t>
      </w:r>
      <w:r>
        <w:t>此项得分2分。</w:t>
      </w:r>
    </w:p>
    <w:p w:rsidR="009E4C75" w:rsidRDefault="00A93C38">
      <w:pPr>
        <w:pStyle w:val="11"/>
        <w:numPr>
          <w:ilvl w:val="0"/>
          <w:numId w:val="12"/>
        </w:numPr>
        <w:ind w:firstLine="480"/>
      </w:pPr>
      <w:r>
        <w:t>安全管理（分值为3分）</w:t>
      </w:r>
    </w:p>
    <w:p w:rsidR="009E4C75" w:rsidRDefault="00A93C38">
      <w:pPr>
        <w:ind w:firstLine="480"/>
      </w:pPr>
      <w:r>
        <w:t>安全管理制度通过</w:t>
      </w:r>
      <w:r>
        <w:rPr>
          <w:rFonts w:hint="eastAsia"/>
        </w:rPr>
        <w:t>是否</w:t>
      </w:r>
      <w:r>
        <w:t>重视安全工作，建立健全并严格执行各项安全管理制度</w:t>
      </w:r>
      <w:r>
        <w:rPr>
          <w:rFonts w:hint="eastAsia"/>
        </w:rPr>
        <w:t>等方面</w:t>
      </w:r>
      <w:r>
        <w:t>进行评价。</w:t>
      </w:r>
      <w:r>
        <w:rPr>
          <w:rFonts w:hint="eastAsia"/>
        </w:rPr>
        <w:t>经检查，参与课后服务学校制定了教师课后安全服务管理制度，登记课后服务清校情况，门口均有保安监控学生出入情况，与家长签写安全责任书，要求家长做好对子女的接送工作。经了解，个别家长没有真正履行接送职责，放任学生独自回家，存在途中安全隐患。</w:t>
      </w:r>
      <w:r>
        <w:t>此项得分2分。</w:t>
      </w:r>
    </w:p>
    <w:p w:rsidR="009E4C75" w:rsidRDefault="00A93C38">
      <w:pPr>
        <w:pStyle w:val="11"/>
        <w:numPr>
          <w:ilvl w:val="0"/>
          <w:numId w:val="12"/>
        </w:numPr>
        <w:ind w:firstLine="480"/>
      </w:pPr>
      <w:r>
        <w:t>服务质量可控性（分值为3分）</w:t>
      </w:r>
    </w:p>
    <w:p w:rsidR="009E4C75" w:rsidRDefault="00A93C38">
      <w:pPr>
        <w:ind w:firstLine="480"/>
      </w:pPr>
      <w:r>
        <w:t>服务质量可控性通过试点学校否制定监督考核制度，全程跟踪监控进行评价。</w:t>
      </w:r>
      <w:r>
        <w:rPr>
          <w:rFonts w:hint="eastAsia"/>
        </w:rPr>
        <w:t>经检查，参与课后服务学校</w:t>
      </w:r>
      <w:r>
        <w:t>制定</w:t>
      </w:r>
      <w:r>
        <w:rPr>
          <w:rFonts w:hint="eastAsia"/>
        </w:rPr>
        <w:t>了</w:t>
      </w:r>
      <w:r>
        <w:t>监督考核制度</w:t>
      </w:r>
      <w:r>
        <w:rPr>
          <w:rFonts w:hint="eastAsia"/>
        </w:rPr>
        <w:t>，对参与课后服务</w:t>
      </w:r>
      <w:r>
        <w:rPr>
          <w:color w:val="000000"/>
        </w:rPr>
        <w:t>班级学生</w:t>
      </w:r>
      <w:r>
        <w:rPr>
          <w:rFonts w:hint="eastAsia"/>
          <w:color w:val="000000"/>
        </w:rPr>
        <w:t>登记造册，及时登记</w:t>
      </w:r>
      <w:r>
        <w:rPr>
          <w:color w:val="000000"/>
        </w:rPr>
        <w:t>管理记录表</w:t>
      </w:r>
      <w:r>
        <w:rPr>
          <w:rFonts w:hint="eastAsia"/>
          <w:color w:val="000000"/>
        </w:rPr>
        <w:t>，</w:t>
      </w:r>
      <w:r>
        <w:t>记载值日巡查情况表等，此项得分3分。</w:t>
      </w:r>
    </w:p>
    <w:p w:rsidR="009E4C75" w:rsidRDefault="00A93C38">
      <w:pPr>
        <w:ind w:firstLine="480"/>
      </w:pPr>
      <w:r>
        <w:rPr>
          <w:rFonts w:hint="eastAsia"/>
        </w:rPr>
        <w:t>项目实施合计得</w:t>
      </w:r>
      <w:r>
        <w:t>12</w:t>
      </w:r>
      <w:r>
        <w:rPr>
          <w:rFonts w:hint="eastAsia"/>
        </w:rPr>
        <w:t>分。</w:t>
      </w:r>
    </w:p>
    <w:p w:rsidR="009E4C75" w:rsidRDefault="00A93C38">
      <w:pPr>
        <w:pStyle w:val="11"/>
        <w:numPr>
          <w:ilvl w:val="0"/>
          <w:numId w:val="11"/>
        </w:numPr>
        <w:ind w:firstLineChars="0"/>
        <w:rPr>
          <w:rFonts w:ascii="黑体" w:eastAsia="黑体" w:hAnsi="黑体"/>
        </w:rPr>
      </w:pPr>
      <w:r>
        <w:rPr>
          <w:rFonts w:ascii="黑体" w:eastAsia="黑体" w:hAnsi="黑体" w:hint="eastAsia"/>
        </w:rPr>
        <w:t>会计信息管理</w:t>
      </w:r>
      <w:r>
        <w:rPr>
          <w:rFonts w:ascii="黑体" w:eastAsia="黑体" w:hAnsi="黑体"/>
        </w:rPr>
        <w:t>（</w:t>
      </w:r>
      <w:r>
        <w:rPr>
          <w:rFonts w:ascii="黑体" w:eastAsia="黑体" w:hAnsi="黑体" w:hint="eastAsia"/>
        </w:rPr>
        <w:t>分值为4</w:t>
      </w:r>
      <w:r>
        <w:rPr>
          <w:rFonts w:ascii="黑体" w:eastAsia="黑体" w:hAnsi="黑体"/>
        </w:rPr>
        <w:t>分）</w:t>
      </w:r>
    </w:p>
    <w:p w:rsidR="009E4C75" w:rsidRDefault="00A93C38">
      <w:pPr>
        <w:ind w:firstLine="480"/>
      </w:pPr>
      <w:r>
        <w:rPr>
          <w:rFonts w:hint="eastAsia"/>
        </w:rPr>
        <w:t>会计信息管理主要从</w:t>
      </w:r>
      <w:r>
        <w:t>信息规范性</w:t>
      </w:r>
      <w:r>
        <w:rPr>
          <w:rFonts w:hint="eastAsia"/>
        </w:rPr>
        <w:t>和</w:t>
      </w:r>
      <w:r>
        <w:t>信息完整性</w:t>
      </w:r>
      <w:r>
        <w:rPr>
          <w:rFonts w:hint="eastAsia"/>
        </w:rPr>
        <w:t>两个方面进行评价。</w:t>
      </w:r>
    </w:p>
    <w:p w:rsidR="009E4C75" w:rsidRDefault="00A93C38">
      <w:pPr>
        <w:pStyle w:val="11"/>
        <w:numPr>
          <w:ilvl w:val="0"/>
          <w:numId w:val="13"/>
        </w:numPr>
        <w:ind w:firstLine="480"/>
      </w:pPr>
      <w:r>
        <w:rPr>
          <w:rFonts w:hint="eastAsia"/>
        </w:rPr>
        <w:t>信息规范性（</w:t>
      </w:r>
      <w:r>
        <w:rPr>
          <w:rFonts w:hint="eastAsia"/>
          <w:kern w:val="0"/>
        </w:rPr>
        <w:t>分值为</w:t>
      </w:r>
      <w:r>
        <w:rPr>
          <w:rFonts w:hint="eastAsia"/>
        </w:rPr>
        <w:t>2</w:t>
      </w:r>
      <w:r>
        <w:t>分）</w:t>
      </w:r>
    </w:p>
    <w:p w:rsidR="009E4C75" w:rsidRDefault="00A93C38">
      <w:pPr>
        <w:ind w:firstLine="480"/>
      </w:pPr>
      <w:r>
        <w:rPr>
          <w:rFonts w:hint="eastAsia"/>
        </w:rPr>
        <w:t>经绩效评价工作小组调查，</w:t>
      </w:r>
      <w:r>
        <w:t>学校专项资金</w:t>
      </w:r>
      <w:r>
        <w:rPr>
          <w:rFonts w:hint="eastAsia"/>
        </w:rPr>
        <w:t>由会计核算中心统一核算，但资金拨付时与少年宫经费、午托经费一并下拨且未明确区分，导致参与课后服务学校不清楚课后服务资金补助金额，不利于专项核算。本项扣1分</w:t>
      </w:r>
      <w:r>
        <w:t>，得分1分。</w:t>
      </w:r>
    </w:p>
    <w:p w:rsidR="009E4C75" w:rsidRDefault="00A93C38">
      <w:pPr>
        <w:pStyle w:val="11"/>
        <w:numPr>
          <w:ilvl w:val="0"/>
          <w:numId w:val="13"/>
        </w:numPr>
        <w:ind w:firstLine="480"/>
      </w:pPr>
      <w:r>
        <w:rPr>
          <w:rFonts w:hint="eastAsia"/>
        </w:rPr>
        <w:t>信息完整性（</w:t>
      </w:r>
      <w:r>
        <w:rPr>
          <w:rFonts w:hint="eastAsia"/>
          <w:kern w:val="0"/>
        </w:rPr>
        <w:t>分值为</w:t>
      </w:r>
      <w:r>
        <w:t>2分）</w:t>
      </w:r>
    </w:p>
    <w:p w:rsidR="009E4C75" w:rsidRDefault="00A93C38">
      <w:pPr>
        <w:ind w:firstLine="480"/>
      </w:pPr>
      <w:r>
        <w:rPr>
          <w:rFonts w:hint="eastAsia"/>
        </w:rPr>
        <w:t>经抽查，参与课后服务的学校提供了完整的</w:t>
      </w:r>
      <w:r>
        <w:t>银行日记账</w:t>
      </w:r>
      <w:r>
        <w:rPr>
          <w:rFonts w:hint="eastAsia"/>
        </w:rPr>
        <w:t>、账簿等会计核算资料，此项得</w:t>
      </w:r>
      <w:r>
        <w:t>2</w:t>
      </w:r>
      <w:r>
        <w:rPr>
          <w:rFonts w:hint="eastAsia"/>
        </w:rPr>
        <w:t>分。</w:t>
      </w:r>
    </w:p>
    <w:p w:rsidR="009E4C75" w:rsidRDefault="00A93C38">
      <w:pPr>
        <w:ind w:firstLine="480"/>
      </w:pPr>
      <w:r>
        <w:rPr>
          <w:rFonts w:hint="eastAsia"/>
        </w:rPr>
        <w:t>会计信息管理合计得3分。</w:t>
      </w:r>
    </w:p>
    <w:p w:rsidR="009E4C75" w:rsidRDefault="00A93C38">
      <w:pPr>
        <w:pStyle w:val="2"/>
        <w:numPr>
          <w:ilvl w:val="0"/>
          <w:numId w:val="7"/>
        </w:numPr>
        <w:ind w:firstLineChars="0"/>
        <w:rPr>
          <w:b w:val="0"/>
          <w:sz w:val="28"/>
          <w:szCs w:val="28"/>
        </w:rPr>
      </w:pPr>
      <w:bookmarkStart w:id="16" w:name="_Toc10754"/>
      <w:r>
        <w:rPr>
          <w:rFonts w:hint="eastAsia"/>
          <w:b w:val="0"/>
          <w:sz w:val="28"/>
          <w:szCs w:val="28"/>
        </w:rPr>
        <w:t>产出与效益的评价（权重为</w:t>
      </w:r>
      <w:r>
        <w:rPr>
          <w:b w:val="0"/>
          <w:sz w:val="28"/>
          <w:szCs w:val="28"/>
        </w:rPr>
        <w:t>50</w:t>
      </w:r>
      <w:r>
        <w:rPr>
          <w:rFonts w:hint="eastAsia"/>
          <w:b w:val="0"/>
          <w:sz w:val="28"/>
          <w:szCs w:val="28"/>
        </w:rPr>
        <w:t>%）</w:t>
      </w:r>
      <w:bookmarkEnd w:id="16"/>
    </w:p>
    <w:p w:rsidR="009E4C75" w:rsidRDefault="00A93C38">
      <w:pPr>
        <w:ind w:firstLine="480"/>
      </w:pPr>
      <w:r>
        <w:t>产出与效益通过产出</w:t>
      </w:r>
      <w:r>
        <w:rPr>
          <w:rFonts w:hint="eastAsia"/>
        </w:rPr>
        <w:t>数量、产出质量</w:t>
      </w:r>
      <w:r>
        <w:t>、社会效益、可持续影响、服务对象满意度</w:t>
      </w:r>
      <w:r>
        <w:rPr>
          <w:rFonts w:hint="eastAsia"/>
        </w:rPr>
        <w:t>等五</w:t>
      </w:r>
      <w:r>
        <w:t>个方面进行评价。</w:t>
      </w:r>
    </w:p>
    <w:p w:rsidR="009E4C75" w:rsidRDefault="00A93C38">
      <w:pPr>
        <w:pStyle w:val="11"/>
        <w:numPr>
          <w:ilvl w:val="0"/>
          <w:numId w:val="14"/>
        </w:numPr>
        <w:ind w:firstLineChars="0"/>
        <w:rPr>
          <w:rFonts w:ascii="黑体" w:eastAsia="黑体" w:hAnsi="黑体"/>
        </w:rPr>
      </w:pPr>
      <w:r>
        <w:rPr>
          <w:rFonts w:ascii="黑体" w:eastAsia="黑体" w:hAnsi="黑体"/>
        </w:rPr>
        <w:t>产出</w:t>
      </w:r>
      <w:r>
        <w:rPr>
          <w:rFonts w:ascii="黑体" w:eastAsia="黑体" w:hAnsi="黑体" w:hint="eastAsia"/>
        </w:rPr>
        <w:t>数量</w:t>
      </w:r>
      <w:r>
        <w:rPr>
          <w:rFonts w:ascii="黑体" w:eastAsia="黑体" w:hAnsi="黑体"/>
        </w:rPr>
        <w:t>（</w:t>
      </w:r>
      <w:r>
        <w:rPr>
          <w:rFonts w:ascii="黑体" w:eastAsia="黑体" w:hAnsi="黑体" w:hint="eastAsia"/>
        </w:rPr>
        <w:t>分值为9</w:t>
      </w:r>
      <w:r>
        <w:rPr>
          <w:rFonts w:ascii="黑体" w:eastAsia="黑体" w:hAnsi="黑体"/>
        </w:rPr>
        <w:t>分）</w:t>
      </w:r>
    </w:p>
    <w:p w:rsidR="009E4C75" w:rsidRDefault="00A93C38">
      <w:pPr>
        <w:ind w:firstLine="480"/>
      </w:pPr>
      <w:r>
        <w:t>项目产出通过参加课后服务学校</w:t>
      </w:r>
      <w:r>
        <w:rPr>
          <w:rFonts w:hint="eastAsia"/>
        </w:rPr>
        <w:t>数量</w:t>
      </w:r>
      <w:r>
        <w:t>、学生参加课后服务人次进行评价。</w:t>
      </w:r>
    </w:p>
    <w:p w:rsidR="009E4C75" w:rsidRDefault="00A93C38">
      <w:pPr>
        <w:pStyle w:val="11"/>
        <w:numPr>
          <w:ilvl w:val="0"/>
          <w:numId w:val="15"/>
        </w:numPr>
        <w:ind w:firstLine="480"/>
      </w:pPr>
      <w:r>
        <w:t>参加课后服务学校</w:t>
      </w:r>
      <w:r>
        <w:rPr>
          <w:rFonts w:hint="eastAsia"/>
        </w:rPr>
        <w:t>（</w:t>
      </w:r>
      <w:r>
        <w:rPr>
          <w:rFonts w:hint="eastAsia"/>
          <w:kern w:val="0"/>
        </w:rPr>
        <w:t>分值为</w:t>
      </w:r>
      <w:r>
        <w:rPr>
          <w:kern w:val="0"/>
        </w:rPr>
        <w:t>4</w:t>
      </w:r>
      <w:r>
        <w:t>分）</w:t>
      </w:r>
    </w:p>
    <w:p w:rsidR="009E4C75" w:rsidRDefault="00A93C38">
      <w:pPr>
        <w:ind w:firstLine="480"/>
      </w:pPr>
      <w:r>
        <w:rPr>
          <w:rFonts w:hint="eastAsia"/>
        </w:rPr>
        <w:t>2018参加课后服务学校数量计划44所，实际44所，此项得分4分。</w:t>
      </w:r>
    </w:p>
    <w:p w:rsidR="009E4C75" w:rsidRDefault="00A93C38">
      <w:pPr>
        <w:pStyle w:val="11"/>
        <w:numPr>
          <w:ilvl w:val="0"/>
          <w:numId w:val="15"/>
        </w:numPr>
        <w:ind w:firstLine="480"/>
      </w:pPr>
      <w:r>
        <w:lastRenderedPageBreak/>
        <w:t>学生参加课后服务人次</w:t>
      </w:r>
      <w:r>
        <w:rPr>
          <w:rFonts w:hint="eastAsia"/>
        </w:rPr>
        <w:t>（</w:t>
      </w:r>
      <w:r>
        <w:rPr>
          <w:rFonts w:hint="eastAsia"/>
          <w:kern w:val="0"/>
        </w:rPr>
        <w:t>分值为</w:t>
      </w:r>
      <w:r>
        <w:rPr>
          <w:kern w:val="0"/>
        </w:rPr>
        <w:t>5</w:t>
      </w:r>
      <w:r>
        <w:t>分）</w:t>
      </w:r>
    </w:p>
    <w:p w:rsidR="009E4C75" w:rsidRDefault="00A93C38">
      <w:pPr>
        <w:ind w:firstLine="480"/>
        <w:rPr>
          <w:color w:val="000000" w:themeColor="text1"/>
        </w:rPr>
      </w:pPr>
      <w:r>
        <w:rPr>
          <w:rFonts w:hint="eastAsia"/>
        </w:rPr>
        <w:t>2018年学生课后服务参加人数预计40000人</w:t>
      </w:r>
      <w:r>
        <w:rPr>
          <w:rFonts w:hint="eastAsia"/>
          <w:color w:val="000000" w:themeColor="text1"/>
        </w:rPr>
        <w:t>次，实际40543人次，其中参加下午课后服务学校37所共计19063人，午间课后服务学校31所共计21480人。此项得分5分。</w:t>
      </w:r>
    </w:p>
    <w:p w:rsidR="009E4C75" w:rsidRDefault="00A93C38">
      <w:pPr>
        <w:pStyle w:val="11"/>
        <w:numPr>
          <w:ilvl w:val="0"/>
          <w:numId w:val="14"/>
        </w:numPr>
        <w:ind w:firstLineChars="0"/>
        <w:rPr>
          <w:rFonts w:ascii="黑体" w:eastAsia="黑体" w:hAnsi="黑体"/>
        </w:rPr>
      </w:pPr>
      <w:r>
        <w:rPr>
          <w:rFonts w:ascii="黑体" w:eastAsia="黑体" w:hAnsi="黑体"/>
        </w:rPr>
        <w:t>产</w:t>
      </w:r>
      <w:r>
        <w:rPr>
          <w:rFonts w:ascii="黑体" w:eastAsia="黑体" w:hAnsi="黑体" w:hint="eastAsia"/>
        </w:rPr>
        <w:t>出质量</w:t>
      </w:r>
      <w:r>
        <w:rPr>
          <w:rFonts w:ascii="黑体" w:eastAsia="黑体" w:hAnsi="黑体"/>
        </w:rPr>
        <w:t>（</w:t>
      </w:r>
      <w:r>
        <w:rPr>
          <w:rFonts w:ascii="黑体" w:eastAsia="黑体" w:hAnsi="黑体" w:hint="eastAsia"/>
        </w:rPr>
        <w:t>分值为16</w:t>
      </w:r>
      <w:r>
        <w:rPr>
          <w:rFonts w:ascii="黑体" w:eastAsia="黑体" w:hAnsi="黑体"/>
        </w:rPr>
        <w:t>分）</w:t>
      </w:r>
    </w:p>
    <w:p w:rsidR="009E4C75" w:rsidRDefault="00A93C38">
      <w:pPr>
        <w:pStyle w:val="11"/>
        <w:ind w:left="480" w:firstLineChars="0" w:firstLine="0"/>
        <w:rPr>
          <w:color w:val="000000" w:themeColor="text1"/>
        </w:rPr>
      </w:pPr>
      <w:r>
        <w:rPr>
          <w:rFonts w:hint="eastAsia"/>
        </w:rPr>
        <w:t>产出质量通过</w:t>
      </w:r>
      <w:r>
        <w:t>课后服务质量、安全管理</w:t>
      </w:r>
      <w:r>
        <w:rPr>
          <w:rFonts w:hint="eastAsia"/>
        </w:rPr>
        <w:t>两方面进行评价。</w:t>
      </w:r>
    </w:p>
    <w:p w:rsidR="009E4C75" w:rsidRDefault="00A93C38">
      <w:pPr>
        <w:pStyle w:val="11"/>
        <w:numPr>
          <w:ilvl w:val="0"/>
          <w:numId w:val="16"/>
        </w:numPr>
        <w:ind w:firstLine="480"/>
      </w:pPr>
      <w:r>
        <w:t>课后服务质量</w:t>
      </w:r>
      <w:r>
        <w:rPr>
          <w:rFonts w:hint="eastAsia"/>
        </w:rPr>
        <w:t>（</w:t>
      </w:r>
      <w:r>
        <w:rPr>
          <w:rFonts w:hint="eastAsia"/>
          <w:kern w:val="0"/>
        </w:rPr>
        <w:t>分值为</w:t>
      </w:r>
      <w:r>
        <w:rPr>
          <w:kern w:val="0"/>
        </w:rPr>
        <w:t>8</w:t>
      </w:r>
      <w:r>
        <w:t>分）</w:t>
      </w:r>
    </w:p>
    <w:p w:rsidR="009E4C75" w:rsidRDefault="00A93C38">
      <w:pPr>
        <w:ind w:firstLine="480"/>
      </w:pPr>
      <w:r>
        <w:rPr>
          <w:rFonts w:hint="eastAsia"/>
        </w:rPr>
        <w:t>经调查，参与课后服务的学校根据学校特色和学生个性特点开设了一系列适合学生的项目，得到家长和学生的喜爱，同时大大减轻了家长压力，课后服务质量效果良好。</w:t>
      </w:r>
      <w:r>
        <w:t>此项得分7分。</w:t>
      </w:r>
    </w:p>
    <w:p w:rsidR="009E4C75" w:rsidRDefault="00A93C38">
      <w:pPr>
        <w:pStyle w:val="11"/>
        <w:numPr>
          <w:ilvl w:val="0"/>
          <w:numId w:val="16"/>
        </w:numPr>
        <w:ind w:firstLine="480"/>
      </w:pPr>
      <w:r>
        <w:t>安全管理（分值为8分）</w:t>
      </w:r>
    </w:p>
    <w:p w:rsidR="009E4C75" w:rsidRDefault="00A93C38">
      <w:pPr>
        <w:ind w:firstLine="480"/>
        <w:rPr>
          <w:color w:val="000000" w:themeColor="text1"/>
        </w:rPr>
      </w:pPr>
      <w:r>
        <w:t>安全管理通过</w:t>
      </w:r>
      <w:r>
        <w:rPr>
          <w:rFonts w:hint="eastAsia"/>
        </w:rPr>
        <w:t>是否与家长签写安全责任书，是否督促家长接送</w:t>
      </w:r>
      <w:r>
        <w:rPr>
          <w:rFonts w:hint="eastAsia"/>
          <w:color w:val="000000" w:themeColor="text1"/>
        </w:rPr>
        <w:t>学生</w:t>
      </w:r>
      <w:r>
        <w:rPr>
          <w:color w:val="000000" w:themeColor="text1"/>
        </w:rPr>
        <w:t>进行评价。学校皆与家长签订课后服务协议书，但部分家长未能按时接送学生。此项得分</w:t>
      </w:r>
      <w:r>
        <w:rPr>
          <w:rFonts w:hint="eastAsia"/>
          <w:color w:val="000000" w:themeColor="text1"/>
        </w:rPr>
        <w:t>7</w:t>
      </w:r>
      <w:r>
        <w:rPr>
          <w:color w:val="000000" w:themeColor="text1"/>
        </w:rPr>
        <w:t>分。</w:t>
      </w:r>
    </w:p>
    <w:p w:rsidR="009E4C75" w:rsidRDefault="00A93C38">
      <w:pPr>
        <w:pStyle w:val="11"/>
        <w:numPr>
          <w:ilvl w:val="0"/>
          <w:numId w:val="14"/>
        </w:numPr>
        <w:ind w:firstLineChars="0"/>
        <w:rPr>
          <w:rFonts w:ascii="黑体" w:eastAsia="黑体" w:hAnsi="黑体"/>
        </w:rPr>
      </w:pPr>
      <w:r>
        <w:rPr>
          <w:rFonts w:ascii="黑体" w:eastAsia="黑体" w:hAnsi="黑体"/>
        </w:rPr>
        <w:t>社会效益（</w:t>
      </w:r>
      <w:r>
        <w:rPr>
          <w:rFonts w:ascii="黑体" w:eastAsia="黑体" w:hAnsi="黑体" w:hint="eastAsia"/>
        </w:rPr>
        <w:t>分值为</w:t>
      </w:r>
      <w:r>
        <w:rPr>
          <w:rFonts w:ascii="黑体" w:eastAsia="黑体" w:hAnsi="黑体"/>
        </w:rPr>
        <w:t>10分）</w:t>
      </w:r>
    </w:p>
    <w:p w:rsidR="009E4C75" w:rsidRDefault="00A93C38">
      <w:pPr>
        <w:ind w:firstLine="480"/>
      </w:pPr>
      <w:r>
        <w:t>社会效益主要通过缓解交通压力、增加人民群众的获得感和幸福感</w:t>
      </w:r>
      <w:r>
        <w:rPr>
          <w:rFonts w:hint="eastAsia"/>
        </w:rPr>
        <w:t>两个方面进行评价。</w:t>
      </w:r>
    </w:p>
    <w:p w:rsidR="009E4C75" w:rsidRDefault="00A93C38">
      <w:pPr>
        <w:pStyle w:val="11"/>
        <w:numPr>
          <w:ilvl w:val="0"/>
          <w:numId w:val="17"/>
        </w:numPr>
        <w:ind w:firstLine="480"/>
      </w:pPr>
      <w:r>
        <w:t>缓解交通压力</w:t>
      </w:r>
      <w:r>
        <w:rPr>
          <w:rFonts w:hint="eastAsia"/>
        </w:rPr>
        <w:t>（</w:t>
      </w:r>
      <w:r>
        <w:rPr>
          <w:rFonts w:hint="eastAsia"/>
          <w:kern w:val="0"/>
        </w:rPr>
        <w:t>分值为</w:t>
      </w:r>
      <w:r>
        <w:rPr>
          <w:kern w:val="0"/>
        </w:rPr>
        <w:t>5</w:t>
      </w:r>
      <w:r>
        <w:t>分）</w:t>
      </w:r>
    </w:p>
    <w:p w:rsidR="009E4C75" w:rsidRDefault="00A93C38">
      <w:pPr>
        <w:ind w:firstLine="480"/>
      </w:pPr>
      <w:r>
        <w:t>课后服务项目分散了学生离校的时间，</w:t>
      </w:r>
      <w:r>
        <w:rPr>
          <w:rFonts w:hint="eastAsia"/>
        </w:rPr>
        <w:t>基本能缓解放学时交通拥堵压力。此项得分4分。</w:t>
      </w:r>
    </w:p>
    <w:p w:rsidR="009E4C75" w:rsidRDefault="00A93C38">
      <w:pPr>
        <w:pStyle w:val="11"/>
        <w:numPr>
          <w:ilvl w:val="0"/>
          <w:numId w:val="17"/>
        </w:numPr>
        <w:ind w:firstLine="480"/>
      </w:pPr>
      <w:r>
        <w:t>增加人民群众的获得感和幸福感</w:t>
      </w:r>
      <w:r>
        <w:rPr>
          <w:rFonts w:hint="eastAsia"/>
        </w:rPr>
        <w:t>（</w:t>
      </w:r>
      <w:r>
        <w:rPr>
          <w:rFonts w:hint="eastAsia"/>
          <w:kern w:val="0"/>
        </w:rPr>
        <w:t>分值为</w:t>
      </w:r>
      <w:r>
        <w:rPr>
          <w:kern w:val="0"/>
        </w:rPr>
        <w:t>5</w:t>
      </w:r>
      <w:r>
        <w:t>分）</w:t>
      </w:r>
    </w:p>
    <w:p w:rsidR="009E4C75" w:rsidRDefault="00A93C38">
      <w:pPr>
        <w:ind w:firstLine="480"/>
      </w:pPr>
      <w:r>
        <w:t>此项通过</w:t>
      </w:r>
      <w:r>
        <w:rPr>
          <w:rFonts w:hint="eastAsia"/>
        </w:rPr>
        <w:t>是否有效解除群众、职工后顾之忧，增强人民群众的获得感和幸福感</w:t>
      </w:r>
      <w:r>
        <w:t>进行评价。学生参与课后服务</w:t>
      </w:r>
      <w:r>
        <w:rPr>
          <w:rFonts w:hint="eastAsia"/>
        </w:rPr>
        <w:t>，</w:t>
      </w:r>
      <w:r>
        <w:t>减轻课外负担，培养兴趣爱好</w:t>
      </w:r>
      <w:r>
        <w:rPr>
          <w:rFonts w:hint="eastAsia"/>
        </w:rPr>
        <w:t>。通过课后服务资金补助，</w:t>
      </w:r>
      <w:r>
        <w:t>提高教育服务能力，解除群众、职工后顾之忧，增强人民群众的获得感和幸福感，但部分未引进第三方服务的学校，教师的压力</w:t>
      </w:r>
      <w:r>
        <w:rPr>
          <w:rFonts w:hint="eastAsia"/>
        </w:rPr>
        <w:t>较</w:t>
      </w:r>
      <w:r>
        <w:t>大，个别家长对课后服务存在疑虑。此项得</w:t>
      </w:r>
      <w:r>
        <w:rPr>
          <w:rFonts w:hint="eastAsia"/>
        </w:rPr>
        <w:t>4</w:t>
      </w:r>
      <w:r>
        <w:t>分。</w:t>
      </w:r>
    </w:p>
    <w:p w:rsidR="009E4C75" w:rsidRDefault="00A93C38">
      <w:pPr>
        <w:pStyle w:val="11"/>
        <w:numPr>
          <w:ilvl w:val="0"/>
          <w:numId w:val="14"/>
        </w:numPr>
        <w:ind w:firstLineChars="0"/>
        <w:rPr>
          <w:rFonts w:ascii="黑体" w:eastAsia="黑体" w:hAnsi="黑体"/>
        </w:rPr>
      </w:pPr>
      <w:r>
        <w:rPr>
          <w:rFonts w:ascii="黑体" w:eastAsia="黑体" w:hAnsi="黑体"/>
        </w:rPr>
        <w:t>可持续影响（</w:t>
      </w:r>
      <w:r>
        <w:rPr>
          <w:rFonts w:ascii="黑体" w:eastAsia="黑体" w:hAnsi="黑体" w:hint="eastAsia"/>
        </w:rPr>
        <w:t>分值为</w:t>
      </w:r>
      <w:r>
        <w:rPr>
          <w:rFonts w:ascii="黑体" w:eastAsia="黑体" w:hAnsi="黑体"/>
        </w:rPr>
        <w:t>5分）</w:t>
      </w:r>
    </w:p>
    <w:p w:rsidR="009E4C75" w:rsidRDefault="00A93C38">
      <w:pPr>
        <w:ind w:firstLine="480"/>
      </w:pPr>
      <w:r>
        <w:t>可持续影响通过是否培养学生兴趣爱好，持续促进学生全面发展进行评价。学校开展</w:t>
      </w:r>
      <w:r>
        <w:rPr>
          <w:rFonts w:hint="eastAsia"/>
        </w:rPr>
        <w:t>课后服务，根据学生的年龄特征、心理特征及兴趣爱好设置儿童画、手</w:t>
      </w:r>
      <w:r>
        <w:rPr>
          <w:rFonts w:hint="eastAsia"/>
        </w:rPr>
        <w:lastRenderedPageBreak/>
        <w:t>工、田径、足球等课程，采用“特长+作业辅导”两种服务形式，基本上满足了学生全面发展及个性化需求。此项得分4分。</w:t>
      </w:r>
    </w:p>
    <w:p w:rsidR="009E4C75" w:rsidRDefault="00A93C38">
      <w:pPr>
        <w:pStyle w:val="11"/>
        <w:numPr>
          <w:ilvl w:val="0"/>
          <w:numId w:val="14"/>
        </w:numPr>
        <w:ind w:firstLineChars="0"/>
        <w:rPr>
          <w:rFonts w:ascii="黑体" w:eastAsia="黑体" w:hAnsi="黑体"/>
        </w:rPr>
      </w:pPr>
      <w:r>
        <w:rPr>
          <w:rFonts w:ascii="黑体" w:eastAsia="黑体" w:hAnsi="黑体"/>
        </w:rPr>
        <w:t>服务对象满意度（</w:t>
      </w:r>
      <w:r>
        <w:rPr>
          <w:rFonts w:ascii="黑体" w:eastAsia="黑体" w:hAnsi="黑体" w:hint="eastAsia"/>
        </w:rPr>
        <w:t>分值为1</w:t>
      </w:r>
      <w:r>
        <w:rPr>
          <w:rFonts w:ascii="黑体" w:eastAsia="黑体" w:hAnsi="黑体"/>
        </w:rPr>
        <w:t>0分）</w:t>
      </w:r>
    </w:p>
    <w:p w:rsidR="009E4C75" w:rsidRDefault="00A93C38">
      <w:pPr>
        <w:ind w:firstLineChars="0" w:firstLine="0"/>
        <w:rPr>
          <w:color w:val="7030A0"/>
        </w:rPr>
      </w:pPr>
      <w:r>
        <w:t>服务对象满意度通过教师满意度和学生家长满意度两方面进行评价。</w:t>
      </w:r>
      <w:r>
        <w:rPr>
          <w:rFonts w:hint="eastAsia"/>
        </w:rPr>
        <w:t>采取实地发放问卷调查表，共计发放60份，收回59份，其中教师</w:t>
      </w:r>
      <w:r>
        <w:t>满意度</w:t>
      </w:r>
      <w:r>
        <w:rPr>
          <w:rFonts w:hint="eastAsia"/>
        </w:rPr>
        <w:t>问卷调查表20份、学生家长</w:t>
      </w:r>
      <w:r>
        <w:t>满意度</w:t>
      </w:r>
      <w:r>
        <w:rPr>
          <w:rFonts w:hint="eastAsia"/>
        </w:rPr>
        <w:t>问卷调查表39份。问卷调查表见附件一。</w:t>
      </w:r>
    </w:p>
    <w:p w:rsidR="009E4C75" w:rsidRDefault="00A93C38">
      <w:pPr>
        <w:numPr>
          <w:ilvl w:val="0"/>
          <w:numId w:val="18"/>
        </w:numPr>
        <w:ind w:firstLine="480"/>
      </w:pPr>
      <w:r>
        <w:t>教师满意度（</w:t>
      </w:r>
      <w:r>
        <w:rPr>
          <w:rFonts w:hint="eastAsia"/>
        </w:rPr>
        <w:t>分值为5分）</w:t>
      </w:r>
    </w:p>
    <w:p w:rsidR="009E4C75" w:rsidRDefault="00A93C38">
      <w:pPr>
        <w:ind w:firstLineChars="0" w:firstLine="0"/>
      </w:pPr>
      <w:r>
        <w:rPr>
          <w:rFonts w:hint="eastAsia"/>
        </w:rPr>
        <w:t xml:space="preserve">     经调查，项目服务对象满意度平均为96%</w:t>
      </w:r>
      <w:r>
        <w:t>，大于90%，</w:t>
      </w:r>
      <w:r>
        <w:rPr>
          <w:rFonts w:hint="eastAsia"/>
        </w:rPr>
        <w:t>本项得</w:t>
      </w:r>
      <w:r>
        <w:t>分</w:t>
      </w:r>
      <w:r>
        <w:rPr>
          <w:rFonts w:hint="eastAsia"/>
        </w:rPr>
        <w:t>5分。</w:t>
      </w:r>
    </w:p>
    <w:p w:rsidR="009E4C75" w:rsidRDefault="00A93C38">
      <w:pPr>
        <w:numPr>
          <w:ilvl w:val="0"/>
          <w:numId w:val="18"/>
        </w:numPr>
        <w:ind w:firstLine="480"/>
      </w:pPr>
      <w:r>
        <w:t>学生家长满意度</w:t>
      </w:r>
      <w:r>
        <w:rPr>
          <w:rFonts w:hint="eastAsia"/>
        </w:rPr>
        <w:t>（分值为5分）</w:t>
      </w:r>
    </w:p>
    <w:p w:rsidR="009E4C75" w:rsidRDefault="00A93C38">
      <w:pPr>
        <w:ind w:firstLineChars="0" w:firstLine="0"/>
      </w:pPr>
      <w:r>
        <w:rPr>
          <w:rFonts w:hint="eastAsia"/>
        </w:rPr>
        <w:t xml:space="preserve">     经调查，项目服务对象满意度平均为96%</w:t>
      </w:r>
      <w:r>
        <w:t>，大于90%，本项得分5分</w:t>
      </w:r>
    </w:p>
    <w:p w:rsidR="009E4C75" w:rsidRDefault="00A93C38">
      <w:pPr>
        <w:ind w:firstLine="480"/>
      </w:pPr>
      <w:r>
        <w:rPr>
          <w:rFonts w:hint="eastAsia"/>
        </w:rPr>
        <w:t>通过上述从项目</w:t>
      </w:r>
      <w:r>
        <w:t>管理</w:t>
      </w:r>
      <w:r>
        <w:rPr>
          <w:rFonts w:hint="eastAsia"/>
        </w:rPr>
        <w:t>、投入、过程、产出与效益四个方面的逐项分析评价，</w:t>
      </w:r>
      <w:r>
        <w:t>201</w:t>
      </w:r>
      <w:r>
        <w:rPr>
          <w:rFonts w:hint="eastAsia"/>
        </w:rPr>
        <w:t>8</w:t>
      </w:r>
      <w:r>
        <w:t>年</w:t>
      </w:r>
      <w:r>
        <w:rPr>
          <w:rFonts w:hint="eastAsia"/>
        </w:rPr>
        <w:t>石狮市</w:t>
      </w:r>
      <w:r>
        <w:t>课后服务</w:t>
      </w:r>
      <w:r>
        <w:rPr>
          <w:rFonts w:hint="eastAsia"/>
        </w:rPr>
        <w:t>专项资金</w:t>
      </w:r>
      <w:r>
        <w:t>总体执行情况较好，</w:t>
      </w:r>
      <w:r>
        <w:rPr>
          <w:rFonts w:hint="eastAsia"/>
        </w:rPr>
        <w:t>部分</w:t>
      </w:r>
      <w:r>
        <w:t>达到了各项绩效指标的要求</w:t>
      </w:r>
      <w:r>
        <w:rPr>
          <w:rFonts w:hint="eastAsia"/>
        </w:rPr>
        <w:t>。</w:t>
      </w:r>
      <w:r>
        <w:t>项目得分为</w:t>
      </w:r>
      <w:r>
        <w:rPr>
          <w:rFonts w:hint="eastAsia"/>
        </w:rPr>
        <w:t>88</w:t>
      </w:r>
      <w:r>
        <w:t>分，评价等级为</w:t>
      </w:r>
      <w:r>
        <w:rPr>
          <w:rFonts w:hint="eastAsia"/>
        </w:rPr>
        <w:t>良好</w:t>
      </w:r>
      <w:r>
        <w:t>。</w:t>
      </w:r>
    </w:p>
    <w:p w:rsidR="009E4C75" w:rsidRDefault="00A93C38">
      <w:pPr>
        <w:pStyle w:val="1"/>
        <w:numPr>
          <w:ilvl w:val="0"/>
          <w:numId w:val="1"/>
        </w:numPr>
        <w:ind w:left="0" w:firstLine="0"/>
      </w:pPr>
      <w:bookmarkStart w:id="17" w:name="_Toc17980"/>
      <w:r>
        <w:rPr>
          <w:rFonts w:hint="eastAsia"/>
        </w:rPr>
        <w:t>石狮市</w:t>
      </w:r>
      <w:r>
        <w:t>课后服务</w:t>
      </w:r>
      <w:r>
        <w:rPr>
          <w:rFonts w:hint="eastAsia"/>
        </w:rPr>
        <w:t>专项实施中存在的问题及相应的改进对策</w:t>
      </w:r>
      <w:bookmarkEnd w:id="17"/>
    </w:p>
    <w:p w:rsidR="009E4C75" w:rsidRDefault="00A93C38">
      <w:pPr>
        <w:pStyle w:val="2"/>
        <w:numPr>
          <w:ilvl w:val="0"/>
          <w:numId w:val="19"/>
        </w:numPr>
        <w:ind w:firstLineChars="0"/>
        <w:rPr>
          <w:b w:val="0"/>
          <w:sz w:val="28"/>
          <w:szCs w:val="28"/>
        </w:rPr>
      </w:pPr>
      <w:bookmarkStart w:id="18" w:name="_Toc13844"/>
      <w:r>
        <w:rPr>
          <w:rFonts w:hint="eastAsia"/>
          <w:b w:val="0"/>
          <w:sz w:val="28"/>
          <w:szCs w:val="28"/>
        </w:rPr>
        <w:t>项目实施中存在的问题</w:t>
      </w:r>
      <w:bookmarkEnd w:id="18"/>
    </w:p>
    <w:p w:rsidR="009E4C75" w:rsidRDefault="00A93C38">
      <w:pPr>
        <w:pStyle w:val="11"/>
        <w:numPr>
          <w:ilvl w:val="0"/>
          <w:numId w:val="20"/>
        </w:numPr>
        <w:ind w:firstLineChars="0"/>
        <w:rPr>
          <w:rFonts w:ascii="黑体" w:eastAsia="黑体" w:hAnsi="黑体"/>
        </w:rPr>
      </w:pPr>
      <w:r>
        <w:rPr>
          <w:rFonts w:ascii="黑体" w:eastAsia="黑体" w:hAnsi="黑体"/>
        </w:rPr>
        <w:t>课后服务时间长</w:t>
      </w:r>
      <w:r>
        <w:rPr>
          <w:rFonts w:ascii="黑体" w:eastAsia="黑体" w:hAnsi="黑体" w:hint="eastAsia"/>
        </w:rPr>
        <w:t>，</w:t>
      </w:r>
      <w:r>
        <w:rPr>
          <w:rFonts w:ascii="黑体" w:eastAsia="黑体" w:hAnsi="黑体"/>
        </w:rPr>
        <w:t>报酬</w:t>
      </w:r>
      <w:r>
        <w:rPr>
          <w:rFonts w:ascii="黑体" w:eastAsia="黑体" w:hAnsi="黑体" w:hint="eastAsia"/>
        </w:rPr>
        <w:t>较</w:t>
      </w:r>
      <w:r>
        <w:rPr>
          <w:rFonts w:ascii="黑体" w:eastAsia="黑体" w:hAnsi="黑体"/>
        </w:rPr>
        <w:t>低，老师积极性</w:t>
      </w:r>
      <w:r>
        <w:rPr>
          <w:rFonts w:ascii="黑体" w:eastAsia="黑体" w:hAnsi="黑体" w:hint="eastAsia"/>
        </w:rPr>
        <w:t>不高</w:t>
      </w:r>
      <w:r>
        <w:rPr>
          <w:rFonts w:ascii="黑体" w:eastAsia="黑体" w:hAnsi="黑体"/>
        </w:rPr>
        <w:t>。</w:t>
      </w:r>
    </w:p>
    <w:p w:rsidR="009E4C75" w:rsidRDefault="00A93C38">
      <w:pPr>
        <w:ind w:firstLine="480"/>
      </w:pPr>
      <w:r>
        <w:t>开展课后</w:t>
      </w:r>
      <w:r>
        <w:rPr>
          <w:rFonts w:hint="eastAsia"/>
        </w:rPr>
        <w:t>服务比原来上班时间延长了一个半小时，工作强度增大，导致部分教师长期处于超负荷工作状态，过度劳累。部分家长</w:t>
      </w:r>
      <w:r>
        <w:t>在课后服务结束后没有及时接送学生</w:t>
      </w:r>
      <w:r>
        <w:rPr>
          <w:rFonts w:hint="eastAsia"/>
        </w:rPr>
        <w:t>，老师参与课后服务比参与课堂教学承担安全责任更大。午托服务政府取消补助后，未纳入课后服务项目，经费缩减，参与课后服务人员报酬较低，极大影响了老师参与课后服务的热情。</w:t>
      </w:r>
    </w:p>
    <w:p w:rsidR="009E4C75" w:rsidRDefault="00A93C38">
      <w:pPr>
        <w:pStyle w:val="11"/>
        <w:numPr>
          <w:ilvl w:val="0"/>
          <w:numId w:val="20"/>
        </w:numPr>
        <w:ind w:firstLineChars="0"/>
        <w:rPr>
          <w:rFonts w:ascii="黑体" w:eastAsia="黑体" w:hAnsi="黑体"/>
        </w:rPr>
      </w:pPr>
      <w:r>
        <w:rPr>
          <w:rFonts w:ascii="黑体" w:eastAsia="黑体" w:hAnsi="黑体"/>
        </w:rPr>
        <w:t>课后服务涉及的安全问题</w:t>
      </w:r>
      <w:r>
        <w:rPr>
          <w:rFonts w:ascii="黑体" w:eastAsia="黑体" w:hAnsi="黑体" w:hint="eastAsia"/>
        </w:rPr>
        <w:t>较</w:t>
      </w:r>
      <w:r>
        <w:rPr>
          <w:rFonts w:ascii="黑体" w:eastAsia="黑体" w:hAnsi="黑体"/>
        </w:rPr>
        <w:t>多。</w:t>
      </w:r>
    </w:p>
    <w:p w:rsidR="009E4C75" w:rsidRDefault="00A93C38">
      <w:pPr>
        <w:ind w:firstLine="480"/>
      </w:pPr>
      <w:r>
        <w:rPr>
          <w:rFonts w:hint="eastAsia"/>
        </w:rPr>
        <w:t>虽然学校有与家长签写安全责任书，要求家长做好对子女的接送工作。但是</w:t>
      </w:r>
      <w:r>
        <w:t>部分</w:t>
      </w:r>
      <w:r>
        <w:rPr>
          <w:rFonts w:hint="eastAsia"/>
        </w:rPr>
        <w:t>家长未及时接送孩子，个别家长严重超时、延时接送孩子，严重影响了老师的下班时间，不利于放学后校园管理；有的学生独自回家，途中存在安全隐患。</w:t>
      </w:r>
    </w:p>
    <w:p w:rsidR="009E4C75" w:rsidRDefault="00A93C38">
      <w:pPr>
        <w:pStyle w:val="11"/>
        <w:numPr>
          <w:ilvl w:val="0"/>
          <w:numId w:val="20"/>
        </w:numPr>
        <w:ind w:firstLineChars="0"/>
        <w:rPr>
          <w:rFonts w:ascii="黑体" w:eastAsia="黑体" w:hAnsi="黑体"/>
        </w:rPr>
      </w:pPr>
      <w:r>
        <w:rPr>
          <w:rFonts w:ascii="黑体" w:eastAsia="黑体" w:hAnsi="黑体" w:hint="eastAsia"/>
        </w:rPr>
        <w:t>未</w:t>
      </w:r>
      <w:r>
        <w:rPr>
          <w:rFonts w:ascii="黑体" w:eastAsia="黑体" w:hAnsi="黑体"/>
        </w:rPr>
        <w:t>设置</w:t>
      </w:r>
      <w:r>
        <w:rPr>
          <w:rFonts w:ascii="黑体" w:eastAsia="黑体" w:hAnsi="黑体" w:hint="eastAsia"/>
        </w:rPr>
        <w:t>明细</w:t>
      </w:r>
      <w:r>
        <w:rPr>
          <w:rFonts w:ascii="黑体" w:eastAsia="黑体" w:hAnsi="黑体"/>
        </w:rPr>
        <w:t>科目</w:t>
      </w:r>
      <w:r>
        <w:rPr>
          <w:rFonts w:ascii="黑体" w:eastAsia="黑体" w:hAnsi="黑体" w:hint="eastAsia"/>
        </w:rPr>
        <w:t>专门核算</w:t>
      </w:r>
    </w:p>
    <w:p w:rsidR="009E4C75" w:rsidRDefault="00A93C38">
      <w:pPr>
        <w:ind w:firstLine="480"/>
      </w:pPr>
      <w:r>
        <w:rPr>
          <w:rFonts w:hint="eastAsia"/>
        </w:rPr>
        <w:t>经检查，</w:t>
      </w:r>
      <w:r>
        <w:t>学校的课后服务专项资金</w:t>
      </w:r>
      <w:r>
        <w:rPr>
          <w:rFonts w:hint="eastAsia"/>
        </w:rPr>
        <w:t>与</w:t>
      </w:r>
      <w:r>
        <w:t>少年宫</w:t>
      </w:r>
      <w:r>
        <w:rPr>
          <w:rFonts w:hint="eastAsia"/>
        </w:rPr>
        <w:t>经费</w:t>
      </w:r>
      <w:r>
        <w:t>和午托费用</w:t>
      </w:r>
      <w:r>
        <w:rPr>
          <w:rFonts w:hint="eastAsia"/>
        </w:rPr>
        <w:t>等一并发放，没</w:t>
      </w:r>
      <w:r>
        <w:rPr>
          <w:rFonts w:hint="eastAsia"/>
        </w:rPr>
        <w:lastRenderedPageBreak/>
        <w:t>有明确区分</w:t>
      </w:r>
      <w:r>
        <w:t>，</w:t>
      </w:r>
      <w:r>
        <w:rPr>
          <w:rFonts w:hint="eastAsia"/>
        </w:rPr>
        <w:t>导致会计核算中心及学校无法设置</w:t>
      </w:r>
      <w:r>
        <w:t>课后服务</w:t>
      </w:r>
      <w:r>
        <w:rPr>
          <w:rFonts w:hint="eastAsia"/>
        </w:rPr>
        <w:t>明细科目专门核算</w:t>
      </w:r>
      <w:r>
        <w:t>，不利于</w:t>
      </w:r>
      <w:r>
        <w:rPr>
          <w:rFonts w:hint="eastAsia"/>
        </w:rPr>
        <w:t>专项资金核算及监督。学校因课后服务项目增加的水电费、保安投入等难以采取有效分摊方式计入课后服务专项。</w:t>
      </w:r>
    </w:p>
    <w:p w:rsidR="009E4C75" w:rsidRDefault="00A93C38">
      <w:pPr>
        <w:pStyle w:val="2"/>
        <w:numPr>
          <w:ilvl w:val="0"/>
          <w:numId w:val="19"/>
        </w:numPr>
        <w:ind w:firstLineChars="0"/>
        <w:rPr>
          <w:b w:val="0"/>
          <w:sz w:val="28"/>
          <w:szCs w:val="28"/>
        </w:rPr>
      </w:pPr>
      <w:bookmarkStart w:id="19" w:name="_Toc10536"/>
      <w:r>
        <w:rPr>
          <w:rFonts w:hint="eastAsia"/>
          <w:b w:val="0"/>
          <w:sz w:val="28"/>
          <w:szCs w:val="28"/>
        </w:rPr>
        <w:t>相应的改进对策</w:t>
      </w:r>
      <w:bookmarkEnd w:id="19"/>
    </w:p>
    <w:p w:rsidR="009E4C75" w:rsidRDefault="00A93C38">
      <w:pPr>
        <w:pStyle w:val="11"/>
        <w:numPr>
          <w:ilvl w:val="0"/>
          <w:numId w:val="21"/>
        </w:numPr>
        <w:ind w:firstLineChars="0"/>
        <w:rPr>
          <w:rFonts w:ascii="黑体" w:eastAsia="黑体" w:hAnsi="黑体"/>
        </w:rPr>
      </w:pPr>
      <w:r>
        <w:rPr>
          <w:rFonts w:ascii="黑体" w:eastAsia="黑体" w:hAnsi="黑体" w:hint="eastAsia"/>
        </w:rPr>
        <w:t>拓展资金渠道</w:t>
      </w:r>
      <w:r>
        <w:rPr>
          <w:rFonts w:ascii="黑体" w:eastAsia="黑体" w:hAnsi="黑体"/>
        </w:rPr>
        <w:t>，引入第三方服务。</w:t>
      </w:r>
    </w:p>
    <w:p w:rsidR="009E4C75" w:rsidRDefault="00A93C38">
      <w:pPr>
        <w:ind w:firstLine="480"/>
      </w:pPr>
      <w:r>
        <w:rPr>
          <w:rFonts w:hint="eastAsia"/>
        </w:rPr>
        <w:t>因为课后服务财政补助资金有限，大部分学校未拓展其他资金渠道，将课后服务作为一项“政治任务”分配给课后服务人员，导致参与课后服务人员报酬较低，实际是将家长的担子放在课后服务人员肩上，难以持续保证课后服务质量及其持续发展。</w:t>
      </w:r>
    </w:p>
    <w:p w:rsidR="009E4C75" w:rsidRDefault="00A93C38">
      <w:pPr>
        <w:ind w:firstLine="480"/>
      </w:pPr>
      <w:r>
        <w:rPr>
          <w:rFonts w:hint="eastAsia"/>
        </w:rPr>
        <w:t>为了有效平衡家长与教师责任，付出与收入相匹配，建议积极拓展资金投入渠道，与物价局、人社局沟通协调，参照石狮市第四实验小学、石狮市实验中学附属小学引入第三方教育机构经验，让家长自愿分担一部分经费，构建服务经费合理分担机制，并将午托纳入课后服务，让课后服务项目持续发展。</w:t>
      </w:r>
    </w:p>
    <w:p w:rsidR="009E4C75" w:rsidRDefault="00A93C38">
      <w:pPr>
        <w:pStyle w:val="11"/>
        <w:numPr>
          <w:ilvl w:val="0"/>
          <w:numId w:val="21"/>
        </w:numPr>
        <w:ind w:firstLineChars="0"/>
        <w:rPr>
          <w:rFonts w:ascii="黑体" w:eastAsia="黑体" w:hAnsi="黑体"/>
        </w:rPr>
      </w:pPr>
      <w:r>
        <w:rPr>
          <w:rFonts w:ascii="黑体" w:eastAsia="黑体" w:hAnsi="黑体" w:hint="eastAsia"/>
        </w:rPr>
        <w:t>多方</w:t>
      </w:r>
      <w:r>
        <w:rPr>
          <w:rFonts w:ascii="黑体" w:eastAsia="黑体" w:hAnsi="黑体"/>
        </w:rPr>
        <w:t>共同管理，确保学生安全</w:t>
      </w:r>
    </w:p>
    <w:p w:rsidR="009E4C75" w:rsidRDefault="00A93C38">
      <w:pPr>
        <w:ind w:firstLine="480"/>
      </w:pPr>
      <w:r>
        <w:rPr>
          <w:rFonts w:hint="eastAsia"/>
        </w:rPr>
        <w:t>学校开展学生课后服务后，</w:t>
      </w:r>
      <w:r>
        <w:t>部分家长接送不及时，</w:t>
      </w:r>
      <w:r>
        <w:rPr>
          <w:rFonts w:hint="eastAsia"/>
        </w:rPr>
        <w:t>给学校安全管理带来了更大的压力。强化</w:t>
      </w:r>
      <w:r>
        <w:t>家长学生</w:t>
      </w:r>
      <w:r>
        <w:rPr>
          <w:rFonts w:hint="eastAsia"/>
        </w:rPr>
        <w:t>安全知识教育，对未及时接送学生的家长在微信群予以披露，超过三次未及时接送，则建议取消参与课后服务；学校利用课后服务补助经费购置安全防护设施，确保学生校园安全；政府部门制定安全事故等应急预案，组织公安、交通、消防、卫生、食药监督、街道、社区等单位加强社会安全监管，消除安全隐患，确保学生途中安全。</w:t>
      </w:r>
    </w:p>
    <w:p w:rsidR="009E4C75" w:rsidRDefault="00A93C38">
      <w:pPr>
        <w:pStyle w:val="11"/>
        <w:numPr>
          <w:ilvl w:val="0"/>
          <w:numId w:val="21"/>
        </w:numPr>
        <w:ind w:firstLineChars="0"/>
        <w:rPr>
          <w:rFonts w:ascii="黑体" w:eastAsia="黑体" w:hAnsi="黑体"/>
        </w:rPr>
      </w:pPr>
      <w:r>
        <w:rPr>
          <w:rFonts w:ascii="黑体" w:eastAsia="黑体" w:hAnsi="黑体" w:hint="eastAsia"/>
        </w:rPr>
        <w:t>设置项目明细科目，专项资金专门核算</w:t>
      </w:r>
    </w:p>
    <w:p w:rsidR="009E4C75" w:rsidRDefault="00A93C38">
      <w:pPr>
        <w:ind w:firstLine="480"/>
      </w:pPr>
      <w:r>
        <w:rPr>
          <w:rFonts w:hint="eastAsia"/>
        </w:rPr>
        <w:t>会计核算方面，建议</w:t>
      </w:r>
      <w:r>
        <w:t>设立课后服务</w:t>
      </w:r>
      <w:r>
        <w:rPr>
          <w:rFonts w:hint="eastAsia"/>
        </w:rPr>
        <w:t>明细</w:t>
      </w:r>
      <w:r>
        <w:t>科目进行</w:t>
      </w:r>
      <w:r>
        <w:rPr>
          <w:rFonts w:hint="eastAsia"/>
        </w:rPr>
        <w:t>专门</w:t>
      </w:r>
      <w:r>
        <w:t>核算</w:t>
      </w:r>
      <w:r>
        <w:rPr>
          <w:rFonts w:hint="eastAsia"/>
        </w:rPr>
        <w:t>，强化经费使用管控，加强对经费使用的过程监管，落实对违规使用经费的惩处措施</w:t>
      </w:r>
      <w:r>
        <w:t>。</w:t>
      </w:r>
      <w:r>
        <w:rPr>
          <w:rFonts w:hint="eastAsia"/>
        </w:rPr>
        <w:t>引入第三方机构的学校，应限制第三方机构课后服务项目毛利率，避免第三方机构追求利润最大化，降低课后服务投入，影响课后服务质量。同时要求第三方机构设置课后服务明细科目专门核算课后服务收入，并定期进行检查监督。</w:t>
      </w:r>
    </w:p>
    <w:p w:rsidR="009E4C75" w:rsidRDefault="009E4C75">
      <w:pPr>
        <w:ind w:firstLine="480"/>
      </w:pPr>
    </w:p>
    <w:p w:rsidR="009E4C75" w:rsidRDefault="009E4C75">
      <w:pPr>
        <w:ind w:firstLine="480"/>
      </w:pPr>
    </w:p>
    <w:p w:rsidR="009E4C75" w:rsidRDefault="009E4C75">
      <w:pPr>
        <w:ind w:firstLine="480"/>
      </w:pPr>
    </w:p>
    <w:p w:rsidR="009E4C75" w:rsidRDefault="00A93C38">
      <w:pPr>
        <w:ind w:firstLineChars="0" w:firstLine="0"/>
      </w:pPr>
      <w:r>
        <w:rPr>
          <w:rFonts w:hint="eastAsia"/>
        </w:rPr>
        <w:lastRenderedPageBreak/>
        <w:t>附件一：</w:t>
      </w:r>
    </w:p>
    <w:p w:rsidR="009E4C75" w:rsidRDefault="00A93C38">
      <w:pPr>
        <w:ind w:firstLine="643"/>
        <w:jc w:val="center"/>
        <w:rPr>
          <w:b/>
          <w:sz w:val="32"/>
          <w:szCs w:val="32"/>
        </w:rPr>
      </w:pPr>
      <w:r>
        <w:rPr>
          <w:rFonts w:hint="eastAsia"/>
          <w:b/>
          <w:sz w:val="32"/>
          <w:szCs w:val="32"/>
        </w:rPr>
        <w:t>“四点半”课后服务满意度调查问卷</w:t>
      </w:r>
    </w:p>
    <w:p w:rsidR="009E4C75" w:rsidRDefault="00A93C38">
      <w:pPr>
        <w:ind w:firstLineChars="0" w:firstLine="0"/>
      </w:pPr>
      <w:r>
        <w:rPr>
          <w:rFonts w:hint="eastAsia"/>
        </w:rPr>
        <w:t>各市直各小学教师、学生家长们：</w:t>
      </w:r>
    </w:p>
    <w:p w:rsidR="009E4C75" w:rsidRDefault="00A93C38">
      <w:pPr>
        <w:ind w:firstLine="480"/>
      </w:pPr>
      <w:r>
        <w:rPr>
          <w:rFonts w:hint="eastAsia"/>
        </w:rPr>
        <w:t>您们好！</w:t>
      </w:r>
    </w:p>
    <w:p w:rsidR="009E4C75" w:rsidRDefault="00A93C38">
      <w:pPr>
        <w:ind w:firstLine="480"/>
      </w:pPr>
      <w:r>
        <w:rPr>
          <w:rFonts w:hint="eastAsia"/>
        </w:rPr>
        <w:t>我们接受石狮市财政局委托，正在对石狮市“四点半”课后服务项目专项资金进行绩效评价，该专项资金主要用于石狮市“四点半”课后服务专项补助。为了充分了解该项目的产出效益，现需进行该项目满意度调查（可匿名填写），敬请配合，不胜感谢！</w:t>
      </w:r>
    </w:p>
    <w:p w:rsidR="009E4C75" w:rsidRDefault="00A93C38">
      <w:pPr>
        <w:ind w:firstLine="480"/>
      </w:pPr>
      <w:r>
        <w:rPr>
          <w:rFonts w:hint="eastAsia"/>
        </w:rPr>
        <w:t>致</w:t>
      </w:r>
    </w:p>
    <w:p w:rsidR="009E4C75" w:rsidRDefault="00A93C38">
      <w:pPr>
        <w:ind w:firstLineChars="0" w:firstLine="0"/>
      </w:pPr>
      <w:r>
        <w:rPr>
          <w:rFonts w:hint="eastAsia"/>
        </w:rPr>
        <w:t>礼！</w:t>
      </w:r>
    </w:p>
    <w:p w:rsidR="009E4C75" w:rsidRDefault="00A93C38">
      <w:pPr>
        <w:ind w:firstLine="480"/>
      </w:pPr>
      <w:r>
        <w:rPr>
          <w:rFonts w:hint="eastAsia"/>
        </w:rPr>
        <w:t xml:space="preserve">                          福建征安会计师事务所（特殊普通合伙）</w:t>
      </w:r>
    </w:p>
    <w:p w:rsidR="009E4C75" w:rsidRDefault="00A93C38">
      <w:pPr>
        <w:ind w:firstLine="480"/>
        <w:jc w:val="center"/>
      </w:pPr>
      <w:r>
        <w:rPr>
          <w:rFonts w:hint="eastAsia"/>
        </w:rPr>
        <w:t xml:space="preserve">                                   2019年5月15日</w:t>
      </w:r>
    </w:p>
    <w:p w:rsidR="009E4C75" w:rsidRDefault="00A93C38">
      <w:pPr>
        <w:ind w:firstLineChars="0" w:firstLine="0"/>
        <w:jc w:val="center"/>
        <w:rPr>
          <w:rFonts w:ascii="仿宋" w:eastAsia="仿宋" w:hAnsi="仿宋" w:cs="仿宋"/>
        </w:rPr>
      </w:pPr>
      <w:r>
        <w:rPr>
          <w:rFonts w:ascii="仿宋" w:eastAsia="仿宋" w:hAnsi="仿宋" w:cs="仿宋" w:hint="eastAsia"/>
        </w:rPr>
        <w:t xml:space="preserve">学校名称：       姓名：    性别：  </w:t>
      </w:r>
      <w:r>
        <w:rPr>
          <w:rFonts w:ascii="仿宋" w:eastAsia="仿宋" w:hAnsi="仿宋" w:cs="仿宋" w:hint="eastAsia"/>
        </w:rPr>
        <w:sym w:font="Wingdings 2" w:char="00A3"/>
      </w:r>
      <w:r>
        <w:rPr>
          <w:rFonts w:ascii="仿宋" w:eastAsia="仿宋" w:hAnsi="仿宋" w:cs="仿宋" w:hint="eastAsia"/>
        </w:rPr>
        <w:t xml:space="preserve">教师  </w:t>
      </w:r>
      <w:r>
        <w:rPr>
          <w:rFonts w:ascii="仿宋" w:eastAsia="仿宋" w:hAnsi="仿宋" w:cs="仿宋" w:hint="eastAsia"/>
        </w:rPr>
        <w:sym w:font="Wingdings 2" w:char="00A3"/>
      </w:r>
      <w:r>
        <w:rPr>
          <w:rFonts w:ascii="仿宋" w:eastAsia="仿宋" w:hAnsi="仿宋" w:cs="仿宋" w:hint="eastAsia"/>
        </w:rPr>
        <w:t xml:space="preserve">家长  填写日期：  年 月 日 </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5769"/>
        <w:gridCol w:w="788"/>
        <w:gridCol w:w="1075"/>
        <w:gridCol w:w="915"/>
      </w:tblGrid>
      <w:tr w:rsidR="009E4C75">
        <w:trPr>
          <w:trHeight w:val="450"/>
          <w:jc w:val="center"/>
        </w:trPr>
        <w:tc>
          <w:tcPr>
            <w:tcW w:w="828" w:type="dxa"/>
            <w:vAlign w:val="center"/>
          </w:tcPr>
          <w:p w:rsidR="009E4C75" w:rsidRDefault="00A93C38">
            <w:pPr>
              <w:spacing w:line="0" w:lineRule="atLeast"/>
              <w:ind w:firstLineChars="0" w:firstLine="0"/>
              <w:jc w:val="center"/>
              <w:rPr>
                <w:rFonts w:ascii="仿宋" w:eastAsia="仿宋" w:hAnsi="仿宋" w:cs="仿宋"/>
              </w:rPr>
            </w:pPr>
            <w:r>
              <w:rPr>
                <w:rFonts w:ascii="仿宋" w:eastAsia="仿宋" w:hAnsi="仿宋" w:cs="仿宋" w:hint="eastAsia"/>
              </w:rPr>
              <w:t>序号</w:t>
            </w:r>
          </w:p>
        </w:tc>
        <w:tc>
          <w:tcPr>
            <w:tcW w:w="5769" w:type="dxa"/>
            <w:vAlign w:val="center"/>
          </w:tcPr>
          <w:p w:rsidR="009E4C75" w:rsidRDefault="00A93C38">
            <w:pPr>
              <w:spacing w:line="0" w:lineRule="atLeast"/>
              <w:ind w:firstLine="480"/>
              <w:jc w:val="center"/>
              <w:rPr>
                <w:rFonts w:ascii="仿宋" w:eastAsia="仿宋" w:hAnsi="仿宋" w:cs="仿宋"/>
              </w:rPr>
            </w:pPr>
            <w:r>
              <w:rPr>
                <w:rFonts w:ascii="仿宋" w:eastAsia="仿宋" w:hAnsi="仿宋" w:cs="仿宋" w:hint="eastAsia"/>
              </w:rPr>
              <w:t>调查项目</w:t>
            </w:r>
          </w:p>
        </w:tc>
        <w:tc>
          <w:tcPr>
            <w:tcW w:w="788" w:type="dxa"/>
            <w:vAlign w:val="center"/>
          </w:tcPr>
          <w:p w:rsidR="009E4C75" w:rsidRDefault="00A93C38">
            <w:pPr>
              <w:spacing w:line="0" w:lineRule="atLeast"/>
              <w:ind w:firstLineChars="0" w:firstLine="0"/>
              <w:jc w:val="center"/>
              <w:rPr>
                <w:rFonts w:ascii="仿宋" w:eastAsia="仿宋" w:hAnsi="仿宋" w:cs="仿宋"/>
              </w:rPr>
            </w:pPr>
            <w:r>
              <w:rPr>
                <w:rFonts w:ascii="仿宋" w:eastAsia="仿宋" w:hAnsi="仿宋" w:cs="仿宋" w:hint="eastAsia"/>
              </w:rPr>
              <w:t>标准分数</w:t>
            </w:r>
          </w:p>
        </w:tc>
        <w:tc>
          <w:tcPr>
            <w:tcW w:w="1075" w:type="dxa"/>
            <w:vAlign w:val="center"/>
          </w:tcPr>
          <w:p w:rsidR="009E4C75" w:rsidRDefault="00A93C38">
            <w:pPr>
              <w:spacing w:line="0" w:lineRule="atLeast"/>
              <w:ind w:firstLineChars="0" w:firstLine="0"/>
              <w:jc w:val="center"/>
              <w:rPr>
                <w:rFonts w:ascii="仿宋" w:eastAsia="仿宋" w:hAnsi="仿宋" w:cs="仿宋"/>
              </w:rPr>
            </w:pPr>
            <w:r>
              <w:rPr>
                <w:rFonts w:ascii="仿宋" w:eastAsia="仿宋" w:hAnsi="仿宋" w:cs="仿宋" w:hint="eastAsia"/>
              </w:rPr>
              <w:t>得分</w:t>
            </w:r>
          </w:p>
        </w:tc>
        <w:tc>
          <w:tcPr>
            <w:tcW w:w="915" w:type="dxa"/>
            <w:vAlign w:val="center"/>
          </w:tcPr>
          <w:p w:rsidR="009E4C75" w:rsidRDefault="00A93C38">
            <w:pPr>
              <w:spacing w:line="0" w:lineRule="atLeast"/>
              <w:ind w:firstLineChars="0" w:firstLine="0"/>
              <w:jc w:val="center"/>
              <w:rPr>
                <w:rFonts w:ascii="仿宋" w:eastAsia="仿宋" w:hAnsi="仿宋" w:cs="仿宋"/>
              </w:rPr>
            </w:pPr>
            <w:r>
              <w:rPr>
                <w:rFonts w:ascii="仿宋" w:eastAsia="仿宋" w:hAnsi="仿宋" w:cs="仿宋" w:hint="eastAsia"/>
              </w:rPr>
              <w:t>备注</w:t>
            </w:r>
          </w:p>
        </w:tc>
      </w:tr>
      <w:tr w:rsidR="009E4C75">
        <w:trPr>
          <w:trHeight w:hRule="exact" w:val="653"/>
          <w:jc w:val="center"/>
        </w:trPr>
        <w:tc>
          <w:tcPr>
            <w:tcW w:w="828" w:type="dxa"/>
            <w:vAlign w:val="center"/>
          </w:tcPr>
          <w:p w:rsidR="009E4C75" w:rsidRDefault="00A93C38">
            <w:pPr>
              <w:spacing w:line="0" w:lineRule="atLeast"/>
              <w:ind w:firstLineChars="0" w:firstLine="0"/>
              <w:jc w:val="center"/>
              <w:rPr>
                <w:rFonts w:ascii="仿宋" w:eastAsia="仿宋" w:hAnsi="仿宋" w:cs="仿宋"/>
              </w:rPr>
            </w:pPr>
            <w:r>
              <w:rPr>
                <w:rFonts w:ascii="仿宋" w:eastAsia="仿宋" w:hAnsi="仿宋" w:cs="仿宋" w:hint="eastAsia"/>
              </w:rPr>
              <w:t>1</w:t>
            </w:r>
          </w:p>
        </w:tc>
        <w:tc>
          <w:tcPr>
            <w:tcW w:w="5769" w:type="dxa"/>
            <w:vAlign w:val="center"/>
          </w:tcPr>
          <w:p w:rsidR="009E4C75" w:rsidRDefault="00A93C38">
            <w:pPr>
              <w:spacing w:line="0" w:lineRule="atLeast"/>
              <w:ind w:firstLineChars="0" w:firstLine="0"/>
              <w:rPr>
                <w:rFonts w:ascii="仿宋" w:eastAsia="仿宋" w:hAnsi="仿宋" w:cs="仿宋"/>
              </w:rPr>
            </w:pPr>
            <w:r>
              <w:rPr>
                <w:rFonts w:ascii="仿宋" w:eastAsia="仿宋" w:hAnsi="仿宋" w:cs="仿宋" w:hint="eastAsia"/>
              </w:rPr>
              <w:t xml:space="preserve">学校开展的课后服务项目是否形式多样，有利于学生素质提升？ </w:t>
            </w:r>
          </w:p>
        </w:tc>
        <w:tc>
          <w:tcPr>
            <w:tcW w:w="788" w:type="dxa"/>
            <w:vAlign w:val="center"/>
          </w:tcPr>
          <w:p w:rsidR="009E4C75" w:rsidRDefault="00A93C38">
            <w:pPr>
              <w:ind w:firstLineChars="0" w:firstLine="0"/>
              <w:jc w:val="center"/>
              <w:rPr>
                <w:rFonts w:ascii="仿宋" w:eastAsia="仿宋" w:hAnsi="仿宋" w:cs="仿宋"/>
              </w:rPr>
            </w:pPr>
            <w:r>
              <w:rPr>
                <w:rFonts w:ascii="仿宋" w:eastAsia="仿宋" w:hAnsi="仿宋" w:cs="仿宋" w:hint="eastAsia"/>
              </w:rPr>
              <w:t>10</w:t>
            </w:r>
          </w:p>
        </w:tc>
        <w:tc>
          <w:tcPr>
            <w:tcW w:w="1075" w:type="dxa"/>
            <w:vAlign w:val="center"/>
          </w:tcPr>
          <w:p w:rsidR="009E4C75" w:rsidRDefault="009E4C75">
            <w:pPr>
              <w:ind w:firstLine="480"/>
              <w:jc w:val="center"/>
              <w:rPr>
                <w:rFonts w:ascii="仿宋" w:eastAsia="仿宋" w:hAnsi="仿宋" w:cs="仿宋"/>
              </w:rPr>
            </w:pPr>
          </w:p>
        </w:tc>
        <w:tc>
          <w:tcPr>
            <w:tcW w:w="915" w:type="dxa"/>
            <w:vAlign w:val="center"/>
          </w:tcPr>
          <w:p w:rsidR="009E4C75" w:rsidRDefault="009E4C75">
            <w:pPr>
              <w:ind w:firstLine="480"/>
              <w:jc w:val="center"/>
              <w:rPr>
                <w:rFonts w:ascii="仿宋" w:eastAsia="仿宋" w:hAnsi="仿宋" w:cs="仿宋"/>
              </w:rPr>
            </w:pPr>
          </w:p>
        </w:tc>
      </w:tr>
      <w:tr w:rsidR="009E4C75">
        <w:trPr>
          <w:trHeight w:hRule="exact" w:val="567"/>
          <w:jc w:val="center"/>
        </w:trPr>
        <w:tc>
          <w:tcPr>
            <w:tcW w:w="828" w:type="dxa"/>
            <w:vAlign w:val="center"/>
          </w:tcPr>
          <w:p w:rsidR="009E4C75" w:rsidRDefault="00A93C38">
            <w:pPr>
              <w:spacing w:line="0" w:lineRule="atLeast"/>
              <w:ind w:firstLineChars="0" w:firstLine="0"/>
              <w:jc w:val="center"/>
              <w:rPr>
                <w:rFonts w:ascii="仿宋" w:eastAsia="仿宋" w:hAnsi="仿宋" w:cs="仿宋"/>
              </w:rPr>
            </w:pPr>
            <w:r>
              <w:rPr>
                <w:rFonts w:ascii="仿宋" w:eastAsia="仿宋" w:hAnsi="仿宋" w:cs="仿宋" w:hint="eastAsia"/>
              </w:rPr>
              <w:t>2</w:t>
            </w:r>
          </w:p>
        </w:tc>
        <w:tc>
          <w:tcPr>
            <w:tcW w:w="5769" w:type="dxa"/>
            <w:vAlign w:val="center"/>
          </w:tcPr>
          <w:p w:rsidR="009E4C75" w:rsidRDefault="00A93C38">
            <w:pPr>
              <w:spacing w:line="0" w:lineRule="atLeast"/>
              <w:ind w:firstLineChars="0" w:firstLine="0"/>
              <w:rPr>
                <w:rFonts w:ascii="仿宋" w:eastAsia="仿宋" w:hAnsi="仿宋" w:cs="仿宋"/>
              </w:rPr>
            </w:pPr>
            <w:r>
              <w:rPr>
                <w:rFonts w:ascii="仿宋" w:eastAsia="仿宋" w:hAnsi="仿宋" w:cs="仿宋" w:hint="eastAsia"/>
              </w:rPr>
              <w:t>报名参加课后服务项目是否自愿？</w:t>
            </w:r>
          </w:p>
        </w:tc>
        <w:tc>
          <w:tcPr>
            <w:tcW w:w="788" w:type="dxa"/>
            <w:vAlign w:val="center"/>
          </w:tcPr>
          <w:p w:rsidR="009E4C75" w:rsidRDefault="00A93C38">
            <w:pPr>
              <w:ind w:firstLineChars="0" w:firstLine="0"/>
              <w:jc w:val="center"/>
              <w:rPr>
                <w:rFonts w:ascii="仿宋" w:eastAsia="仿宋" w:hAnsi="仿宋" w:cs="仿宋"/>
              </w:rPr>
            </w:pPr>
            <w:r>
              <w:rPr>
                <w:rFonts w:ascii="仿宋" w:eastAsia="仿宋" w:hAnsi="仿宋" w:cs="仿宋" w:hint="eastAsia"/>
              </w:rPr>
              <w:t>10</w:t>
            </w:r>
          </w:p>
        </w:tc>
        <w:tc>
          <w:tcPr>
            <w:tcW w:w="1075" w:type="dxa"/>
            <w:vAlign w:val="center"/>
          </w:tcPr>
          <w:p w:rsidR="009E4C75" w:rsidRDefault="009E4C75">
            <w:pPr>
              <w:ind w:firstLine="480"/>
              <w:rPr>
                <w:rFonts w:ascii="仿宋" w:eastAsia="仿宋" w:hAnsi="仿宋" w:cs="仿宋"/>
              </w:rPr>
            </w:pPr>
          </w:p>
        </w:tc>
        <w:tc>
          <w:tcPr>
            <w:tcW w:w="915" w:type="dxa"/>
            <w:vAlign w:val="center"/>
          </w:tcPr>
          <w:p w:rsidR="009E4C75" w:rsidRDefault="009E4C75">
            <w:pPr>
              <w:ind w:firstLine="480"/>
              <w:jc w:val="center"/>
              <w:rPr>
                <w:rFonts w:ascii="仿宋" w:eastAsia="仿宋" w:hAnsi="仿宋" w:cs="仿宋"/>
              </w:rPr>
            </w:pPr>
          </w:p>
        </w:tc>
      </w:tr>
      <w:tr w:rsidR="009E4C75">
        <w:trPr>
          <w:trHeight w:hRule="exact" w:val="639"/>
          <w:jc w:val="center"/>
        </w:trPr>
        <w:tc>
          <w:tcPr>
            <w:tcW w:w="828" w:type="dxa"/>
            <w:vAlign w:val="center"/>
          </w:tcPr>
          <w:p w:rsidR="009E4C75" w:rsidRDefault="00A93C38">
            <w:pPr>
              <w:spacing w:line="0" w:lineRule="atLeast"/>
              <w:ind w:firstLineChars="0" w:firstLine="0"/>
              <w:jc w:val="center"/>
              <w:rPr>
                <w:rFonts w:ascii="仿宋" w:eastAsia="仿宋" w:hAnsi="仿宋" w:cs="仿宋"/>
              </w:rPr>
            </w:pPr>
            <w:r>
              <w:rPr>
                <w:rFonts w:ascii="仿宋" w:eastAsia="仿宋" w:hAnsi="仿宋" w:cs="仿宋" w:hint="eastAsia"/>
              </w:rPr>
              <w:t>3</w:t>
            </w:r>
          </w:p>
        </w:tc>
        <w:tc>
          <w:tcPr>
            <w:tcW w:w="5769" w:type="dxa"/>
            <w:vAlign w:val="center"/>
          </w:tcPr>
          <w:p w:rsidR="009E4C75" w:rsidRDefault="00A93C38">
            <w:pPr>
              <w:spacing w:line="0" w:lineRule="atLeast"/>
              <w:ind w:firstLineChars="0" w:firstLine="0"/>
              <w:rPr>
                <w:rFonts w:ascii="仿宋" w:eastAsia="仿宋" w:hAnsi="仿宋" w:cs="仿宋"/>
              </w:rPr>
            </w:pPr>
            <w:r>
              <w:rPr>
                <w:rFonts w:ascii="仿宋" w:eastAsia="仿宋" w:hAnsi="仿宋" w:cs="仿宋" w:hint="eastAsia"/>
              </w:rPr>
              <w:t>课后服务项目是否有利于减轻学生课外负担，促进学生健康发展？</w:t>
            </w:r>
          </w:p>
        </w:tc>
        <w:tc>
          <w:tcPr>
            <w:tcW w:w="788" w:type="dxa"/>
            <w:vAlign w:val="center"/>
          </w:tcPr>
          <w:p w:rsidR="009E4C75" w:rsidRDefault="00A93C38">
            <w:pPr>
              <w:ind w:firstLineChars="0" w:firstLine="0"/>
              <w:jc w:val="center"/>
              <w:rPr>
                <w:rFonts w:ascii="仿宋" w:eastAsia="仿宋" w:hAnsi="仿宋" w:cs="仿宋"/>
              </w:rPr>
            </w:pPr>
            <w:r>
              <w:rPr>
                <w:rFonts w:ascii="仿宋" w:eastAsia="仿宋" w:hAnsi="仿宋" w:cs="仿宋" w:hint="eastAsia"/>
              </w:rPr>
              <w:t>10</w:t>
            </w:r>
          </w:p>
        </w:tc>
        <w:tc>
          <w:tcPr>
            <w:tcW w:w="1075" w:type="dxa"/>
            <w:vAlign w:val="center"/>
          </w:tcPr>
          <w:p w:rsidR="009E4C75" w:rsidRDefault="009E4C75">
            <w:pPr>
              <w:ind w:firstLine="480"/>
              <w:jc w:val="center"/>
              <w:rPr>
                <w:rFonts w:ascii="仿宋" w:eastAsia="仿宋" w:hAnsi="仿宋" w:cs="仿宋"/>
              </w:rPr>
            </w:pPr>
          </w:p>
        </w:tc>
        <w:tc>
          <w:tcPr>
            <w:tcW w:w="915" w:type="dxa"/>
            <w:vAlign w:val="center"/>
          </w:tcPr>
          <w:p w:rsidR="009E4C75" w:rsidRDefault="009E4C75">
            <w:pPr>
              <w:ind w:firstLine="480"/>
              <w:jc w:val="center"/>
              <w:rPr>
                <w:rFonts w:ascii="仿宋" w:eastAsia="仿宋" w:hAnsi="仿宋" w:cs="仿宋"/>
              </w:rPr>
            </w:pPr>
          </w:p>
        </w:tc>
      </w:tr>
      <w:tr w:rsidR="009E4C75">
        <w:trPr>
          <w:trHeight w:hRule="exact" w:val="567"/>
          <w:jc w:val="center"/>
        </w:trPr>
        <w:tc>
          <w:tcPr>
            <w:tcW w:w="828" w:type="dxa"/>
            <w:vAlign w:val="center"/>
          </w:tcPr>
          <w:p w:rsidR="009E4C75" w:rsidRDefault="00A93C38">
            <w:pPr>
              <w:spacing w:line="0" w:lineRule="atLeast"/>
              <w:ind w:firstLineChars="0" w:firstLine="0"/>
              <w:jc w:val="center"/>
              <w:rPr>
                <w:rFonts w:ascii="仿宋" w:eastAsia="仿宋" w:hAnsi="仿宋" w:cs="仿宋"/>
              </w:rPr>
            </w:pPr>
            <w:r>
              <w:rPr>
                <w:rFonts w:ascii="仿宋" w:eastAsia="仿宋" w:hAnsi="仿宋" w:cs="仿宋" w:hint="eastAsia"/>
              </w:rPr>
              <w:t>4</w:t>
            </w:r>
          </w:p>
        </w:tc>
        <w:tc>
          <w:tcPr>
            <w:tcW w:w="5769" w:type="dxa"/>
            <w:vAlign w:val="center"/>
          </w:tcPr>
          <w:p w:rsidR="009E4C75" w:rsidRDefault="00A93C38">
            <w:pPr>
              <w:spacing w:line="0" w:lineRule="atLeast"/>
              <w:ind w:firstLineChars="0" w:firstLine="0"/>
              <w:rPr>
                <w:rFonts w:ascii="仿宋" w:eastAsia="仿宋" w:hAnsi="仿宋" w:cs="仿宋"/>
              </w:rPr>
            </w:pPr>
            <w:r>
              <w:rPr>
                <w:rFonts w:ascii="仿宋" w:eastAsia="仿宋" w:hAnsi="仿宋" w:cs="仿宋" w:hint="eastAsia"/>
              </w:rPr>
              <w:t>对学校课后服务引进第三方服务机构是否满意？</w:t>
            </w:r>
          </w:p>
        </w:tc>
        <w:tc>
          <w:tcPr>
            <w:tcW w:w="788" w:type="dxa"/>
            <w:vAlign w:val="center"/>
          </w:tcPr>
          <w:p w:rsidR="009E4C75" w:rsidRDefault="00A93C38">
            <w:pPr>
              <w:ind w:firstLineChars="0" w:firstLine="0"/>
              <w:jc w:val="center"/>
              <w:rPr>
                <w:rFonts w:ascii="仿宋" w:eastAsia="仿宋" w:hAnsi="仿宋" w:cs="仿宋"/>
              </w:rPr>
            </w:pPr>
            <w:r>
              <w:rPr>
                <w:rFonts w:ascii="仿宋" w:eastAsia="仿宋" w:hAnsi="仿宋" w:cs="仿宋" w:hint="eastAsia"/>
              </w:rPr>
              <w:t>10</w:t>
            </w:r>
          </w:p>
        </w:tc>
        <w:tc>
          <w:tcPr>
            <w:tcW w:w="1075" w:type="dxa"/>
            <w:vAlign w:val="center"/>
          </w:tcPr>
          <w:p w:rsidR="009E4C75" w:rsidRDefault="009E4C75">
            <w:pPr>
              <w:ind w:firstLine="480"/>
              <w:jc w:val="center"/>
              <w:rPr>
                <w:rFonts w:ascii="仿宋" w:eastAsia="仿宋" w:hAnsi="仿宋" w:cs="仿宋"/>
              </w:rPr>
            </w:pPr>
          </w:p>
        </w:tc>
        <w:tc>
          <w:tcPr>
            <w:tcW w:w="915" w:type="dxa"/>
            <w:vAlign w:val="center"/>
          </w:tcPr>
          <w:p w:rsidR="009E4C75" w:rsidRDefault="009E4C75">
            <w:pPr>
              <w:ind w:firstLine="480"/>
              <w:jc w:val="center"/>
              <w:rPr>
                <w:rFonts w:ascii="仿宋" w:eastAsia="仿宋" w:hAnsi="仿宋" w:cs="仿宋"/>
              </w:rPr>
            </w:pPr>
          </w:p>
        </w:tc>
      </w:tr>
      <w:tr w:rsidR="009E4C75">
        <w:trPr>
          <w:trHeight w:hRule="exact" w:val="567"/>
          <w:jc w:val="center"/>
        </w:trPr>
        <w:tc>
          <w:tcPr>
            <w:tcW w:w="828" w:type="dxa"/>
            <w:vAlign w:val="center"/>
          </w:tcPr>
          <w:p w:rsidR="009E4C75" w:rsidRDefault="00A93C38">
            <w:pPr>
              <w:spacing w:line="0" w:lineRule="atLeast"/>
              <w:ind w:firstLineChars="0" w:firstLine="0"/>
              <w:jc w:val="center"/>
              <w:rPr>
                <w:rFonts w:ascii="仿宋" w:eastAsia="仿宋" w:hAnsi="仿宋" w:cs="仿宋"/>
              </w:rPr>
            </w:pPr>
            <w:r>
              <w:rPr>
                <w:rFonts w:ascii="仿宋" w:eastAsia="仿宋" w:hAnsi="仿宋" w:cs="仿宋" w:hint="eastAsia"/>
              </w:rPr>
              <w:t>5</w:t>
            </w:r>
          </w:p>
        </w:tc>
        <w:tc>
          <w:tcPr>
            <w:tcW w:w="5769" w:type="dxa"/>
            <w:vAlign w:val="center"/>
          </w:tcPr>
          <w:p w:rsidR="009E4C75" w:rsidRDefault="00A93C38">
            <w:pPr>
              <w:spacing w:line="0" w:lineRule="atLeast"/>
              <w:ind w:firstLineChars="0" w:firstLine="0"/>
              <w:rPr>
                <w:rFonts w:ascii="仿宋" w:eastAsia="仿宋" w:hAnsi="仿宋" w:cs="仿宋"/>
              </w:rPr>
            </w:pPr>
            <w:r>
              <w:rPr>
                <w:rFonts w:ascii="仿宋" w:eastAsia="仿宋" w:hAnsi="仿宋" w:cs="仿宋" w:hint="eastAsia"/>
              </w:rPr>
              <w:t>对实行课后服务项目是否认可？</w:t>
            </w:r>
          </w:p>
        </w:tc>
        <w:tc>
          <w:tcPr>
            <w:tcW w:w="788" w:type="dxa"/>
            <w:vAlign w:val="center"/>
          </w:tcPr>
          <w:p w:rsidR="009E4C75" w:rsidRDefault="00A93C38">
            <w:pPr>
              <w:ind w:firstLineChars="0" w:firstLine="0"/>
              <w:jc w:val="center"/>
              <w:rPr>
                <w:rFonts w:ascii="仿宋" w:eastAsia="仿宋" w:hAnsi="仿宋" w:cs="仿宋"/>
              </w:rPr>
            </w:pPr>
            <w:r>
              <w:rPr>
                <w:rFonts w:ascii="仿宋" w:eastAsia="仿宋" w:hAnsi="仿宋" w:cs="仿宋" w:hint="eastAsia"/>
              </w:rPr>
              <w:t>10</w:t>
            </w:r>
          </w:p>
        </w:tc>
        <w:tc>
          <w:tcPr>
            <w:tcW w:w="1075" w:type="dxa"/>
            <w:vAlign w:val="center"/>
          </w:tcPr>
          <w:p w:rsidR="009E4C75" w:rsidRDefault="009E4C75">
            <w:pPr>
              <w:ind w:firstLine="480"/>
              <w:jc w:val="center"/>
              <w:rPr>
                <w:rFonts w:ascii="仿宋" w:eastAsia="仿宋" w:hAnsi="仿宋" w:cs="仿宋"/>
              </w:rPr>
            </w:pPr>
          </w:p>
        </w:tc>
        <w:tc>
          <w:tcPr>
            <w:tcW w:w="915" w:type="dxa"/>
            <w:vAlign w:val="center"/>
          </w:tcPr>
          <w:p w:rsidR="009E4C75" w:rsidRDefault="009E4C75">
            <w:pPr>
              <w:ind w:firstLine="480"/>
              <w:jc w:val="center"/>
              <w:rPr>
                <w:rFonts w:ascii="仿宋" w:eastAsia="仿宋" w:hAnsi="仿宋" w:cs="仿宋"/>
              </w:rPr>
            </w:pPr>
          </w:p>
        </w:tc>
      </w:tr>
      <w:tr w:rsidR="009E4C75">
        <w:trPr>
          <w:trHeight w:hRule="exact" w:val="567"/>
          <w:jc w:val="center"/>
        </w:trPr>
        <w:tc>
          <w:tcPr>
            <w:tcW w:w="828" w:type="dxa"/>
            <w:vAlign w:val="center"/>
          </w:tcPr>
          <w:p w:rsidR="009E4C75" w:rsidRDefault="00A93C38">
            <w:pPr>
              <w:spacing w:line="0" w:lineRule="atLeast"/>
              <w:ind w:firstLineChars="0" w:firstLine="0"/>
              <w:jc w:val="center"/>
              <w:rPr>
                <w:rFonts w:ascii="仿宋" w:eastAsia="仿宋" w:hAnsi="仿宋" w:cs="仿宋"/>
              </w:rPr>
            </w:pPr>
            <w:r>
              <w:rPr>
                <w:rFonts w:ascii="仿宋" w:eastAsia="仿宋" w:hAnsi="仿宋" w:cs="仿宋" w:hint="eastAsia"/>
              </w:rPr>
              <w:t>6</w:t>
            </w:r>
          </w:p>
        </w:tc>
        <w:tc>
          <w:tcPr>
            <w:tcW w:w="5769" w:type="dxa"/>
            <w:vAlign w:val="center"/>
          </w:tcPr>
          <w:p w:rsidR="009E4C75" w:rsidRDefault="00A93C38">
            <w:pPr>
              <w:spacing w:line="0" w:lineRule="atLeast"/>
              <w:ind w:firstLineChars="0" w:firstLine="0"/>
              <w:rPr>
                <w:rFonts w:ascii="仿宋" w:eastAsia="仿宋" w:hAnsi="仿宋" w:cs="仿宋"/>
              </w:rPr>
            </w:pPr>
            <w:r>
              <w:rPr>
                <w:rFonts w:ascii="仿宋" w:eastAsia="仿宋" w:hAnsi="仿宋" w:cs="仿宋" w:hint="eastAsia"/>
              </w:rPr>
              <w:t>对课后服务工作学生在校安全保障是否满意？</w:t>
            </w:r>
          </w:p>
        </w:tc>
        <w:tc>
          <w:tcPr>
            <w:tcW w:w="788" w:type="dxa"/>
            <w:vAlign w:val="center"/>
          </w:tcPr>
          <w:p w:rsidR="009E4C75" w:rsidRDefault="00A93C38">
            <w:pPr>
              <w:ind w:firstLineChars="0" w:firstLine="0"/>
              <w:jc w:val="center"/>
              <w:rPr>
                <w:rFonts w:ascii="仿宋" w:eastAsia="仿宋" w:hAnsi="仿宋" w:cs="仿宋"/>
              </w:rPr>
            </w:pPr>
            <w:r>
              <w:rPr>
                <w:rFonts w:ascii="仿宋" w:eastAsia="仿宋" w:hAnsi="仿宋" w:cs="仿宋" w:hint="eastAsia"/>
              </w:rPr>
              <w:t>10</w:t>
            </w:r>
          </w:p>
        </w:tc>
        <w:tc>
          <w:tcPr>
            <w:tcW w:w="1075" w:type="dxa"/>
            <w:vAlign w:val="center"/>
          </w:tcPr>
          <w:p w:rsidR="009E4C75" w:rsidRDefault="009E4C75">
            <w:pPr>
              <w:ind w:firstLine="480"/>
              <w:jc w:val="center"/>
              <w:rPr>
                <w:rFonts w:ascii="仿宋" w:eastAsia="仿宋" w:hAnsi="仿宋" w:cs="仿宋"/>
              </w:rPr>
            </w:pPr>
          </w:p>
        </w:tc>
        <w:tc>
          <w:tcPr>
            <w:tcW w:w="915" w:type="dxa"/>
            <w:vAlign w:val="center"/>
          </w:tcPr>
          <w:p w:rsidR="009E4C75" w:rsidRDefault="009E4C75">
            <w:pPr>
              <w:ind w:firstLine="480"/>
              <w:jc w:val="center"/>
              <w:rPr>
                <w:rFonts w:ascii="仿宋" w:eastAsia="仿宋" w:hAnsi="仿宋" w:cs="仿宋"/>
              </w:rPr>
            </w:pPr>
          </w:p>
        </w:tc>
      </w:tr>
      <w:tr w:rsidR="009E4C75">
        <w:trPr>
          <w:trHeight w:hRule="exact" w:val="567"/>
          <w:jc w:val="center"/>
        </w:trPr>
        <w:tc>
          <w:tcPr>
            <w:tcW w:w="828" w:type="dxa"/>
            <w:vAlign w:val="center"/>
          </w:tcPr>
          <w:p w:rsidR="009E4C75" w:rsidRDefault="00A93C38">
            <w:pPr>
              <w:spacing w:line="0" w:lineRule="atLeast"/>
              <w:ind w:firstLineChars="0" w:firstLine="0"/>
              <w:jc w:val="center"/>
              <w:rPr>
                <w:rFonts w:ascii="仿宋" w:eastAsia="仿宋" w:hAnsi="仿宋" w:cs="仿宋"/>
              </w:rPr>
            </w:pPr>
            <w:r>
              <w:rPr>
                <w:rFonts w:ascii="仿宋" w:eastAsia="仿宋" w:hAnsi="仿宋" w:cs="仿宋" w:hint="eastAsia"/>
              </w:rPr>
              <w:t>7</w:t>
            </w:r>
          </w:p>
        </w:tc>
        <w:tc>
          <w:tcPr>
            <w:tcW w:w="5769" w:type="dxa"/>
            <w:vAlign w:val="center"/>
          </w:tcPr>
          <w:p w:rsidR="009E4C75" w:rsidRDefault="00A93C38">
            <w:pPr>
              <w:spacing w:line="0" w:lineRule="atLeast"/>
              <w:ind w:firstLineChars="0" w:firstLine="0"/>
              <w:rPr>
                <w:rFonts w:ascii="仿宋" w:eastAsia="仿宋" w:hAnsi="仿宋" w:cs="仿宋"/>
              </w:rPr>
            </w:pPr>
            <w:r>
              <w:rPr>
                <w:rFonts w:ascii="仿宋" w:eastAsia="仿宋" w:hAnsi="仿宋" w:cs="仿宋" w:hint="eastAsia"/>
              </w:rPr>
              <w:t>学校是否健全课后服务安全管理制度？</w:t>
            </w:r>
          </w:p>
        </w:tc>
        <w:tc>
          <w:tcPr>
            <w:tcW w:w="788" w:type="dxa"/>
            <w:vAlign w:val="center"/>
          </w:tcPr>
          <w:p w:rsidR="009E4C75" w:rsidRDefault="00A93C38">
            <w:pPr>
              <w:ind w:firstLineChars="0" w:firstLine="0"/>
              <w:jc w:val="center"/>
              <w:rPr>
                <w:rFonts w:ascii="仿宋" w:eastAsia="仿宋" w:hAnsi="仿宋" w:cs="仿宋"/>
              </w:rPr>
            </w:pPr>
            <w:r>
              <w:rPr>
                <w:rFonts w:ascii="仿宋" w:eastAsia="仿宋" w:hAnsi="仿宋" w:cs="仿宋" w:hint="eastAsia"/>
              </w:rPr>
              <w:t>10</w:t>
            </w:r>
          </w:p>
        </w:tc>
        <w:tc>
          <w:tcPr>
            <w:tcW w:w="1075" w:type="dxa"/>
            <w:vAlign w:val="center"/>
          </w:tcPr>
          <w:p w:rsidR="009E4C75" w:rsidRDefault="009E4C75">
            <w:pPr>
              <w:ind w:firstLine="480"/>
              <w:jc w:val="center"/>
              <w:rPr>
                <w:rFonts w:ascii="仿宋" w:eastAsia="仿宋" w:hAnsi="仿宋" w:cs="仿宋"/>
              </w:rPr>
            </w:pPr>
          </w:p>
        </w:tc>
        <w:tc>
          <w:tcPr>
            <w:tcW w:w="915" w:type="dxa"/>
            <w:vAlign w:val="center"/>
          </w:tcPr>
          <w:p w:rsidR="009E4C75" w:rsidRDefault="009E4C75">
            <w:pPr>
              <w:ind w:firstLine="480"/>
              <w:jc w:val="center"/>
              <w:rPr>
                <w:rFonts w:ascii="仿宋" w:eastAsia="仿宋" w:hAnsi="仿宋" w:cs="仿宋"/>
              </w:rPr>
            </w:pPr>
          </w:p>
        </w:tc>
      </w:tr>
      <w:tr w:rsidR="009E4C75">
        <w:trPr>
          <w:trHeight w:hRule="exact" w:val="567"/>
          <w:jc w:val="center"/>
        </w:trPr>
        <w:tc>
          <w:tcPr>
            <w:tcW w:w="828" w:type="dxa"/>
            <w:vAlign w:val="center"/>
          </w:tcPr>
          <w:p w:rsidR="009E4C75" w:rsidRDefault="00A93C38">
            <w:pPr>
              <w:spacing w:line="0" w:lineRule="atLeast"/>
              <w:ind w:firstLineChars="0" w:firstLine="0"/>
              <w:jc w:val="center"/>
              <w:rPr>
                <w:rFonts w:ascii="仿宋" w:eastAsia="仿宋" w:hAnsi="仿宋" w:cs="仿宋"/>
              </w:rPr>
            </w:pPr>
            <w:r>
              <w:rPr>
                <w:rFonts w:ascii="仿宋" w:eastAsia="仿宋" w:hAnsi="仿宋" w:cs="仿宋" w:hint="eastAsia"/>
              </w:rPr>
              <w:t>8</w:t>
            </w:r>
          </w:p>
        </w:tc>
        <w:tc>
          <w:tcPr>
            <w:tcW w:w="5769" w:type="dxa"/>
            <w:vAlign w:val="center"/>
          </w:tcPr>
          <w:p w:rsidR="009E4C75" w:rsidRDefault="00A93C38">
            <w:pPr>
              <w:spacing w:line="0" w:lineRule="atLeast"/>
              <w:ind w:firstLineChars="0" w:firstLine="0"/>
              <w:rPr>
                <w:rFonts w:ascii="仿宋" w:eastAsia="仿宋" w:hAnsi="仿宋" w:cs="仿宋"/>
              </w:rPr>
            </w:pPr>
            <w:r>
              <w:rPr>
                <w:rFonts w:ascii="仿宋" w:eastAsia="仿宋" w:hAnsi="仿宋" w:cs="仿宋" w:hint="eastAsia"/>
              </w:rPr>
              <w:t>课后服务是否有招生不公平现象？</w:t>
            </w:r>
          </w:p>
        </w:tc>
        <w:tc>
          <w:tcPr>
            <w:tcW w:w="788" w:type="dxa"/>
            <w:vAlign w:val="center"/>
          </w:tcPr>
          <w:p w:rsidR="009E4C75" w:rsidRDefault="00A93C38">
            <w:pPr>
              <w:ind w:firstLineChars="0" w:firstLine="0"/>
              <w:jc w:val="center"/>
              <w:rPr>
                <w:rFonts w:ascii="仿宋" w:eastAsia="仿宋" w:hAnsi="仿宋" w:cs="仿宋"/>
              </w:rPr>
            </w:pPr>
            <w:r>
              <w:rPr>
                <w:rFonts w:ascii="仿宋" w:eastAsia="仿宋" w:hAnsi="仿宋" w:cs="仿宋" w:hint="eastAsia"/>
              </w:rPr>
              <w:t>10</w:t>
            </w:r>
          </w:p>
        </w:tc>
        <w:tc>
          <w:tcPr>
            <w:tcW w:w="1075" w:type="dxa"/>
            <w:vAlign w:val="center"/>
          </w:tcPr>
          <w:p w:rsidR="009E4C75" w:rsidRDefault="009E4C75">
            <w:pPr>
              <w:ind w:firstLine="480"/>
              <w:jc w:val="center"/>
              <w:rPr>
                <w:rFonts w:ascii="仿宋" w:eastAsia="仿宋" w:hAnsi="仿宋" w:cs="仿宋"/>
              </w:rPr>
            </w:pPr>
          </w:p>
        </w:tc>
        <w:tc>
          <w:tcPr>
            <w:tcW w:w="915" w:type="dxa"/>
            <w:vAlign w:val="center"/>
          </w:tcPr>
          <w:p w:rsidR="009E4C75" w:rsidRDefault="009E4C75">
            <w:pPr>
              <w:ind w:firstLine="480"/>
              <w:jc w:val="center"/>
              <w:rPr>
                <w:rFonts w:ascii="仿宋" w:eastAsia="仿宋" w:hAnsi="仿宋" w:cs="仿宋"/>
              </w:rPr>
            </w:pPr>
          </w:p>
        </w:tc>
      </w:tr>
      <w:tr w:rsidR="009E4C75">
        <w:trPr>
          <w:trHeight w:hRule="exact" w:val="567"/>
          <w:jc w:val="center"/>
        </w:trPr>
        <w:tc>
          <w:tcPr>
            <w:tcW w:w="828" w:type="dxa"/>
            <w:vAlign w:val="center"/>
          </w:tcPr>
          <w:p w:rsidR="009E4C75" w:rsidRDefault="00A93C38">
            <w:pPr>
              <w:spacing w:line="0" w:lineRule="atLeast"/>
              <w:ind w:firstLineChars="0" w:firstLine="0"/>
              <w:jc w:val="center"/>
              <w:rPr>
                <w:rFonts w:ascii="仿宋" w:eastAsia="仿宋" w:hAnsi="仿宋" w:cs="仿宋"/>
              </w:rPr>
            </w:pPr>
            <w:r>
              <w:rPr>
                <w:rFonts w:ascii="仿宋" w:eastAsia="仿宋" w:hAnsi="仿宋" w:cs="仿宋" w:hint="eastAsia"/>
              </w:rPr>
              <w:t>9</w:t>
            </w:r>
          </w:p>
        </w:tc>
        <w:tc>
          <w:tcPr>
            <w:tcW w:w="5769" w:type="dxa"/>
            <w:vAlign w:val="center"/>
          </w:tcPr>
          <w:p w:rsidR="009E4C75" w:rsidRDefault="00A93C38">
            <w:pPr>
              <w:spacing w:line="0" w:lineRule="atLeast"/>
              <w:ind w:firstLineChars="0" w:firstLine="0"/>
              <w:rPr>
                <w:rFonts w:ascii="仿宋" w:eastAsia="仿宋" w:hAnsi="仿宋" w:cs="仿宋"/>
              </w:rPr>
            </w:pPr>
            <w:r>
              <w:rPr>
                <w:rFonts w:ascii="仿宋" w:eastAsia="仿宋" w:hAnsi="仿宋" w:cs="仿宋" w:hint="eastAsia"/>
              </w:rPr>
              <w:t>课后服务是否有变相集体补课、上课现象？</w:t>
            </w:r>
          </w:p>
        </w:tc>
        <w:tc>
          <w:tcPr>
            <w:tcW w:w="788" w:type="dxa"/>
            <w:vAlign w:val="center"/>
          </w:tcPr>
          <w:p w:rsidR="009E4C75" w:rsidRDefault="00A93C38">
            <w:pPr>
              <w:ind w:firstLineChars="0" w:firstLine="0"/>
              <w:jc w:val="center"/>
              <w:rPr>
                <w:rFonts w:ascii="仿宋" w:eastAsia="仿宋" w:hAnsi="仿宋" w:cs="仿宋"/>
              </w:rPr>
            </w:pPr>
            <w:r>
              <w:rPr>
                <w:rFonts w:ascii="仿宋" w:eastAsia="仿宋" w:hAnsi="仿宋" w:cs="仿宋" w:hint="eastAsia"/>
              </w:rPr>
              <w:t>10</w:t>
            </w:r>
          </w:p>
        </w:tc>
        <w:tc>
          <w:tcPr>
            <w:tcW w:w="1075" w:type="dxa"/>
            <w:vAlign w:val="center"/>
          </w:tcPr>
          <w:p w:rsidR="009E4C75" w:rsidRDefault="009E4C75">
            <w:pPr>
              <w:ind w:firstLine="480"/>
              <w:jc w:val="center"/>
              <w:rPr>
                <w:rFonts w:ascii="仿宋" w:eastAsia="仿宋" w:hAnsi="仿宋" w:cs="仿宋"/>
              </w:rPr>
            </w:pPr>
          </w:p>
        </w:tc>
        <w:tc>
          <w:tcPr>
            <w:tcW w:w="915" w:type="dxa"/>
            <w:vAlign w:val="center"/>
          </w:tcPr>
          <w:p w:rsidR="009E4C75" w:rsidRDefault="009E4C75">
            <w:pPr>
              <w:ind w:firstLine="480"/>
              <w:jc w:val="center"/>
              <w:rPr>
                <w:rFonts w:ascii="仿宋" w:eastAsia="仿宋" w:hAnsi="仿宋" w:cs="仿宋"/>
              </w:rPr>
            </w:pPr>
          </w:p>
        </w:tc>
      </w:tr>
      <w:tr w:rsidR="009E4C75">
        <w:trPr>
          <w:trHeight w:hRule="exact" w:val="832"/>
          <w:jc w:val="center"/>
        </w:trPr>
        <w:tc>
          <w:tcPr>
            <w:tcW w:w="828" w:type="dxa"/>
            <w:vAlign w:val="center"/>
          </w:tcPr>
          <w:p w:rsidR="009E4C75" w:rsidRDefault="00A93C38">
            <w:pPr>
              <w:spacing w:line="0" w:lineRule="atLeast"/>
              <w:ind w:firstLineChars="0" w:firstLine="0"/>
              <w:jc w:val="center"/>
              <w:rPr>
                <w:rFonts w:ascii="仿宋" w:eastAsia="仿宋" w:hAnsi="仿宋" w:cs="仿宋"/>
              </w:rPr>
            </w:pPr>
            <w:r>
              <w:rPr>
                <w:rFonts w:ascii="仿宋" w:eastAsia="仿宋" w:hAnsi="仿宋" w:cs="仿宋" w:hint="eastAsia"/>
              </w:rPr>
              <w:t>10</w:t>
            </w:r>
          </w:p>
        </w:tc>
        <w:tc>
          <w:tcPr>
            <w:tcW w:w="5769" w:type="dxa"/>
            <w:vAlign w:val="center"/>
          </w:tcPr>
          <w:p w:rsidR="009E4C75" w:rsidRDefault="00A93C38">
            <w:pPr>
              <w:spacing w:line="0" w:lineRule="atLeast"/>
              <w:ind w:firstLineChars="0" w:firstLine="0"/>
              <w:rPr>
                <w:rFonts w:ascii="仿宋" w:eastAsia="仿宋" w:hAnsi="仿宋" w:cs="仿宋"/>
              </w:rPr>
            </w:pPr>
            <w:r>
              <w:rPr>
                <w:rFonts w:ascii="仿宋" w:eastAsia="仿宋" w:hAnsi="仿宋" w:cs="仿宋" w:hint="eastAsia"/>
              </w:rPr>
              <w:t>课后服务是否有效改善校园周边放学高峰期的交通滞留现象？</w:t>
            </w:r>
          </w:p>
        </w:tc>
        <w:tc>
          <w:tcPr>
            <w:tcW w:w="788" w:type="dxa"/>
            <w:vAlign w:val="center"/>
          </w:tcPr>
          <w:p w:rsidR="009E4C75" w:rsidRDefault="00A93C38">
            <w:pPr>
              <w:ind w:firstLineChars="0" w:firstLine="0"/>
              <w:jc w:val="center"/>
              <w:rPr>
                <w:rFonts w:ascii="仿宋" w:eastAsia="仿宋" w:hAnsi="仿宋" w:cs="仿宋"/>
              </w:rPr>
            </w:pPr>
            <w:r>
              <w:rPr>
                <w:rFonts w:ascii="仿宋" w:eastAsia="仿宋" w:hAnsi="仿宋" w:cs="仿宋" w:hint="eastAsia"/>
              </w:rPr>
              <w:t>10</w:t>
            </w:r>
          </w:p>
        </w:tc>
        <w:tc>
          <w:tcPr>
            <w:tcW w:w="1075" w:type="dxa"/>
            <w:vAlign w:val="center"/>
          </w:tcPr>
          <w:p w:rsidR="009E4C75" w:rsidRDefault="009E4C75">
            <w:pPr>
              <w:ind w:firstLine="480"/>
              <w:jc w:val="center"/>
              <w:rPr>
                <w:rFonts w:ascii="仿宋" w:eastAsia="仿宋" w:hAnsi="仿宋" w:cs="仿宋"/>
              </w:rPr>
            </w:pPr>
          </w:p>
        </w:tc>
        <w:tc>
          <w:tcPr>
            <w:tcW w:w="915" w:type="dxa"/>
            <w:vAlign w:val="center"/>
          </w:tcPr>
          <w:p w:rsidR="009E4C75" w:rsidRDefault="009E4C75">
            <w:pPr>
              <w:ind w:firstLine="480"/>
              <w:jc w:val="center"/>
              <w:rPr>
                <w:rFonts w:ascii="仿宋" w:eastAsia="仿宋" w:hAnsi="仿宋" w:cs="仿宋"/>
              </w:rPr>
            </w:pPr>
          </w:p>
        </w:tc>
      </w:tr>
      <w:tr w:rsidR="009E4C75">
        <w:trPr>
          <w:trHeight w:hRule="exact" w:val="567"/>
          <w:jc w:val="center"/>
        </w:trPr>
        <w:tc>
          <w:tcPr>
            <w:tcW w:w="828" w:type="dxa"/>
            <w:vAlign w:val="center"/>
          </w:tcPr>
          <w:p w:rsidR="009E4C75" w:rsidRDefault="009E4C75">
            <w:pPr>
              <w:ind w:firstLine="480"/>
              <w:jc w:val="center"/>
              <w:rPr>
                <w:rFonts w:ascii="仿宋" w:eastAsia="仿宋" w:hAnsi="仿宋" w:cs="仿宋"/>
              </w:rPr>
            </w:pPr>
          </w:p>
        </w:tc>
        <w:tc>
          <w:tcPr>
            <w:tcW w:w="5769" w:type="dxa"/>
            <w:vAlign w:val="center"/>
          </w:tcPr>
          <w:p w:rsidR="009E4C75" w:rsidRDefault="00A93C38">
            <w:pPr>
              <w:ind w:firstLine="480"/>
              <w:jc w:val="center"/>
              <w:rPr>
                <w:rFonts w:ascii="仿宋" w:eastAsia="仿宋" w:hAnsi="仿宋" w:cs="仿宋"/>
              </w:rPr>
            </w:pPr>
            <w:r>
              <w:rPr>
                <w:rFonts w:ascii="仿宋" w:eastAsia="仿宋" w:hAnsi="仿宋" w:cs="仿宋" w:hint="eastAsia"/>
              </w:rPr>
              <w:t>合计</w:t>
            </w:r>
          </w:p>
        </w:tc>
        <w:tc>
          <w:tcPr>
            <w:tcW w:w="788" w:type="dxa"/>
            <w:vAlign w:val="center"/>
          </w:tcPr>
          <w:p w:rsidR="009E4C75" w:rsidRDefault="00A93C38">
            <w:pPr>
              <w:ind w:firstLineChars="0" w:firstLine="0"/>
              <w:rPr>
                <w:rFonts w:ascii="仿宋" w:eastAsia="仿宋" w:hAnsi="仿宋" w:cs="仿宋"/>
              </w:rPr>
            </w:pPr>
            <w:r>
              <w:rPr>
                <w:rFonts w:ascii="仿宋" w:eastAsia="仿宋" w:hAnsi="仿宋" w:cs="仿宋" w:hint="eastAsia"/>
              </w:rPr>
              <w:t>100</w:t>
            </w:r>
          </w:p>
        </w:tc>
        <w:tc>
          <w:tcPr>
            <w:tcW w:w="1075" w:type="dxa"/>
            <w:vAlign w:val="center"/>
          </w:tcPr>
          <w:p w:rsidR="009E4C75" w:rsidRDefault="009E4C75">
            <w:pPr>
              <w:ind w:firstLine="480"/>
              <w:jc w:val="center"/>
              <w:rPr>
                <w:rFonts w:ascii="仿宋" w:eastAsia="仿宋" w:hAnsi="仿宋" w:cs="仿宋"/>
              </w:rPr>
            </w:pPr>
          </w:p>
        </w:tc>
        <w:tc>
          <w:tcPr>
            <w:tcW w:w="915" w:type="dxa"/>
            <w:vAlign w:val="center"/>
          </w:tcPr>
          <w:p w:rsidR="009E4C75" w:rsidRDefault="009E4C75">
            <w:pPr>
              <w:ind w:firstLine="480"/>
              <w:jc w:val="center"/>
              <w:rPr>
                <w:rFonts w:ascii="仿宋" w:eastAsia="仿宋" w:hAnsi="仿宋" w:cs="仿宋"/>
              </w:rPr>
            </w:pPr>
          </w:p>
        </w:tc>
      </w:tr>
    </w:tbl>
    <w:p w:rsidR="009E4C75" w:rsidRDefault="009E4C75">
      <w:pPr>
        <w:ind w:firstLine="480"/>
      </w:pPr>
    </w:p>
    <w:sectPr w:rsidR="009E4C75" w:rsidSect="00C773F9">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0D0" w:rsidRDefault="007960D0" w:rsidP="00AC095C">
      <w:pPr>
        <w:spacing w:line="240" w:lineRule="auto"/>
        <w:ind w:firstLine="480"/>
      </w:pPr>
      <w:r>
        <w:separator/>
      </w:r>
    </w:p>
  </w:endnote>
  <w:endnote w:type="continuationSeparator" w:id="1">
    <w:p w:rsidR="007960D0" w:rsidRDefault="007960D0" w:rsidP="00AC095C">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 w:name="Helvetica Neue">
    <w:altName w:val="Corbel"/>
    <w:charset w:val="00"/>
    <w:family w:val="auto"/>
    <w:pitch w:val="default"/>
    <w:sig w:usb0="00000000" w:usb1="00000000" w:usb2="00000010" w:usb3="00000000" w:csb0="00000000"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75" w:rsidRDefault="009E4C75">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75" w:rsidRDefault="009E4C75">
    <w:pPr>
      <w:pStyle w:val="a5"/>
      <w:ind w:firstLine="360"/>
      <w:jc w:val="center"/>
    </w:pPr>
  </w:p>
  <w:p w:rsidR="009E4C75" w:rsidRDefault="009E4C75">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75" w:rsidRDefault="009E4C75">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895157"/>
    </w:sdtPr>
    <w:sdtContent>
      <w:p w:rsidR="009E4C75" w:rsidRDefault="00C773F9">
        <w:pPr>
          <w:pStyle w:val="a5"/>
          <w:ind w:firstLine="360"/>
          <w:jc w:val="center"/>
        </w:pPr>
        <w:r>
          <w:fldChar w:fldCharType="begin"/>
        </w:r>
        <w:r w:rsidR="00A93C38">
          <w:instrText>PAGE   \* MERGEFORMAT</w:instrText>
        </w:r>
        <w:r>
          <w:fldChar w:fldCharType="separate"/>
        </w:r>
        <w:r w:rsidR="005C1FB5" w:rsidRPr="005C1FB5">
          <w:rPr>
            <w:noProof/>
            <w:lang w:val="zh-CN"/>
          </w:rPr>
          <w:t>14</w:t>
        </w:r>
        <w:r>
          <w:fldChar w:fldCharType="end"/>
        </w:r>
      </w:p>
    </w:sdtContent>
  </w:sdt>
  <w:p w:rsidR="009E4C75" w:rsidRDefault="009E4C75">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0D0" w:rsidRDefault="007960D0" w:rsidP="00AC095C">
      <w:pPr>
        <w:spacing w:line="240" w:lineRule="auto"/>
        <w:ind w:firstLine="480"/>
      </w:pPr>
      <w:r>
        <w:separator/>
      </w:r>
    </w:p>
  </w:footnote>
  <w:footnote w:type="continuationSeparator" w:id="1">
    <w:p w:rsidR="007960D0" w:rsidRDefault="007960D0" w:rsidP="00AC095C">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75" w:rsidRDefault="009E4C75">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75" w:rsidRDefault="009E4C75">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75" w:rsidRDefault="009E4C75">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777032"/>
    <w:multiLevelType w:val="singleLevel"/>
    <w:tmpl w:val="A9777032"/>
    <w:lvl w:ilvl="0">
      <w:start w:val="1"/>
      <w:numFmt w:val="decimal"/>
      <w:suff w:val="nothing"/>
      <w:lvlText w:val="（%1）"/>
      <w:lvlJc w:val="left"/>
    </w:lvl>
  </w:abstractNum>
  <w:abstractNum w:abstractNumId="1">
    <w:nsid w:val="B5BE6AFD"/>
    <w:multiLevelType w:val="singleLevel"/>
    <w:tmpl w:val="B5BE6AFD"/>
    <w:lvl w:ilvl="0">
      <w:start w:val="1"/>
      <w:numFmt w:val="decimal"/>
      <w:suff w:val="nothing"/>
      <w:lvlText w:val="（%1）"/>
      <w:lvlJc w:val="left"/>
    </w:lvl>
  </w:abstractNum>
  <w:abstractNum w:abstractNumId="2">
    <w:nsid w:val="DA177901"/>
    <w:multiLevelType w:val="singleLevel"/>
    <w:tmpl w:val="DA177901"/>
    <w:lvl w:ilvl="0">
      <w:start w:val="1"/>
      <w:numFmt w:val="decimal"/>
      <w:suff w:val="nothing"/>
      <w:lvlText w:val="（%1）"/>
      <w:lvlJc w:val="left"/>
    </w:lvl>
  </w:abstractNum>
  <w:abstractNum w:abstractNumId="3">
    <w:nsid w:val="DF59D508"/>
    <w:multiLevelType w:val="singleLevel"/>
    <w:tmpl w:val="DF59D508"/>
    <w:lvl w:ilvl="0">
      <w:start w:val="1"/>
      <w:numFmt w:val="decimal"/>
      <w:suff w:val="nothing"/>
      <w:lvlText w:val="（%1）"/>
      <w:lvlJc w:val="left"/>
    </w:lvl>
  </w:abstractNum>
  <w:abstractNum w:abstractNumId="4">
    <w:nsid w:val="F7B44F2D"/>
    <w:multiLevelType w:val="singleLevel"/>
    <w:tmpl w:val="F7B44F2D"/>
    <w:lvl w:ilvl="0">
      <w:start w:val="1"/>
      <w:numFmt w:val="decimal"/>
      <w:suff w:val="nothing"/>
      <w:lvlText w:val="（%1）"/>
      <w:lvlJc w:val="left"/>
    </w:lvl>
  </w:abstractNum>
  <w:abstractNum w:abstractNumId="5">
    <w:nsid w:val="0AED61FE"/>
    <w:multiLevelType w:val="multilevel"/>
    <w:tmpl w:val="0AED61F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11EE1E13"/>
    <w:multiLevelType w:val="multilevel"/>
    <w:tmpl w:val="11EE1E1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13AE2AB8"/>
    <w:multiLevelType w:val="multilevel"/>
    <w:tmpl w:val="13AE2AB8"/>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nsid w:val="161838E8"/>
    <w:multiLevelType w:val="multilevel"/>
    <w:tmpl w:val="161838E8"/>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3BBA7C92"/>
    <w:multiLevelType w:val="multilevel"/>
    <w:tmpl w:val="3BBA7C9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3E3114DE"/>
    <w:multiLevelType w:val="multilevel"/>
    <w:tmpl w:val="3E3114D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1DE08C6"/>
    <w:multiLevelType w:val="multilevel"/>
    <w:tmpl w:val="51DE08C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550E6F33"/>
    <w:multiLevelType w:val="singleLevel"/>
    <w:tmpl w:val="550E6F33"/>
    <w:lvl w:ilvl="0">
      <w:start w:val="1"/>
      <w:numFmt w:val="decimal"/>
      <w:suff w:val="nothing"/>
      <w:lvlText w:val="（%1）"/>
      <w:lvlJc w:val="left"/>
    </w:lvl>
  </w:abstractNum>
  <w:abstractNum w:abstractNumId="13">
    <w:nsid w:val="5C5E5CB0"/>
    <w:multiLevelType w:val="multilevel"/>
    <w:tmpl w:val="5C5E5CB0"/>
    <w:lvl w:ilvl="0">
      <w:start w:val="1"/>
      <w:numFmt w:val="japaneseCounting"/>
      <w:lvlText w:val="（%1）"/>
      <w:lvlJc w:val="left"/>
      <w:pPr>
        <w:ind w:left="1247" w:hanging="765"/>
      </w:pPr>
      <w:rPr>
        <w:rFonts w:hint="default"/>
      </w:rPr>
    </w:lvl>
    <w:lvl w:ilvl="1">
      <w:start w:val="1"/>
      <w:numFmt w:val="decimalEnclosedCircle"/>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
    <w:nsid w:val="5CDB7FCB"/>
    <w:multiLevelType w:val="singleLevel"/>
    <w:tmpl w:val="5CDB7FCB"/>
    <w:lvl w:ilvl="0">
      <w:start w:val="1"/>
      <w:numFmt w:val="decimal"/>
      <w:lvlText w:val="%1."/>
      <w:lvlJc w:val="left"/>
      <w:pPr>
        <w:tabs>
          <w:tab w:val="left" w:pos="312"/>
        </w:tabs>
      </w:pPr>
    </w:lvl>
  </w:abstractNum>
  <w:abstractNum w:abstractNumId="15">
    <w:nsid w:val="609DB668"/>
    <w:multiLevelType w:val="singleLevel"/>
    <w:tmpl w:val="609DB668"/>
    <w:lvl w:ilvl="0">
      <w:start w:val="1"/>
      <w:numFmt w:val="decimal"/>
      <w:suff w:val="nothing"/>
      <w:lvlText w:val="（%1）"/>
      <w:lvlJc w:val="left"/>
    </w:lvl>
  </w:abstractNum>
  <w:abstractNum w:abstractNumId="16">
    <w:nsid w:val="626E6C62"/>
    <w:multiLevelType w:val="multilevel"/>
    <w:tmpl w:val="626E6C6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633E16EB"/>
    <w:multiLevelType w:val="multilevel"/>
    <w:tmpl w:val="633E16EB"/>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8A84FB7"/>
    <w:multiLevelType w:val="multilevel"/>
    <w:tmpl w:val="68A84FB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6FD6277A"/>
    <w:multiLevelType w:val="multilevel"/>
    <w:tmpl w:val="6FD6277A"/>
    <w:lvl w:ilvl="0">
      <w:start w:val="1"/>
      <w:numFmt w:val="japaneseCounting"/>
      <w:lvlText w:val="（%1）"/>
      <w:lvlJc w:val="left"/>
      <w:pPr>
        <w:ind w:left="1247" w:hanging="765"/>
      </w:pPr>
      <w:rPr>
        <w:rFonts w:hint="default"/>
      </w:rPr>
    </w:lvl>
    <w:lvl w:ilvl="1">
      <w:start w:val="1"/>
      <w:numFmt w:val="decimalEnclosedCircle"/>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0">
    <w:nsid w:val="71EF2D30"/>
    <w:multiLevelType w:val="multilevel"/>
    <w:tmpl w:val="71EF2D3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7"/>
  </w:num>
  <w:num w:numId="2">
    <w:abstractNumId w:val="7"/>
  </w:num>
  <w:num w:numId="3">
    <w:abstractNumId w:val="5"/>
  </w:num>
  <w:num w:numId="4">
    <w:abstractNumId w:val="18"/>
  </w:num>
  <w:num w:numId="5">
    <w:abstractNumId w:val="11"/>
  </w:num>
  <w:num w:numId="6">
    <w:abstractNumId w:val="8"/>
  </w:num>
  <w:num w:numId="7">
    <w:abstractNumId w:val="13"/>
  </w:num>
  <w:num w:numId="8">
    <w:abstractNumId w:val="10"/>
  </w:num>
  <w:num w:numId="9">
    <w:abstractNumId w:val="3"/>
  </w:num>
  <w:num w:numId="10">
    <w:abstractNumId w:val="14"/>
  </w:num>
  <w:num w:numId="11">
    <w:abstractNumId w:val="9"/>
  </w:num>
  <w:num w:numId="12">
    <w:abstractNumId w:val="4"/>
  </w:num>
  <w:num w:numId="13">
    <w:abstractNumId w:val="0"/>
  </w:num>
  <w:num w:numId="14">
    <w:abstractNumId w:val="16"/>
  </w:num>
  <w:num w:numId="15">
    <w:abstractNumId w:val="12"/>
  </w:num>
  <w:num w:numId="16">
    <w:abstractNumId w:val="2"/>
  </w:num>
  <w:num w:numId="17">
    <w:abstractNumId w:val="1"/>
  </w:num>
  <w:num w:numId="18">
    <w:abstractNumId w:val="15"/>
  </w:num>
  <w:num w:numId="19">
    <w:abstractNumId w:val="19"/>
  </w:num>
  <w:num w:numId="20">
    <w:abstractNumId w:val="20"/>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C70ED3"/>
    <w:rsid w:val="BEA6A580"/>
    <w:rsid w:val="CA9FCA27"/>
    <w:rsid w:val="D8FB448A"/>
    <w:rsid w:val="FA8FB5B5"/>
    <w:rsid w:val="FF1F651D"/>
    <w:rsid w:val="00012E80"/>
    <w:rsid w:val="0001466A"/>
    <w:rsid w:val="00025801"/>
    <w:rsid w:val="00026A31"/>
    <w:rsid w:val="00034837"/>
    <w:rsid w:val="00074B40"/>
    <w:rsid w:val="00086ACB"/>
    <w:rsid w:val="000A60F2"/>
    <w:rsid w:val="000D592C"/>
    <w:rsid w:val="001035A3"/>
    <w:rsid w:val="00141A0B"/>
    <w:rsid w:val="00143796"/>
    <w:rsid w:val="0016762C"/>
    <w:rsid w:val="00186F30"/>
    <w:rsid w:val="001E4CEF"/>
    <w:rsid w:val="00212CAA"/>
    <w:rsid w:val="0021373A"/>
    <w:rsid w:val="00242B3E"/>
    <w:rsid w:val="003910A9"/>
    <w:rsid w:val="003B32AC"/>
    <w:rsid w:val="003E0947"/>
    <w:rsid w:val="003E6075"/>
    <w:rsid w:val="00426C5F"/>
    <w:rsid w:val="00463CDC"/>
    <w:rsid w:val="00484B47"/>
    <w:rsid w:val="004A3B9E"/>
    <w:rsid w:val="00500BC9"/>
    <w:rsid w:val="00501C6D"/>
    <w:rsid w:val="005156E4"/>
    <w:rsid w:val="00517B85"/>
    <w:rsid w:val="005C1FB5"/>
    <w:rsid w:val="005D45C5"/>
    <w:rsid w:val="0062555F"/>
    <w:rsid w:val="00694AF2"/>
    <w:rsid w:val="006E0335"/>
    <w:rsid w:val="006F02AB"/>
    <w:rsid w:val="00711C91"/>
    <w:rsid w:val="00725E69"/>
    <w:rsid w:val="00765EBA"/>
    <w:rsid w:val="007960D0"/>
    <w:rsid w:val="007C3B2C"/>
    <w:rsid w:val="007D0213"/>
    <w:rsid w:val="0080047D"/>
    <w:rsid w:val="00837244"/>
    <w:rsid w:val="00851825"/>
    <w:rsid w:val="00875508"/>
    <w:rsid w:val="00886500"/>
    <w:rsid w:val="0089338F"/>
    <w:rsid w:val="008B4E27"/>
    <w:rsid w:val="009438AA"/>
    <w:rsid w:val="0096550D"/>
    <w:rsid w:val="00970B78"/>
    <w:rsid w:val="00983DD4"/>
    <w:rsid w:val="009C4C65"/>
    <w:rsid w:val="009E4C75"/>
    <w:rsid w:val="00A200E4"/>
    <w:rsid w:val="00A30499"/>
    <w:rsid w:val="00A536D8"/>
    <w:rsid w:val="00A87A0E"/>
    <w:rsid w:val="00A93B3B"/>
    <w:rsid w:val="00A93C38"/>
    <w:rsid w:val="00AC095C"/>
    <w:rsid w:val="00AF1032"/>
    <w:rsid w:val="00B154D0"/>
    <w:rsid w:val="00B42F18"/>
    <w:rsid w:val="00B71337"/>
    <w:rsid w:val="00B812C1"/>
    <w:rsid w:val="00B84318"/>
    <w:rsid w:val="00B95209"/>
    <w:rsid w:val="00BD5A91"/>
    <w:rsid w:val="00BF5047"/>
    <w:rsid w:val="00C35232"/>
    <w:rsid w:val="00C36328"/>
    <w:rsid w:val="00C55427"/>
    <w:rsid w:val="00C70ED3"/>
    <w:rsid w:val="00C773F9"/>
    <w:rsid w:val="00CB257D"/>
    <w:rsid w:val="00CD4268"/>
    <w:rsid w:val="00D13530"/>
    <w:rsid w:val="00D145DD"/>
    <w:rsid w:val="00D3027E"/>
    <w:rsid w:val="00D513B5"/>
    <w:rsid w:val="00D55610"/>
    <w:rsid w:val="00D56FE9"/>
    <w:rsid w:val="00D91F90"/>
    <w:rsid w:val="00DA23C8"/>
    <w:rsid w:val="00DB1808"/>
    <w:rsid w:val="00E073D4"/>
    <w:rsid w:val="00E52359"/>
    <w:rsid w:val="00E53005"/>
    <w:rsid w:val="00E657BE"/>
    <w:rsid w:val="00E679CB"/>
    <w:rsid w:val="00EC4CB7"/>
    <w:rsid w:val="00EC53C3"/>
    <w:rsid w:val="00ED6CF2"/>
    <w:rsid w:val="00EF5C53"/>
    <w:rsid w:val="00F0383F"/>
    <w:rsid w:val="00F2016F"/>
    <w:rsid w:val="00F22024"/>
    <w:rsid w:val="00F46698"/>
    <w:rsid w:val="00F53179"/>
    <w:rsid w:val="00F82827"/>
    <w:rsid w:val="027D38D0"/>
    <w:rsid w:val="029D3F82"/>
    <w:rsid w:val="02DF6E90"/>
    <w:rsid w:val="03067949"/>
    <w:rsid w:val="03111DC2"/>
    <w:rsid w:val="03B720EA"/>
    <w:rsid w:val="050528EF"/>
    <w:rsid w:val="051D278C"/>
    <w:rsid w:val="05246662"/>
    <w:rsid w:val="05534909"/>
    <w:rsid w:val="056367EF"/>
    <w:rsid w:val="05C53423"/>
    <w:rsid w:val="08453F5D"/>
    <w:rsid w:val="088D4F8E"/>
    <w:rsid w:val="08B73779"/>
    <w:rsid w:val="08FF397F"/>
    <w:rsid w:val="0956174E"/>
    <w:rsid w:val="095B2FC6"/>
    <w:rsid w:val="096D0F38"/>
    <w:rsid w:val="0A0B69B9"/>
    <w:rsid w:val="0A454BD1"/>
    <w:rsid w:val="0A8D68F1"/>
    <w:rsid w:val="0AB506DD"/>
    <w:rsid w:val="0B54097F"/>
    <w:rsid w:val="0B555CC0"/>
    <w:rsid w:val="0B7413BC"/>
    <w:rsid w:val="0BCB7CEE"/>
    <w:rsid w:val="0C0021E9"/>
    <w:rsid w:val="0C6D455C"/>
    <w:rsid w:val="0D0747D0"/>
    <w:rsid w:val="0D1B5169"/>
    <w:rsid w:val="0D292982"/>
    <w:rsid w:val="0D313EF8"/>
    <w:rsid w:val="0D554A4C"/>
    <w:rsid w:val="0D5F66E6"/>
    <w:rsid w:val="0DB103C4"/>
    <w:rsid w:val="0E1F32DD"/>
    <w:rsid w:val="0E547D3F"/>
    <w:rsid w:val="0E5969EE"/>
    <w:rsid w:val="0EB82280"/>
    <w:rsid w:val="0EE30E74"/>
    <w:rsid w:val="0F257F8E"/>
    <w:rsid w:val="0FA63EBD"/>
    <w:rsid w:val="0FDA145C"/>
    <w:rsid w:val="10D66C50"/>
    <w:rsid w:val="110530DB"/>
    <w:rsid w:val="110C2AA7"/>
    <w:rsid w:val="11840F59"/>
    <w:rsid w:val="11A40247"/>
    <w:rsid w:val="11FB730B"/>
    <w:rsid w:val="1221531D"/>
    <w:rsid w:val="122402AC"/>
    <w:rsid w:val="12316263"/>
    <w:rsid w:val="126D5182"/>
    <w:rsid w:val="127A79A5"/>
    <w:rsid w:val="12893729"/>
    <w:rsid w:val="13335C33"/>
    <w:rsid w:val="13374619"/>
    <w:rsid w:val="13434DB8"/>
    <w:rsid w:val="136841F5"/>
    <w:rsid w:val="137B64BF"/>
    <w:rsid w:val="142C01E3"/>
    <w:rsid w:val="149A4E4C"/>
    <w:rsid w:val="14C51AE7"/>
    <w:rsid w:val="15002CB9"/>
    <w:rsid w:val="150E5F9F"/>
    <w:rsid w:val="15185AF7"/>
    <w:rsid w:val="15750B4A"/>
    <w:rsid w:val="15E7633D"/>
    <w:rsid w:val="15F87AAD"/>
    <w:rsid w:val="16455C18"/>
    <w:rsid w:val="16527119"/>
    <w:rsid w:val="16C309BF"/>
    <w:rsid w:val="16E25169"/>
    <w:rsid w:val="1710386F"/>
    <w:rsid w:val="17696579"/>
    <w:rsid w:val="17935DA3"/>
    <w:rsid w:val="17BE2E65"/>
    <w:rsid w:val="17C01079"/>
    <w:rsid w:val="17DC1A2E"/>
    <w:rsid w:val="19DF2E86"/>
    <w:rsid w:val="19EC32E0"/>
    <w:rsid w:val="1A063404"/>
    <w:rsid w:val="1A573223"/>
    <w:rsid w:val="1A6E30D6"/>
    <w:rsid w:val="1A6F509B"/>
    <w:rsid w:val="1A8F5152"/>
    <w:rsid w:val="1AD67754"/>
    <w:rsid w:val="1AF66B6D"/>
    <w:rsid w:val="1C290EDD"/>
    <w:rsid w:val="1C3A0007"/>
    <w:rsid w:val="1C932E1A"/>
    <w:rsid w:val="1CAA2D2D"/>
    <w:rsid w:val="1D1C699F"/>
    <w:rsid w:val="1D517CED"/>
    <w:rsid w:val="1D8F7945"/>
    <w:rsid w:val="1DA7634C"/>
    <w:rsid w:val="1FAF3BBE"/>
    <w:rsid w:val="1FD152F9"/>
    <w:rsid w:val="1FE162C2"/>
    <w:rsid w:val="1FE50537"/>
    <w:rsid w:val="1FE87197"/>
    <w:rsid w:val="200779B7"/>
    <w:rsid w:val="2045099F"/>
    <w:rsid w:val="207A7B14"/>
    <w:rsid w:val="209D31AD"/>
    <w:rsid w:val="21574681"/>
    <w:rsid w:val="21692205"/>
    <w:rsid w:val="21D379D5"/>
    <w:rsid w:val="2284009A"/>
    <w:rsid w:val="22A669E2"/>
    <w:rsid w:val="22EF286C"/>
    <w:rsid w:val="235929E2"/>
    <w:rsid w:val="236B30D0"/>
    <w:rsid w:val="237418C5"/>
    <w:rsid w:val="23AF6817"/>
    <w:rsid w:val="23D155ED"/>
    <w:rsid w:val="23D47438"/>
    <w:rsid w:val="244B78EA"/>
    <w:rsid w:val="24516EC2"/>
    <w:rsid w:val="249C433A"/>
    <w:rsid w:val="25655FD9"/>
    <w:rsid w:val="25DA342F"/>
    <w:rsid w:val="26733C29"/>
    <w:rsid w:val="26BC6D04"/>
    <w:rsid w:val="275C4D0B"/>
    <w:rsid w:val="27784B18"/>
    <w:rsid w:val="286F2BAF"/>
    <w:rsid w:val="28720C98"/>
    <w:rsid w:val="289B2028"/>
    <w:rsid w:val="28AD2191"/>
    <w:rsid w:val="28F00B85"/>
    <w:rsid w:val="2958426C"/>
    <w:rsid w:val="295A34DE"/>
    <w:rsid w:val="29F907B1"/>
    <w:rsid w:val="2A0A6659"/>
    <w:rsid w:val="2A74388A"/>
    <w:rsid w:val="2A8A6045"/>
    <w:rsid w:val="2AD158A5"/>
    <w:rsid w:val="2B047967"/>
    <w:rsid w:val="2B771E2C"/>
    <w:rsid w:val="2BE928FD"/>
    <w:rsid w:val="2C184432"/>
    <w:rsid w:val="2CE32FAF"/>
    <w:rsid w:val="2D977D59"/>
    <w:rsid w:val="2DE40C4F"/>
    <w:rsid w:val="2DFF6AF2"/>
    <w:rsid w:val="2E346AB7"/>
    <w:rsid w:val="2E784863"/>
    <w:rsid w:val="2F0A3D24"/>
    <w:rsid w:val="2F1001C4"/>
    <w:rsid w:val="2F285185"/>
    <w:rsid w:val="2F2925EB"/>
    <w:rsid w:val="2F3C514B"/>
    <w:rsid w:val="2F67062D"/>
    <w:rsid w:val="2FA62BA3"/>
    <w:rsid w:val="30064379"/>
    <w:rsid w:val="301B5680"/>
    <w:rsid w:val="303221D3"/>
    <w:rsid w:val="304B347C"/>
    <w:rsid w:val="306D64F4"/>
    <w:rsid w:val="310E2268"/>
    <w:rsid w:val="31240565"/>
    <w:rsid w:val="319B005D"/>
    <w:rsid w:val="31AB2759"/>
    <w:rsid w:val="31CA0AB8"/>
    <w:rsid w:val="320A5046"/>
    <w:rsid w:val="324467C5"/>
    <w:rsid w:val="326C656D"/>
    <w:rsid w:val="32920F17"/>
    <w:rsid w:val="32A45DC9"/>
    <w:rsid w:val="32D016C0"/>
    <w:rsid w:val="332C2FBD"/>
    <w:rsid w:val="33932DD2"/>
    <w:rsid w:val="33BB653A"/>
    <w:rsid w:val="33DD0031"/>
    <w:rsid w:val="3414309D"/>
    <w:rsid w:val="34420748"/>
    <w:rsid w:val="348B7A39"/>
    <w:rsid w:val="3496554E"/>
    <w:rsid w:val="34A52C56"/>
    <w:rsid w:val="34ED0B70"/>
    <w:rsid w:val="35242D5A"/>
    <w:rsid w:val="35614883"/>
    <w:rsid w:val="35A06649"/>
    <w:rsid w:val="35DB67B1"/>
    <w:rsid w:val="36065034"/>
    <w:rsid w:val="365C4F3D"/>
    <w:rsid w:val="36777DB1"/>
    <w:rsid w:val="367F7740"/>
    <w:rsid w:val="36B40E5F"/>
    <w:rsid w:val="36C27991"/>
    <w:rsid w:val="36F47BC3"/>
    <w:rsid w:val="36FB602A"/>
    <w:rsid w:val="37114EEF"/>
    <w:rsid w:val="37CA7295"/>
    <w:rsid w:val="38766CB5"/>
    <w:rsid w:val="38AD05E7"/>
    <w:rsid w:val="38F501A9"/>
    <w:rsid w:val="3922794E"/>
    <w:rsid w:val="393542F0"/>
    <w:rsid w:val="39AE28F6"/>
    <w:rsid w:val="39CF77A1"/>
    <w:rsid w:val="3A3B0054"/>
    <w:rsid w:val="3AA24C8B"/>
    <w:rsid w:val="3BBE575A"/>
    <w:rsid w:val="3D2D6609"/>
    <w:rsid w:val="3D620F16"/>
    <w:rsid w:val="3DBD13F0"/>
    <w:rsid w:val="3E182ED7"/>
    <w:rsid w:val="3E246C96"/>
    <w:rsid w:val="3E586CCA"/>
    <w:rsid w:val="3E997367"/>
    <w:rsid w:val="3EFC5080"/>
    <w:rsid w:val="3F4E3921"/>
    <w:rsid w:val="3FF125A3"/>
    <w:rsid w:val="40321514"/>
    <w:rsid w:val="404661B2"/>
    <w:rsid w:val="40BD2E5C"/>
    <w:rsid w:val="40F42BA5"/>
    <w:rsid w:val="41002CCE"/>
    <w:rsid w:val="41A40833"/>
    <w:rsid w:val="41B92C56"/>
    <w:rsid w:val="41BE341B"/>
    <w:rsid w:val="41D26B14"/>
    <w:rsid w:val="43437C33"/>
    <w:rsid w:val="434A792E"/>
    <w:rsid w:val="43941945"/>
    <w:rsid w:val="43B3665C"/>
    <w:rsid w:val="43EE4E40"/>
    <w:rsid w:val="44497CA9"/>
    <w:rsid w:val="44A63E9E"/>
    <w:rsid w:val="45A23348"/>
    <w:rsid w:val="45B5460F"/>
    <w:rsid w:val="460D5AB5"/>
    <w:rsid w:val="4654019B"/>
    <w:rsid w:val="47220358"/>
    <w:rsid w:val="477E3E54"/>
    <w:rsid w:val="479A6980"/>
    <w:rsid w:val="47AE065C"/>
    <w:rsid w:val="47B41D8B"/>
    <w:rsid w:val="47C37244"/>
    <w:rsid w:val="47DA60D2"/>
    <w:rsid w:val="47EB29A3"/>
    <w:rsid w:val="485F458E"/>
    <w:rsid w:val="48890077"/>
    <w:rsid w:val="496C53FC"/>
    <w:rsid w:val="4A64276D"/>
    <w:rsid w:val="4A807431"/>
    <w:rsid w:val="4A8C3EA6"/>
    <w:rsid w:val="4AA177A8"/>
    <w:rsid w:val="4AC863BA"/>
    <w:rsid w:val="4B1E1256"/>
    <w:rsid w:val="4B331DA0"/>
    <w:rsid w:val="4B7A67DE"/>
    <w:rsid w:val="4BAF682F"/>
    <w:rsid w:val="4BB26ACA"/>
    <w:rsid w:val="4BDC43D9"/>
    <w:rsid w:val="4BF140FB"/>
    <w:rsid w:val="4C142803"/>
    <w:rsid w:val="4C1D6534"/>
    <w:rsid w:val="4C405325"/>
    <w:rsid w:val="4C720B85"/>
    <w:rsid w:val="4CD75ACB"/>
    <w:rsid w:val="4D7661B6"/>
    <w:rsid w:val="4DA43F20"/>
    <w:rsid w:val="4E020454"/>
    <w:rsid w:val="4E04664B"/>
    <w:rsid w:val="4E7E7880"/>
    <w:rsid w:val="4E8E3701"/>
    <w:rsid w:val="4EE06284"/>
    <w:rsid w:val="4F113BC9"/>
    <w:rsid w:val="4F67621E"/>
    <w:rsid w:val="50A94E58"/>
    <w:rsid w:val="510F7844"/>
    <w:rsid w:val="52812438"/>
    <w:rsid w:val="52C90826"/>
    <w:rsid w:val="53091707"/>
    <w:rsid w:val="53526BB1"/>
    <w:rsid w:val="536C2246"/>
    <w:rsid w:val="53FE3E7D"/>
    <w:rsid w:val="541F1BF1"/>
    <w:rsid w:val="542E56AB"/>
    <w:rsid w:val="545F7CBE"/>
    <w:rsid w:val="551A2E83"/>
    <w:rsid w:val="55956704"/>
    <w:rsid w:val="55AD3F8B"/>
    <w:rsid w:val="55E43242"/>
    <w:rsid w:val="560169EF"/>
    <w:rsid w:val="566E7B4B"/>
    <w:rsid w:val="56996607"/>
    <w:rsid w:val="56A4796F"/>
    <w:rsid w:val="576A276C"/>
    <w:rsid w:val="57FF6D0D"/>
    <w:rsid w:val="581F160E"/>
    <w:rsid w:val="58D301CA"/>
    <w:rsid w:val="59197FAC"/>
    <w:rsid w:val="591D5342"/>
    <w:rsid w:val="595D25D1"/>
    <w:rsid w:val="59963827"/>
    <w:rsid w:val="599B509C"/>
    <w:rsid w:val="59D02F00"/>
    <w:rsid w:val="59F87463"/>
    <w:rsid w:val="5A271D8F"/>
    <w:rsid w:val="5ABE4571"/>
    <w:rsid w:val="5B2951C8"/>
    <w:rsid w:val="5B551A02"/>
    <w:rsid w:val="5B5D22E6"/>
    <w:rsid w:val="5B602322"/>
    <w:rsid w:val="5C14775A"/>
    <w:rsid w:val="5CC751F2"/>
    <w:rsid w:val="5D3233A0"/>
    <w:rsid w:val="5D3E722C"/>
    <w:rsid w:val="5D91117B"/>
    <w:rsid w:val="5D954685"/>
    <w:rsid w:val="5D9A385B"/>
    <w:rsid w:val="5D9E2679"/>
    <w:rsid w:val="5D9F7797"/>
    <w:rsid w:val="5DBF3CE2"/>
    <w:rsid w:val="5DF023C2"/>
    <w:rsid w:val="5EF04276"/>
    <w:rsid w:val="5F79127D"/>
    <w:rsid w:val="5F7D57FD"/>
    <w:rsid w:val="5FE928B8"/>
    <w:rsid w:val="5FF5011F"/>
    <w:rsid w:val="6068648E"/>
    <w:rsid w:val="61040FD6"/>
    <w:rsid w:val="61700D83"/>
    <w:rsid w:val="61A125B9"/>
    <w:rsid w:val="61C7687C"/>
    <w:rsid w:val="61DC6E83"/>
    <w:rsid w:val="6220403C"/>
    <w:rsid w:val="623975EF"/>
    <w:rsid w:val="62464C6A"/>
    <w:rsid w:val="630F49EE"/>
    <w:rsid w:val="63214D55"/>
    <w:rsid w:val="63B87CA0"/>
    <w:rsid w:val="63C96088"/>
    <w:rsid w:val="63ED77F8"/>
    <w:rsid w:val="63F2234D"/>
    <w:rsid w:val="64104BA7"/>
    <w:rsid w:val="64296482"/>
    <w:rsid w:val="643F6B5F"/>
    <w:rsid w:val="64AA39BB"/>
    <w:rsid w:val="654A2D39"/>
    <w:rsid w:val="659547AC"/>
    <w:rsid w:val="659D01F1"/>
    <w:rsid w:val="65E57339"/>
    <w:rsid w:val="663516A2"/>
    <w:rsid w:val="66841A3D"/>
    <w:rsid w:val="66BD26CD"/>
    <w:rsid w:val="66DB6B2C"/>
    <w:rsid w:val="67155AA8"/>
    <w:rsid w:val="67430C89"/>
    <w:rsid w:val="67E67F31"/>
    <w:rsid w:val="68164590"/>
    <w:rsid w:val="68C860A6"/>
    <w:rsid w:val="68EE6F40"/>
    <w:rsid w:val="69672293"/>
    <w:rsid w:val="6997409B"/>
    <w:rsid w:val="69B03DEE"/>
    <w:rsid w:val="6A467279"/>
    <w:rsid w:val="6AA63406"/>
    <w:rsid w:val="6AA91575"/>
    <w:rsid w:val="6AACEE81"/>
    <w:rsid w:val="6B276C52"/>
    <w:rsid w:val="6B515117"/>
    <w:rsid w:val="6B546446"/>
    <w:rsid w:val="6BE760D8"/>
    <w:rsid w:val="6C531421"/>
    <w:rsid w:val="6C706001"/>
    <w:rsid w:val="6C972A4A"/>
    <w:rsid w:val="6E797E8C"/>
    <w:rsid w:val="6EB07088"/>
    <w:rsid w:val="6F430BFB"/>
    <w:rsid w:val="6FB710A4"/>
    <w:rsid w:val="6FD36FCC"/>
    <w:rsid w:val="70075FB6"/>
    <w:rsid w:val="70C900DA"/>
    <w:rsid w:val="711441C5"/>
    <w:rsid w:val="71726D07"/>
    <w:rsid w:val="720A59A3"/>
    <w:rsid w:val="721028F2"/>
    <w:rsid w:val="72372F0B"/>
    <w:rsid w:val="72B37921"/>
    <w:rsid w:val="72DE12FC"/>
    <w:rsid w:val="72E357CC"/>
    <w:rsid w:val="73091DEE"/>
    <w:rsid w:val="732C4F7F"/>
    <w:rsid w:val="73310B7D"/>
    <w:rsid w:val="734F11B5"/>
    <w:rsid w:val="738C42FB"/>
    <w:rsid w:val="738F0245"/>
    <w:rsid w:val="7429613A"/>
    <w:rsid w:val="74675668"/>
    <w:rsid w:val="747B178E"/>
    <w:rsid w:val="748B6B82"/>
    <w:rsid w:val="748C1BE9"/>
    <w:rsid w:val="74B425D9"/>
    <w:rsid w:val="74C27D8B"/>
    <w:rsid w:val="74DF4DAD"/>
    <w:rsid w:val="74F50092"/>
    <w:rsid w:val="75002D3B"/>
    <w:rsid w:val="75A64DBE"/>
    <w:rsid w:val="75F0102E"/>
    <w:rsid w:val="76734354"/>
    <w:rsid w:val="76ED029B"/>
    <w:rsid w:val="776669BC"/>
    <w:rsid w:val="77A22E40"/>
    <w:rsid w:val="77B7110D"/>
    <w:rsid w:val="7893475F"/>
    <w:rsid w:val="78B714FD"/>
    <w:rsid w:val="78FA54B6"/>
    <w:rsid w:val="79345623"/>
    <w:rsid w:val="796C208D"/>
    <w:rsid w:val="7A733095"/>
    <w:rsid w:val="7AC57851"/>
    <w:rsid w:val="7AED3EA7"/>
    <w:rsid w:val="7B35310B"/>
    <w:rsid w:val="7B8C34BA"/>
    <w:rsid w:val="7B963F84"/>
    <w:rsid w:val="7B9A478B"/>
    <w:rsid w:val="7BA26BEA"/>
    <w:rsid w:val="7BEE3646"/>
    <w:rsid w:val="7BEE5C56"/>
    <w:rsid w:val="7BFC28B9"/>
    <w:rsid w:val="7C4316A0"/>
    <w:rsid w:val="7C4F50AE"/>
    <w:rsid w:val="7C6F4C19"/>
    <w:rsid w:val="7CC02CCA"/>
    <w:rsid w:val="7CE96580"/>
    <w:rsid w:val="7D2944FA"/>
    <w:rsid w:val="7D445B25"/>
    <w:rsid w:val="7D9DE1C5"/>
    <w:rsid w:val="7DB37AC7"/>
    <w:rsid w:val="7DD773B1"/>
    <w:rsid w:val="7DD81787"/>
    <w:rsid w:val="7EB42573"/>
    <w:rsid w:val="7EC41EE1"/>
    <w:rsid w:val="7EFA7FDB"/>
    <w:rsid w:val="7F152742"/>
    <w:rsid w:val="7F31211D"/>
    <w:rsid w:val="7F51649A"/>
    <w:rsid w:val="7F53407D"/>
    <w:rsid w:val="7F671B70"/>
    <w:rsid w:val="7F7D79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3F9"/>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Char"/>
    <w:uiPriority w:val="9"/>
    <w:qFormat/>
    <w:rsid w:val="00C773F9"/>
    <w:pPr>
      <w:keepNext/>
      <w:keepLines/>
      <w:spacing w:before="340" w:after="330" w:line="578" w:lineRule="auto"/>
      <w:ind w:firstLineChars="0" w:firstLine="0"/>
      <w:jc w:val="center"/>
      <w:outlineLvl w:val="0"/>
    </w:pPr>
    <w:rPr>
      <w:rFonts w:ascii="黑体" w:eastAsia="黑体" w:hAnsi="黑体"/>
      <w:bCs/>
      <w:kern w:val="44"/>
      <w:sz w:val="28"/>
      <w:szCs w:val="28"/>
    </w:rPr>
  </w:style>
  <w:style w:type="paragraph" w:styleId="2">
    <w:name w:val="heading 2"/>
    <w:basedOn w:val="a"/>
    <w:next w:val="a"/>
    <w:link w:val="2Char"/>
    <w:uiPriority w:val="9"/>
    <w:unhideWhenUsed/>
    <w:qFormat/>
    <w:rsid w:val="00C773F9"/>
    <w:pPr>
      <w:ind w:firstLine="482"/>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C773F9"/>
    <w:pPr>
      <w:ind w:leftChars="2500" w:left="100"/>
    </w:pPr>
  </w:style>
  <w:style w:type="paragraph" w:styleId="a4">
    <w:name w:val="Balloon Text"/>
    <w:basedOn w:val="a"/>
    <w:link w:val="Char0"/>
    <w:uiPriority w:val="99"/>
    <w:semiHidden/>
    <w:unhideWhenUsed/>
    <w:qFormat/>
    <w:rsid w:val="00C773F9"/>
    <w:pPr>
      <w:spacing w:line="240" w:lineRule="auto"/>
    </w:pPr>
    <w:rPr>
      <w:sz w:val="18"/>
      <w:szCs w:val="18"/>
    </w:rPr>
  </w:style>
  <w:style w:type="paragraph" w:styleId="a5">
    <w:name w:val="footer"/>
    <w:basedOn w:val="a"/>
    <w:link w:val="Char1"/>
    <w:uiPriority w:val="99"/>
    <w:unhideWhenUsed/>
    <w:qFormat/>
    <w:rsid w:val="00C773F9"/>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rsid w:val="00C773F9"/>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rsid w:val="00C773F9"/>
  </w:style>
  <w:style w:type="paragraph" w:styleId="a7">
    <w:name w:val="footnote text"/>
    <w:basedOn w:val="a"/>
    <w:link w:val="Char3"/>
    <w:uiPriority w:val="99"/>
    <w:unhideWhenUsed/>
    <w:qFormat/>
    <w:rsid w:val="00C773F9"/>
    <w:pPr>
      <w:snapToGrid w:val="0"/>
      <w:jc w:val="left"/>
    </w:pPr>
    <w:rPr>
      <w:sz w:val="18"/>
      <w:szCs w:val="18"/>
    </w:rPr>
  </w:style>
  <w:style w:type="paragraph" w:styleId="20">
    <w:name w:val="toc 2"/>
    <w:basedOn w:val="a"/>
    <w:next w:val="a"/>
    <w:uiPriority w:val="39"/>
    <w:unhideWhenUsed/>
    <w:qFormat/>
    <w:rsid w:val="00C773F9"/>
    <w:pPr>
      <w:ind w:leftChars="200" w:left="420"/>
    </w:pPr>
  </w:style>
  <w:style w:type="table" w:styleId="a8">
    <w:name w:val="Table Grid"/>
    <w:basedOn w:val="a1"/>
    <w:uiPriority w:val="39"/>
    <w:qFormat/>
    <w:rsid w:val="00C77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C773F9"/>
    <w:rPr>
      <w:color w:val="0563C1" w:themeColor="hyperlink"/>
      <w:u w:val="single"/>
    </w:rPr>
  </w:style>
  <w:style w:type="character" w:styleId="aa">
    <w:name w:val="footnote reference"/>
    <w:basedOn w:val="a0"/>
    <w:uiPriority w:val="99"/>
    <w:unhideWhenUsed/>
    <w:qFormat/>
    <w:rsid w:val="00C773F9"/>
    <w:rPr>
      <w:vertAlign w:val="superscript"/>
    </w:rPr>
  </w:style>
  <w:style w:type="character" w:customStyle="1" w:styleId="1Char">
    <w:name w:val="标题 1 Char"/>
    <w:basedOn w:val="a0"/>
    <w:link w:val="1"/>
    <w:uiPriority w:val="9"/>
    <w:qFormat/>
    <w:rsid w:val="00C773F9"/>
    <w:rPr>
      <w:rFonts w:ascii="黑体" w:eastAsia="黑体" w:hAnsi="黑体"/>
      <w:bCs/>
      <w:kern w:val="44"/>
      <w:sz w:val="28"/>
      <w:szCs w:val="28"/>
    </w:rPr>
  </w:style>
  <w:style w:type="character" w:customStyle="1" w:styleId="2Char">
    <w:name w:val="标题 2 Char"/>
    <w:basedOn w:val="a0"/>
    <w:link w:val="2"/>
    <w:uiPriority w:val="9"/>
    <w:qFormat/>
    <w:rsid w:val="00C773F9"/>
    <w:rPr>
      <w:rFonts w:eastAsia="宋体"/>
      <w:b/>
      <w:sz w:val="24"/>
    </w:rPr>
  </w:style>
  <w:style w:type="character" w:customStyle="1" w:styleId="Char2">
    <w:name w:val="页眉 Char"/>
    <w:basedOn w:val="a0"/>
    <w:link w:val="a6"/>
    <w:uiPriority w:val="99"/>
    <w:qFormat/>
    <w:rsid w:val="00C773F9"/>
    <w:rPr>
      <w:rFonts w:eastAsia="宋体"/>
      <w:sz w:val="18"/>
      <w:szCs w:val="18"/>
    </w:rPr>
  </w:style>
  <w:style w:type="character" w:customStyle="1" w:styleId="Char1">
    <w:name w:val="页脚 Char"/>
    <w:basedOn w:val="a0"/>
    <w:link w:val="a5"/>
    <w:uiPriority w:val="99"/>
    <w:qFormat/>
    <w:rsid w:val="00C773F9"/>
    <w:rPr>
      <w:rFonts w:eastAsia="宋体"/>
      <w:sz w:val="18"/>
      <w:szCs w:val="18"/>
    </w:rPr>
  </w:style>
  <w:style w:type="paragraph" w:customStyle="1" w:styleId="11">
    <w:name w:val="列出段落1"/>
    <w:basedOn w:val="a"/>
    <w:uiPriority w:val="34"/>
    <w:qFormat/>
    <w:rsid w:val="00C773F9"/>
    <w:pPr>
      <w:ind w:firstLine="420"/>
    </w:pPr>
  </w:style>
  <w:style w:type="paragraph" w:customStyle="1" w:styleId="TOC1">
    <w:name w:val="TOC 标题1"/>
    <w:basedOn w:val="1"/>
    <w:next w:val="a"/>
    <w:uiPriority w:val="39"/>
    <w:unhideWhenUsed/>
    <w:qFormat/>
    <w:rsid w:val="00C773F9"/>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Char3">
    <w:name w:val="脚注文本 Char"/>
    <w:basedOn w:val="a0"/>
    <w:link w:val="a7"/>
    <w:uiPriority w:val="99"/>
    <w:semiHidden/>
    <w:qFormat/>
    <w:rsid w:val="00C773F9"/>
    <w:rPr>
      <w:rFonts w:ascii="宋体" w:eastAsia="宋体" w:hAnsi="宋体"/>
      <w:sz w:val="18"/>
      <w:szCs w:val="18"/>
    </w:rPr>
  </w:style>
  <w:style w:type="paragraph" w:customStyle="1" w:styleId="p1">
    <w:name w:val="p1"/>
    <w:basedOn w:val="a"/>
    <w:qFormat/>
    <w:rsid w:val="00C773F9"/>
    <w:pPr>
      <w:spacing w:line="380" w:lineRule="atLeast"/>
      <w:jc w:val="left"/>
    </w:pPr>
    <w:rPr>
      <w:rFonts w:ascii="Helvetica Neue" w:eastAsia="Helvetica Neue" w:hAnsi="Helvetica Neue" w:cs="Times New Roman"/>
      <w:color w:val="000000"/>
      <w:kern w:val="0"/>
      <w:sz w:val="26"/>
      <w:szCs w:val="26"/>
    </w:rPr>
  </w:style>
  <w:style w:type="character" w:customStyle="1" w:styleId="font11">
    <w:name w:val="font11"/>
    <w:basedOn w:val="a0"/>
    <w:qFormat/>
    <w:rsid w:val="00C773F9"/>
    <w:rPr>
      <w:rFonts w:ascii="Calibri" w:hAnsi="Calibri" w:cs="Calibri" w:hint="default"/>
      <w:color w:val="000000"/>
      <w:sz w:val="21"/>
      <w:szCs w:val="21"/>
      <w:u w:val="none"/>
    </w:rPr>
  </w:style>
  <w:style w:type="character" w:customStyle="1" w:styleId="font21">
    <w:name w:val="font21"/>
    <w:basedOn w:val="a0"/>
    <w:qFormat/>
    <w:rsid w:val="00C773F9"/>
    <w:rPr>
      <w:rFonts w:ascii="Calibri" w:hAnsi="Calibri" w:cs="Calibri" w:hint="default"/>
      <w:color w:val="000000"/>
      <w:sz w:val="21"/>
      <w:szCs w:val="21"/>
      <w:u w:val="none"/>
    </w:rPr>
  </w:style>
  <w:style w:type="character" w:customStyle="1" w:styleId="Char0">
    <w:name w:val="批注框文本 Char"/>
    <w:basedOn w:val="a0"/>
    <w:link w:val="a4"/>
    <w:uiPriority w:val="99"/>
    <w:semiHidden/>
    <w:qFormat/>
    <w:rsid w:val="00C773F9"/>
    <w:rPr>
      <w:rFonts w:ascii="宋体" w:hAnsi="宋体" w:cstheme="minorBidi"/>
      <w:kern w:val="2"/>
      <w:sz w:val="18"/>
      <w:szCs w:val="18"/>
    </w:rPr>
  </w:style>
  <w:style w:type="character" w:customStyle="1" w:styleId="Char">
    <w:name w:val="日期 Char"/>
    <w:basedOn w:val="a0"/>
    <w:link w:val="a3"/>
    <w:uiPriority w:val="99"/>
    <w:semiHidden/>
    <w:qFormat/>
    <w:rsid w:val="00C773F9"/>
    <w:rPr>
      <w:rFonts w:ascii="宋体" w:hAnsi="宋体" w:cstheme="minorBidi"/>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Char"/>
    <w:uiPriority w:val="9"/>
    <w:qFormat/>
    <w:pPr>
      <w:keepNext/>
      <w:keepLines/>
      <w:spacing w:before="340" w:after="330" w:line="578" w:lineRule="auto"/>
      <w:ind w:firstLineChars="0" w:firstLine="0"/>
      <w:jc w:val="center"/>
      <w:outlineLvl w:val="0"/>
    </w:pPr>
    <w:rPr>
      <w:rFonts w:ascii="黑体" w:eastAsia="黑体" w:hAnsi="黑体"/>
      <w:bCs/>
      <w:kern w:val="44"/>
      <w:sz w:val="28"/>
      <w:szCs w:val="28"/>
    </w:rPr>
  </w:style>
  <w:style w:type="paragraph" w:styleId="2">
    <w:name w:val="heading 2"/>
    <w:basedOn w:val="a"/>
    <w:next w:val="a"/>
    <w:link w:val="2Char"/>
    <w:uiPriority w:val="9"/>
    <w:unhideWhenUsed/>
    <w:qFormat/>
    <w:pPr>
      <w:ind w:firstLine="482"/>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style>
  <w:style w:type="paragraph" w:styleId="a7">
    <w:name w:val="footnote text"/>
    <w:basedOn w:val="a"/>
    <w:link w:val="Char3"/>
    <w:uiPriority w:val="99"/>
    <w:unhideWhenUsed/>
    <w:qFormat/>
    <w:pPr>
      <w:snapToGrid w:val="0"/>
      <w:jc w:val="left"/>
    </w:pPr>
    <w:rPr>
      <w:sz w:val="18"/>
      <w:szCs w:val="18"/>
    </w:rPr>
  </w:style>
  <w:style w:type="paragraph" w:styleId="20">
    <w:name w:val="toc 2"/>
    <w:basedOn w:val="a"/>
    <w:next w:val="a"/>
    <w:uiPriority w:val="39"/>
    <w:unhideWhenUsed/>
    <w:qFormat/>
    <w:pPr>
      <w:ind w:leftChars="200" w:left="420"/>
    </w:p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563C1" w:themeColor="hyperlink"/>
      <w:u w:val="single"/>
    </w:rPr>
  </w:style>
  <w:style w:type="character" w:styleId="aa">
    <w:name w:val="footnote reference"/>
    <w:basedOn w:val="a0"/>
    <w:uiPriority w:val="99"/>
    <w:unhideWhenUsed/>
    <w:qFormat/>
    <w:rPr>
      <w:vertAlign w:val="superscript"/>
    </w:rPr>
  </w:style>
  <w:style w:type="character" w:customStyle="1" w:styleId="1Char">
    <w:name w:val="标题 1 Char"/>
    <w:basedOn w:val="a0"/>
    <w:link w:val="1"/>
    <w:uiPriority w:val="9"/>
    <w:qFormat/>
    <w:rPr>
      <w:rFonts w:ascii="黑体" w:eastAsia="黑体" w:hAnsi="黑体"/>
      <w:bCs/>
      <w:kern w:val="44"/>
      <w:sz w:val="28"/>
      <w:szCs w:val="28"/>
    </w:rPr>
  </w:style>
  <w:style w:type="character" w:customStyle="1" w:styleId="2Char">
    <w:name w:val="标题 2 Char"/>
    <w:basedOn w:val="a0"/>
    <w:link w:val="2"/>
    <w:uiPriority w:val="9"/>
    <w:qFormat/>
    <w:rPr>
      <w:rFonts w:eastAsia="宋体"/>
      <w:b/>
      <w:sz w:val="24"/>
    </w:rPr>
  </w:style>
  <w:style w:type="character" w:customStyle="1" w:styleId="Char2">
    <w:name w:val="页眉 Char"/>
    <w:basedOn w:val="a0"/>
    <w:link w:val="a6"/>
    <w:uiPriority w:val="99"/>
    <w:qFormat/>
    <w:rPr>
      <w:rFonts w:eastAsia="宋体"/>
      <w:sz w:val="18"/>
      <w:szCs w:val="18"/>
    </w:rPr>
  </w:style>
  <w:style w:type="character" w:customStyle="1" w:styleId="Char1">
    <w:name w:val="页脚 Char"/>
    <w:basedOn w:val="a0"/>
    <w:link w:val="a5"/>
    <w:uiPriority w:val="99"/>
    <w:qFormat/>
    <w:rPr>
      <w:rFonts w:eastAsia="宋体"/>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Char3">
    <w:name w:val="脚注文本 Char"/>
    <w:basedOn w:val="a0"/>
    <w:link w:val="a7"/>
    <w:uiPriority w:val="99"/>
    <w:semiHidden/>
    <w:qFormat/>
    <w:rPr>
      <w:rFonts w:ascii="宋体" w:eastAsia="宋体" w:hAnsi="宋体"/>
      <w:sz w:val="18"/>
      <w:szCs w:val="18"/>
    </w:rPr>
  </w:style>
  <w:style w:type="paragraph" w:customStyle="1" w:styleId="p1">
    <w:name w:val="p1"/>
    <w:basedOn w:val="a"/>
    <w:qFormat/>
    <w:pPr>
      <w:spacing w:line="380" w:lineRule="atLeast"/>
      <w:jc w:val="left"/>
    </w:pPr>
    <w:rPr>
      <w:rFonts w:ascii="Helvetica Neue" w:eastAsia="Helvetica Neue" w:hAnsi="Helvetica Neue" w:cs="Times New Roman"/>
      <w:color w:val="000000"/>
      <w:kern w:val="0"/>
      <w:sz w:val="26"/>
      <w:szCs w:val="26"/>
    </w:rPr>
  </w:style>
  <w:style w:type="character" w:customStyle="1" w:styleId="font11">
    <w:name w:val="font11"/>
    <w:basedOn w:val="a0"/>
    <w:qFormat/>
    <w:rPr>
      <w:rFonts w:ascii="Calibri" w:hAnsi="Calibri" w:cs="Calibri" w:hint="default"/>
      <w:color w:val="000000"/>
      <w:sz w:val="21"/>
      <w:szCs w:val="21"/>
      <w:u w:val="none"/>
    </w:rPr>
  </w:style>
  <w:style w:type="character" w:customStyle="1" w:styleId="font21">
    <w:name w:val="font21"/>
    <w:basedOn w:val="a0"/>
    <w:qFormat/>
    <w:rPr>
      <w:rFonts w:ascii="Calibri" w:hAnsi="Calibri" w:cs="Calibri" w:hint="default"/>
      <w:color w:val="000000"/>
      <w:sz w:val="21"/>
      <w:szCs w:val="21"/>
      <w:u w:val="none"/>
    </w:rPr>
  </w:style>
  <w:style w:type="character" w:customStyle="1" w:styleId="Char0">
    <w:name w:val="批注框文本 Char"/>
    <w:basedOn w:val="a0"/>
    <w:link w:val="a4"/>
    <w:uiPriority w:val="99"/>
    <w:semiHidden/>
    <w:qFormat/>
    <w:rPr>
      <w:rFonts w:ascii="宋体" w:hAnsi="宋体" w:cstheme="minorBidi"/>
      <w:kern w:val="2"/>
      <w:sz w:val="18"/>
      <w:szCs w:val="18"/>
    </w:rPr>
  </w:style>
  <w:style w:type="character" w:customStyle="1" w:styleId="Char">
    <w:name w:val="日期 Char"/>
    <w:basedOn w:val="a0"/>
    <w:link w:val="a3"/>
    <w:uiPriority w:val="99"/>
    <w:semiHidden/>
    <w:qFormat/>
    <w:rPr>
      <w:rFonts w:ascii="宋体" w:hAnsi="宋体" w:cstheme="minorBidi"/>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1976</Words>
  <Characters>11267</Characters>
  <Application>Microsoft Office Word</Application>
  <DocSecurity>0</DocSecurity>
  <Lines>93</Lines>
  <Paragraphs>26</Paragraphs>
  <ScaleCrop>false</ScaleCrop>
  <Company>USST</Company>
  <LinksUpToDate>false</LinksUpToDate>
  <CharactersWithSpaces>13217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sjp</dc:creator>
  <cp:lastModifiedBy>市财政局</cp:lastModifiedBy>
  <cp:revision>67</cp:revision>
  <cp:lastPrinted>2019-08-23T00:41:00Z</cp:lastPrinted>
  <dcterms:created xsi:type="dcterms:W3CDTF">2017-10-07T05:32:00Z</dcterms:created>
  <dcterms:modified xsi:type="dcterms:W3CDTF">2019-08-23T00:41:00Z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