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</w:t>
      </w:r>
    </w:p>
    <w:tbl>
      <w:tblPr>
        <w:tblStyle w:val="3"/>
        <w:tblpPr w:leftFromText="180" w:rightFromText="180" w:vertAnchor="page" w:horzAnchor="page" w:tblpXSpec="center" w:tblpY="3070"/>
        <w:tblW w:w="15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855"/>
        <w:gridCol w:w="1080"/>
        <w:gridCol w:w="1080"/>
        <w:gridCol w:w="880"/>
        <w:gridCol w:w="1080"/>
        <w:gridCol w:w="1080"/>
        <w:gridCol w:w="900"/>
        <w:gridCol w:w="1080"/>
        <w:gridCol w:w="840"/>
        <w:gridCol w:w="1080"/>
        <w:gridCol w:w="1080"/>
        <w:gridCol w:w="810"/>
        <w:gridCol w:w="1215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4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统计单位：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   时间：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  <w:t>辖区/行业     （领域）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  <w:t>组织开展检查情况</w:t>
            </w:r>
          </w:p>
        </w:tc>
        <w:tc>
          <w:tcPr>
            <w:tcW w:w="5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  <w:t>隐患排查治理情况</w:t>
            </w:r>
          </w:p>
        </w:tc>
        <w:tc>
          <w:tcPr>
            <w:tcW w:w="54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  <w:t>执法检查情况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  <w:t>组织检查组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  <w:t>排查发现隐患数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</w:rPr>
              <w:t>已完成整改隐患数</w:t>
            </w:r>
          </w:p>
        </w:tc>
        <w:tc>
          <w:tcPr>
            <w:tcW w:w="543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总数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(个)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(人次)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检查单位和场所(家)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总数(个)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一般隐患(项)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重大隐患(项)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总数(个)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一般隐患(项)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重大隐患(项)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限期整改(个)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停产停业整改(个)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取缔关闭(个)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罚款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（万元）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其他行政处罚（万元）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宝盖镇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安全生产大排查大整治工作情况表</w:t>
      </w:r>
    </w:p>
    <w:bookmarkEnd w:id="0"/>
    <w:p>
      <w:pPr>
        <w:spacing w:line="578" w:lineRule="exac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填报人：                                                      联系方式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</w:p>
    <w:p/>
    <w:sectPr>
      <w:footerReference r:id="rId3" w:type="default"/>
      <w:pgSz w:w="16838" w:h="11906" w:orient="landscape"/>
      <w:pgMar w:top="1587" w:right="2098" w:bottom="1474" w:left="1984" w:header="851" w:footer="1276" w:gutter="0"/>
      <w:pgNumType w:fmt="numberInDash" w:start="1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2020-03-25T07:14:49Z</dcterms:created>
  <dc:creator>Administrator</dc:creator>
  <cp:lastModifiedBy>Trinity</cp:lastModifiedBy>
  <dcterms:modified xsi:type="dcterms:W3CDTF">2020-03-25T07:14:55Z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