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031" w:rsidRPr="00260954" w:rsidRDefault="007D7031" w:rsidP="007D7031">
      <w:pPr>
        <w:widowControl/>
        <w:spacing w:line="560" w:lineRule="exact"/>
        <w:jc w:val="center"/>
        <w:rPr>
          <w:rFonts w:eastAsia="楷体_GB2312"/>
          <w:kern w:val="0"/>
          <w:sz w:val="28"/>
          <w:szCs w:val="28"/>
        </w:rPr>
      </w:pPr>
      <w:r w:rsidRPr="00260954">
        <w:rPr>
          <w:rFonts w:eastAsia="楷体_GB2312"/>
          <w:bCs/>
          <w:color w:val="2B2B2B"/>
          <w:kern w:val="0"/>
          <w:sz w:val="28"/>
          <w:szCs w:val="28"/>
        </w:rPr>
        <w:t>表</w:t>
      </w:r>
      <w:r w:rsidRPr="00260954">
        <w:rPr>
          <w:rFonts w:eastAsia="楷体_GB2312"/>
          <w:bCs/>
          <w:color w:val="2B2B2B"/>
          <w:kern w:val="0"/>
          <w:sz w:val="28"/>
          <w:szCs w:val="28"/>
        </w:rPr>
        <w:t xml:space="preserve">1  </w:t>
      </w:r>
      <w:r w:rsidRPr="00260954">
        <w:rPr>
          <w:rFonts w:eastAsia="楷体_GB2312"/>
          <w:bCs/>
          <w:color w:val="2B2B2B"/>
          <w:kern w:val="0"/>
          <w:sz w:val="28"/>
          <w:szCs w:val="28"/>
        </w:rPr>
        <w:t>各类声环境功能区适用区域执行环境噪声标准</w:t>
      </w:r>
    </w:p>
    <w:tbl>
      <w:tblPr>
        <w:tblW w:w="5000" w:type="pct"/>
        <w:jc w:val="center"/>
        <w:tblLayout w:type="fixed"/>
        <w:tblCellMar>
          <w:left w:w="0" w:type="dxa"/>
          <w:right w:w="0" w:type="dxa"/>
        </w:tblCellMar>
        <w:tblLook w:val="0000" w:firstRow="0" w:lastRow="0" w:firstColumn="0" w:lastColumn="0" w:noHBand="0" w:noVBand="0"/>
      </w:tblPr>
      <w:tblGrid>
        <w:gridCol w:w="1382"/>
        <w:gridCol w:w="1382"/>
        <w:gridCol w:w="2763"/>
        <w:gridCol w:w="2763"/>
      </w:tblGrid>
      <w:tr w:rsidR="007D7031" w:rsidRPr="00260954" w:rsidTr="00073CD0">
        <w:trPr>
          <w:jc w:val="center"/>
        </w:trPr>
        <w:tc>
          <w:tcPr>
            <w:tcW w:w="2835" w:type="dxa"/>
            <w:gridSpan w:val="2"/>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b/>
                <w:kern w:val="0"/>
                <w:sz w:val="28"/>
                <w:szCs w:val="28"/>
              </w:rPr>
            </w:pPr>
            <w:r w:rsidRPr="00260954">
              <w:rPr>
                <w:b/>
                <w:color w:val="2B2B2B"/>
                <w:kern w:val="0"/>
                <w:sz w:val="28"/>
                <w:szCs w:val="28"/>
              </w:rPr>
              <w:t>声环境功能区类别</w:t>
            </w:r>
          </w:p>
        </w:tc>
        <w:tc>
          <w:tcPr>
            <w:tcW w:w="5682"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b/>
                <w:kern w:val="0"/>
                <w:sz w:val="28"/>
                <w:szCs w:val="28"/>
              </w:rPr>
            </w:pPr>
            <w:r w:rsidRPr="00260954">
              <w:rPr>
                <w:b/>
                <w:color w:val="2B2B2B"/>
                <w:kern w:val="0"/>
                <w:sz w:val="28"/>
                <w:szCs w:val="28"/>
              </w:rPr>
              <w:t>时段</w:t>
            </w:r>
          </w:p>
        </w:tc>
      </w:tr>
      <w:tr w:rsidR="007D7031" w:rsidRPr="00260954" w:rsidTr="00073CD0">
        <w:trPr>
          <w:jc w:val="center"/>
        </w:trPr>
        <w:tc>
          <w:tcPr>
            <w:tcW w:w="2835" w:type="dxa"/>
            <w:gridSpan w:val="2"/>
            <w:vMerge/>
            <w:tcBorders>
              <w:top w:val="single" w:sz="6" w:space="0" w:color="auto"/>
              <w:left w:val="single" w:sz="6" w:space="0" w:color="auto"/>
              <w:bottom w:val="single" w:sz="6" w:space="0" w:color="auto"/>
              <w:right w:val="single" w:sz="6" w:space="0" w:color="auto"/>
            </w:tcBorders>
            <w:vAlign w:val="center"/>
          </w:tcPr>
          <w:p w:rsidR="007D7031" w:rsidRPr="00260954" w:rsidRDefault="007D7031" w:rsidP="00073CD0">
            <w:pPr>
              <w:widowControl/>
              <w:spacing w:line="460" w:lineRule="exact"/>
              <w:jc w:val="center"/>
              <w:rPr>
                <w:b/>
                <w:kern w:val="0"/>
                <w:sz w:val="28"/>
                <w:szCs w:val="28"/>
              </w:rPr>
            </w:pP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b/>
                <w:kern w:val="0"/>
                <w:sz w:val="28"/>
                <w:szCs w:val="28"/>
              </w:rPr>
            </w:pPr>
            <w:r w:rsidRPr="00260954">
              <w:rPr>
                <w:b/>
                <w:color w:val="2B2B2B"/>
                <w:kern w:val="0"/>
                <w:sz w:val="28"/>
                <w:szCs w:val="28"/>
              </w:rPr>
              <w:t>昼间（</w:t>
            </w:r>
            <w:r w:rsidRPr="00260954">
              <w:rPr>
                <w:b/>
                <w:color w:val="2B2B2B"/>
                <w:kern w:val="0"/>
                <w:sz w:val="28"/>
                <w:szCs w:val="28"/>
              </w:rPr>
              <w:t>dB</w:t>
            </w:r>
            <w:r w:rsidRPr="00260954">
              <w:rPr>
                <w:b/>
                <w:color w:val="2B2B2B"/>
                <w:kern w:val="0"/>
                <w:sz w:val="28"/>
                <w:szCs w:val="28"/>
              </w:rPr>
              <w:t>（</w:t>
            </w:r>
            <w:r w:rsidRPr="00260954">
              <w:rPr>
                <w:b/>
                <w:color w:val="2B2B2B"/>
                <w:kern w:val="0"/>
                <w:sz w:val="28"/>
                <w:szCs w:val="28"/>
              </w:rPr>
              <w:t>A</w:t>
            </w:r>
            <w:r w:rsidRPr="00260954">
              <w:rPr>
                <w:b/>
                <w:color w:val="2B2B2B"/>
                <w:kern w:val="0"/>
                <w:sz w:val="28"/>
                <w:szCs w:val="28"/>
              </w:rPr>
              <w:t>））</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b/>
                <w:kern w:val="0"/>
                <w:sz w:val="28"/>
                <w:szCs w:val="28"/>
              </w:rPr>
            </w:pPr>
            <w:r w:rsidRPr="00260954">
              <w:rPr>
                <w:b/>
                <w:color w:val="2B2B2B"/>
                <w:kern w:val="0"/>
                <w:sz w:val="28"/>
                <w:szCs w:val="28"/>
              </w:rPr>
              <w:t>夜间（</w:t>
            </w:r>
            <w:r w:rsidRPr="00260954">
              <w:rPr>
                <w:b/>
                <w:color w:val="2B2B2B"/>
                <w:kern w:val="0"/>
                <w:sz w:val="28"/>
                <w:szCs w:val="28"/>
              </w:rPr>
              <w:t>dB</w:t>
            </w:r>
            <w:r w:rsidRPr="00260954">
              <w:rPr>
                <w:b/>
                <w:color w:val="2B2B2B"/>
                <w:kern w:val="0"/>
                <w:sz w:val="28"/>
                <w:szCs w:val="28"/>
              </w:rPr>
              <w:t>（</w:t>
            </w:r>
            <w:r w:rsidRPr="00260954">
              <w:rPr>
                <w:b/>
                <w:color w:val="2B2B2B"/>
                <w:kern w:val="0"/>
                <w:sz w:val="28"/>
                <w:szCs w:val="28"/>
              </w:rPr>
              <w:t>A</w:t>
            </w:r>
            <w:r w:rsidRPr="00260954">
              <w:rPr>
                <w:b/>
                <w:color w:val="2B2B2B"/>
                <w:kern w:val="0"/>
                <w:sz w:val="28"/>
                <w:szCs w:val="28"/>
              </w:rPr>
              <w:t>））</w:t>
            </w:r>
          </w:p>
        </w:tc>
      </w:tr>
      <w:tr w:rsidR="007D7031" w:rsidRPr="00260954" w:rsidTr="00073CD0">
        <w:trPr>
          <w:jc w:val="center"/>
        </w:trPr>
        <w:tc>
          <w:tcPr>
            <w:tcW w:w="2835" w:type="dxa"/>
            <w:gridSpan w:val="2"/>
            <w:tcBorders>
              <w:top w:val="single" w:sz="6" w:space="0" w:color="auto"/>
              <w:left w:val="single" w:sz="6" w:space="0" w:color="auto"/>
              <w:bottom w:val="single" w:sz="6" w:space="0" w:color="auto"/>
              <w:right w:val="single" w:sz="6" w:space="0" w:color="auto"/>
            </w:tcBorders>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0</w:t>
            </w:r>
            <w:r w:rsidRPr="00260954">
              <w:rPr>
                <w:color w:val="2B2B2B"/>
                <w:kern w:val="0"/>
                <w:sz w:val="28"/>
                <w:szCs w:val="28"/>
              </w:rPr>
              <w:t>类</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50</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40</w:t>
            </w:r>
          </w:p>
        </w:tc>
      </w:tr>
      <w:tr w:rsidR="007D7031" w:rsidRPr="00260954" w:rsidTr="00073CD0">
        <w:trPr>
          <w:jc w:val="center"/>
        </w:trPr>
        <w:tc>
          <w:tcPr>
            <w:tcW w:w="2835" w:type="dxa"/>
            <w:gridSpan w:val="2"/>
            <w:tcBorders>
              <w:top w:val="single" w:sz="6" w:space="0" w:color="auto"/>
              <w:left w:val="single" w:sz="6" w:space="0" w:color="auto"/>
              <w:bottom w:val="single" w:sz="6" w:space="0" w:color="auto"/>
              <w:right w:val="single" w:sz="6" w:space="0" w:color="auto"/>
            </w:tcBorders>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1</w:t>
            </w:r>
            <w:r w:rsidRPr="00260954">
              <w:rPr>
                <w:color w:val="2B2B2B"/>
                <w:kern w:val="0"/>
                <w:sz w:val="28"/>
                <w:szCs w:val="28"/>
              </w:rPr>
              <w:t>类</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55</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45</w:t>
            </w:r>
          </w:p>
        </w:tc>
      </w:tr>
      <w:tr w:rsidR="007D7031" w:rsidRPr="00260954" w:rsidTr="00073CD0">
        <w:trPr>
          <w:jc w:val="center"/>
        </w:trPr>
        <w:tc>
          <w:tcPr>
            <w:tcW w:w="2835" w:type="dxa"/>
            <w:gridSpan w:val="2"/>
            <w:tcBorders>
              <w:top w:val="single" w:sz="6" w:space="0" w:color="auto"/>
              <w:left w:val="single" w:sz="6" w:space="0" w:color="auto"/>
              <w:bottom w:val="single" w:sz="6" w:space="0" w:color="auto"/>
              <w:right w:val="single" w:sz="6" w:space="0" w:color="auto"/>
            </w:tcBorders>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2</w:t>
            </w:r>
            <w:r w:rsidRPr="00260954">
              <w:rPr>
                <w:color w:val="2B2B2B"/>
                <w:kern w:val="0"/>
                <w:sz w:val="28"/>
                <w:szCs w:val="28"/>
              </w:rPr>
              <w:t>类</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60</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50</w:t>
            </w:r>
          </w:p>
        </w:tc>
      </w:tr>
      <w:tr w:rsidR="007D7031" w:rsidRPr="00260954" w:rsidTr="00073CD0">
        <w:trPr>
          <w:jc w:val="center"/>
        </w:trPr>
        <w:tc>
          <w:tcPr>
            <w:tcW w:w="2835" w:type="dxa"/>
            <w:gridSpan w:val="2"/>
            <w:tcBorders>
              <w:top w:val="single" w:sz="6" w:space="0" w:color="auto"/>
              <w:left w:val="single" w:sz="6" w:space="0" w:color="auto"/>
              <w:bottom w:val="single" w:sz="6" w:space="0" w:color="auto"/>
              <w:right w:val="single" w:sz="6" w:space="0" w:color="auto"/>
            </w:tcBorders>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3</w:t>
            </w:r>
            <w:r w:rsidRPr="00260954">
              <w:rPr>
                <w:color w:val="2B2B2B"/>
                <w:kern w:val="0"/>
                <w:sz w:val="28"/>
                <w:szCs w:val="28"/>
              </w:rPr>
              <w:t>类</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65</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55</w:t>
            </w:r>
          </w:p>
        </w:tc>
      </w:tr>
      <w:tr w:rsidR="007D7031" w:rsidRPr="00260954" w:rsidTr="00073CD0">
        <w:trPr>
          <w:jc w:val="center"/>
        </w:trPr>
        <w:tc>
          <w:tcPr>
            <w:tcW w:w="1418"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4</w:t>
            </w:r>
            <w:r w:rsidRPr="00260954">
              <w:rPr>
                <w:color w:val="2B2B2B"/>
                <w:kern w:val="0"/>
                <w:sz w:val="28"/>
                <w:szCs w:val="28"/>
              </w:rPr>
              <w:t>类</w:t>
            </w:r>
          </w:p>
        </w:tc>
        <w:tc>
          <w:tcPr>
            <w:tcW w:w="141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260954">
                <w:rPr>
                  <w:color w:val="2B2B2B"/>
                  <w:kern w:val="0"/>
                  <w:sz w:val="28"/>
                  <w:szCs w:val="28"/>
                </w:rPr>
                <w:t>4a</w:t>
              </w:r>
            </w:smartTag>
            <w:r w:rsidRPr="00260954">
              <w:rPr>
                <w:color w:val="2B2B2B"/>
                <w:kern w:val="0"/>
                <w:sz w:val="28"/>
                <w:szCs w:val="28"/>
              </w:rPr>
              <w:t>类</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70</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55</w:t>
            </w:r>
          </w:p>
        </w:tc>
      </w:tr>
      <w:tr w:rsidR="007D7031" w:rsidRPr="00260954" w:rsidTr="00073CD0">
        <w:trPr>
          <w:jc w:val="center"/>
        </w:trPr>
        <w:tc>
          <w:tcPr>
            <w:tcW w:w="1418" w:type="dxa"/>
            <w:vMerge/>
            <w:tcBorders>
              <w:top w:val="nil"/>
              <w:left w:val="single" w:sz="6" w:space="0" w:color="auto"/>
              <w:bottom w:val="single" w:sz="4" w:space="0" w:color="auto"/>
              <w:right w:val="single" w:sz="6" w:space="0" w:color="auto"/>
            </w:tcBorders>
            <w:vAlign w:val="center"/>
          </w:tcPr>
          <w:p w:rsidR="007D7031" w:rsidRPr="00260954" w:rsidRDefault="007D7031" w:rsidP="00073CD0">
            <w:pPr>
              <w:widowControl/>
              <w:spacing w:line="460" w:lineRule="exact"/>
              <w:jc w:val="center"/>
              <w:rPr>
                <w:kern w:val="0"/>
                <w:sz w:val="28"/>
                <w:szCs w:val="28"/>
              </w:rPr>
            </w:pPr>
          </w:p>
        </w:tc>
        <w:tc>
          <w:tcPr>
            <w:tcW w:w="1417"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4b</w:t>
            </w:r>
            <w:r w:rsidRPr="00260954">
              <w:rPr>
                <w:color w:val="2B2B2B"/>
                <w:kern w:val="0"/>
                <w:sz w:val="28"/>
                <w:szCs w:val="28"/>
              </w:rPr>
              <w:t>类</w:t>
            </w:r>
          </w:p>
        </w:tc>
        <w:tc>
          <w:tcPr>
            <w:tcW w:w="2841"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70</w:t>
            </w:r>
          </w:p>
        </w:tc>
        <w:tc>
          <w:tcPr>
            <w:tcW w:w="28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D7031" w:rsidRPr="00260954" w:rsidRDefault="007D7031" w:rsidP="00073CD0">
            <w:pPr>
              <w:widowControl/>
              <w:spacing w:line="460" w:lineRule="exact"/>
              <w:jc w:val="center"/>
              <w:rPr>
                <w:kern w:val="0"/>
                <w:sz w:val="28"/>
                <w:szCs w:val="28"/>
              </w:rPr>
            </w:pPr>
            <w:r w:rsidRPr="00260954">
              <w:rPr>
                <w:color w:val="2B2B2B"/>
                <w:kern w:val="0"/>
                <w:sz w:val="28"/>
                <w:szCs w:val="28"/>
              </w:rPr>
              <w:t>60</w:t>
            </w:r>
          </w:p>
        </w:tc>
      </w:tr>
      <w:tr w:rsidR="007D7031" w:rsidRPr="00260954" w:rsidTr="00073CD0">
        <w:trPr>
          <w:jc w:val="center"/>
        </w:trPr>
        <w:tc>
          <w:tcPr>
            <w:tcW w:w="8517" w:type="dxa"/>
            <w:gridSpan w:val="4"/>
            <w:tcBorders>
              <w:top w:val="single" w:sz="4" w:space="0" w:color="auto"/>
              <w:left w:val="single" w:sz="6" w:space="0" w:color="auto"/>
              <w:bottom w:val="single" w:sz="6" w:space="0" w:color="auto"/>
              <w:right w:val="single" w:sz="6" w:space="0" w:color="auto"/>
            </w:tcBorders>
            <w:vAlign w:val="center"/>
          </w:tcPr>
          <w:p w:rsidR="007D7031" w:rsidRPr="00260954" w:rsidRDefault="007D7031" w:rsidP="00073CD0">
            <w:pPr>
              <w:widowControl/>
              <w:spacing w:line="460" w:lineRule="exact"/>
              <w:ind w:firstLineChars="200" w:firstLine="560"/>
              <w:jc w:val="left"/>
              <w:rPr>
                <w:rFonts w:hint="eastAsia"/>
                <w:kern w:val="0"/>
                <w:sz w:val="28"/>
                <w:szCs w:val="28"/>
              </w:rPr>
            </w:pPr>
            <w:r>
              <w:rPr>
                <w:rFonts w:hint="eastAsia"/>
                <w:kern w:val="0"/>
                <w:sz w:val="28"/>
                <w:szCs w:val="28"/>
              </w:rPr>
              <w:t>1</w:t>
            </w:r>
            <w:r w:rsidRPr="00260954">
              <w:rPr>
                <w:rFonts w:hint="eastAsia"/>
                <w:kern w:val="0"/>
                <w:sz w:val="28"/>
                <w:szCs w:val="28"/>
              </w:rPr>
              <w:t>．</w:t>
            </w:r>
            <w:r w:rsidRPr="00260954">
              <w:rPr>
                <w:rFonts w:ascii="仿宋_GB2312" w:hint="eastAsia"/>
                <w:kern w:val="0"/>
                <w:sz w:val="28"/>
                <w:szCs w:val="28"/>
              </w:rPr>
              <w:t>“昼间”是</w:t>
            </w:r>
            <w:r w:rsidRPr="00260954">
              <w:rPr>
                <w:kern w:val="0"/>
                <w:sz w:val="28"/>
                <w:szCs w:val="28"/>
              </w:rPr>
              <w:t>指</w:t>
            </w:r>
            <w:r w:rsidRPr="00260954">
              <w:rPr>
                <w:kern w:val="0"/>
                <w:sz w:val="28"/>
                <w:szCs w:val="28"/>
              </w:rPr>
              <w:t>6:00</w:t>
            </w:r>
            <w:r w:rsidRPr="00260954">
              <w:rPr>
                <w:kern w:val="0"/>
                <w:sz w:val="28"/>
                <w:szCs w:val="28"/>
              </w:rPr>
              <w:t>至</w:t>
            </w:r>
            <w:r w:rsidRPr="00260954">
              <w:rPr>
                <w:kern w:val="0"/>
                <w:sz w:val="28"/>
                <w:szCs w:val="28"/>
              </w:rPr>
              <w:t>22:00</w:t>
            </w:r>
            <w:r w:rsidRPr="00260954">
              <w:rPr>
                <w:kern w:val="0"/>
                <w:sz w:val="28"/>
                <w:szCs w:val="28"/>
              </w:rPr>
              <w:t>间的时段，</w:t>
            </w:r>
            <w:r w:rsidRPr="00260954">
              <w:rPr>
                <w:rFonts w:ascii="仿宋_GB2312" w:hint="eastAsia"/>
                <w:kern w:val="0"/>
                <w:sz w:val="28"/>
                <w:szCs w:val="28"/>
              </w:rPr>
              <w:t>“夜间”是</w:t>
            </w:r>
            <w:r w:rsidRPr="00260954">
              <w:rPr>
                <w:kern w:val="0"/>
                <w:sz w:val="28"/>
                <w:szCs w:val="28"/>
              </w:rPr>
              <w:t>指</w:t>
            </w:r>
            <w:r w:rsidRPr="00260954">
              <w:rPr>
                <w:kern w:val="0"/>
                <w:sz w:val="28"/>
                <w:szCs w:val="28"/>
              </w:rPr>
              <w:t>22:00</w:t>
            </w:r>
            <w:r w:rsidRPr="00260954">
              <w:rPr>
                <w:kern w:val="0"/>
                <w:sz w:val="28"/>
                <w:szCs w:val="28"/>
              </w:rPr>
              <w:t>至次日</w:t>
            </w:r>
            <w:r w:rsidRPr="00260954">
              <w:rPr>
                <w:kern w:val="0"/>
                <w:sz w:val="28"/>
                <w:szCs w:val="28"/>
              </w:rPr>
              <w:t>6:00</w:t>
            </w:r>
            <w:r w:rsidRPr="00260954">
              <w:rPr>
                <w:kern w:val="0"/>
                <w:sz w:val="28"/>
                <w:szCs w:val="28"/>
              </w:rPr>
              <w:t>间的时段</w:t>
            </w:r>
            <w:r>
              <w:rPr>
                <w:rFonts w:hint="eastAsia"/>
                <w:kern w:val="0"/>
                <w:sz w:val="28"/>
                <w:szCs w:val="28"/>
              </w:rPr>
              <w:t>。</w:t>
            </w:r>
          </w:p>
          <w:p w:rsidR="007D7031" w:rsidRPr="00260954" w:rsidRDefault="007D7031" w:rsidP="00073CD0">
            <w:pPr>
              <w:widowControl/>
              <w:spacing w:line="460" w:lineRule="exact"/>
              <w:ind w:firstLineChars="200" w:firstLine="560"/>
              <w:jc w:val="left"/>
              <w:rPr>
                <w:color w:val="2B2B2B"/>
                <w:kern w:val="0"/>
                <w:sz w:val="28"/>
                <w:szCs w:val="28"/>
              </w:rPr>
            </w:pPr>
            <w:r>
              <w:rPr>
                <w:rFonts w:hint="eastAsia"/>
                <w:color w:val="2B2B2B"/>
                <w:kern w:val="0"/>
                <w:sz w:val="28"/>
                <w:szCs w:val="28"/>
              </w:rPr>
              <w:t>2</w:t>
            </w:r>
            <w:r w:rsidRPr="00260954">
              <w:rPr>
                <w:rFonts w:hint="eastAsia"/>
                <w:kern w:val="0"/>
                <w:sz w:val="28"/>
                <w:szCs w:val="28"/>
              </w:rPr>
              <w:t>．</w:t>
            </w:r>
            <w:r w:rsidRPr="00260954">
              <w:rPr>
                <w:color w:val="2B2B2B"/>
                <w:kern w:val="0"/>
                <w:sz w:val="28"/>
                <w:szCs w:val="28"/>
              </w:rPr>
              <w:t>各类声环境功能区夜间突发噪声，其最大声级超过环境噪声限值幅度不得高于</w:t>
            </w:r>
            <w:r w:rsidRPr="00260954">
              <w:rPr>
                <w:color w:val="2B2B2B"/>
                <w:kern w:val="0"/>
                <w:sz w:val="28"/>
                <w:szCs w:val="28"/>
              </w:rPr>
              <w:t>15 dB</w:t>
            </w:r>
            <w:r w:rsidRPr="00260954">
              <w:rPr>
                <w:color w:val="2B2B2B"/>
                <w:kern w:val="0"/>
                <w:sz w:val="28"/>
                <w:szCs w:val="28"/>
              </w:rPr>
              <w:t>（</w:t>
            </w:r>
            <w:r w:rsidRPr="00260954">
              <w:rPr>
                <w:color w:val="2B2B2B"/>
                <w:kern w:val="0"/>
                <w:sz w:val="28"/>
                <w:szCs w:val="28"/>
              </w:rPr>
              <w:t>A</w:t>
            </w:r>
            <w:r w:rsidRPr="00260954">
              <w:rPr>
                <w:color w:val="2B2B2B"/>
                <w:kern w:val="0"/>
                <w:sz w:val="28"/>
                <w:szCs w:val="28"/>
              </w:rPr>
              <w:t>）。</w:t>
            </w:r>
          </w:p>
          <w:p w:rsidR="007D7031" w:rsidRPr="00260954" w:rsidRDefault="007D7031" w:rsidP="00073CD0">
            <w:pPr>
              <w:widowControl/>
              <w:spacing w:line="460" w:lineRule="exact"/>
              <w:ind w:firstLineChars="200" w:firstLine="560"/>
              <w:jc w:val="left"/>
              <w:rPr>
                <w:color w:val="2B2B2B"/>
                <w:kern w:val="0"/>
                <w:sz w:val="28"/>
                <w:szCs w:val="28"/>
              </w:rPr>
            </w:pPr>
            <w:r>
              <w:rPr>
                <w:rFonts w:hint="eastAsia"/>
                <w:color w:val="2B2B2B"/>
                <w:kern w:val="0"/>
                <w:sz w:val="28"/>
                <w:szCs w:val="28"/>
              </w:rPr>
              <w:t>3</w:t>
            </w:r>
            <w:r w:rsidRPr="00260954">
              <w:rPr>
                <w:rFonts w:hint="eastAsia"/>
                <w:kern w:val="0"/>
                <w:sz w:val="28"/>
                <w:szCs w:val="28"/>
              </w:rPr>
              <w:t>．</w:t>
            </w:r>
            <w:r w:rsidRPr="00260954">
              <w:rPr>
                <w:color w:val="2B2B2B"/>
                <w:kern w:val="0"/>
                <w:sz w:val="28"/>
                <w:szCs w:val="28"/>
              </w:rPr>
              <w:t>4b</w:t>
            </w:r>
            <w:r w:rsidRPr="00260954">
              <w:rPr>
                <w:color w:val="2B2B2B"/>
                <w:kern w:val="0"/>
                <w:sz w:val="28"/>
                <w:szCs w:val="28"/>
              </w:rPr>
              <w:t>类声环境功能区环境噪声限值，适用于</w:t>
            </w:r>
            <w:r w:rsidRPr="00260954">
              <w:rPr>
                <w:color w:val="2B2B2B"/>
                <w:kern w:val="0"/>
                <w:sz w:val="28"/>
                <w:szCs w:val="28"/>
              </w:rPr>
              <w:t>2011</w:t>
            </w:r>
            <w:r w:rsidRPr="00260954">
              <w:rPr>
                <w:color w:val="2B2B2B"/>
                <w:kern w:val="0"/>
                <w:sz w:val="28"/>
                <w:szCs w:val="28"/>
              </w:rPr>
              <w:t>年</w:t>
            </w:r>
            <w:r w:rsidRPr="00260954">
              <w:rPr>
                <w:color w:val="2B2B2B"/>
                <w:kern w:val="0"/>
                <w:sz w:val="28"/>
                <w:szCs w:val="28"/>
              </w:rPr>
              <w:t>1</w:t>
            </w:r>
            <w:r w:rsidRPr="00260954">
              <w:rPr>
                <w:color w:val="2B2B2B"/>
                <w:kern w:val="0"/>
                <w:sz w:val="28"/>
                <w:szCs w:val="28"/>
              </w:rPr>
              <w:t>月</w:t>
            </w:r>
            <w:r w:rsidRPr="00260954">
              <w:rPr>
                <w:color w:val="2B2B2B"/>
                <w:kern w:val="0"/>
                <w:sz w:val="28"/>
                <w:szCs w:val="28"/>
              </w:rPr>
              <w:t>1</w:t>
            </w:r>
            <w:r w:rsidRPr="00260954">
              <w:rPr>
                <w:color w:val="2B2B2B"/>
                <w:kern w:val="0"/>
                <w:sz w:val="28"/>
                <w:szCs w:val="28"/>
              </w:rPr>
              <w:t>日起环境影响评价文件通过审批的新建铁路（含新开廊道的增建铁路）干线建设项目两侧区域；穿过城区的既有铁路（</w:t>
            </w:r>
            <w:r w:rsidRPr="00260954">
              <w:rPr>
                <w:color w:val="2B2B2B"/>
                <w:kern w:val="0"/>
                <w:sz w:val="28"/>
                <w:szCs w:val="28"/>
              </w:rPr>
              <w:t>2010</w:t>
            </w:r>
            <w:r w:rsidRPr="00260954">
              <w:rPr>
                <w:color w:val="2B2B2B"/>
                <w:kern w:val="0"/>
                <w:sz w:val="28"/>
                <w:szCs w:val="28"/>
              </w:rPr>
              <w:t>年</w:t>
            </w:r>
            <w:r w:rsidRPr="00260954">
              <w:rPr>
                <w:color w:val="2B2B2B"/>
                <w:kern w:val="0"/>
                <w:sz w:val="28"/>
                <w:szCs w:val="28"/>
              </w:rPr>
              <w:t>12</w:t>
            </w:r>
            <w:r w:rsidRPr="00260954">
              <w:rPr>
                <w:color w:val="2B2B2B"/>
                <w:kern w:val="0"/>
                <w:sz w:val="28"/>
                <w:szCs w:val="28"/>
              </w:rPr>
              <w:t>月</w:t>
            </w:r>
            <w:r w:rsidRPr="00260954">
              <w:rPr>
                <w:color w:val="2B2B2B"/>
                <w:kern w:val="0"/>
                <w:sz w:val="28"/>
                <w:szCs w:val="28"/>
              </w:rPr>
              <w:t>31</w:t>
            </w:r>
            <w:r w:rsidRPr="00260954">
              <w:rPr>
                <w:color w:val="2B2B2B"/>
                <w:kern w:val="0"/>
                <w:sz w:val="28"/>
                <w:szCs w:val="28"/>
              </w:rPr>
              <w:t>日前已建成运营的铁路或环境影响评价文件已通过审批的铁路建设项目）及其改、扩建项目，铁路干线两侧区域不通过列车时环境背景噪声限值，按昼间</w:t>
            </w:r>
            <w:r w:rsidRPr="00260954">
              <w:rPr>
                <w:color w:val="2B2B2B"/>
                <w:kern w:val="0"/>
                <w:sz w:val="28"/>
                <w:szCs w:val="28"/>
              </w:rPr>
              <w:t>70dB</w:t>
            </w:r>
            <w:r w:rsidRPr="00260954">
              <w:rPr>
                <w:color w:val="2B2B2B"/>
                <w:kern w:val="0"/>
                <w:sz w:val="28"/>
                <w:szCs w:val="28"/>
              </w:rPr>
              <w:t>（</w:t>
            </w:r>
            <w:r w:rsidRPr="00260954">
              <w:rPr>
                <w:color w:val="2B2B2B"/>
                <w:kern w:val="0"/>
                <w:sz w:val="28"/>
                <w:szCs w:val="28"/>
              </w:rPr>
              <w:t>A</w:t>
            </w:r>
            <w:r w:rsidRPr="00260954">
              <w:rPr>
                <w:color w:val="2B2B2B"/>
                <w:kern w:val="0"/>
                <w:sz w:val="28"/>
                <w:szCs w:val="28"/>
              </w:rPr>
              <w:t>）、夜间</w:t>
            </w:r>
            <w:r w:rsidRPr="00260954">
              <w:rPr>
                <w:color w:val="2B2B2B"/>
                <w:kern w:val="0"/>
                <w:sz w:val="28"/>
                <w:szCs w:val="28"/>
              </w:rPr>
              <w:t>55dB</w:t>
            </w:r>
            <w:r w:rsidRPr="00260954">
              <w:rPr>
                <w:color w:val="2B2B2B"/>
                <w:kern w:val="0"/>
                <w:sz w:val="28"/>
                <w:szCs w:val="28"/>
              </w:rPr>
              <w:t>（</w:t>
            </w:r>
            <w:r w:rsidRPr="00260954">
              <w:rPr>
                <w:color w:val="2B2B2B"/>
                <w:kern w:val="0"/>
                <w:sz w:val="28"/>
                <w:szCs w:val="28"/>
              </w:rPr>
              <w:t>A</w:t>
            </w:r>
            <w:r w:rsidRPr="00260954">
              <w:rPr>
                <w:color w:val="2B2B2B"/>
                <w:kern w:val="0"/>
                <w:sz w:val="28"/>
                <w:szCs w:val="28"/>
              </w:rPr>
              <w:t>）执行。</w:t>
            </w:r>
          </w:p>
        </w:tc>
      </w:tr>
    </w:tbl>
    <w:p w:rsidR="00B35190" w:rsidRDefault="007D7031">
      <w:bookmarkStart w:id="0" w:name="_GoBack"/>
      <w:bookmarkEnd w:id="0"/>
    </w:p>
    <w:sectPr w:rsidR="00B35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08"/>
    <w:rsid w:val="005E44DE"/>
    <w:rsid w:val="007D7031"/>
    <w:rsid w:val="00C36108"/>
    <w:rsid w:val="00DD3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5F8F6176-5861-41D2-BB3E-ED9F9B93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031"/>
    <w:pPr>
      <w:widowControl w:val="0"/>
      <w:jc w:val="both"/>
    </w:pPr>
    <w:rPr>
      <w:rFonts w:ascii="Times New Roman" w:eastAsia="仿宋_GB2312" w:hAnsi="Times New Roman"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微软中国</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信息公开办</dc:creator>
  <cp:keywords/>
  <dc:description/>
  <cp:lastModifiedBy>信息公开办</cp:lastModifiedBy>
  <cp:revision>2</cp:revision>
  <dcterms:created xsi:type="dcterms:W3CDTF">2019-12-31T08:33:00Z</dcterms:created>
  <dcterms:modified xsi:type="dcterms:W3CDTF">2019-12-31T08:33:00Z</dcterms:modified>
</cp:coreProperties>
</file>