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F6" w:rsidRDefault="002105F6" w:rsidP="002105F6">
      <w:pPr>
        <w:spacing w:line="520" w:lineRule="exact"/>
        <w:rPr>
          <w:rFonts w:eastAsia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2105F6" w:rsidRDefault="002105F6" w:rsidP="002105F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01大标宋简" w:hint="eastAsia"/>
          <w:sz w:val="44"/>
          <w:szCs w:val="44"/>
        </w:rPr>
        <w:t>住宅室内二次装修价格表</w:t>
      </w:r>
    </w:p>
    <w:tbl>
      <w:tblPr>
        <w:tblW w:w="14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14"/>
        <w:gridCol w:w="1440"/>
        <w:gridCol w:w="1800"/>
        <w:gridCol w:w="1620"/>
        <w:gridCol w:w="1980"/>
        <w:gridCol w:w="1800"/>
        <w:gridCol w:w="1800"/>
        <w:gridCol w:w="1916"/>
      </w:tblGrid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档次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重置价格</w:t>
            </w:r>
          </w:p>
          <w:p w:rsidR="002105F6" w:rsidRDefault="002105F6" w:rsidP="002105F6">
            <w:pPr>
              <w:ind w:leftChars="-50" w:left="-110" w:rightChars="-50" w:right="-110"/>
              <w:jc w:val="center"/>
              <w:rPr>
                <w:rFonts w:eastAsia="黑体"/>
                <w:spacing w:val="-6"/>
                <w:sz w:val="24"/>
                <w:szCs w:val="24"/>
              </w:rPr>
            </w:pPr>
            <w:r>
              <w:rPr>
                <w:rFonts w:eastAsia="黑体" w:hint="eastAsia"/>
                <w:spacing w:val="-6"/>
                <w:sz w:val="24"/>
                <w:szCs w:val="24"/>
              </w:rPr>
              <w:t>（元</w:t>
            </w:r>
            <w:r>
              <w:rPr>
                <w:rFonts w:eastAsia="黑体"/>
                <w:spacing w:val="-6"/>
                <w:sz w:val="24"/>
                <w:szCs w:val="24"/>
              </w:rPr>
              <w:t>/</w:t>
            </w:r>
            <w:r>
              <w:rPr>
                <w:rFonts w:eastAsia="黑体" w:hint="eastAsia"/>
                <w:spacing w:val="-6"/>
                <w:sz w:val="24"/>
                <w:szCs w:val="24"/>
              </w:rPr>
              <w:t>平方米）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楼地面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内墙面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天棚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门窗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厨房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卫生间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其他</w:t>
            </w:r>
          </w:p>
        </w:tc>
      </w:tr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高级材料铺装（高级石板材、缸砖、木地板）。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高级石板材或缸砖踢脚线（或木质），高级漆料（</w:t>
            </w:r>
            <w:r w:rsidRPr="002105F6">
              <w:rPr>
                <w:rFonts w:ascii="仿宋_GB2312" w:eastAsia="仿宋_GB2312" w:hint="eastAsia"/>
                <w:sz w:val="21"/>
                <w:szCs w:val="21"/>
              </w:rPr>
              <w:t>ICI</w:t>
            </w: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、立邦漆、乳胶漆）或高级墙纸、高级质感材料、高级木质墙面（榉木、油木、桃木等）。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木作造型艺术吊顶及四周角线带灯座（豪华）。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高级艺术、木门（原木或</w:t>
            </w:r>
            <w:r w:rsidRPr="002105F6">
              <w:rPr>
                <w:rFonts w:ascii="仿宋_GB2312" w:hAnsi="宋体" w:cs="宋体" w:hint="eastAsia"/>
                <w:sz w:val="21"/>
                <w:szCs w:val="21"/>
              </w:rPr>
              <w:t>栟</w:t>
            </w:r>
            <w:r w:rsidRPr="002105F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木）、入户门为双层防火、防盗门、高级塑钢或铝合金窗（或带纱窗）、木质窗帘盒、窗、阳台设不锈钢防盗罩、部分双层防护网。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高级防滑缸砖（瓷砖）地面、高级瓷砖墙面、整体式厨具、吊柜、钙塑板或铝塑防火板吊顶、铝合金（塑钢）或木质艺术门框，钢化玻璃推拉门。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高级防滑缸砖（瓷砖）楼地面、高级缸砖（瓷砖）内墙面、吊顶、高级卫生洁具、整体式洗手盆、浴房。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楼梯高级实木扶手、艺术铁花栏杆或不锈钢艺术扶手栏杆，高级缸砖或石板材踏步。室内组合式壁橱、壁柜。</w:t>
            </w:r>
          </w:p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给排水、强弱电等管线（暗线）高级齐全。</w:t>
            </w:r>
          </w:p>
        </w:tc>
      </w:tr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700</w:t>
            </w:r>
          </w:p>
        </w:tc>
        <w:tc>
          <w:tcPr>
            <w:tcW w:w="123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装修格局、项目同上，但其用料系次高级，用工较精细。</w:t>
            </w:r>
          </w:p>
        </w:tc>
      </w:tr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普通石板材或缸砖，普通硬化复合木地板。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普通瓷砖脚线或复合木质踢脚线</w:t>
            </w:r>
            <w:r w:rsidRPr="002105F6">
              <w:rPr>
                <w:rFonts w:ascii="仿宋_GB2312" w:eastAsia="仿宋_GB2312" w:hint="eastAsia"/>
                <w:sz w:val="21"/>
                <w:szCs w:val="21"/>
              </w:rPr>
              <w:t>ICI</w:t>
            </w: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涂料或水泥漆粉刷、部分瓷砖墙裙或木质墙裙。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普通木质（合拼）造型吊顶、四周石膏角线。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木质平板门、铝合金窗，入户门为普通双层防盗铁门（烤漆）、窗、阳台设有不锈钢防盗网、木质窗帘盆。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普通石板材或缸砖楼地面、瓷砖墙面铝塑板吊顶、组合式厨具（不锈钢或复合式）、普通铝合金推拉门。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普通缸砖或防滑瓷砖楼地面、普通吊顶、卫生洁、浴具齐全（普通）。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楼梯普通实木扶手或不锈钢普通扶手栏杆、普通石材料或缸砖踏步。</w:t>
            </w:r>
          </w:p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室内普通壁橱、低框（不可移动）。</w:t>
            </w:r>
          </w:p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给排水、强弱电管线（暗线）次高级。</w:t>
            </w:r>
          </w:p>
        </w:tc>
      </w:tr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lastRenderedPageBreak/>
              <w:t>档次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重置价格</w:t>
            </w:r>
          </w:p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（元/</w:t>
            </w:r>
            <w:r w:rsidRPr="002105F6">
              <w:rPr>
                <w:rFonts w:ascii="仿宋_GB2312" w:eastAsia="黑体" w:hint="eastAsia"/>
                <w:sz w:val="21"/>
                <w:szCs w:val="21"/>
              </w:rPr>
              <w:t>㎡</w:t>
            </w:r>
            <w:r w:rsidRPr="002105F6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楼地面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内墙面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天棚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门窗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厨房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卫生间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其他</w:t>
            </w:r>
          </w:p>
        </w:tc>
      </w:tr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普通花岗岩石板材或缸砖。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普通瓷砖踢脚线、</w:t>
            </w:r>
            <w:r w:rsidRPr="002105F6">
              <w:rPr>
                <w:rFonts w:ascii="仿宋_GB2312" w:eastAsia="仿宋_GB2312" w:hint="eastAsia"/>
                <w:sz w:val="21"/>
                <w:szCs w:val="21"/>
              </w:rPr>
              <w:t>ICI</w:t>
            </w: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中级粉刷、水泥漆、部分木作墙裙或瓷砖墙裙。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局部普通木作吊顶或四周木吊顶、或四周装饰线条抹灰。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木门、普通铝合金窗、设有钢烤漆防盗罩（窗阳台），室内附有木质窗帘。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瓷砖楼地面、内墙面、铝塑板吊顶、普通组合式灶台。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普通卫生洁具齐全。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cs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梯间普通镀锌管扶手、栏杆、普通缸砖踏步，室内部分固定壁橱、低柜。</w:t>
            </w:r>
          </w:p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配套管线（暗线）普通。</w:t>
            </w:r>
          </w:p>
        </w:tc>
      </w:tr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普通缸砖。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部分瓷砖墙裙，其他为普通涂料粉刷瓷砖踏脚线。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普通涂料粉刷、部分装饰线条角线。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普通木门、普通铝合金窗，部分窗、阳台设有镀锌管防盗罩。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普通缸砖楼地面、瓷砖内墙面、非组合式板材灶台。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普通卫生洁具齐全。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cs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梯间普通镀锌管扶手、栏杆，部分缸砖踏步、部分水泥砂浆抹平踏步。</w:t>
            </w:r>
          </w:p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配套管线（明线）普通。</w:t>
            </w:r>
          </w:p>
        </w:tc>
      </w:tr>
      <w:tr w:rsidR="002105F6" w:rsidTr="00A66C2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Default="002105F6" w:rsidP="00A6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hint="eastAsia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低档材料铺装（斗底砖、水泥花砖等）。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普通抹灰、涂料提白。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普通抹灰、涂料提白。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普通木门窗。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斗底砖、水泥花砖楼地面，简易灶台。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简陋配置卫生洁具。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梯间镀锌管栏杆、扶手，踏步水泥砂浆抹平或花岗岩原石一遍凿。</w:t>
            </w:r>
          </w:p>
          <w:p w:rsidR="002105F6" w:rsidRPr="002105F6" w:rsidRDefault="002105F6" w:rsidP="00A66C2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2105F6">
              <w:rPr>
                <w:rFonts w:ascii="仿宋_GB2312" w:eastAsia="仿宋_GB2312" w:cs="仿宋_GB2312" w:hint="eastAsia"/>
                <w:sz w:val="21"/>
                <w:szCs w:val="21"/>
              </w:rPr>
              <w:t>配套管线（明线）简陋。</w:t>
            </w:r>
          </w:p>
        </w:tc>
      </w:tr>
    </w:tbl>
    <w:p w:rsidR="002105F6" w:rsidRDefault="002105F6" w:rsidP="002105F6">
      <w:pPr>
        <w:spacing w:beforeLines="50" w:line="380" w:lineRule="exact"/>
        <w:ind w:left="470" w:hangingChars="196" w:hanging="470"/>
        <w:rPr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2105F6">
      <w:pgSz w:w="16838" w:h="11906" w:orient="landscape"/>
      <w:pgMar w:top="119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105F6"/>
    <w:rsid w:val="00323B43"/>
    <w:rsid w:val="003D37D8"/>
    <w:rsid w:val="00426133"/>
    <w:rsid w:val="004358AB"/>
    <w:rsid w:val="008B7726"/>
    <w:rsid w:val="009C04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2021-12-01T02:35:00Z</dcterms:modified>
</cp:coreProperties>
</file>