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10" w:rsidRDefault="006C7910" w:rsidP="006C7910">
      <w:pPr>
        <w:spacing w:line="54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4</w:t>
      </w:r>
    </w:p>
    <w:p w:rsidR="006C7910" w:rsidRDefault="006C7910" w:rsidP="006C7910">
      <w:pPr>
        <w:spacing w:line="560" w:lineRule="exact"/>
        <w:jc w:val="center"/>
        <w:rPr>
          <w:rFonts w:eastAsia="01大标宋简" w:cs="方正小标宋简体" w:hint="eastAsia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私人自建民宅等面积补差价表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898"/>
        <w:gridCol w:w="1182"/>
        <w:gridCol w:w="1197"/>
        <w:gridCol w:w="1197"/>
        <w:gridCol w:w="1197"/>
        <w:gridCol w:w="1197"/>
        <w:gridCol w:w="1197"/>
      </w:tblGrid>
      <w:tr w:rsidR="006C7910" w:rsidRPr="00A25B2D" w:rsidTr="00C82DFA">
        <w:trPr>
          <w:trHeight w:val="681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结构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装修标准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等面积补差价（元</w:t>
            </w:r>
            <w:r w:rsidRPr="00A25B2D">
              <w:rPr>
                <w:rFonts w:eastAsia="黑体"/>
                <w:sz w:val="28"/>
                <w:szCs w:val="28"/>
              </w:rPr>
              <w:t>/</w:t>
            </w:r>
            <w:r w:rsidRPr="00A25B2D">
              <w:rPr>
                <w:rFonts w:eastAsia="黑体"/>
                <w:sz w:val="28"/>
                <w:szCs w:val="28"/>
              </w:rPr>
              <w:t>平方米）</w:t>
            </w:r>
          </w:p>
        </w:tc>
      </w:tr>
      <w:tr w:rsidR="006C7910" w:rsidRPr="00A25B2D" w:rsidTr="00C82DFA">
        <w:trPr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总一层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总二层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总三层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总四层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总五层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A25B2D">
              <w:rPr>
                <w:rFonts w:eastAsia="黑体"/>
                <w:sz w:val="28"/>
                <w:szCs w:val="28"/>
              </w:rPr>
              <w:t>总六层及以上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框架结构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430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450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砖混结构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430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450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480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石混结构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450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480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石</w:t>
            </w:r>
          </w:p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砖木石木</w:t>
            </w:r>
          </w:p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  <w:tr w:rsidR="006C7910" w:rsidRPr="00A25B2D" w:rsidTr="00C82DFA">
        <w:trPr>
          <w:trHeight w:hRule="exact" w:val="56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10" w:rsidRPr="00A25B2D" w:rsidRDefault="006C7910" w:rsidP="00C82DF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A25B2D">
              <w:rPr>
                <w:sz w:val="28"/>
                <w:szCs w:val="28"/>
              </w:rPr>
              <w:t>500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12" w:rsidRDefault="006C7910" w:rsidP="006C7910">
    <w:pPr>
      <w:pStyle w:val="a3"/>
      <w:ind w:rightChars="100" w:right="22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Pr="006C7910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C140B"/>
    <w:rsid w:val="00323B43"/>
    <w:rsid w:val="003D37D8"/>
    <w:rsid w:val="00426133"/>
    <w:rsid w:val="004358AB"/>
    <w:rsid w:val="006C791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791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C791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2021-12-01T02:53:00Z</dcterms:modified>
</cp:coreProperties>
</file>