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11" w:rsidRDefault="00E04E11" w:rsidP="00E04E11">
      <w:pPr>
        <w:widowControl/>
        <w:spacing w:line="360" w:lineRule="atLeast"/>
        <w:jc w:val="left"/>
        <w:rPr>
          <w:rFonts w:ascii="ˎ̥" w:hAnsi="ˎ̥" w:cs="宋体"/>
          <w:color w:val="000000"/>
          <w:kern w:val="0"/>
          <w:szCs w:val="21"/>
        </w:rPr>
      </w:pPr>
      <w:bookmarkStart w:id="0" w:name="5"/>
      <w:r>
        <w:rPr>
          <w:rFonts w:ascii="ˎ̥" w:hAnsi="ˎ̥" w:cs="宋体"/>
          <w:b/>
          <w:bCs/>
          <w:smallCaps/>
          <w:color w:val="000000"/>
          <w:kern w:val="0"/>
          <w:szCs w:val="21"/>
        </w:rPr>
        <w:t xml:space="preserve">　</w:t>
      </w:r>
      <w:bookmarkEnd w:id="0"/>
    </w:p>
    <w:p w:rsidR="00000000" w:rsidRDefault="00E04E11">
      <w:pPr>
        <w:widowControl/>
        <w:spacing w:line="360" w:lineRule="atLeast"/>
        <w:jc w:val="left"/>
        <w:rPr>
          <w:rFonts w:ascii="ˎ̥" w:hAnsi="ˎ̥" w:cs="宋体"/>
          <w:color w:val="000000"/>
          <w:kern w:val="0"/>
          <w:szCs w:val="21"/>
        </w:rPr>
      </w:pPr>
      <w:r>
        <w:rPr>
          <w:rFonts w:ascii="ˎ̥" w:hAnsi="ˎ̥" w:cs="宋体"/>
          <w:color w:val="000000"/>
          <w:kern w:val="0"/>
          <w:szCs w:val="21"/>
        </w:rPr>
        <w:br/>
      </w:r>
      <w:r>
        <w:rPr>
          <w:rFonts w:ascii="ˎ̥" w:hAnsi="ˎ̥" w:cs="宋体"/>
          <w:color w:val="000000"/>
          <w:kern w:val="0"/>
          <w:szCs w:val="21"/>
        </w:rPr>
        <w:t xml:space="preserve">　　附件</w:t>
      </w:r>
      <w:r>
        <w:rPr>
          <w:rFonts w:ascii="ˎ̥" w:hAnsi="ˎ̥" w:cs="宋体"/>
          <w:color w:val="000000"/>
          <w:kern w:val="0"/>
          <w:szCs w:val="21"/>
        </w:rPr>
        <w:t>2</w:t>
      </w:r>
    </w:p>
    <w:p w:rsidR="00000000" w:rsidRDefault="00E04E11">
      <w:pPr>
        <w:widowControl/>
        <w:spacing w:line="360" w:lineRule="atLeast"/>
        <w:jc w:val="center"/>
        <w:rPr>
          <w:rFonts w:ascii="ˎ̥" w:hAnsi="ˎ̥" w:cs="宋体"/>
          <w:color w:val="000000"/>
          <w:kern w:val="0"/>
          <w:szCs w:val="21"/>
        </w:rPr>
      </w:pPr>
      <w:r>
        <w:rPr>
          <w:rFonts w:ascii="ˎ̥" w:hAnsi="ˎ̥" w:cs="宋体"/>
          <w:color w:val="000000"/>
          <w:kern w:val="0"/>
          <w:szCs w:val="21"/>
        </w:rPr>
        <w:t xml:space="preserve">　　企业注销指引</w:t>
      </w:r>
    </w:p>
    <w:p w:rsidR="00000000" w:rsidRDefault="00E04E11">
      <w:pPr>
        <w:widowControl/>
        <w:spacing w:line="360" w:lineRule="atLeast"/>
        <w:jc w:val="left"/>
        <w:rPr>
          <w:rFonts w:ascii="ˎ̥" w:hAnsi="ˎ̥" w:cs="宋体"/>
          <w:color w:val="000000"/>
          <w:kern w:val="0"/>
          <w:szCs w:val="21"/>
        </w:rPr>
      </w:pPr>
    </w:p>
    <w:p w:rsidR="00000000" w:rsidRDefault="00E04E11">
      <w:pPr>
        <w:widowControl/>
        <w:spacing w:line="360" w:lineRule="atLeast"/>
        <w:jc w:val="left"/>
        <w:rPr>
          <w:rFonts w:ascii="ˎ̥" w:hAnsi="ˎ̥" w:cs="宋体"/>
          <w:color w:val="000000"/>
          <w:kern w:val="0"/>
          <w:szCs w:val="21"/>
        </w:rPr>
      </w:pPr>
      <w:r>
        <w:rPr>
          <w:rFonts w:ascii="ˎ̥" w:hAnsi="ˎ̥" w:cs="宋体"/>
          <w:color w:val="000000"/>
          <w:kern w:val="0"/>
          <w:szCs w:val="21"/>
        </w:rPr>
        <w:br/>
      </w:r>
      <w:bookmarkStart w:id="1" w:name="9"/>
      <w:r>
        <w:rPr>
          <w:rFonts w:ascii="ˎ̥" w:hAnsi="ˎ̥" w:cs="宋体"/>
          <w:b/>
          <w:bCs/>
          <w:smallCaps/>
          <w:color w:val="000000"/>
          <w:kern w:val="0"/>
          <w:szCs w:val="21"/>
        </w:rPr>
        <w:t xml:space="preserve">　　一、</w:t>
      </w:r>
      <w:bookmarkEnd w:id="1"/>
      <w:r>
        <w:rPr>
          <w:rFonts w:ascii="ˎ̥" w:hAnsi="ˎ̥" w:cs="宋体"/>
          <w:color w:val="000000"/>
          <w:kern w:val="0"/>
          <w:szCs w:val="21"/>
        </w:rPr>
        <w:t>普通注销流程指引</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1.</w:t>
      </w:r>
      <w:r>
        <w:rPr>
          <w:rFonts w:ascii="ˎ̥" w:hAnsi="ˎ̥" w:cs="宋体"/>
          <w:color w:val="000000"/>
          <w:kern w:val="0"/>
          <w:szCs w:val="21"/>
        </w:rPr>
        <w:t>企业出现解散事由</w:t>
      </w:r>
      <w:r>
        <w:rPr>
          <w:rFonts w:ascii="ˎ̥" w:hAnsi="ˎ̥" w:cs="宋体"/>
          <w:color w:val="000000"/>
          <w:kern w:val="0"/>
          <w:szCs w:val="21"/>
        </w:rPr>
        <w:t>后成立清算组。公司因公司章程规定的营业期限届满或者公司章程规定的其他解散事由出现时、股东会或者股东大会决议解散时、依法被吊销营业执照、责令关闭或者被撤销时以及人民法院依照《公司法》第一百八十二条的规定予以解散时而解散的，在解散事由出现之日起十五日内应成立清算组，开始清算活动。</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2.</w:t>
      </w:r>
      <w:r>
        <w:rPr>
          <w:rFonts w:ascii="ˎ̥" w:hAnsi="ˎ̥" w:cs="宋体"/>
          <w:color w:val="000000"/>
          <w:kern w:val="0"/>
          <w:szCs w:val="21"/>
        </w:rPr>
        <w:t>登录在线注销平台办理注销业务。清算组自成立之日起十日内，登录当地政务服务平台，通过企业注销网上服务专区访问或直接登录国家企业信用信息公示系统，向社会免费公示清算组信息，并于六十日内通过国家企业信用信息公示系统发布债权人公告（</w:t>
      </w:r>
      <w:r>
        <w:rPr>
          <w:rFonts w:ascii="ˎ̥" w:hAnsi="ˎ̥" w:cs="宋体"/>
          <w:color w:val="000000"/>
          <w:kern w:val="0"/>
          <w:szCs w:val="21"/>
        </w:rPr>
        <w:t>也可在报纸上公告）。企业可通过企业注销网上服务专区，查询获知办理各项注销业务的流程指引、当前的待办事项以及办结状态等内容，按照各部门的指引准备相关材料，筹备待办事项。</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3.</w:t>
      </w:r>
      <w:r>
        <w:rPr>
          <w:rFonts w:ascii="ˎ̥" w:hAnsi="ˎ̥" w:cs="宋体"/>
          <w:color w:val="000000"/>
          <w:kern w:val="0"/>
          <w:szCs w:val="21"/>
        </w:rPr>
        <w:t>清算组开展清算活动。清算组依法制定清算方案并报股东会、股东大会或者人民法院确认。并编制资产负债表和财产清单，处理与清算有关的公司未了结的业务，清缴所欠税款以及清算过程中产生的税款，清理债权、债务等。</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4.</w:t>
      </w:r>
      <w:r>
        <w:rPr>
          <w:rFonts w:ascii="ˎ̥" w:hAnsi="ˎ̥" w:cs="宋体"/>
          <w:color w:val="000000"/>
          <w:kern w:val="0"/>
          <w:szCs w:val="21"/>
        </w:rPr>
        <w:t>申请注销税务登记。在申请税务注销之前，纳税人应当向税务机关结清应纳税款、滞纳金、罚款，缴销发票。例如清缴欠税、办理企业所得税</w:t>
      </w:r>
      <w:r>
        <w:rPr>
          <w:rFonts w:ascii="ˎ̥" w:hAnsi="ˎ̥" w:cs="宋体"/>
          <w:color w:val="000000"/>
          <w:kern w:val="0"/>
          <w:szCs w:val="21"/>
        </w:rPr>
        <w:t>注销清算、办理土地增值税清算、结清出口退（免）税款、注销防伪税控企业信息等。存在涉税违法行为的纳税人应当接受处罚缴纳罚款。纳税人向税务部门申请办理注销时，税务部门进行税务注销预检，检查纳税人是否存在未办结事项。</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符合容缺即时办理条件的纳税人，在办理税务注销时，若资料不齐，可在作出承诺后，税务部门即时出具清税文书。纳税人应按承诺的时限补齐资料并办结相关事项，若未履行承诺的，税务部门将该失信行为记入纳税人的法定代表人、财务负责人的个人信用记录。具体容缺条件是未处于税务检查状态、无欠税（滞纳金）及罚款、已缴</w:t>
      </w:r>
      <w:r>
        <w:rPr>
          <w:rFonts w:ascii="ˎ̥" w:hAnsi="ˎ̥" w:cs="宋体"/>
          <w:color w:val="000000"/>
          <w:kern w:val="0"/>
          <w:szCs w:val="21"/>
        </w:rPr>
        <w:t>销增值税专用发票及税控专用设备，且符合下列情形之一的纳税人：</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w:t>
      </w:r>
      <w:r>
        <w:rPr>
          <w:rFonts w:ascii="ˎ̥" w:hAnsi="ˎ̥" w:cs="宋体"/>
          <w:color w:val="000000"/>
          <w:kern w:val="0"/>
          <w:szCs w:val="21"/>
        </w:rPr>
        <w:t>纳税信用级别为</w:t>
      </w:r>
      <w:r>
        <w:rPr>
          <w:rFonts w:ascii="ˎ̥" w:hAnsi="ˎ̥" w:cs="宋体"/>
          <w:color w:val="000000"/>
          <w:kern w:val="0"/>
          <w:szCs w:val="21"/>
        </w:rPr>
        <w:t>A</w:t>
      </w:r>
      <w:r>
        <w:rPr>
          <w:rFonts w:ascii="ˎ̥" w:hAnsi="ˎ̥" w:cs="宋体"/>
          <w:color w:val="000000"/>
          <w:kern w:val="0"/>
          <w:szCs w:val="21"/>
        </w:rPr>
        <w:t>级和</w:t>
      </w:r>
      <w:r>
        <w:rPr>
          <w:rFonts w:ascii="ˎ̥" w:hAnsi="ˎ̥" w:cs="宋体"/>
          <w:color w:val="000000"/>
          <w:kern w:val="0"/>
          <w:szCs w:val="21"/>
        </w:rPr>
        <w:t>B</w:t>
      </w:r>
      <w:r>
        <w:rPr>
          <w:rFonts w:ascii="ˎ̥" w:hAnsi="ˎ̥" w:cs="宋体"/>
          <w:color w:val="000000"/>
          <w:kern w:val="0"/>
          <w:szCs w:val="21"/>
        </w:rPr>
        <w:t>级的纳税人；</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w:t>
      </w:r>
      <w:r>
        <w:rPr>
          <w:rFonts w:ascii="ˎ̥" w:hAnsi="ˎ̥" w:cs="宋体"/>
          <w:color w:val="000000"/>
          <w:kern w:val="0"/>
          <w:szCs w:val="21"/>
        </w:rPr>
        <w:t>控股母公司纳税信用级别为</w:t>
      </w:r>
      <w:r>
        <w:rPr>
          <w:rFonts w:ascii="ˎ̥" w:hAnsi="ˎ̥" w:cs="宋体"/>
          <w:color w:val="000000"/>
          <w:kern w:val="0"/>
          <w:szCs w:val="21"/>
        </w:rPr>
        <w:t>A</w:t>
      </w:r>
      <w:r>
        <w:rPr>
          <w:rFonts w:ascii="ˎ̥" w:hAnsi="ˎ̥" w:cs="宋体"/>
          <w:color w:val="000000"/>
          <w:kern w:val="0"/>
          <w:szCs w:val="21"/>
        </w:rPr>
        <w:t>级的</w:t>
      </w:r>
      <w:r>
        <w:rPr>
          <w:rFonts w:ascii="ˎ̥" w:hAnsi="ˎ̥" w:cs="宋体"/>
          <w:color w:val="000000"/>
          <w:kern w:val="0"/>
          <w:szCs w:val="21"/>
        </w:rPr>
        <w:t>M</w:t>
      </w:r>
      <w:r>
        <w:rPr>
          <w:rFonts w:ascii="ˎ̥" w:hAnsi="ˎ̥" w:cs="宋体"/>
          <w:color w:val="000000"/>
          <w:kern w:val="0"/>
          <w:szCs w:val="21"/>
        </w:rPr>
        <w:t>级纳税人；</w:t>
      </w:r>
      <w:r>
        <w:rPr>
          <w:rFonts w:ascii="ˎ̥" w:hAnsi="ˎ̥" w:cs="宋体"/>
          <w:color w:val="000000"/>
          <w:kern w:val="0"/>
          <w:szCs w:val="21"/>
        </w:rPr>
        <w:br/>
      </w:r>
      <w:r>
        <w:rPr>
          <w:rFonts w:ascii="ˎ̥" w:hAnsi="ˎ̥" w:cs="宋体"/>
          <w:color w:val="000000"/>
          <w:kern w:val="0"/>
          <w:szCs w:val="21"/>
        </w:rPr>
        <w:lastRenderedPageBreak/>
        <w:br/>
      </w:r>
      <w:r>
        <w:rPr>
          <w:rFonts w:ascii="ˎ̥" w:hAnsi="ˎ̥" w:cs="宋体"/>
          <w:color w:val="000000"/>
          <w:kern w:val="0"/>
          <w:szCs w:val="21"/>
        </w:rPr>
        <w:t xml:space="preserve">　　</w:t>
      </w:r>
      <w:r>
        <w:rPr>
          <w:rFonts w:ascii="ˎ̥" w:hAnsi="ˎ̥" w:cs="宋体"/>
          <w:color w:val="000000"/>
          <w:kern w:val="0"/>
          <w:szCs w:val="21"/>
        </w:rPr>
        <w:t>●</w:t>
      </w:r>
      <w:r>
        <w:rPr>
          <w:rFonts w:ascii="ˎ̥" w:hAnsi="ˎ̥" w:cs="宋体"/>
          <w:color w:val="000000"/>
          <w:kern w:val="0"/>
          <w:szCs w:val="21"/>
        </w:rPr>
        <w:t>省级人民政府引进人才或经省级以上行业协会等机构认定的行业领军人才等创办的企业；</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w:t>
      </w:r>
      <w:r>
        <w:rPr>
          <w:rFonts w:ascii="ˎ̥" w:hAnsi="ˎ̥" w:cs="宋体"/>
          <w:color w:val="000000"/>
          <w:kern w:val="0"/>
          <w:szCs w:val="21"/>
        </w:rPr>
        <w:t>未纳入纳税信用级别评价的定期定额个体工商户；</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w:t>
      </w:r>
      <w:r>
        <w:rPr>
          <w:rFonts w:ascii="ˎ̥" w:hAnsi="ˎ̥" w:cs="宋体"/>
          <w:color w:val="000000"/>
          <w:kern w:val="0"/>
          <w:szCs w:val="21"/>
        </w:rPr>
        <w:t>未达到增值税纳税起征点的纳税人。</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不符合承诺制容缺即时办理条件的（或虽符合承诺制容缺即时办理条件但纳税人不愿意承诺的），税务部门向纳税人出具《税务事项通知书》（告知未结事项），纳税人应当先行办理完毕</w:t>
      </w:r>
      <w:r>
        <w:rPr>
          <w:rFonts w:ascii="ˎ̥" w:hAnsi="ˎ̥" w:cs="宋体"/>
          <w:color w:val="000000"/>
          <w:kern w:val="0"/>
          <w:szCs w:val="21"/>
        </w:rPr>
        <w:t>各项未结事项后，方可申请办理税务注销。</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5.</w:t>
      </w:r>
      <w:r>
        <w:rPr>
          <w:rFonts w:ascii="ˎ̥" w:hAnsi="ˎ̥" w:cs="宋体"/>
          <w:color w:val="000000"/>
          <w:kern w:val="0"/>
          <w:szCs w:val="21"/>
        </w:rPr>
        <w:t>申请注销企业登记。公司清算结束后，清算组制作清算报告，报股东会、股东大会或者人民法院确认。清算组向公司登记机关提交公司注销登记申请书和其他材料申请注销公司登记。</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6.</w:t>
      </w:r>
      <w:r>
        <w:rPr>
          <w:rFonts w:ascii="ˎ̥" w:hAnsi="ˎ̥" w:cs="宋体"/>
          <w:color w:val="000000"/>
          <w:kern w:val="0"/>
          <w:szCs w:val="21"/>
        </w:rPr>
        <w:t>申请注销社会保险登记。企业应当自办理企业注销登记之日起</w:t>
      </w:r>
      <w:r>
        <w:rPr>
          <w:rFonts w:ascii="ˎ̥" w:hAnsi="ˎ̥" w:cs="宋体"/>
          <w:color w:val="000000"/>
          <w:kern w:val="0"/>
          <w:szCs w:val="21"/>
        </w:rPr>
        <w:t>30</w:t>
      </w:r>
      <w:r>
        <w:rPr>
          <w:rFonts w:ascii="ˎ̥" w:hAnsi="ˎ̥" w:cs="宋体"/>
          <w:color w:val="000000"/>
          <w:kern w:val="0"/>
          <w:szCs w:val="21"/>
        </w:rPr>
        <w:t>日内，向原社会保险登记机构提交注销社会保险登记申请和其他有关注销文件，办理注销社会保险登记手续。在办理注销社会保险登记前，应当清缴社会保险费欠费。</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7.</w:t>
      </w:r>
      <w:r>
        <w:rPr>
          <w:rFonts w:ascii="ˎ̥" w:hAnsi="ˎ̥" w:cs="宋体"/>
          <w:color w:val="000000"/>
          <w:kern w:val="0"/>
          <w:szCs w:val="21"/>
        </w:rPr>
        <w:t>申请办理海关注销登记。企业登录</w:t>
      </w:r>
      <w:r>
        <w:rPr>
          <w:rFonts w:ascii="ˎ̥" w:hAnsi="ˎ̥" w:cs="宋体"/>
          <w:color w:val="000000"/>
          <w:kern w:val="0"/>
          <w:szCs w:val="21"/>
        </w:rPr>
        <w:t>“</w:t>
      </w:r>
      <w:r>
        <w:rPr>
          <w:rFonts w:ascii="ˎ̥" w:hAnsi="ˎ̥" w:cs="宋体"/>
          <w:color w:val="000000"/>
          <w:kern w:val="0"/>
          <w:szCs w:val="21"/>
        </w:rPr>
        <w:t>中国国际贸易</w:t>
      </w:r>
      <w:r>
        <w:rPr>
          <w:rFonts w:ascii="ˎ̥" w:hAnsi="ˎ̥" w:cs="宋体"/>
          <w:color w:val="000000"/>
          <w:kern w:val="0"/>
          <w:szCs w:val="21"/>
        </w:rPr>
        <w:t>”</w:t>
      </w:r>
      <w:r>
        <w:rPr>
          <w:rFonts w:ascii="ˎ̥" w:hAnsi="ˎ̥" w:cs="宋体"/>
          <w:color w:val="000000"/>
          <w:kern w:val="0"/>
          <w:szCs w:val="21"/>
        </w:rPr>
        <w:t>单一窗口（</w:t>
      </w:r>
      <w:r>
        <w:rPr>
          <w:rFonts w:ascii="ˎ̥" w:hAnsi="ˎ̥" w:cs="宋体"/>
          <w:color w:val="000000"/>
          <w:kern w:val="0"/>
          <w:szCs w:val="21"/>
        </w:rPr>
        <w:t>http://ww</w:t>
      </w:r>
      <w:r>
        <w:rPr>
          <w:rFonts w:ascii="ˎ̥" w:hAnsi="ˎ̥" w:cs="宋体"/>
          <w:color w:val="000000"/>
          <w:kern w:val="0"/>
          <w:szCs w:val="21"/>
        </w:rPr>
        <w:t>w.singlewindow.cn</w:t>
      </w:r>
      <w:r>
        <w:rPr>
          <w:rFonts w:ascii="ˎ̥" w:hAnsi="ˎ̥" w:cs="宋体"/>
          <w:color w:val="000000"/>
          <w:kern w:val="0"/>
          <w:szCs w:val="21"/>
        </w:rPr>
        <w:t>）或者</w:t>
      </w:r>
      <w:r>
        <w:rPr>
          <w:rFonts w:ascii="ˎ̥" w:hAnsi="ˎ̥" w:cs="宋体"/>
          <w:color w:val="000000"/>
          <w:kern w:val="0"/>
          <w:szCs w:val="21"/>
        </w:rPr>
        <w:t>“</w:t>
      </w:r>
      <w:r>
        <w:rPr>
          <w:rFonts w:ascii="ˎ̥" w:hAnsi="ˎ̥" w:cs="宋体"/>
          <w:color w:val="000000"/>
          <w:kern w:val="0"/>
          <w:szCs w:val="21"/>
        </w:rPr>
        <w:t>互联网</w:t>
      </w:r>
      <w:r>
        <w:rPr>
          <w:rFonts w:ascii="ˎ̥" w:hAnsi="ˎ̥" w:cs="宋体"/>
          <w:color w:val="000000"/>
          <w:kern w:val="0"/>
          <w:szCs w:val="21"/>
        </w:rPr>
        <w:t>+</w:t>
      </w:r>
      <w:r>
        <w:rPr>
          <w:rFonts w:ascii="ˎ̥" w:hAnsi="ˎ̥" w:cs="宋体"/>
          <w:color w:val="000000"/>
          <w:kern w:val="0"/>
          <w:szCs w:val="21"/>
        </w:rPr>
        <w:t>海关</w:t>
      </w:r>
      <w:r>
        <w:rPr>
          <w:rFonts w:ascii="ˎ̥" w:hAnsi="ˎ̥" w:cs="宋体"/>
          <w:color w:val="000000"/>
          <w:kern w:val="0"/>
          <w:szCs w:val="21"/>
        </w:rPr>
        <w:t>”</w:t>
      </w:r>
      <w:r>
        <w:rPr>
          <w:rFonts w:ascii="ˎ̥" w:hAnsi="ˎ̥" w:cs="宋体"/>
          <w:color w:val="000000"/>
          <w:kern w:val="0"/>
          <w:szCs w:val="21"/>
        </w:rPr>
        <w:t>（</w:t>
      </w:r>
      <w:r>
        <w:rPr>
          <w:rFonts w:ascii="ˎ̥" w:hAnsi="ˎ̥" w:cs="宋体"/>
          <w:color w:val="000000"/>
          <w:kern w:val="0"/>
          <w:szCs w:val="21"/>
        </w:rPr>
        <w:t>http://on-line.customs.gov.cn</w:t>
      </w:r>
      <w:r>
        <w:rPr>
          <w:rFonts w:ascii="ˎ̥" w:hAnsi="ˎ̥" w:cs="宋体"/>
          <w:color w:val="000000"/>
          <w:kern w:val="0"/>
          <w:szCs w:val="21"/>
        </w:rPr>
        <w:t>）录入申请注销信息，将进出口货物收发货人注销书面申请提交所在地海关审核。</w:t>
      </w:r>
    </w:p>
    <w:p w:rsidR="00000000" w:rsidRDefault="00E04E11">
      <w:pPr>
        <w:widowControl/>
        <w:spacing w:line="360" w:lineRule="atLeast"/>
        <w:jc w:val="left"/>
        <w:rPr>
          <w:rFonts w:ascii="ˎ̥" w:hAnsi="ˎ̥" w:cs="宋体"/>
          <w:color w:val="000000"/>
          <w:kern w:val="0"/>
          <w:szCs w:val="21"/>
        </w:rPr>
      </w:pPr>
      <w:r>
        <w:rPr>
          <w:rFonts w:ascii="ˎ̥" w:hAnsi="ˎ̥" w:cs="宋体"/>
          <w:color w:val="000000"/>
          <w:kern w:val="0"/>
          <w:szCs w:val="21"/>
        </w:rPr>
        <w:br/>
      </w:r>
      <w:bookmarkStart w:id="2" w:name="10"/>
      <w:r>
        <w:rPr>
          <w:rFonts w:ascii="ˎ̥" w:hAnsi="ˎ̥" w:cs="宋体"/>
          <w:b/>
          <w:bCs/>
          <w:smallCaps/>
          <w:color w:val="000000"/>
          <w:kern w:val="0"/>
          <w:szCs w:val="21"/>
        </w:rPr>
        <w:t xml:space="preserve">　　二、</w:t>
      </w:r>
      <w:bookmarkEnd w:id="2"/>
      <w:r>
        <w:rPr>
          <w:rFonts w:ascii="ˎ̥" w:hAnsi="ˎ̥" w:cs="宋体"/>
          <w:color w:val="000000"/>
          <w:kern w:val="0"/>
          <w:szCs w:val="21"/>
        </w:rPr>
        <w:t>特殊情况办理指引</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1.</w:t>
      </w:r>
      <w:r>
        <w:rPr>
          <w:rFonts w:ascii="ˎ̥" w:hAnsi="ˎ̥" w:cs="宋体"/>
          <w:color w:val="000000"/>
          <w:kern w:val="0"/>
          <w:szCs w:val="21"/>
        </w:rPr>
        <w:t>对有限责任公司存在股东失联、不配合等情况难以注销的，经书面及报纸（或国家企业信用信息公示系统）公告通知全体股东，召开股东会形成符合法律及章程规定表决比例的决议、成立清算组后，向登记机关申请注销。</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2.</w:t>
      </w:r>
      <w:r>
        <w:rPr>
          <w:rFonts w:ascii="ˎ̥" w:hAnsi="ˎ̥" w:cs="宋体"/>
          <w:color w:val="000000"/>
          <w:kern w:val="0"/>
          <w:szCs w:val="21"/>
        </w:rPr>
        <w:t>对营业执照遗失的企业，可以将原先补领营业执照与注销登记两个环节合并为一个环节，</w:t>
      </w:r>
      <w:r>
        <w:rPr>
          <w:rFonts w:ascii="ˎ̥" w:hAnsi="ˎ̥" w:cs="宋体"/>
          <w:color w:val="000000"/>
          <w:kern w:val="0"/>
          <w:szCs w:val="21"/>
        </w:rPr>
        <w:t>企业可以持在国家企业信用信息公示系统自行公示的执照遗失公告及注销登记申请材料直接办理注销登记。</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3.</w:t>
      </w:r>
      <w:r>
        <w:rPr>
          <w:rFonts w:ascii="ˎ̥" w:hAnsi="ˎ̥" w:cs="宋体"/>
          <w:color w:val="000000"/>
          <w:kern w:val="0"/>
          <w:szCs w:val="21"/>
        </w:rPr>
        <w:t>对于尚未更换加载统一社会信用代码营业执照即被吊销的企业，市场监管部门已就此类企业进行了统一社会信用代码的赋码，企业在相关部门办理注销业务时可使用其统一社会信用代码办理，无需更换加载统一社会信用代码营业执照。</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lastRenderedPageBreak/>
        <w:t xml:space="preserve">　　</w:t>
      </w:r>
      <w:r>
        <w:rPr>
          <w:rFonts w:ascii="ˎ̥" w:hAnsi="ˎ̥" w:cs="宋体"/>
          <w:color w:val="000000"/>
          <w:kern w:val="0"/>
          <w:szCs w:val="21"/>
        </w:rPr>
        <w:t>4.</w:t>
      </w:r>
      <w:r>
        <w:rPr>
          <w:rFonts w:ascii="ˎ̥" w:hAnsi="ˎ̥" w:cs="宋体"/>
          <w:color w:val="000000"/>
          <w:kern w:val="0"/>
          <w:szCs w:val="21"/>
        </w:rPr>
        <w:t>公司出现法定解散事由，但逾期未成立清算组进行清算的，债权人可以申请人民法院指定有关人员组成清算组进行清算。清算组完成清算后，清算组持人民法院确认的清算报告向登记机关办理注销登记。</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5</w:t>
      </w:r>
      <w:r>
        <w:rPr>
          <w:rFonts w:ascii="ˎ̥" w:hAnsi="ˎ̥" w:cs="宋体"/>
          <w:color w:val="000000"/>
          <w:kern w:val="0"/>
          <w:szCs w:val="21"/>
        </w:rPr>
        <w:t>.</w:t>
      </w:r>
      <w:r>
        <w:rPr>
          <w:rFonts w:ascii="ˎ̥" w:hAnsi="ˎ̥" w:cs="宋体"/>
          <w:color w:val="000000"/>
          <w:kern w:val="0"/>
          <w:szCs w:val="21"/>
        </w:rPr>
        <w:t>纳税人被登记机关吊销营业执照或者被其他机关予以撤销登记的，应当自营业执照被吊销或者被撤销登记之日起</w:t>
      </w:r>
      <w:r>
        <w:rPr>
          <w:rFonts w:ascii="ˎ̥" w:hAnsi="ˎ̥" w:cs="宋体"/>
          <w:color w:val="000000"/>
          <w:kern w:val="0"/>
          <w:szCs w:val="21"/>
        </w:rPr>
        <w:t>15</w:t>
      </w:r>
      <w:r>
        <w:rPr>
          <w:rFonts w:ascii="ˎ̥" w:hAnsi="ˎ̥" w:cs="宋体"/>
          <w:color w:val="000000"/>
          <w:kern w:val="0"/>
          <w:szCs w:val="21"/>
        </w:rPr>
        <w:t>日内，向原税务登记机关申报办理税务注销。</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6.</w:t>
      </w:r>
      <w:r>
        <w:rPr>
          <w:rFonts w:ascii="ˎ̥" w:hAnsi="ˎ̥" w:cs="宋体"/>
          <w:color w:val="000000"/>
          <w:kern w:val="0"/>
          <w:szCs w:val="21"/>
        </w:rPr>
        <w:t>符合市场监管部门简易注销条件，未办理过涉税事宜，办理过涉税事宜但未领用发票、无欠税（滞纳金）及罚款的纳税人，免予到税务部门办理清税手续，直接向市场监管部门申请简易注销。</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7.</w:t>
      </w:r>
      <w:r>
        <w:rPr>
          <w:rFonts w:ascii="ˎ̥" w:hAnsi="ˎ̥" w:cs="宋体"/>
          <w:color w:val="000000"/>
          <w:kern w:val="0"/>
          <w:szCs w:val="21"/>
        </w:rPr>
        <w:t>领取营业执照后未开展经营活动、申请注销登记前未发生债权债务或者已将债权债务清算完结的有限责任公司、非公司企业法人、个人独资企业、合伙企业以及其他符合市场监管部门简易注销条件的企</w:t>
      </w:r>
      <w:r>
        <w:rPr>
          <w:rFonts w:ascii="ˎ̥" w:hAnsi="ˎ̥" w:cs="宋体"/>
          <w:color w:val="000000"/>
          <w:kern w:val="0"/>
          <w:szCs w:val="21"/>
        </w:rPr>
        <w:t>业，可以选择简易注销登记程序。</w:t>
      </w:r>
    </w:p>
    <w:p w:rsidR="00000000" w:rsidRDefault="00E04E11">
      <w:pPr>
        <w:widowControl/>
        <w:spacing w:line="360" w:lineRule="atLeast"/>
        <w:jc w:val="left"/>
        <w:rPr>
          <w:rFonts w:ascii="ˎ̥" w:hAnsi="ˎ̥" w:cs="宋体"/>
          <w:color w:val="000000"/>
          <w:kern w:val="0"/>
          <w:szCs w:val="21"/>
        </w:rPr>
      </w:pPr>
      <w:r>
        <w:rPr>
          <w:rFonts w:ascii="ˎ̥" w:hAnsi="ˎ̥" w:cs="宋体"/>
          <w:color w:val="000000"/>
          <w:kern w:val="0"/>
          <w:szCs w:val="21"/>
        </w:rPr>
        <w:br/>
      </w:r>
      <w:bookmarkStart w:id="3" w:name="11"/>
      <w:r>
        <w:rPr>
          <w:rFonts w:ascii="ˎ̥" w:hAnsi="ˎ̥" w:cs="宋体"/>
          <w:b/>
          <w:bCs/>
          <w:smallCaps/>
          <w:color w:val="000000"/>
          <w:kern w:val="0"/>
          <w:szCs w:val="21"/>
        </w:rPr>
        <w:t xml:space="preserve">　　三、</w:t>
      </w:r>
      <w:bookmarkEnd w:id="3"/>
      <w:r>
        <w:rPr>
          <w:rFonts w:ascii="ˎ̥" w:hAnsi="ˎ̥" w:cs="宋体"/>
          <w:color w:val="000000"/>
          <w:kern w:val="0"/>
          <w:szCs w:val="21"/>
        </w:rPr>
        <w:t>注销法律责任提示</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1.</w:t>
      </w:r>
      <w:r>
        <w:rPr>
          <w:rFonts w:ascii="ˎ̥" w:hAnsi="ˎ̥" w:cs="宋体"/>
          <w:color w:val="000000"/>
          <w:kern w:val="0"/>
          <w:szCs w:val="21"/>
        </w:rPr>
        <w:t>公司清算时，清算组未按照规定履行通知和公告义务，导致债权人未及时申报债权而未获清偿，清算组成员对因此造成的损失承担赔偿责任。（依据最高人民法院关于适用《中华人民共和国公司法》若干问题的规定（二）第十一条）</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2.</w:t>
      </w:r>
      <w:r>
        <w:rPr>
          <w:rFonts w:ascii="ˎ̥" w:hAnsi="ˎ̥" w:cs="宋体"/>
          <w:color w:val="000000"/>
          <w:kern w:val="0"/>
          <w:szCs w:val="21"/>
        </w:rPr>
        <w:t>清算组执行未经确认的清算方案给公司或者债权人造成损失，公司、股东或者债权人主张清算组成员承担赔偿责任的，人民法院应依法予以支持。（依据最高人民法院关于适用《中华人民共和国公司法》若干问题的规定（二）第十五条）</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3.</w:t>
      </w:r>
      <w:r>
        <w:rPr>
          <w:rFonts w:ascii="ˎ̥" w:hAnsi="ˎ̥" w:cs="宋体"/>
          <w:color w:val="000000"/>
          <w:kern w:val="0"/>
          <w:szCs w:val="21"/>
        </w:rPr>
        <w:t>有限责</w:t>
      </w:r>
      <w:r>
        <w:rPr>
          <w:rFonts w:ascii="ˎ̥" w:hAnsi="ˎ̥" w:cs="宋体"/>
          <w:color w:val="000000"/>
          <w:kern w:val="0"/>
          <w:szCs w:val="21"/>
        </w:rPr>
        <w:t>任公司的股东、股份有限公司的董事和控股股东未在法定期限内成立清算组开始清算，导致公司财产贬值、流失、毁损或者灭失，债权人主张其在造成损失范围内对公司债务承担赔偿责任的，人民法院应依法予以支持。（依据最高人民法院关于适用《中华人民共和国公司法》若干问题的规定（二）第十八条第一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4.</w:t>
      </w:r>
      <w:r>
        <w:rPr>
          <w:rFonts w:ascii="ˎ̥" w:hAnsi="ˎ̥" w:cs="宋体"/>
          <w:color w:val="000000"/>
          <w:kern w:val="0"/>
          <w:szCs w:val="21"/>
        </w:rPr>
        <w:t>有限责任公司的股东、股份有限公司的董事和控股股东因怠于履行义务，导致公司主要财产、账册、重要文件等灭失，无法进行清算，债权人主张其对公司债务承担连带清偿责任的，人民法院应依法予以支持。（依据最高人民法院关于适用《中华人民共</w:t>
      </w:r>
      <w:r>
        <w:rPr>
          <w:rFonts w:ascii="ˎ̥" w:hAnsi="ˎ̥" w:cs="宋体"/>
          <w:color w:val="000000"/>
          <w:kern w:val="0"/>
          <w:szCs w:val="21"/>
        </w:rPr>
        <w:t>和国公司法》若干问题的规定（二）第十八条第二款）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5.</w:t>
      </w:r>
      <w:r>
        <w:rPr>
          <w:rFonts w:ascii="ˎ̥" w:hAnsi="ˎ̥" w:cs="宋体"/>
          <w:color w:val="000000"/>
          <w:kern w:val="0"/>
          <w:szCs w:val="21"/>
        </w:rPr>
        <w:t>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w:t>
      </w:r>
      <w:r>
        <w:rPr>
          <w:rFonts w:ascii="ˎ̥" w:hAnsi="ˎ̥" w:cs="宋体"/>
          <w:color w:val="000000"/>
          <w:kern w:val="0"/>
          <w:szCs w:val="21"/>
        </w:rPr>
        <w:lastRenderedPageBreak/>
        <w:t>院应依法予以支持。（依据最高人民法院关于适用《中华人民共和国公司法》若干问题的规定（二）第十九条）</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6.</w:t>
      </w:r>
      <w:r>
        <w:rPr>
          <w:rFonts w:ascii="ˎ̥" w:hAnsi="ˎ̥" w:cs="宋体"/>
          <w:color w:val="000000"/>
          <w:kern w:val="0"/>
          <w:szCs w:val="21"/>
        </w:rPr>
        <w:t>公司解散应当在依法清算完毕后，申请办理注销登记。公司未经清算即办理注销登记，导致公司无法进行清算，债权人主张</w:t>
      </w:r>
      <w:r>
        <w:rPr>
          <w:rFonts w:ascii="ˎ̥" w:hAnsi="ˎ̥" w:cs="宋体"/>
          <w:color w:val="000000"/>
          <w:kern w:val="0"/>
          <w:szCs w:val="21"/>
        </w:rPr>
        <w:t>有限责任公司的股东、股份有限公司的董事和控股股东，以及公司的实际控制人对公司债务承担清偿责任的，人民法院应依法予以支持。（依据最高人民法院关于适用《中华人民共和国公司法》若干问题的规定（二）第二十条第一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7.</w:t>
      </w:r>
      <w:r>
        <w:rPr>
          <w:rFonts w:ascii="ˎ̥" w:hAnsi="ˎ̥" w:cs="宋体"/>
          <w:color w:val="000000"/>
          <w:kern w:val="0"/>
          <w:szCs w:val="21"/>
        </w:rPr>
        <w:t>公司未经依法清算即办理注销登记，股东或者第三人在公司登记机关办理注销登记时承诺对公司债务承担责任，债权人主张其对公司债务承担相应民事责任的，人民法院应依法予以支持。（依据最高人民法院关于适用《中华人民共和国公司法》若干问题的规定（二）第二十条第二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8.</w:t>
      </w:r>
      <w:r>
        <w:rPr>
          <w:rFonts w:ascii="ˎ̥" w:hAnsi="ˎ̥" w:cs="宋体"/>
          <w:color w:val="000000"/>
          <w:kern w:val="0"/>
          <w:szCs w:val="21"/>
        </w:rPr>
        <w:t>公司财产不足以清偿债务时，债权人</w:t>
      </w:r>
      <w:r>
        <w:rPr>
          <w:rFonts w:ascii="ˎ̥" w:hAnsi="ˎ̥" w:cs="宋体"/>
          <w:color w:val="000000"/>
          <w:kern w:val="0"/>
          <w:szCs w:val="21"/>
        </w:rPr>
        <w:t>主张未缴出资股东，以及公司设立时的其他股东或者发起人在未缴出资范围内对公司债务承担连带清偿责任的，人民法院应依法予以支持。（依据最高人民法院关于适用《中华人民共和国公司法》若干问题的规定（二）第二十二条第二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9.</w:t>
      </w:r>
      <w:r>
        <w:rPr>
          <w:rFonts w:ascii="ˎ̥" w:hAnsi="ˎ̥" w:cs="宋体"/>
          <w:color w:val="000000"/>
          <w:kern w:val="0"/>
          <w:szCs w:val="21"/>
        </w:rPr>
        <w:t>清算组成员从事清算事务时，违反法律、行政法规或者公司章程给公司或者债权人造成损失，公司或者债权人主张其承担赔偿责任的，人民法院应依法予以支持。（依据最高人民法院关于适用《中华人民共和国公司法》若干问题的规定（二）第二十三条第一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10.</w:t>
      </w:r>
      <w:r>
        <w:rPr>
          <w:rFonts w:ascii="ˎ̥" w:hAnsi="ˎ̥" w:cs="宋体"/>
          <w:color w:val="000000"/>
          <w:kern w:val="0"/>
          <w:szCs w:val="21"/>
        </w:rPr>
        <w:t>企业在注销登记中隐瞒真实情况、弄虚作假的，登记</w:t>
      </w:r>
      <w:r>
        <w:rPr>
          <w:rFonts w:ascii="ˎ̥" w:hAnsi="ˎ̥" w:cs="宋体"/>
          <w:color w:val="000000"/>
          <w:kern w:val="0"/>
          <w:szCs w:val="21"/>
        </w:rPr>
        <w:t>机关可以依法做出撤销注销登记等处理，在恢复企业主体资格的同时将该企业列入严重违法失信企业名单，并通过国家企业信用信息公示系统公示，有关利害关系人可以通过民事诉讼主张其相应权利。（依据《公司登记管理条例》第六十五条，《严重违法失信企业名单管理暂行办法》第五条第二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11.</w:t>
      </w:r>
      <w:r>
        <w:rPr>
          <w:rFonts w:ascii="ˎ̥" w:hAnsi="ˎ̥" w:cs="宋体"/>
          <w:color w:val="000000"/>
          <w:kern w:val="0"/>
          <w:szCs w:val="21"/>
        </w:rPr>
        <w:t>纳税人未按照规定的期限申报办理税务注销的，由税务机关责令限期改正，可以处二千元以下的罚款；情节严重的，处二千元以上一万元以下的罚款。（依据《税收征收管理法》第六十条第一款）</w:t>
      </w:r>
      <w:r>
        <w:rPr>
          <w:rFonts w:ascii="ˎ̥" w:hAnsi="ˎ̥" w:cs="宋体"/>
          <w:color w:val="000000"/>
          <w:kern w:val="0"/>
          <w:szCs w:val="21"/>
        </w:rPr>
        <w:br/>
      </w:r>
      <w:r>
        <w:rPr>
          <w:rFonts w:ascii="ˎ̥" w:hAnsi="ˎ̥" w:cs="宋体"/>
          <w:color w:val="000000"/>
          <w:kern w:val="0"/>
          <w:szCs w:val="21"/>
        </w:rPr>
        <w:br/>
      </w:r>
      <w:r>
        <w:rPr>
          <w:rFonts w:ascii="ˎ̥" w:hAnsi="ˎ̥" w:cs="宋体"/>
          <w:color w:val="000000"/>
          <w:kern w:val="0"/>
          <w:szCs w:val="21"/>
        </w:rPr>
        <w:t xml:space="preserve">　　</w:t>
      </w:r>
      <w:r>
        <w:rPr>
          <w:rFonts w:ascii="ˎ̥" w:hAnsi="ˎ̥" w:cs="宋体"/>
          <w:color w:val="000000"/>
          <w:kern w:val="0"/>
          <w:szCs w:val="21"/>
        </w:rPr>
        <w:t>12.</w:t>
      </w:r>
      <w:r>
        <w:rPr>
          <w:rFonts w:ascii="ˎ̥" w:hAnsi="ˎ̥" w:cs="宋体"/>
          <w:color w:val="000000"/>
          <w:kern w:val="0"/>
          <w:szCs w:val="21"/>
        </w:rPr>
        <w:t>纳税人伪造、变造、隐匿、擅自销毁账簿、记账凭证，</w:t>
      </w:r>
      <w:r>
        <w:rPr>
          <w:rFonts w:ascii="ˎ̥" w:hAnsi="ˎ̥" w:cs="宋体"/>
          <w:color w:val="000000"/>
          <w:kern w:val="0"/>
          <w:szCs w:val="21"/>
        </w:rPr>
        <w:t>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依据《税收征收管理法》第六十三条第一款）</w:t>
      </w:r>
    </w:p>
    <w:p w:rsidR="00000000" w:rsidRDefault="00E04E11">
      <w:r>
        <w:rPr>
          <w:rFonts w:ascii="ˎ̥" w:hAnsi="ˎ̥" w:cs="宋体"/>
          <w:color w:val="000000"/>
          <w:kern w:val="0"/>
          <w:szCs w:val="21"/>
        </w:rPr>
        <w:br/>
      </w:r>
      <w:bookmarkStart w:id="4" w:name="12"/>
      <w:r>
        <w:rPr>
          <w:rFonts w:ascii="ˎ̥" w:hAnsi="ˎ̥" w:cs="宋体"/>
          <w:b/>
          <w:bCs/>
          <w:smallCaps/>
          <w:color w:val="000000"/>
          <w:kern w:val="0"/>
          <w:szCs w:val="21"/>
        </w:rPr>
        <w:t xml:space="preserve">　　四、</w:t>
      </w:r>
      <w:bookmarkEnd w:id="4"/>
      <w:r>
        <w:rPr>
          <w:rFonts w:ascii="ˎ̥" w:hAnsi="ˎ̥" w:cs="宋体"/>
          <w:color w:val="000000"/>
          <w:kern w:val="0"/>
          <w:szCs w:val="21"/>
        </w:rPr>
        <w:t>企业注销流程图</w:t>
      </w:r>
      <w:r>
        <w:rPr>
          <w:rFonts w:ascii="ˎ̥" w:hAnsi="ˎ̥" w:cs="宋体"/>
          <w:color w:val="000000"/>
          <w:kern w:val="0"/>
          <w:szCs w:val="21"/>
        </w:rPr>
        <w:br/>
      </w:r>
      <w:r>
        <w:rPr>
          <w:rFonts w:ascii="ˎ̥" w:hAnsi="ˎ̥" w:cs="宋体" w:hint="eastAsia"/>
          <w:noProof/>
          <w:color w:val="000000"/>
          <w:kern w:val="0"/>
          <w:szCs w:val="21"/>
        </w:rPr>
        <w:lastRenderedPageBreak/>
        <w:drawing>
          <wp:inline distT="0" distB="0" distL="0" distR="0">
            <wp:extent cx="5991225" cy="3752850"/>
            <wp:effectExtent l="19050" t="0" r="9525" b="0"/>
            <wp:docPr id="1" name="图片 1" descr="http://172.23.25.129:8266/staticfiles/20190816/11/19/5/ec0f237c4d9e4f9f36ff5a03fd127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172.23.25.129:8266/staticfiles/20190816/11/19/5/ec0f237c4d9e4f9f36ff5a03fd12764b.jpg"/>
                    <pic:cNvPicPr>
                      <a:picLocks noChangeAspect="1" noChangeArrowheads="1"/>
                    </pic:cNvPicPr>
                  </pic:nvPicPr>
                  <pic:blipFill>
                    <a:blip r:embed="rId6"/>
                    <a:srcRect/>
                    <a:stretch>
                      <a:fillRect/>
                    </a:stretch>
                  </pic:blipFill>
                  <pic:spPr bwMode="auto">
                    <a:xfrm>
                      <a:off x="0" y="0"/>
                      <a:ext cx="5991225" cy="3752850"/>
                    </a:xfrm>
                    <a:prstGeom prst="rect">
                      <a:avLst/>
                    </a:prstGeom>
                    <a:noFill/>
                    <a:ln w="9525">
                      <a:noFill/>
                      <a:miter lim="800000"/>
                      <a:headEnd/>
                      <a:tailEnd/>
                    </a:ln>
                  </pic:spPr>
                </pic:pic>
              </a:graphicData>
            </a:graphic>
          </wp:inline>
        </w:drawing>
      </w:r>
    </w:p>
    <w:sectPr w:rsidR="0000000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11" w:rsidRDefault="00E04E11" w:rsidP="00E04E11">
      <w:r>
        <w:separator/>
      </w:r>
    </w:p>
  </w:endnote>
  <w:endnote w:type="continuationSeparator" w:id="1">
    <w:p w:rsidR="00E04E11" w:rsidRDefault="00E04E11" w:rsidP="00E04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11" w:rsidRDefault="00E04E11" w:rsidP="00E04E11">
      <w:r>
        <w:separator/>
      </w:r>
    </w:p>
  </w:footnote>
  <w:footnote w:type="continuationSeparator" w:id="1">
    <w:p w:rsidR="00E04E11" w:rsidRDefault="00E04E11" w:rsidP="00E04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108"/>
    <w:rsid w:val="00130108"/>
    <w:rsid w:val="00803B04"/>
    <w:rsid w:val="00E04E11"/>
    <w:rsid w:val="05F07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5">
    <w:name w:val="Balloon Text"/>
    <w:basedOn w:val="a"/>
    <w:link w:val="Char1"/>
    <w:uiPriority w:val="99"/>
    <w:unhideWhenUsed/>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3235</Characters>
  <Application>Microsoft Office Word</Application>
  <DocSecurity>0</DocSecurity>
  <Lines>26</Lines>
  <Paragraphs>7</Paragraphs>
  <ScaleCrop>false</ScaleCrop>
  <Company>Microsoft</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林智远</dc:creator>
  <cp:lastModifiedBy>高辉灿</cp:lastModifiedBy>
  <cp:revision>2</cp:revision>
  <dcterms:created xsi:type="dcterms:W3CDTF">2021-02-01T03:54:00Z</dcterms:created>
  <dcterms:modified xsi:type="dcterms:W3CDTF">2021-02-01T03:54:00Z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