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tLeast"/>
        <w:rPr>
          <w:rFonts w:hint="eastAsia" w:ascii="黑体" w:hAnsi="黑体" w:eastAsia="黑体" w:cs="方正小标宋简体"/>
          <w:bCs/>
          <w:kern w:val="0"/>
          <w:szCs w:val="28"/>
        </w:rPr>
      </w:pPr>
      <w:r>
        <w:rPr>
          <w:rFonts w:hint="eastAsia" w:ascii="黑体" w:hAnsi="黑体" w:eastAsia="黑体" w:cs="方正小标宋简体"/>
          <w:bCs/>
          <w:kern w:val="0"/>
          <w:szCs w:val="28"/>
        </w:rPr>
        <w:t>附件6</w:t>
      </w:r>
    </w:p>
    <w:p>
      <w:pPr>
        <w:adjustRightInd w:val="0"/>
        <w:snapToGrid w:val="0"/>
        <w:spacing w:line="360" w:lineRule="atLeast"/>
        <w:rPr>
          <w:rFonts w:hint="eastAsia" w:ascii="黑体" w:hAnsi="黑体" w:eastAsia="黑体" w:cs="方正小标宋简体"/>
          <w:bCs/>
          <w:kern w:val="0"/>
          <w:szCs w:val="28"/>
        </w:rPr>
      </w:pPr>
    </w:p>
    <w:p>
      <w:pPr>
        <w:spacing w:line="64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石狮市各行业(领域)标准化提升标杆企业典型经验总结要点</w:t>
      </w:r>
    </w:p>
    <w:p>
      <w:pPr>
        <w:adjustRightInd w:val="0"/>
        <w:snapToGrid w:val="0"/>
        <w:spacing w:line="360" w:lineRule="atLeast"/>
        <w:jc w:val="center"/>
        <w:rPr>
          <w:rFonts w:hint="eastAsia" w:ascii="宋体" w:hAnsi="宋体" w:cs="宋体"/>
          <w:kern w:val="0"/>
          <w:szCs w:val="32"/>
        </w:rPr>
      </w:pPr>
    </w:p>
    <w:p>
      <w:pPr>
        <w:adjustRightInd w:val="0"/>
        <w:snapToGrid w:val="0"/>
        <w:spacing w:line="360" w:lineRule="atLeast"/>
        <w:jc w:val="left"/>
        <w:rPr>
          <w:rFonts w:hint="eastAsia" w:ascii="宋体" w:hAnsi="宋体" w:cs="方正黑体简体"/>
          <w:kern w:val="0"/>
          <w:szCs w:val="32"/>
        </w:rPr>
      </w:pPr>
      <w:r>
        <w:rPr>
          <w:rFonts w:hint="eastAsia" w:ascii="宋体" w:hAnsi="宋体" w:cs="方正仿宋简体"/>
          <w:kern w:val="0"/>
          <w:szCs w:val="32"/>
        </w:rPr>
        <w:t>企业名称：                         所属行业（领域）</w:t>
      </w:r>
      <w:r>
        <w:rPr>
          <w:rFonts w:hint="eastAsia" w:ascii="宋体" w:hAnsi="宋体" w:cs="方正黑体简体"/>
          <w:kern w:val="0"/>
          <w:szCs w:val="32"/>
        </w:rPr>
        <w:t>：</w:t>
      </w:r>
    </w:p>
    <w:tbl>
      <w:tblPr>
        <w:tblStyle w:val="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ind w:left="-160" w:leftChars="-50" w:right="-160" w:rightChars="-50"/>
              <w:jc w:val="center"/>
              <w:rPr>
                <w:rFonts w:hint="eastAsia" w:ascii="宋体" w:hAnsi="宋体" w:cs="CESI黑体-GB2312"/>
                <w:b/>
                <w:sz w:val="28"/>
                <w:szCs w:val="28"/>
              </w:rPr>
            </w:pPr>
            <w:r>
              <w:rPr>
                <w:rFonts w:hint="eastAsia" w:ascii="宋体" w:hAnsi="宋体" w:cs="CESI黑体-GB2312"/>
                <w:b/>
                <w:sz w:val="28"/>
                <w:szCs w:val="28"/>
              </w:rPr>
              <w:t>序号</w:t>
            </w:r>
          </w:p>
        </w:tc>
        <w:tc>
          <w:tcPr>
            <w:tcW w:w="1418" w:type="dxa"/>
            <w:noWrap w:val="0"/>
            <w:vAlign w:val="center"/>
          </w:tcPr>
          <w:p>
            <w:pPr>
              <w:jc w:val="center"/>
              <w:rPr>
                <w:rFonts w:hint="eastAsia" w:ascii="宋体" w:hAnsi="宋体" w:cs="CESI黑体-GB2312"/>
                <w:b/>
                <w:sz w:val="28"/>
                <w:szCs w:val="28"/>
              </w:rPr>
            </w:pPr>
            <w:r>
              <w:rPr>
                <w:rFonts w:hint="eastAsia" w:ascii="宋体" w:hAnsi="宋体" w:cs="CESI黑体-GB2312"/>
                <w:b/>
                <w:sz w:val="28"/>
                <w:szCs w:val="28"/>
              </w:rPr>
              <w:t>要素</w:t>
            </w:r>
          </w:p>
        </w:tc>
        <w:tc>
          <w:tcPr>
            <w:tcW w:w="6946" w:type="dxa"/>
            <w:noWrap w:val="0"/>
            <w:vAlign w:val="top"/>
          </w:tcPr>
          <w:p>
            <w:pPr>
              <w:jc w:val="center"/>
              <w:rPr>
                <w:rFonts w:hint="eastAsia" w:ascii="宋体" w:hAnsi="宋体" w:cs="CESI黑体-GB2312"/>
                <w:b/>
                <w:sz w:val="28"/>
                <w:szCs w:val="28"/>
              </w:rPr>
            </w:pPr>
            <w:r>
              <w:rPr>
                <w:rFonts w:hint="eastAsia" w:ascii="宋体" w:hAnsi="宋体" w:cs="CESI黑体-GB2312"/>
                <w:b/>
                <w:sz w:val="28"/>
                <w:szCs w:val="28"/>
              </w:rPr>
              <w:t>经验要点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1</w:t>
            </w:r>
          </w:p>
        </w:tc>
        <w:tc>
          <w:tcPr>
            <w:tcW w:w="1418" w:type="dxa"/>
            <w:vMerge w:val="restart"/>
            <w:noWrap w:val="0"/>
            <w:vAlign w:val="center"/>
          </w:tcPr>
          <w:p>
            <w:pPr>
              <w:spacing w:line="360" w:lineRule="exact"/>
              <w:ind w:left="-144" w:leftChars="-45" w:right="-134" w:rightChars="-42" w:firstLine="10" w:firstLineChars="5"/>
              <w:jc w:val="center"/>
              <w:rPr>
                <w:rFonts w:ascii="宋体" w:hAnsi="宋体" w:eastAsia="宋体"/>
                <w:bCs/>
                <w:sz w:val="21"/>
                <w:szCs w:val="24"/>
              </w:rPr>
            </w:pPr>
            <w:r>
              <w:rPr>
                <w:rFonts w:ascii="宋体" w:hAnsi="宋体" w:eastAsia="宋体"/>
                <w:bCs/>
                <w:sz w:val="21"/>
                <w:szCs w:val="24"/>
              </w:rPr>
              <w:t>1</w:t>
            </w:r>
            <w:r>
              <w:rPr>
                <w:rFonts w:hint="eastAsia" w:ascii="宋体" w:hAnsi="宋体" w:eastAsia="宋体"/>
                <w:bCs/>
                <w:sz w:val="21"/>
                <w:szCs w:val="24"/>
              </w:rPr>
              <w:t>.</w:t>
            </w:r>
            <w:r>
              <w:rPr>
                <w:rFonts w:ascii="宋体" w:hAnsi="宋体" w:eastAsia="宋体"/>
                <w:bCs/>
                <w:sz w:val="21"/>
                <w:szCs w:val="24"/>
              </w:rPr>
              <w:t>基本情况</w:t>
            </w: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简介、标准化获证时间、等级或自评报告、联系人及电话。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widowControl/>
              <w:spacing w:line="360" w:lineRule="exact"/>
              <w:jc w:val="center"/>
              <w:textAlignment w:val="center"/>
              <w:rPr>
                <w:rFonts w:ascii="宋体" w:hAnsi="宋体"/>
                <w:bCs/>
                <w:sz w:val="21"/>
                <w:szCs w:val="24"/>
              </w:rPr>
            </w:pPr>
          </w:p>
        </w:tc>
        <w:tc>
          <w:tcPr>
            <w:tcW w:w="1418" w:type="dxa"/>
            <w:vMerge w:val="continue"/>
            <w:noWrap w:val="0"/>
            <w:vAlign w:val="center"/>
          </w:tcPr>
          <w:p>
            <w:pPr>
              <w:spacing w:line="360" w:lineRule="exact"/>
              <w:ind w:left="-144" w:leftChars="-45" w:right="-134" w:rightChars="-42" w:firstLine="10" w:firstLineChars="5"/>
              <w:jc w:val="center"/>
              <w:rPr>
                <w:rFonts w:ascii="宋体" w:hAnsi="宋体" w:eastAsia="宋体"/>
                <w:bCs/>
                <w:sz w:val="21"/>
                <w:szCs w:val="24"/>
              </w:rPr>
            </w:pPr>
          </w:p>
        </w:tc>
        <w:tc>
          <w:tcPr>
            <w:tcW w:w="6946" w:type="dxa"/>
            <w:noWrap w:val="0"/>
            <w:vAlign w:val="top"/>
          </w:tcPr>
          <w:p>
            <w:pPr>
              <w:spacing w:line="360" w:lineRule="exact"/>
              <w:jc w:val="left"/>
              <w:rPr>
                <w:rFonts w:ascii="宋体" w:hAnsi="宋体" w:eastAsia="宋体"/>
                <w:bCs/>
                <w:sz w:val="21"/>
                <w:szCs w:val="24"/>
              </w:rPr>
            </w:pPr>
            <w:r>
              <w:rPr>
                <w:rFonts w:ascii="宋体" w:hAnsi="宋体" w:eastAsia="宋体"/>
                <w:bCs/>
                <w:sz w:val="21"/>
                <w:szCs w:val="24"/>
              </w:rPr>
              <w:t>领导作用在运行过程中的发挥情况。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2</w:t>
            </w:r>
          </w:p>
        </w:tc>
        <w:tc>
          <w:tcPr>
            <w:tcW w:w="1418" w:type="dxa"/>
            <w:vMerge w:val="restart"/>
            <w:noWrap w:val="0"/>
            <w:vAlign w:val="center"/>
          </w:tcPr>
          <w:p>
            <w:pPr>
              <w:spacing w:line="360" w:lineRule="exact"/>
              <w:ind w:left="-144" w:leftChars="-45" w:right="-134" w:rightChars="-42" w:firstLine="10" w:firstLineChars="5"/>
              <w:jc w:val="center"/>
              <w:rPr>
                <w:rFonts w:ascii="宋体" w:hAnsi="宋体" w:eastAsia="宋体"/>
                <w:bCs/>
                <w:sz w:val="21"/>
                <w:szCs w:val="24"/>
              </w:rPr>
            </w:pPr>
            <w:r>
              <w:rPr>
                <w:rFonts w:ascii="宋体" w:hAnsi="宋体" w:eastAsia="宋体"/>
                <w:bCs/>
                <w:sz w:val="21"/>
                <w:szCs w:val="24"/>
              </w:rPr>
              <w:t>2</w:t>
            </w:r>
            <w:r>
              <w:rPr>
                <w:rFonts w:hint="eastAsia" w:ascii="宋体" w:hAnsi="宋体" w:eastAsia="宋体"/>
                <w:bCs/>
                <w:sz w:val="21"/>
                <w:szCs w:val="24"/>
              </w:rPr>
              <w:t>.</w:t>
            </w:r>
            <w:r>
              <w:rPr>
                <w:rFonts w:ascii="宋体" w:hAnsi="宋体" w:eastAsia="宋体"/>
                <w:bCs/>
                <w:sz w:val="21"/>
                <w:szCs w:val="24"/>
              </w:rPr>
              <w:t>目标与计划</w:t>
            </w: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年度安全生产目标、计划制定情况</w:t>
            </w:r>
            <w:r>
              <w:rPr>
                <w:rFonts w:hint="eastAsia" w:ascii="宋体" w:hAnsi="宋体" w:eastAsia="宋体"/>
                <w:bCs/>
                <w:sz w:val="21"/>
                <w:szCs w:val="24"/>
              </w:rPr>
              <w:t>(</w:t>
            </w:r>
            <w:r>
              <w:rPr>
                <w:rFonts w:ascii="宋体" w:hAnsi="宋体" w:eastAsia="宋体"/>
                <w:bCs/>
                <w:sz w:val="21"/>
                <w:szCs w:val="24"/>
              </w:rPr>
              <w:t>提供文档</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3</w:t>
            </w:r>
          </w:p>
        </w:tc>
        <w:tc>
          <w:tcPr>
            <w:tcW w:w="1418" w:type="dxa"/>
            <w:vMerge w:val="continue"/>
            <w:noWrap w:val="0"/>
            <w:vAlign w:val="center"/>
          </w:tcPr>
          <w:p>
            <w:pPr>
              <w:spacing w:line="360" w:lineRule="exact"/>
              <w:ind w:left="-144" w:leftChars="-45" w:right="-134" w:rightChars="-42" w:firstLine="10" w:firstLineChars="5"/>
              <w:jc w:val="center"/>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各部门制订各自的安全生产目标情况</w:t>
            </w:r>
            <w:r>
              <w:rPr>
                <w:rFonts w:hint="eastAsia" w:ascii="宋体" w:hAnsi="宋体" w:eastAsia="宋体"/>
                <w:bCs/>
                <w:sz w:val="21"/>
                <w:szCs w:val="24"/>
              </w:rPr>
              <w:t>(</w:t>
            </w:r>
            <w:r>
              <w:rPr>
                <w:rFonts w:ascii="宋体" w:hAnsi="宋体" w:eastAsia="宋体"/>
                <w:bCs/>
                <w:sz w:val="21"/>
                <w:szCs w:val="24"/>
              </w:rPr>
              <w:t>提供各部门的年度安全生产目标</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4</w:t>
            </w:r>
          </w:p>
        </w:tc>
        <w:tc>
          <w:tcPr>
            <w:tcW w:w="1418" w:type="dxa"/>
            <w:vMerge w:val="continue"/>
            <w:noWrap w:val="0"/>
            <w:vAlign w:val="center"/>
          </w:tcPr>
          <w:p>
            <w:pPr>
              <w:spacing w:line="360" w:lineRule="exact"/>
              <w:ind w:left="-144" w:leftChars="-45" w:right="-134" w:rightChars="-42" w:firstLine="10" w:firstLineChars="5"/>
              <w:jc w:val="center"/>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安全生产标准化工作指标列入企业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年度安全生产指标考核及其考评情况。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5</w:t>
            </w:r>
          </w:p>
        </w:tc>
        <w:tc>
          <w:tcPr>
            <w:tcW w:w="1418" w:type="dxa"/>
            <w:vMerge w:val="continue"/>
            <w:noWrap w:val="0"/>
            <w:vAlign w:val="center"/>
          </w:tcPr>
          <w:p>
            <w:pPr>
              <w:spacing w:line="360" w:lineRule="exact"/>
              <w:ind w:left="-144" w:leftChars="-45" w:right="-134" w:rightChars="-42" w:firstLine="10" w:firstLineChars="5"/>
              <w:jc w:val="center"/>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完成目标所需资金计划的制定情况</w:t>
            </w:r>
            <w:r>
              <w:rPr>
                <w:rFonts w:hint="eastAsia" w:ascii="宋体" w:hAnsi="宋体" w:eastAsia="宋体"/>
                <w:bCs/>
                <w:sz w:val="21"/>
                <w:szCs w:val="24"/>
              </w:rPr>
              <w:t>(</w:t>
            </w:r>
            <w:r>
              <w:rPr>
                <w:rFonts w:ascii="宋体" w:hAnsi="宋体" w:eastAsia="宋体"/>
                <w:bCs/>
                <w:sz w:val="21"/>
                <w:szCs w:val="24"/>
              </w:rPr>
              <w:t>提供计划文档</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6</w:t>
            </w:r>
          </w:p>
        </w:tc>
        <w:tc>
          <w:tcPr>
            <w:tcW w:w="1418" w:type="dxa"/>
            <w:vMerge w:val="restart"/>
            <w:noWrap w:val="0"/>
            <w:vAlign w:val="center"/>
          </w:tcPr>
          <w:p>
            <w:pPr>
              <w:spacing w:line="360" w:lineRule="exact"/>
              <w:ind w:left="-144" w:leftChars="-45" w:right="-134" w:rightChars="-42" w:firstLine="10" w:firstLineChars="5"/>
              <w:jc w:val="center"/>
              <w:rPr>
                <w:rFonts w:hint="eastAsia" w:ascii="宋体" w:hAnsi="宋体" w:eastAsia="宋体"/>
                <w:bCs/>
                <w:sz w:val="21"/>
                <w:szCs w:val="24"/>
              </w:rPr>
            </w:pPr>
            <w:r>
              <w:rPr>
                <w:rFonts w:ascii="宋体" w:hAnsi="宋体" w:eastAsia="宋体"/>
                <w:bCs/>
                <w:sz w:val="21"/>
                <w:szCs w:val="24"/>
              </w:rPr>
              <w:t>3</w:t>
            </w:r>
            <w:r>
              <w:rPr>
                <w:rFonts w:hint="eastAsia" w:ascii="宋体" w:hAnsi="宋体" w:eastAsia="宋体"/>
                <w:bCs/>
                <w:sz w:val="21"/>
                <w:szCs w:val="24"/>
              </w:rPr>
              <w:t>.</w:t>
            </w:r>
            <w:r>
              <w:rPr>
                <w:rFonts w:ascii="宋体" w:hAnsi="宋体" w:eastAsia="宋体"/>
                <w:bCs/>
                <w:sz w:val="21"/>
                <w:szCs w:val="24"/>
              </w:rPr>
              <w:t>组织机构</w:t>
            </w:r>
          </w:p>
          <w:p>
            <w:pPr>
              <w:spacing w:line="360" w:lineRule="exact"/>
              <w:ind w:left="-144" w:leftChars="-45" w:right="-134" w:rightChars="-42" w:firstLine="10" w:firstLineChars="5"/>
              <w:jc w:val="center"/>
              <w:rPr>
                <w:rFonts w:ascii="宋体" w:hAnsi="宋体" w:eastAsia="宋体"/>
                <w:bCs/>
                <w:sz w:val="21"/>
                <w:szCs w:val="24"/>
              </w:rPr>
            </w:pPr>
            <w:r>
              <w:rPr>
                <w:rFonts w:ascii="宋体" w:hAnsi="宋体" w:eastAsia="宋体"/>
                <w:bCs/>
                <w:sz w:val="21"/>
                <w:szCs w:val="24"/>
              </w:rPr>
              <w:t>与职责</w:t>
            </w: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制订了哪些企业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安全生产责任制、安全管理制度,各生产运行部门、岗位的安全职责，工作程序是否有效</w:t>
            </w:r>
            <w:r>
              <w:rPr>
                <w:rFonts w:hint="eastAsia" w:ascii="宋体" w:hAnsi="宋体" w:eastAsia="宋体"/>
                <w:bCs/>
                <w:sz w:val="21"/>
                <w:szCs w:val="24"/>
              </w:rPr>
              <w:t>(</w:t>
            </w:r>
            <w:r>
              <w:rPr>
                <w:rFonts w:ascii="宋体" w:hAnsi="宋体" w:eastAsia="宋体"/>
                <w:bCs/>
                <w:sz w:val="21"/>
                <w:szCs w:val="24"/>
              </w:rPr>
              <w:t>提供各部门岗位安全生产责任制目录</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7</w:t>
            </w:r>
          </w:p>
        </w:tc>
        <w:tc>
          <w:tcPr>
            <w:tcW w:w="1418" w:type="dxa"/>
            <w:vMerge w:val="continue"/>
            <w:noWrap w:val="0"/>
            <w:vAlign w:val="center"/>
          </w:tcPr>
          <w:p>
            <w:pPr>
              <w:spacing w:line="360" w:lineRule="exact"/>
              <w:ind w:left="-144" w:leftChars="-45" w:right="-134" w:rightChars="-42" w:firstLine="10" w:firstLineChars="5"/>
              <w:jc w:val="center"/>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从业人员超过100人的企业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是否设置能够独立行使职权的安全管理组织机构。是否配备符合法律规定的专职安全生产管理人员。从业人员在100人以下的，是否配备专职或者兼职的安全生产管理人员</w:t>
            </w:r>
            <w:r>
              <w:rPr>
                <w:rFonts w:hint="eastAsia" w:ascii="宋体" w:hAnsi="宋体" w:eastAsia="宋体"/>
                <w:bCs/>
                <w:sz w:val="21"/>
                <w:szCs w:val="24"/>
              </w:rPr>
              <w:t>(</w:t>
            </w:r>
            <w:r>
              <w:rPr>
                <w:rFonts w:ascii="宋体" w:hAnsi="宋体" w:eastAsia="宋体"/>
                <w:bCs/>
                <w:sz w:val="21"/>
                <w:szCs w:val="24"/>
              </w:rPr>
              <w:t>提供任命文件</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8</w:t>
            </w:r>
          </w:p>
        </w:tc>
        <w:tc>
          <w:tcPr>
            <w:tcW w:w="1418" w:type="dxa"/>
            <w:vMerge w:val="continue"/>
            <w:noWrap w:val="0"/>
            <w:vAlign w:val="center"/>
          </w:tcPr>
          <w:p>
            <w:pPr>
              <w:spacing w:line="360" w:lineRule="exact"/>
              <w:ind w:left="-144" w:leftChars="-45" w:right="-134" w:rightChars="-42" w:firstLine="10" w:firstLineChars="5"/>
              <w:jc w:val="center"/>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定期召开会议的情况。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9</w:t>
            </w:r>
          </w:p>
        </w:tc>
        <w:tc>
          <w:tcPr>
            <w:tcW w:w="1418" w:type="dxa"/>
            <w:vMerge w:val="continue"/>
            <w:noWrap w:val="0"/>
            <w:vAlign w:val="center"/>
          </w:tcPr>
          <w:p>
            <w:pPr>
              <w:spacing w:line="360" w:lineRule="exact"/>
              <w:ind w:left="-144" w:leftChars="-45" w:right="-134" w:rightChars="-42" w:firstLine="10" w:firstLineChars="5"/>
              <w:jc w:val="center"/>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安全生产主要负责人的任职通知情况。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10</w:t>
            </w:r>
          </w:p>
        </w:tc>
        <w:tc>
          <w:tcPr>
            <w:tcW w:w="1418" w:type="dxa"/>
            <w:vMerge w:val="continue"/>
            <w:noWrap w:val="0"/>
            <w:vAlign w:val="center"/>
          </w:tcPr>
          <w:p>
            <w:pPr>
              <w:spacing w:line="360" w:lineRule="exact"/>
              <w:ind w:left="-144" w:leftChars="-45" w:right="-134" w:rightChars="-42" w:firstLine="10" w:firstLineChars="5"/>
              <w:jc w:val="center"/>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定期组织</w:t>
            </w:r>
            <w:r>
              <w:rPr>
                <w:rFonts w:hint="eastAsia" w:ascii="宋体" w:hAnsi="宋体" w:eastAsia="宋体"/>
                <w:bCs/>
                <w:sz w:val="21"/>
                <w:szCs w:val="24"/>
              </w:rPr>
              <w:t>事故</w:t>
            </w:r>
            <w:r>
              <w:rPr>
                <w:rFonts w:ascii="宋体" w:hAnsi="宋体" w:eastAsia="宋体"/>
                <w:bCs/>
                <w:sz w:val="21"/>
                <w:szCs w:val="24"/>
              </w:rPr>
              <w:t>隐患排查并上报记录的情况。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11</w:t>
            </w:r>
          </w:p>
        </w:tc>
        <w:tc>
          <w:tcPr>
            <w:tcW w:w="1418" w:type="dxa"/>
            <w:vMerge w:val="continue"/>
            <w:noWrap w:val="0"/>
            <w:vAlign w:val="center"/>
          </w:tcPr>
          <w:p>
            <w:pPr>
              <w:spacing w:line="360" w:lineRule="exact"/>
              <w:ind w:left="-144" w:leftChars="-45" w:right="-134" w:rightChars="-42" w:firstLine="10" w:firstLineChars="5"/>
              <w:jc w:val="center"/>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提供企业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安全组织架构图。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12</w:t>
            </w:r>
          </w:p>
        </w:tc>
        <w:tc>
          <w:tcPr>
            <w:tcW w:w="1418" w:type="dxa"/>
            <w:vMerge w:val="continue"/>
            <w:noWrap w:val="0"/>
            <w:vAlign w:val="center"/>
          </w:tcPr>
          <w:p>
            <w:pPr>
              <w:spacing w:line="360" w:lineRule="exact"/>
              <w:ind w:left="-144" w:leftChars="-45" w:right="-134" w:rightChars="-42" w:firstLine="10" w:firstLineChars="5"/>
              <w:jc w:val="center"/>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提供安全负责人,安全管理人员安全生产管理资格证书复印件。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13</w:t>
            </w:r>
          </w:p>
        </w:tc>
        <w:tc>
          <w:tcPr>
            <w:tcW w:w="1418" w:type="dxa"/>
            <w:vMerge w:val="restart"/>
            <w:noWrap w:val="0"/>
            <w:vAlign w:val="center"/>
          </w:tcPr>
          <w:p>
            <w:pPr>
              <w:spacing w:line="360" w:lineRule="exact"/>
              <w:ind w:left="-144" w:leftChars="-45" w:right="-134" w:rightChars="-42" w:firstLine="10" w:firstLineChars="5"/>
              <w:jc w:val="center"/>
              <w:rPr>
                <w:rFonts w:ascii="宋体" w:hAnsi="宋体" w:eastAsia="宋体"/>
                <w:bCs/>
                <w:sz w:val="21"/>
                <w:szCs w:val="24"/>
              </w:rPr>
            </w:pPr>
            <w:r>
              <w:rPr>
                <w:rFonts w:ascii="宋体" w:hAnsi="宋体" w:eastAsia="宋体"/>
                <w:bCs/>
                <w:sz w:val="21"/>
                <w:szCs w:val="24"/>
              </w:rPr>
              <w:t>4</w:t>
            </w:r>
            <w:r>
              <w:rPr>
                <w:rFonts w:hint="eastAsia" w:ascii="宋体" w:hAnsi="宋体" w:eastAsia="宋体"/>
                <w:bCs/>
                <w:sz w:val="21"/>
                <w:szCs w:val="24"/>
              </w:rPr>
              <w:t>.</w:t>
            </w:r>
            <w:r>
              <w:rPr>
                <w:rFonts w:ascii="宋体" w:hAnsi="宋体" w:eastAsia="宋体"/>
                <w:bCs/>
                <w:sz w:val="21"/>
                <w:szCs w:val="24"/>
              </w:rPr>
              <w:t>规章制度</w:t>
            </w: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相关的安全生产规章制度建立情况</w:t>
            </w:r>
            <w:r>
              <w:rPr>
                <w:rFonts w:hint="eastAsia" w:ascii="宋体" w:hAnsi="宋体" w:eastAsia="宋体"/>
                <w:bCs/>
                <w:sz w:val="21"/>
                <w:szCs w:val="24"/>
              </w:rPr>
              <w:t>(</w:t>
            </w:r>
            <w:r>
              <w:rPr>
                <w:rFonts w:ascii="宋体" w:hAnsi="宋体" w:eastAsia="宋体"/>
                <w:bCs/>
                <w:sz w:val="21"/>
                <w:szCs w:val="24"/>
              </w:rPr>
              <w:t>提供制度目录</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14</w:t>
            </w:r>
          </w:p>
        </w:tc>
        <w:tc>
          <w:tcPr>
            <w:tcW w:w="1418" w:type="dxa"/>
            <w:vMerge w:val="continue"/>
            <w:noWrap w:val="0"/>
            <w:vAlign w:val="center"/>
          </w:tcPr>
          <w:p>
            <w:pPr>
              <w:spacing w:line="360" w:lineRule="exact"/>
              <w:ind w:left="-33" w:leftChars="-20" w:hanging="31" w:hangingChars="15"/>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岗位职责和操作规程的建立情况</w:t>
            </w:r>
            <w:r>
              <w:rPr>
                <w:rFonts w:hint="eastAsia" w:ascii="宋体" w:hAnsi="宋体" w:eastAsia="宋体"/>
                <w:bCs/>
                <w:sz w:val="21"/>
                <w:szCs w:val="24"/>
              </w:rPr>
              <w:t>(</w:t>
            </w:r>
            <w:r>
              <w:rPr>
                <w:rFonts w:ascii="宋体" w:hAnsi="宋体" w:eastAsia="宋体"/>
                <w:bCs/>
                <w:sz w:val="21"/>
                <w:szCs w:val="24"/>
              </w:rPr>
              <w:t>提供目录</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15</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使生产运行岗位人员熟知本岗位安全职责和安全操作规程并按标准进行操作的具体做法和相关经验。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16</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生产运行岗位人员的岗位安全职责和安全操作规程。根据国家相关法律法规的变化以及企业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人员、机构、产品结构的变化情况适时进行修订、完善的做法和相关经验。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17</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根据安全生产标准化工作计划，对完成情况定期进行考核，落实安全生产奖惩制度的做法和相关经验</w:t>
            </w:r>
            <w:r>
              <w:rPr>
                <w:rFonts w:hint="eastAsia" w:ascii="宋体" w:hAnsi="宋体" w:eastAsia="宋体"/>
                <w:bCs/>
                <w:sz w:val="21"/>
                <w:szCs w:val="24"/>
              </w:rPr>
              <w:t>(</w:t>
            </w:r>
            <w:r>
              <w:rPr>
                <w:rFonts w:ascii="宋体" w:hAnsi="宋体" w:eastAsia="宋体"/>
                <w:bCs/>
                <w:sz w:val="21"/>
                <w:szCs w:val="24"/>
              </w:rPr>
              <w:t>提供奖惩制度和一次奖惩记录复印件</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18</w:t>
            </w:r>
          </w:p>
        </w:tc>
        <w:tc>
          <w:tcPr>
            <w:tcW w:w="1418" w:type="dxa"/>
            <w:vMerge w:val="restart"/>
            <w:noWrap w:val="0"/>
            <w:vAlign w:val="center"/>
          </w:tcPr>
          <w:p>
            <w:pPr>
              <w:spacing w:line="360" w:lineRule="exact"/>
              <w:ind w:left="-144" w:leftChars="-45" w:right="-134" w:rightChars="-42" w:firstLine="10" w:firstLineChars="5"/>
              <w:jc w:val="center"/>
              <w:rPr>
                <w:rFonts w:ascii="宋体" w:hAnsi="宋体" w:eastAsia="宋体"/>
                <w:bCs/>
                <w:sz w:val="21"/>
                <w:szCs w:val="24"/>
              </w:rPr>
            </w:pPr>
            <w:r>
              <w:rPr>
                <w:rFonts w:ascii="宋体" w:hAnsi="宋体" w:eastAsia="宋体"/>
                <w:bCs/>
                <w:sz w:val="21"/>
                <w:szCs w:val="24"/>
              </w:rPr>
              <w:t>5</w:t>
            </w:r>
            <w:r>
              <w:rPr>
                <w:rFonts w:hint="eastAsia" w:ascii="宋体" w:hAnsi="宋体" w:eastAsia="宋体"/>
                <w:bCs/>
                <w:sz w:val="21"/>
                <w:szCs w:val="24"/>
              </w:rPr>
              <w:t>.</w:t>
            </w:r>
            <w:r>
              <w:rPr>
                <w:rFonts w:ascii="宋体" w:hAnsi="宋体" w:eastAsia="宋体"/>
                <w:bCs/>
                <w:sz w:val="21"/>
                <w:szCs w:val="24"/>
              </w:rPr>
              <w:t>教育与培训</w:t>
            </w: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制订教育培训计划并按计划实施的具体情况</w:t>
            </w:r>
            <w:r>
              <w:rPr>
                <w:rFonts w:hint="eastAsia" w:ascii="宋体" w:hAnsi="宋体" w:eastAsia="宋体"/>
                <w:bCs/>
                <w:sz w:val="21"/>
                <w:szCs w:val="24"/>
              </w:rPr>
              <w:t>(</w:t>
            </w:r>
            <w:r>
              <w:rPr>
                <w:rFonts w:ascii="宋体" w:hAnsi="宋体" w:eastAsia="宋体"/>
                <w:bCs/>
                <w:sz w:val="21"/>
                <w:szCs w:val="24"/>
              </w:rPr>
              <w:t>提供培训计划及一次实施记录</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19</w:t>
            </w:r>
          </w:p>
        </w:tc>
        <w:tc>
          <w:tcPr>
            <w:tcW w:w="1418" w:type="dxa"/>
            <w:vMerge w:val="continue"/>
            <w:noWrap w:val="0"/>
            <w:vAlign w:val="center"/>
          </w:tcPr>
          <w:p>
            <w:pPr>
              <w:spacing w:line="360" w:lineRule="exact"/>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特种设备作业人员进行培训并持有效证书的情况</w:t>
            </w:r>
            <w:r>
              <w:rPr>
                <w:rFonts w:hint="eastAsia" w:ascii="宋体" w:hAnsi="宋体" w:eastAsia="宋体"/>
                <w:bCs/>
                <w:sz w:val="21"/>
                <w:szCs w:val="24"/>
              </w:rPr>
              <w:t>(</w:t>
            </w:r>
            <w:r>
              <w:rPr>
                <w:rFonts w:ascii="宋体" w:hAnsi="宋体" w:eastAsia="宋体"/>
                <w:bCs/>
                <w:sz w:val="21"/>
                <w:szCs w:val="24"/>
              </w:rPr>
              <w:t>提供特种作业人员情况登记表复印件</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20</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对操作岗位人员培训的做法和相关经验</w:t>
            </w:r>
            <w:r>
              <w:rPr>
                <w:rFonts w:hint="eastAsia" w:ascii="宋体" w:hAnsi="宋体" w:eastAsia="宋体"/>
                <w:bCs/>
                <w:sz w:val="21"/>
                <w:szCs w:val="24"/>
              </w:rPr>
              <w:t>(</w:t>
            </w:r>
            <w:r>
              <w:rPr>
                <w:rFonts w:ascii="宋体" w:hAnsi="宋体" w:eastAsia="宋体"/>
                <w:bCs/>
                <w:sz w:val="21"/>
                <w:szCs w:val="24"/>
              </w:rPr>
              <w:t>提供二个岗位培训记录</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21</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对企业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的操作岗位人员安全生产规章制度和安全操作规程掌握情况进行考核的做法和相关经验</w:t>
            </w:r>
            <w:r>
              <w:rPr>
                <w:rFonts w:hint="eastAsia" w:ascii="宋体" w:hAnsi="宋体" w:eastAsia="宋体"/>
                <w:bCs/>
                <w:sz w:val="21"/>
                <w:szCs w:val="24"/>
              </w:rPr>
              <w:t>(</w:t>
            </w:r>
            <w:r>
              <w:rPr>
                <w:rFonts w:ascii="宋体" w:hAnsi="宋体" w:eastAsia="宋体"/>
                <w:bCs/>
                <w:sz w:val="21"/>
                <w:szCs w:val="24"/>
              </w:rPr>
              <w:t>提供一次考核记录</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22</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新入职员工进行</w:t>
            </w:r>
            <w:r>
              <w:rPr>
                <w:rFonts w:hint="eastAsia" w:ascii="宋体" w:hAnsi="宋体" w:eastAsia="宋体"/>
                <w:bCs/>
                <w:sz w:val="21"/>
                <w:szCs w:val="24"/>
              </w:rPr>
              <w:t>“</w:t>
            </w:r>
            <w:r>
              <w:rPr>
                <w:rFonts w:ascii="宋体" w:hAnsi="宋体" w:eastAsia="宋体"/>
                <w:bCs/>
                <w:sz w:val="21"/>
                <w:szCs w:val="24"/>
              </w:rPr>
              <w:t>三级</w:t>
            </w:r>
            <w:r>
              <w:rPr>
                <w:rFonts w:hint="eastAsia" w:ascii="宋体" w:hAnsi="宋体" w:eastAsia="宋体"/>
                <w:bCs/>
                <w:sz w:val="21"/>
                <w:szCs w:val="24"/>
              </w:rPr>
              <w:t>”</w:t>
            </w:r>
            <w:r>
              <w:rPr>
                <w:rFonts w:ascii="宋体" w:hAnsi="宋体" w:eastAsia="宋体"/>
                <w:bCs/>
                <w:sz w:val="21"/>
                <w:szCs w:val="24"/>
              </w:rPr>
              <w:t>安全教育的做法和相关经验。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23</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特种作业人员持证上岗情况。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24</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建立安全教育培训档案文本的情况</w:t>
            </w:r>
            <w:r>
              <w:rPr>
                <w:rFonts w:hint="eastAsia" w:ascii="宋体" w:hAnsi="宋体" w:eastAsia="宋体"/>
                <w:bCs/>
                <w:sz w:val="21"/>
                <w:szCs w:val="24"/>
              </w:rPr>
              <w:t>(</w:t>
            </w:r>
            <w:r>
              <w:rPr>
                <w:rFonts w:ascii="宋体" w:hAnsi="宋体" w:eastAsia="宋体"/>
                <w:bCs/>
                <w:sz w:val="21"/>
                <w:szCs w:val="24"/>
              </w:rPr>
              <w:t>提供一次培训材料复印件</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25</w:t>
            </w:r>
          </w:p>
        </w:tc>
        <w:tc>
          <w:tcPr>
            <w:tcW w:w="1418" w:type="dxa"/>
            <w:vMerge w:val="restart"/>
            <w:noWrap w:val="0"/>
            <w:vAlign w:val="center"/>
          </w:tcPr>
          <w:p>
            <w:pPr>
              <w:spacing w:line="360" w:lineRule="exact"/>
              <w:ind w:left="-144" w:leftChars="-45" w:right="-134" w:rightChars="-42" w:firstLine="10" w:firstLineChars="5"/>
              <w:jc w:val="center"/>
              <w:rPr>
                <w:rFonts w:hint="eastAsia" w:ascii="宋体" w:hAnsi="宋体" w:eastAsia="宋体"/>
                <w:bCs/>
                <w:sz w:val="21"/>
                <w:szCs w:val="24"/>
              </w:rPr>
            </w:pPr>
            <w:r>
              <w:rPr>
                <w:rFonts w:ascii="宋体" w:hAnsi="宋体" w:eastAsia="宋体"/>
                <w:bCs/>
                <w:sz w:val="21"/>
                <w:szCs w:val="24"/>
              </w:rPr>
              <w:t>6</w:t>
            </w:r>
            <w:r>
              <w:rPr>
                <w:rFonts w:hint="eastAsia" w:ascii="宋体" w:hAnsi="宋体" w:eastAsia="宋体"/>
                <w:bCs/>
                <w:sz w:val="21"/>
                <w:szCs w:val="24"/>
              </w:rPr>
              <w:t>.</w:t>
            </w:r>
            <w:r>
              <w:rPr>
                <w:rFonts w:ascii="宋体" w:hAnsi="宋体" w:eastAsia="宋体"/>
                <w:bCs/>
                <w:sz w:val="21"/>
                <w:szCs w:val="24"/>
              </w:rPr>
              <w:t>设备设施</w:t>
            </w:r>
          </w:p>
          <w:p>
            <w:pPr>
              <w:spacing w:line="360" w:lineRule="exact"/>
              <w:ind w:left="-144" w:leftChars="-45" w:right="-134" w:rightChars="-42" w:firstLine="10" w:firstLineChars="5"/>
              <w:jc w:val="center"/>
              <w:rPr>
                <w:rFonts w:ascii="宋体" w:hAnsi="宋体" w:eastAsia="宋体"/>
                <w:bCs/>
                <w:sz w:val="21"/>
                <w:szCs w:val="24"/>
              </w:rPr>
            </w:pPr>
            <w:r>
              <w:rPr>
                <w:rFonts w:ascii="宋体" w:hAnsi="宋体" w:eastAsia="宋体"/>
                <w:bCs/>
                <w:sz w:val="21"/>
                <w:szCs w:val="24"/>
              </w:rPr>
              <w:t>运行管理</w:t>
            </w: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设备运行档案的建立情况</w:t>
            </w:r>
            <w:r>
              <w:rPr>
                <w:rFonts w:hint="eastAsia" w:ascii="宋体" w:hAnsi="宋体" w:eastAsia="宋体"/>
                <w:bCs/>
                <w:sz w:val="21"/>
                <w:szCs w:val="24"/>
              </w:rPr>
              <w:t>(</w:t>
            </w:r>
            <w:r>
              <w:rPr>
                <w:rFonts w:ascii="宋体" w:hAnsi="宋体" w:eastAsia="宋体"/>
                <w:bCs/>
                <w:sz w:val="21"/>
                <w:szCs w:val="24"/>
              </w:rPr>
              <w:t>提供部分设备相关档案复印件</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26</w:t>
            </w:r>
          </w:p>
        </w:tc>
        <w:tc>
          <w:tcPr>
            <w:tcW w:w="1418" w:type="dxa"/>
            <w:vMerge w:val="continue"/>
            <w:noWrap w:val="0"/>
            <w:vAlign w:val="center"/>
          </w:tcPr>
          <w:p>
            <w:pPr>
              <w:spacing w:line="360" w:lineRule="exact"/>
              <w:jc w:val="center"/>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设备设施管理、维修台帐的建立情况</w:t>
            </w:r>
            <w:r>
              <w:rPr>
                <w:rFonts w:hint="eastAsia" w:ascii="宋体" w:hAnsi="宋体" w:eastAsia="宋体"/>
                <w:bCs/>
                <w:sz w:val="21"/>
                <w:szCs w:val="24"/>
              </w:rPr>
              <w:t>(</w:t>
            </w:r>
            <w:r>
              <w:rPr>
                <w:rFonts w:ascii="宋体" w:hAnsi="宋体" w:eastAsia="宋体"/>
                <w:bCs/>
                <w:sz w:val="21"/>
                <w:szCs w:val="24"/>
              </w:rPr>
              <w:t>提供部分设备资料复印件</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27</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设备设施检维修前制定检维修方案的情况。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28</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委外维修的安全协议的情况</w:t>
            </w:r>
            <w:r>
              <w:rPr>
                <w:rFonts w:hint="eastAsia" w:ascii="宋体" w:hAnsi="宋体" w:eastAsia="宋体"/>
                <w:bCs/>
                <w:sz w:val="21"/>
                <w:szCs w:val="24"/>
              </w:rPr>
              <w:t>(</w:t>
            </w:r>
            <w:r>
              <w:rPr>
                <w:rFonts w:ascii="宋体" w:hAnsi="宋体" w:eastAsia="宋体"/>
                <w:bCs/>
                <w:sz w:val="21"/>
                <w:szCs w:val="24"/>
              </w:rPr>
              <w:t>如有提供一份复印件</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29</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特种设备检验情况</w:t>
            </w:r>
            <w:r>
              <w:rPr>
                <w:rFonts w:hint="eastAsia" w:ascii="宋体" w:hAnsi="宋体" w:eastAsia="宋体"/>
                <w:bCs/>
                <w:sz w:val="21"/>
                <w:szCs w:val="24"/>
              </w:rPr>
              <w:t>(</w:t>
            </w:r>
            <w:r>
              <w:rPr>
                <w:rFonts w:ascii="宋体" w:hAnsi="宋体" w:eastAsia="宋体"/>
                <w:bCs/>
                <w:sz w:val="21"/>
                <w:szCs w:val="24"/>
              </w:rPr>
              <w:t>提供报告目录复印件</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30</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安全设施检验情况</w:t>
            </w:r>
            <w:r>
              <w:rPr>
                <w:rFonts w:hint="eastAsia" w:ascii="宋体" w:hAnsi="宋体" w:eastAsia="宋体"/>
                <w:bCs/>
                <w:sz w:val="21"/>
                <w:szCs w:val="24"/>
              </w:rPr>
              <w:t>(</w:t>
            </w:r>
            <w:r>
              <w:rPr>
                <w:rFonts w:ascii="宋体" w:hAnsi="宋体" w:eastAsia="宋体"/>
                <w:bCs/>
                <w:sz w:val="21"/>
                <w:szCs w:val="24"/>
              </w:rPr>
              <w:t>提供报告目录复印件</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31</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设备完好状况及完好率。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32</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结合行业设备设施的特点，对危险作业的重点部位、重点环节进行检查验证的做法和相关经验。设施设备安全管理的技术档案建立情况。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33</w:t>
            </w:r>
          </w:p>
        </w:tc>
        <w:tc>
          <w:tcPr>
            <w:tcW w:w="1418" w:type="dxa"/>
            <w:vMerge w:val="restart"/>
            <w:noWrap w:val="0"/>
            <w:vAlign w:val="center"/>
          </w:tcPr>
          <w:p>
            <w:pPr>
              <w:spacing w:line="360" w:lineRule="exact"/>
              <w:ind w:left="-144" w:leftChars="-45" w:right="-134" w:rightChars="-42" w:firstLine="10" w:firstLineChars="5"/>
              <w:jc w:val="center"/>
              <w:rPr>
                <w:rFonts w:hint="eastAsia" w:ascii="宋体" w:hAnsi="宋体" w:eastAsia="宋体"/>
                <w:bCs/>
                <w:sz w:val="21"/>
                <w:szCs w:val="24"/>
              </w:rPr>
            </w:pPr>
            <w:r>
              <w:rPr>
                <w:rFonts w:ascii="宋体" w:hAnsi="宋体" w:eastAsia="宋体"/>
                <w:bCs/>
                <w:sz w:val="21"/>
                <w:szCs w:val="24"/>
              </w:rPr>
              <w:t>7</w:t>
            </w:r>
            <w:r>
              <w:rPr>
                <w:rFonts w:hint="eastAsia" w:ascii="宋体" w:hAnsi="宋体" w:eastAsia="宋体"/>
                <w:bCs/>
                <w:sz w:val="21"/>
                <w:szCs w:val="24"/>
              </w:rPr>
              <w:t>.</w:t>
            </w:r>
            <w:r>
              <w:rPr>
                <w:rFonts w:ascii="宋体" w:hAnsi="宋体" w:eastAsia="宋体"/>
                <w:bCs/>
                <w:sz w:val="21"/>
                <w:szCs w:val="24"/>
              </w:rPr>
              <w:t>作业现场</w:t>
            </w:r>
          </w:p>
          <w:p>
            <w:pPr>
              <w:spacing w:line="360" w:lineRule="exact"/>
              <w:ind w:left="-144" w:leftChars="-45" w:right="-134" w:rightChars="-42" w:firstLine="10" w:firstLineChars="5"/>
              <w:jc w:val="center"/>
              <w:rPr>
                <w:rFonts w:ascii="宋体" w:hAnsi="宋体" w:eastAsia="宋体"/>
                <w:bCs/>
                <w:sz w:val="21"/>
                <w:szCs w:val="24"/>
              </w:rPr>
            </w:pPr>
            <w:r>
              <w:rPr>
                <w:rFonts w:ascii="宋体" w:hAnsi="宋体" w:eastAsia="宋体"/>
                <w:bCs/>
                <w:sz w:val="21"/>
                <w:szCs w:val="24"/>
              </w:rPr>
              <w:t>安全管理</w:t>
            </w: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作业现场车间、班组安全巡查记录及时填报的做法和相关经验,提供二个班组记录部分复印件。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34</w:t>
            </w:r>
          </w:p>
        </w:tc>
        <w:tc>
          <w:tcPr>
            <w:tcW w:w="1418" w:type="dxa"/>
            <w:vMerge w:val="continue"/>
            <w:noWrap w:val="0"/>
            <w:vAlign w:val="center"/>
          </w:tcPr>
          <w:p>
            <w:pPr>
              <w:spacing w:line="360" w:lineRule="exact"/>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动火作业、有限空间作业、临时用电作业、高处作业等危险性较高的作业活动审批报告情况</w:t>
            </w:r>
            <w:r>
              <w:rPr>
                <w:rFonts w:hint="eastAsia" w:ascii="宋体" w:hAnsi="宋体" w:eastAsia="宋体"/>
                <w:bCs/>
                <w:sz w:val="21"/>
                <w:szCs w:val="24"/>
              </w:rPr>
              <w:t>(</w:t>
            </w:r>
            <w:r>
              <w:rPr>
                <w:rFonts w:ascii="宋体" w:hAnsi="宋体" w:eastAsia="宋体"/>
                <w:bCs/>
                <w:sz w:val="21"/>
                <w:szCs w:val="24"/>
              </w:rPr>
              <w:t>提供部分作业的审批报告复印件</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35</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作业现场车间、班组定期进行安全活动和隐患排查的的做法和相关经验。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36</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对车间、班组排查、提交的安全隐患分级进行整改的情况。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37</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作业现场标识、标牌进行统计管理的情况,说明种类、数量、位置,提供台帐复印件。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38</w:t>
            </w:r>
          </w:p>
        </w:tc>
        <w:tc>
          <w:tcPr>
            <w:tcW w:w="1418" w:type="dxa"/>
            <w:vMerge w:val="restart"/>
            <w:noWrap w:val="0"/>
            <w:vAlign w:val="center"/>
          </w:tcPr>
          <w:p>
            <w:pPr>
              <w:spacing w:line="360" w:lineRule="exact"/>
              <w:ind w:left="-144" w:leftChars="-45" w:right="-134" w:rightChars="-42" w:firstLine="10" w:firstLineChars="5"/>
              <w:jc w:val="center"/>
              <w:rPr>
                <w:rFonts w:ascii="宋体" w:hAnsi="宋体" w:eastAsia="宋体"/>
                <w:bCs/>
                <w:sz w:val="21"/>
                <w:szCs w:val="24"/>
              </w:rPr>
            </w:pPr>
            <w:r>
              <w:rPr>
                <w:rFonts w:ascii="宋体" w:hAnsi="宋体" w:eastAsia="宋体"/>
                <w:bCs/>
                <w:sz w:val="21"/>
                <w:szCs w:val="24"/>
              </w:rPr>
              <w:t>8</w:t>
            </w:r>
            <w:r>
              <w:rPr>
                <w:rFonts w:hint="eastAsia" w:ascii="宋体" w:hAnsi="宋体" w:eastAsia="宋体"/>
                <w:bCs/>
                <w:sz w:val="21"/>
                <w:szCs w:val="24"/>
              </w:rPr>
              <w:t>.</w:t>
            </w:r>
            <w:r>
              <w:rPr>
                <w:rFonts w:ascii="宋体" w:hAnsi="宋体" w:eastAsia="宋体"/>
                <w:bCs/>
                <w:sz w:val="21"/>
                <w:szCs w:val="24"/>
              </w:rPr>
              <w:t>隐患排查与风险管控</w:t>
            </w: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开展危险源辨识与风险评估工作的做法和相关经验,提供辨识评估记录和危险源清单。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39</w:t>
            </w:r>
          </w:p>
        </w:tc>
        <w:tc>
          <w:tcPr>
            <w:tcW w:w="1418" w:type="dxa"/>
            <w:vMerge w:val="continue"/>
            <w:noWrap w:val="0"/>
            <w:vAlign w:val="center"/>
          </w:tcPr>
          <w:p>
            <w:pPr>
              <w:spacing w:line="360" w:lineRule="exact"/>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风险评估文件,危险源档案,危险源管理制度的建立情况。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40</w:t>
            </w:r>
          </w:p>
        </w:tc>
        <w:tc>
          <w:tcPr>
            <w:tcW w:w="1418" w:type="dxa"/>
            <w:vMerge w:val="continue"/>
            <w:noWrap w:val="0"/>
            <w:vAlign w:val="center"/>
          </w:tcPr>
          <w:p>
            <w:pPr>
              <w:spacing w:line="360" w:lineRule="exact"/>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重大危险源的管理备案情况，如有提供备案回执。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41</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生产安全事故隐患排查治理制度的建立情况。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42</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进行生产安全事故隐患排治理验证工作的做法和相关经验。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43</w:t>
            </w:r>
          </w:p>
        </w:tc>
        <w:tc>
          <w:tcPr>
            <w:tcW w:w="1418" w:type="dxa"/>
            <w:vMerge w:val="restart"/>
            <w:noWrap w:val="0"/>
            <w:vAlign w:val="center"/>
          </w:tcPr>
          <w:p>
            <w:pPr>
              <w:spacing w:line="360" w:lineRule="exact"/>
              <w:ind w:left="-144" w:leftChars="-45" w:right="-134" w:rightChars="-42" w:firstLine="10" w:firstLineChars="5"/>
              <w:jc w:val="center"/>
              <w:rPr>
                <w:rFonts w:hint="eastAsia" w:ascii="宋体" w:hAnsi="宋体" w:eastAsia="宋体"/>
                <w:bCs/>
                <w:sz w:val="21"/>
                <w:szCs w:val="24"/>
              </w:rPr>
            </w:pPr>
            <w:r>
              <w:rPr>
                <w:rFonts w:ascii="宋体" w:hAnsi="宋体" w:eastAsia="宋体"/>
                <w:bCs/>
                <w:sz w:val="21"/>
                <w:szCs w:val="24"/>
              </w:rPr>
              <w:t>9</w:t>
            </w:r>
            <w:r>
              <w:rPr>
                <w:rFonts w:hint="eastAsia" w:ascii="宋体" w:hAnsi="宋体" w:eastAsia="宋体"/>
                <w:bCs/>
                <w:sz w:val="21"/>
                <w:szCs w:val="24"/>
              </w:rPr>
              <w:t>.</w:t>
            </w:r>
            <w:r>
              <w:rPr>
                <w:rFonts w:ascii="宋体" w:hAnsi="宋体" w:eastAsia="宋体"/>
                <w:bCs/>
                <w:sz w:val="21"/>
                <w:szCs w:val="24"/>
              </w:rPr>
              <w:t>事故应急</w:t>
            </w:r>
          </w:p>
          <w:p>
            <w:pPr>
              <w:spacing w:line="360" w:lineRule="exact"/>
              <w:ind w:left="-144" w:leftChars="-45" w:right="-134" w:rightChars="-42" w:firstLine="10" w:firstLineChars="5"/>
              <w:jc w:val="center"/>
              <w:rPr>
                <w:rFonts w:ascii="宋体" w:hAnsi="宋体" w:eastAsia="宋体"/>
                <w:bCs/>
                <w:sz w:val="21"/>
                <w:szCs w:val="24"/>
              </w:rPr>
            </w:pPr>
            <w:r>
              <w:rPr>
                <w:rFonts w:ascii="宋体" w:hAnsi="宋体" w:eastAsia="宋体"/>
                <w:bCs/>
                <w:sz w:val="21"/>
                <w:szCs w:val="24"/>
              </w:rPr>
              <w:t>管理</w:t>
            </w: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建立安全生产事故应急预案及备案情况</w:t>
            </w:r>
            <w:r>
              <w:rPr>
                <w:rFonts w:hint="eastAsia" w:ascii="宋体" w:hAnsi="宋体" w:eastAsia="宋体"/>
                <w:bCs/>
                <w:sz w:val="21"/>
                <w:szCs w:val="24"/>
              </w:rPr>
              <w:t>(</w:t>
            </w:r>
            <w:r>
              <w:rPr>
                <w:rFonts w:ascii="宋体" w:hAnsi="宋体" w:eastAsia="宋体"/>
                <w:bCs/>
                <w:sz w:val="21"/>
                <w:szCs w:val="24"/>
              </w:rPr>
              <w:t>提供备案回执复印件</w:t>
            </w:r>
            <w:r>
              <w:rPr>
                <w:rFonts w:hint="eastAsia"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44</w:t>
            </w:r>
          </w:p>
        </w:tc>
        <w:tc>
          <w:tcPr>
            <w:tcW w:w="1418" w:type="dxa"/>
            <w:vMerge w:val="continue"/>
            <w:noWrap w:val="0"/>
            <w:vAlign w:val="center"/>
          </w:tcPr>
          <w:p>
            <w:pPr>
              <w:spacing w:line="360" w:lineRule="exact"/>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成立应急救援队伍及训练的做法和相关经验。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45</w:t>
            </w:r>
          </w:p>
        </w:tc>
        <w:tc>
          <w:tcPr>
            <w:tcW w:w="1418" w:type="dxa"/>
            <w:vMerge w:val="continue"/>
            <w:noWrap w:val="0"/>
            <w:vAlign w:val="center"/>
          </w:tcPr>
          <w:p>
            <w:pPr>
              <w:spacing w:line="360" w:lineRule="exact"/>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应急预案定期进行评审修订和完善的情况。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46</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进行预案培训和演练的情况。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47</w:t>
            </w:r>
          </w:p>
        </w:tc>
        <w:tc>
          <w:tcPr>
            <w:tcW w:w="1418" w:type="dxa"/>
            <w:vMerge w:val="continue"/>
            <w:noWrap w:val="0"/>
            <w:vAlign w:val="center"/>
          </w:tcPr>
          <w:p>
            <w:pPr>
              <w:spacing w:line="360" w:lineRule="exact"/>
              <w:ind w:firstLine="420" w:firstLineChars="200"/>
              <w:jc w:val="center"/>
              <w:outlineLvl w:val="0"/>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按规定建立应急设施，配备应急装备，储备应急物资，并进行经常性的检查、维护、保养，确保其完好、可靠的做法和相关经验</w:t>
            </w:r>
            <w:r>
              <w:rPr>
                <w:rFonts w:hint="eastAsia" w:ascii="宋体" w:hAnsi="宋体" w:eastAsia="宋体"/>
                <w:bCs/>
                <w:sz w:val="21"/>
                <w:szCs w:val="24"/>
              </w:rPr>
              <w:t>(</w:t>
            </w:r>
            <w:r>
              <w:rPr>
                <w:rFonts w:ascii="宋体" w:hAnsi="宋体" w:eastAsia="宋体"/>
                <w:bCs/>
                <w:sz w:val="21"/>
                <w:szCs w:val="24"/>
              </w:rPr>
              <w:t>提供应急设备设施及物资清单复印件</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widowControl/>
              <w:spacing w:line="360" w:lineRule="exact"/>
              <w:jc w:val="center"/>
              <w:textAlignment w:val="center"/>
              <w:rPr>
                <w:rFonts w:ascii="宋体" w:hAnsi="宋体"/>
                <w:bCs/>
                <w:sz w:val="21"/>
                <w:szCs w:val="24"/>
              </w:rPr>
            </w:pPr>
            <w:r>
              <w:rPr>
                <w:rFonts w:ascii="宋体" w:hAnsi="宋体"/>
                <w:bCs/>
                <w:kern w:val="0"/>
                <w:sz w:val="21"/>
                <w:szCs w:val="24"/>
                <w:lang w:bidi="ar"/>
              </w:rPr>
              <w:t>48</w:t>
            </w:r>
          </w:p>
        </w:tc>
        <w:tc>
          <w:tcPr>
            <w:tcW w:w="1418" w:type="dxa"/>
            <w:vMerge w:val="continue"/>
            <w:noWrap w:val="0"/>
            <w:vAlign w:val="center"/>
          </w:tcPr>
          <w:p>
            <w:pPr>
              <w:spacing w:line="360" w:lineRule="exact"/>
              <w:jc w:val="center"/>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2020年至今是否发生安全生产事故,如何按“四不放过”原则进行处理的</w:t>
            </w:r>
            <w:r>
              <w:rPr>
                <w:rFonts w:hint="eastAsia" w:ascii="宋体" w:hAnsi="宋体" w:eastAsia="宋体"/>
                <w:bCs/>
                <w:sz w:val="21"/>
                <w:szCs w:val="24"/>
              </w:rPr>
              <w:t>(</w:t>
            </w:r>
            <w:r>
              <w:rPr>
                <w:rFonts w:ascii="宋体" w:hAnsi="宋体" w:eastAsia="宋体"/>
                <w:bCs/>
                <w:sz w:val="21"/>
                <w:szCs w:val="24"/>
              </w:rPr>
              <w:t>提供报告</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exact"/>
              <w:jc w:val="center"/>
              <w:rPr>
                <w:rFonts w:ascii="宋体" w:hAnsi="宋体"/>
                <w:bCs/>
                <w:sz w:val="21"/>
                <w:szCs w:val="24"/>
              </w:rPr>
            </w:pPr>
            <w:r>
              <w:rPr>
                <w:rFonts w:ascii="宋体" w:hAnsi="宋体"/>
                <w:bCs/>
                <w:sz w:val="21"/>
                <w:szCs w:val="24"/>
              </w:rPr>
              <w:t>49</w:t>
            </w:r>
          </w:p>
        </w:tc>
        <w:tc>
          <w:tcPr>
            <w:tcW w:w="1418" w:type="dxa"/>
            <w:vMerge w:val="restart"/>
            <w:noWrap w:val="0"/>
            <w:vAlign w:val="center"/>
          </w:tcPr>
          <w:p>
            <w:pPr>
              <w:spacing w:line="360" w:lineRule="exact"/>
              <w:ind w:left="-144" w:leftChars="-45" w:right="-134" w:rightChars="-42" w:firstLine="10" w:firstLineChars="5"/>
              <w:jc w:val="center"/>
              <w:rPr>
                <w:rFonts w:ascii="宋体" w:hAnsi="宋体" w:eastAsia="宋体"/>
                <w:bCs/>
                <w:sz w:val="21"/>
                <w:szCs w:val="24"/>
              </w:rPr>
            </w:pPr>
            <w:r>
              <w:rPr>
                <w:rFonts w:ascii="宋体" w:hAnsi="宋体" w:eastAsia="宋体"/>
                <w:bCs/>
                <w:sz w:val="21"/>
                <w:szCs w:val="24"/>
              </w:rPr>
              <w:t>10</w:t>
            </w:r>
            <w:r>
              <w:rPr>
                <w:rFonts w:hint="eastAsia" w:ascii="宋体" w:hAnsi="宋体" w:eastAsia="宋体"/>
                <w:bCs/>
                <w:sz w:val="21"/>
                <w:szCs w:val="24"/>
              </w:rPr>
              <w:t>.</w:t>
            </w:r>
            <w:r>
              <w:rPr>
                <w:rFonts w:ascii="宋体" w:hAnsi="宋体" w:eastAsia="宋体"/>
                <w:bCs/>
                <w:sz w:val="21"/>
                <w:szCs w:val="24"/>
              </w:rPr>
              <w:t>绩效评定</w:t>
            </w: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是否进行了年度安全生产标准化的自评,得分情况</w:t>
            </w:r>
            <w:r>
              <w:rPr>
                <w:rFonts w:hint="eastAsia" w:ascii="宋体" w:hAnsi="宋体" w:eastAsia="宋体"/>
                <w:bCs/>
                <w:sz w:val="21"/>
                <w:szCs w:val="24"/>
              </w:rPr>
              <w:t xml:space="preserve"> (</w:t>
            </w:r>
            <w:r>
              <w:rPr>
                <w:rFonts w:ascii="宋体" w:hAnsi="宋体" w:eastAsia="宋体"/>
                <w:bCs/>
                <w:sz w:val="21"/>
                <w:szCs w:val="24"/>
              </w:rPr>
              <w:t>提供评分情况和自评报告</w:t>
            </w:r>
            <w:r>
              <w:rPr>
                <w:rFonts w:hint="eastAsia" w:ascii="宋体" w:hAnsi="宋体" w:eastAsia="宋体"/>
                <w:bCs/>
                <w:sz w:val="21"/>
                <w:szCs w:val="24"/>
              </w:rPr>
              <w:t>)</w:t>
            </w:r>
            <w:r>
              <w:rPr>
                <w:rFonts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exact"/>
              <w:jc w:val="center"/>
              <w:rPr>
                <w:rFonts w:ascii="宋体" w:hAnsi="宋体"/>
                <w:bCs/>
                <w:sz w:val="21"/>
                <w:szCs w:val="24"/>
              </w:rPr>
            </w:pPr>
            <w:r>
              <w:rPr>
                <w:rFonts w:ascii="宋体" w:hAnsi="宋体"/>
                <w:bCs/>
                <w:sz w:val="21"/>
                <w:szCs w:val="24"/>
              </w:rPr>
              <w:t>50</w:t>
            </w:r>
          </w:p>
        </w:tc>
        <w:tc>
          <w:tcPr>
            <w:tcW w:w="1418" w:type="dxa"/>
            <w:vMerge w:val="continue"/>
            <w:noWrap w:val="0"/>
            <w:vAlign w:val="center"/>
          </w:tcPr>
          <w:p>
            <w:pPr>
              <w:spacing w:line="360" w:lineRule="exact"/>
              <w:jc w:val="center"/>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评定工作是否形成正式文件，并将结果向所有部门、所属单位和从业人员通报。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noWrap w:val="0"/>
            <w:vAlign w:val="center"/>
          </w:tcPr>
          <w:p>
            <w:pPr>
              <w:spacing w:line="360" w:lineRule="exact"/>
              <w:jc w:val="center"/>
              <w:rPr>
                <w:rFonts w:ascii="宋体" w:hAnsi="宋体"/>
                <w:bCs/>
                <w:sz w:val="21"/>
                <w:szCs w:val="24"/>
              </w:rPr>
            </w:pPr>
            <w:r>
              <w:rPr>
                <w:rFonts w:ascii="宋体" w:hAnsi="宋体"/>
                <w:bCs/>
                <w:sz w:val="21"/>
                <w:szCs w:val="24"/>
              </w:rPr>
              <w:t>51</w:t>
            </w:r>
          </w:p>
        </w:tc>
        <w:tc>
          <w:tcPr>
            <w:tcW w:w="1418" w:type="dxa"/>
            <w:vMerge w:val="restart"/>
            <w:noWrap w:val="0"/>
            <w:vAlign w:val="center"/>
          </w:tcPr>
          <w:p>
            <w:pPr>
              <w:spacing w:line="360" w:lineRule="exact"/>
              <w:ind w:left="-144" w:leftChars="-45" w:right="-134" w:rightChars="-42" w:firstLine="10" w:firstLineChars="5"/>
              <w:jc w:val="center"/>
              <w:rPr>
                <w:rFonts w:ascii="宋体" w:hAnsi="宋体" w:eastAsia="宋体"/>
                <w:bCs/>
                <w:sz w:val="21"/>
                <w:szCs w:val="24"/>
              </w:rPr>
            </w:pPr>
            <w:r>
              <w:rPr>
                <w:rFonts w:ascii="宋体" w:hAnsi="宋体" w:eastAsia="宋体"/>
                <w:bCs/>
                <w:sz w:val="21"/>
                <w:szCs w:val="24"/>
              </w:rPr>
              <w:t>11</w:t>
            </w:r>
            <w:r>
              <w:rPr>
                <w:rFonts w:hint="eastAsia" w:ascii="宋体" w:hAnsi="宋体" w:eastAsia="宋体"/>
                <w:bCs/>
                <w:sz w:val="21"/>
                <w:szCs w:val="24"/>
              </w:rPr>
              <w:t>.</w:t>
            </w:r>
            <w:r>
              <w:rPr>
                <w:rFonts w:ascii="宋体" w:hAnsi="宋体" w:eastAsia="宋体"/>
                <w:bCs/>
                <w:sz w:val="21"/>
                <w:szCs w:val="24"/>
              </w:rPr>
              <w:t>安全生产标准化创建情况</w:t>
            </w:r>
          </w:p>
        </w:tc>
        <w:tc>
          <w:tcPr>
            <w:tcW w:w="6946" w:type="dxa"/>
            <w:noWrap w:val="0"/>
            <w:vAlign w:val="top"/>
          </w:tcPr>
          <w:p>
            <w:pPr>
              <w:spacing w:line="360" w:lineRule="exact"/>
              <w:ind w:left="-141" w:leftChars="-44" w:right="-109" w:rightChars="-34" w:firstLine="23" w:firstLineChars="11"/>
              <w:jc w:val="left"/>
              <w:rPr>
                <w:rFonts w:hint="eastAsia" w:ascii="宋体" w:hAnsi="宋体" w:eastAsia="宋体"/>
                <w:bCs/>
                <w:sz w:val="21"/>
                <w:szCs w:val="24"/>
              </w:rPr>
            </w:pPr>
            <w:r>
              <w:rPr>
                <w:rFonts w:ascii="宋体" w:hAnsi="宋体" w:eastAsia="宋体"/>
                <w:bCs/>
                <w:sz w:val="21"/>
                <w:szCs w:val="24"/>
              </w:rPr>
              <w:t>是否成立了安全生产标准化创建小组,进行全员培训的做法和相关经验</w:t>
            </w:r>
            <w:r>
              <w:rPr>
                <w:rFonts w:hint="eastAsia" w:ascii="宋体" w:hAnsi="宋体" w:eastAsia="宋体"/>
                <w:bCs/>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noWrap w:val="0"/>
            <w:vAlign w:val="center"/>
          </w:tcPr>
          <w:p>
            <w:pPr>
              <w:spacing w:line="360" w:lineRule="exact"/>
              <w:jc w:val="center"/>
              <w:rPr>
                <w:rFonts w:ascii="宋体" w:hAnsi="宋体"/>
                <w:bCs/>
                <w:sz w:val="21"/>
                <w:szCs w:val="24"/>
              </w:rPr>
            </w:pPr>
          </w:p>
        </w:tc>
        <w:tc>
          <w:tcPr>
            <w:tcW w:w="1418" w:type="dxa"/>
            <w:vMerge w:val="continue"/>
            <w:noWrap w:val="0"/>
            <w:vAlign w:val="center"/>
          </w:tcPr>
          <w:p>
            <w:pPr>
              <w:spacing w:line="360" w:lineRule="exact"/>
              <w:jc w:val="center"/>
              <w:rPr>
                <w:rFonts w:ascii="宋体" w:hAnsi="宋体" w:eastAsia="宋体"/>
                <w:bCs/>
                <w:sz w:val="21"/>
                <w:szCs w:val="24"/>
              </w:rPr>
            </w:pP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全员参与创建工作,参与风险辨识评估的做法和相关经验。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pacing w:line="360" w:lineRule="exact"/>
              <w:jc w:val="center"/>
              <w:rPr>
                <w:rFonts w:ascii="宋体" w:hAnsi="宋体"/>
                <w:bCs/>
                <w:sz w:val="21"/>
                <w:szCs w:val="24"/>
              </w:rPr>
            </w:pPr>
            <w:r>
              <w:rPr>
                <w:rFonts w:ascii="宋体" w:hAnsi="宋体"/>
                <w:bCs/>
                <w:sz w:val="21"/>
                <w:szCs w:val="24"/>
              </w:rPr>
              <w:t>52</w:t>
            </w:r>
          </w:p>
        </w:tc>
        <w:tc>
          <w:tcPr>
            <w:tcW w:w="1418" w:type="dxa"/>
            <w:noWrap w:val="0"/>
            <w:vAlign w:val="center"/>
          </w:tcPr>
          <w:p>
            <w:pPr>
              <w:spacing w:line="360" w:lineRule="exact"/>
              <w:ind w:left="-144" w:leftChars="-45" w:right="-134" w:rightChars="-42" w:firstLine="10" w:firstLineChars="5"/>
              <w:jc w:val="center"/>
              <w:rPr>
                <w:rFonts w:ascii="宋体" w:hAnsi="宋体" w:eastAsia="宋体"/>
                <w:bCs/>
                <w:sz w:val="21"/>
                <w:szCs w:val="24"/>
              </w:rPr>
            </w:pPr>
            <w:r>
              <w:rPr>
                <w:rFonts w:ascii="宋体" w:hAnsi="宋体" w:eastAsia="宋体"/>
                <w:bCs/>
                <w:sz w:val="21"/>
                <w:szCs w:val="24"/>
              </w:rPr>
              <w:t>12</w:t>
            </w:r>
            <w:r>
              <w:rPr>
                <w:rFonts w:hint="eastAsia" w:ascii="宋体" w:hAnsi="宋体" w:eastAsia="宋体"/>
                <w:bCs/>
                <w:sz w:val="21"/>
                <w:szCs w:val="24"/>
              </w:rPr>
              <w:t>.</w:t>
            </w:r>
            <w:r>
              <w:rPr>
                <w:rFonts w:ascii="宋体" w:hAnsi="宋体" w:eastAsia="宋体"/>
                <w:bCs/>
                <w:sz w:val="21"/>
                <w:szCs w:val="24"/>
              </w:rPr>
              <w:t>其它经验</w:t>
            </w:r>
          </w:p>
        </w:tc>
        <w:tc>
          <w:tcPr>
            <w:tcW w:w="6946" w:type="dxa"/>
            <w:noWrap w:val="0"/>
            <w:vAlign w:val="top"/>
          </w:tcPr>
          <w:p>
            <w:pPr>
              <w:spacing w:line="360" w:lineRule="exact"/>
              <w:ind w:left="-141" w:leftChars="-44" w:right="-109" w:rightChars="-34" w:firstLine="23" w:firstLineChars="11"/>
              <w:jc w:val="left"/>
              <w:rPr>
                <w:rFonts w:ascii="宋体" w:hAnsi="宋体" w:eastAsia="宋体"/>
                <w:bCs/>
                <w:sz w:val="21"/>
                <w:szCs w:val="24"/>
              </w:rPr>
            </w:pPr>
            <w:r>
              <w:rPr>
                <w:rFonts w:ascii="宋体" w:hAnsi="宋体" w:eastAsia="宋体"/>
                <w:bCs/>
                <w:sz w:val="21"/>
                <w:szCs w:val="24"/>
              </w:rPr>
              <w:t>企业</w:t>
            </w:r>
            <w:r>
              <w:rPr>
                <w:rFonts w:hint="eastAsia" w:ascii="宋体" w:hAnsi="宋体" w:eastAsia="宋体"/>
                <w:bCs/>
                <w:sz w:val="21"/>
                <w:szCs w:val="24"/>
              </w:rPr>
              <w:t>(</w:t>
            </w:r>
            <w:r>
              <w:rPr>
                <w:rFonts w:ascii="宋体" w:hAnsi="宋体" w:eastAsia="宋体"/>
                <w:bCs/>
                <w:sz w:val="21"/>
                <w:szCs w:val="24"/>
              </w:rPr>
              <w:t>单位</w:t>
            </w:r>
            <w:r>
              <w:rPr>
                <w:rFonts w:hint="eastAsia" w:ascii="宋体" w:hAnsi="宋体" w:eastAsia="宋体"/>
                <w:bCs/>
                <w:sz w:val="21"/>
                <w:szCs w:val="24"/>
              </w:rPr>
              <w:t>)</w:t>
            </w:r>
            <w:r>
              <w:rPr>
                <w:rFonts w:ascii="宋体" w:hAnsi="宋体" w:eastAsia="宋体"/>
                <w:bCs/>
                <w:sz w:val="21"/>
                <w:szCs w:val="24"/>
              </w:rPr>
              <w:t>安全生产标准化信息化建设的相关经验及做法；对提升安全生产标准化运行质量有何针对性的建议。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CESI黑体-GB2312">
    <w:altName w:val="华文中宋"/>
    <w:panose1 w:val="02000500000000000000"/>
    <w:charset w:val="86"/>
    <w:family w:val="auto"/>
    <w:pitch w:val="default"/>
    <w:sig w:usb0="00000000" w:usb1="00000000"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B5189"/>
    <w:rsid w:val="022B5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2022-04-14T07:15:00Z</dcterms:created>
  <dc:creator>蔡琦琳</dc:creator>
  <cp:lastModifiedBy>蔡琦琳</cp:lastModifiedBy>
  <dcterms:modified xsi:type="dcterms:W3CDTF">2022-04-14T07:16:46Z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2C86C44447124DF6AFB527F9A83E1469</vt:lpwstr>
  </property>
</Properties>
</file>