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36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0"/>
        <w:gridCol w:w="945"/>
        <w:gridCol w:w="2684"/>
        <w:gridCol w:w="661"/>
        <w:gridCol w:w="5651"/>
        <w:gridCol w:w="3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75"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8"/>
                <w:szCs w:val="28"/>
                <w:u w:val="none"/>
                <w:lang w:val="en-US" w:eastAsia="zh-CN" w:bidi="ar"/>
              </w:rPr>
              <w:t>附件1</w:t>
            </w:r>
          </w:p>
        </w:tc>
        <w:tc>
          <w:tcPr>
            <w:tcW w:w="268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66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565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3209"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368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《医疗机构管理条例》（</w:t>
            </w:r>
            <w:r>
              <w:rPr>
                <w:rStyle w:val="8"/>
                <w:rFonts w:hint="eastAsia" w:ascii="方正小标宋简体" w:hAnsi="方正小标宋简体" w:eastAsia="方正小标宋简体" w:cs="方正小标宋简体"/>
                <w:b w:val="0"/>
                <w:bCs w:val="0"/>
                <w:sz w:val="44"/>
                <w:szCs w:val="44"/>
                <w:lang w:val="en-US" w:eastAsia="zh-CN" w:bidi="ar"/>
              </w:rPr>
              <w:t>2022</w:t>
            </w:r>
            <w:r>
              <w:rPr>
                <w:rStyle w:val="9"/>
                <w:rFonts w:hint="eastAsia" w:ascii="方正小标宋简体" w:hAnsi="方正小标宋简体" w:eastAsia="方正小标宋简体" w:cs="方正小标宋简体"/>
                <w:b w:val="0"/>
                <w:bCs w:val="0"/>
                <w:sz w:val="44"/>
                <w:szCs w:val="44"/>
                <w:lang w:val="en-US" w:eastAsia="zh-CN" w:bidi="ar"/>
              </w:rPr>
              <w:t>年版）行政处罚自由裁量细化标准(试行)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违法</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行为</w:t>
            </w:r>
          </w:p>
        </w:tc>
        <w:tc>
          <w:tcPr>
            <w:tcW w:w="2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法律依据</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违法程度</w:t>
            </w:r>
          </w:p>
        </w:tc>
        <w:tc>
          <w:tcPr>
            <w:tcW w:w="565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违法情节</w:t>
            </w:r>
          </w:p>
        </w:tc>
        <w:tc>
          <w:tcPr>
            <w:tcW w:w="320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处罚裁量标准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94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诊所未经备案执业的</w:t>
            </w:r>
          </w:p>
        </w:tc>
        <w:tc>
          <w:tcPr>
            <w:tcW w:w="2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《医疗机构管理条例》</w:t>
            </w:r>
          </w:p>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第四十三条第二款</w:t>
            </w:r>
          </w:p>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   违反本条例第二十三条规定，诊所未经备案执业的，由县级以上人民政府卫生行政部门责令其改正，没收违法所得，并处3万元以下罚款；拒不改正的，责令其停止执业活动。</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轻微</w:t>
            </w:r>
          </w:p>
        </w:tc>
        <w:tc>
          <w:tcPr>
            <w:tcW w:w="5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诊所未经备案擅自执业，初次被查处，违法所得不足5000元，且无加重情形的。</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责令改正，没收违法所得，并处一万元以下罚款。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45"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2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一般</w:t>
            </w:r>
          </w:p>
        </w:tc>
        <w:tc>
          <w:tcPr>
            <w:tcW w:w="5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诊所未经备案擅自执业，且有以下加重情形之一的：</w:t>
            </w:r>
          </w:p>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（一）擅自执业的人员为非卫生技术专业人员；（二）擅自执业时间３个月以上；（三）违法所得在5000元以上的；（四）给患者造成伤害；（五）使用假药、劣药蒙骗患者；（六）以行医为名骗取患者钱物。</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责令改正，没收违法所得，并处一万元以上二万元以下罚款。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45"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2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较重</w:t>
            </w:r>
          </w:p>
        </w:tc>
        <w:tc>
          <w:tcPr>
            <w:tcW w:w="5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诊所未经备案擅自执业，且有以下加重情形二项以上的：</w:t>
            </w:r>
          </w:p>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（一）擅自执业的人员为非卫生技术专业人员；（二）擅自执业时间３个月以上；（三）违法所得在5000元以上的；（四）给患者造成伤害；（五）使用假药、劣药蒙骗患者；（六）以行医为名骗取患者钱物。</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责令改正，没收违法所得，并处二万元以上三万元以下罚款。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45"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2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严重</w:t>
            </w:r>
          </w:p>
        </w:tc>
        <w:tc>
          <w:tcPr>
            <w:tcW w:w="5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诊所未经备案擅自执业，经责令改正，拒不改正的。</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责令其停止执业活动。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诊疗活动超出登记或者备案范围的</w:t>
            </w:r>
          </w:p>
        </w:tc>
        <w:tc>
          <w:tcPr>
            <w:tcW w:w="2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《医疗机构管理条例》</w:t>
            </w:r>
          </w:p>
          <w:p>
            <w:pPr>
              <w:keepNext w:val="0"/>
              <w:keepLines w:val="0"/>
              <w:widowControl/>
              <w:suppressLineNumbers w:val="0"/>
              <w:spacing w:after="200" w:afterAutospacing="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第四十六条</w:t>
            </w:r>
          </w:p>
          <w:p>
            <w:pPr>
              <w:keepNext w:val="0"/>
              <w:keepLines w:val="0"/>
              <w:widowControl/>
              <w:suppressLineNumbers w:val="0"/>
              <w:spacing w:after="200" w:afterAutospacing="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 xml:space="preserve">   违反本条例第二十六条规定，诊疗活动超出登记或者备案范围的，由县级以上人民政府卫生行政部门予以警告、责令其改正，没收违法所得，并可以根据情节处以1万元以上10万元以下的罚款；情节严重的，吊销其《医疗机构执业许可证》或者责令其停止执业活动。</w:t>
            </w:r>
          </w:p>
          <w:p>
            <w:pPr>
              <w:keepNext w:val="0"/>
              <w:keepLines w:val="0"/>
              <w:widowControl/>
              <w:suppressLineNumbers w:val="0"/>
              <w:spacing w:after="200" w:afterAutospacing="0"/>
              <w:jc w:val="left"/>
              <w:textAlignment w:val="center"/>
              <w:rPr>
                <w:rFonts w:hint="eastAsia" w:ascii="仿宋" w:hAnsi="仿宋" w:eastAsia="仿宋" w:cs="仿宋"/>
                <w:i w:val="0"/>
                <w:iCs w:val="0"/>
                <w:color w:val="000000"/>
                <w:kern w:val="0"/>
                <w:sz w:val="20"/>
                <w:szCs w:val="20"/>
                <w:u w:val="none"/>
                <w:lang w:val="en-US" w:eastAsia="zh-CN" w:bidi="ar"/>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轻微</w:t>
            </w:r>
          </w:p>
        </w:tc>
        <w:tc>
          <w:tcPr>
            <w:tcW w:w="5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诊疗活动超出登记或者备案范围，首次发现且无严重情节情形的。 </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予以警告，没收违法所得，并处五万元以下罚款。同时责令改正违法行为。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2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一般</w:t>
            </w:r>
          </w:p>
        </w:tc>
        <w:tc>
          <w:tcPr>
            <w:tcW w:w="5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诊疗活动超出登记或者备案范围，曾受过相关卫生行政处罚一次且无严重情节情形。 </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予以警告，没收违法所得，并处五万元以上七万元以下罚款。同时责令改正违法行为。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trPr>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2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严重</w:t>
            </w:r>
          </w:p>
        </w:tc>
        <w:tc>
          <w:tcPr>
            <w:tcW w:w="5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诊疗活动超出登记或者备案范围，曾受过二次以上相关卫生行政处罚或者情节严重的。 情节严重指的是造成患者伤害的；违法所得巨大，超过2万元的。</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予以警告，没收违法所得，并处7万元以上十万元以下罚款，同时吊销其《医疗机构执业许可证》（备案制诊所责令其停止执业活动）。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使用非卫生技术人员从事医疗卫生技术工作的</w:t>
            </w:r>
          </w:p>
        </w:tc>
        <w:tc>
          <w:tcPr>
            <w:tcW w:w="2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《医疗机构管理条例》</w:t>
            </w:r>
          </w:p>
          <w:p>
            <w:pPr>
              <w:keepNext w:val="0"/>
              <w:keepLines w:val="0"/>
              <w:widowControl/>
              <w:suppressLineNumbers w:val="0"/>
              <w:spacing w:after="200" w:afterAutospacing="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第四十七条</w:t>
            </w:r>
          </w:p>
          <w:p>
            <w:pPr>
              <w:keepNext w:val="0"/>
              <w:keepLines w:val="0"/>
              <w:widowControl/>
              <w:suppressLineNumbers w:val="0"/>
              <w:spacing w:after="200" w:afterAutospacing="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违反本条例第二十七条规定，使用非卫生技术人员从事医疗卫生技术工作的，由县级以上人民政府卫生行政部门责令其限期改正，并可以处以1万元以上10万元以下的罚款；情节严重的，吊销其《医疗机构执业许可证》或者责令其停止执业活动。</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轻微</w:t>
            </w:r>
          </w:p>
        </w:tc>
        <w:tc>
          <w:tcPr>
            <w:tcW w:w="5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任用1名非卫生技术人员从事医疗卫生技术工作且未给患者造成伤害的</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处五万元以下罚款。同时责令其限期改正。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2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一般</w:t>
            </w:r>
          </w:p>
        </w:tc>
        <w:tc>
          <w:tcPr>
            <w:tcW w:w="5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任用2—4名非卫生技术人员从事医疗卫生技术工作或任用的非卫生技术人员给患者造成轻伤害的</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处五万元以上七万元以下罚款。同时责令其限期改正。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2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严重</w:t>
            </w:r>
          </w:p>
        </w:tc>
        <w:tc>
          <w:tcPr>
            <w:tcW w:w="5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任用5名及以上非卫生技术人员从事医疗卫生技术工作或任用的非卫生技术人员给患者造成残废和功能障碍以上伤害的</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处七万元以上十万元以下罚款，同时吊销其《医疗机构执业许可证》（备案制诊所责令其停止执业活动）。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出具虚假证明文件的</w:t>
            </w:r>
          </w:p>
        </w:tc>
        <w:tc>
          <w:tcPr>
            <w:tcW w:w="2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《医疗机构管理条例》</w:t>
            </w:r>
          </w:p>
          <w:p>
            <w:pPr>
              <w:keepNext w:val="0"/>
              <w:keepLines w:val="0"/>
              <w:widowControl/>
              <w:suppressLineNumbers w:val="0"/>
              <w:spacing w:after="200" w:afterAutospacing="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第四十八条违反本条例第三十一条规定，出具虚假证明文件的，由县级以上人民政府卫生行政部门予以警告；对造成危害后果的，可以处以1万元以上10万元以下的罚款；对直接责任人员由所在单位或者上级机关给予行政处分。</w:t>
            </w:r>
          </w:p>
          <w:p>
            <w:pPr>
              <w:keepNext w:val="0"/>
              <w:keepLines w:val="0"/>
              <w:widowControl/>
              <w:suppressLineNumbers w:val="0"/>
              <w:spacing w:after="200" w:afterAutospacing="0"/>
              <w:jc w:val="left"/>
              <w:textAlignment w:val="center"/>
              <w:rPr>
                <w:rFonts w:hint="eastAsia" w:ascii="仿宋" w:hAnsi="仿宋" w:eastAsia="仿宋" w:cs="仿宋"/>
                <w:i w:val="0"/>
                <w:iCs w:val="0"/>
                <w:color w:val="000000"/>
                <w:kern w:val="0"/>
                <w:sz w:val="20"/>
                <w:szCs w:val="20"/>
                <w:u w:val="none"/>
                <w:lang w:val="en-US" w:eastAsia="zh-CN" w:bidi="ar"/>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轻微</w:t>
            </w:r>
          </w:p>
        </w:tc>
        <w:tc>
          <w:tcPr>
            <w:tcW w:w="5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出具虚假证明文件，且未造成危害后果的。</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予以警告。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2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一般</w:t>
            </w:r>
          </w:p>
        </w:tc>
        <w:tc>
          <w:tcPr>
            <w:tcW w:w="5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出具虚假证明文件，且造成危害后果的；或者虽未造成危害后果，但曾经因出具虚假证明文件被卫生行政处罚一次的</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予以警告，并处一万元以上五万元以下罚款。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2" w:hRule="atLeast"/>
        </w:trPr>
        <w:tc>
          <w:tcPr>
            <w:tcW w:w="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2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0"/>
                <w:szCs w:val="20"/>
                <w:u w:val="none"/>
              </w:rPr>
            </w:pP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严重</w:t>
            </w:r>
          </w:p>
        </w:tc>
        <w:tc>
          <w:tcPr>
            <w:tcW w:w="5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出具虚假证明文件，造成严重危害后果的；或者曾经因出具虚假证明文件被卫生行政处罚二次的。 </w:t>
            </w:r>
          </w:p>
        </w:tc>
        <w:tc>
          <w:tcPr>
            <w:tcW w:w="3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予以警告，并处五万元以上十万元以下罚款。</w:t>
            </w:r>
          </w:p>
        </w:tc>
      </w:tr>
    </w:tbl>
    <w:p>
      <w:pPr>
        <w:keepNext w:val="0"/>
        <w:keepLines w:val="0"/>
        <w:pageBreakBefore w:val="0"/>
        <w:widowControl w:val="0"/>
        <w:kinsoku/>
        <w:wordWrap/>
        <w:overflowPunct/>
        <w:topLinePunct w:val="0"/>
        <w:autoSpaceDE/>
        <w:autoSpaceDN/>
        <w:bidi w:val="0"/>
        <w:adjustRightInd/>
        <w:snapToGrid/>
        <w:spacing w:line="560" w:lineRule="exact"/>
        <w:ind w:right="1264" w:rightChars="602"/>
        <w:jc w:val="right"/>
        <w:textAlignment w:val="auto"/>
        <w:rPr>
          <w:rFonts w:hint="eastAsia" w:ascii="仿宋_GB2312" w:hAnsi="仿宋_GB2312" w:eastAsia="仿宋_GB2312" w:cs="仿宋_GB2312"/>
          <w:color w:val="auto"/>
          <w:sz w:val="32"/>
          <w:szCs w:val="32"/>
          <w:lang w:val="en-US" w:eastAsia="zh-CN"/>
        </w:rPr>
        <w:sectPr>
          <w:footerReference r:id="rId3" w:type="default"/>
          <w:pgSz w:w="16838" w:h="11906" w:orient="landscape"/>
          <w:pgMar w:top="1134" w:right="1440" w:bottom="283" w:left="1440" w:header="851" w:footer="992" w:gutter="0"/>
          <w:pgNumType w:fmt="decimal"/>
          <w:cols w:space="0" w:num="1"/>
          <w:rtlGutter w:val="0"/>
          <w:docGrid w:type="lines" w:linePitch="312" w:charSpace="0"/>
        </w:sectPr>
      </w:pPr>
    </w:p>
    <w:p>
      <w:bookmarkStart w:id="0" w:name="_GoBack"/>
      <w:bookmarkEnd w:id="0"/>
    </w:p>
    <w:sectPr>
      <w:footerReference r:id="rId4" w:type="default"/>
      <w:pgSz w:w="16838" w:h="11906" w:orient="landscape"/>
      <w:pgMar w:top="1531" w:right="2098" w:bottom="1531" w:left="198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hZjA3NmM4N2M5ZmNmNjFhMGVhMzczYzQ2NzU2NzkifQ=="/>
  </w:docVars>
  <w:rsids>
    <w:rsidRoot w:val="06F3224D"/>
    <w:rsid w:val="05895414"/>
    <w:rsid w:val="06F3224D"/>
    <w:rsid w:val="3C56273B"/>
    <w:rsid w:val="7E022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0" w:after="0" w:afterAutospacing="0"/>
      <w:ind w:left="0" w:right="0"/>
      <w:jc w:val="left"/>
    </w:pPr>
    <w:rPr>
      <w:kern w:val="0"/>
      <w:sz w:val="24"/>
      <w:lang w:val="en-US" w:eastAsia="zh-CN" w:bidi="ar"/>
    </w:rPr>
  </w:style>
  <w:style w:type="character" w:customStyle="1" w:styleId="8">
    <w:name w:val="font41"/>
    <w:basedOn w:val="7"/>
    <w:qFormat/>
    <w:uiPriority w:val="0"/>
    <w:rPr>
      <w:rFonts w:hint="default" w:ascii="Times New Roman" w:hAnsi="Times New Roman" w:cs="Times New Roman"/>
      <w:b/>
      <w:bCs/>
      <w:color w:val="000000"/>
      <w:sz w:val="28"/>
      <w:szCs w:val="28"/>
      <w:u w:val="none"/>
    </w:rPr>
  </w:style>
  <w:style w:type="character" w:customStyle="1" w:styleId="9">
    <w:name w:val="font01"/>
    <w:basedOn w:val="7"/>
    <w:qFormat/>
    <w:uiPriority w:val="0"/>
    <w:rPr>
      <w:rFonts w:hint="eastAsia" w:ascii="宋体" w:hAnsi="宋体" w:eastAsia="宋体" w:cs="宋体"/>
      <w:b/>
      <w:bCs/>
      <w:color w:val="000000"/>
      <w:sz w:val="28"/>
      <w:szCs w:val="28"/>
      <w:u w:val="none"/>
    </w:rPr>
  </w:style>
  <w:style w:type="character" w:customStyle="1" w:styleId="10">
    <w:name w:val="font81"/>
    <w:basedOn w:val="7"/>
    <w:qFormat/>
    <w:uiPriority w:val="0"/>
    <w:rPr>
      <w:rFonts w:hint="eastAsia" w:ascii="宋体" w:hAnsi="宋体" w:eastAsia="宋体" w:cs="宋体"/>
      <w:b/>
      <w:bCs/>
      <w:color w:val="000000"/>
      <w:sz w:val="28"/>
      <w:szCs w:val="28"/>
      <w:u w:val="none"/>
    </w:rPr>
  </w:style>
  <w:style w:type="character" w:customStyle="1" w:styleId="11">
    <w:name w:val="font21"/>
    <w:basedOn w:val="7"/>
    <w:qFormat/>
    <w:uiPriority w:val="0"/>
    <w:rPr>
      <w:rFonts w:hint="default" w:ascii="Times New Roman" w:hAnsi="Times New Roman" w:cs="Times New Roman"/>
      <w:b/>
      <w:bCs/>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2022-11-04T08:07:00Z</dcterms:created>
  <dc:creator>蔡琦琳</dc:creator>
  <cp:lastModifiedBy>蔡琦琳</cp:lastModifiedBy>
  <dcterms:modified xsi:type="dcterms:W3CDTF">2022-11-04T08:09:31Z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9B009D5352B245D9AD327B4968280BF7</vt:lpwstr>
  </property>
</Properties>
</file>