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DEB6F">
      <w:pPr>
        <w:pStyle w:val="2"/>
        <w:keepNext w:val="0"/>
        <w:keepLines w:val="0"/>
        <w:pageBreakBefore w:val="0"/>
        <w:kinsoku/>
        <w:wordWrap/>
        <w:overflowPunct/>
        <w:topLinePunct w:val="0"/>
        <w:autoSpaceDE/>
        <w:autoSpaceDN/>
        <w:bidi w:val="0"/>
        <w:snapToGrid/>
        <w:spacing w:before="120" w:beforeAutospacing="0" w:after="0" w:afterAutospacing="0" w:line="360" w:lineRule="auto"/>
        <w:ind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一、铅(以Pb计)</w:t>
      </w:r>
    </w:p>
    <w:p w14:paraId="0033445D">
      <w:pPr>
        <w:keepNext w:val="0"/>
        <w:keepLines w:val="0"/>
        <w:pageBreakBefore w:val="0"/>
        <w:widowControl w:val="0"/>
        <w:kinsoku/>
        <w:wordWrap/>
        <w:overflowPunct/>
        <w:topLinePunct w:val="0"/>
        <w:autoSpaceDE/>
        <w:autoSpaceDN/>
        <w:bidi w:val="0"/>
        <w:adjustRightInd/>
        <w:snapToGrid/>
        <w:spacing w:before="120" w:beforeAutospacing="0" w:afterAutospacing="0" w:line="360" w:lineRule="auto"/>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铅是最常见的重金属元素污染物之一。产品中铅超标的原因，可能是生产企业使用铅含量超标的原料；也可能是食品生产加工过程中生产场所、加工设备中的铅迁移带入，使得终产品铅含量超标。</w:t>
      </w:r>
    </w:p>
    <w:p w14:paraId="430E4948">
      <w:pPr>
        <w:pStyle w:val="2"/>
        <w:keepNext w:val="0"/>
        <w:keepLines w:val="0"/>
        <w:pageBreakBefore w:val="0"/>
        <w:kinsoku/>
        <w:wordWrap/>
        <w:overflowPunct/>
        <w:topLinePunct w:val="0"/>
        <w:autoSpaceDE/>
        <w:autoSpaceDN/>
        <w:bidi w:val="0"/>
        <w:snapToGrid/>
        <w:spacing w:before="120" w:beforeAutospacing="0" w:after="0" w:afterAutospacing="0" w:line="360" w:lineRule="auto"/>
        <w:ind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二、噻虫胺</w:t>
      </w:r>
    </w:p>
    <w:p w14:paraId="59C19C65">
      <w:pPr>
        <w:pStyle w:val="5"/>
        <w:keepNext w:val="0"/>
        <w:keepLines w:val="0"/>
        <w:pageBreakBefore w:val="0"/>
        <w:widowControl/>
        <w:kinsoku/>
        <w:wordWrap/>
        <w:overflowPunct/>
        <w:topLinePunct w:val="0"/>
        <w:autoSpaceDE/>
        <w:autoSpaceDN/>
        <w:bidi w:val="0"/>
        <w:snapToGrid/>
        <w:spacing w:before="120" w:beforeAutospacing="0" w:after="0" w:afterAutospacing="0" w:line="360" w:lineRule="auto"/>
        <w:ind w:firstLine="640" w:firstLineChars="200"/>
        <w:jc w:val="left"/>
        <w:textAlignment w:val="auto"/>
        <w:rPr>
          <w:rFonts w:hint="eastAsia" w:ascii="仿宋_GB2312" w:hAnsi="仿宋_GB2312" w:eastAsia="仿宋_GB2312" w:cs="仿宋_GB2312"/>
          <w:color w:val="191919"/>
          <w:kern w:val="2"/>
          <w:sz w:val="32"/>
          <w:szCs w:val="32"/>
          <w:highlight w:val="none"/>
          <w:shd w:val="clear" w:color="auto" w:fill="FFFFFF"/>
          <w:lang w:val="en-US" w:eastAsia="zh-CN" w:bidi="ar-SA"/>
        </w:rPr>
      </w:pPr>
      <w:r>
        <w:rPr>
          <w:rFonts w:hint="eastAsia" w:ascii="仿宋_GB2312" w:hAnsi="仿宋_GB2312" w:eastAsia="仿宋_GB2312" w:cs="仿宋_GB2312"/>
          <w:color w:val="191919"/>
          <w:kern w:val="2"/>
          <w:sz w:val="32"/>
          <w:szCs w:val="32"/>
          <w:highlight w:val="none"/>
          <w:shd w:val="clear" w:color="auto" w:fill="FFFFFF"/>
          <w:lang w:val="en-US" w:eastAsia="zh-CN" w:bidi="ar-SA"/>
        </w:rPr>
        <w:t>噻虫胺，是新烟碱类杀虫剂，具有触杀、胃毒作用，具有根内吸活性和层间传导性。用于水稻、玉米、油菜、果树及其他作物上的刺吸式和咀嚼式害虫，如蚜虫、飞虱等。急性中毒可出现恶心、呕吐、头痛、乏力、躁动、抽搐等。食用食品一般不会导致噻虫胺的急性中毒，但长期食用噻虫胺超标的食品，对身体健康也有一定影响。</w:t>
      </w:r>
    </w:p>
    <w:p w14:paraId="38A4007E">
      <w:pPr>
        <w:pStyle w:val="2"/>
        <w:keepNext w:val="0"/>
        <w:keepLines w:val="0"/>
        <w:pageBreakBefore w:val="0"/>
        <w:numPr>
          <w:numId w:val="0"/>
        </w:numPr>
        <w:kinsoku/>
        <w:wordWrap/>
        <w:overflowPunct/>
        <w:topLinePunct w:val="0"/>
        <w:autoSpaceDE/>
        <w:autoSpaceDN/>
        <w:bidi w:val="0"/>
        <w:snapToGrid/>
        <w:spacing w:before="120" w:beforeAutospacing="0" w:after="0" w:afterAutospacing="0" w:line="360" w:lineRule="auto"/>
        <w:ind w:leftChars="200"/>
        <w:jc w:val="left"/>
        <w:textAlignment w:val="auto"/>
        <w:rPr>
          <w:rFonts w:hint="eastAsia"/>
          <w:lang w:val="en-US" w:eastAsia="zh-CN"/>
        </w:rPr>
      </w:pPr>
      <w:r>
        <w:rPr>
          <w:rFonts w:hint="eastAsia" w:ascii="黑体" w:hAnsi="黑体" w:eastAsia="黑体" w:cs="黑体"/>
          <w:sz w:val="32"/>
          <w:szCs w:val="32"/>
          <w:highlight w:val="none"/>
          <w:lang w:val="en-US" w:eastAsia="zh-CN"/>
        </w:rPr>
        <w:t>三、噻虫嗪</w:t>
      </w:r>
    </w:p>
    <w:p w14:paraId="05DDC14B">
      <w:pPr>
        <w:pStyle w:val="2"/>
        <w:keepNext w:val="0"/>
        <w:keepLines w:val="0"/>
        <w:pageBreakBefore w:val="0"/>
        <w:kinsoku/>
        <w:wordWrap/>
        <w:overflowPunct/>
        <w:topLinePunct w:val="0"/>
        <w:autoSpaceDE/>
        <w:autoSpaceDN/>
        <w:bidi w:val="0"/>
        <w:snapToGrid/>
        <w:spacing w:before="120" w:beforeAutospacing="0" w:after="0" w:afterAutospacing="0" w:line="360" w:lineRule="auto"/>
        <w:ind w:firstLine="640" w:firstLineChars="200"/>
        <w:jc w:val="left"/>
        <w:textAlignment w:val="auto"/>
        <w:rPr>
          <w:rFonts w:hint="eastAsia" w:ascii="仿宋_GB2312" w:hAnsi="仿宋_GB2312" w:eastAsia="仿宋_GB2312" w:cs="仿宋_GB2312"/>
          <w:color w:val="191919"/>
          <w:kern w:val="2"/>
          <w:sz w:val="32"/>
          <w:szCs w:val="32"/>
          <w:highlight w:val="none"/>
          <w:u w:val="none"/>
          <w:shd w:val="clear" w:color="auto" w:fill="FFFFFF"/>
          <w:lang w:val="en-US" w:eastAsia="zh-CN" w:bidi="ar-SA"/>
        </w:rPr>
      </w:pPr>
      <w:r>
        <w:rPr>
          <w:rFonts w:hint="eastAsia" w:ascii="仿宋_GB2312" w:hAnsi="仿宋_GB2312" w:eastAsia="仿宋_GB2312" w:cs="仿宋_GB2312"/>
          <w:color w:val="191919"/>
          <w:kern w:val="2"/>
          <w:sz w:val="32"/>
          <w:szCs w:val="32"/>
          <w:highlight w:val="none"/>
          <w:u w:val="none"/>
          <w:shd w:val="clear" w:color="auto" w:fill="FFFFFF"/>
          <w:lang w:val="en-US" w:eastAsia="zh-CN" w:bidi="ar-SA"/>
        </w:rPr>
        <w:t>噻虫嗪是烟碱类杀虫剂，具有胃毒、触杀和内吸作用，对蚜虫等有较好防效。少量的残留不会引起人体急性中毒，但长期食用噻虫嗪超标的食品，对人体健康可能有一定影响。噻虫嗪残留量超标的原因，可能是为快速控制虫害，加大用药量或未遵守采摘间隔期规定，致使上市销售的产品中残留量超标。</w:t>
      </w:r>
    </w:p>
    <w:p w14:paraId="28EDA503">
      <w:pPr>
        <w:rPr>
          <w:rFonts w:hint="eastAsia" w:ascii="仿宋_GB2312" w:hAnsi="仿宋_GB2312" w:eastAsia="仿宋_GB2312" w:cs="仿宋_GB2312"/>
          <w:color w:val="191919"/>
          <w:kern w:val="2"/>
          <w:sz w:val="32"/>
          <w:szCs w:val="32"/>
          <w:highlight w:val="none"/>
          <w:u w:val="none"/>
          <w:shd w:val="clear" w:color="auto" w:fill="FFFFFF"/>
          <w:lang w:val="en-US" w:eastAsia="zh-CN" w:bidi="ar-SA"/>
        </w:rPr>
      </w:pPr>
    </w:p>
    <w:p w14:paraId="514B597E">
      <w:pPr>
        <w:pStyle w:val="2"/>
        <w:numPr>
          <w:ilvl w:val="0"/>
          <w:numId w:val="1"/>
        </w:num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吡唑醚菌酯</w:t>
      </w:r>
    </w:p>
    <w:p w14:paraId="036E5ECC">
      <w:pPr>
        <w:pStyle w:val="2"/>
        <w:numPr>
          <w:numId w:val="0"/>
        </w:numPr>
        <w:ind w:leftChars="200"/>
        <w:rPr>
          <w:rFonts w:hint="eastAsia"/>
          <w:lang w:eastAsia="zh-CN"/>
        </w:rPr>
      </w:pPr>
      <w:r>
        <w:rPr>
          <w:rFonts w:hint="eastAsia"/>
          <w:lang w:eastAsia="zh-CN"/>
        </w:rPr>
        <w:t>吡唑醚菌酯是一种具有保护、治疗和传导作用的杀菌剂，主要用于防治农产品生长过程中的病虫害，它的急性毒性分级为微毒级，食用一般残留超标的食品通常不会导致急性中毒，但长期食用则可能对人体健康造成潜在影响；造成其抽检不合格的原因主要包括种植过程中果农为快速控制病虫害未按规定剂量用药、擅自加大使用量，未遵守农药使用的采摘间隔期规定</w:t>
      </w:r>
      <w:bookmarkStart w:id="0" w:name="_GoBack"/>
      <w:bookmarkEnd w:id="0"/>
      <w:r>
        <w:rPr>
          <w:rFonts w:hint="eastAsia"/>
          <w:lang w:eastAsia="zh-CN"/>
        </w:rPr>
        <w:t>导致农产品用药后未经过足够时间降解就提前采摘上市，以及部分种植者缺乏规范用药意识、对农药残留标准不了解进而导致用药操作不规范。</w:t>
      </w:r>
    </w:p>
    <w:p w14:paraId="2062F675">
      <w:pPr>
        <w:pStyle w:val="5"/>
        <w:keepNext w:val="0"/>
        <w:keepLines w:val="0"/>
        <w:pageBreakBefore w:val="0"/>
        <w:widowControl/>
        <w:kinsoku/>
        <w:wordWrap/>
        <w:overflowPunct/>
        <w:topLinePunct w:val="0"/>
        <w:autoSpaceDE/>
        <w:autoSpaceDN/>
        <w:bidi w:val="0"/>
        <w:snapToGrid/>
        <w:spacing w:before="120" w:beforeAutospacing="0" w:after="0" w:afterAutospacing="0" w:line="360" w:lineRule="auto"/>
        <w:ind w:firstLine="640" w:firstLineChars="200"/>
        <w:jc w:val="left"/>
        <w:textAlignment w:val="auto"/>
        <w:rPr>
          <w:rFonts w:hint="eastAsia" w:ascii="仿宋_GB2312" w:hAnsi="仿宋_GB2312" w:eastAsia="仿宋_GB2312" w:cs="仿宋_GB2312"/>
          <w:color w:val="191919"/>
          <w:kern w:val="2"/>
          <w:sz w:val="32"/>
          <w:szCs w:val="32"/>
          <w:highlight w:val="none"/>
          <w:shd w:val="clear" w:color="auto" w:fill="FFFFFF"/>
          <w:lang w:val="en-US" w:eastAsia="zh-CN" w:bidi="ar-SA"/>
        </w:rPr>
      </w:pPr>
    </w:p>
    <w:p w14:paraId="7AD896A0">
      <w:pPr>
        <w:keepNext w:val="0"/>
        <w:keepLines w:val="0"/>
        <w:pageBreakBefore w:val="0"/>
        <w:kinsoku/>
        <w:wordWrap/>
        <w:overflowPunct/>
        <w:topLinePunct w:val="0"/>
        <w:autoSpaceDE/>
        <w:autoSpaceDN/>
        <w:bidi w:val="0"/>
        <w:adjustRightInd w:val="0"/>
        <w:snapToGrid w:val="0"/>
        <w:textAlignment w:val="auto"/>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D118DE"/>
    <w:multiLevelType w:val="singleLevel"/>
    <w:tmpl w:val="4DD118D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B38EF"/>
    <w:rsid w:val="35265FF6"/>
    <w:rsid w:val="40FB45FD"/>
    <w:rsid w:val="54892B39"/>
    <w:rsid w:val="719E4195"/>
    <w:rsid w:val="73B239BC"/>
    <w:rsid w:val="7A1B61AE"/>
    <w:rsid w:val="7F4D5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qFormat/>
    <w:uiPriority w:val="0"/>
    <w:pPr>
      <w:spacing w:after="120"/>
      <w:ind w:left="420" w:leftChars="200"/>
    </w:p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 w:type="character" w:customStyle="1" w:styleId="8">
    <w:name w:val="font21"/>
    <w:basedOn w:val="7"/>
    <w:qFormat/>
    <w:uiPriority w:val="0"/>
    <w:rPr>
      <w:rFonts w:ascii="Arial" w:hAnsi="Arial" w:cs="Arial"/>
      <w:color w:val="333333"/>
      <w:sz w:val="27"/>
      <w:szCs w:val="27"/>
      <w:u w:val="none"/>
    </w:rPr>
  </w:style>
  <w:style w:type="character" w:customStyle="1" w:styleId="9">
    <w:name w:val="font11"/>
    <w:basedOn w:val="7"/>
    <w:qFormat/>
    <w:uiPriority w:val="0"/>
    <w:rPr>
      <w:rFonts w:hint="eastAsia" w:ascii="宋体" w:hAnsi="宋体" w:eastAsia="宋体" w:cs="宋体"/>
      <w:color w:val="404040"/>
      <w:sz w:val="27"/>
      <w:szCs w:val="27"/>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463</Words>
  <Characters>463</Characters>
  <Lines>0</Lines>
  <Paragraphs>0</Paragraphs>
  <TotalTime>4</TotalTime>
  <ScaleCrop>false</ScaleCrop>
  <LinksUpToDate>false</LinksUpToDate>
  <CharactersWithSpaces>463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2025-06-06T02:44:00Z</dcterms:created>
  <dc:creator>Administrator</dc:creator>
  <cp:lastModifiedBy>日落♬</cp:lastModifiedBy>
  <dcterms:modified xsi:type="dcterms:W3CDTF">2025-09-18T01:28:54Z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eyJoZGlkIjoiMTRjNTNkNzYzZWQxYjQ2M2NiZDkzMDcyMzNjYjI1ZDQiLCJ1c2VySWQiOiIyOTg2MTc0OTIifQ==</vt:lpwstr>
  </property>
  <property fmtid="{D5CDD505-2E9C-101B-9397-08002B2CF9AE}" pid="4" name="ICV">
    <vt:lpwstr>A73AEC993E1047959D6C95FB0C72867D_12</vt:lpwstr>
  </property>
</Properties>
</file>