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1" w:line="166" w:lineRule="auto"/>
        <w:ind w:firstLine="1980" w:firstLineChars="450"/>
        <w:rPr>
          <w:rFonts w:ascii="方正小标宋简体" w:hAnsi="仿宋" w:eastAsia="方正小标宋简体" w:cs="Malgun Gothic"/>
          <w:sz w:val="44"/>
          <w:szCs w:val="44"/>
        </w:rPr>
      </w:pPr>
      <w:r>
        <w:rPr>
          <w:rFonts w:hint="eastAsia" w:ascii="方正小标宋简体" w:hAnsi="仿宋" w:eastAsia="方正小标宋简体" w:cs="Malgun Gothic"/>
          <w:sz w:val="44"/>
          <w:szCs w:val="44"/>
        </w:rPr>
        <w:t>石狮市</w:t>
      </w:r>
      <w:r>
        <w:rPr>
          <w:rFonts w:hint="eastAsia" w:ascii="方正小标宋简体" w:hAnsi="仿宋" w:eastAsia="方正小标宋简体" w:cs="Malgun Gothic"/>
          <w:spacing w:val="-2"/>
          <w:sz w:val="44"/>
          <w:szCs w:val="44"/>
        </w:rPr>
        <w:t>市</w:t>
      </w:r>
      <w:r>
        <w:rPr>
          <w:rFonts w:hint="eastAsia" w:ascii="方正小标宋简体" w:hAnsi="仿宋" w:eastAsia="方正小标宋简体" w:cs="Microsoft JhengHei"/>
          <w:spacing w:val="-2"/>
          <w:sz w:val="44"/>
          <w:szCs w:val="44"/>
        </w:rPr>
        <w:t>场监</w:t>
      </w:r>
      <w:r>
        <w:rPr>
          <w:rFonts w:hint="eastAsia" w:ascii="方正小标宋简体" w:hAnsi="仿宋" w:eastAsia="方正小标宋简体" w:cs="Malgun Gothic"/>
          <w:spacing w:val="-2"/>
          <w:sz w:val="44"/>
          <w:szCs w:val="44"/>
        </w:rPr>
        <w:t>督管理局</w:t>
      </w:r>
    </w:p>
    <w:p>
      <w:pPr>
        <w:spacing w:before="2" w:line="204" w:lineRule="auto"/>
        <w:ind w:firstLine="2637"/>
        <w:rPr>
          <w:rFonts w:ascii="方正小标宋简体" w:hAnsi="仿宋" w:eastAsia="方正小标宋简体" w:cs="Microsoft JhengHei"/>
          <w:sz w:val="44"/>
          <w:szCs w:val="44"/>
        </w:rPr>
      </w:pPr>
      <w:r>
        <w:rPr>
          <w:rFonts w:hint="eastAsia" w:ascii="方正小标宋简体" w:hAnsi="仿宋" w:eastAsia="方正小标宋简体" w:cs="Malgun Gothic"/>
          <w:spacing w:val="-2"/>
          <w:sz w:val="44"/>
          <w:szCs w:val="44"/>
        </w:rPr>
        <w:t>行政</w:t>
      </w:r>
      <w:r>
        <w:rPr>
          <w:rFonts w:hint="eastAsia" w:ascii="方正小标宋简体" w:hAnsi="仿宋" w:eastAsia="方正小标宋简体" w:cs="Microsoft JhengHei"/>
          <w:spacing w:val="-2"/>
          <w:sz w:val="44"/>
          <w:szCs w:val="44"/>
        </w:rPr>
        <w:t>处罚决</w:t>
      </w:r>
      <w:r>
        <w:rPr>
          <w:rFonts w:hint="eastAsia" w:ascii="方正小标宋简体" w:hAnsi="仿宋" w:eastAsia="方正小标宋简体" w:cs="Malgun Gothic"/>
          <w:spacing w:val="-2"/>
          <w:sz w:val="44"/>
          <w:szCs w:val="44"/>
        </w:rPr>
        <w:t>定</w:t>
      </w:r>
      <w:r>
        <w:rPr>
          <w:rFonts w:hint="eastAsia" w:ascii="方正小标宋简体" w:hAnsi="仿宋" w:eastAsia="方正小标宋简体" w:cs="Microsoft JhengHei"/>
          <w:spacing w:val="-2"/>
          <w:sz w:val="44"/>
          <w:szCs w:val="44"/>
        </w:rPr>
        <w:t>书</w:t>
      </w:r>
    </w:p>
    <w:p>
      <w:pPr>
        <w:spacing w:line="520" w:lineRule="exact"/>
        <w:ind w:firstLine="2240" w:firstLineChars="700"/>
        <w:rPr>
          <w:rFonts w:ascii="仿宋" w:hAnsi="仿宋" w:eastAsia="仿宋" w:cs="仿宋"/>
          <w:bCs/>
          <w:sz w:val="32"/>
          <w:szCs w:val="32"/>
        </w:rPr>
      </w:pPr>
      <w:r>
        <w:rPr>
          <w:rFonts w:hint="eastAsia" w:ascii="仿宋" w:hAnsi="仿宋" w:eastAsia="仿宋" w:cs="仿宋"/>
          <w:bCs/>
          <w:sz w:val="32"/>
          <w:szCs w:val="32"/>
        </w:rPr>
        <w:t>狮</w:t>
      </w:r>
      <w:r>
        <w:rPr>
          <w:rFonts w:ascii="仿宋" w:hAnsi="仿宋" w:eastAsia="仿宋" w:cs="仿宋"/>
          <w:bCs/>
          <w:sz w:val="32"/>
          <w:szCs w:val="32"/>
        </w:rPr>
        <w:t>市监处罚〔</w:t>
      </w:r>
      <w:r>
        <w:rPr>
          <w:rFonts w:hint="eastAsia" w:ascii="仿宋" w:hAnsi="仿宋" w:eastAsia="仿宋" w:cs="仿宋"/>
          <w:bCs/>
          <w:sz w:val="32"/>
          <w:szCs w:val="32"/>
        </w:rPr>
        <w:t>2023</w:t>
      </w:r>
      <w:r>
        <w:rPr>
          <w:rFonts w:ascii="仿宋" w:hAnsi="仿宋" w:eastAsia="仿宋" w:cs="仿宋"/>
          <w:bCs/>
          <w:sz w:val="32"/>
          <w:szCs w:val="32"/>
        </w:rPr>
        <w:t>〕</w:t>
      </w:r>
      <w:r>
        <w:rPr>
          <w:rFonts w:hint="eastAsia" w:ascii="仿宋" w:hAnsi="仿宋" w:eastAsia="仿宋" w:cs="仿宋"/>
          <w:bCs/>
          <w:sz w:val="32"/>
          <w:szCs w:val="32"/>
        </w:rPr>
        <w:t>5039</w:t>
      </w:r>
      <w:r>
        <w:rPr>
          <w:rFonts w:ascii="仿宋" w:hAnsi="仿宋" w:eastAsia="仿宋" w:cs="仿宋"/>
          <w:bCs/>
          <w:sz w:val="32"/>
          <w:szCs w:val="32"/>
        </w:rPr>
        <w:t>号</w:t>
      </w:r>
    </w:p>
    <w:p>
      <w:pPr>
        <w:spacing w:line="520" w:lineRule="exact"/>
        <w:ind w:firstLine="2240" w:firstLineChars="700"/>
        <w:rPr>
          <w:rFonts w:ascii="仿宋" w:hAnsi="仿宋" w:eastAsia="仿宋" w:cs="仿宋"/>
          <w:bCs/>
          <w:sz w:val="32"/>
          <w:szCs w:val="32"/>
        </w:rPr>
      </w:pPr>
    </w:p>
    <w:p>
      <w:pPr>
        <w:spacing w:line="520" w:lineRule="exact"/>
        <w:ind w:firstLine="640" w:firstLineChars="200"/>
        <w:rPr>
          <w:rFonts w:ascii="仿宋" w:hAnsi="仿宋" w:eastAsia="仿宋"/>
          <w:sz w:val="32"/>
          <w:szCs w:val="32"/>
        </w:rPr>
      </w:pPr>
      <w:r>
        <w:rPr>
          <w:rFonts w:ascii="仿宋" w:hAnsi="仿宋" w:eastAsia="仿宋"/>
          <w:sz w:val="32"/>
          <w:szCs w:val="32"/>
        </w:rPr>
        <w:t xml:space="preserve">当事人：石狮市贝尔益食品有限公司                                </w:t>
      </w:r>
    </w:p>
    <w:p>
      <w:pPr>
        <w:spacing w:line="480" w:lineRule="exact"/>
        <w:ind w:firstLine="640" w:firstLineChars="200"/>
        <w:rPr>
          <w:rFonts w:hint="eastAsia" w:ascii="仿宋" w:hAnsi="仿宋" w:eastAsia="仿宋" w:cs="仿宋"/>
          <w:bCs/>
          <w:sz w:val="32"/>
          <w:szCs w:val="32"/>
          <w:lang w:val="en-US" w:eastAsia="zh-CN"/>
        </w:rPr>
      </w:pPr>
      <w:r>
        <w:rPr>
          <w:rFonts w:hint="eastAsia" w:ascii="仿宋" w:hAnsi="仿宋" w:eastAsia="仿宋"/>
          <w:sz w:val="32"/>
          <w:szCs w:val="32"/>
          <w:lang w:val="en-US" w:eastAsia="zh-CN"/>
        </w:rPr>
        <w:t>*******************************************************************************************************。</w:t>
      </w:r>
    </w:p>
    <w:p>
      <w:pPr>
        <w:spacing w:line="520" w:lineRule="exact"/>
        <w:ind w:firstLine="640" w:firstLineChars="200"/>
        <w:rPr>
          <w:rFonts w:ascii="仿宋" w:hAnsi="仿宋" w:eastAsia="仿宋" w:cs="仿宋"/>
          <w:bCs/>
          <w:sz w:val="32"/>
          <w:szCs w:val="32"/>
        </w:rPr>
      </w:pPr>
      <w:r>
        <w:rPr>
          <w:rFonts w:ascii="仿宋" w:hAnsi="仿宋" w:eastAsia="仿宋" w:cs="仿宋"/>
          <w:bCs/>
          <w:sz w:val="32"/>
          <w:szCs w:val="32"/>
        </w:rPr>
        <w:t>2023年</w:t>
      </w:r>
      <w:r>
        <w:rPr>
          <w:rFonts w:hint="eastAsia" w:ascii="仿宋" w:hAnsi="仿宋" w:eastAsia="仿宋" w:cs="仿宋"/>
          <w:bCs/>
          <w:sz w:val="32"/>
          <w:szCs w:val="32"/>
        </w:rPr>
        <w:t>10</w:t>
      </w:r>
      <w:r>
        <w:rPr>
          <w:rFonts w:ascii="仿宋" w:hAnsi="仿宋" w:eastAsia="仿宋" w:cs="仿宋"/>
          <w:bCs/>
          <w:sz w:val="32"/>
          <w:szCs w:val="32"/>
        </w:rPr>
        <w:t>月1</w:t>
      </w:r>
      <w:r>
        <w:rPr>
          <w:rFonts w:hint="eastAsia" w:ascii="仿宋" w:hAnsi="仿宋" w:eastAsia="仿宋" w:cs="仿宋"/>
          <w:bCs/>
          <w:sz w:val="32"/>
          <w:szCs w:val="32"/>
        </w:rPr>
        <w:t>8</w:t>
      </w:r>
      <w:r>
        <w:rPr>
          <w:rFonts w:ascii="仿宋" w:hAnsi="仿宋" w:eastAsia="仿宋" w:cs="仿宋"/>
          <w:bCs/>
          <w:sz w:val="32"/>
          <w:szCs w:val="32"/>
        </w:rPr>
        <w:t>日，福建省市场监督管理局委托福州海关技术中心监督抽检</w:t>
      </w:r>
      <w:r>
        <w:rPr>
          <w:rFonts w:hint="eastAsia" w:ascii="仿宋" w:hAnsi="仿宋" w:eastAsia="仿宋" w:cs="仿宋"/>
          <w:bCs/>
          <w:sz w:val="32"/>
          <w:szCs w:val="32"/>
        </w:rPr>
        <w:t>当事人</w:t>
      </w:r>
      <w:r>
        <w:rPr>
          <w:rFonts w:ascii="仿宋" w:hAnsi="仿宋" w:eastAsia="仿宋" w:cs="仿宋"/>
          <w:bCs/>
          <w:sz w:val="32"/>
          <w:szCs w:val="32"/>
        </w:rPr>
        <w:t>生产的批次2023年9月13日的“富贵龙食用植物调和油”</w:t>
      </w:r>
      <w:r>
        <w:rPr>
          <w:rFonts w:hint="eastAsia" w:ascii="仿宋" w:hAnsi="仿宋" w:eastAsia="仿宋" w:cs="仿宋"/>
          <w:bCs/>
          <w:sz w:val="32"/>
          <w:szCs w:val="32"/>
        </w:rPr>
        <w:t>（</w:t>
      </w:r>
      <w:r>
        <w:rPr>
          <w:rFonts w:ascii="仿宋" w:hAnsi="仿宋" w:eastAsia="仿宋" w:cs="仿宋"/>
          <w:bCs/>
          <w:sz w:val="32"/>
          <w:szCs w:val="32"/>
        </w:rPr>
        <w:t xml:space="preserve"> 净含量：2.5升</w:t>
      </w:r>
      <w:r>
        <w:rPr>
          <w:rFonts w:hint="eastAsia" w:ascii="仿宋" w:hAnsi="仿宋" w:eastAsia="仿宋" w:cs="仿宋"/>
          <w:bCs/>
          <w:sz w:val="32"/>
          <w:szCs w:val="32"/>
        </w:rPr>
        <w:t>）</w:t>
      </w:r>
      <w:r>
        <w:rPr>
          <w:rFonts w:ascii="仿宋" w:hAnsi="仿宋" w:eastAsia="仿宋" w:cs="仿宋"/>
          <w:bCs/>
          <w:sz w:val="32"/>
          <w:szCs w:val="32"/>
        </w:rPr>
        <w:t>，经抽样检验，铅（以Pb计）项目不符合 GB 2762-2022《食品安全国家标准 食品中污染物限量》要求，检验结论为不合格。</w:t>
      </w:r>
      <w:r>
        <w:rPr>
          <w:rFonts w:hint="eastAsia" w:ascii="仿宋" w:hAnsi="仿宋" w:eastAsia="仿宋" w:cs="仿宋"/>
          <w:bCs/>
          <w:sz w:val="32"/>
          <w:szCs w:val="32"/>
        </w:rPr>
        <w:t>当事人</w:t>
      </w:r>
      <w:r>
        <w:rPr>
          <w:rFonts w:ascii="仿宋" w:hAnsi="仿宋" w:eastAsia="仿宋" w:cs="仿宋"/>
          <w:bCs/>
          <w:sz w:val="32"/>
          <w:szCs w:val="32"/>
        </w:rPr>
        <w:t>对上述检验结果存在异议，于2023年11月22日申请复检</w:t>
      </w:r>
      <w:r>
        <w:rPr>
          <w:rFonts w:hint="eastAsia" w:ascii="仿宋" w:hAnsi="仿宋" w:eastAsia="仿宋" w:cs="仿宋"/>
          <w:bCs/>
          <w:sz w:val="32"/>
          <w:szCs w:val="32"/>
        </w:rPr>
        <w:t>，</w:t>
      </w:r>
      <w:r>
        <w:rPr>
          <w:rFonts w:ascii="仿宋" w:hAnsi="仿宋" w:eastAsia="仿宋" w:cs="仿宋"/>
          <w:bCs/>
          <w:sz w:val="32"/>
          <w:szCs w:val="32"/>
        </w:rPr>
        <w:t>2023年12月29日</w:t>
      </w:r>
      <w:r>
        <w:rPr>
          <w:rFonts w:hint="eastAsia" w:ascii="仿宋" w:hAnsi="仿宋" w:eastAsia="仿宋" w:cs="仿宋"/>
          <w:bCs/>
          <w:sz w:val="32"/>
          <w:szCs w:val="32"/>
        </w:rPr>
        <w:t>本</w:t>
      </w:r>
      <w:r>
        <w:rPr>
          <w:rFonts w:ascii="仿宋" w:hAnsi="仿宋" w:eastAsia="仿宋" w:cs="仿宋"/>
          <w:bCs/>
          <w:sz w:val="32"/>
          <w:szCs w:val="32"/>
        </w:rPr>
        <w:t>局执法人员</w:t>
      </w:r>
      <w:r>
        <w:rPr>
          <w:rFonts w:hint="eastAsia" w:ascii="仿宋" w:hAnsi="仿宋" w:eastAsia="仿宋" w:cs="仿宋"/>
          <w:bCs/>
          <w:sz w:val="32"/>
          <w:szCs w:val="32"/>
        </w:rPr>
        <w:t>向当事人</w:t>
      </w:r>
      <w:r>
        <w:rPr>
          <w:rFonts w:ascii="仿宋" w:hAnsi="仿宋" w:eastAsia="仿宋" w:cs="仿宋"/>
          <w:bCs/>
          <w:sz w:val="32"/>
          <w:szCs w:val="32"/>
        </w:rPr>
        <w:t>送达复检检验报告《（2023）MJHY-B10784F》，经福建省产品质量检验研究院复检，铅（以Pb计）项目不符合 GB 2762-2022《食品安全国家标准 食品中污染物限量》要求</w:t>
      </w:r>
      <w:r>
        <w:rPr>
          <w:rFonts w:hint="eastAsia" w:ascii="仿宋" w:hAnsi="仿宋" w:eastAsia="仿宋" w:cs="仿宋"/>
          <w:bCs/>
          <w:sz w:val="32"/>
          <w:szCs w:val="32"/>
        </w:rPr>
        <w:t>。经核查，当事人的行为涉嫌违反《中华人民共和国食品安全法》第三十四条第（二）项的规定，生产不符合食品安全国家标准的食用植物调和油，本局于2023年12月29日予以立案调查，并依法</w:t>
      </w:r>
      <w:r>
        <w:rPr>
          <w:rFonts w:ascii="仿宋" w:hAnsi="仿宋" w:eastAsia="仿宋" w:cs="仿宋"/>
          <w:bCs/>
          <w:sz w:val="32"/>
          <w:szCs w:val="32"/>
        </w:rPr>
        <w:t>扣押了</w:t>
      </w:r>
      <w:r>
        <w:rPr>
          <w:rFonts w:hint="eastAsia" w:ascii="仿宋" w:hAnsi="仿宋" w:eastAsia="仿宋" w:cs="仿宋"/>
          <w:bCs/>
          <w:sz w:val="32"/>
          <w:szCs w:val="32"/>
        </w:rPr>
        <w:t>当事人</w:t>
      </w:r>
      <w:r>
        <w:rPr>
          <w:rFonts w:ascii="仿宋" w:hAnsi="仿宋" w:eastAsia="仿宋" w:cs="仿宋"/>
          <w:bCs/>
          <w:sz w:val="32"/>
          <w:szCs w:val="32"/>
        </w:rPr>
        <w:t>存放在成品仓库的涉案批次2023年9月13日的“富贵龙食用植物调和油”48瓶。</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经查明，当事人于2023年9月13日组织生产</w:t>
      </w:r>
      <w:r>
        <w:rPr>
          <w:rFonts w:ascii="仿宋" w:hAnsi="仿宋" w:eastAsia="仿宋" w:cs="仿宋"/>
          <w:bCs/>
          <w:sz w:val="32"/>
          <w:szCs w:val="32"/>
        </w:rPr>
        <w:t>“富贵龙食用植物调和油”</w:t>
      </w:r>
      <w:r>
        <w:rPr>
          <w:rFonts w:hint="eastAsia" w:ascii="仿宋" w:hAnsi="仿宋" w:eastAsia="仿宋" w:cs="仿宋"/>
          <w:bCs/>
          <w:sz w:val="32"/>
          <w:szCs w:val="32"/>
        </w:rPr>
        <w:t>50瓶，标签信息主要有</w:t>
      </w:r>
      <w:r>
        <w:rPr>
          <w:rFonts w:ascii="仿宋" w:hAnsi="仿宋" w:eastAsia="仿宋" w:cs="仿宋"/>
          <w:bCs/>
          <w:sz w:val="32"/>
          <w:szCs w:val="32"/>
        </w:rPr>
        <w:t>“生产日期2023/9/13 品名：富贵龙食用植物调和油 配料：大豆油99%、橄榄油1% 产品标准号：SB/T10292 食品生产许可证号：SC10235058100129 保质期：18个月 分装商：福建省石狮市贝尔益食品有限公司 地址：福建省石狮市蚶江镇港口大道2345号12幢B单元 净含量：2.5升”</w:t>
      </w:r>
      <w:r>
        <w:rPr>
          <w:rFonts w:hint="eastAsia" w:ascii="仿宋" w:hAnsi="仿宋" w:eastAsia="仿宋" w:cs="仿宋"/>
          <w:bCs/>
          <w:sz w:val="32"/>
          <w:szCs w:val="32"/>
        </w:rPr>
        <w:t>，成本价为</w:t>
      </w:r>
      <w:r>
        <w:rPr>
          <w:rFonts w:ascii="仿宋" w:hAnsi="仿宋" w:eastAsia="仿宋" w:cs="仿宋"/>
          <w:bCs/>
          <w:sz w:val="32"/>
          <w:szCs w:val="32"/>
        </w:rPr>
        <w:t>21元/瓶</w:t>
      </w:r>
      <w:r>
        <w:rPr>
          <w:rFonts w:hint="eastAsia" w:ascii="仿宋" w:hAnsi="仿宋" w:eastAsia="仿宋" w:cs="仿宋"/>
          <w:bCs/>
          <w:sz w:val="32"/>
          <w:szCs w:val="32"/>
        </w:rPr>
        <w:t>。当事人于2023年9月18日</w:t>
      </w:r>
      <w:r>
        <w:rPr>
          <w:rFonts w:ascii="仿宋" w:hAnsi="仿宋" w:eastAsia="仿宋" w:cs="仿宋"/>
          <w:bCs/>
          <w:sz w:val="32"/>
          <w:szCs w:val="32"/>
        </w:rPr>
        <w:t>销售给晋江市陈埭镇兴协食品商行4瓶“富贵龙食用植物调和油”，售价28元/瓶。</w:t>
      </w:r>
      <w:r>
        <w:rPr>
          <w:rFonts w:hint="eastAsia" w:ascii="仿宋" w:hAnsi="仿宋" w:eastAsia="仿宋" w:cs="仿宋"/>
          <w:bCs/>
          <w:sz w:val="32"/>
          <w:szCs w:val="32"/>
        </w:rPr>
        <w:t>上述批次</w:t>
      </w:r>
      <w:r>
        <w:rPr>
          <w:rFonts w:ascii="仿宋" w:hAnsi="仿宋" w:eastAsia="仿宋" w:cs="仿宋"/>
          <w:bCs/>
          <w:sz w:val="32"/>
          <w:szCs w:val="32"/>
        </w:rPr>
        <w:t>“富贵龙食用植物调和油”</w:t>
      </w:r>
      <w:r>
        <w:rPr>
          <w:rFonts w:hint="eastAsia" w:ascii="仿宋" w:hAnsi="仿宋" w:eastAsia="仿宋" w:cs="仿宋"/>
          <w:bCs/>
          <w:sz w:val="32"/>
          <w:szCs w:val="32"/>
        </w:rPr>
        <w:t>经</w:t>
      </w:r>
      <w:r>
        <w:rPr>
          <w:rFonts w:ascii="仿宋" w:hAnsi="仿宋" w:eastAsia="仿宋" w:cs="仿宋"/>
          <w:bCs/>
          <w:sz w:val="32"/>
          <w:szCs w:val="32"/>
        </w:rPr>
        <w:t>福州海关技术中心</w:t>
      </w:r>
      <w:r>
        <w:rPr>
          <w:rFonts w:hint="eastAsia" w:ascii="仿宋" w:hAnsi="仿宋" w:eastAsia="仿宋" w:cs="仿宋"/>
          <w:bCs/>
          <w:sz w:val="32"/>
          <w:szCs w:val="32"/>
        </w:rPr>
        <w:t>初次抽样检验、</w:t>
      </w:r>
      <w:r>
        <w:rPr>
          <w:rFonts w:ascii="仿宋" w:hAnsi="仿宋" w:eastAsia="仿宋" w:cs="仿宋"/>
          <w:bCs/>
          <w:sz w:val="32"/>
          <w:szCs w:val="32"/>
        </w:rPr>
        <w:t>福建省产品质量检验研究院复检</w:t>
      </w:r>
      <w:r>
        <w:rPr>
          <w:rFonts w:hint="eastAsia" w:ascii="仿宋" w:hAnsi="仿宋" w:eastAsia="仿宋" w:cs="仿宋"/>
          <w:bCs/>
          <w:sz w:val="32"/>
          <w:szCs w:val="32"/>
        </w:rPr>
        <w:t>，</w:t>
      </w:r>
      <w:r>
        <w:rPr>
          <w:rFonts w:ascii="仿宋" w:hAnsi="仿宋" w:eastAsia="仿宋" w:cs="仿宋"/>
          <w:bCs/>
          <w:sz w:val="32"/>
          <w:szCs w:val="32"/>
        </w:rPr>
        <w:t>铅（以Pb计）项目</w:t>
      </w:r>
      <w:r>
        <w:rPr>
          <w:rFonts w:hint="eastAsia" w:ascii="仿宋" w:hAnsi="仿宋" w:eastAsia="仿宋" w:cs="仿宋"/>
          <w:bCs/>
          <w:sz w:val="32"/>
          <w:szCs w:val="32"/>
        </w:rPr>
        <w:t>分别为0.164mg/kg、0.122mg/kg，均</w:t>
      </w:r>
      <w:r>
        <w:rPr>
          <w:rFonts w:ascii="仿宋" w:hAnsi="仿宋" w:eastAsia="仿宋" w:cs="仿宋"/>
          <w:bCs/>
          <w:sz w:val="32"/>
          <w:szCs w:val="32"/>
        </w:rPr>
        <w:t>不符合 GB 2762-2022《食品安全国家标准 食品中污染物限量》</w:t>
      </w:r>
      <w:r>
        <w:rPr>
          <w:rFonts w:hint="eastAsia" w:ascii="仿宋" w:hAnsi="仿宋" w:eastAsia="仿宋" w:cs="仿宋"/>
          <w:bCs/>
          <w:sz w:val="32"/>
          <w:szCs w:val="32"/>
        </w:rPr>
        <w:t>≤0.08 mg/kg的标准</w:t>
      </w:r>
      <w:r>
        <w:rPr>
          <w:rFonts w:ascii="仿宋" w:hAnsi="仿宋" w:eastAsia="仿宋" w:cs="仿宋"/>
          <w:bCs/>
          <w:sz w:val="32"/>
          <w:szCs w:val="32"/>
        </w:rPr>
        <w:t>要求，检验结论</w:t>
      </w:r>
      <w:r>
        <w:rPr>
          <w:rFonts w:hint="eastAsia" w:ascii="仿宋" w:hAnsi="仿宋" w:eastAsia="仿宋" w:cs="仿宋"/>
          <w:bCs/>
          <w:sz w:val="32"/>
          <w:szCs w:val="32"/>
        </w:rPr>
        <w:t>均</w:t>
      </w:r>
      <w:r>
        <w:rPr>
          <w:rFonts w:ascii="仿宋" w:hAnsi="仿宋" w:eastAsia="仿宋" w:cs="仿宋"/>
          <w:bCs/>
          <w:sz w:val="32"/>
          <w:szCs w:val="32"/>
        </w:rPr>
        <w:t>为不合格。</w:t>
      </w:r>
      <w:r>
        <w:rPr>
          <w:rFonts w:hint="eastAsia" w:ascii="仿宋" w:hAnsi="仿宋" w:eastAsia="仿宋" w:cs="仿宋"/>
          <w:bCs/>
          <w:sz w:val="32"/>
          <w:szCs w:val="32"/>
        </w:rPr>
        <w:t>当事人向本局提供了</w:t>
      </w:r>
      <w:r>
        <w:rPr>
          <w:rFonts w:ascii="仿宋" w:hAnsi="仿宋" w:eastAsia="仿宋" w:cs="仿宋"/>
          <w:bCs/>
          <w:sz w:val="32"/>
          <w:szCs w:val="32"/>
        </w:rPr>
        <w:t>配料记录表、虫害检查记录、温湿度监视记录、卫生检查表、定量灌装监视记录、机器设备维修清洗保养卡、场所清洁消毒记录表、生产过程卫生检查表、包材消毒监控记录表、成品出入库台账</w:t>
      </w:r>
      <w:r>
        <w:rPr>
          <w:rFonts w:hint="eastAsia" w:ascii="仿宋" w:hAnsi="仿宋" w:eastAsia="仿宋" w:cs="仿宋"/>
          <w:bCs/>
          <w:sz w:val="32"/>
          <w:szCs w:val="32"/>
        </w:rPr>
        <w:t>和</w:t>
      </w:r>
      <w:r>
        <w:rPr>
          <w:rFonts w:ascii="仿宋" w:hAnsi="仿宋" w:eastAsia="仿宋" w:cs="仿宋"/>
          <w:bCs/>
          <w:sz w:val="32"/>
          <w:szCs w:val="32"/>
        </w:rPr>
        <w:t>出厂检验</w:t>
      </w:r>
      <w:r>
        <w:rPr>
          <w:rFonts w:hint="eastAsia" w:ascii="仿宋" w:hAnsi="仿宋" w:eastAsia="仿宋" w:cs="仿宋"/>
          <w:bCs/>
          <w:sz w:val="32"/>
          <w:szCs w:val="32"/>
        </w:rPr>
        <w:t>合格报告。至案发之日止，上述批次</w:t>
      </w:r>
      <w:r>
        <w:rPr>
          <w:rFonts w:ascii="仿宋" w:hAnsi="仿宋" w:eastAsia="仿宋" w:cs="仿宋"/>
          <w:bCs/>
          <w:sz w:val="32"/>
          <w:szCs w:val="32"/>
        </w:rPr>
        <w:t>“富贵龙食用植物调和油”</w:t>
      </w:r>
      <w:r>
        <w:rPr>
          <w:rFonts w:hint="eastAsia" w:ascii="仿宋" w:hAnsi="仿宋" w:eastAsia="仿宋" w:cs="仿宋"/>
          <w:bCs/>
          <w:sz w:val="32"/>
          <w:szCs w:val="32"/>
        </w:rPr>
        <w:t>售出4瓶，2瓶用于抽检，另2瓶已退回当事人处，尚未售出及退回的涉案</w:t>
      </w:r>
      <w:r>
        <w:rPr>
          <w:rFonts w:ascii="仿宋" w:hAnsi="仿宋" w:eastAsia="仿宋" w:cs="仿宋"/>
          <w:bCs/>
          <w:sz w:val="32"/>
          <w:szCs w:val="32"/>
        </w:rPr>
        <w:t>“富贵龙食用植物调和油”</w:t>
      </w:r>
      <w:r>
        <w:rPr>
          <w:rFonts w:hint="eastAsia" w:ascii="仿宋" w:hAnsi="仿宋" w:eastAsia="仿宋" w:cs="仿宋"/>
          <w:bCs/>
          <w:sz w:val="32"/>
          <w:szCs w:val="32"/>
        </w:rPr>
        <w:t>共计48瓶已全部被本局扣押。当事人生产上述</w:t>
      </w:r>
      <w:r>
        <w:rPr>
          <w:rFonts w:ascii="仿宋" w:hAnsi="仿宋" w:eastAsia="仿宋" w:cs="仿宋"/>
          <w:bCs/>
          <w:sz w:val="32"/>
          <w:szCs w:val="32"/>
        </w:rPr>
        <w:t>“富贵龙食用植物调和油”</w:t>
      </w:r>
      <w:r>
        <w:rPr>
          <w:rFonts w:hint="eastAsia" w:ascii="仿宋" w:hAnsi="仿宋" w:eastAsia="仿宋" w:cs="仿宋"/>
          <w:bCs/>
          <w:sz w:val="32"/>
          <w:szCs w:val="32"/>
        </w:rPr>
        <w:t>的货值金额为1400元，违法所得为56元。</w:t>
      </w:r>
    </w:p>
    <w:p>
      <w:pPr>
        <w:spacing w:line="520" w:lineRule="exact"/>
        <w:ind w:firstLine="640" w:firstLineChars="200"/>
        <w:rPr>
          <w:rFonts w:ascii="仿宋" w:hAnsi="仿宋" w:eastAsia="仿宋" w:cs="仿宋"/>
          <w:bCs/>
          <w:sz w:val="32"/>
          <w:szCs w:val="32"/>
        </w:rPr>
      </w:pPr>
      <w:r>
        <w:rPr>
          <w:rFonts w:ascii="仿宋" w:hAnsi="仿宋" w:eastAsia="仿宋" w:cs="仿宋"/>
          <w:bCs/>
          <w:sz w:val="32"/>
          <w:szCs w:val="32"/>
        </w:rPr>
        <w:t>上述事实，主要有以下证据证明：</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1.现场检查笔录和现场检查照片，证明：执法人员的现场检查情况；</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2.当事人的营业执照及食品生产许可证复印件、法定代表人身份证复印件、授权委托书及被委托人身份证复印件，证明：当事人的基本情况和授权委托的相关事宜；</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3.对当事人的询问笔录，证明：当事人生产不符合食品安全国家标准的</w:t>
      </w:r>
      <w:r>
        <w:rPr>
          <w:rFonts w:ascii="仿宋" w:hAnsi="仿宋" w:eastAsia="仿宋" w:cs="仿宋"/>
          <w:bCs/>
          <w:sz w:val="32"/>
          <w:szCs w:val="32"/>
        </w:rPr>
        <w:t>“富贵龙食用植物调和油”</w:t>
      </w:r>
      <w:r>
        <w:rPr>
          <w:rFonts w:hint="eastAsia" w:ascii="仿宋" w:hAnsi="仿宋" w:eastAsia="仿宋" w:cs="仿宋"/>
          <w:bCs/>
          <w:sz w:val="32"/>
          <w:szCs w:val="32"/>
        </w:rPr>
        <w:t>的事实经过；</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4. </w:t>
      </w:r>
      <w:r>
        <w:rPr>
          <w:rFonts w:ascii="仿宋" w:hAnsi="仿宋" w:eastAsia="仿宋" w:cs="仿宋"/>
          <w:bCs/>
          <w:sz w:val="32"/>
          <w:szCs w:val="32"/>
        </w:rPr>
        <w:t>福州海关技术中心</w:t>
      </w:r>
      <w:r>
        <w:rPr>
          <w:rFonts w:hint="eastAsia" w:ascii="仿宋" w:hAnsi="仿宋" w:eastAsia="仿宋" w:cs="仿宋"/>
          <w:bCs/>
          <w:sz w:val="32"/>
          <w:szCs w:val="32"/>
        </w:rPr>
        <w:t>的检验报告[报告编号：</w:t>
      </w:r>
      <w:r>
        <w:rPr>
          <w:rFonts w:ascii="仿宋" w:hAnsi="仿宋" w:eastAsia="仿宋" w:cs="仿宋"/>
          <w:bCs/>
          <w:sz w:val="32"/>
          <w:szCs w:val="32"/>
        </w:rPr>
        <w:t>No:301032300909</w:t>
      </w:r>
      <w:r>
        <w:rPr>
          <w:rFonts w:hint="eastAsia" w:ascii="仿宋" w:hAnsi="仿宋" w:eastAsia="仿宋" w:cs="仿宋"/>
          <w:bCs/>
          <w:sz w:val="32"/>
          <w:szCs w:val="32"/>
        </w:rPr>
        <w:t>]和</w:t>
      </w:r>
      <w:r>
        <w:rPr>
          <w:rFonts w:ascii="仿宋" w:hAnsi="仿宋" w:eastAsia="仿宋" w:cs="仿宋"/>
          <w:bCs/>
          <w:sz w:val="32"/>
          <w:szCs w:val="32"/>
        </w:rPr>
        <w:t>福建省产品质量检验研究院</w:t>
      </w:r>
      <w:r>
        <w:rPr>
          <w:rFonts w:hint="eastAsia" w:ascii="仿宋" w:hAnsi="仿宋" w:eastAsia="仿宋" w:cs="仿宋"/>
          <w:bCs/>
          <w:sz w:val="32"/>
          <w:szCs w:val="32"/>
        </w:rPr>
        <w:t>的检验报告[报告编号：</w:t>
      </w:r>
      <w:r>
        <w:rPr>
          <w:rFonts w:ascii="仿宋" w:hAnsi="仿宋" w:eastAsia="仿宋" w:cs="仿宋"/>
          <w:bCs/>
          <w:sz w:val="32"/>
          <w:szCs w:val="32"/>
        </w:rPr>
        <w:t>（2023）MJHY-B10784F</w:t>
      </w:r>
      <w:r>
        <w:rPr>
          <w:rFonts w:hint="eastAsia" w:ascii="仿宋" w:hAnsi="仿宋" w:eastAsia="仿宋" w:cs="仿宋"/>
          <w:bCs/>
          <w:sz w:val="32"/>
          <w:szCs w:val="32"/>
        </w:rPr>
        <w:t>]，证明：当事人生产不符合食品安全国家标准的</w:t>
      </w:r>
      <w:r>
        <w:rPr>
          <w:rFonts w:ascii="仿宋" w:hAnsi="仿宋" w:eastAsia="仿宋" w:cs="仿宋"/>
          <w:bCs/>
          <w:sz w:val="32"/>
          <w:szCs w:val="32"/>
        </w:rPr>
        <w:t>“富贵龙食用植物调和油”</w:t>
      </w:r>
      <w:r>
        <w:rPr>
          <w:rFonts w:hint="eastAsia" w:ascii="仿宋" w:hAnsi="仿宋" w:eastAsia="仿宋" w:cs="仿宋"/>
          <w:bCs/>
          <w:sz w:val="32"/>
          <w:szCs w:val="32"/>
        </w:rPr>
        <w:t>的事实；</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5.当事人提供的</w:t>
      </w:r>
      <w:r>
        <w:rPr>
          <w:rFonts w:ascii="仿宋" w:hAnsi="仿宋" w:eastAsia="仿宋" w:cs="仿宋"/>
          <w:bCs/>
          <w:sz w:val="32"/>
          <w:szCs w:val="32"/>
        </w:rPr>
        <w:t>配料记录表、虫害检查记录、温湿度监视记录、卫生检查表、定量灌装监视记录、机器设备维修清洗保养卡、场所清洁消毒记录表、生产过程卫生检查表、包材消毒监控记录表、成品出入库台账</w:t>
      </w:r>
      <w:r>
        <w:rPr>
          <w:rFonts w:hint="eastAsia" w:ascii="仿宋" w:hAnsi="仿宋" w:eastAsia="仿宋" w:cs="仿宋"/>
          <w:bCs/>
          <w:sz w:val="32"/>
          <w:szCs w:val="32"/>
        </w:rPr>
        <w:t>和</w:t>
      </w:r>
      <w:r>
        <w:rPr>
          <w:rFonts w:ascii="仿宋" w:hAnsi="仿宋" w:eastAsia="仿宋" w:cs="仿宋"/>
          <w:bCs/>
          <w:sz w:val="32"/>
          <w:szCs w:val="32"/>
        </w:rPr>
        <w:t>出厂检验</w:t>
      </w:r>
      <w:r>
        <w:rPr>
          <w:rFonts w:hint="eastAsia" w:ascii="仿宋" w:hAnsi="仿宋" w:eastAsia="仿宋" w:cs="仿宋"/>
          <w:bCs/>
          <w:sz w:val="32"/>
          <w:szCs w:val="32"/>
        </w:rPr>
        <w:t>合格报告，证明：当事人生产不符合食品安全国家标准的“</w:t>
      </w:r>
      <w:r>
        <w:rPr>
          <w:rFonts w:ascii="仿宋" w:hAnsi="仿宋" w:eastAsia="仿宋" w:cs="仿宋"/>
          <w:bCs/>
          <w:sz w:val="32"/>
          <w:szCs w:val="32"/>
        </w:rPr>
        <w:t>富贵龙食用植物调和油</w:t>
      </w:r>
      <w:r>
        <w:rPr>
          <w:rFonts w:hint="eastAsia" w:ascii="仿宋" w:hAnsi="仿宋" w:eastAsia="仿宋" w:cs="仿宋"/>
          <w:bCs/>
          <w:sz w:val="32"/>
          <w:szCs w:val="32"/>
        </w:rPr>
        <w:t>”的过程；</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6.中纺检测（福建）有限公司出具的5份检验报告[报告编号：ZFJC2024S0118014 ZFJC2024S0118015 ZFJC2023S1024027 ZFJC2023S1117022 ZFJC2024S0118016]，证明：当事人生产批次为</w:t>
      </w:r>
      <w:r>
        <w:rPr>
          <w:rFonts w:ascii="仿宋" w:hAnsi="仿宋" w:eastAsia="仿宋" w:cs="仿宋"/>
          <w:bCs/>
          <w:sz w:val="32"/>
          <w:szCs w:val="32"/>
        </w:rPr>
        <w:t>20230809</w:t>
      </w:r>
      <w:r>
        <w:rPr>
          <w:rFonts w:hint="eastAsia" w:ascii="仿宋" w:hAnsi="仿宋" w:eastAsia="仿宋" w:cs="仿宋"/>
          <w:bCs/>
          <w:sz w:val="32"/>
          <w:szCs w:val="32"/>
        </w:rPr>
        <w:t>、</w:t>
      </w:r>
      <w:r>
        <w:rPr>
          <w:rFonts w:ascii="仿宋" w:hAnsi="仿宋" w:eastAsia="仿宋" w:cs="仿宋"/>
          <w:bCs/>
          <w:sz w:val="32"/>
          <w:szCs w:val="32"/>
        </w:rPr>
        <w:t>20230929</w:t>
      </w:r>
      <w:r>
        <w:rPr>
          <w:rFonts w:hint="eastAsia" w:ascii="仿宋" w:hAnsi="仿宋" w:eastAsia="仿宋" w:cs="仿宋"/>
          <w:bCs/>
          <w:sz w:val="32"/>
          <w:szCs w:val="32"/>
        </w:rPr>
        <w:t>、20231010、20231025、</w:t>
      </w:r>
      <w:r>
        <w:rPr>
          <w:rFonts w:ascii="仿宋" w:hAnsi="仿宋" w:eastAsia="仿宋" w:cs="仿宋"/>
          <w:bCs/>
          <w:sz w:val="32"/>
          <w:szCs w:val="32"/>
        </w:rPr>
        <w:t>20231216</w:t>
      </w:r>
      <w:r>
        <w:rPr>
          <w:rFonts w:hint="eastAsia" w:ascii="仿宋" w:hAnsi="仿宋" w:eastAsia="仿宋" w:cs="仿宋"/>
          <w:bCs/>
          <w:sz w:val="32"/>
          <w:szCs w:val="32"/>
        </w:rPr>
        <w:t>的食用植物调和油检验合格的事实；</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7、当事人提供的送货单、产品销售台账及收款收据，证明：当事人销售和召回涉案</w:t>
      </w:r>
      <w:r>
        <w:rPr>
          <w:rFonts w:ascii="仿宋" w:hAnsi="仿宋" w:eastAsia="仿宋" w:cs="仿宋"/>
          <w:bCs/>
          <w:sz w:val="32"/>
          <w:szCs w:val="32"/>
        </w:rPr>
        <w:t>“富贵龙食用植物调和油”</w:t>
      </w:r>
      <w:r>
        <w:rPr>
          <w:rFonts w:hint="eastAsia" w:ascii="仿宋" w:hAnsi="仿宋" w:eastAsia="仿宋" w:cs="仿宋"/>
          <w:bCs/>
          <w:sz w:val="32"/>
          <w:szCs w:val="32"/>
        </w:rPr>
        <w:t>的事实；</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8、当事人提供的</w:t>
      </w:r>
      <w:r>
        <w:rPr>
          <w:rFonts w:ascii="仿宋" w:hAnsi="仿宋" w:eastAsia="仿宋" w:cs="仿宋"/>
          <w:bCs/>
          <w:sz w:val="32"/>
          <w:szCs w:val="32"/>
        </w:rPr>
        <w:t>福州集佳油脂有限公司</w:t>
      </w:r>
      <w:r>
        <w:rPr>
          <w:rFonts w:hint="eastAsia" w:ascii="仿宋" w:hAnsi="仿宋" w:eastAsia="仿宋" w:cs="仿宋"/>
          <w:bCs/>
          <w:sz w:val="32"/>
          <w:szCs w:val="32"/>
        </w:rPr>
        <w:t>营业执照复印件、食品生产许可证复印件、货物出仓单复印件、大豆油检验报告单复印件、采购物资检验/验证结果通知单复印件，证明：当事人生产涉案</w:t>
      </w:r>
      <w:r>
        <w:rPr>
          <w:rFonts w:ascii="仿宋" w:hAnsi="仿宋" w:eastAsia="仿宋" w:cs="仿宋"/>
          <w:bCs/>
          <w:sz w:val="32"/>
          <w:szCs w:val="32"/>
        </w:rPr>
        <w:t>“富贵龙食用植物调和油”</w:t>
      </w:r>
      <w:r>
        <w:rPr>
          <w:rFonts w:hint="eastAsia" w:ascii="仿宋" w:hAnsi="仿宋" w:eastAsia="仿宋" w:cs="仿宋"/>
          <w:bCs/>
          <w:sz w:val="32"/>
          <w:szCs w:val="32"/>
        </w:rPr>
        <w:t>使用的原料大豆油，采购时履行进货查验义务；</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9、当事人提供的福建省嘉记食品有限公司营业执照复印件、食品经营许可证复印件、入境货物检验检疫证明、采购发票复印件、产品购销合同复印件、采购物资检验/验证结果通知单复印件，证明：当事人生产涉案</w:t>
      </w:r>
      <w:r>
        <w:rPr>
          <w:rFonts w:ascii="仿宋" w:hAnsi="仿宋" w:eastAsia="仿宋" w:cs="仿宋"/>
          <w:bCs/>
          <w:sz w:val="32"/>
          <w:szCs w:val="32"/>
        </w:rPr>
        <w:t>“富贵龙食用植物调和油”</w:t>
      </w:r>
      <w:r>
        <w:rPr>
          <w:rFonts w:hint="eastAsia" w:ascii="仿宋" w:hAnsi="仿宋" w:eastAsia="仿宋" w:cs="仿宋"/>
          <w:bCs/>
          <w:sz w:val="32"/>
          <w:szCs w:val="32"/>
        </w:rPr>
        <w:t xml:space="preserve">使用的原料橄榄油，采购时履行进货查验义务。  </w:t>
      </w:r>
      <w:r>
        <w:rPr>
          <w:rFonts w:ascii="仿宋" w:hAnsi="仿宋" w:eastAsia="仿宋" w:cs="仿宋"/>
          <w:bCs/>
          <w:sz w:val="32"/>
          <w:szCs w:val="32"/>
        </w:rPr>
        <w:t xml:space="preserve">                </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2024年3月1日，本局向当事人送达了《行政处罚告知书》(狮市监罚告</w:t>
      </w:r>
      <w:r>
        <w:rPr>
          <w:rFonts w:ascii="仿宋" w:hAnsi="仿宋" w:eastAsia="仿宋" w:cs="仿宋"/>
          <w:bCs/>
          <w:sz w:val="32"/>
          <w:szCs w:val="32"/>
        </w:rPr>
        <w:t>〔</w:t>
      </w:r>
      <w:r>
        <w:rPr>
          <w:rFonts w:hint="eastAsia" w:ascii="仿宋" w:hAnsi="仿宋" w:eastAsia="仿宋" w:cs="仿宋"/>
          <w:bCs/>
          <w:sz w:val="32"/>
          <w:szCs w:val="32"/>
        </w:rPr>
        <w:t>2023</w:t>
      </w:r>
      <w:r>
        <w:rPr>
          <w:rFonts w:ascii="仿宋" w:hAnsi="仿宋" w:eastAsia="仿宋" w:cs="仿宋"/>
          <w:bCs/>
          <w:sz w:val="32"/>
          <w:szCs w:val="32"/>
        </w:rPr>
        <w:t>〕</w:t>
      </w:r>
      <w:r>
        <w:rPr>
          <w:rFonts w:hint="eastAsia" w:ascii="仿宋" w:hAnsi="仿宋" w:eastAsia="仿宋" w:cs="仿宋"/>
          <w:bCs/>
          <w:sz w:val="32"/>
          <w:szCs w:val="32"/>
        </w:rPr>
        <w:t>5039号)，告知当事人拟对其作出行政处罚的事实、理由、依据、处罚内容以及依法享有的陈述、申辩权，当事人在法定期限内未提出陈述和申辩意见。</w:t>
      </w:r>
    </w:p>
    <w:p>
      <w:pPr>
        <w:spacing w:line="520" w:lineRule="exact"/>
        <w:ind w:firstLine="640" w:firstLineChars="200"/>
        <w:rPr>
          <w:rFonts w:ascii="仿宋" w:hAnsi="仿宋" w:eastAsia="仿宋" w:cs="仿宋"/>
          <w:bCs/>
          <w:sz w:val="32"/>
          <w:szCs w:val="32"/>
        </w:rPr>
      </w:pPr>
      <w:r>
        <w:rPr>
          <w:rFonts w:ascii="仿宋" w:hAnsi="仿宋" w:eastAsia="仿宋" w:cs="仿宋"/>
          <w:bCs/>
          <w:sz w:val="32"/>
          <w:szCs w:val="32"/>
        </w:rPr>
        <w:t>本局认为，</w:t>
      </w:r>
      <w:r>
        <w:rPr>
          <w:rFonts w:hint="eastAsia" w:ascii="仿宋" w:hAnsi="仿宋" w:eastAsia="仿宋" w:cs="仿宋"/>
          <w:bCs/>
          <w:sz w:val="32"/>
          <w:szCs w:val="32"/>
        </w:rPr>
        <w:t>当事人生产不符合食品安全国家标准的食用植物调和油的行为，违反《中华人民共和国食品安全法》第三十四条第（二）项“禁止生产经营下列食品、食品添加剂、食品相关产品：……（二）</w:t>
      </w:r>
      <w:r>
        <w:rPr>
          <w:rFonts w:ascii="仿宋" w:hAnsi="仿宋" w:eastAsia="仿宋" w:cs="仿宋"/>
          <w:bCs/>
          <w:sz w:val="32"/>
          <w:szCs w:val="32"/>
        </w:rPr>
        <w:t>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bCs/>
          <w:sz w:val="32"/>
          <w:szCs w:val="32"/>
        </w:rPr>
        <w:t>”的规定。</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鉴于当事人案发后积极配合本局调查，如实陈述违法事实并主动提供证据材料，符合《福建省市场监督管理行政处罚裁量权适用规则》第十一条第（二）项之规定，可予以从轻行政处罚。参照《福建省市场监督管理系统适用&lt;食品安全法&gt;行政处罚裁量基准》SP-3从轻情形的规定，应以“货值金额不足1万元的，处5万元以上6.5万元以下罚款；”的处罚幅度对当事人进行处罚。</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w:t>
      </w:r>
      <w:r>
        <w:rPr>
          <w:rFonts w:ascii="仿宋" w:hAnsi="仿宋" w:eastAsia="仿宋" w:cs="仿宋"/>
          <w:bCs/>
          <w:sz w:val="32"/>
          <w:szCs w:val="32"/>
        </w:rPr>
        <w:t>致病性微生物，农药残留、兽药残留、生物毒素、重金属等污染物质以及其他危害人体健康的物质含量超过食品安全标准限量的食品、食品添加剂</w:t>
      </w:r>
      <w:r>
        <w:rPr>
          <w:rFonts w:hint="eastAsia" w:ascii="仿宋" w:hAnsi="仿宋" w:eastAsia="仿宋" w:cs="仿宋"/>
          <w:bCs/>
          <w:sz w:val="32"/>
          <w:szCs w:val="32"/>
        </w:rPr>
        <w:t>”的规定，本局决定对当事人作如下处罚：</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对当事人生产不符合国家食品安全标准的食用植物调和油的违法行为，没收在扣的</w:t>
      </w:r>
      <w:r>
        <w:rPr>
          <w:rFonts w:ascii="仿宋" w:hAnsi="仿宋" w:eastAsia="仿宋" w:cs="仿宋"/>
          <w:bCs/>
          <w:sz w:val="32"/>
          <w:szCs w:val="32"/>
        </w:rPr>
        <w:t>48瓶“富贵龙食用植物调和油”</w:t>
      </w:r>
      <w:r>
        <w:rPr>
          <w:rFonts w:hint="eastAsia" w:ascii="仿宋" w:hAnsi="仿宋" w:eastAsia="仿宋" w:cs="仿宋"/>
          <w:bCs/>
          <w:sz w:val="32"/>
          <w:szCs w:val="32"/>
        </w:rPr>
        <w:t>，没收违法所得人民币56元，并处罚款人民币50000元。</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上述罚没款合计人民币伍万零伍拾陆圆整（￥50056元），当事人应当自收到本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如不服本处罚决定，可在接到本处罚决定书之日起六十日内向石狮市人民政府申请行政复议，也可以在六个月内依法向泉州市洛江区人民法院提起行政诉讼。当事人对行政处罚决定不服申请行政复议或者提起行政诉讼的，复议或诉讼期间行政处罚不停止执行。</w:t>
      </w:r>
    </w:p>
    <w:p>
      <w:pPr>
        <w:spacing w:line="520" w:lineRule="exact"/>
        <w:ind w:firstLine="640" w:firstLineChars="200"/>
        <w:jc w:val="right"/>
        <w:rPr>
          <w:rFonts w:ascii="仿宋" w:hAnsi="仿宋" w:eastAsia="仿宋" w:cs="仿宋"/>
          <w:bCs/>
          <w:sz w:val="32"/>
          <w:szCs w:val="32"/>
        </w:rPr>
      </w:pPr>
    </w:p>
    <w:p>
      <w:pPr>
        <w:spacing w:line="520" w:lineRule="exact"/>
        <w:ind w:firstLine="640" w:firstLineChars="200"/>
        <w:jc w:val="right"/>
        <w:rPr>
          <w:rFonts w:ascii="仿宋" w:hAnsi="仿宋" w:eastAsia="仿宋" w:cs="仿宋"/>
          <w:bCs/>
          <w:sz w:val="32"/>
          <w:szCs w:val="32"/>
        </w:rPr>
      </w:pPr>
    </w:p>
    <w:p>
      <w:pPr>
        <w:spacing w:line="520" w:lineRule="exact"/>
        <w:ind w:firstLine="640" w:firstLineChars="200"/>
        <w:jc w:val="right"/>
        <w:rPr>
          <w:rFonts w:ascii="仿宋" w:hAnsi="仿宋" w:eastAsia="仿宋" w:cs="仿宋"/>
          <w:bCs/>
          <w:sz w:val="32"/>
          <w:szCs w:val="32"/>
        </w:rPr>
      </w:pPr>
    </w:p>
    <w:p>
      <w:pPr>
        <w:spacing w:line="520" w:lineRule="exact"/>
        <w:ind w:firstLine="640" w:firstLineChars="200"/>
        <w:jc w:val="right"/>
        <w:rPr>
          <w:rFonts w:ascii="仿宋" w:hAnsi="仿宋" w:eastAsia="仿宋" w:cs="仿宋"/>
          <w:bCs/>
          <w:sz w:val="32"/>
          <w:szCs w:val="32"/>
        </w:rPr>
      </w:pPr>
    </w:p>
    <w:p>
      <w:pPr>
        <w:spacing w:line="520" w:lineRule="exact"/>
        <w:ind w:firstLine="640" w:firstLineChars="200"/>
        <w:jc w:val="right"/>
        <w:rPr>
          <w:rFonts w:ascii="仿宋" w:hAnsi="仿宋" w:eastAsia="仿宋" w:cs="仿宋"/>
          <w:bCs/>
          <w:sz w:val="32"/>
          <w:szCs w:val="32"/>
        </w:rPr>
      </w:pPr>
      <w:r>
        <w:rPr>
          <w:rFonts w:hint="eastAsia" w:ascii="仿宋" w:hAnsi="仿宋" w:eastAsia="仿宋" w:cs="仿宋"/>
          <w:bCs/>
          <w:sz w:val="32"/>
          <w:szCs w:val="32"/>
        </w:rPr>
        <w:t>石狮市</w:t>
      </w:r>
      <w:r>
        <w:rPr>
          <w:rFonts w:ascii="仿宋" w:hAnsi="仿宋" w:eastAsia="仿宋" w:cs="仿宋"/>
          <w:bCs/>
          <w:sz w:val="32"/>
          <w:szCs w:val="32"/>
        </w:rPr>
        <w:t>市场监督管理</w:t>
      </w:r>
      <w:r>
        <w:rPr>
          <w:rFonts w:hint="eastAsia" w:ascii="仿宋" w:hAnsi="仿宋" w:eastAsia="仿宋" w:cs="仿宋"/>
          <w:bCs/>
          <w:sz w:val="32"/>
          <w:szCs w:val="32"/>
        </w:rPr>
        <w:t>局</w:t>
      </w:r>
    </w:p>
    <w:p>
      <w:pPr>
        <w:spacing w:line="520" w:lineRule="exact"/>
        <w:ind w:right="320" w:firstLine="640" w:firstLineChars="200"/>
        <w:jc w:val="right"/>
        <w:rPr>
          <w:rFonts w:ascii="仿宋" w:hAnsi="仿宋" w:eastAsia="仿宋" w:cs="仿宋"/>
          <w:bCs/>
          <w:sz w:val="32"/>
          <w:szCs w:val="32"/>
        </w:rPr>
      </w:pPr>
      <w:r>
        <w:rPr>
          <w:rFonts w:hint="eastAsia" w:ascii="仿宋" w:hAnsi="仿宋" w:eastAsia="仿宋" w:cs="仿宋"/>
          <w:bCs/>
          <w:sz w:val="32"/>
          <w:szCs w:val="32"/>
        </w:rPr>
        <w:t>2024</w:t>
      </w:r>
      <w:r>
        <w:rPr>
          <w:rFonts w:ascii="仿宋" w:hAnsi="仿宋" w:eastAsia="仿宋" w:cs="仿宋"/>
          <w:bCs/>
          <w:sz w:val="32"/>
          <w:szCs w:val="32"/>
        </w:rPr>
        <w:t>年</w:t>
      </w:r>
      <w:r>
        <w:rPr>
          <w:rFonts w:hint="eastAsia" w:ascii="仿宋" w:hAnsi="仿宋" w:eastAsia="仿宋" w:cs="仿宋"/>
          <w:bCs/>
          <w:sz w:val="32"/>
          <w:szCs w:val="32"/>
        </w:rPr>
        <w:t>3</w:t>
      </w:r>
      <w:r>
        <w:rPr>
          <w:rFonts w:ascii="仿宋" w:hAnsi="仿宋" w:eastAsia="仿宋" w:cs="仿宋"/>
          <w:bCs/>
          <w:sz w:val="32"/>
          <w:szCs w:val="32"/>
        </w:rPr>
        <w:t>月</w:t>
      </w:r>
      <w:r>
        <w:rPr>
          <w:rFonts w:hint="eastAsia" w:ascii="仿宋" w:hAnsi="仿宋" w:eastAsia="仿宋" w:cs="仿宋"/>
          <w:bCs/>
          <w:sz w:val="32"/>
          <w:szCs w:val="32"/>
        </w:rPr>
        <w:t>11</w:t>
      </w:r>
      <w:r>
        <w:rPr>
          <w:rFonts w:ascii="仿宋" w:hAnsi="仿宋" w:eastAsia="仿宋" w:cs="仿宋"/>
          <w:bCs/>
          <w:sz w:val="32"/>
          <w:szCs w:val="32"/>
        </w:rPr>
        <w:t>日</w:t>
      </w:r>
    </w:p>
    <w:p>
      <w:pPr>
        <w:spacing w:before="105" w:line="520" w:lineRule="exact"/>
        <w:ind w:firstLine="403"/>
        <w:jc w:val="center"/>
        <w:rPr>
          <w:rFonts w:ascii="黑体" w:hAnsi="黑体" w:eastAsia="黑体" w:cs="黑体"/>
          <w:color w:val="231F20"/>
          <w:spacing w:val="-31"/>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hint="eastAsia" w:ascii="黑体" w:hAnsi="黑体" w:eastAsia="黑体" w:cs="黑体"/>
          <w:color w:val="231F20"/>
          <w:spacing w:val="-6"/>
          <w:sz w:val="32"/>
          <w:szCs w:val="32"/>
        </w:rPr>
      </w:pPr>
    </w:p>
    <w:p>
      <w:pPr>
        <w:spacing w:before="105" w:line="520" w:lineRule="exact"/>
        <w:ind w:firstLine="403"/>
        <w:jc w:val="center"/>
        <w:rPr>
          <w:rFonts w:ascii="黑体" w:hAnsi="黑体" w:eastAsia="黑体" w:cs="黑体"/>
          <w:color w:val="231F20"/>
          <w:spacing w:val="-6"/>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20" w:lineRule="exact"/>
      <w:jc w:val="center"/>
      <w:rPr>
        <w:rFonts w:eastAsia="仿宋_GB2312" w:cs="仿宋"/>
        <w:color w:val="000000"/>
        <w:sz w:val="32"/>
        <w:szCs w:val="32"/>
      </w:rPr>
    </w:pPr>
    <w:r>
      <w:ptab w:relativeTo="margin" w:alignment="center" w:leader="none"/>
    </w:r>
    <w:r>
      <w:pict>
        <v:line id="_x0000_s1025" o:spid="_x0000_s1025" o:spt="20" style="position:absolute;left:0pt;margin-left:0pt;margin-top:1638.35pt;height:0.1pt;width:453.75pt;z-index:251660288;mso-width-relative:page;mso-height-relative:page;" coordsize="21600,21600">
          <v:path arrowok="t"/>
          <v:fill focussize="0,0"/>
          <v:stroke weight="0.737007874015748pt" endcap="square"/>
          <v:imagedata o:title=""/>
          <o:lock v:ext="edit"/>
        </v:line>
      </w:pict>
    </w:r>
    <w:r>
      <w:rPr>
        <w:rFonts w:hint="eastAsia" w:eastAsia="仿宋_GB2312" w:cs="仿宋"/>
        <w:color w:val="000000"/>
        <w:sz w:val="32"/>
        <w:szCs w:val="32"/>
      </w:rPr>
      <w:t>本文书一式</w:t>
    </w:r>
    <w:r>
      <w:rPr>
        <w:rFonts w:hint="eastAsia" w:eastAsia="仿宋_GB2312" w:cs="仿宋"/>
        <w:color w:val="000000"/>
        <w:sz w:val="32"/>
        <w:szCs w:val="32"/>
        <w:u w:val="single"/>
      </w:rPr>
      <w:t>两</w:t>
    </w:r>
    <w:r>
      <w:rPr>
        <w:rFonts w:hint="eastAsia" w:eastAsia="仿宋_GB2312" w:cs="仿宋"/>
        <w:color w:val="000000"/>
        <w:sz w:val="32"/>
        <w:szCs w:val="32"/>
      </w:rPr>
      <w:t>份，</w:t>
    </w:r>
    <w:r>
      <w:rPr>
        <w:rFonts w:hint="eastAsia" w:eastAsia="仿宋_GB2312" w:cs="仿宋"/>
        <w:color w:val="000000"/>
        <w:sz w:val="32"/>
        <w:szCs w:val="32"/>
        <w:u w:val="single"/>
      </w:rPr>
      <w:t>一</w:t>
    </w:r>
    <w:r>
      <w:rPr>
        <w:rFonts w:hint="eastAsia" w:eastAsia="仿宋_GB2312" w:cs="仿宋"/>
        <w:color w:val="000000"/>
        <w:sz w:val="32"/>
        <w:szCs w:val="32"/>
      </w:rPr>
      <w:t>份送达，</w:t>
    </w:r>
    <w:r>
      <w:rPr>
        <w:rFonts w:hint="eastAsia" w:eastAsia="仿宋_GB2312" w:cs="仿宋"/>
        <w:color w:val="000000"/>
        <w:sz w:val="32"/>
        <w:szCs w:val="32"/>
        <w:u w:val="single"/>
      </w:rPr>
      <w:t>一</w:t>
    </w:r>
    <w:r>
      <w:rPr>
        <w:rFonts w:hint="eastAsia" w:eastAsia="仿宋_GB2312" w:cs="仿宋"/>
        <w:color w:val="000000"/>
        <w:sz w:val="32"/>
        <w:szCs w:val="32"/>
      </w:rPr>
      <w:t>份归档。</w:t>
    </w:r>
  </w:p>
  <w:p>
    <w:pPr>
      <w:pStyle w:val="4"/>
      <w:ind w:firstLine="3600" w:firstLineChars="2000"/>
    </w:pPr>
    <w:r>
      <w:rPr>
        <w:rFonts w:hint="eastAsia"/>
      </w:rPr>
      <w:t>第</w:t>
    </w:r>
    <w:r>
      <w:fldChar w:fldCharType="begin"/>
    </w:r>
    <w:r>
      <w:instrText xml:space="preserve"> PAGE  \* Arabic  \* MERGEFORMAT </w:instrText>
    </w:r>
    <w:r>
      <w:fldChar w:fldCharType="separate"/>
    </w:r>
    <w:r>
      <w:t>6</w:t>
    </w:r>
    <w:r>
      <w:fldChar w:fldCharType="end"/>
    </w:r>
    <w:r>
      <w:rPr>
        <w:rFonts w:hint="eastAsia"/>
      </w:rPr>
      <w:t>页，共</w:t>
    </w:r>
    <w:r>
      <w:fldChar w:fldCharType="begin"/>
    </w:r>
    <w:r>
      <w:instrText xml:space="preserve"> NUMPAGES  \* Arabic  \* MERGEFORMAT </w:instrText>
    </w:r>
    <w:r>
      <w:fldChar w:fldCharType="separate"/>
    </w:r>
    <w:r>
      <w:t>6</w:t>
    </w:r>
    <w:r>
      <w:fldChar w:fldCharType="end"/>
    </w:r>
    <w:r>
      <w:rPr>
        <w:rFonts w:hint="eastAsia"/>
      </w:rPr>
      <w:t>页</w:t>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0C39"/>
    <w:rsid w:val="00001486"/>
    <w:rsid w:val="00014B38"/>
    <w:rsid w:val="00036BAF"/>
    <w:rsid w:val="00042461"/>
    <w:rsid w:val="00050A17"/>
    <w:rsid w:val="0005583F"/>
    <w:rsid w:val="00074FE1"/>
    <w:rsid w:val="00083456"/>
    <w:rsid w:val="0009279D"/>
    <w:rsid w:val="000C0D03"/>
    <w:rsid w:val="000C6DD6"/>
    <w:rsid w:val="000F11A4"/>
    <w:rsid w:val="000F6A64"/>
    <w:rsid w:val="00100C39"/>
    <w:rsid w:val="00101575"/>
    <w:rsid w:val="00105C19"/>
    <w:rsid w:val="0015256B"/>
    <w:rsid w:val="00162D33"/>
    <w:rsid w:val="00180AED"/>
    <w:rsid w:val="0019549E"/>
    <w:rsid w:val="001A614A"/>
    <w:rsid w:val="001B3D03"/>
    <w:rsid w:val="001D32B7"/>
    <w:rsid w:val="001F1040"/>
    <w:rsid w:val="001F4B20"/>
    <w:rsid w:val="00207AD4"/>
    <w:rsid w:val="00234CDF"/>
    <w:rsid w:val="00244F00"/>
    <w:rsid w:val="00265271"/>
    <w:rsid w:val="00286EC7"/>
    <w:rsid w:val="00291BD7"/>
    <w:rsid w:val="00297096"/>
    <w:rsid w:val="0030385D"/>
    <w:rsid w:val="00324D17"/>
    <w:rsid w:val="00335A5D"/>
    <w:rsid w:val="003576E1"/>
    <w:rsid w:val="00397325"/>
    <w:rsid w:val="003A6686"/>
    <w:rsid w:val="003C5892"/>
    <w:rsid w:val="003D198B"/>
    <w:rsid w:val="003E6122"/>
    <w:rsid w:val="004426BA"/>
    <w:rsid w:val="00446065"/>
    <w:rsid w:val="00455D56"/>
    <w:rsid w:val="004A1A06"/>
    <w:rsid w:val="004B3B23"/>
    <w:rsid w:val="004C08C1"/>
    <w:rsid w:val="004E248C"/>
    <w:rsid w:val="004F511D"/>
    <w:rsid w:val="00502152"/>
    <w:rsid w:val="00512CD9"/>
    <w:rsid w:val="005238FF"/>
    <w:rsid w:val="005316D8"/>
    <w:rsid w:val="00533CD4"/>
    <w:rsid w:val="005676C3"/>
    <w:rsid w:val="00573A40"/>
    <w:rsid w:val="00575680"/>
    <w:rsid w:val="00591DF7"/>
    <w:rsid w:val="005B3C9C"/>
    <w:rsid w:val="005C482C"/>
    <w:rsid w:val="005C488F"/>
    <w:rsid w:val="005D153F"/>
    <w:rsid w:val="005D2C33"/>
    <w:rsid w:val="005E0FB6"/>
    <w:rsid w:val="005F12DB"/>
    <w:rsid w:val="005F5EC6"/>
    <w:rsid w:val="00617911"/>
    <w:rsid w:val="0062402F"/>
    <w:rsid w:val="00647A55"/>
    <w:rsid w:val="00656AAD"/>
    <w:rsid w:val="00661D2B"/>
    <w:rsid w:val="0067201F"/>
    <w:rsid w:val="00676DEE"/>
    <w:rsid w:val="006B15C3"/>
    <w:rsid w:val="006C20FF"/>
    <w:rsid w:val="006D55B0"/>
    <w:rsid w:val="00701A75"/>
    <w:rsid w:val="0070518C"/>
    <w:rsid w:val="007103ED"/>
    <w:rsid w:val="00740EB0"/>
    <w:rsid w:val="00751443"/>
    <w:rsid w:val="0076608A"/>
    <w:rsid w:val="00772810"/>
    <w:rsid w:val="007752BF"/>
    <w:rsid w:val="00783828"/>
    <w:rsid w:val="00787DA5"/>
    <w:rsid w:val="007938E2"/>
    <w:rsid w:val="007A6062"/>
    <w:rsid w:val="007A6FC7"/>
    <w:rsid w:val="007B44BC"/>
    <w:rsid w:val="007C10E0"/>
    <w:rsid w:val="007C5EAE"/>
    <w:rsid w:val="007D63B0"/>
    <w:rsid w:val="007E6711"/>
    <w:rsid w:val="008114E1"/>
    <w:rsid w:val="008162CA"/>
    <w:rsid w:val="008338D5"/>
    <w:rsid w:val="008365A4"/>
    <w:rsid w:val="0084361F"/>
    <w:rsid w:val="00862B4F"/>
    <w:rsid w:val="008735D5"/>
    <w:rsid w:val="00875E9E"/>
    <w:rsid w:val="00877E1D"/>
    <w:rsid w:val="008845B6"/>
    <w:rsid w:val="0089144D"/>
    <w:rsid w:val="008A3071"/>
    <w:rsid w:val="008A70EB"/>
    <w:rsid w:val="008C22F2"/>
    <w:rsid w:val="008C47E0"/>
    <w:rsid w:val="00925DD2"/>
    <w:rsid w:val="009263C5"/>
    <w:rsid w:val="00946543"/>
    <w:rsid w:val="009615BE"/>
    <w:rsid w:val="00965579"/>
    <w:rsid w:val="00971481"/>
    <w:rsid w:val="00990850"/>
    <w:rsid w:val="00997684"/>
    <w:rsid w:val="009B03AF"/>
    <w:rsid w:val="009C1E15"/>
    <w:rsid w:val="009C21C4"/>
    <w:rsid w:val="009D48F2"/>
    <w:rsid w:val="009E4D3E"/>
    <w:rsid w:val="00A05574"/>
    <w:rsid w:val="00A2105F"/>
    <w:rsid w:val="00A219A6"/>
    <w:rsid w:val="00A25FA0"/>
    <w:rsid w:val="00A278B6"/>
    <w:rsid w:val="00A44B44"/>
    <w:rsid w:val="00A617C6"/>
    <w:rsid w:val="00A83C19"/>
    <w:rsid w:val="00AB740B"/>
    <w:rsid w:val="00AD644B"/>
    <w:rsid w:val="00AF402F"/>
    <w:rsid w:val="00AF5FCF"/>
    <w:rsid w:val="00B24914"/>
    <w:rsid w:val="00B2566D"/>
    <w:rsid w:val="00B313DA"/>
    <w:rsid w:val="00B35AE1"/>
    <w:rsid w:val="00B40E41"/>
    <w:rsid w:val="00B54176"/>
    <w:rsid w:val="00B55F45"/>
    <w:rsid w:val="00B732B7"/>
    <w:rsid w:val="00BA446A"/>
    <w:rsid w:val="00BB6228"/>
    <w:rsid w:val="00BD70B3"/>
    <w:rsid w:val="00BD7382"/>
    <w:rsid w:val="00BE7694"/>
    <w:rsid w:val="00C135F9"/>
    <w:rsid w:val="00C16F11"/>
    <w:rsid w:val="00C26950"/>
    <w:rsid w:val="00C31A0C"/>
    <w:rsid w:val="00C635E3"/>
    <w:rsid w:val="00C715E3"/>
    <w:rsid w:val="00C75484"/>
    <w:rsid w:val="00C9248E"/>
    <w:rsid w:val="00CC49CF"/>
    <w:rsid w:val="00CE1C23"/>
    <w:rsid w:val="00CF044A"/>
    <w:rsid w:val="00D05A96"/>
    <w:rsid w:val="00D12D46"/>
    <w:rsid w:val="00D323B1"/>
    <w:rsid w:val="00D33560"/>
    <w:rsid w:val="00D55F12"/>
    <w:rsid w:val="00D625D1"/>
    <w:rsid w:val="00D65839"/>
    <w:rsid w:val="00D673A8"/>
    <w:rsid w:val="00D809C8"/>
    <w:rsid w:val="00DC3381"/>
    <w:rsid w:val="00DC3FED"/>
    <w:rsid w:val="00DC4FD8"/>
    <w:rsid w:val="00DD1F66"/>
    <w:rsid w:val="00E27FB6"/>
    <w:rsid w:val="00E34C37"/>
    <w:rsid w:val="00E429EC"/>
    <w:rsid w:val="00E4678D"/>
    <w:rsid w:val="00E610C8"/>
    <w:rsid w:val="00E747EB"/>
    <w:rsid w:val="00E75BB5"/>
    <w:rsid w:val="00E94262"/>
    <w:rsid w:val="00E9497F"/>
    <w:rsid w:val="00E94E1A"/>
    <w:rsid w:val="00ED2726"/>
    <w:rsid w:val="00EE04FC"/>
    <w:rsid w:val="00F07F96"/>
    <w:rsid w:val="00F1161B"/>
    <w:rsid w:val="00F246A9"/>
    <w:rsid w:val="00F54E24"/>
    <w:rsid w:val="00F65E3C"/>
    <w:rsid w:val="00F72A64"/>
    <w:rsid w:val="00F97E2C"/>
    <w:rsid w:val="00FA0B92"/>
    <w:rsid w:val="00FA33F6"/>
    <w:rsid w:val="00FA7367"/>
    <w:rsid w:val="00FA7A19"/>
    <w:rsid w:val="00FB1118"/>
    <w:rsid w:val="00FC3B24"/>
    <w:rsid w:val="00FD3447"/>
    <w:rsid w:val="00FF70AE"/>
    <w:rsid w:val="5EB87148"/>
    <w:rsid w:val="631D5F77"/>
    <w:rsid w:val="703B62B4"/>
    <w:rsid w:val="7C0301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adjustRightInd/>
      <w:spacing w:line="480" w:lineRule="exact"/>
      <w:ind w:left="103" w:leftChars="49" w:right="391" w:rightChars="186" w:firstLine="280" w:firstLineChars="100"/>
      <w:textAlignment w:val="auto"/>
    </w:pPr>
    <w:rPr>
      <w:kern w:val="2"/>
      <w:sz w:val="28"/>
      <w:szCs w:val="28"/>
    </w:r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semiHidden/>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rFonts w:ascii="Times New Roman" w:hAnsi="Times New Roman" w:eastAsia="宋体" w:cs="Times New Roman"/>
      <w:kern w:val="0"/>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503</Words>
  <Characters>2868</Characters>
  <Lines>23</Lines>
  <Paragraphs>6</Paragraphs>
  <TotalTime>8</TotalTime>
  <ScaleCrop>false</ScaleCrop>
  <LinksUpToDate>false</LinksUpToDate>
  <CharactersWithSpaces>3365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2019-06-05T02:40:00Z</dcterms:created>
  <dc:creator>陈少敏</dc:creator>
  <cp:lastModifiedBy>蔡世辉</cp:lastModifiedBy>
  <cp:lastPrinted>2023-10-19T09:07:00Z</cp:lastPrinted>
  <dcterms:modified xsi:type="dcterms:W3CDTF">2024-03-15T07:56:58Z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