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color w:val="auto"/>
          <w:sz w:val="16"/>
          <w:szCs w:val="16"/>
        </w:rPr>
      </w:pPr>
      <w:bookmarkStart w:id="0" w:name="_Hlk119917153"/>
    </w:p>
    <w:bookmarkEnd w:id="0"/>
    <w:p>
      <w:pPr>
        <w:rPr>
          <w:rFonts w:ascii="黑体" w:hAnsi="黑体" w:eastAsia="黑体" w:cs="黑体"/>
          <w:color w:val="auto"/>
          <w:spacing w:val="4"/>
          <w:sz w:val="40"/>
          <w:szCs w:val="40"/>
        </w:rPr>
      </w:pPr>
    </w:p>
    <w:p>
      <w:pPr>
        <w:pStyle w:val="2"/>
        <w:rPr>
          <w:color w:val="auto"/>
          <w:sz w:val="16"/>
          <w:szCs w:val="16"/>
        </w:rPr>
      </w:pPr>
    </w:p>
    <w:p>
      <w:pPr>
        <w:jc w:val="center"/>
        <w:rPr>
          <w:rFonts w:hint="eastAsia" w:ascii="黑体" w:hAnsi="黑体" w:eastAsia="黑体" w:cs="黑体"/>
          <w:spacing w:val="4"/>
          <w:sz w:val="44"/>
          <w:szCs w:val="44"/>
        </w:rPr>
      </w:pPr>
      <w:r>
        <w:rPr>
          <w:rFonts w:hint="eastAsia" w:ascii="黑体" w:hAnsi="黑体" w:eastAsia="黑体" w:cs="黑体"/>
          <w:spacing w:val="4"/>
          <w:sz w:val="44"/>
          <w:szCs w:val="44"/>
        </w:rPr>
        <w:t>2022年度石狮市住房和城乡建设局部门</w:t>
      </w:r>
      <w:bookmarkStart w:id="1" w:name="_Toc8216"/>
      <w:bookmarkStart w:id="2" w:name="_Toc15425"/>
    </w:p>
    <w:p>
      <w:pPr>
        <w:jc w:val="center"/>
        <w:rPr>
          <w:rFonts w:hint="eastAsia" w:ascii="黑体" w:hAnsi="黑体" w:eastAsia="黑体" w:cs="黑体"/>
          <w:spacing w:val="4"/>
          <w:sz w:val="44"/>
          <w:szCs w:val="44"/>
        </w:rPr>
      </w:pPr>
      <w:bookmarkStart w:id="3" w:name="_Toc14919"/>
      <w:bookmarkStart w:id="4" w:name="_Toc12298"/>
      <w:r>
        <w:rPr>
          <w:rFonts w:hint="eastAsia" w:ascii="黑体" w:hAnsi="黑体" w:eastAsia="黑体" w:cs="黑体"/>
          <w:spacing w:val="4"/>
          <w:sz w:val="44"/>
          <w:szCs w:val="44"/>
        </w:rPr>
        <w:t>整体支出绩效评价报告</w:t>
      </w:r>
      <w:bookmarkEnd w:id="1"/>
      <w:bookmarkEnd w:id="2"/>
      <w:bookmarkEnd w:id="3"/>
      <w:bookmarkEnd w:id="4"/>
    </w:p>
    <w:p>
      <w:pPr>
        <w:pStyle w:val="24"/>
        <w:rPr>
          <w:rFonts w:ascii="黑体" w:hAnsi="黑体" w:eastAsia="黑体" w:cs="黑体"/>
          <w:color w:val="auto"/>
          <w:sz w:val="20"/>
          <w:szCs w:val="21"/>
        </w:rPr>
      </w:pPr>
    </w:p>
    <w:p>
      <w:pPr>
        <w:rPr>
          <w:rFonts w:ascii="黑体" w:hAnsi="黑体" w:eastAsia="黑体" w:cs="黑体"/>
          <w:color w:val="auto"/>
          <w:sz w:val="20"/>
          <w:szCs w:val="22"/>
        </w:rPr>
      </w:pPr>
    </w:p>
    <w:p>
      <w:pPr>
        <w:pStyle w:val="2"/>
        <w:rPr>
          <w:rFonts w:ascii="黑体" w:hAnsi="黑体" w:eastAsia="黑体" w:cs="黑体"/>
          <w:color w:val="auto"/>
          <w:sz w:val="16"/>
          <w:szCs w:val="16"/>
        </w:rPr>
      </w:pPr>
    </w:p>
    <w:p>
      <w:pPr>
        <w:pStyle w:val="24"/>
        <w:rPr>
          <w:rFonts w:ascii="黑体" w:hAnsi="黑体" w:eastAsia="黑体" w:cs="黑体"/>
          <w:color w:val="auto"/>
          <w:sz w:val="20"/>
          <w:szCs w:val="21"/>
        </w:rPr>
      </w:pPr>
    </w:p>
    <w:p>
      <w:pPr>
        <w:spacing w:line="360" w:lineRule="auto"/>
        <w:ind w:firstLine="1131" w:firstLineChars="345"/>
        <w:jc w:val="center"/>
        <w:rPr>
          <w:rFonts w:ascii="黑体" w:hAnsi="黑体" w:eastAsia="黑体" w:cs="黑体"/>
          <w:color w:val="auto"/>
          <w:spacing w:val="4"/>
          <w:sz w:val="32"/>
          <w:szCs w:val="32"/>
        </w:rPr>
      </w:pPr>
    </w:p>
    <w:p>
      <w:pPr>
        <w:pStyle w:val="2"/>
        <w:rPr>
          <w:color w:val="auto"/>
          <w:sz w:val="16"/>
          <w:szCs w:val="16"/>
        </w:rPr>
      </w:pPr>
    </w:p>
    <w:p>
      <w:pPr>
        <w:pStyle w:val="2"/>
        <w:rPr>
          <w:color w:val="auto"/>
          <w:sz w:val="16"/>
          <w:szCs w:val="16"/>
        </w:rPr>
      </w:pPr>
    </w:p>
    <w:p>
      <w:pPr>
        <w:pStyle w:val="24"/>
        <w:rPr>
          <w:color w:val="auto"/>
          <w:sz w:val="32"/>
          <w:szCs w:val="32"/>
        </w:rPr>
      </w:pPr>
    </w:p>
    <w:p>
      <w:pPr>
        <w:spacing w:line="360" w:lineRule="auto"/>
        <w:ind w:firstLine="640" w:firstLineChars="200"/>
        <w:jc w:val="left"/>
        <w:rPr>
          <w:rFonts w:ascii="黑体" w:hAnsi="黑体" w:eastAsia="黑体" w:cs="黑体"/>
          <w:color w:val="auto"/>
          <w:sz w:val="32"/>
          <w:szCs w:val="32"/>
          <w:u w:val="single"/>
        </w:rPr>
      </w:pPr>
      <w:r>
        <w:rPr>
          <w:rFonts w:hint="eastAsia" w:ascii="黑体" w:hAnsi="黑体" w:eastAsia="黑体" w:cs="黑体"/>
          <w:color w:val="auto"/>
          <w:sz w:val="32"/>
          <w:szCs w:val="32"/>
        </w:rPr>
        <w:t>项目单位：</w:t>
      </w:r>
      <w:r>
        <w:rPr>
          <w:rFonts w:hint="eastAsia" w:ascii="黑体" w:hAnsi="黑体" w:eastAsia="黑体" w:cs="黑体"/>
          <w:color w:val="auto"/>
          <w:sz w:val="32"/>
          <w:szCs w:val="32"/>
          <w:u w:val="single"/>
        </w:rPr>
        <w:t xml:space="preserve">     石狮市住房和城乡建设局       </w:t>
      </w:r>
    </w:p>
    <w:p>
      <w:pPr>
        <w:pStyle w:val="2"/>
        <w:rPr>
          <w:color w:val="auto"/>
          <w:sz w:val="32"/>
          <w:szCs w:val="32"/>
        </w:rPr>
      </w:pPr>
    </w:p>
    <w:p>
      <w:pPr>
        <w:spacing w:line="360" w:lineRule="auto"/>
        <w:ind w:firstLine="640" w:firstLineChars="200"/>
        <w:jc w:val="left"/>
        <w:rPr>
          <w:rFonts w:ascii="黑体" w:hAnsi="黑体" w:eastAsia="黑体" w:cs="黑体"/>
          <w:color w:val="auto"/>
          <w:sz w:val="32"/>
          <w:szCs w:val="32"/>
          <w:u w:val="single"/>
        </w:rPr>
      </w:pPr>
      <w:r>
        <w:rPr>
          <w:rFonts w:hint="eastAsia" w:ascii="黑体" w:hAnsi="黑体" w:eastAsia="黑体" w:cs="黑体"/>
          <w:color w:val="auto"/>
          <w:sz w:val="32"/>
          <w:szCs w:val="32"/>
        </w:rPr>
        <w:t>委托单位：</w:t>
      </w:r>
      <w:r>
        <w:rPr>
          <w:rFonts w:hint="eastAsia" w:ascii="黑体" w:hAnsi="黑体" w:eastAsia="黑体" w:cs="黑体"/>
          <w:color w:val="auto"/>
          <w:sz w:val="32"/>
          <w:szCs w:val="32"/>
          <w:u w:val="single"/>
        </w:rPr>
        <w:t xml:space="preserve">          石狮市财政局            </w:t>
      </w:r>
    </w:p>
    <w:p>
      <w:pPr>
        <w:pStyle w:val="25"/>
        <w:ind w:firstLine="560"/>
        <w:rPr>
          <w:rFonts w:ascii="黑体" w:hAnsi="黑体" w:eastAsia="黑体" w:cs="黑体"/>
          <w:color w:val="auto"/>
          <w:sz w:val="32"/>
          <w:szCs w:val="32"/>
        </w:rPr>
      </w:pPr>
    </w:p>
    <w:p>
      <w:pPr>
        <w:spacing w:line="360" w:lineRule="auto"/>
        <w:ind w:firstLine="640" w:firstLineChars="200"/>
        <w:jc w:val="left"/>
        <w:rPr>
          <w:rFonts w:ascii="黑体" w:hAnsi="黑体" w:eastAsia="黑体" w:cs="黑体"/>
          <w:color w:val="auto"/>
          <w:sz w:val="32"/>
          <w:szCs w:val="32"/>
          <w:u w:val="single"/>
        </w:rPr>
      </w:pPr>
      <w:r>
        <w:rPr>
          <w:rFonts w:hint="eastAsia" w:ascii="黑体" w:hAnsi="黑体" w:eastAsia="黑体" w:cs="黑体"/>
          <w:color w:val="auto"/>
          <w:sz w:val="32"/>
          <w:szCs w:val="32"/>
        </w:rPr>
        <w:t>评价机构：</w:t>
      </w:r>
      <w:r>
        <w:rPr>
          <w:rFonts w:hint="eastAsia" w:ascii="黑体" w:hAnsi="黑体" w:eastAsia="黑体" w:cs="黑体"/>
          <w:color w:val="auto"/>
          <w:sz w:val="32"/>
          <w:szCs w:val="32"/>
          <w:u w:val="single"/>
        </w:rPr>
        <w:t xml:space="preserve">   泉州市启程财务咨询有限公司     </w:t>
      </w:r>
    </w:p>
    <w:p>
      <w:pPr>
        <w:pStyle w:val="25"/>
        <w:ind w:firstLine="0" w:firstLineChars="0"/>
        <w:rPr>
          <w:rFonts w:ascii="黑体" w:hAnsi="黑体" w:eastAsia="黑体" w:cs="黑体"/>
          <w:color w:val="auto"/>
          <w:sz w:val="32"/>
          <w:szCs w:val="32"/>
        </w:rPr>
      </w:pPr>
    </w:p>
    <w:p>
      <w:pPr>
        <w:spacing w:line="360" w:lineRule="auto"/>
        <w:ind w:firstLine="640" w:firstLineChars="200"/>
        <w:jc w:val="left"/>
        <w:rPr>
          <w:rFonts w:ascii="黑体" w:hAnsi="黑体" w:eastAsia="黑体" w:cs="黑体"/>
          <w:color w:val="auto"/>
          <w:sz w:val="32"/>
          <w:szCs w:val="32"/>
          <w:u w:val="single"/>
        </w:rPr>
      </w:pPr>
      <w:r>
        <w:rPr>
          <w:rFonts w:hint="eastAsia" w:ascii="黑体" w:hAnsi="黑体" w:eastAsia="黑体" w:cs="黑体"/>
          <w:color w:val="auto"/>
          <w:sz w:val="32"/>
          <w:szCs w:val="32"/>
        </w:rPr>
        <w:t>评价时间：</w:t>
      </w:r>
      <w:r>
        <w:rPr>
          <w:rFonts w:hint="eastAsia" w:ascii="黑体" w:hAnsi="黑体" w:eastAsia="黑体" w:cs="黑体"/>
          <w:color w:val="auto"/>
          <w:sz w:val="32"/>
          <w:szCs w:val="32"/>
          <w:u w:val="single"/>
        </w:rPr>
        <w:t xml:space="preserve">        2023年5-6月             </w:t>
      </w:r>
    </w:p>
    <w:p>
      <w:pPr>
        <w:spacing w:line="760" w:lineRule="exact"/>
        <w:jc w:val="center"/>
        <w:rPr>
          <w:rFonts w:ascii="黑体" w:hAnsi="黑体" w:eastAsia="黑体" w:cs="黑体"/>
          <w:color w:val="auto"/>
          <w:spacing w:val="4"/>
          <w:sz w:val="32"/>
          <w:szCs w:val="32"/>
        </w:rPr>
      </w:pPr>
    </w:p>
    <w:p>
      <w:pPr>
        <w:pStyle w:val="2"/>
        <w:rPr>
          <w:rFonts w:ascii="黑体" w:hAnsi="黑体" w:eastAsia="黑体" w:cs="黑体"/>
          <w:color w:val="auto"/>
          <w:spacing w:val="4"/>
          <w:sz w:val="32"/>
          <w:szCs w:val="32"/>
        </w:rPr>
      </w:pPr>
    </w:p>
    <w:p>
      <w:pPr>
        <w:pStyle w:val="24"/>
        <w:rPr>
          <w:rFonts w:ascii="黑体" w:hAnsi="黑体" w:eastAsia="黑体" w:cs="黑体"/>
          <w:color w:val="auto"/>
          <w:spacing w:val="4"/>
          <w:sz w:val="32"/>
          <w:szCs w:val="32"/>
        </w:rPr>
      </w:pPr>
    </w:p>
    <w:p>
      <w:pPr>
        <w:rPr>
          <w:color w:val="auto"/>
          <w:sz w:val="32"/>
          <w:szCs w:val="32"/>
        </w:rPr>
      </w:pPr>
    </w:p>
    <w:p>
      <w:pPr>
        <w:pStyle w:val="24"/>
        <w:rPr>
          <w:rFonts w:ascii="黑体" w:hAnsi="黑体" w:eastAsia="黑体" w:cs="黑体"/>
          <w:color w:val="auto"/>
          <w:spacing w:val="4"/>
          <w:sz w:val="32"/>
          <w:szCs w:val="32"/>
        </w:rPr>
      </w:pPr>
    </w:p>
    <w:p>
      <w:pPr>
        <w:spacing w:line="360" w:lineRule="auto"/>
        <w:jc w:val="center"/>
        <w:rPr>
          <w:rFonts w:ascii="黑体" w:hAnsi="黑体" w:eastAsia="黑体" w:cs="黑体"/>
          <w:color w:val="auto"/>
          <w:sz w:val="32"/>
          <w:szCs w:val="32"/>
        </w:rPr>
      </w:pPr>
      <w:r>
        <w:rPr>
          <w:rFonts w:hint="eastAsia" w:ascii="黑体" w:hAnsi="黑体" w:eastAsia="黑体" w:cs="黑体"/>
          <w:color w:val="auto"/>
          <w:sz w:val="32"/>
          <w:szCs w:val="32"/>
        </w:rPr>
        <w:t>2023年6月20日</w:t>
      </w:r>
    </w:p>
    <w:p>
      <w:pPr>
        <w:spacing w:line="760" w:lineRule="exact"/>
        <w:rPr>
          <w:rFonts w:ascii="黑体" w:hAnsi="黑体" w:eastAsia="黑体" w:cs="黑体"/>
          <w:color w:val="auto"/>
          <w:spacing w:val="4"/>
          <w:sz w:val="32"/>
          <w:szCs w:val="32"/>
        </w:rPr>
        <w:sectPr>
          <w:pgSz w:w="11906" w:h="16838"/>
          <w:pgMar w:top="1440" w:right="1800" w:bottom="1440" w:left="1800" w:header="851" w:footer="992" w:gutter="0"/>
          <w:pgNumType w:start="1"/>
          <w:cols w:space="425" w:num="1"/>
          <w:docGrid w:type="lines" w:linePitch="312" w:charSpace="0"/>
        </w:sectPr>
      </w:pPr>
      <w:bookmarkStart w:id="5" w:name="_Toc26626"/>
      <w:bookmarkStart w:id="6" w:name="_Toc12820"/>
      <w:bookmarkStart w:id="7" w:name="_Toc2829"/>
    </w:p>
    <w:p>
      <w:pPr>
        <w:spacing w:line="760" w:lineRule="exact"/>
        <w:jc w:val="center"/>
        <w:outlineLvl w:val="0"/>
        <w:rPr>
          <w:rFonts w:ascii="黑体" w:hAnsi="黑体" w:eastAsia="黑体" w:cs="黑体"/>
          <w:color w:val="auto"/>
          <w:spacing w:val="4"/>
          <w:sz w:val="32"/>
          <w:szCs w:val="32"/>
        </w:rPr>
      </w:pPr>
      <w:bookmarkStart w:id="8" w:name="_Toc12187"/>
      <w:bookmarkStart w:id="9" w:name="_Toc11172"/>
      <w:r>
        <w:rPr>
          <w:rFonts w:hint="eastAsia" w:ascii="黑体" w:hAnsi="黑体" w:eastAsia="黑体" w:cs="黑体"/>
          <w:color w:val="auto"/>
          <w:spacing w:val="4"/>
          <w:sz w:val="32"/>
          <w:szCs w:val="32"/>
        </w:rPr>
        <w:t>绩效评价工作组人员名单</w:t>
      </w:r>
      <w:bookmarkEnd w:id="5"/>
      <w:bookmarkEnd w:id="6"/>
      <w:bookmarkEnd w:id="7"/>
      <w:bookmarkEnd w:id="8"/>
      <w:bookmarkEnd w:id="9"/>
    </w:p>
    <w:p>
      <w:pPr>
        <w:pStyle w:val="2"/>
        <w:rPr>
          <w:color w:val="auto"/>
          <w:sz w:val="16"/>
          <w:szCs w:val="16"/>
        </w:rPr>
      </w:pPr>
    </w:p>
    <w:tbl>
      <w:tblPr>
        <w:tblStyle w:val="18"/>
        <w:tblW w:w="8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2128"/>
        <w:gridCol w:w="2359"/>
        <w:gridCol w:w="2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序号</w:t>
            </w:r>
          </w:p>
        </w:tc>
        <w:tc>
          <w:tcPr>
            <w:tcW w:w="2128"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职务</w:t>
            </w:r>
          </w:p>
        </w:tc>
        <w:tc>
          <w:tcPr>
            <w:tcW w:w="2359"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姓名</w:t>
            </w:r>
          </w:p>
        </w:tc>
        <w:tc>
          <w:tcPr>
            <w:tcW w:w="2686"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417"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1</w:t>
            </w:r>
          </w:p>
        </w:tc>
        <w:tc>
          <w:tcPr>
            <w:tcW w:w="2128"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组长</w:t>
            </w:r>
          </w:p>
        </w:tc>
        <w:tc>
          <w:tcPr>
            <w:tcW w:w="2359"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徐本玉</w:t>
            </w:r>
          </w:p>
        </w:tc>
        <w:tc>
          <w:tcPr>
            <w:tcW w:w="2686"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18606955277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2</w:t>
            </w:r>
          </w:p>
        </w:tc>
        <w:tc>
          <w:tcPr>
            <w:tcW w:w="2128"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副组长</w:t>
            </w:r>
          </w:p>
        </w:tc>
        <w:tc>
          <w:tcPr>
            <w:tcW w:w="2359"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卢婉芳</w:t>
            </w:r>
          </w:p>
        </w:tc>
        <w:tc>
          <w:tcPr>
            <w:tcW w:w="2686"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15060965456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3</w:t>
            </w:r>
          </w:p>
        </w:tc>
        <w:tc>
          <w:tcPr>
            <w:tcW w:w="2128"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组员</w:t>
            </w:r>
          </w:p>
        </w:tc>
        <w:tc>
          <w:tcPr>
            <w:tcW w:w="2359"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陈晓彬</w:t>
            </w:r>
          </w:p>
        </w:tc>
        <w:tc>
          <w:tcPr>
            <w:tcW w:w="2686"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15960567231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4</w:t>
            </w:r>
          </w:p>
        </w:tc>
        <w:tc>
          <w:tcPr>
            <w:tcW w:w="2128"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组员</w:t>
            </w:r>
          </w:p>
        </w:tc>
        <w:tc>
          <w:tcPr>
            <w:tcW w:w="2359"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刘凤阳</w:t>
            </w:r>
          </w:p>
        </w:tc>
        <w:tc>
          <w:tcPr>
            <w:tcW w:w="2686"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13348313607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5</w:t>
            </w:r>
          </w:p>
        </w:tc>
        <w:tc>
          <w:tcPr>
            <w:tcW w:w="2128"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组员</w:t>
            </w:r>
          </w:p>
        </w:tc>
        <w:tc>
          <w:tcPr>
            <w:tcW w:w="2359"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李英</w:t>
            </w:r>
          </w:p>
        </w:tc>
        <w:tc>
          <w:tcPr>
            <w:tcW w:w="2686" w:type="dxa"/>
          </w:tcPr>
          <w:p>
            <w:pPr>
              <w:spacing w:line="760" w:lineRule="exact"/>
              <w:jc w:val="center"/>
              <w:rPr>
                <w:rFonts w:ascii="仿宋" w:hAnsi="仿宋" w:eastAsia="仿宋" w:cs="仿宋"/>
                <w:color w:val="auto"/>
                <w:spacing w:val="4"/>
                <w:sz w:val="28"/>
                <w:szCs w:val="28"/>
              </w:rPr>
            </w:pPr>
            <w:r>
              <w:rPr>
                <w:rFonts w:hint="eastAsia" w:ascii="仿宋" w:hAnsi="仿宋" w:eastAsia="仿宋" w:cs="仿宋"/>
                <w:color w:val="auto"/>
                <w:spacing w:val="4"/>
                <w:sz w:val="28"/>
                <w:szCs w:val="28"/>
              </w:rPr>
              <w:t>19959520670</w:t>
            </w:r>
          </w:p>
        </w:tc>
      </w:tr>
    </w:tbl>
    <w:p>
      <w:pPr>
        <w:jc w:val="center"/>
        <w:rPr>
          <w:rFonts w:ascii="黑体" w:hAnsi="黑体" w:eastAsia="黑体" w:cs="黑体"/>
          <w:color w:val="auto"/>
          <w:sz w:val="28"/>
          <w:szCs w:val="28"/>
        </w:rPr>
      </w:pPr>
    </w:p>
    <w:p>
      <w:pPr>
        <w:jc w:val="center"/>
        <w:rPr>
          <w:rFonts w:ascii="黑体" w:hAnsi="黑体" w:eastAsia="黑体" w:cs="黑体"/>
          <w:color w:val="auto"/>
          <w:sz w:val="28"/>
          <w:szCs w:val="28"/>
        </w:rPr>
      </w:pPr>
    </w:p>
    <w:p>
      <w:pPr>
        <w:pStyle w:val="2"/>
        <w:rPr>
          <w:color w:val="auto"/>
          <w:sz w:val="16"/>
          <w:szCs w:val="16"/>
        </w:rPr>
      </w:pPr>
    </w:p>
    <w:p>
      <w:pPr>
        <w:tabs>
          <w:tab w:val="left" w:pos="3748"/>
        </w:tabs>
        <w:spacing w:line="760" w:lineRule="exact"/>
        <w:ind w:firstLine="576" w:firstLineChars="200"/>
        <w:rPr>
          <w:rFonts w:ascii="宋体" w:hAnsi="宋体" w:eastAsia="宋体" w:cs="Times New Roman"/>
          <w:color w:val="auto"/>
          <w:spacing w:val="4"/>
          <w:sz w:val="28"/>
          <w:szCs w:val="28"/>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宋体" w:hAnsi="宋体" w:eastAsia="宋体" w:cs="Times New Roman"/>
          <w:color w:val="auto"/>
          <w:spacing w:val="4"/>
          <w:sz w:val="28"/>
          <w:szCs w:val="28"/>
        </w:rPr>
        <w:tab/>
      </w:r>
    </w:p>
    <w:p>
      <w:pPr>
        <w:tabs>
          <w:tab w:val="right" w:leader="dot" w:pos="8447"/>
        </w:tabs>
        <w:snapToGrid/>
        <w:spacing w:before="480" w:beforeAutospacing="0" w:after="120" w:afterAutospacing="0" w:line="240" w:lineRule="auto"/>
        <w:ind w:left="0" w:leftChars="0" w:right="0" w:rightChars="0" w:firstLine="0" w:firstLineChars="0"/>
        <w:jc w:val="center"/>
        <w:outlineLvl w:val="0"/>
        <w:rPr>
          <w:rFonts w:ascii="宋体" w:hAnsi="宋体" w:eastAsia="宋体" w:cs="宋体"/>
          <w:b w:val="0"/>
          <w:color w:val="auto"/>
          <w:spacing w:val="4"/>
          <w:sz w:val="40"/>
        </w:rPr>
      </w:pPr>
      <w:bookmarkStart w:id="10" w:name="_Toc20146"/>
      <w:bookmarkStart w:id="11" w:name="_Toc14440"/>
      <w:bookmarkStart w:id="12" w:name="_Toc8052"/>
      <w:bookmarkStart w:id="13" w:name="_Toc27445"/>
      <w:bookmarkStart w:id="14" w:name="_Toc31027"/>
      <w:r>
        <w:rPr>
          <w:rFonts w:hint="eastAsia" w:ascii="宋体" w:hAnsi="宋体" w:eastAsia="宋体" w:cs="宋体"/>
          <w:b w:val="0"/>
          <w:bCs/>
          <w:color w:val="auto"/>
          <w:spacing w:val="4"/>
          <w:sz w:val="40"/>
          <w:szCs w:val="28"/>
        </w:rPr>
        <w:t>目   录</w:t>
      </w:r>
      <w:bookmarkEnd w:id="10"/>
      <w:bookmarkEnd w:id="11"/>
      <w:bookmarkEnd w:id="12"/>
      <w:bookmarkEnd w:id="13"/>
      <w:bookmarkEnd w:id="14"/>
    </w:p>
    <w:p>
      <w:pPr>
        <w:pStyle w:val="2"/>
        <w:rPr>
          <w:rFonts w:ascii="宋体" w:hAnsi="宋体" w:eastAsia="宋体" w:cs="宋体"/>
          <w:color w:val="auto"/>
          <w:sz w:val="24"/>
          <w:szCs w:val="24"/>
        </w:rPr>
      </w:pPr>
    </w:p>
    <w:sdt>
      <w:sdtPr>
        <w:rPr>
          <w:rFonts w:hint="eastAsia" w:ascii="宋体" w:hAnsi="宋体" w:eastAsia="宋体" w:cs="宋体"/>
          <w:b/>
          <w:bCs/>
          <w:color w:val="auto"/>
          <w:sz w:val="24"/>
        </w:rPr>
        <w:id w:val="147471952"/>
        <w:docPartObj>
          <w:docPartGallery w:val="Table of Contents"/>
          <w:docPartUnique/>
        </w:docPartObj>
      </w:sdtPr>
      <w:sdtEndPr>
        <w:rPr>
          <w:rFonts w:hint="eastAsia" w:ascii="宋体" w:hAnsi="宋体" w:eastAsia="宋体" w:cs="宋体"/>
          <w:b/>
          <w:bCs/>
          <w:color w:val="auto"/>
          <w:sz w:val="24"/>
        </w:rPr>
      </w:sdtEndPr>
      <w:sdtContent>
        <w:p>
          <w:pPr>
            <w:jc w:val="center"/>
            <w:rPr>
              <w:rFonts w:ascii="宋体" w:hAnsi="宋体" w:eastAsia="宋体" w:cs="宋体"/>
              <w:b/>
              <w:bCs/>
              <w:color w:val="auto"/>
              <w:sz w:val="24"/>
            </w:rPr>
          </w:pPr>
          <w:bookmarkStart w:id="15" w:name="_Toc30224"/>
          <w:r>
            <w:rPr>
              <w:rFonts w:hint="eastAsia" w:ascii="宋体" w:hAnsi="宋体" w:eastAsia="宋体" w:cs="宋体"/>
              <w:b/>
              <w:bCs/>
              <w:color w:val="auto"/>
              <w:sz w:val="24"/>
            </w:rPr>
            <w:fldChar w:fldCharType="begin"/>
          </w:r>
          <w:r>
            <w:rPr>
              <w:rFonts w:hint="eastAsia" w:ascii="宋体" w:hAnsi="宋体" w:eastAsia="宋体" w:cs="宋体"/>
              <w:b/>
              <w:bCs/>
              <w:color w:val="auto"/>
              <w:sz w:val="24"/>
            </w:rPr>
            <w:instrText xml:space="preserve">TOC \o "1-2" \h \u </w:instrText>
          </w:r>
          <w:r>
            <w:rPr>
              <w:rFonts w:hint="eastAsia" w:ascii="宋体" w:hAnsi="宋体" w:eastAsia="宋体" w:cs="宋体"/>
              <w:b/>
              <w:bCs/>
              <w:color w:val="auto"/>
              <w:sz w:val="24"/>
            </w:rPr>
            <w:fldChar w:fldCharType="separate"/>
          </w:r>
        </w:p>
        <w:p>
          <w:pPr>
            <w:pStyle w:val="32"/>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0" w:leftChars="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"_Toc9192"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8"/>
              <w:position w:val="2"/>
              <w:sz w:val="24"/>
              <w:szCs w:val="28"/>
            </w:rPr>
            <w:t>一、部门概况</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_Toc9192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2</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p>
        <w:p>
          <w:pPr>
            <w:pStyle w:val="33"/>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"_Toc17867"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8"/>
              <w:position w:val="2"/>
              <w:sz w:val="24"/>
              <w:szCs w:val="28"/>
            </w:rPr>
            <w:t>（一）机关行政处 (科) 室及主要职责</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_Toc17867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2</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p>
        <w:p>
          <w:pPr>
            <w:pStyle w:val="33"/>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"_Toc22580"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3"/>
              <w:sz w:val="24"/>
              <w:szCs w:val="28"/>
            </w:rPr>
            <w:t>（二）下属事业单位及主要职责</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_Toc22580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5</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p>
        <w:p>
          <w:pPr>
            <w:pStyle w:val="33"/>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"_Toc26287"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3"/>
              <w:sz w:val="24"/>
              <w:szCs w:val="28"/>
            </w:rPr>
            <w:t>（三） 人员结构</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_Toc26287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6</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p>
        <w:p>
          <w:pPr>
            <w:pStyle w:val="33"/>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"_Toc8263"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4"/>
              <w:kern w:val="2"/>
              <w:sz w:val="24"/>
              <w:szCs w:val="28"/>
            </w:rPr>
            <w:t>（四）部门整体收支情况</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_Toc8263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6</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p>
        <w:p>
          <w:pPr>
            <w:pStyle w:val="33"/>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"_Toc25047"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4"/>
              <w:sz w:val="24"/>
              <w:szCs w:val="28"/>
            </w:rPr>
            <w:t>（五）</w:t>
          </w:r>
          <w:r>
            <w:rPr>
              <w:rFonts w:hint="eastAsia" w:ascii="Times New Roman" w:hAnsi="宋体" w:eastAsia="宋体" w:cs="宋体"/>
              <w:b w:val="0"/>
              <w:bCs w:val="0"/>
              <w:color w:val="auto"/>
              <w:spacing w:val="4"/>
              <w:sz w:val="24"/>
              <w:szCs w:val="28"/>
              <w:lang w:val="en-US" w:eastAsia="zh-CN"/>
            </w:rPr>
            <w:t>绩效评价过程</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lang w:val="en-US" w:eastAsia="zh-CN"/>
            </w:rPr>
            <w:t>8</w:t>
          </w:r>
          <w:r>
            <w:rPr>
              <w:rFonts w:hint="eastAsia" w:ascii="Times New Roman" w:hAnsi="宋体" w:eastAsia="宋体" w:cs="宋体"/>
              <w:b w:val="0"/>
              <w:bCs w:val="0"/>
              <w:color w:val="auto"/>
              <w:sz w:val="24"/>
              <w:szCs w:val="28"/>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0" w:leftChars="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"_Toc14804"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4"/>
              <w:sz w:val="24"/>
              <w:szCs w:val="28"/>
            </w:rPr>
            <w:t>二、绩效</w:t>
          </w:r>
          <w:r>
            <w:rPr>
              <w:rFonts w:hint="eastAsia" w:hAnsi="宋体" w:cs="宋体"/>
              <w:b w:val="0"/>
              <w:bCs w:val="0"/>
              <w:color w:val="auto"/>
              <w:spacing w:val="4"/>
              <w:sz w:val="24"/>
              <w:szCs w:val="28"/>
              <w:lang w:eastAsia="zh-CN"/>
            </w:rPr>
            <w:t>评价</w:t>
          </w:r>
          <w:r>
            <w:rPr>
              <w:rFonts w:hint="eastAsia" w:ascii="Times New Roman" w:hAnsi="宋体" w:eastAsia="宋体" w:cs="宋体"/>
              <w:b w:val="0"/>
              <w:bCs w:val="0"/>
              <w:color w:val="auto"/>
              <w:spacing w:val="4"/>
              <w:sz w:val="24"/>
              <w:szCs w:val="28"/>
            </w:rPr>
            <w:t>工作开展情况</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_Toc14804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7</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p>
        <w:p>
          <w:pPr>
            <w:pStyle w:val="33"/>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"_Toc25795"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4"/>
              <w:sz w:val="24"/>
              <w:szCs w:val="28"/>
            </w:rPr>
            <w:t>（一）前期准备</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_Toc25795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7</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p>
        <w:p>
          <w:pPr>
            <w:pStyle w:val="33"/>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"_Toc28784"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4"/>
              <w:sz w:val="24"/>
              <w:szCs w:val="28"/>
            </w:rPr>
            <w:t>（二）绩效评价目的</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_Toc28784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7</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p>
        <w:p>
          <w:pPr>
            <w:pStyle w:val="33"/>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"_Toc11804"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4"/>
              <w:sz w:val="24"/>
              <w:szCs w:val="28"/>
            </w:rPr>
            <w:t>（三）绩效评价依据</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_Toc11804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7</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p>
        <w:p>
          <w:pPr>
            <w:pStyle w:val="33"/>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"_Toc30737"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4"/>
              <w:sz w:val="24"/>
              <w:szCs w:val="28"/>
            </w:rPr>
            <w:t>（四）绩效评价方法</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_Toc30737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8</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p>
        <w:p>
          <w:pPr>
            <w:pStyle w:val="33"/>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"_Toc7512"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4"/>
              <w:sz w:val="24"/>
              <w:szCs w:val="28"/>
            </w:rPr>
            <w:t>（五）绩效评价过程</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_Toc7512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8</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0" w:leftChars="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"_Toc6016"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4"/>
              <w:kern w:val="2"/>
              <w:sz w:val="24"/>
              <w:szCs w:val="28"/>
            </w:rPr>
            <w:t>三、绩效评价原则、指标体系及评价标准</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_Toc6016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9</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0" w:leftChars="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"_Toc20625"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4"/>
              <w:kern w:val="2"/>
              <w:sz w:val="24"/>
              <w:szCs w:val="28"/>
            </w:rPr>
            <w:t>四、部门整体支出绩效评价分析</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_Toc20625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15</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p>
        <w:p>
          <w:pPr>
            <w:pStyle w:val="33"/>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"_Toc28622"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4"/>
              <w:kern w:val="2"/>
              <w:sz w:val="24"/>
              <w:szCs w:val="28"/>
            </w:rPr>
            <w:t>（一）投入（分值20分，得分17.5分）</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_Toc28622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15</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p>
        <w:p>
          <w:pPr>
            <w:pStyle w:val="33"/>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"_Toc278"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4"/>
              <w:kern w:val="2"/>
              <w:sz w:val="24"/>
              <w:szCs w:val="28"/>
            </w:rPr>
            <w:t>（二）过程</w:t>
          </w:r>
          <w:r>
            <w:rPr>
              <w:rFonts w:hint="eastAsia" w:hAnsi="宋体" w:cs="宋体"/>
              <w:b w:val="0"/>
              <w:bCs w:val="0"/>
              <w:color w:val="auto"/>
              <w:spacing w:val="4"/>
              <w:kern w:val="2"/>
              <w:sz w:val="24"/>
              <w:szCs w:val="28"/>
              <w:lang w:val="en-US" w:eastAsia="zh-CN"/>
            </w:rPr>
            <w:t xml:space="preserve"> </w:t>
          </w:r>
          <w:r>
            <w:rPr>
              <w:rFonts w:hint="eastAsia" w:ascii="Times New Roman" w:hAnsi="宋体" w:eastAsia="宋体" w:cs="宋体"/>
              <w:b w:val="0"/>
              <w:bCs w:val="0"/>
              <w:color w:val="auto"/>
              <w:spacing w:val="4"/>
              <w:kern w:val="2"/>
              <w:sz w:val="24"/>
              <w:szCs w:val="28"/>
            </w:rPr>
            <w:t xml:space="preserve">(分值20分，得分 </w:t>
          </w:r>
          <w:r>
            <w:rPr>
              <w:rFonts w:hint="eastAsia" w:hAnsi="宋体" w:cs="宋体"/>
              <w:b w:val="0"/>
              <w:bCs w:val="0"/>
              <w:color w:val="auto"/>
              <w:spacing w:val="4"/>
              <w:kern w:val="2"/>
              <w:sz w:val="24"/>
              <w:szCs w:val="28"/>
              <w:lang w:val="en-US" w:eastAsia="zh-CN"/>
            </w:rPr>
            <w:t>13.96</w:t>
          </w:r>
          <w:r>
            <w:rPr>
              <w:rFonts w:hint="eastAsia" w:ascii="Times New Roman" w:hAnsi="宋体" w:eastAsia="宋体" w:cs="宋体"/>
              <w:b w:val="0"/>
              <w:bCs w:val="0"/>
              <w:color w:val="auto"/>
              <w:spacing w:val="4"/>
              <w:kern w:val="2"/>
              <w:sz w:val="24"/>
              <w:szCs w:val="28"/>
            </w:rPr>
            <w:t>分)</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_Toc278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18</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p>
        <w:p>
          <w:pPr>
            <w:pStyle w:val="33"/>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"_Toc4724"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4"/>
              <w:kern w:val="2"/>
              <w:sz w:val="24"/>
              <w:szCs w:val="28"/>
            </w:rPr>
            <w:t>（三）</w:t>
          </w:r>
          <w:r>
            <w:rPr>
              <w:rFonts w:hint="eastAsia" w:hAnsi="宋体" w:cs="宋体"/>
              <w:b w:val="0"/>
              <w:bCs w:val="0"/>
              <w:color w:val="auto"/>
              <w:spacing w:val="4"/>
              <w:kern w:val="2"/>
              <w:sz w:val="24"/>
              <w:szCs w:val="28"/>
              <w:lang w:eastAsia="zh-CN"/>
            </w:rPr>
            <w:t>产出</w:t>
          </w:r>
          <w:r>
            <w:rPr>
              <w:rFonts w:hint="eastAsia" w:ascii="Times New Roman" w:hAnsi="宋体" w:eastAsia="宋体" w:cs="宋体"/>
              <w:b w:val="0"/>
              <w:bCs w:val="0"/>
              <w:color w:val="auto"/>
              <w:spacing w:val="4"/>
              <w:kern w:val="2"/>
              <w:sz w:val="24"/>
              <w:szCs w:val="28"/>
            </w:rPr>
            <w:t>（权重为</w:t>
          </w:r>
          <w:r>
            <w:rPr>
              <w:rFonts w:hint="eastAsia" w:hAnsi="宋体" w:cs="宋体"/>
              <w:b w:val="0"/>
              <w:bCs w:val="0"/>
              <w:color w:val="auto"/>
              <w:spacing w:val="4"/>
              <w:kern w:val="2"/>
              <w:sz w:val="24"/>
              <w:szCs w:val="28"/>
              <w:lang w:val="en-US" w:eastAsia="zh-CN"/>
            </w:rPr>
            <w:t>40分</w:t>
          </w:r>
          <w:r>
            <w:rPr>
              <w:rFonts w:hint="eastAsia" w:ascii="Times New Roman" w:hAnsi="宋体" w:eastAsia="宋体" w:cs="宋体"/>
              <w:b w:val="0"/>
              <w:bCs w:val="0"/>
              <w:color w:val="auto"/>
              <w:spacing w:val="4"/>
              <w:kern w:val="2"/>
              <w:sz w:val="24"/>
              <w:szCs w:val="28"/>
            </w:rPr>
            <w:t>，得分</w:t>
          </w:r>
          <w:r>
            <w:rPr>
              <w:rFonts w:hint="eastAsia" w:hAnsi="宋体" w:cs="宋体"/>
              <w:b w:val="0"/>
              <w:bCs w:val="0"/>
              <w:color w:val="auto"/>
              <w:spacing w:val="4"/>
              <w:kern w:val="2"/>
              <w:sz w:val="24"/>
              <w:szCs w:val="28"/>
              <w:lang w:val="en-US" w:eastAsia="zh-CN"/>
            </w:rPr>
            <w:t>38</w:t>
          </w:r>
          <w:r>
            <w:rPr>
              <w:rFonts w:hint="eastAsia" w:ascii="Times New Roman" w:hAnsi="宋体" w:eastAsia="宋体" w:cs="宋体"/>
              <w:b w:val="0"/>
              <w:bCs w:val="0"/>
              <w:color w:val="auto"/>
              <w:spacing w:val="4"/>
              <w:kern w:val="2"/>
              <w:sz w:val="24"/>
              <w:szCs w:val="28"/>
            </w:rPr>
            <w:t>分）</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_Toc4724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23</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p>
        <w:p>
          <w:pPr>
            <w:pStyle w:val="33"/>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"_Toc6190"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4"/>
              <w:kern w:val="2"/>
              <w:sz w:val="24"/>
              <w:szCs w:val="28"/>
            </w:rPr>
            <w:t>（四）效益</w:t>
          </w:r>
          <w:r>
            <w:rPr>
              <w:rFonts w:hint="eastAsia" w:hAnsi="宋体" w:cs="宋体"/>
              <w:b w:val="0"/>
              <w:bCs w:val="0"/>
              <w:color w:val="auto"/>
              <w:spacing w:val="4"/>
              <w:kern w:val="2"/>
              <w:sz w:val="24"/>
              <w:szCs w:val="28"/>
              <w:lang w:val="en-US" w:eastAsia="zh-CN"/>
            </w:rPr>
            <w:t xml:space="preserve"> </w:t>
          </w:r>
          <w:r>
            <w:rPr>
              <w:rFonts w:hint="eastAsia" w:ascii="Times New Roman" w:hAnsi="宋体" w:eastAsia="宋体" w:cs="宋体"/>
              <w:b w:val="0"/>
              <w:bCs w:val="0"/>
              <w:color w:val="auto"/>
              <w:spacing w:val="4"/>
              <w:kern w:val="2"/>
              <w:sz w:val="24"/>
              <w:szCs w:val="28"/>
            </w:rPr>
            <w:t>(分值20分，得分</w:t>
          </w:r>
          <w:r>
            <w:rPr>
              <w:rFonts w:hint="eastAsia" w:hAnsi="宋体" w:cs="宋体"/>
              <w:b w:val="0"/>
              <w:bCs w:val="0"/>
              <w:color w:val="auto"/>
              <w:spacing w:val="4"/>
              <w:kern w:val="2"/>
              <w:sz w:val="24"/>
              <w:szCs w:val="28"/>
              <w:lang w:val="en-US" w:eastAsia="zh-CN"/>
            </w:rPr>
            <w:t>17.8</w:t>
          </w:r>
          <w:r>
            <w:rPr>
              <w:rFonts w:hint="eastAsia" w:ascii="Times New Roman" w:hAnsi="宋体" w:eastAsia="宋体" w:cs="宋体"/>
              <w:b w:val="0"/>
              <w:bCs w:val="0"/>
              <w:color w:val="auto"/>
              <w:spacing w:val="4"/>
              <w:kern w:val="2"/>
              <w:sz w:val="24"/>
              <w:szCs w:val="28"/>
            </w:rPr>
            <w:t>分)</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_Toc6190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29</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0" w:leftChars="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"_Toc32047"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17"/>
              <w:sz w:val="24"/>
              <w:szCs w:val="28"/>
            </w:rPr>
            <w:t>五、评价结论及改进建议</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_Toc32047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38</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0" w:leftChars="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"_Toc24717"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17"/>
              <w:sz w:val="24"/>
              <w:szCs w:val="28"/>
            </w:rPr>
            <w:t>六、存在问题</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_Toc24717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38</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0" w:leftChars="0" w:right="0" w:rightChars="0" w:firstLine="0" w:firstLineChars="0"/>
            <w:jc w:val="left"/>
            <w:textAlignment w:val="auto"/>
            <w:rPr>
              <w:rFonts w:ascii="Times New Roman" w:hAnsi="宋体" w:eastAsia="宋体" w:cs="宋体"/>
              <w:b w:val="0"/>
              <w:bCs w:val="0"/>
              <w:color w:val="auto"/>
              <w:sz w:val="24"/>
              <w:szCs w:val="28"/>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"_Toc13388"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4"/>
              <w:kern w:val="2"/>
              <w:sz w:val="24"/>
              <w:szCs w:val="28"/>
            </w:rPr>
            <w:t>七、提出建议</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_Toc13388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39</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"_Toc831" </w:instrText>
          </w:r>
          <w:r>
            <w:rPr>
              <w:rFonts w:ascii="Times New Roman" w:eastAsia="宋体"/>
              <w:b w:val="0"/>
              <w:bCs w:val="0"/>
              <w:color w:val="auto"/>
              <w:sz w:val="24"/>
              <w:szCs w:val="28"/>
            </w:rPr>
            <w:fldChar w:fldCharType="separate"/>
          </w:r>
          <w:r>
            <w:rPr>
              <w:rFonts w:ascii="Times New Roman" w:eastAsia="宋体"/>
              <w:b w:val="0"/>
              <w:bCs w:val="0"/>
              <w:color w:val="auto"/>
              <w:sz w:val="24"/>
              <w:szCs w:val="28"/>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0" w:leftChars="0" w:right="0" w:rightChars="0" w:firstLine="0" w:firstLineChars="0"/>
            <w:jc w:val="left"/>
            <w:textAlignment w:val="auto"/>
            <w:rPr>
              <w:rFonts w:ascii="Times New Roman" w:hAnsi="宋体" w:eastAsia="宋体" w:cs="宋体"/>
              <w:b w:val="0"/>
              <w:bCs/>
              <w:color w:val="auto"/>
              <w:sz w:val="24"/>
              <w:szCs w:val="24"/>
            </w:rPr>
          </w:pPr>
          <w:r>
            <w:rPr>
              <w:rFonts w:ascii="Times New Roman" w:eastAsia="宋体"/>
              <w:b w:val="0"/>
              <w:bCs w:val="0"/>
              <w:color w:val="auto"/>
              <w:sz w:val="24"/>
              <w:szCs w:val="28"/>
            </w:rPr>
            <w:fldChar w:fldCharType="begin"/>
          </w:r>
          <w:r>
            <w:rPr>
              <w:rFonts w:ascii="Times New Roman" w:eastAsia="宋体"/>
              <w:b w:val="0"/>
              <w:bCs w:val="0"/>
              <w:color w:val="auto"/>
              <w:sz w:val="24"/>
              <w:szCs w:val="28"/>
            </w:rPr>
            <w:instrText xml:space="preserve"> HYPERLINK \l "_Toc10135" </w:instrText>
          </w:r>
          <w:r>
            <w:rPr>
              <w:rFonts w:ascii="Times New Roman" w:eastAsia="宋体"/>
              <w:b w:val="0"/>
              <w:bCs w:val="0"/>
              <w:color w:val="auto"/>
              <w:sz w:val="24"/>
              <w:szCs w:val="28"/>
            </w:rPr>
            <w:fldChar w:fldCharType="separate"/>
          </w:r>
          <w:r>
            <w:rPr>
              <w:rFonts w:hint="eastAsia" w:ascii="Times New Roman" w:hAnsi="宋体" w:eastAsia="宋体" w:cs="宋体"/>
              <w:b w:val="0"/>
              <w:bCs w:val="0"/>
              <w:color w:val="auto"/>
              <w:spacing w:val="4"/>
              <w:kern w:val="2"/>
              <w:sz w:val="24"/>
              <w:szCs w:val="28"/>
            </w:rPr>
            <w:t>八、其他需要说明的问题</w:t>
          </w:r>
          <w:r>
            <w:rPr>
              <w:rFonts w:hint="eastAsia" w:ascii="Times New Roman" w:hAnsi="宋体" w:eastAsia="宋体" w:cs="宋体"/>
              <w:b w:val="0"/>
              <w:bCs w:val="0"/>
              <w:color w:val="auto"/>
              <w:sz w:val="24"/>
              <w:szCs w:val="28"/>
            </w:rPr>
            <w:tab/>
          </w:r>
          <w:r>
            <w:rPr>
              <w:rFonts w:hint="eastAsia" w:ascii="Times New Roman" w:hAnsi="宋体" w:eastAsia="宋体" w:cs="宋体"/>
              <w:b w:val="0"/>
              <w:bCs w:val="0"/>
              <w:color w:val="auto"/>
              <w:sz w:val="24"/>
              <w:szCs w:val="28"/>
            </w:rPr>
            <w:fldChar w:fldCharType="begin"/>
          </w:r>
          <w:r>
            <w:rPr>
              <w:rFonts w:hint="eastAsia" w:ascii="Times New Roman" w:hAnsi="宋体" w:eastAsia="宋体" w:cs="宋体"/>
              <w:b w:val="0"/>
              <w:bCs w:val="0"/>
              <w:color w:val="auto"/>
              <w:sz w:val="24"/>
              <w:szCs w:val="28"/>
            </w:rPr>
            <w:instrText xml:space="preserve"> PAGEREF _Toc10135 \h </w:instrText>
          </w:r>
          <w:r>
            <w:rPr>
              <w:rFonts w:hint="eastAsia" w:ascii="Times New Roman" w:hAnsi="宋体" w:eastAsia="宋体" w:cs="宋体"/>
              <w:b w:val="0"/>
              <w:bCs w:val="0"/>
              <w:color w:val="auto"/>
              <w:sz w:val="24"/>
              <w:szCs w:val="28"/>
            </w:rPr>
            <w:fldChar w:fldCharType="separate"/>
          </w:r>
          <w:r>
            <w:rPr>
              <w:rFonts w:hint="eastAsia" w:ascii="Times New Roman" w:hAnsi="宋体" w:eastAsia="宋体" w:cs="宋体"/>
              <w:b w:val="0"/>
              <w:bCs w:val="0"/>
              <w:color w:val="auto"/>
              <w:sz w:val="24"/>
              <w:szCs w:val="28"/>
            </w:rPr>
            <w:t>41</w:t>
          </w:r>
          <w:r>
            <w:rPr>
              <w:rFonts w:hint="eastAsia" w:ascii="Times New Roman" w:hAnsi="宋体" w:eastAsia="宋体" w:cs="宋体"/>
              <w:b w:val="0"/>
              <w:bCs w:val="0"/>
              <w:color w:val="auto"/>
              <w:sz w:val="24"/>
              <w:szCs w:val="28"/>
            </w:rPr>
            <w:fldChar w:fldCharType="end"/>
          </w:r>
          <w:r>
            <w:rPr>
              <w:rFonts w:hint="eastAsia" w:ascii="Times New Roman" w:hAnsi="宋体" w:eastAsia="宋体" w:cs="宋体"/>
              <w:b w:val="0"/>
              <w:bCs w:val="0"/>
              <w:color w:val="auto"/>
              <w:sz w:val="24"/>
              <w:szCs w:val="28"/>
            </w:rPr>
            <w:fldChar w:fldCharType="end"/>
          </w:r>
        </w:p>
        <w:p>
          <w:pPr>
            <w:pStyle w:val="13"/>
            <w:tabs>
              <w:tab w:val="right" w:leader="dot" w:pos="8778"/>
            </w:tabs>
            <w:spacing w:line="540" w:lineRule="exact"/>
            <w:ind w:left="0" w:leftChars="0" w:firstLine="0" w:firstLineChars="0"/>
            <w:outlineLvl w:val="0"/>
          </w:pPr>
          <w:r>
            <w:rPr>
              <w:rFonts w:hint="eastAsia" w:ascii="宋体" w:hAnsi="宋体" w:eastAsia="宋体" w:cs="宋体"/>
              <w:b/>
              <w:bCs/>
              <w:color w:val="auto"/>
              <w:sz w:val="24"/>
            </w:rPr>
            <w:fldChar w:fldCharType="end"/>
          </w:r>
          <w:bookmarkStart w:id="16" w:name="_Toc14114"/>
        </w:p>
      </w:sdtContent>
    </w:sdt>
    <w:p>
      <w:pPr>
        <w:pStyle w:val="13"/>
        <w:tabs>
          <w:tab w:val="right" w:leader="dot" w:pos="8778"/>
        </w:tabs>
        <w:spacing w:line="540" w:lineRule="exact"/>
        <w:ind w:left="0" w:leftChars="0" w:firstLine="0" w:firstLineChars="0"/>
        <w:jc w:val="center"/>
        <w:outlineLvl w:val="0"/>
        <w:rPr>
          <w:rFonts w:hint="eastAsia" w:ascii="宋体" w:hAnsi="宋体" w:eastAsia="宋体" w:cs="宋体"/>
          <w:b/>
          <w:bCs/>
          <w:color w:val="auto"/>
          <w:spacing w:val="4"/>
          <w:sz w:val="32"/>
          <w:szCs w:val="32"/>
        </w:rPr>
      </w:pPr>
    </w:p>
    <w:p>
      <w:pPr>
        <w:pStyle w:val="14"/>
        <w:rPr>
          <w:rFonts w:hint="eastAsia" w:ascii="宋体" w:hAnsi="宋体" w:eastAsia="宋体" w:cs="宋体"/>
          <w:b/>
          <w:bCs/>
          <w:color w:val="auto"/>
          <w:spacing w:val="4"/>
          <w:sz w:val="32"/>
          <w:szCs w:val="32"/>
        </w:rPr>
      </w:pPr>
    </w:p>
    <w:p>
      <w:pPr>
        <w:pStyle w:val="14"/>
        <w:rPr>
          <w:rFonts w:hint="eastAsia" w:ascii="宋体" w:hAnsi="宋体" w:eastAsia="宋体" w:cs="宋体"/>
          <w:b/>
          <w:bCs/>
          <w:color w:val="auto"/>
          <w:spacing w:val="4"/>
          <w:sz w:val="32"/>
          <w:szCs w:val="32"/>
        </w:rPr>
      </w:pPr>
    </w:p>
    <w:p>
      <w:pPr>
        <w:pStyle w:val="13"/>
        <w:tabs>
          <w:tab w:val="right" w:leader="dot" w:pos="8778"/>
        </w:tabs>
        <w:snapToGrid/>
        <w:spacing w:beforeAutospacing="0" w:afterAutospacing="0" w:line="360" w:lineRule="auto"/>
        <w:ind w:left="0" w:leftChars="0" w:firstLine="0" w:firstLineChars="0"/>
        <w:jc w:val="center"/>
        <w:outlineLvl w:val="0"/>
        <w:rPr>
          <w:rFonts w:hint="eastAsia" w:ascii="Times New Roman" w:hAnsi="宋体" w:eastAsia="宋体" w:cs="宋体"/>
          <w:b/>
          <w:bCs/>
          <w:color w:val="auto"/>
          <w:spacing w:val="4"/>
          <w:sz w:val="28"/>
          <w:szCs w:val="32"/>
        </w:rPr>
      </w:pPr>
      <w:r>
        <w:rPr>
          <w:rFonts w:hint="eastAsia" w:ascii="Times New Roman" w:hAnsi="宋体" w:eastAsia="宋体" w:cs="宋体"/>
          <w:b/>
          <w:bCs/>
          <w:color w:val="auto"/>
          <w:spacing w:val="4"/>
          <w:sz w:val="28"/>
          <w:szCs w:val="32"/>
        </w:rPr>
        <w:t>2022年度石狮市住房和城乡建设局部门</w:t>
      </w:r>
    </w:p>
    <w:p>
      <w:pPr>
        <w:pStyle w:val="13"/>
        <w:tabs>
          <w:tab w:val="right" w:leader="dot" w:pos="8778"/>
        </w:tabs>
        <w:snapToGrid/>
        <w:spacing w:beforeAutospacing="0" w:afterAutospacing="0" w:line="360" w:lineRule="auto"/>
        <w:ind w:left="0" w:leftChars="0" w:firstLine="0" w:firstLineChars="0"/>
        <w:jc w:val="center"/>
        <w:outlineLvl w:val="0"/>
        <w:rPr>
          <w:rFonts w:hint="eastAsia" w:ascii="Times New Roman" w:hAnsi="宋体" w:eastAsia="宋体" w:cs="宋体"/>
          <w:color w:val="auto"/>
          <w:sz w:val="28"/>
          <w:szCs w:val="32"/>
        </w:rPr>
      </w:pPr>
      <w:r>
        <w:rPr>
          <w:rFonts w:hint="eastAsia" w:ascii="Times New Roman" w:hAnsi="宋体" w:eastAsia="宋体" w:cs="宋体"/>
          <w:b/>
          <w:bCs/>
          <w:color w:val="auto"/>
          <w:spacing w:val="4"/>
          <w:sz w:val="28"/>
          <w:szCs w:val="32"/>
        </w:rPr>
        <w:t>整体支出绩效评价报告</w:t>
      </w:r>
      <w:bookmarkEnd w:id="15"/>
      <w:bookmarkEnd w:id="16"/>
    </w:p>
    <w:p>
      <w:pPr>
        <w:pStyle w:val="7"/>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为全面实施预算绩效管理，提高财政资金使用效益，建立科学、合理的财政支出绩效评价管理体系，根据《石狮市财政局关于开展2023年财政预算绩效重点评价工作的通知》（狮财绩〔2023〕5号）及文件有关规定，泉州市启程财务咨询有限公司接受石狮市财政局委托</w:t>
      </w:r>
      <w:r>
        <w:rPr>
          <w:rFonts w:hint="eastAsia" w:ascii="Times New Roman" w:hAnsi="仿宋" w:eastAsia="宋体" w:cs="仿宋"/>
          <w:color w:val="auto"/>
          <w:spacing w:val="4"/>
          <w:sz w:val="28"/>
          <w:szCs w:val="32"/>
          <w:lang w:eastAsia="zh-CN"/>
        </w:rPr>
        <w:t>，</w:t>
      </w:r>
      <w:r>
        <w:rPr>
          <w:rFonts w:hint="eastAsia" w:ascii="Times New Roman" w:hAnsi="仿宋" w:eastAsia="宋体" w:cs="仿宋"/>
          <w:color w:val="auto"/>
          <w:spacing w:val="4"/>
          <w:sz w:val="28"/>
          <w:szCs w:val="32"/>
        </w:rPr>
        <w:t>对2022年度石狮市住房和城乡建设局部门整体支出</w:t>
      </w:r>
      <w:r>
        <w:rPr>
          <w:rFonts w:hint="eastAsia" w:ascii="Times New Roman" w:hAnsi="仿宋" w:eastAsia="宋体" w:cs="仿宋"/>
          <w:color w:val="auto"/>
          <w:spacing w:val="4"/>
          <w:sz w:val="28"/>
          <w:szCs w:val="32"/>
          <w:lang w:val="en-US" w:eastAsia="zh-CN"/>
        </w:rPr>
        <w:t>18672.57万</w:t>
      </w:r>
      <w:r>
        <w:rPr>
          <w:rFonts w:hint="eastAsia" w:ascii="Times New Roman" w:hAnsi="仿宋" w:eastAsia="宋体" w:cs="仿宋"/>
          <w:color w:val="auto"/>
          <w:spacing w:val="4"/>
          <w:sz w:val="28"/>
          <w:szCs w:val="32"/>
        </w:rPr>
        <w:t>开展绩效评价。绩效评价工作小组通过收集、查账、实地调研等方式对照评价指标和标准进行评议与打分，形成《2022年度石狮市住房和城乡建设局部门整体支出绩效评价报告》。</w:t>
      </w:r>
    </w:p>
    <w:p>
      <w:pPr>
        <w:keepNext w:val="0"/>
        <w:keepLines w:val="0"/>
        <w:pageBreakBefore w:val="0"/>
        <w:widowControl w:val="0"/>
        <w:kinsoku/>
        <w:wordWrap/>
        <w:overflowPunct/>
        <w:topLinePunct w:val="0"/>
        <w:autoSpaceDE/>
        <w:autoSpaceDN/>
        <w:bidi w:val="0"/>
        <w:adjustRightInd/>
        <w:snapToGrid/>
        <w:spacing w:before="312" w:beforeLines="100" w:beforeAutospacing="0" w:after="156" w:afterLines="50" w:afterAutospacing="0" w:line="360" w:lineRule="auto"/>
        <w:ind w:left="0" w:leftChars="0" w:right="0" w:rightChars="0" w:firstLine="0" w:firstLineChars="0"/>
        <w:jc w:val="left"/>
        <w:textAlignment w:val="auto"/>
        <w:outlineLvl w:val="0"/>
        <w:rPr>
          <w:rFonts w:hint="eastAsia" w:ascii="Times New Roman" w:hAnsi="仿宋" w:eastAsia="宋体" w:cs="仿宋"/>
          <w:b/>
          <w:color w:val="auto"/>
          <w:sz w:val="32"/>
          <w:szCs w:val="32"/>
        </w:rPr>
      </w:pPr>
      <w:bookmarkStart w:id="17" w:name="_Toc9192"/>
      <w:bookmarkStart w:id="18" w:name="_Toc9731"/>
      <w:r>
        <w:rPr>
          <w:rFonts w:hint="eastAsia" w:ascii="Times New Roman" w:hAnsi="仿宋" w:eastAsia="宋体" w:cs="仿宋"/>
          <w:b/>
          <w:color w:val="auto"/>
          <w:spacing w:val="8"/>
          <w:position w:val="2"/>
          <w:sz w:val="32"/>
          <w:szCs w:val="32"/>
        </w:rPr>
        <w:t>一、部门概况</w:t>
      </w:r>
      <w:bookmarkEnd w:id="17"/>
      <w:bookmarkEnd w:id="18"/>
    </w:p>
    <w:p>
      <w:pPr>
        <w:keepNext w:val="0"/>
        <w:keepLines w:val="0"/>
        <w:pageBreakBefore w:val="0"/>
        <w:widowControl w:val="0"/>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color w:val="auto"/>
          <w:spacing w:val="8"/>
          <w:position w:val="2"/>
          <w:sz w:val="30"/>
          <w:szCs w:val="32"/>
        </w:rPr>
      </w:pPr>
      <w:bookmarkStart w:id="19" w:name="_Toc17867"/>
      <w:r>
        <w:rPr>
          <w:rFonts w:hint="eastAsia" w:ascii="Times New Roman" w:hAnsi="仿宋" w:eastAsia="宋体" w:cs="仿宋"/>
          <w:b/>
          <w:color w:val="auto"/>
          <w:spacing w:val="8"/>
          <w:position w:val="2"/>
          <w:sz w:val="30"/>
          <w:szCs w:val="32"/>
        </w:rPr>
        <w:t>（一）机关行政处 (科) 室及主要职责</w:t>
      </w:r>
      <w:bookmarkEnd w:id="19"/>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92" w:firstLineChars="200"/>
        <w:textAlignment w:val="auto"/>
        <w:rPr>
          <w:rFonts w:hint="eastAsia" w:ascii="Times New Roman" w:hAnsi="仿宋" w:eastAsia="宋体" w:cs="仿宋"/>
          <w:color w:val="auto"/>
          <w:spacing w:val="-3"/>
          <w:sz w:val="28"/>
          <w:szCs w:val="32"/>
        </w:rPr>
      </w:pPr>
      <w:r>
        <w:rPr>
          <w:rFonts w:hint="eastAsia" w:ascii="Times New Roman" w:hAnsi="仿宋" w:eastAsia="宋体" w:cs="仿宋"/>
          <w:color w:val="auto"/>
          <w:spacing w:val="8"/>
          <w:sz w:val="28"/>
          <w:szCs w:val="32"/>
        </w:rPr>
        <w:t>石狮市住房和城乡建设局部门包括</w:t>
      </w:r>
      <w:r>
        <w:rPr>
          <w:rFonts w:hint="eastAsia" w:ascii="Times New Roman" w:hAnsi="仿宋" w:eastAsia="宋体" w:cs="仿宋"/>
          <w:color w:val="auto"/>
          <w:sz w:val="28"/>
          <w:szCs w:val="32"/>
        </w:rPr>
        <w:t xml:space="preserve"> </w:t>
      </w:r>
      <w:r>
        <w:rPr>
          <w:rFonts w:hint="eastAsia" w:ascii="Times New Roman" w:hAnsi="仿宋" w:eastAsia="宋体" w:cs="仿宋"/>
          <w:color w:val="auto"/>
          <w:spacing w:val="-4"/>
          <w:sz w:val="28"/>
          <w:szCs w:val="32"/>
        </w:rPr>
        <w:t>5 个机</w:t>
      </w:r>
      <w:r>
        <w:rPr>
          <w:rFonts w:hint="eastAsia" w:ascii="Times New Roman" w:hAnsi="仿宋" w:eastAsia="宋体" w:cs="仿宋"/>
          <w:color w:val="auto"/>
          <w:spacing w:val="-3"/>
          <w:sz w:val="28"/>
          <w:szCs w:val="32"/>
        </w:rPr>
        <w:t>关</w:t>
      </w:r>
      <w:r>
        <w:rPr>
          <w:rFonts w:hint="eastAsia" w:ascii="Times New Roman" w:hAnsi="仿宋" w:eastAsia="宋体" w:cs="仿宋"/>
          <w:color w:val="auto"/>
          <w:spacing w:val="-2"/>
          <w:sz w:val="28"/>
          <w:szCs w:val="32"/>
        </w:rPr>
        <w:t>行政处 (科) 室</w:t>
      </w:r>
      <w:r>
        <w:rPr>
          <w:rFonts w:hint="eastAsia" w:ascii="Times New Roman" w:hAnsi="仿宋" w:eastAsia="宋体" w:cs="仿宋"/>
          <w:color w:val="auto"/>
          <w:spacing w:val="-2"/>
          <w:sz w:val="28"/>
          <w:szCs w:val="32"/>
          <w:lang w:eastAsia="zh-CN"/>
        </w:rPr>
        <w:t>，</w:t>
      </w:r>
      <w:r>
        <w:rPr>
          <w:rFonts w:hint="eastAsia" w:ascii="Times New Roman" w:hAnsi="仿宋" w:eastAsia="宋体" w:cs="仿宋"/>
          <w:color w:val="auto"/>
          <w:spacing w:val="-2"/>
          <w:sz w:val="28"/>
          <w:szCs w:val="32"/>
          <w:lang w:val="en-US" w:eastAsia="zh-CN"/>
        </w:rPr>
        <w:t>分别是：</w:t>
      </w:r>
      <w:r>
        <w:rPr>
          <w:rFonts w:hint="eastAsia" w:ascii="Times New Roman" w:hAnsi="仿宋" w:eastAsia="宋体" w:cs="仿宋"/>
          <w:color w:val="auto"/>
          <w:spacing w:val="-3"/>
          <w:sz w:val="28"/>
          <w:szCs w:val="32"/>
        </w:rPr>
        <w:t>综合股、房地产市场与物业监管股、城乡建设股、建设工程股（总工程师办公室）和行政审核审批股，主要职责是：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rPr>
          <w:rFonts w:hint="eastAsia" w:ascii="Times New Roman" w:hAnsi="仿宋" w:eastAsia="宋体" w:cs="仿宋"/>
          <w:color w:val="auto"/>
          <w:spacing w:val="-3"/>
          <w:sz w:val="28"/>
          <w:szCs w:val="32"/>
        </w:rPr>
      </w:pPr>
      <w:r>
        <w:rPr>
          <w:rFonts w:hint="eastAsia" w:ascii="Times New Roman" w:hAnsi="仿宋" w:eastAsia="宋体" w:cs="仿宋"/>
          <w:color w:val="auto"/>
          <w:spacing w:val="-3"/>
          <w:sz w:val="28"/>
          <w:szCs w:val="32"/>
        </w:rPr>
        <w:t>（1）贯彻执行国家、省和泉州市有关住房和城乡建设的法律、法规、规章和政策，承担规范全市住房和城乡建设管理秩序的责任。起草住房和城乡建设的地方规范性文件；依法拟订相关行业发展战略、规划和年度计划，并组织实施；承担住房和城乡建设行政审批工作；按规定指导、管理、监督全市住房和城乡建设行政执法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rPr>
          <w:rFonts w:hint="eastAsia" w:ascii="Times New Roman" w:hAnsi="仿宋" w:eastAsia="宋体" w:cs="仿宋"/>
          <w:color w:val="auto"/>
          <w:spacing w:val="-3"/>
          <w:sz w:val="28"/>
          <w:szCs w:val="32"/>
        </w:rPr>
      </w:pPr>
      <w:r>
        <w:rPr>
          <w:rFonts w:hint="eastAsia" w:ascii="Times New Roman" w:hAnsi="仿宋" w:eastAsia="宋体" w:cs="仿宋"/>
          <w:color w:val="auto"/>
          <w:spacing w:val="-3"/>
          <w:sz w:val="28"/>
          <w:szCs w:val="32"/>
        </w:rPr>
        <w:t>（2）负责全市城镇住房保障工作。承担推进全市住房制度改革和保障城镇低收入家庭住房的责任，拟定全市住房保障相关政策并组织实施。编制全市城镇住房保障发展规划和年度计划并监督实施，指导、管理、监督全市住房制度改革和城镇住房保障工作；会同有关部门做好上级及我市有关保障性安居工程的资金安排，负责保障性和政策性住房的建设、维修、租售和监督管理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rPr>
          <w:rFonts w:hint="eastAsia" w:ascii="Times New Roman" w:hAnsi="仿宋" w:eastAsia="宋体" w:cs="仿宋"/>
          <w:color w:val="auto"/>
          <w:spacing w:val="-3"/>
          <w:sz w:val="28"/>
          <w:szCs w:val="32"/>
        </w:rPr>
      </w:pPr>
      <w:r>
        <w:rPr>
          <w:rFonts w:hint="eastAsia" w:ascii="Times New Roman" w:hAnsi="仿宋" w:eastAsia="宋体" w:cs="仿宋"/>
          <w:color w:val="auto"/>
          <w:spacing w:val="-3"/>
          <w:sz w:val="28"/>
          <w:szCs w:val="32"/>
        </w:rPr>
        <w:t>（3）负责规范房地产市场秩序、监督管理房地产市场工作。会同或配合有关部门拟定全市房地产市场监管政策并监督执行，提出全市房地产行业发展规划和产业政策的建议；按规定组织实施并指导监督房地产开发与交易、房屋租赁、房地产估价和经纪管理、物业管理、国有土地上房屋征收拆迁等，会同有关部门管理和发布全市房地产开发、交易信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rPr>
          <w:rFonts w:hint="eastAsia" w:ascii="Times New Roman" w:hAnsi="仿宋" w:eastAsia="宋体" w:cs="仿宋"/>
          <w:color w:val="auto"/>
          <w:spacing w:val="-3"/>
          <w:sz w:val="28"/>
          <w:szCs w:val="32"/>
        </w:rPr>
      </w:pPr>
      <w:r>
        <w:rPr>
          <w:rFonts w:hint="eastAsia" w:ascii="Times New Roman" w:hAnsi="仿宋" w:eastAsia="宋体" w:cs="仿宋"/>
          <w:color w:val="auto"/>
          <w:spacing w:val="-3"/>
          <w:sz w:val="28"/>
          <w:szCs w:val="32"/>
        </w:rPr>
        <w:t>（4）负责全市物业管理活动的监督管理工作；按规定指导业主组建业主大会、业主委员会；负责物业管理优秀小区的创建工作；会同物价部门核定住宅区物业管理服务收费标准。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rPr>
          <w:rFonts w:hint="eastAsia" w:ascii="Times New Roman" w:hAnsi="仿宋" w:eastAsia="宋体" w:cs="仿宋"/>
          <w:color w:val="auto"/>
          <w:spacing w:val="-3"/>
          <w:sz w:val="28"/>
          <w:szCs w:val="32"/>
        </w:rPr>
      </w:pPr>
      <w:r>
        <w:rPr>
          <w:rFonts w:hint="eastAsia" w:ascii="Times New Roman" w:hAnsi="仿宋" w:eastAsia="宋体" w:cs="仿宋"/>
          <w:color w:val="auto"/>
          <w:spacing w:val="-3"/>
          <w:sz w:val="28"/>
          <w:szCs w:val="32"/>
        </w:rPr>
        <w:t>（5）负责规范和指导全市村镇建设工作。负责村庄、集镇建设管理工作，指导小城镇和村庄人居生态环境的改善工作；负责省、泉州市小城镇综合改革建设试点的有关工作。会同有关部门负责组织指导历史文化街区、名镇、名村的申报、保护和监督管理工作。配合实施乡村振兴战略和农村人居环境整治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rPr>
          <w:rFonts w:hint="eastAsia" w:ascii="Times New Roman" w:hAnsi="仿宋" w:eastAsia="宋体" w:cs="仿宋"/>
          <w:color w:val="auto"/>
          <w:spacing w:val="-3"/>
          <w:sz w:val="28"/>
          <w:szCs w:val="32"/>
        </w:rPr>
      </w:pPr>
      <w:r>
        <w:rPr>
          <w:rFonts w:hint="eastAsia" w:ascii="Times New Roman" w:hAnsi="仿宋" w:eastAsia="宋体" w:cs="仿宋"/>
          <w:color w:val="auto"/>
          <w:spacing w:val="-3"/>
          <w:sz w:val="28"/>
          <w:szCs w:val="32"/>
        </w:rPr>
        <w:t>（6）依照有关法律、法规实施行业管理，负责房屋建筑、市政基础设施、燃气、园林绿化、风景名胜等建设单位的资质审查与管理。承担依法管理全市工程建设标准化的责任，按规定开展对工程建设国家标准、行业标准、地方标准和有关定额的实施与监督工作；依法指导、管理全市建筑工程造价计价，按规定权限组织发布工程造价信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rPr>
          <w:rFonts w:hint="eastAsia" w:ascii="Times New Roman" w:hAnsi="仿宋" w:eastAsia="宋体" w:cs="仿宋"/>
          <w:color w:val="auto"/>
          <w:spacing w:val="-3"/>
          <w:sz w:val="28"/>
          <w:szCs w:val="32"/>
        </w:rPr>
      </w:pPr>
      <w:r>
        <w:rPr>
          <w:rFonts w:hint="eastAsia" w:ascii="Times New Roman" w:hAnsi="仿宋" w:eastAsia="宋体" w:cs="仿宋"/>
          <w:color w:val="auto"/>
          <w:spacing w:val="-3"/>
          <w:sz w:val="28"/>
          <w:szCs w:val="32"/>
        </w:rPr>
        <w:t>（7）负责监督管理全市房屋建筑、市政基础设施、燃气、园林绿化、风景名胜工程等建设市场，规范市场各方主体行为。指导和监督全市房屋建筑和市政基础设施、燃气、园林绿化、风景名胜等工程招标投标活动；指导和监督全市房屋建筑和市政基础设施、燃气、园林绿化、风景名胜等工程发包方、承包方和中介服务组织的有关行为。依法查处建筑市场违法违规行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rPr>
          <w:rFonts w:hint="eastAsia" w:ascii="Times New Roman" w:hAnsi="仿宋" w:eastAsia="宋体" w:cs="仿宋"/>
          <w:color w:val="auto"/>
          <w:spacing w:val="-3"/>
          <w:sz w:val="28"/>
          <w:szCs w:val="32"/>
        </w:rPr>
      </w:pPr>
      <w:r>
        <w:rPr>
          <w:rFonts w:hint="eastAsia" w:ascii="Times New Roman" w:hAnsi="仿宋" w:eastAsia="宋体" w:cs="仿宋"/>
          <w:color w:val="auto"/>
          <w:spacing w:val="-3"/>
          <w:sz w:val="28"/>
          <w:szCs w:val="32"/>
        </w:rPr>
        <w:t>（8）负责城乡建设领域的安全生产监督管理和应急处置工作；承担管辖行业建设质量安全监督的责任；监督房屋建筑和市政基础设施、燃气、园林绿化、风景名胜工程质量、建设监理、建筑安全生产和竣工验收备案等有关政策规定的执行；按规定权限负责全市建筑施工企业安全生产许可管理工作，依法组织或参与管辖行业工程质量、安全事故的调查处理工作。指导管理监督房屋建筑和市政基础设施等工程的抗震设防，贯彻执行抗震设计规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rPr>
          <w:rFonts w:hint="eastAsia" w:ascii="Times New Roman" w:hAnsi="仿宋" w:eastAsia="宋体" w:cs="仿宋"/>
          <w:color w:val="auto"/>
          <w:spacing w:val="-3"/>
          <w:sz w:val="28"/>
          <w:szCs w:val="32"/>
        </w:rPr>
      </w:pPr>
      <w:r>
        <w:rPr>
          <w:rFonts w:hint="eastAsia" w:ascii="Times New Roman" w:hAnsi="仿宋" w:eastAsia="宋体" w:cs="仿宋"/>
          <w:color w:val="auto"/>
          <w:spacing w:val="-3"/>
          <w:sz w:val="28"/>
          <w:szCs w:val="32"/>
        </w:rPr>
        <w:t>（9）负责指导监督全市建设工程消防设计审查、消防验收、备案和抽查工作。牵头负责化工建设工程质量监督管理，负责化工建设工程涉及的建筑安装工程质量监督管理。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rPr>
          <w:rFonts w:hint="eastAsia" w:ascii="Times New Roman" w:hAnsi="仿宋" w:eastAsia="宋体" w:cs="仿宋"/>
          <w:color w:val="auto"/>
          <w:spacing w:val="-3"/>
          <w:sz w:val="28"/>
          <w:szCs w:val="32"/>
        </w:rPr>
      </w:pPr>
      <w:r>
        <w:rPr>
          <w:rFonts w:hint="eastAsia" w:ascii="Times New Roman" w:hAnsi="仿宋" w:eastAsia="宋体" w:cs="仿宋"/>
          <w:color w:val="auto"/>
          <w:spacing w:val="-3"/>
          <w:sz w:val="28"/>
          <w:szCs w:val="32"/>
        </w:rPr>
        <w:t>（10）承担全市房屋建筑和市政基础设施、燃气、园林绿化、风景名胜等建设工程勘察、设计监督管理的责任。依法监督管理建设工程勘察、设计工作，按规定负责建设工程勘察、设计单位资质和执业人员资格的管理工作。按规定负责管辖行业各类管理人员和专业技术人员的技能培训、申报专业技术职务任职资格初审等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rPr>
          <w:rFonts w:hint="eastAsia" w:ascii="Times New Roman" w:hAnsi="仿宋" w:eastAsia="宋体" w:cs="仿宋"/>
          <w:color w:val="auto"/>
          <w:spacing w:val="-3"/>
          <w:sz w:val="28"/>
          <w:szCs w:val="32"/>
        </w:rPr>
      </w:pPr>
      <w:r>
        <w:rPr>
          <w:rFonts w:hint="eastAsia" w:ascii="Times New Roman" w:hAnsi="仿宋" w:eastAsia="宋体" w:cs="仿宋"/>
          <w:color w:val="auto"/>
          <w:spacing w:val="-3"/>
          <w:sz w:val="28"/>
          <w:szCs w:val="32"/>
        </w:rPr>
        <w:t>（11）承担推进管辖行业科技发展、建筑节能、绿色建筑和城镇减排的责任。组织管辖行业重大科技项目研发，负责成果的管理和推广应用；组织实施重大建筑节能项目，推进城镇生活减排相关工作。开展有关统计和信息发布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rPr>
          <w:rFonts w:hint="eastAsia" w:ascii="Times New Roman" w:hAnsi="仿宋" w:eastAsia="宋体" w:cs="仿宋"/>
          <w:color w:val="auto"/>
          <w:spacing w:val="-3"/>
          <w:sz w:val="28"/>
          <w:szCs w:val="32"/>
        </w:rPr>
      </w:pPr>
      <w:r>
        <w:rPr>
          <w:rFonts w:hint="eastAsia" w:ascii="Times New Roman" w:hAnsi="仿宋" w:eastAsia="宋体" w:cs="仿宋"/>
          <w:color w:val="auto"/>
          <w:spacing w:val="-3"/>
          <w:sz w:val="28"/>
          <w:szCs w:val="32"/>
        </w:rPr>
        <w:t>（12）按有关规定承担安全生产、生态环境保护相关职责。负责加强本系统、本领域的人才队伍建设。</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outlineLvl w:val="2"/>
        <w:rPr>
          <w:rFonts w:hint="eastAsia" w:ascii="Times New Roman" w:hAnsi="仿宋" w:eastAsia="宋体" w:cs="仿宋"/>
          <w:color w:val="auto"/>
          <w:spacing w:val="-3"/>
          <w:sz w:val="28"/>
          <w:szCs w:val="32"/>
        </w:rPr>
      </w:pPr>
      <w:bookmarkStart w:id="20" w:name="_Toc15468"/>
      <w:r>
        <w:rPr>
          <w:rFonts w:hint="eastAsia" w:ascii="Times New Roman" w:hAnsi="仿宋" w:eastAsia="宋体" w:cs="仿宋"/>
          <w:color w:val="auto"/>
          <w:spacing w:val="-3"/>
          <w:sz w:val="28"/>
          <w:szCs w:val="32"/>
        </w:rPr>
        <w:t>（13）完成市委、市政府交办的其他事项。</w:t>
      </w:r>
      <w:bookmarkEnd w:id="20"/>
    </w:p>
    <w:p>
      <w:pPr>
        <w:keepNext w:val="0"/>
        <w:keepLines w:val="0"/>
        <w:pageBreakBefore w:val="0"/>
        <w:widowControl w:val="0"/>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color w:val="auto"/>
          <w:spacing w:val="-3"/>
          <w:sz w:val="30"/>
          <w:szCs w:val="32"/>
        </w:rPr>
      </w:pPr>
      <w:bookmarkStart w:id="21" w:name="_Toc22580"/>
      <w:r>
        <w:rPr>
          <w:rFonts w:hint="eastAsia" w:ascii="Times New Roman" w:hAnsi="仿宋" w:eastAsia="宋体" w:cs="仿宋"/>
          <w:b/>
          <w:color w:val="auto"/>
          <w:spacing w:val="-3"/>
          <w:sz w:val="30"/>
          <w:szCs w:val="32"/>
        </w:rPr>
        <w:t>（二）下属事业单位及主要职责</w:t>
      </w:r>
      <w:bookmarkEnd w:id="21"/>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outlineLvl w:val="2"/>
        <w:rPr>
          <w:rFonts w:hint="eastAsia" w:ascii="Times New Roman" w:hAnsi="仿宋" w:eastAsia="宋体" w:cs="仿宋"/>
          <w:color w:val="auto"/>
          <w:spacing w:val="-3"/>
          <w:sz w:val="28"/>
          <w:szCs w:val="32"/>
        </w:rPr>
      </w:pPr>
      <w:bookmarkStart w:id="22" w:name="_Toc23802"/>
      <w:r>
        <w:rPr>
          <w:rFonts w:hint="eastAsia" w:ascii="Times New Roman" w:hAnsi="仿宋" w:eastAsia="宋体" w:cs="仿宋"/>
          <w:color w:val="auto"/>
          <w:spacing w:val="-3"/>
          <w:sz w:val="28"/>
          <w:szCs w:val="32"/>
        </w:rPr>
        <w:t>（1）石狮市建设工程质量安全站</w:t>
      </w:r>
      <w:bookmarkEnd w:id="22"/>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rPr>
          <w:rFonts w:hint="eastAsia" w:ascii="Times New Roman" w:hAnsi="仿宋" w:eastAsia="宋体" w:cs="仿宋"/>
          <w:color w:val="auto"/>
          <w:spacing w:val="-3"/>
          <w:sz w:val="28"/>
          <w:szCs w:val="32"/>
        </w:rPr>
      </w:pPr>
      <w:r>
        <w:rPr>
          <w:rFonts w:hint="eastAsia" w:ascii="Times New Roman" w:hAnsi="仿宋" w:eastAsia="宋体" w:cs="仿宋"/>
          <w:color w:val="auto"/>
          <w:spacing w:val="-3"/>
          <w:sz w:val="28"/>
          <w:szCs w:val="32"/>
        </w:rPr>
        <w:t>职责：主要负责承担建设工程质量安全的行政辅助性、技术性、事务性工作。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outlineLvl w:val="2"/>
        <w:rPr>
          <w:rFonts w:hint="eastAsia" w:ascii="Times New Roman" w:hAnsi="仿宋" w:eastAsia="宋体" w:cs="仿宋"/>
          <w:color w:val="auto"/>
          <w:spacing w:val="-3"/>
          <w:sz w:val="28"/>
          <w:szCs w:val="32"/>
        </w:rPr>
      </w:pPr>
      <w:bookmarkStart w:id="23" w:name="_Toc4192"/>
      <w:r>
        <w:rPr>
          <w:rFonts w:hint="eastAsia" w:ascii="Times New Roman" w:hAnsi="仿宋" w:eastAsia="宋体" w:cs="仿宋"/>
          <w:color w:val="auto"/>
          <w:spacing w:val="-3"/>
          <w:sz w:val="28"/>
          <w:szCs w:val="32"/>
        </w:rPr>
        <w:t>（2）石狮市城建档案馆 </w:t>
      </w:r>
      <w:bookmarkEnd w:id="23"/>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rPr>
          <w:rFonts w:hint="eastAsia" w:ascii="Times New Roman" w:hAnsi="仿宋" w:eastAsia="宋体" w:cs="仿宋"/>
          <w:color w:val="auto"/>
          <w:spacing w:val="-3"/>
          <w:sz w:val="28"/>
          <w:szCs w:val="32"/>
        </w:rPr>
      </w:pPr>
      <w:r>
        <w:rPr>
          <w:rFonts w:hint="eastAsia" w:ascii="Times New Roman" w:hAnsi="仿宋" w:eastAsia="宋体" w:cs="仿宋"/>
          <w:color w:val="auto"/>
          <w:spacing w:val="-3"/>
          <w:sz w:val="28"/>
          <w:szCs w:val="32"/>
        </w:rPr>
        <w:t>职责：负责全市城建档案、土地档案的收集、整理、归档并提供利用；国土建设局文书档案的收集、整理、归档并提供利用等工作。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outlineLvl w:val="2"/>
        <w:rPr>
          <w:rFonts w:hint="eastAsia" w:ascii="Times New Roman" w:hAnsi="仿宋" w:eastAsia="宋体" w:cs="仿宋"/>
          <w:color w:val="auto"/>
          <w:spacing w:val="-3"/>
          <w:sz w:val="28"/>
          <w:szCs w:val="32"/>
        </w:rPr>
      </w:pPr>
      <w:bookmarkStart w:id="24" w:name="_Toc4831"/>
      <w:r>
        <w:rPr>
          <w:rFonts w:hint="eastAsia" w:ascii="Times New Roman" w:hAnsi="仿宋" w:eastAsia="宋体" w:cs="仿宋"/>
          <w:color w:val="auto"/>
          <w:spacing w:val="-3"/>
          <w:sz w:val="28"/>
          <w:szCs w:val="32"/>
        </w:rPr>
        <w:t>（3）石狮市住房保障服务中心（石狮市物业服务站） </w:t>
      </w:r>
      <w:bookmarkEnd w:id="24"/>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rPr>
          <w:rFonts w:hint="eastAsia" w:ascii="Times New Roman" w:hAnsi="仿宋" w:eastAsia="宋体" w:cs="仿宋"/>
          <w:color w:val="auto"/>
          <w:spacing w:val="-3"/>
          <w:sz w:val="28"/>
          <w:szCs w:val="32"/>
        </w:rPr>
      </w:pPr>
      <w:r>
        <w:rPr>
          <w:rFonts w:hint="eastAsia" w:ascii="Times New Roman" w:hAnsi="仿宋" w:eastAsia="宋体" w:cs="仿宋"/>
          <w:color w:val="auto"/>
          <w:spacing w:val="-3"/>
          <w:sz w:val="28"/>
          <w:szCs w:val="32"/>
        </w:rPr>
        <w:t>职责：对全市经济适用房、廉租住房、限价商品房、公共租赁住房的政策制定及政策咨询、工程建设管理及保障性住房的配租、配售工作和后续管理条约制定工作。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outlineLvl w:val="2"/>
        <w:rPr>
          <w:rFonts w:hint="eastAsia" w:ascii="Times New Roman" w:hAnsi="仿宋" w:eastAsia="宋体" w:cs="仿宋"/>
          <w:color w:val="auto"/>
          <w:spacing w:val="-3"/>
          <w:sz w:val="28"/>
          <w:szCs w:val="32"/>
        </w:rPr>
      </w:pPr>
      <w:bookmarkStart w:id="25" w:name="_Toc13314"/>
      <w:r>
        <w:rPr>
          <w:rFonts w:hint="eastAsia" w:ascii="Times New Roman" w:hAnsi="仿宋" w:eastAsia="宋体" w:cs="仿宋"/>
          <w:color w:val="auto"/>
          <w:spacing w:val="-3"/>
          <w:sz w:val="28"/>
          <w:szCs w:val="32"/>
        </w:rPr>
        <w:t>（4）石狮市城市建设服务中心 </w:t>
      </w:r>
      <w:bookmarkEnd w:id="25"/>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1" w:firstLine="548" w:firstLineChars="200"/>
        <w:textAlignment w:val="auto"/>
        <w:rPr>
          <w:rFonts w:hint="eastAsia" w:ascii="Times New Roman" w:hAnsi="仿宋" w:eastAsia="宋体" w:cs="仿宋"/>
          <w:color w:val="auto"/>
          <w:spacing w:val="-3"/>
          <w:sz w:val="28"/>
          <w:szCs w:val="32"/>
        </w:rPr>
      </w:pPr>
      <w:r>
        <w:rPr>
          <w:rFonts w:hint="eastAsia" w:ascii="Times New Roman" w:hAnsi="仿宋" w:eastAsia="宋体" w:cs="仿宋"/>
          <w:color w:val="auto"/>
          <w:spacing w:val="-3"/>
          <w:sz w:val="28"/>
          <w:szCs w:val="32"/>
        </w:rPr>
        <w:t>职责：负责承担市政基础设施、燃气、风景名胜、园林绿化等城市建设的行政辅助性、技术性、事务性工作。</w:t>
      </w:r>
    </w:p>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color w:val="auto"/>
          <w:spacing w:val="-3"/>
          <w:sz w:val="30"/>
          <w:szCs w:val="32"/>
        </w:rPr>
      </w:pPr>
      <w:bookmarkStart w:id="26" w:name="_Toc26287"/>
      <w:r>
        <w:rPr>
          <w:rFonts w:hint="eastAsia" w:ascii="Times New Roman" w:hAnsi="仿宋" w:eastAsia="宋体" w:cs="仿宋"/>
          <w:b/>
          <w:color w:val="auto"/>
          <w:spacing w:val="-3"/>
          <w:sz w:val="30"/>
          <w:szCs w:val="32"/>
        </w:rPr>
        <w:t>人员结构</w:t>
      </w:r>
      <w:bookmarkEnd w:id="26"/>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113" w:firstLine="552" w:firstLineChars="200"/>
        <w:textAlignment w:val="auto"/>
        <w:rPr>
          <w:rFonts w:hint="eastAsia" w:ascii="Times New Roman" w:hAnsi="仿宋" w:eastAsia="宋体" w:cs="仿宋"/>
          <w:color w:val="auto"/>
          <w:sz w:val="28"/>
          <w:szCs w:val="32"/>
        </w:rPr>
      </w:pPr>
      <w:r>
        <w:rPr>
          <w:rFonts w:hint="eastAsia" w:ascii="Times New Roman" w:hAnsi="仿宋" w:eastAsia="宋体" w:cs="仿宋"/>
          <w:color w:val="auto"/>
          <w:spacing w:val="-2"/>
          <w:sz w:val="28"/>
          <w:szCs w:val="32"/>
        </w:rPr>
        <w:t>2022</w:t>
      </w:r>
      <w:r>
        <w:rPr>
          <w:rFonts w:hint="eastAsia" w:ascii="Times New Roman" w:hAnsi="仿宋" w:eastAsia="宋体" w:cs="仿宋"/>
          <w:color w:val="auto"/>
          <w:spacing w:val="14"/>
          <w:sz w:val="28"/>
          <w:szCs w:val="32"/>
        </w:rPr>
        <w:t>年</w:t>
      </w:r>
      <w:r>
        <w:rPr>
          <w:rFonts w:hint="eastAsia" w:ascii="Times New Roman" w:hAnsi="仿宋" w:eastAsia="宋体" w:cs="仿宋"/>
          <w:color w:val="auto"/>
          <w:spacing w:val="8"/>
          <w:sz w:val="28"/>
          <w:szCs w:val="32"/>
        </w:rPr>
        <w:t>石狮市住房和城乡建设局</w:t>
      </w:r>
      <w:r>
        <w:rPr>
          <w:rFonts w:hint="eastAsia" w:ascii="Times New Roman" w:hAnsi="仿宋" w:eastAsia="宋体" w:cs="仿宋"/>
          <w:color w:val="auto"/>
          <w:spacing w:val="-4"/>
          <w:sz w:val="28"/>
          <w:szCs w:val="32"/>
        </w:rPr>
        <w:t>机</w:t>
      </w:r>
      <w:r>
        <w:rPr>
          <w:rFonts w:hint="eastAsia" w:ascii="Times New Roman" w:hAnsi="仿宋" w:eastAsia="宋体" w:cs="仿宋"/>
          <w:color w:val="auto"/>
          <w:spacing w:val="-3"/>
          <w:sz w:val="28"/>
          <w:szCs w:val="32"/>
        </w:rPr>
        <w:t>关</w:t>
      </w:r>
      <w:r>
        <w:rPr>
          <w:rFonts w:hint="eastAsia" w:ascii="Times New Roman" w:hAnsi="仿宋" w:eastAsia="宋体" w:cs="仿宋"/>
          <w:color w:val="auto"/>
          <w:spacing w:val="-2"/>
          <w:sz w:val="28"/>
          <w:szCs w:val="32"/>
        </w:rPr>
        <w:t>行政处 (科) 室</w:t>
      </w:r>
      <w:r>
        <w:rPr>
          <w:rFonts w:hint="eastAsia" w:ascii="Times New Roman" w:hAnsi="仿宋" w:eastAsia="宋体" w:cs="仿宋"/>
          <w:color w:val="auto"/>
          <w:spacing w:val="14"/>
          <w:sz w:val="28"/>
          <w:szCs w:val="32"/>
        </w:rPr>
        <w:t>单位及下属事业</w:t>
      </w:r>
      <w:r>
        <w:rPr>
          <w:rFonts w:hint="eastAsia" w:ascii="Times New Roman" w:hAnsi="仿宋" w:eastAsia="宋体" w:cs="仿宋"/>
          <w:color w:val="auto"/>
          <w:spacing w:val="8"/>
          <w:sz w:val="28"/>
          <w:szCs w:val="32"/>
        </w:rPr>
        <w:t>人员的详细情况见下表:</w:t>
      </w:r>
    </w:p>
    <w:tbl>
      <w:tblPr>
        <w:tblStyle w:val="30"/>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794"/>
        <w:gridCol w:w="1973"/>
        <w:gridCol w:w="254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trPr>
        <w:tc>
          <w:tcPr>
            <w:tcW w:w="2282" w:type="pct"/>
          </w:tcPr>
          <w:p>
            <w:pPr>
              <w:widowControl/>
              <w:jc w:val="center"/>
              <w:textAlignment w:val="center"/>
              <w:rPr>
                <w:rFonts w:hint="eastAsia" w:ascii="宋体" w:hAnsi="宋体" w:eastAsia="宋体" w:cs="宋体"/>
                <w:color w:val="auto"/>
                <w:kern w:val="0"/>
                <w:sz w:val="22"/>
                <w:szCs w:val="22"/>
                <w:lang w:bidi="ar"/>
              </w:rPr>
            </w:pPr>
            <w:r>
              <w:rPr>
                <w:rFonts w:hint="eastAsia" w:ascii="宋体" w:hAnsi="宋体" w:eastAsia="宋体" w:cs="宋体"/>
                <w:color w:val="auto"/>
                <w:kern w:val="0"/>
                <w:sz w:val="22"/>
                <w:szCs w:val="22"/>
                <w:lang w:bidi="ar"/>
              </w:rPr>
              <w:t>单位名称</w:t>
            </w:r>
          </w:p>
        </w:tc>
        <w:tc>
          <w:tcPr>
            <w:tcW w:w="1187" w:type="pct"/>
          </w:tcPr>
          <w:p>
            <w:pPr>
              <w:widowControl/>
              <w:jc w:val="center"/>
              <w:textAlignment w:val="center"/>
              <w:rPr>
                <w:rFonts w:hint="eastAsia" w:ascii="宋体" w:hAnsi="宋体" w:eastAsia="宋体" w:cs="宋体"/>
                <w:color w:val="auto"/>
                <w:kern w:val="0"/>
                <w:sz w:val="22"/>
                <w:szCs w:val="22"/>
                <w:lang w:bidi="ar"/>
              </w:rPr>
            </w:pPr>
            <w:r>
              <w:rPr>
                <w:rFonts w:hint="eastAsia" w:ascii="宋体" w:hAnsi="宋体" w:eastAsia="宋体" w:cs="宋体"/>
                <w:color w:val="auto"/>
                <w:kern w:val="0"/>
                <w:sz w:val="22"/>
                <w:szCs w:val="22"/>
                <w:lang w:bidi="ar"/>
              </w:rPr>
              <w:t>人员编制数</w:t>
            </w:r>
          </w:p>
        </w:tc>
        <w:tc>
          <w:tcPr>
            <w:tcW w:w="1530" w:type="pct"/>
          </w:tcPr>
          <w:p>
            <w:pPr>
              <w:widowControl/>
              <w:jc w:val="center"/>
              <w:textAlignment w:val="center"/>
              <w:rPr>
                <w:rFonts w:hint="eastAsia" w:ascii="宋体" w:hAnsi="宋体" w:eastAsia="宋体" w:cs="宋体"/>
                <w:color w:val="auto"/>
                <w:kern w:val="0"/>
                <w:sz w:val="22"/>
                <w:szCs w:val="22"/>
                <w:lang w:bidi="ar"/>
              </w:rPr>
            </w:pPr>
            <w:r>
              <w:rPr>
                <w:rFonts w:hint="eastAsia" w:ascii="宋体" w:hAnsi="宋体" w:eastAsia="宋体" w:cs="宋体"/>
                <w:color w:val="auto"/>
                <w:kern w:val="0"/>
                <w:sz w:val="22"/>
                <w:szCs w:val="22"/>
                <w:lang w:bidi="ar"/>
              </w:rPr>
              <w:t>在职人数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282" w:type="pct"/>
          </w:tcPr>
          <w:p>
            <w:pPr>
              <w:widowControl/>
              <w:jc w:val="center"/>
              <w:textAlignment w:val="center"/>
              <w:rPr>
                <w:rFonts w:hint="eastAsia" w:ascii="宋体" w:hAnsi="宋体" w:eastAsia="宋体" w:cs="宋体"/>
                <w:color w:val="auto"/>
                <w:kern w:val="0"/>
                <w:sz w:val="22"/>
                <w:szCs w:val="22"/>
                <w:lang w:bidi="ar"/>
              </w:rPr>
            </w:pPr>
            <w:r>
              <w:rPr>
                <w:rFonts w:hint="eastAsia" w:ascii="宋体" w:hAnsi="宋体" w:eastAsia="宋体" w:cs="宋体"/>
                <w:color w:val="auto"/>
                <w:kern w:val="0"/>
                <w:sz w:val="22"/>
                <w:szCs w:val="22"/>
                <w:lang w:bidi="ar"/>
              </w:rPr>
              <w:t>住房和城乡建设局</w:t>
            </w:r>
          </w:p>
        </w:tc>
        <w:tc>
          <w:tcPr>
            <w:tcW w:w="1187" w:type="pct"/>
          </w:tcPr>
          <w:p>
            <w:pPr>
              <w:widowControl/>
              <w:jc w:val="center"/>
              <w:textAlignment w:val="center"/>
              <w:rPr>
                <w:rFonts w:hint="eastAsia" w:ascii="宋体" w:hAnsi="宋体" w:eastAsia="宋体" w:cs="宋体"/>
                <w:color w:val="auto"/>
                <w:kern w:val="0"/>
                <w:sz w:val="22"/>
                <w:szCs w:val="22"/>
                <w:lang w:bidi="ar"/>
              </w:rPr>
            </w:pPr>
            <w:r>
              <w:rPr>
                <w:rFonts w:hint="eastAsia" w:ascii="宋体" w:hAnsi="宋体" w:eastAsia="宋体" w:cs="宋体"/>
                <w:color w:val="auto"/>
                <w:kern w:val="0"/>
                <w:sz w:val="22"/>
                <w:szCs w:val="22"/>
                <w:lang w:bidi="ar"/>
              </w:rPr>
              <w:t>13</w:t>
            </w:r>
          </w:p>
        </w:tc>
        <w:tc>
          <w:tcPr>
            <w:tcW w:w="1530" w:type="pct"/>
          </w:tcPr>
          <w:p>
            <w:pPr>
              <w:widowControl/>
              <w:jc w:val="center"/>
              <w:textAlignment w:val="center"/>
              <w:rPr>
                <w:rFonts w:hint="eastAsia" w:ascii="宋体" w:hAnsi="宋体" w:eastAsia="宋体" w:cs="宋体"/>
                <w:color w:val="auto"/>
                <w:kern w:val="0"/>
                <w:sz w:val="22"/>
                <w:szCs w:val="22"/>
                <w:lang w:bidi="ar"/>
              </w:rPr>
            </w:pPr>
            <w:r>
              <w:rPr>
                <w:rFonts w:hint="eastAsia" w:ascii="宋体" w:hAnsi="宋体" w:eastAsia="宋体" w:cs="宋体"/>
                <w:color w:val="auto"/>
                <w:kern w:val="0"/>
                <w:sz w:val="22"/>
                <w:szCs w:val="22"/>
                <w:lang w:bidi="ar"/>
              </w:rPr>
              <w:t>13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2282" w:type="pct"/>
          </w:tcPr>
          <w:p>
            <w:pPr>
              <w:widowControl/>
              <w:jc w:val="center"/>
              <w:textAlignment w:val="center"/>
              <w:rPr>
                <w:rFonts w:hint="eastAsia" w:ascii="宋体" w:hAnsi="宋体" w:eastAsia="宋体" w:cs="宋体"/>
                <w:color w:val="auto"/>
                <w:kern w:val="0"/>
                <w:sz w:val="22"/>
                <w:szCs w:val="22"/>
                <w:lang w:bidi="ar"/>
              </w:rPr>
            </w:pPr>
            <w:r>
              <w:rPr>
                <w:rFonts w:hint="eastAsia" w:ascii="宋体" w:hAnsi="宋体" w:eastAsia="宋体" w:cs="宋体"/>
                <w:color w:val="auto"/>
                <w:kern w:val="0"/>
                <w:sz w:val="22"/>
                <w:szCs w:val="22"/>
                <w:lang w:bidi="ar"/>
              </w:rPr>
              <w:t>人防指挥所管理中心</w:t>
            </w:r>
          </w:p>
        </w:tc>
        <w:tc>
          <w:tcPr>
            <w:tcW w:w="1187" w:type="pct"/>
          </w:tcPr>
          <w:p>
            <w:pPr>
              <w:widowControl/>
              <w:jc w:val="center"/>
              <w:textAlignment w:val="center"/>
              <w:rPr>
                <w:rFonts w:hint="eastAsia" w:ascii="宋体" w:hAnsi="宋体" w:eastAsia="宋体" w:cs="宋体"/>
                <w:color w:val="auto"/>
                <w:kern w:val="0"/>
                <w:sz w:val="22"/>
                <w:szCs w:val="22"/>
                <w:lang w:bidi="ar"/>
              </w:rPr>
            </w:pPr>
            <w:r>
              <w:rPr>
                <w:rFonts w:hint="eastAsia" w:ascii="宋体" w:hAnsi="宋体" w:eastAsia="宋体" w:cs="宋体"/>
                <w:color w:val="auto"/>
                <w:kern w:val="0"/>
                <w:sz w:val="22"/>
                <w:szCs w:val="22"/>
                <w:lang w:bidi="ar"/>
              </w:rPr>
              <w:t>3</w:t>
            </w:r>
          </w:p>
        </w:tc>
        <w:tc>
          <w:tcPr>
            <w:tcW w:w="1530" w:type="pct"/>
          </w:tcPr>
          <w:p>
            <w:pPr>
              <w:widowControl/>
              <w:jc w:val="center"/>
              <w:textAlignment w:val="center"/>
              <w:rPr>
                <w:rFonts w:hint="eastAsia" w:ascii="宋体" w:hAnsi="宋体" w:eastAsia="宋体" w:cs="宋体"/>
                <w:color w:val="auto"/>
                <w:kern w:val="0"/>
                <w:sz w:val="22"/>
                <w:szCs w:val="22"/>
                <w:lang w:bidi="ar"/>
              </w:rPr>
            </w:pPr>
            <w:r>
              <w:rPr>
                <w:rFonts w:hint="eastAsia" w:ascii="宋体" w:hAnsi="宋体" w:eastAsia="宋体" w:cs="宋体"/>
                <w:color w:val="auto"/>
                <w:kern w:val="0"/>
                <w:sz w:val="22"/>
                <w:szCs w:val="22"/>
                <w:lang w:bidi="ar"/>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2282" w:type="pct"/>
          </w:tcPr>
          <w:p>
            <w:pPr>
              <w:widowControl/>
              <w:jc w:val="center"/>
              <w:textAlignment w:val="center"/>
              <w:rPr>
                <w:rFonts w:hint="eastAsia" w:ascii="宋体" w:hAnsi="宋体" w:eastAsia="宋体" w:cs="宋体"/>
                <w:color w:val="auto"/>
                <w:kern w:val="0"/>
                <w:sz w:val="22"/>
                <w:szCs w:val="22"/>
                <w:lang w:bidi="ar"/>
              </w:rPr>
            </w:pPr>
            <w:r>
              <w:rPr>
                <w:rFonts w:hint="eastAsia" w:ascii="宋体" w:hAnsi="宋体" w:eastAsia="宋体" w:cs="宋体"/>
                <w:color w:val="auto"/>
                <w:kern w:val="0"/>
                <w:sz w:val="22"/>
                <w:szCs w:val="22"/>
                <w:lang w:bidi="ar"/>
              </w:rPr>
              <w:t>城建档案馆</w:t>
            </w:r>
          </w:p>
        </w:tc>
        <w:tc>
          <w:tcPr>
            <w:tcW w:w="1187" w:type="pct"/>
          </w:tcPr>
          <w:p>
            <w:pPr>
              <w:widowControl/>
              <w:jc w:val="center"/>
              <w:textAlignment w:val="center"/>
              <w:rPr>
                <w:rFonts w:hint="eastAsia" w:ascii="宋体" w:hAnsi="宋体" w:eastAsia="宋体" w:cs="宋体"/>
                <w:color w:val="auto"/>
                <w:kern w:val="0"/>
                <w:sz w:val="22"/>
                <w:szCs w:val="22"/>
                <w:lang w:bidi="ar"/>
              </w:rPr>
            </w:pPr>
            <w:r>
              <w:rPr>
                <w:rFonts w:hint="eastAsia" w:ascii="宋体" w:hAnsi="宋体" w:eastAsia="宋体" w:cs="宋体"/>
                <w:color w:val="auto"/>
                <w:kern w:val="0"/>
                <w:sz w:val="22"/>
                <w:szCs w:val="22"/>
                <w:lang w:bidi="ar"/>
              </w:rPr>
              <w:t>7</w:t>
            </w:r>
          </w:p>
        </w:tc>
        <w:tc>
          <w:tcPr>
            <w:tcW w:w="1530" w:type="pct"/>
          </w:tcPr>
          <w:p>
            <w:pPr>
              <w:widowControl/>
              <w:jc w:val="center"/>
              <w:textAlignment w:val="center"/>
              <w:rPr>
                <w:rFonts w:hint="eastAsia" w:ascii="宋体" w:hAnsi="宋体" w:eastAsia="宋体" w:cs="宋体"/>
                <w:color w:val="auto"/>
                <w:kern w:val="0"/>
                <w:sz w:val="22"/>
                <w:szCs w:val="22"/>
                <w:lang w:bidi="ar"/>
              </w:rPr>
            </w:pPr>
            <w:r>
              <w:rPr>
                <w:rFonts w:hint="eastAsia" w:ascii="宋体" w:hAnsi="宋体" w:eastAsia="宋体" w:cs="宋体"/>
                <w:color w:val="auto"/>
                <w:kern w:val="0"/>
                <w:sz w:val="22"/>
                <w:szCs w:val="22"/>
                <w:lang w:bidi="ar"/>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282" w:type="pct"/>
          </w:tcPr>
          <w:p>
            <w:pPr>
              <w:widowControl/>
              <w:jc w:val="center"/>
              <w:textAlignment w:val="center"/>
              <w:rPr>
                <w:rFonts w:hint="eastAsia" w:ascii="宋体" w:hAnsi="宋体" w:eastAsia="宋体" w:cs="宋体"/>
                <w:color w:val="auto"/>
                <w:kern w:val="0"/>
                <w:sz w:val="22"/>
                <w:szCs w:val="22"/>
                <w:lang w:bidi="ar"/>
              </w:rPr>
            </w:pPr>
            <w:r>
              <w:rPr>
                <w:rFonts w:hint="eastAsia" w:ascii="宋体" w:hAnsi="宋体" w:eastAsia="宋体" w:cs="宋体"/>
                <w:color w:val="auto"/>
                <w:kern w:val="0"/>
                <w:sz w:val="22"/>
                <w:szCs w:val="22"/>
                <w:lang w:bidi="ar"/>
              </w:rPr>
              <w:t>城市建设服务中心</w:t>
            </w:r>
          </w:p>
        </w:tc>
        <w:tc>
          <w:tcPr>
            <w:tcW w:w="1187" w:type="pct"/>
          </w:tcPr>
          <w:p>
            <w:pPr>
              <w:widowControl/>
              <w:jc w:val="center"/>
              <w:textAlignment w:val="center"/>
              <w:rPr>
                <w:rFonts w:hint="eastAsia" w:ascii="宋体" w:hAnsi="宋体" w:eastAsia="宋体" w:cs="宋体"/>
                <w:color w:val="auto"/>
                <w:kern w:val="0"/>
                <w:sz w:val="22"/>
                <w:szCs w:val="22"/>
                <w:lang w:bidi="ar"/>
              </w:rPr>
            </w:pPr>
            <w:r>
              <w:rPr>
                <w:rFonts w:hint="eastAsia" w:ascii="宋体" w:hAnsi="宋体" w:eastAsia="宋体" w:cs="宋体"/>
                <w:color w:val="auto"/>
                <w:kern w:val="0"/>
                <w:sz w:val="22"/>
                <w:szCs w:val="22"/>
                <w:lang w:bidi="ar"/>
              </w:rPr>
              <w:t>19</w:t>
            </w:r>
          </w:p>
        </w:tc>
        <w:tc>
          <w:tcPr>
            <w:tcW w:w="1530" w:type="pct"/>
          </w:tcPr>
          <w:p>
            <w:pPr>
              <w:widowControl/>
              <w:jc w:val="center"/>
              <w:textAlignment w:val="center"/>
              <w:rPr>
                <w:rFonts w:hint="eastAsia" w:ascii="宋体" w:hAnsi="宋体" w:eastAsia="宋体" w:cs="宋体"/>
                <w:color w:val="auto"/>
                <w:kern w:val="0"/>
                <w:sz w:val="22"/>
                <w:szCs w:val="22"/>
                <w:lang w:bidi="ar"/>
              </w:rPr>
            </w:pPr>
            <w:r>
              <w:rPr>
                <w:rFonts w:hint="eastAsia" w:ascii="宋体" w:hAnsi="宋体" w:eastAsia="宋体" w:cs="宋体"/>
                <w:color w:val="auto"/>
                <w:kern w:val="0"/>
                <w:sz w:val="22"/>
                <w:szCs w:val="22"/>
                <w:lang w:bidi="ar"/>
              </w:rPr>
              <w:t>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2282" w:type="pct"/>
          </w:tcPr>
          <w:p>
            <w:pPr>
              <w:widowControl/>
              <w:jc w:val="center"/>
              <w:textAlignment w:val="center"/>
              <w:rPr>
                <w:rFonts w:hint="eastAsia" w:ascii="宋体" w:hAnsi="宋体" w:eastAsia="宋体" w:cs="宋体"/>
                <w:color w:val="auto"/>
                <w:kern w:val="0"/>
                <w:sz w:val="22"/>
                <w:szCs w:val="22"/>
                <w:lang w:bidi="ar"/>
              </w:rPr>
            </w:pPr>
            <w:r>
              <w:rPr>
                <w:rFonts w:hint="eastAsia" w:ascii="宋体" w:hAnsi="宋体" w:eastAsia="宋体" w:cs="宋体"/>
                <w:color w:val="auto"/>
                <w:kern w:val="0"/>
                <w:sz w:val="22"/>
                <w:szCs w:val="22"/>
                <w:lang w:bidi="ar"/>
              </w:rPr>
              <w:t>合计</w:t>
            </w:r>
          </w:p>
        </w:tc>
        <w:tc>
          <w:tcPr>
            <w:tcW w:w="1187" w:type="pct"/>
          </w:tcPr>
          <w:p>
            <w:pPr>
              <w:widowControl/>
              <w:jc w:val="center"/>
              <w:textAlignment w:val="center"/>
              <w:rPr>
                <w:rFonts w:hint="eastAsia" w:ascii="宋体" w:hAnsi="宋体" w:eastAsia="宋体" w:cs="宋体"/>
                <w:color w:val="auto"/>
                <w:kern w:val="0"/>
                <w:sz w:val="22"/>
                <w:szCs w:val="22"/>
                <w:lang w:bidi="ar"/>
              </w:rPr>
            </w:pPr>
            <w:r>
              <w:rPr>
                <w:rFonts w:hint="eastAsia" w:ascii="宋体" w:hAnsi="宋体" w:eastAsia="宋体" w:cs="宋体"/>
                <w:color w:val="auto"/>
                <w:kern w:val="0"/>
                <w:sz w:val="22"/>
                <w:szCs w:val="22"/>
                <w:lang w:bidi="ar"/>
              </w:rPr>
              <w:t>42</w:t>
            </w:r>
          </w:p>
        </w:tc>
        <w:tc>
          <w:tcPr>
            <w:tcW w:w="1530" w:type="pct"/>
          </w:tcPr>
          <w:p>
            <w:pPr>
              <w:widowControl/>
              <w:jc w:val="center"/>
              <w:textAlignment w:val="center"/>
              <w:rPr>
                <w:rFonts w:hint="default"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36</w:t>
            </w:r>
          </w:p>
        </w:tc>
      </w:tr>
    </w:tbl>
    <w:p>
      <w:pPr>
        <w:pStyle w:val="8"/>
        <w:snapToGrid/>
        <w:spacing w:before="156" w:beforeLines="50" w:beforeAutospacing="0" w:afterAutospacing="0" w:line="360" w:lineRule="auto"/>
        <w:ind w:left="0" w:leftChars="0" w:right="0" w:rightChars="0" w:firstLine="0" w:firstLineChars="0"/>
        <w:jc w:val="left"/>
        <w:outlineLvl w:val="1"/>
        <w:rPr>
          <w:rFonts w:hint="eastAsia" w:ascii="Times New Roman" w:hAnsi="仿宋" w:eastAsia="宋体" w:cs="仿宋"/>
          <w:b/>
          <w:bCs/>
          <w:color w:val="auto"/>
          <w:spacing w:val="4"/>
          <w:kern w:val="2"/>
          <w:sz w:val="30"/>
          <w:szCs w:val="32"/>
        </w:rPr>
      </w:pPr>
      <w:bookmarkStart w:id="27" w:name="_Toc8263"/>
      <w:r>
        <w:rPr>
          <w:rFonts w:hint="eastAsia" w:ascii="Times New Roman" w:hAnsi="仿宋" w:eastAsia="宋体" w:cs="仿宋"/>
          <w:b/>
          <w:bCs/>
          <w:color w:val="auto"/>
          <w:spacing w:val="4"/>
          <w:kern w:val="2"/>
          <w:sz w:val="30"/>
          <w:szCs w:val="32"/>
        </w:rPr>
        <w:t>（四）部门整体收支情况</w:t>
      </w:r>
      <w:bookmarkEnd w:id="27"/>
    </w:p>
    <w:p>
      <w:pPr>
        <w:pStyle w:val="7"/>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color w:val="auto"/>
          <w:spacing w:val="4"/>
          <w:sz w:val="28"/>
          <w:szCs w:val="32"/>
        </w:rPr>
      </w:pPr>
      <w:r>
        <w:rPr>
          <w:rFonts w:hint="eastAsia" w:ascii="Times New Roman" w:hAnsi="仿宋" w:eastAsia="宋体" w:cs="仿宋"/>
          <w:color w:val="auto"/>
          <w:spacing w:val="4"/>
          <w:kern w:val="2"/>
          <w:sz w:val="28"/>
          <w:szCs w:val="32"/>
          <w:lang w:val="en-US" w:eastAsia="zh-CN" w:bidi="ar-SA"/>
        </w:rPr>
        <w:t>2022年，石狮市住房和城乡建设局部门整体支出整体收入18672.57万，其中，财政指标下达19287.58万元，调剂金额615万元，支付18171.18万元，年末指标余额501.4万元。</w:t>
      </w:r>
    </w:p>
    <w:p>
      <w:pPr>
        <w:snapToGrid/>
        <w:spacing w:beforeAutospacing="0" w:afterAutospacing="0" w:line="360" w:lineRule="auto"/>
        <w:ind w:left="0" w:leftChars="0" w:firstLine="0"/>
        <w:rPr>
          <w:rFonts w:hint="eastAsia" w:ascii="Times New Roman" w:hAnsi="仿宋" w:eastAsia="宋体" w:cs="仿宋"/>
          <w:b/>
          <w:bCs/>
          <w:color w:val="auto"/>
          <w:spacing w:val="4"/>
          <w:sz w:val="28"/>
          <w:szCs w:val="32"/>
          <w:lang w:eastAsia="zh-CN"/>
        </w:rPr>
      </w:pPr>
      <w:r>
        <w:rPr>
          <w:rFonts w:hint="eastAsia" w:ascii="Times New Roman" w:hAnsi="仿宋" w:eastAsia="宋体" w:cs="仿宋"/>
          <w:b/>
          <w:bCs/>
          <w:color w:val="auto"/>
          <w:spacing w:val="4"/>
          <w:sz w:val="28"/>
          <w:szCs w:val="32"/>
        </w:rPr>
        <w:t>机关及下属单位收入支出总表</w:t>
      </w:r>
      <w:r>
        <w:rPr>
          <w:rFonts w:hint="eastAsia" w:ascii="Times New Roman" w:hAnsi="仿宋" w:eastAsia="宋体" w:cs="仿宋"/>
          <w:b/>
          <w:bCs/>
          <w:color w:val="auto"/>
          <w:spacing w:val="4"/>
          <w:sz w:val="28"/>
          <w:szCs w:val="32"/>
          <w:lang w:eastAsia="zh-CN"/>
        </w:rPr>
        <w:t>（</w:t>
      </w:r>
      <w:r>
        <w:rPr>
          <w:rFonts w:hint="eastAsia" w:ascii="Times New Roman" w:hAnsi="仿宋" w:eastAsia="宋体" w:cs="仿宋"/>
          <w:b/>
          <w:bCs/>
          <w:color w:val="auto"/>
          <w:spacing w:val="4"/>
          <w:sz w:val="28"/>
          <w:szCs w:val="32"/>
          <w:lang w:val="en-US" w:eastAsia="zh-CN"/>
        </w:rPr>
        <w:t>根据决算收入支出表</w:t>
      </w:r>
      <w:r>
        <w:rPr>
          <w:rFonts w:hint="eastAsia" w:ascii="Times New Roman" w:hAnsi="仿宋" w:eastAsia="宋体" w:cs="仿宋"/>
          <w:b/>
          <w:bCs/>
          <w:color w:val="auto"/>
          <w:spacing w:val="4"/>
          <w:sz w:val="28"/>
          <w:szCs w:val="32"/>
          <w:lang w:eastAsia="zh-CN"/>
        </w:rPr>
        <w:t>）</w:t>
      </w:r>
    </w:p>
    <w:tbl>
      <w:tblPr>
        <w:tblStyle w:val="17"/>
        <w:tblW w:w="5105" w:type="pct"/>
        <w:tblInd w:w="0" w:type="dxa"/>
        <w:tblLayout w:type="fixed"/>
        <w:tblCellMar>
          <w:top w:w="0" w:type="dxa"/>
          <w:left w:w="108" w:type="dxa"/>
          <w:bottom w:w="0" w:type="dxa"/>
          <w:right w:w="108" w:type="dxa"/>
        </w:tblCellMar>
      </w:tblPr>
      <w:tblGrid>
        <w:gridCol w:w="2068"/>
        <w:gridCol w:w="1612"/>
        <w:gridCol w:w="1132"/>
        <w:gridCol w:w="1739"/>
        <w:gridCol w:w="2150"/>
      </w:tblGrid>
      <w:tr>
        <w:tblPrEx>
          <w:tblCellMar>
            <w:top w:w="0" w:type="dxa"/>
            <w:left w:w="108" w:type="dxa"/>
            <w:bottom w:w="0" w:type="dxa"/>
            <w:right w:w="108" w:type="dxa"/>
          </w:tblCellMar>
        </w:tblPrEx>
        <w:trPr>
          <w:trHeight w:val="559" w:hRule="atLeast"/>
        </w:trPr>
        <w:tc>
          <w:tcPr>
            <w:tcW w:w="1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单位名称</w:t>
            </w:r>
          </w:p>
        </w:tc>
        <w:tc>
          <w:tcPr>
            <w:tcW w:w="9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年初预算</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年初结余</w:t>
            </w:r>
          </w:p>
        </w:tc>
        <w:tc>
          <w:tcPr>
            <w:tcW w:w="9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预算总收入</w:t>
            </w:r>
          </w:p>
        </w:tc>
        <w:tc>
          <w:tcPr>
            <w:tcW w:w="1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年末决算</w:t>
            </w:r>
          </w:p>
        </w:tc>
      </w:tr>
      <w:tr>
        <w:tblPrEx>
          <w:tblCellMar>
            <w:top w:w="0" w:type="dxa"/>
            <w:left w:w="108" w:type="dxa"/>
            <w:bottom w:w="0" w:type="dxa"/>
            <w:right w:w="108" w:type="dxa"/>
          </w:tblCellMar>
        </w:tblPrEx>
        <w:trPr>
          <w:trHeight w:val="689" w:hRule="atLeast"/>
        </w:trPr>
        <w:tc>
          <w:tcPr>
            <w:tcW w:w="1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石狮市住房和城乡建设局</w:t>
            </w:r>
          </w:p>
        </w:tc>
        <w:tc>
          <w:tcPr>
            <w:tcW w:w="9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1031.53</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3.88</w:t>
            </w:r>
          </w:p>
        </w:tc>
        <w:tc>
          <w:tcPr>
            <w:tcW w:w="9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15931.8</w:t>
            </w:r>
          </w:p>
        </w:tc>
        <w:tc>
          <w:tcPr>
            <w:tcW w:w="1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15145.65</w:t>
            </w:r>
          </w:p>
        </w:tc>
      </w:tr>
      <w:tr>
        <w:tblPrEx>
          <w:tblCellMar>
            <w:top w:w="0" w:type="dxa"/>
            <w:left w:w="108" w:type="dxa"/>
            <w:bottom w:w="0" w:type="dxa"/>
            <w:right w:w="108" w:type="dxa"/>
          </w:tblCellMar>
        </w:tblPrEx>
        <w:trPr>
          <w:trHeight w:val="674" w:hRule="atLeast"/>
        </w:trPr>
        <w:tc>
          <w:tcPr>
            <w:tcW w:w="1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石狮市建设工程质量安全站</w:t>
            </w:r>
          </w:p>
        </w:tc>
        <w:tc>
          <w:tcPr>
            <w:tcW w:w="9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337.12</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182.13</w:t>
            </w:r>
          </w:p>
        </w:tc>
        <w:tc>
          <w:tcPr>
            <w:tcW w:w="9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728.76</w:t>
            </w:r>
          </w:p>
        </w:tc>
        <w:tc>
          <w:tcPr>
            <w:tcW w:w="1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546.63</w:t>
            </w:r>
          </w:p>
        </w:tc>
      </w:tr>
      <w:tr>
        <w:tblPrEx>
          <w:tblCellMar>
            <w:top w:w="0" w:type="dxa"/>
            <w:left w:w="108" w:type="dxa"/>
            <w:bottom w:w="0" w:type="dxa"/>
            <w:right w:w="108" w:type="dxa"/>
          </w:tblCellMar>
        </w:tblPrEx>
        <w:trPr>
          <w:trHeight w:val="764" w:hRule="atLeast"/>
        </w:trPr>
        <w:tc>
          <w:tcPr>
            <w:tcW w:w="1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石狮市住房保障服务中心</w:t>
            </w:r>
          </w:p>
        </w:tc>
        <w:tc>
          <w:tcPr>
            <w:tcW w:w="9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161.50</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5455.29</w:t>
            </w:r>
          </w:p>
        </w:tc>
        <w:tc>
          <w:tcPr>
            <w:tcW w:w="9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5693.09</w:t>
            </w:r>
          </w:p>
        </w:tc>
        <w:tc>
          <w:tcPr>
            <w:tcW w:w="1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357.11</w:t>
            </w:r>
          </w:p>
        </w:tc>
      </w:tr>
      <w:tr>
        <w:tblPrEx>
          <w:tblCellMar>
            <w:top w:w="0" w:type="dxa"/>
            <w:left w:w="108" w:type="dxa"/>
            <w:bottom w:w="0" w:type="dxa"/>
            <w:right w:w="108" w:type="dxa"/>
          </w:tblCellMar>
        </w:tblPrEx>
        <w:trPr>
          <w:trHeight w:val="507" w:hRule="atLeast"/>
        </w:trPr>
        <w:tc>
          <w:tcPr>
            <w:tcW w:w="1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合计</w:t>
            </w:r>
          </w:p>
        </w:tc>
        <w:tc>
          <w:tcPr>
            <w:tcW w:w="9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1530.15</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5641.30</w:t>
            </w:r>
          </w:p>
        </w:tc>
        <w:tc>
          <w:tcPr>
            <w:tcW w:w="9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21569.22</w:t>
            </w:r>
          </w:p>
        </w:tc>
        <w:tc>
          <w:tcPr>
            <w:tcW w:w="1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22"/>
                <w:szCs w:val="22"/>
              </w:rPr>
            </w:pPr>
            <w:r>
              <w:rPr>
                <w:rFonts w:hint="eastAsia" w:ascii="宋体" w:hAnsi="宋体" w:eastAsia="宋体" w:cs="宋体"/>
                <w:color w:val="auto"/>
                <w:kern w:val="0"/>
                <w:sz w:val="22"/>
                <w:szCs w:val="22"/>
                <w:lang w:bidi="ar"/>
              </w:rPr>
              <w:t>16049.39</w:t>
            </w:r>
          </w:p>
        </w:tc>
      </w:tr>
    </w:tbl>
    <w:p>
      <w:pPr>
        <w:snapToGrid/>
        <w:spacing w:before="312" w:beforeLines="100" w:beforeAutospacing="0" w:after="156" w:afterLines="50" w:afterAutospacing="0" w:line="360" w:lineRule="auto"/>
        <w:ind w:left="0" w:leftChars="0" w:right="0" w:rightChars="0" w:firstLine="0" w:firstLineChars="0"/>
        <w:jc w:val="left"/>
        <w:outlineLvl w:val="0"/>
        <w:rPr>
          <w:rFonts w:hint="eastAsia" w:ascii="Times New Roman" w:hAnsi="仿宋" w:eastAsia="宋体" w:cs="仿宋"/>
          <w:b/>
          <w:bCs/>
          <w:color w:val="auto"/>
          <w:spacing w:val="4"/>
          <w:sz w:val="32"/>
          <w:szCs w:val="32"/>
        </w:rPr>
      </w:pPr>
      <w:bookmarkStart w:id="28" w:name="_Toc14804"/>
      <w:r>
        <w:rPr>
          <w:rFonts w:hint="eastAsia" w:ascii="Times New Roman" w:hAnsi="仿宋" w:eastAsia="宋体" w:cs="仿宋"/>
          <w:b/>
          <w:bCs/>
          <w:color w:val="auto"/>
          <w:spacing w:val="4"/>
          <w:sz w:val="32"/>
          <w:szCs w:val="32"/>
        </w:rPr>
        <w:t>二、绩效</w:t>
      </w:r>
      <w:r>
        <w:rPr>
          <w:rFonts w:hint="eastAsia" w:ascii="Times New Roman" w:hAnsi="仿宋" w:eastAsia="宋体" w:cs="仿宋"/>
          <w:b/>
          <w:bCs/>
          <w:color w:val="auto"/>
          <w:spacing w:val="4"/>
          <w:sz w:val="32"/>
          <w:szCs w:val="32"/>
          <w:lang w:eastAsia="zh-CN"/>
        </w:rPr>
        <w:t>评价</w:t>
      </w:r>
      <w:r>
        <w:rPr>
          <w:rFonts w:hint="eastAsia" w:ascii="Times New Roman" w:hAnsi="仿宋" w:eastAsia="宋体" w:cs="仿宋"/>
          <w:b/>
          <w:bCs/>
          <w:color w:val="auto"/>
          <w:spacing w:val="4"/>
          <w:sz w:val="32"/>
          <w:szCs w:val="32"/>
        </w:rPr>
        <w:t>工作开展情况</w:t>
      </w:r>
      <w:bookmarkEnd w:id="28"/>
    </w:p>
    <w:p>
      <w:pPr>
        <w:snapToGrid/>
        <w:spacing w:before="156" w:beforeLines="50" w:beforeAutospacing="0" w:afterAutospacing="0" w:line="360" w:lineRule="auto"/>
        <w:ind w:left="0" w:leftChars="0" w:right="0" w:rightChars="0" w:firstLine="0" w:firstLineChars="0"/>
        <w:jc w:val="left"/>
        <w:outlineLvl w:val="1"/>
        <w:rPr>
          <w:rFonts w:hint="eastAsia" w:ascii="Times New Roman" w:hAnsi="仿宋" w:eastAsia="宋体" w:cs="仿宋"/>
          <w:b/>
          <w:color w:val="auto"/>
          <w:spacing w:val="4"/>
          <w:sz w:val="30"/>
          <w:szCs w:val="32"/>
        </w:rPr>
      </w:pPr>
      <w:bookmarkStart w:id="29" w:name="_Toc25795"/>
      <w:r>
        <w:rPr>
          <w:rFonts w:hint="eastAsia" w:ascii="Times New Roman" w:hAnsi="仿宋" w:eastAsia="宋体" w:cs="仿宋"/>
          <w:b/>
          <w:color w:val="auto"/>
          <w:spacing w:val="4"/>
          <w:sz w:val="30"/>
          <w:szCs w:val="32"/>
        </w:rPr>
        <w:t>（一）前期准备</w:t>
      </w:r>
      <w:bookmarkEnd w:id="29"/>
    </w:p>
    <w:p>
      <w:pPr>
        <w:snapToGrid/>
        <w:spacing w:beforeAutospacing="0" w:afterAutospacing="0" w:line="360" w:lineRule="auto"/>
        <w:ind w:left="0" w:leftChars="0" w:firstLine="576" w:firstLineChars="200"/>
        <w:jc w:val="left"/>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泉州市启程财务咨询有限公司成立绩效评价工作小组，按照《项目支出绩效管理办法》(财预〔2020〕10号)、《关于全面实施预算绩效管理的实施意见》(闽委发〔2019〕5号)等文件要求，对石狮市住房和城乡建设局进行实地调研，通过了解整体支出的绩效开展情况，收集相关绩效评价资料，拟定绩效评价指标体系。</w:t>
      </w:r>
    </w:p>
    <w:p>
      <w:pPr>
        <w:snapToGrid/>
        <w:spacing w:before="156" w:beforeLines="50" w:beforeAutospacing="0" w:afterAutospacing="0" w:line="360" w:lineRule="auto"/>
        <w:ind w:left="0" w:leftChars="0" w:right="0" w:rightChars="0" w:firstLine="0" w:firstLineChars="0"/>
        <w:jc w:val="left"/>
        <w:outlineLvl w:val="1"/>
        <w:rPr>
          <w:rFonts w:hint="eastAsia" w:ascii="Times New Roman" w:hAnsi="仿宋" w:eastAsia="宋体" w:cs="仿宋"/>
          <w:b/>
          <w:color w:val="auto"/>
          <w:spacing w:val="4"/>
          <w:sz w:val="30"/>
          <w:szCs w:val="32"/>
        </w:rPr>
      </w:pPr>
      <w:bookmarkStart w:id="30" w:name="_Toc28784"/>
      <w:r>
        <w:rPr>
          <w:rFonts w:hint="eastAsia" w:ascii="Times New Roman" w:hAnsi="仿宋" w:eastAsia="宋体" w:cs="仿宋"/>
          <w:b/>
          <w:color w:val="auto"/>
          <w:spacing w:val="4"/>
          <w:sz w:val="30"/>
          <w:szCs w:val="32"/>
        </w:rPr>
        <w:t>（二）绩效评价目的</w:t>
      </w:r>
      <w:bookmarkEnd w:id="30"/>
    </w:p>
    <w:p>
      <w:pPr>
        <w:snapToGrid/>
        <w:spacing w:beforeAutospacing="0" w:afterAutospacing="0" w:line="360" w:lineRule="auto"/>
        <w:ind w:left="0" w:leftChars="0" w:right="30" w:firstLine="576" w:firstLineChars="200"/>
        <w:jc w:val="left"/>
        <w:outlineLvl w:val="1"/>
        <w:rPr>
          <w:rFonts w:hint="eastAsia" w:ascii="Times New Roman" w:hAnsi="仿宋" w:eastAsia="宋体" w:cs="仿宋"/>
          <w:color w:val="auto"/>
          <w:spacing w:val="4"/>
          <w:sz w:val="28"/>
          <w:szCs w:val="32"/>
        </w:rPr>
      </w:pPr>
      <w:bookmarkStart w:id="31" w:name="_Toc30828"/>
      <w:bookmarkStart w:id="32" w:name="_Toc2775"/>
      <w:r>
        <w:rPr>
          <w:rFonts w:hint="eastAsia" w:ascii="Times New Roman" w:hAnsi="仿宋" w:eastAsia="宋体" w:cs="仿宋"/>
          <w:color w:val="auto"/>
          <w:spacing w:val="4"/>
          <w:sz w:val="28"/>
          <w:szCs w:val="32"/>
        </w:rPr>
        <w:t>绩效评价组对2022年度石狮市住房和城乡建设局实施绩效评价，目的通过对决策、过程、产出和效益四个角度的分析和经验总结，剖析绩效管理中存在的问题，并提出相应建议。为石狮市住房和城乡建设局强化部门责任，提高财政支出资金的使用效率提供参考依据。</w:t>
      </w:r>
      <w:bookmarkEnd w:id="31"/>
      <w:bookmarkEnd w:id="32"/>
    </w:p>
    <w:p>
      <w:pPr>
        <w:pStyle w:val="2"/>
        <w:snapToGrid/>
        <w:spacing w:before="156" w:beforeLines="50" w:beforeAutospacing="0" w:afterAutospacing="0" w:line="360" w:lineRule="auto"/>
        <w:ind w:left="0" w:leftChars="0" w:right="0" w:rightChars="0" w:firstLine="0" w:firstLineChars="0"/>
        <w:jc w:val="left"/>
        <w:outlineLvl w:val="1"/>
        <w:rPr>
          <w:rFonts w:hint="eastAsia" w:ascii="Times New Roman" w:hAnsi="仿宋" w:eastAsia="宋体" w:cs="仿宋"/>
          <w:b/>
          <w:color w:val="auto"/>
          <w:spacing w:val="4"/>
          <w:sz w:val="30"/>
          <w:szCs w:val="32"/>
        </w:rPr>
      </w:pPr>
      <w:bookmarkStart w:id="33" w:name="_Toc11804"/>
      <w:r>
        <w:rPr>
          <w:rFonts w:hint="eastAsia" w:ascii="Times New Roman" w:hAnsi="仿宋" w:eastAsia="宋体" w:cs="仿宋"/>
          <w:b/>
          <w:color w:val="auto"/>
          <w:spacing w:val="4"/>
          <w:sz w:val="30"/>
          <w:szCs w:val="32"/>
        </w:rPr>
        <w:t>（三）绩效评价依据</w:t>
      </w:r>
      <w:bookmarkEnd w:id="33"/>
    </w:p>
    <w:p>
      <w:pPr>
        <w:pStyle w:val="24"/>
        <w:snapToGrid/>
        <w:spacing w:beforeAutospacing="0" w:afterAutospacing="0" w:line="360" w:lineRule="auto"/>
        <w:ind w:left="0" w:leftChars="0" w:firstLine="576" w:firstLineChars="200"/>
        <w:jc w:val="left"/>
        <w:rPr>
          <w:rFonts w:hint="eastAsia" w:ascii="Times New Roman" w:hAnsi="仿宋" w:eastAsia="宋体" w:cs="仿宋"/>
          <w:color w:val="auto"/>
          <w:spacing w:val="4"/>
          <w:kern w:val="2"/>
          <w:sz w:val="28"/>
          <w:szCs w:val="32"/>
        </w:rPr>
      </w:pPr>
      <w:r>
        <w:rPr>
          <w:rFonts w:hint="eastAsia" w:ascii="Times New Roman" w:hAnsi="仿宋" w:eastAsia="宋体" w:cs="仿宋"/>
          <w:color w:val="auto"/>
          <w:spacing w:val="4"/>
          <w:kern w:val="2"/>
          <w:sz w:val="28"/>
          <w:szCs w:val="32"/>
        </w:rPr>
        <w:t>1.《中共中央国务院关于全面实施预算绩效管理的意见》(中发〔2018〕34号)；</w:t>
      </w:r>
    </w:p>
    <w:p>
      <w:pPr>
        <w:pStyle w:val="24"/>
        <w:snapToGrid/>
        <w:spacing w:beforeAutospacing="0" w:afterAutospacing="0" w:line="360" w:lineRule="auto"/>
        <w:ind w:left="0" w:leftChars="0" w:firstLine="576" w:firstLineChars="200"/>
        <w:jc w:val="left"/>
        <w:rPr>
          <w:rFonts w:hint="eastAsia" w:ascii="Times New Roman" w:hAnsi="仿宋" w:eastAsia="宋体" w:cs="仿宋"/>
          <w:color w:val="auto"/>
          <w:spacing w:val="4"/>
          <w:kern w:val="2"/>
          <w:sz w:val="28"/>
          <w:szCs w:val="32"/>
        </w:rPr>
      </w:pPr>
      <w:r>
        <w:rPr>
          <w:rFonts w:hint="eastAsia" w:ascii="Times New Roman" w:hAnsi="仿宋" w:eastAsia="宋体" w:cs="仿宋"/>
          <w:color w:val="auto"/>
          <w:spacing w:val="4"/>
          <w:kern w:val="2"/>
          <w:sz w:val="28"/>
          <w:szCs w:val="32"/>
        </w:rPr>
        <w:t>2.财政部《关于印发＜项目支出绩效评价管理办法&gt;的通知》(财预〔2020〕10号)；</w:t>
      </w:r>
    </w:p>
    <w:p>
      <w:pPr>
        <w:pStyle w:val="24"/>
        <w:snapToGrid/>
        <w:spacing w:beforeAutospacing="0" w:afterAutospacing="0" w:line="360" w:lineRule="auto"/>
        <w:ind w:left="0" w:leftChars="0" w:firstLine="576" w:firstLineChars="200"/>
        <w:jc w:val="left"/>
        <w:rPr>
          <w:rFonts w:hint="eastAsia" w:ascii="Times New Roman" w:hAnsi="仿宋" w:eastAsia="宋体" w:cs="仿宋"/>
          <w:color w:val="auto"/>
          <w:spacing w:val="4"/>
          <w:kern w:val="2"/>
          <w:sz w:val="28"/>
          <w:szCs w:val="32"/>
        </w:rPr>
      </w:pPr>
      <w:r>
        <w:rPr>
          <w:rFonts w:hint="eastAsia" w:ascii="Times New Roman" w:hAnsi="仿宋" w:eastAsia="宋体" w:cs="仿宋"/>
          <w:color w:val="auto"/>
          <w:spacing w:val="4"/>
          <w:kern w:val="2"/>
          <w:sz w:val="28"/>
          <w:szCs w:val="32"/>
        </w:rPr>
        <w:t xml:space="preserve">3.《福建省财政厅关于印发财政支出绩效评价指标体系及使用指南的通知》(闽财绩〔2012〕13 号)；      </w:t>
      </w:r>
    </w:p>
    <w:p>
      <w:pPr>
        <w:pStyle w:val="24"/>
        <w:snapToGrid/>
        <w:spacing w:beforeAutospacing="0" w:afterAutospacing="0" w:line="360" w:lineRule="auto"/>
        <w:ind w:left="0" w:leftChars="0" w:firstLine="576" w:firstLineChars="200"/>
        <w:jc w:val="left"/>
        <w:rPr>
          <w:rFonts w:hint="eastAsia" w:ascii="Times New Roman" w:hAnsi="仿宋" w:eastAsia="宋体" w:cs="仿宋"/>
          <w:color w:val="auto"/>
          <w:spacing w:val="4"/>
          <w:kern w:val="2"/>
          <w:sz w:val="28"/>
          <w:szCs w:val="32"/>
        </w:rPr>
      </w:pPr>
      <w:r>
        <w:rPr>
          <w:rFonts w:hint="eastAsia" w:ascii="Times New Roman" w:hAnsi="仿宋" w:eastAsia="宋体" w:cs="仿宋"/>
          <w:color w:val="auto"/>
          <w:spacing w:val="4"/>
          <w:kern w:val="2"/>
          <w:sz w:val="28"/>
          <w:szCs w:val="32"/>
        </w:rPr>
        <w:t>4.《福建省财政厅关于印发＜福建省财政支出绩效评价管理暂行办法&gt;的通知》（闽财绩〔2015〕4号)。</w:t>
      </w:r>
    </w:p>
    <w:p>
      <w:pPr>
        <w:snapToGrid/>
        <w:spacing w:before="156" w:beforeLines="50" w:beforeAutospacing="0" w:afterAutospacing="0" w:line="360" w:lineRule="auto"/>
        <w:ind w:left="0" w:leftChars="0" w:right="0" w:rightChars="0" w:firstLine="0" w:firstLineChars="0"/>
        <w:jc w:val="left"/>
        <w:outlineLvl w:val="1"/>
        <w:rPr>
          <w:rFonts w:hint="eastAsia" w:ascii="Times New Roman" w:hAnsi="仿宋" w:eastAsia="宋体" w:cs="仿宋"/>
          <w:b/>
          <w:color w:val="auto"/>
          <w:spacing w:val="4"/>
          <w:sz w:val="30"/>
          <w:szCs w:val="32"/>
        </w:rPr>
      </w:pPr>
      <w:bookmarkStart w:id="34" w:name="_Toc30737"/>
      <w:r>
        <w:rPr>
          <w:rFonts w:hint="eastAsia" w:ascii="Times New Roman" w:hAnsi="仿宋" w:eastAsia="宋体" w:cs="仿宋"/>
          <w:b/>
          <w:color w:val="auto"/>
          <w:spacing w:val="4"/>
          <w:sz w:val="30"/>
          <w:szCs w:val="32"/>
        </w:rPr>
        <w:t>（四）绩效评价方法</w:t>
      </w:r>
      <w:bookmarkEnd w:id="34"/>
    </w:p>
    <w:p>
      <w:pPr>
        <w:snapToGrid/>
        <w:spacing w:beforeAutospacing="0" w:afterAutospacing="0" w:line="360" w:lineRule="auto"/>
        <w:ind w:left="0" w:leftChars="0" w:firstLine="560" w:firstLineChars="200"/>
        <w:jc w:val="left"/>
        <w:rPr>
          <w:rFonts w:hint="eastAsia" w:ascii="Times New Roman" w:hAnsi="仿宋" w:eastAsia="宋体" w:cs="仿宋"/>
          <w:color w:val="auto"/>
          <w:sz w:val="28"/>
          <w:szCs w:val="32"/>
        </w:rPr>
      </w:pPr>
      <w:r>
        <w:rPr>
          <w:rFonts w:hint="eastAsia" w:ascii="Times New Roman" w:hAnsi="仿宋" w:eastAsia="宋体" w:cs="仿宋"/>
          <w:color w:val="auto"/>
          <w:sz w:val="28"/>
          <w:szCs w:val="32"/>
        </w:rPr>
        <w:t>1.比较法。是指通过实际支出、实施效果等与绩效目标、历史情况、不同地区同类支出等的比较，综合分析绩效目标实现程度。</w:t>
      </w:r>
    </w:p>
    <w:p>
      <w:pPr>
        <w:snapToGrid/>
        <w:spacing w:beforeAutospacing="0" w:afterAutospacing="0" w:line="360" w:lineRule="auto"/>
        <w:ind w:left="0" w:leftChars="0" w:firstLine="560" w:firstLineChars="200"/>
        <w:jc w:val="left"/>
        <w:rPr>
          <w:rFonts w:hint="eastAsia" w:ascii="Times New Roman" w:hAnsi="仿宋" w:eastAsia="宋体" w:cs="仿宋"/>
          <w:color w:val="auto"/>
          <w:sz w:val="28"/>
          <w:szCs w:val="32"/>
        </w:rPr>
      </w:pPr>
      <w:r>
        <w:rPr>
          <w:rFonts w:hint="eastAsia" w:ascii="Times New Roman" w:hAnsi="仿宋" w:eastAsia="宋体" w:cs="仿宋"/>
          <w:color w:val="auto"/>
          <w:sz w:val="28"/>
          <w:szCs w:val="32"/>
        </w:rPr>
        <w:t>2.成本效益分析法。是指将一定时期内的支出与效益进行对比分析，以评价绩效目标实现程度。</w:t>
      </w:r>
    </w:p>
    <w:p>
      <w:pPr>
        <w:snapToGrid/>
        <w:spacing w:beforeAutospacing="0" w:afterAutospacing="0" w:line="360" w:lineRule="auto"/>
        <w:ind w:left="0" w:leftChars="0" w:firstLine="560" w:firstLineChars="200"/>
        <w:jc w:val="left"/>
        <w:rPr>
          <w:rFonts w:hint="eastAsia" w:ascii="Times New Roman" w:hAnsi="仿宋" w:eastAsia="宋体" w:cs="仿宋"/>
          <w:color w:val="auto"/>
          <w:sz w:val="28"/>
          <w:szCs w:val="32"/>
        </w:rPr>
      </w:pPr>
      <w:r>
        <w:rPr>
          <w:rFonts w:hint="eastAsia" w:ascii="Times New Roman" w:hAnsi="仿宋" w:eastAsia="宋体" w:cs="仿宋"/>
          <w:color w:val="auto"/>
          <w:sz w:val="28"/>
          <w:szCs w:val="32"/>
        </w:rPr>
        <w:t>3.服务对象评判法。是指通过对服务对象进行问卷及抽样调查等对财政支出的效果进行评判，评价绩效目标实现程度。</w:t>
      </w:r>
    </w:p>
    <w:p>
      <w:pPr>
        <w:pStyle w:val="2"/>
        <w:snapToGrid/>
        <w:spacing w:before="156" w:beforeLines="50" w:beforeAutospacing="0" w:afterAutospacing="0" w:line="360" w:lineRule="auto"/>
        <w:ind w:left="0" w:leftChars="0" w:right="0" w:rightChars="0" w:firstLine="0" w:firstLineChars="0"/>
        <w:jc w:val="left"/>
        <w:outlineLvl w:val="1"/>
        <w:rPr>
          <w:rFonts w:hint="eastAsia" w:ascii="Times New Roman" w:hAnsi="仿宋" w:eastAsia="宋体" w:cs="仿宋"/>
          <w:b/>
          <w:color w:val="auto"/>
          <w:spacing w:val="4"/>
          <w:sz w:val="30"/>
          <w:szCs w:val="32"/>
        </w:rPr>
      </w:pPr>
      <w:bookmarkStart w:id="35" w:name="_Toc7512"/>
      <w:r>
        <w:rPr>
          <w:rFonts w:hint="eastAsia" w:ascii="Times New Roman" w:hAnsi="仿宋" w:eastAsia="宋体" w:cs="仿宋"/>
          <w:b/>
          <w:color w:val="auto"/>
          <w:spacing w:val="4"/>
          <w:sz w:val="30"/>
          <w:szCs w:val="32"/>
        </w:rPr>
        <w:t>（五）绩效评价过程</w:t>
      </w:r>
      <w:bookmarkEnd w:id="35"/>
    </w:p>
    <w:p>
      <w:pPr>
        <w:pStyle w:val="2"/>
        <w:snapToGrid/>
        <w:spacing w:beforeAutospacing="0" w:afterAutospacing="0" w:line="360" w:lineRule="auto"/>
        <w:ind w:left="0" w:leftChars="0" w:firstLine="576" w:firstLineChars="200"/>
        <w:jc w:val="left"/>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1.成立绩效评价小组，对2022年度石狮市住房和城乡建设局实地调研，并进行方案设计；</w:t>
      </w:r>
    </w:p>
    <w:p>
      <w:pPr>
        <w:pStyle w:val="2"/>
        <w:snapToGrid/>
        <w:spacing w:beforeAutospacing="0" w:afterAutospacing="0" w:line="360" w:lineRule="auto"/>
        <w:ind w:left="0" w:leftChars="0" w:firstLine="576" w:firstLineChars="200"/>
        <w:jc w:val="left"/>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2.绩效材料收集，绩效评价工作小组对石狮市住房和城乡建设局部门整体支出的相关政策文件和制度等资料进行收集，核实项目申报资金拨付、使用及管理情况，绩效目标实现程度等；</w:t>
      </w:r>
    </w:p>
    <w:p>
      <w:pPr>
        <w:pStyle w:val="2"/>
        <w:snapToGrid/>
        <w:spacing w:beforeAutospacing="0" w:afterAutospacing="0" w:line="360" w:lineRule="auto"/>
        <w:ind w:left="0" w:leftChars="0" w:firstLine="576" w:firstLineChars="200"/>
        <w:jc w:val="left"/>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3.指标体系手稿设计阶段，通过采集回来的项目资料，进行整理，提取绩效指标、确定指标标准、指标解释、评分标准及评分规则，设计绩效指标体系初始手稿；</w:t>
      </w:r>
    </w:p>
    <w:p>
      <w:pPr>
        <w:snapToGrid/>
        <w:spacing w:beforeAutospacing="0" w:afterAutospacing="0" w:line="360" w:lineRule="auto"/>
        <w:ind w:left="0" w:leftChars="0" w:right="30" w:firstLine="576" w:firstLineChars="200"/>
        <w:jc w:val="left"/>
        <w:rPr>
          <w:rFonts w:hint="eastAsia" w:ascii="Times New Roman" w:hAnsi="仿宋" w:eastAsia="宋体" w:cs="仿宋"/>
          <w:color w:val="auto"/>
          <w:spacing w:val="4"/>
          <w:sz w:val="28"/>
          <w:szCs w:val="32"/>
          <w:lang w:val="en-US" w:eastAsia="zh-CN"/>
        </w:rPr>
      </w:pPr>
      <w:r>
        <w:rPr>
          <w:rFonts w:hint="eastAsia" w:ascii="Times New Roman" w:hAnsi="仿宋" w:eastAsia="宋体" w:cs="仿宋"/>
          <w:color w:val="auto"/>
          <w:spacing w:val="4"/>
          <w:sz w:val="28"/>
          <w:szCs w:val="32"/>
        </w:rPr>
        <w:t>4.绩效指标体系初稿阶段，拟写2022年度石狮市住房和城乡建设局部门整体支出绩效评价指标体系和指标</w:t>
      </w:r>
      <w:r>
        <w:rPr>
          <w:rFonts w:hint="eastAsia" w:ascii="Times New Roman" w:hAnsi="仿宋" w:eastAsia="宋体" w:cs="仿宋"/>
          <w:color w:val="auto"/>
          <w:spacing w:val="4"/>
          <w:sz w:val="28"/>
          <w:szCs w:val="32"/>
          <w:lang w:eastAsia="zh-CN"/>
        </w:rPr>
        <w:t>标准；</w:t>
      </w:r>
    </w:p>
    <w:p>
      <w:pPr>
        <w:snapToGrid/>
        <w:spacing w:beforeAutospacing="0" w:afterAutospacing="0" w:line="360" w:lineRule="auto"/>
        <w:ind w:left="0" w:leftChars="0" w:right="35" w:firstLine="576" w:firstLineChars="200"/>
        <w:jc w:val="left"/>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5.部门反馈意见阶段。征求石狮市住房和城乡建设局意见，并下发补充资料清单;</w:t>
      </w:r>
    </w:p>
    <w:p>
      <w:pPr>
        <w:snapToGrid/>
        <w:spacing w:beforeAutospacing="0" w:afterAutospacing="0" w:line="360" w:lineRule="auto"/>
        <w:ind w:left="0" w:leftChars="0" w:right="35" w:firstLine="576" w:firstLineChars="200"/>
        <w:jc w:val="left"/>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6.专家评审阶段。联合绩效专家对绩效指标体系征求意见稿进行专家评审;</w:t>
      </w:r>
    </w:p>
    <w:p>
      <w:pPr>
        <w:snapToGrid/>
        <w:spacing w:beforeAutospacing="0" w:afterAutospacing="0" w:line="360" w:lineRule="auto"/>
        <w:ind w:left="0" w:leftChars="0" w:right="53" w:firstLine="576" w:firstLineChars="200"/>
        <w:jc w:val="left"/>
        <w:outlineLvl w:val="2"/>
        <w:rPr>
          <w:rFonts w:hint="eastAsia" w:ascii="Times New Roman" w:hAnsi="仿宋" w:eastAsia="宋体" w:cs="仿宋"/>
          <w:color w:val="auto"/>
          <w:spacing w:val="4"/>
          <w:sz w:val="28"/>
          <w:szCs w:val="32"/>
        </w:rPr>
      </w:pPr>
      <w:bookmarkStart w:id="36" w:name="_Toc21637"/>
      <w:r>
        <w:rPr>
          <w:rFonts w:hint="eastAsia" w:ascii="Times New Roman" w:hAnsi="仿宋" w:eastAsia="宋体" w:cs="仿宋"/>
          <w:color w:val="auto"/>
          <w:spacing w:val="4"/>
          <w:sz w:val="28"/>
          <w:szCs w:val="32"/>
        </w:rPr>
        <w:t>7.财政审核阶段。征询石狮市财政局的意见，形成终稿;</w:t>
      </w:r>
      <w:bookmarkEnd w:id="36"/>
    </w:p>
    <w:p>
      <w:pPr>
        <w:snapToGrid/>
        <w:spacing w:beforeAutospacing="0" w:afterAutospacing="0" w:line="360" w:lineRule="auto"/>
        <w:ind w:left="0" w:leftChars="0" w:right="53" w:firstLine="576" w:firstLineChars="200"/>
        <w:jc w:val="left"/>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8.提交绩效评价报告阶段。完成《2022年度石狮市住房和城乡建设局部门整体支出绩效评价报告》，装订成册。</w:t>
      </w:r>
    </w:p>
    <w:p>
      <w:pPr>
        <w:snapToGrid/>
        <w:spacing w:before="312" w:beforeLines="100" w:beforeAutospacing="0" w:after="156" w:afterLines="50" w:afterAutospacing="0" w:line="360" w:lineRule="auto"/>
        <w:ind w:left="0" w:leftChars="0" w:right="0" w:rightChars="0" w:firstLine="0" w:firstLineChars="0"/>
        <w:jc w:val="left"/>
        <w:outlineLvl w:val="0"/>
        <w:rPr>
          <w:rFonts w:hint="eastAsia" w:ascii="Times New Roman" w:hAnsi="仿宋" w:eastAsia="宋体" w:cs="仿宋"/>
          <w:b/>
          <w:color w:val="auto"/>
          <w:spacing w:val="4"/>
          <w:sz w:val="32"/>
          <w:szCs w:val="32"/>
        </w:rPr>
      </w:pPr>
      <w:bookmarkStart w:id="37" w:name="_Toc6016"/>
      <w:r>
        <w:rPr>
          <w:rFonts w:hint="eastAsia" w:ascii="Times New Roman" w:hAnsi="仿宋" w:eastAsia="宋体" w:cs="仿宋"/>
          <w:b/>
          <w:color w:val="auto"/>
          <w:spacing w:val="4"/>
          <w:sz w:val="32"/>
          <w:szCs w:val="32"/>
        </w:rPr>
        <w:t>三、绩效评价原则、指标体系及评价标准</w:t>
      </w:r>
      <w:bookmarkEnd w:id="37"/>
    </w:p>
    <w:p>
      <w:pPr>
        <w:snapToGrid/>
        <w:spacing w:before="156" w:beforeLines="50" w:beforeAutospacing="0" w:afterAutospacing="0" w:line="360" w:lineRule="auto"/>
        <w:ind w:left="0" w:leftChars="0" w:right="0" w:rightChars="0" w:firstLine="0" w:firstLineChars="0"/>
        <w:jc w:val="left"/>
        <w:outlineLvl w:val="1"/>
        <w:rPr>
          <w:rFonts w:hint="eastAsia" w:ascii="Times New Roman" w:hAnsi="仿宋" w:eastAsia="宋体" w:cs="仿宋"/>
          <w:b/>
          <w:color w:val="auto"/>
          <w:spacing w:val="4"/>
          <w:sz w:val="30"/>
          <w:szCs w:val="32"/>
        </w:rPr>
      </w:pPr>
      <w:bookmarkStart w:id="38" w:name="_Toc20671"/>
      <w:r>
        <w:rPr>
          <w:rFonts w:hint="eastAsia" w:ascii="Times New Roman" w:hAnsi="仿宋" w:eastAsia="宋体" w:cs="仿宋"/>
          <w:b/>
          <w:color w:val="auto"/>
          <w:spacing w:val="4"/>
          <w:sz w:val="30"/>
          <w:szCs w:val="32"/>
        </w:rPr>
        <w:t>（一）评价原则</w:t>
      </w:r>
      <w:bookmarkEnd w:id="38"/>
    </w:p>
    <w:p>
      <w:pPr>
        <w:snapToGrid/>
        <w:spacing w:beforeAutospacing="0" w:afterAutospacing="0" w:line="360" w:lineRule="auto"/>
        <w:ind w:left="0" w:leftChars="0" w:firstLine="576" w:firstLineChars="200"/>
        <w:jc w:val="left"/>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1.相关性原则。确定的绩效评价指标应当与绩效目标有直接的联系，能够恰当反映目标的实现程度，而与绩效目标无关的指标不应列入评价体系。</w:t>
      </w:r>
    </w:p>
    <w:p>
      <w:pPr>
        <w:snapToGrid/>
        <w:spacing w:beforeAutospacing="0" w:afterAutospacing="0" w:line="360" w:lineRule="auto"/>
        <w:ind w:left="0" w:leftChars="0" w:firstLine="576" w:firstLineChars="200"/>
        <w:jc w:val="left"/>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2.重要性原则。应当优先使用最具评价对象代表性、最能反映评价要求的核心指标。</w:t>
      </w:r>
    </w:p>
    <w:p>
      <w:pPr>
        <w:snapToGrid/>
        <w:spacing w:beforeAutospacing="0" w:afterAutospacing="0" w:line="360" w:lineRule="auto"/>
        <w:ind w:left="0" w:leftChars="0" w:firstLine="576" w:firstLineChars="200"/>
        <w:jc w:val="left"/>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3.可比性原则。对同类评价对象要设定共性的绩效评价指标，以便于评价结果可以相互比较。</w:t>
      </w:r>
    </w:p>
    <w:p>
      <w:pPr>
        <w:snapToGrid/>
        <w:spacing w:beforeAutospacing="0" w:afterAutospacing="0" w:line="360" w:lineRule="auto"/>
        <w:ind w:left="0" w:leftChars="0" w:firstLine="576" w:firstLineChars="200"/>
        <w:jc w:val="left"/>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4.系统性原则。应当将定量指标与定性指标相结合，系统反映财政支出所产生的社会效益、经济效益、环境效益和可持续影响等。</w:t>
      </w:r>
    </w:p>
    <w:p>
      <w:pPr>
        <w:snapToGrid/>
        <w:spacing w:beforeAutospacing="0" w:afterAutospacing="0" w:line="360" w:lineRule="auto"/>
        <w:ind w:left="0" w:leftChars="0" w:firstLine="576" w:firstLineChars="200"/>
        <w:jc w:val="left"/>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5.经济性原则。绩效评价指标不是设计得越复杂越好，应当通俗易懂、简便易行，数据的获得应当考虑现实条件和可操作性，符合成本效益原则。</w:t>
      </w:r>
    </w:p>
    <w:p>
      <w:pPr>
        <w:snapToGrid/>
        <w:spacing w:before="156" w:beforeLines="50" w:beforeAutospacing="0" w:afterAutospacing="0" w:line="360" w:lineRule="auto"/>
        <w:ind w:left="0" w:leftChars="0" w:right="0" w:rightChars="0" w:firstLine="0" w:firstLineChars="0"/>
        <w:jc w:val="left"/>
        <w:outlineLvl w:val="1"/>
        <w:rPr>
          <w:rFonts w:hint="eastAsia" w:ascii="Times New Roman" w:hAnsi="仿宋" w:eastAsia="宋体" w:cs="仿宋"/>
          <w:b/>
          <w:color w:val="auto"/>
          <w:spacing w:val="4"/>
          <w:sz w:val="30"/>
          <w:szCs w:val="32"/>
        </w:rPr>
      </w:pPr>
      <w:bookmarkStart w:id="39" w:name="_Toc15566"/>
      <w:r>
        <w:rPr>
          <w:rFonts w:hint="eastAsia" w:ascii="Times New Roman" w:hAnsi="仿宋" w:eastAsia="宋体" w:cs="仿宋"/>
          <w:b/>
          <w:color w:val="auto"/>
          <w:spacing w:val="4"/>
          <w:sz w:val="30"/>
          <w:szCs w:val="32"/>
        </w:rPr>
        <w:t>（二）</w:t>
      </w:r>
      <w:bookmarkStart w:id="40" w:name="_Toc452"/>
      <w:r>
        <w:rPr>
          <w:rFonts w:hint="eastAsia" w:ascii="Times New Roman" w:hAnsi="仿宋" w:eastAsia="宋体" w:cs="仿宋"/>
          <w:b/>
          <w:color w:val="auto"/>
          <w:spacing w:val="4"/>
          <w:sz w:val="30"/>
          <w:szCs w:val="32"/>
        </w:rPr>
        <w:t>评价指标体系及评分标准</w:t>
      </w:r>
      <w:bookmarkEnd w:id="39"/>
      <w:bookmarkEnd w:id="40"/>
    </w:p>
    <w:p>
      <w:pPr>
        <w:snapToGrid/>
        <w:spacing w:beforeAutospacing="0" w:afterAutospacing="0" w:line="360" w:lineRule="auto"/>
        <w:ind w:left="0" w:leftChars="0" w:firstLine="576" w:firstLineChars="200"/>
        <w:jc w:val="left"/>
        <w:rPr>
          <w:rFonts w:hint="eastAsia" w:ascii="Times New Roman" w:hAnsi="仿宋" w:eastAsia="宋体" w:cs="仿宋"/>
          <w:color w:val="auto"/>
          <w:spacing w:val="4"/>
          <w:sz w:val="28"/>
          <w:szCs w:val="32"/>
          <w:lang w:eastAsia="zh-CN"/>
        </w:rPr>
      </w:pPr>
      <w:r>
        <w:rPr>
          <w:rFonts w:hint="eastAsia" w:ascii="Times New Roman" w:hAnsi="仿宋" w:eastAsia="宋体" w:cs="仿宋"/>
          <w:color w:val="auto"/>
          <w:spacing w:val="4"/>
          <w:sz w:val="28"/>
          <w:szCs w:val="32"/>
        </w:rPr>
        <w:t>石狮市住房和城乡建设局绩效评价指标体系共设置4个一级指标、13个二级指标和38个三级指标。一级指标为投入、过程、产出和效益。其中：“投入”20分，主要体现部门整体支出项目立项、绩效目标和预算配置情况；“过程”20分，主要体现部门整体支出预算执行、预算管理方面的情况；“产出”40分，主要体现职责履行、产出数量和产出质量；“效益”20分，主要体现实施后的经济效益、社会效益、可持续效益和服务对象满意度等。指标体系设定满分100分，评分等级为总分大于90分（含90分）为“优”，90﹥总分≥80为“良”，80﹥总分≥60为“中”，低于60分为“差”。</w:t>
      </w:r>
    </w:p>
    <w:p>
      <w:pPr>
        <w:snapToGrid/>
        <w:spacing w:beforeAutospacing="0" w:afterAutospacing="0" w:line="240" w:lineRule="auto"/>
        <w:ind w:left="0" w:leftChars="0" w:firstLine="0"/>
        <w:jc w:val="center"/>
        <w:outlineLvl w:val="0"/>
        <w:rPr>
          <w:rFonts w:hint="eastAsia" w:ascii="Times New Roman" w:hAnsi="仿宋" w:eastAsia="宋体" w:cs="仿宋"/>
          <w:b/>
          <w:bCs/>
          <w:color w:val="auto"/>
          <w:spacing w:val="-6"/>
          <w:sz w:val="24"/>
          <w:szCs w:val="24"/>
        </w:rPr>
      </w:pPr>
      <w:bookmarkStart w:id="41" w:name="_Toc17518"/>
      <w:r>
        <w:rPr>
          <w:rFonts w:hint="eastAsia" w:ascii="Times New Roman" w:hAnsi="仿宋" w:eastAsia="宋体" w:cs="仿宋"/>
          <w:b/>
          <w:bCs/>
          <w:color w:val="auto"/>
          <w:spacing w:val="-6"/>
          <w:sz w:val="24"/>
          <w:szCs w:val="24"/>
        </w:rPr>
        <w:t>2022年度石狮市住房和城乡建设局部门整体支出绩效评价指标体系和评价标准</w:t>
      </w:r>
      <w:bookmarkEnd w:id="41"/>
    </w:p>
    <w:tbl>
      <w:tblPr>
        <w:tblStyle w:val="17"/>
        <w:tblpPr w:leftFromText="180" w:rightFromText="180" w:vertAnchor="text" w:horzAnchor="page" w:tblpX="1227" w:tblpY="647"/>
        <w:tblOverlap w:val="never"/>
        <w:tblW w:w="95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949"/>
        <w:gridCol w:w="1230"/>
        <w:gridCol w:w="2504"/>
        <w:gridCol w:w="4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46"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一级指标</w:t>
            </w:r>
          </w:p>
        </w:tc>
        <w:tc>
          <w:tcPr>
            <w:tcW w:w="949"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二级指标</w:t>
            </w:r>
          </w:p>
        </w:tc>
        <w:tc>
          <w:tcPr>
            <w:tcW w:w="123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三级指标</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指标解释</w:t>
            </w:r>
          </w:p>
        </w:tc>
        <w:tc>
          <w:tcPr>
            <w:tcW w:w="4056"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846"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投入(20%)</w:t>
            </w:r>
          </w:p>
        </w:tc>
        <w:tc>
          <w:tcPr>
            <w:tcW w:w="949"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目标设定（8分）</w:t>
            </w: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绩效目标</w:t>
            </w:r>
          </w:p>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合理性</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（4分）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部门所设立的整体绩效目标依据是否充分，是否符合客观实际，用于反映和考核部门整体绩效目标与部门履职、年度工作任务的相符性情况。</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①是否符合国家法律法规；</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②是否符合国民经济和社会发展总体规划；</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③是否符合部门“三定”方案 确定的职责；</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④是否符合部门制定的中长期实施规划或年度工作计划。</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一项不符扣1分。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bidi="ar"/>
              </w:rPr>
              <w:t>绩效</w:t>
            </w:r>
            <w:r>
              <w:rPr>
                <w:rFonts w:hint="eastAsia" w:ascii="宋体" w:hAnsi="宋体" w:eastAsia="宋体" w:cs="宋体"/>
                <w:color w:val="auto"/>
                <w:kern w:val="0"/>
                <w:sz w:val="18"/>
                <w:szCs w:val="18"/>
                <w:lang w:val="en-US" w:eastAsia="zh-CN" w:bidi="ar"/>
              </w:rPr>
              <w:t>目标</w:t>
            </w:r>
          </w:p>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明确性</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（4分）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部门依据整体绩效目标所设定的绩效指标是否清晰、细化、可衡量，用于反映和考核部门整体绩效目标的明细化情况</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 xml:space="preserve">①是否将部门整体的绩效目标细化分解为具体的工作任务； </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②是否通过清晰、可衡量的指标予以体现；</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③是否与部门年度的任务数或计划数相对应；</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④是否以本年度部门预算资金相匹配。</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一项不符扣1分。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预算配置（12分）</w:t>
            </w: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在职人员</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控制率</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（4分）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部门（单位）本年度实际在职人员数与编制数的比率，用以反映和评价部门（单位）对人员成本的控制程度。在职人员控制率=（在职人员数/编制数）×100%</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①在职人员控制率小等于100%，得满分；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②在职人员控制率大等于115%，得0分；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③在职人员控制率在100%-115%之间，得分=（115%－某部门在职人员控制率）/15%×指标分值。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“三公</w:t>
            </w:r>
            <w:r>
              <w:rPr>
                <w:rFonts w:hint="eastAsia" w:ascii="宋体" w:hAnsi="宋体" w:eastAsia="宋体" w:cs="宋体"/>
                <w:color w:val="auto"/>
                <w:kern w:val="0"/>
                <w:sz w:val="18"/>
                <w:szCs w:val="18"/>
                <w:lang w:eastAsia="zh-CN" w:bidi="ar"/>
              </w:rPr>
              <w:t>”</w:t>
            </w:r>
            <w:r>
              <w:rPr>
                <w:rFonts w:hint="eastAsia" w:ascii="宋体" w:hAnsi="宋体" w:eastAsia="宋体" w:cs="宋体"/>
                <w:color w:val="auto"/>
                <w:kern w:val="0"/>
                <w:sz w:val="18"/>
                <w:szCs w:val="18"/>
                <w:lang w:bidi="ar"/>
              </w:rPr>
              <w:t>经费变动率（4分）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部门本年度</w:t>
            </w:r>
            <w:r>
              <w:rPr>
                <w:rFonts w:hint="eastAsia" w:ascii="宋体" w:hAnsi="宋体" w:eastAsia="宋体" w:cs="宋体"/>
                <w:color w:val="auto"/>
                <w:kern w:val="0"/>
                <w:sz w:val="18"/>
                <w:szCs w:val="18"/>
                <w:lang w:eastAsia="zh-CN" w:bidi="ar"/>
              </w:rPr>
              <w:t>“三公”经费</w:t>
            </w:r>
            <w:r>
              <w:rPr>
                <w:rFonts w:hint="eastAsia" w:ascii="宋体" w:hAnsi="宋体" w:eastAsia="宋体" w:cs="宋体"/>
                <w:color w:val="auto"/>
                <w:kern w:val="0"/>
                <w:sz w:val="18"/>
                <w:szCs w:val="18"/>
                <w:lang w:bidi="ar"/>
              </w:rPr>
              <w:t>预算数与上年度</w:t>
            </w:r>
            <w:r>
              <w:rPr>
                <w:rFonts w:hint="eastAsia" w:ascii="宋体" w:hAnsi="宋体" w:eastAsia="宋体" w:cs="宋体"/>
                <w:color w:val="auto"/>
                <w:kern w:val="0"/>
                <w:sz w:val="18"/>
                <w:szCs w:val="18"/>
                <w:lang w:eastAsia="zh-CN" w:bidi="ar"/>
              </w:rPr>
              <w:t>“三公”经费</w:t>
            </w:r>
            <w:r>
              <w:rPr>
                <w:rFonts w:hint="eastAsia" w:ascii="宋体" w:hAnsi="宋体" w:eastAsia="宋体" w:cs="宋体"/>
                <w:color w:val="auto"/>
                <w:kern w:val="0"/>
                <w:sz w:val="18"/>
                <w:szCs w:val="18"/>
                <w:lang w:bidi="ar"/>
              </w:rPr>
              <w:t>预算数的变动比率，用以反映和考核部门对控制重点行政成本的努力程度。</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三公经费变动率=[（本年度</w:t>
            </w:r>
            <w:r>
              <w:rPr>
                <w:rFonts w:hint="eastAsia" w:ascii="宋体" w:hAnsi="宋体" w:eastAsia="宋体" w:cs="宋体"/>
                <w:color w:val="auto"/>
                <w:kern w:val="0"/>
                <w:sz w:val="18"/>
                <w:szCs w:val="18"/>
                <w:lang w:eastAsia="zh-CN" w:bidi="ar"/>
              </w:rPr>
              <w:t>“三公”经费</w:t>
            </w:r>
            <w:r>
              <w:rPr>
                <w:rFonts w:hint="eastAsia" w:ascii="宋体" w:hAnsi="宋体" w:eastAsia="宋体" w:cs="宋体"/>
                <w:color w:val="auto"/>
                <w:kern w:val="0"/>
                <w:sz w:val="18"/>
                <w:szCs w:val="18"/>
                <w:lang w:bidi="ar"/>
              </w:rPr>
              <w:t>总额-上年度</w:t>
            </w:r>
            <w:r>
              <w:rPr>
                <w:rFonts w:hint="eastAsia" w:ascii="宋体" w:hAnsi="宋体" w:eastAsia="宋体" w:cs="宋体"/>
                <w:color w:val="auto"/>
                <w:kern w:val="0"/>
                <w:sz w:val="18"/>
                <w:szCs w:val="18"/>
                <w:lang w:eastAsia="zh-CN" w:bidi="ar"/>
              </w:rPr>
              <w:t>“三公”经费</w:t>
            </w:r>
            <w:r>
              <w:rPr>
                <w:rFonts w:hint="eastAsia" w:ascii="宋体" w:hAnsi="宋体" w:eastAsia="宋体" w:cs="宋体"/>
                <w:color w:val="auto"/>
                <w:kern w:val="0"/>
                <w:sz w:val="18"/>
                <w:szCs w:val="18"/>
                <w:lang w:bidi="ar"/>
              </w:rPr>
              <w:t>总额）/上年度</w:t>
            </w:r>
            <w:r>
              <w:rPr>
                <w:rFonts w:hint="eastAsia" w:ascii="宋体" w:hAnsi="宋体" w:eastAsia="宋体" w:cs="宋体"/>
                <w:color w:val="auto"/>
                <w:kern w:val="0"/>
                <w:sz w:val="18"/>
                <w:szCs w:val="18"/>
                <w:lang w:eastAsia="zh-CN" w:bidi="ar"/>
              </w:rPr>
              <w:t>“三公”经费</w:t>
            </w:r>
            <w:r>
              <w:rPr>
                <w:rFonts w:hint="eastAsia" w:ascii="宋体" w:hAnsi="宋体" w:eastAsia="宋体" w:cs="宋体"/>
                <w:color w:val="auto"/>
                <w:kern w:val="0"/>
                <w:sz w:val="18"/>
                <w:szCs w:val="18"/>
                <w:lang w:bidi="ar"/>
              </w:rPr>
              <w:t>总额]×100%。</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①变动率≤0%得满分；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②变动率每超过一个百分点扣0.5 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重点支出</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安排率</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（4分）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部门本年度预算安排的重点项目支出与部门项目总支出的比率，用以反映和考核部门对履行主要职责或完成重点任务的保障程度。重点支出安排率=（重点项目支出/项目总支出）×100%。</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①重点支出安排率&gt;80%(4分)；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②50%&lt;重点支出安排率 ≤80%(2分)；重点支出安排率≤50%(0分)。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846"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过程（20%）</w:t>
            </w:r>
          </w:p>
        </w:tc>
        <w:tc>
          <w:tcPr>
            <w:tcW w:w="949"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预算执行（12分）</w:t>
            </w:r>
          </w:p>
        </w:tc>
        <w:tc>
          <w:tcPr>
            <w:tcW w:w="123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预算完成率（2分）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通过对部门（单位）本年度支出预算完成数与支出预算数的比较，反映和评价部门（单位）支出预算的完成程度。支出预算完成率=（预算完成数/预算数）×100%。</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①完成率大于或等于95%的，得满分；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②完成率小于或等于85%的，得0分；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③完成率在85%-95%之间的，得分=（某部门预算完成率-85%）/10%×该指标分值。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预算调整率（2分）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部门（单位）本年度支出预算调整数与支出预算数的比率，用以反映和评价部门（单位）预算的调整程度。支出预算调整率=（支出预算调整数/支出预算数）×100%</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①支出预算调整率等于0的，得满分；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②调整率大于或等于10%的，得0分；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③调整率在0-10%之间的，得分=（10%-某部门预算调整率）/10%×该指标分值；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结转结余率（2分）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部门（单位）本年度结转结余总额（含留在二级单位账上的资金）与支出预算数的比率，反映和评价部门（单位）对本年度结转结余资金的实际控制程度。</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①结转结余率等于0的，得满分；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②结转结余率大于或等于50%的，得0分；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③结转结余率在0-50%之间的，得分=（50%-某部门结转结余率）/50%×该指标分值。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公用经费</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控制率</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部门（单位）本年度实际支出的公用经费总额与预算安排的公用经费总额的比率，反映和评价部门（单位）对机构运转成本的实际控制程度。</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①公用经费控制率≤100%(2分)；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②公用经费控制率&gt;100%且≤120%(1分 )；</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③公用经费控制率&gt;120%且≤150% (0.5 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④公用经费控制率&gt;150%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cs="宋体" w:eastAsiaTheme="minorEastAsia"/>
                <w:color w:val="000000"/>
                <w:kern w:val="0"/>
                <w:sz w:val="18"/>
                <w:szCs w:val="18"/>
                <w:lang w:eastAsia="zh-CN" w:bidi="ar"/>
              </w:rPr>
            </w:pPr>
            <w:r>
              <w:rPr>
                <w:rFonts w:hint="eastAsia" w:ascii="宋体" w:hAnsi="宋体" w:cs="宋体"/>
                <w:color w:val="000000"/>
                <w:kern w:val="0"/>
                <w:sz w:val="18"/>
                <w:szCs w:val="18"/>
                <w:lang w:eastAsia="zh-CN" w:bidi="ar"/>
              </w:rPr>
              <w:t>“三公”经费</w:t>
            </w:r>
          </w:p>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控制率</w:t>
            </w:r>
          </w:p>
          <w:p>
            <w:pPr>
              <w:widowControl/>
              <w:jc w:val="center"/>
              <w:textAlignment w:val="center"/>
              <w:rPr>
                <w:rFonts w:hint="eastAsia" w:ascii="宋体" w:hAnsi="宋体" w:eastAsia="宋体" w:cs="宋体"/>
                <w:color w:val="auto"/>
                <w:sz w:val="18"/>
                <w:szCs w:val="18"/>
              </w:rPr>
            </w:pPr>
            <w:r>
              <w:rPr>
                <w:rFonts w:hint="eastAsia" w:ascii="宋体" w:hAnsi="宋体" w:cs="宋体"/>
                <w:color w:val="000000"/>
                <w:kern w:val="0"/>
                <w:sz w:val="18"/>
                <w:szCs w:val="18"/>
                <w:lang w:bidi="ar"/>
              </w:rPr>
              <w:t>（2分）</w:t>
            </w:r>
          </w:p>
        </w:tc>
        <w:tc>
          <w:tcPr>
            <w:tcW w:w="2504"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cs="宋体"/>
                <w:color w:val="000000"/>
                <w:kern w:val="0"/>
                <w:sz w:val="18"/>
                <w:szCs w:val="18"/>
                <w:lang w:bidi="ar"/>
              </w:rPr>
              <w:t>部门（单位）本年度</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实际支出数与预算安排数的比率，用以反映和评价部门（单位）对</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的实际控制程度。</w:t>
            </w:r>
          </w:p>
        </w:tc>
        <w:tc>
          <w:tcPr>
            <w:tcW w:w="4056"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控制率小于等于100%的，得满分；</w:t>
            </w:r>
          </w:p>
          <w:p>
            <w:pPr>
              <w:widowControl/>
              <w:jc w:val="left"/>
              <w:textAlignment w:val="center"/>
              <w:rPr>
                <w:rFonts w:hint="eastAsia" w:ascii="宋体" w:hAnsi="宋体" w:eastAsia="宋体" w:cs="宋体"/>
                <w:color w:val="auto"/>
                <w:sz w:val="18"/>
                <w:szCs w:val="18"/>
              </w:rPr>
            </w:pPr>
            <w:r>
              <w:rPr>
                <w:rFonts w:hint="eastAsia" w:ascii="宋体" w:hAnsi="宋体" w:cs="宋体"/>
                <w:color w:val="000000"/>
                <w:kern w:val="0"/>
                <w:sz w:val="18"/>
                <w:szCs w:val="18"/>
                <w:lang w:bidi="ar"/>
              </w:rPr>
              <w:t>②每超过</w:t>
            </w:r>
            <w:r>
              <w:rPr>
                <w:rFonts w:hint="eastAsia" w:ascii="宋体" w:hAnsi="宋体" w:cs="宋体"/>
                <w:color w:val="000000"/>
                <w:kern w:val="0"/>
                <w:sz w:val="18"/>
                <w:szCs w:val="18"/>
                <w:lang w:val="en-US" w:eastAsia="zh-CN" w:bidi="ar"/>
              </w:rPr>
              <w:t>10</w:t>
            </w:r>
            <w:r>
              <w:rPr>
                <w:rFonts w:hint="eastAsia" w:ascii="宋体" w:hAnsi="宋体" w:cs="宋体"/>
                <w:color w:val="000000"/>
                <w:kern w:val="0"/>
                <w:sz w:val="18"/>
                <w:szCs w:val="18"/>
                <w:lang w:bidi="ar"/>
              </w:rPr>
              <w:t>个百分点扣0.5分，扣完为止。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政府采购</w:t>
            </w:r>
          </w:p>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 xml:space="preserve">执行率 </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评价部门（单位）本年度政府采购是否执行政府采购相关规定和要求。</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政府采购执行率=（实际政府采购支出资金/政府采购预算资金）×100%。</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①政府采购执行率&gt;90%,得3分；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②85%≤政府采购执行率≤90%，得2分；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③80%≤政府采购执行率＜85%,得1分；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④低于80%不得分。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预算管理（8分）</w:t>
            </w: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管理制度</w:t>
            </w:r>
          </w:p>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健全性</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部门（单位）为加强预算管理、规范财务行为而制定的管理制度是否健全完整，用以反映和评价部门（单位）预算管理制度对完成主要职责或促进事业发展的保障情况。</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①已制定预算资金管理办法、内部财务管理制度、会计核算制度等管理制度（1分）；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②相关管理制度健全（1分）。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资金使用</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合规性</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部门（单位）使用预算资金是否符合相关的预算财务管理制度的规定，反映和评价部门（单位）预算资金的规范运行情况。</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①是否符合国家财经法规及有关部门资金管理办法的规定；</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②资金的拨付是否有完整的审批过程和手续；</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③对下补助资金是否有专门的资金分配办法或方案（包含测算过程）；</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④项目的重大开支是否经过评估论证，是否存在截留、挤占、挪用、虚列支出的情况。一项不符扣0.5分，扣完为止。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预决算信息公开性</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部门（单位）是否按照政府信息公开有关规定及预决算批复文件中要求的格式、时限公开相关预决算信息，用以反映和评价部门（单位）预决算管理的公开透明情况。</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①按规定格式公开预决算信息（1分）；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②按规定时限公开预决算信息（1分）；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资产管理</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完整性</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部门（单位）的资产是否保存完整、使用合规、收入及时足额上缴，用以反映和评价部门（单位）资产运行情况。</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①资产保存是否完整，有专人保管；</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②单位资产管理制度是否健全、完整、合法；；</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③资产有偿使用及处置收入是否及时足额上缴；</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④固定资产是否进行建立固定资产卡片并进行贴标管理；一项不符扣0.5分，扣完为止。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846"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产出（40%）</w:t>
            </w:r>
          </w:p>
        </w:tc>
        <w:tc>
          <w:tcPr>
            <w:tcW w:w="949"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职责履行（8分）</w:t>
            </w: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项目实际</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完成率</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抽查评价部门(单位)履行职责而实际完成的项目数与计划完成的项目数的比率，用以反映和评价部门(单位)履职任务目标的实现程度项目实际完成率=(实际完成项目数/计划完 成项目数)×100%。</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①项目实际完成率大等于95%的，得满分；项目实际完成率小等于80%的，得0分；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项目实际完成率在80%-95%之间的，得分=(某部门项目实际完成率-80%)/10%×该指标分值。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项目质量</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达标率</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已完成项目中质量达标项目个数占已完成项目个数的比率，用以反映和评价部门服职质量目标的实现程度，项目质量达标率=(已完成项目中质量达标项目个数/已完成项目个数×100%。项目质量达标是指项目决算验收合格。</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①项目质量达标率等于100%的，得满分;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②项</w:t>
            </w:r>
            <w:r>
              <w:rPr>
                <w:rFonts w:hint="eastAsia" w:ascii="宋体" w:hAnsi="宋体" w:eastAsia="宋体" w:cs="宋体"/>
                <w:color w:val="auto"/>
                <w:kern w:val="0"/>
                <w:sz w:val="18"/>
                <w:szCs w:val="18"/>
                <w:lang w:eastAsia="zh-CN" w:bidi="ar"/>
              </w:rPr>
              <w:t>目</w:t>
            </w:r>
            <w:r>
              <w:rPr>
                <w:rFonts w:hint="eastAsia" w:ascii="宋体" w:hAnsi="宋体" w:eastAsia="宋体" w:cs="宋体"/>
                <w:color w:val="auto"/>
                <w:kern w:val="0"/>
                <w:sz w:val="18"/>
                <w:szCs w:val="18"/>
                <w:lang w:bidi="ar"/>
              </w:rPr>
              <w:t>质量达标率小等于99%的，得0分;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②项目质量达标率在99%-100%之间的 得分=(某部门项目质量达标率-99%)/1%×该指标分值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部门绩效自</w:t>
            </w:r>
          </w:p>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评项目占比</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率（2分）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部门自评项目在所有项目中所占的份额，反映和评价部门对项目自评的重视程度。部门支出项目绩效自评范围：本年度列入本级财政预算安排的项目。</w:t>
            </w:r>
          </w:p>
        </w:tc>
        <w:tc>
          <w:tcPr>
            <w:tcW w:w="4056"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部门绩效自评项目占比率=(自评项目个数/所有项目个数)×100%。得分=占比率×该指标分值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部门预算绩效管理情况（2分）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对部门开展预算绩效管理工作的年度评价结果，用以反映部门对预算绩效管理工作的重视程度和取得的成效。</w:t>
            </w:r>
          </w:p>
        </w:tc>
        <w:tc>
          <w:tcPr>
            <w:tcW w:w="4056"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对部门绩效管理工作开展情况进行核查评价计算得分，包括绩效目标管理，绩效执行监控、绩效自评和评价结果应用等情况。以部门为单位进行综合计算，得出各部门绩效管理工作评价结果，资料数据来源不真实的不得分。未按规定报送绩效管理报表资料或未按时完成整改反馈的，每次扣1分。综合得分=(部门绩效管理工作评价结果/100) *2分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产出数量（10）</w:t>
            </w:r>
          </w:p>
        </w:tc>
        <w:tc>
          <w:tcPr>
            <w:tcW w:w="123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临时工工资按时发放次数(2分）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对部门临时工工资按时发放评价结果，用以反映部门对临时工工资发放是否及时性。</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①2022年度临时工工资按时发放次数≥12次得2分；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②11次≤政府采购执行率＜12次，得1分；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③10次≤政府采购执行率＜11次,得0分；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驻村干部</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人数(2分）</w:t>
            </w:r>
          </w:p>
        </w:tc>
        <w:tc>
          <w:tcPr>
            <w:tcW w:w="2504" w:type="dxa"/>
            <w:shd w:val="clear" w:color="auto" w:fill="auto"/>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lang w:val="en-US" w:eastAsia="zh-CN" w:bidi="ar"/>
              </w:rPr>
              <w:t>考核</w:t>
            </w:r>
            <w:r>
              <w:rPr>
                <w:rFonts w:hint="eastAsia" w:ascii="宋体" w:hAnsi="宋体" w:eastAsia="宋体" w:cs="宋体"/>
                <w:color w:val="auto"/>
                <w:kern w:val="0"/>
                <w:sz w:val="18"/>
                <w:szCs w:val="18"/>
                <w:lang w:bidi="ar"/>
              </w:rPr>
              <w:t>驻村干部人数</w:t>
            </w:r>
            <w:r>
              <w:rPr>
                <w:rFonts w:hint="eastAsia" w:ascii="宋体" w:hAnsi="宋体" w:eastAsia="宋体" w:cs="宋体"/>
                <w:color w:val="auto"/>
                <w:kern w:val="0"/>
                <w:sz w:val="18"/>
                <w:szCs w:val="18"/>
                <w:lang w:val="en-US" w:eastAsia="zh-CN" w:bidi="ar"/>
              </w:rPr>
              <w:t>考核是否达到住建局绩效目标要求</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bidi="ar"/>
              </w:rPr>
              <w:t>①驻村干部人数≥2人</w:t>
            </w:r>
            <w:r>
              <w:rPr>
                <w:rFonts w:hint="eastAsia" w:ascii="宋体" w:hAnsi="宋体" w:eastAsia="宋体" w:cs="宋体"/>
                <w:color w:val="auto"/>
                <w:kern w:val="0"/>
                <w:sz w:val="18"/>
                <w:szCs w:val="18"/>
                <w:lang w:val="en-US" w:eastAsia="zh-CN" w:bidi="ar"/>
              </w:rPr>
              <w:t>,得2分；</w:t>
            </w:r>
          </w:p>
          <w:p>
            <w:pPr>
              <w:widowControl/>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②驻村干部人数</w:t>
            </w:r>
            <w:r>
              <w:rPr>
                <w:rFonts w:hint="eastAsia" w:ascii="宋体" w:hAnsi="宋体" w:eastAsia="宋体" w:cs="宋体"/>
                <w:color w:val="auto"/>
                <w:kern w:val="0"/>
                <w:sz w:val="18"/>
                <w:szCs w:val="18"/>
                <w:lang w:val="en-US" w:eastAsia="zh-CN" w:bidi="ar"/>
              </w:rPr>
              <w:t>1人</w:t>
            </w:r>
            <w:r>
              <w:rPr>
                <w:rFonts w:hint="eastAsia" w:ascii="宋体" w:hAnsi="宋体" w:eastAsia="宋体" w:cs="宋体"/>
                <w:color w:val="auto"/>
                <w:kern w:val="0"/>
                <w:sz w:val="18"/>
                <w:szCs w:val="18"/>
                <w:lang w:bidi="ar"/>
              </w:rPr>
              <w:t>，得1分；</w:t>
            </w:r>
          </w:p>
          <w:p>
            <w:pPr>
              <w:widowControl/>
              <w:jc w:val="left"/>
              <w:textAlignment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bidi="ar"/>
              </w:rPr>
              <w:t>③驻村干部人数</w:t>
            </w:r>
            <w:r>
              <w:rPr>
                <w:rFonts w:hint="eastAsia" w:ascii="宋体" w:hAnsi="宋体" w:eastAsia="宋体" w:cs="宋体"/>
                <w:color w:val="auto"/>
                <w:kern w:val="0"/>
                <w:sz w:val="18"/>
                <w:szCs w:val="18"/>
                <w:lang w:val="en-US" w:eastAsia="zh-CN" w:bidi="ar"/>
              </w:rPr>
              <w:t>0人，</w:t>
            </w:r>
            <w:r>
              <w:rPr>
                <w:rFonts w:hint="eastAsia" w:ascii="宋体" w:hAnsi="宋体" w:eastAsia="宋体" w:cs="宋体"/>
                <w:color w:val="auto"/>
                <w:kern w:val="0"/>
                <w:sz w:val="18"/>
                <w:szCs w:val="18"/>
                <w:lang w:bidi="ar"/>
              </w:rPr>
              <w:t>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修缮加固历史建筑(2分）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对历史建筑进行修缮加固结果，用以反映部门对修缮加固历史建筑是否达到绩效目标值。</w:t>
            </w:r>
          </w:p>
        </w:tc>
        <w:tc>
          <w:tcPr>
            <w:tcW w:w="4056"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≥10 栋得满分，每少于1栋扣1分，扣完为止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危房消除率(2分）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房屋安全隐患排除率=经鉴定无安全隐患的房屋数量/需要鉴定的房屋数量x100%</w:t>
            </w:r>
          </w:p>
        </w:tc>
        <w:tc>
          <w:tcPr>
            <w:tcW w:w="4056"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危房消除率≥90%得2分，按比例得分。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工程项目竣工个数</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推动工程项目竣工的个数</w:t>
            </w:r>
          </w:p>
        </w:tc>
        <w:tc>
          <w:tcPr>
            <w:tcW w:w="4056"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该项目满分为2分。全年竣工项目数≧</w:t>
            </w:r>
            <w:r>
              <w:rPr>
                <w:rFonts w:hint="eastAsia" w:ascii="宋体" w:hAnsi="宋体" w:eastAsia="宋体" w:cs="宋体"/>
                <w:color w:val="auto"/>
                <w:kern w:val="0"/>
                <w:sz w:val="18"/>
                <w:szCs w:val="18"/>
                <w:lang w:val="en-US" w:eastAsia="zh-CN" w:bidi="ar"/>
              </w:rPr>
              <w:t>107</w:t>
            </w:r>
            <w:r>
              <w:rPr>
                <w:rFonts w:hint="eastAsia" w:ascii="宋体" w:hAnsi="宋体" w:eastAsia="宋体" w:cs="宋体"/>
                <w:color w:val="auto"/>
                <w:kern w:val="0"/>
                <w:sz w:val="18"/>
                <w:szCs w:val="18"/>
                <w:lang w:bidi="ar"/>
              </w:rPr>
              <w:t>个得2分</w:t>
            </w:r>
            <w:r>
              <w:rPr>
                <w:rFonts w:hint="eastAsia" w:ascii="宋体" w:hAnsi="宋体" w:eastAsia="宋体" w:cs="宋体"/>
                <w:color w:val="auto"/>
                <w:kern w:val="0"/>
                <w:sz w:val="18"/>
                <w:szCs w:val="18"/>
                <w:lang w:eastAsia="zh-CN" w:bidi="ar"/>
              </w:rPr>
              <w:t>，</w:t>
            </w:r>
            <w:r>
              <w:rPr>
                <w:rFonts w:hint="eastAsia" w:ascii="宋体" w:hAnsi="宋体" w:eastAsia="宋体" w:cs="宋体"/>
                <w:color w:val="auto"/>
                <w:kern w:val="0"/>
                <w:sz w:val="18"/>
                <w:szCs w:val="18"/>
                <w:lang w:val="en-US" w:eastAsia="zh-CN" w:bidi="ar"/>
              </w:rPr>
              <w:t>每少10个扣1分，严重扣完为止。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产出质量（12）</w:t>
            </w:r>
          </w:p>
        </w:tc>
        <w:tc>
          <w:tcPr>
            <w:tcW w:w="123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专业技术人员参加培训次数(2分）</w:t>
            </w:r>
          </w:p>
        </w:tc>
        <w:tc>
          <w:tcPr>
            <w:tcW w:w="2504" w:type="dxa"/>
            <w:shd w:val="clear" w:color="auto" w:fill="auto"/>
            <w:vAlign w:val="center"/>
          </w:tcPr>
          <w:p>
            <w:pPr>
              <w:widowControl/>
              <w:jc w:val="both"/>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现场监督人员参加培训次数</w:t>
            </w:r>
          </w:p>
        </w:tc>
        <w:tc>
          <w:tcPr>
            <w:tcW w:w="4056"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现场监督人员每位每年专业技术培训次数为0的，每少一人的扣0.5分，封顶5分。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考核对</w:t>
            </w:r>
            <w:r>
              <w:rPr>
                <w:rFonts w:hint="eastAsia" w:ascii="宋体" w:hAnsi="宋体" w:eastAsia="宋体" w:cs="宋体"/>
                <w:color w:val="auto"/>
                <w:kern w:val="0"/>
                <w:sz w:val="18"/>
                <w:szCs w:val="18"/>
                <w:lang w:bidi="ar"/>
              </w:rPr>
              <w:t>起重机械检查整改</w:t>
            </w:r>
            <w:r>
              <w:rPr>
                <w:rFonts w:hint="eastAsia" w:ascii="宋体" w:hAnsi="宋体" w:eastAsia="宋体" w:cs="宋体"/>
                <w:color w:val="auto"/>
                <w:kern w:val="0"/>
                <w:sz w:val="18"/>
                <w:szCs w:val="18"/>
                <w:lang w:val="en-US" w:eastAsia="zh-CN" w:bidi="ar"/>
              </w:rPr>
              <w:t>情况</w:t>
            </w:r>
            <w:r>
              <w:rPr>
                <w:rFonts w:hint="eastAsia" w:ascii="宋体" w:hAnsi="宋体" w:eastAsia="宋体" w:cs="宋体"/>
                <w:color w:val="auto"/>
                <w:kern w:val="0"/>
                <w:sz w:val="18"/>
                <w:szCs w:val="18"/>
                <w:lang w:bidi="ar"/>
              </w:rPr>
              <w:t>(2分）</w:t>
            </w:r>
          </w:p>
        </w:tc>
        <w:tc>
          <w:tcPr>
            <w:tcW w:w="2504" w:type="dxa"/>
            <w:shd w:val="clear" w:color="auto" w:fill="auto"/>
            <w:vAlign w:val="center"/>
          </w:tcPr>
          <w:p>
            <w:pPr>
              <w:widowControl/>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val="en-US" w:eastAsia="zh-CN" w:bidi="ar"/>
              </w:rPr>
              <w:t>考核对</w:t>
            </w:r>
            <w:r>
              <w:rPr>
                <w:rFonts w:hint="eastAsia" w:ascii="宋体" w:hAnsi="宋体" w:eastAsia="宋体" w:cs="宋体"/>
                <w:color w:val="auto"/>
                <w:kern w:val="0"/>
                <w:sz w:val="18"/>
                <w:szCs w:val="18"/>
                <w:lang w:bidi="ar"/>
              </w:rPr>
              <w:t>起重机械检查整改</w:t>
            </w:r>
            <w:r>
              <w:rPr>
                <w:rFonts w:hint="eastAsia" w:ascii="宋体" w:hAnsi="宋体" w:eastAsia="宋体" w:cs="宋体"/>
                <w:color w:val="auto"/>
                <w:kern w:val="0"/>
                <w:sz w:val="18"/>
                <w:szCs w:val="18"/>
                <w:lang w:val="en-US" w:eastAsia="zh-CN" w:bidi="ar"/>
              </w:rPr>
              <w:t>情况</w:t>
            </w:r>
          </w:p>
        </w:tc>
        <w:tc>
          <w:tcPr>
            <w:tcW w:w="4056" w:type="dxa"/>
            <w:shd w:val="clear" w:color="auto" w:fill="auto"/>
            <w:vAlign w:val="center"/>
          </w:tcPr>
          <w:p>
            <w:pPr>
              <w:widowControl/>
              <w:jc w:val="left"/>
              <w:textAlignment w:val="center"/>
              <w:rPr>
                <w:rFonts w:hint="default" w:ascii="宋体" w:hAnsi="宋体" w:eastAsia="宋体" w:cs="宋体"/>
                <w:color w:val="auto"/>
                <w:kern w:val="0"/>
                <w:sz w:val="18"/>
                <w:szCs w:val="18"/>
                <w:lang w:val="en-US" w:bidi="ar"/>
              </w:rPr>
            </w:pPr>
            <w:r>
              <w:rPr>
                <w:rFonts w:hint="eastAsia" w:ascii="宋体" w:hAnsi="宋体" w:eastAsia="宋体" w:cs="宋体"/>
                <w:color w:val="auto"/>
                <w:kern w:val="0"/>
                <w:sz w:val="18"/>
                <w:szCs w:val="18"/>
                <w:lang w:bidi="ar"/>
              </w:rPr>
              <w:t>起重机械检查整改率</w:t>
            </w:r>
            <w:r>
              <w:rPr>
                <w:rFonts w:hint="eastAsia" w:ascii="宋体" w:hAnsi="宋体" w:eastAsia="宋体" w:cs="宋体"/>
                <w:color w:val="auto"/>
                <w:kern w:val="0"/>
                <w:sz w:val="18"/>
                <w:szCs w:val="18"/>
                <w:lang w:val="en-US" w:eastAsia="zh-CN" w:bidi="ar"/>
              </w:rPr>
              <w:t>100%得1分，每少10%扣1分</w:t>
            </w:r>
            <w:r>
              <w:rPr>
                <w:rFonts w:hint="eastAsia" w:ascii="宋体" w:hAnsi="宋体" w:eastAsia="宋体" w:cs="宋体"/>
                <w:color w:val="auto"/>
                <w:kern w:val="0"/>
                <w:sz w:val="18"/>
                <w:szCs w:val="18"/>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资金使用</w:t>
            </w:r>
          </w:p>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合规性</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2504" w:type="dxa"/>
            <w:shd w:val="clear" w:color="auto" w:fill="auto"/>
            <w:vAlign w:val="center"/>
          </w:tcPr>
          <w:p>
            <w:pPr>
              <w:widowControl/>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资金使用合规性专款专用</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资金使用合规性专款专用符合规定得2分，不符合得0分。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lang w:bidi="ar"/>
              </w:rPr>
              <w:t>完成上级下发的房屋普查量(2分</w:t>
            </w:r>
            <w:r>
              <w:rPr>
                <w:rFonts w:hint="eastAsia" w:ascii="宋体" w:hAnsi="宋体" w:eastAsia="宋体" w:cs="宋体"/>
                <w:color w:val="auto"/>
                <w:kern w:val="0"/>
                <w:sz w:val="18"/>
                <w:szCs w:val="18"/>
                <w:lang w:eastAsia="zh-CN" w:bidi="ar"/>
              </w:rPr>
              <w:t>）</w:t>
            </w:r>
          </w:p>
        </w:tc>
        <w:tc>
          <w:tcPr>
            <w:tcW w:w="2504" w:type="dxa"/>
            <w:shd w:val="clear" w:color="auto" w:fill="auto"/>
            <w:noWrap/>
            <w:vAlign w:val="center"/>
          </w:tcPr>
          <w:p>
            <w:pPr>
              <w:widowControl/>
              <w:jc w:val="left"/>
              <w:textAlignment w:val="center"/>
              <w:rPr>
                <w:rFonts w:hint="eastAsia"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完成上级下发的房屋普查量</w:t>
            </w:r>
          </w:p>
        </w:tc>
        <w:tc>
          <w:tcPr>
            <w:tcW w:w="4056" w:type="dxa"/>
            <w:shd w:val="clear" w:color="auto" w:fill="auto"/>
            <w:vAlign w:val="center"/>
          </w:tcPr>
          <w:p>
            <w:pPr>
              <w:widowControl/>
              <w:jc w:val="left"/>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bidi="ar"/>
              </w:rPr>
              <w:t>房屋普查量≥90%得满分</w:t>
            </w:r>
            <w:r>
              <w:rPr>
                <w:rFonts w:hint="eastAsia" w:ascii="宋体" w:hAnsi="宋体" w:eastAsia="宋体" w:cs="宋体"/>
                <w:color w:val="auto"/>
                <w:kern w:val="0"/>
                <w:sz w:val="18"/>
                <w:szCs w:val="18"/>
                <w:highlight w:val="none"/>
                <w:lang w:eastAsia="zh-CN" w:bidi="ar"/>
              </w:rPr>
              <w:t>，</w:t>
            </w:r>
            <w:r>
              <w:rPr>
                <w:rFonts w:hint="eastAsia" w:ascii="宋体" w:hAnsi="宋体" w:eastAsia="宋体" w:cs="宋体"/>
                <w:color w:val="auto"/>
                <w:kern w:val="0"/>
                <w:sz w:val="18"/>
                <w:szCs w:val="18"/>
                <w:highlight w:val="none"/>
                <w:lang w:val="en-US" w:eastAsia="zh-CN" w:bidi="ar"/>
              </w:rPr>
              <w:t>每少10%扣1分</w:t>
            </w:r>
            <w:r>
              <w:rPr>
                <w:rFonts w:hint="eastAsia" w:ascii="宋体" w:hAnsi="宋体" w:eastAsia="宋体" w:cs="宋体"/>
                <w:color w:val="auto"/>
                <w:kern w:val="0"/>
                <w:sz w:val="18"/>
                <w:szCs w:val="18"/>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党建工作质量水平</w:t>
            </w:r>
          </w:p>
          <w:p>
            <w:pPr>
              <w:widowControl/>
              <w:jc w:val="center"/>
              <w:textAlignment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(2分）</w:t>
            </w:r>
          </w:p>
        </w:tc>
        <w:tc>
          <w:tcPr>
            <w:tcW w:w="2504" w:type="dxa"/>
            <w:shd w:val="clear" w:color="auto" w:fill="auto"/>
            <w:vAlign w:val="center"/>
          </w:tcPr>
          <w:p>
            <w:pPr>
              <w:widowControl/>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党建工作质量水平</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党建工作质量水平提升效果显著</w:t>
            </w:r>
            <w:r>
              <w:rPr>
                <w:rFonts w:hint="eastAsia" w:ascii="宋体" w:hAnsi="宋体" w:eastAsia="宋体" w:cs="宋体"/>
                <w:color w:val="auto"/>
                <w:kern w:val="0"/>
                <w:sz w:val="18"/>
                <w:szCs w:val="18"/>
                <w:lang w:eastAsia="zh-CN" w:bidi="ar"/>
              </w:rPr>
              <w:t>，</w:t>
            </w:r>
            <w:r>
              <w:rPr>
                <w:rFonts w:hint="eastAsia" w:ascii="宋体" w:hAnsi="宋体" w:eastAsia="宋体" w:cs="宋体"/>
                <w:color w:val="auto"/>
                <w:kern w:val="0"/>
                <w:sz w:val="18"/>
                <w:szCs w:val="18"/>
                <w:lang w:val="en-US" w:eastAsia="zh-CN" w:bidi="ar"/>
              </w:rPr>
              <w:t>稳步</w:t>
            </w:r>
            <w:r>
              <w:rPr>
                <w:rFonts w:hint="eastAsia" w:ascii="宋体" w:hAnsi="宋体" w:eastAsia="宋体" w:cs="宋体"/>
                <w:color w:val="auto"/>
                <w:kern w:val="0"/>
                <w:sz w:val="18"/>
                <w:szCs w:val="18"/>
                <w:lang w:bidi="ar"/>
              </w:rPr>
              <w:t>提升得</w:t>
            </w:r>
            <w:r>
              <w:rPr>
                <w:rFonts w:hint="eastAsia" w:ascii="宋体" w:hAnsi="宋体" w:eastAsia="宋体" w:cs="宋体"/>
                <w:color w:val="auto"/>
                <w:kern w:val="0"/>
                <w:sz w:val="18"/>
                <w:szCs w:val="18"/>
                <w:lang w:val="en-US" w:eastAsia="zh-CN" w:bidi="ar"/>
              </w:rPr>
              <w:t>2</w:t>
            </w:r>
            <w:r>
              <w:rPr>
                <w:rFonts w:hint="eastAsia" w:ascii="宋体" w:hAnsi="宋体" w:eastAsia="宋体" w:cs="宋体"/>
                <w:color w:val="auto"/>
                <w:kern w:val="0"/>
                <w:sz w:val="18"/>
                <w:szCs w:val="18"/>
                <w:lang w:bidi="ar"/>
              </w:rPr>
              <w:t>分，效果一般得</w:t>
            </w:r>
            <w:r>
              <w:rPr>
                <w:rFonts w:hint="eastAsia" w:ascii="宋体" w:hAnsi="宋体" w:eastAsia="宋体" w:cs="宋体"/>
                <w:color w:val="auto"/>
                <w:kern w:val="0"/>
                <w:sz w:val="18"/>
                <w:szCs w:val="18"/>
                <w:lang w:val="en-US" w:eastAsia="zh-CN" w:bidi="ar"/>
              </w:rPr>
              <w:t>1</w:t>
            </w:r>
            <w:r>
              <w:rPr>
                <w:rFonts w:hint="eastAsia" w:ascii="宋体" w:hAnsi="宋体" w:eastAsia="宋体" w:cs="宋体"/>
                <w:color w:val="auto"/>
                <w:kern w:val="0"/>
                <w:sz w:val="18"/>
                <w:szCs w:val="18"/>
                <w:lang w:bidi="ar"/>
              </w:rPr>
              <w:t>分，</w:t>
            </w:r>
            <w:r>
              <w:rPr>
                <w:rFonts w:hint="eastAsia" w:ascii="宋体" w:hAnsi="宋体" w:eastAsia="宋体" w:cs="宋体"/>
                <w:color w:val="auto"/>
                <w:kern w:val="0"/>
                <w:sz w:val="18"/>
                <w:szCs w:val="18"/>
                <w:lang w:val="en-US" w:eastAsia="zh-CN" w:bidi="ar"/>
              </w:rPr>
              <w:t>无提升</w:t>
            </w:r>
            <w:r>
              <w:rPr>
                <w:rFonts w:hint="eastAsia" w:ascii="宋体" w:hAnsi="宋体" w:eastAsia="宋体" w:cs="宋体"/>
                <w:color w:val="auto"/>
                <w:kern w:val="0"/>
                <w:sz w:val="18"/>
                <w:szCs w:val="18"/>
                <w:lang w:bidi="ar"/>
              </w:rPr>
              <w:t>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动态考评</w:t>
            </w:r>
          </w:p>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完成率</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按《福建省建设工程质量安全动态监管办法（2018年版）》要求进行动态考评，用以反映部门对建设工程质量安全动态考评完成工作的重视程度和取得的成效。</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①动态考评完成率等于100%的，得满分;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②动态考评完成率小于等于99%的，得0分;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②动态考评完成率在99%-100%之间的 得分=(某部门项目质量达标率-99%)/1%×该指标分值。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产出</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时效</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（5分）</w:t>
            </w: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监督抽测</w:t>
            </w:r>
          </w:p>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时间</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（5分）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lang w:val="en-US" w:eastAsia="zh-CN" w:bidi="ar"/>
              </w:rPr>
              <w:t>考核</w:t>
            </w:r>
            <w:r>
              <w:rPr>
                <w:rFonts w:hint="eastAsia" w:ascii="宋体" w:hAnsi="宋体" w:eastAsia="宋体" w:cs="宋体"/>
                <w:color w:val="auto"/>
                <w:kern w:val="0"/>
                <w:sz w:val="18"/>
                <w:szCs w:val="18"/>
                <w:lang w:bidi="ar"/>
              </w:rPr>
              <w:t>监督抽测的时间</w:t>
            </w:r>
            <w:r>
              <w:rPr>
                <w:rFonts w:hint="eastAsia" w:ascii="宋体" w:hAnsi="宋体" w:eastAsia="宋体" w:cs="宋体"/>
                <w:color w:val="auto"/>
                <w:kern w:val="0"/>
                <w:sz w:val="18"/>
                <w:szCs w:val="18"/>
                <w:lang w:val="en-US" w:eastAsia="zh-CN" w:bidi="ar"/>
              </w:rPr>
              <w:t>是否达到绩效目标值</w:t>
            </w:r>
          </w:p>
        </w:tc>
        <w:tc>
          <w:tcPr>
            <w:tcW w:w="4056"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该项目满分为4分。完成目标值得4分，没完成不得分。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产出</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成本</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（5分）</w:t>
            </w: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执监、检测</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经费（5分）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考核</w:t>
            </w:r>
            <w:r>
              <w:rPr>
                <w:rFonts w:hint="eastAsia" w:ascii="宋体" w:hAnsi="宋体" w:eastAsia="宋体" w:cs="宋体"/>
                <w:color w:val="auto"/>
                <w:kern w:val="0"/>
                <w:sz w:val="18"/>
                <w:szCs w:val="18"/>
                <w:lang w:bidi="ar"/>
              </w:rPr>
              <w:t>执监、检测经费支出费用</w:t>
            </w:r>
            <w:r>
              <w:rPr>
                <w:rFonts w:hint="eastAsia" w:ascii="宋体" w:hAnsi="宋体" w:eastAsia="宋体" w:cs="宋体"/>
                <w:color w:val="auto"/>
                <w:kern w:val="0"/>
                <w:sz w:val="18"/>
                <w:szCs w:val="18"/>
                <w:lang w:val="en-US" w:eastAsia="zh-CN" w:bidi="ar"/>
              </w:rPr>
              <w:t>是否达到绩效目标值</w:t>
            </w:r>
          </w:p>
        </w:tc>
        <w:tc>
          <w:tcPr>
            <w:tcW w:w="4056"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该项目满分为5分。全年支出≦70.3万，得5分；超过的支出费用≦10%的得2分；超过10%的不得分。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46"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效益（20%）</w:t>
            </w:r>
          </w:p>
        </w:tc>
        <w:tc>
          <w:tcPr>
            <w:tcW w:w="949" w:type="dxa"/>
            <w:vMerge w:val="restart"/>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社会</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效益</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（6分）</w:t>
            </w:r>
          </w:p>
        </w:tc>
        <w:tc>
          <w:tcPr>
            <w:tcW w:w="123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eastAsia="zh-CN" w:bidi="ar"/>
              </w:rPr>
              <w:t>物业企业管理小区的整改率</w:t>
            </w:r>
            <w:r>
              <w:rPr>
                <w:rFonts w:hint="eastAsia" w:ascii="宋体" w:hAnsi="宋体" w:eastAsia="宋体" w:cs="宋体"/>
                <w:color w:val="auto"/>
                <w:kern w:val="0"/>
                <w:sz w:val="18"/>
                <w:szCs w:val="18"/>
                <w:lang w:bidi="ar"/>
              </w:rPr>
              <w:t>（3分）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lang w:val="en-US" w:eastAsia="zh-CN" w:bidi="ar"/>
              </w:rPr>
              <w:t>考核是否</w:t>
            </w:r>
            <w:r>
              <w:rPr>
                <w:rFonts w:hint="eastAsia" w:ascii="宋体" w:hAnsi="宋体" w:eastAsia="宋体" w:cs="宋体"/>
                <w:color w:val="auto"/>
                <w:kern w:val="0"/>
                <w:sz w:val="18"/>
                <w:szCs w:val="18"/>
                <w:lang w:bidi="ar"/>
              </w:rPr>
              <w:t>提高物业企业管理小区水平</w:t>
            </w:r>
            <w:r>
              <w:rPr>
                <w:rFonts w:hint="eastAsia" w:ascii="宋体" w:hAnsi="宋体" w:eastAsia="宋体" w:cs="宋体"/>
                <w:color w:val="auto"/>
                <w:kern w:val="0"/>
                <w:sz w:val="18"/>
                <w:szCs w:val="18"/>
                <w:lang w:val="en-US" w:eastAsia="zh-CN" w:bidi="ar"/>
              </w:rPr>
              <w:t>的效果</w:t>
            </w:r>
          </w:p>
        </w:tc>
        <w:tc>
          <w:tcPr>
            <w:tcW w:w="4056"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完成率达100%得满分；90%-99%扣2分；90%以下不得分。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提高小区环境卫生</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（3分）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lang w:val="en-US" w:eastAsia="zh-CN" w:bidi="ar"/>
              </w:rPr>
              <w:t>考核</w:t>
            </w:r>
            <w:r>
              <w:rPr>
                <w:rFonts w:hint="eastAsia" w:ascii="宋体" w:hAnsi="宋体" w:eastAsia="宋体" w:cs="宋体"/>
                <w:color w:val="auto"/>
                <w:kern w:val="0"/>
                <w:sz w:val="18"/>
                <w:szCs w:val="18"/>
                <w:lang w:bidi="ar"/>
              </w:rPr>
              <w:t>提高小区环境卫生</w:t>
            </w:r>
            <w:r>
              <w:rPr>
                <w:rFonts w:hint="eastAsia" w:ascii="宋体" w:hAnsi="宋体" w:eastAsia="宋体" w:cs="宋体"/>
                <w:color w:val="auto"/>
                <w:kern w:val="0"/>
                <w:sz w:val="18"/>
                <w:szCs w:val="18"/>
                <w:lang w:val="en-US" w:eastAsia="zh-CN" w:bidi="ar"/>
              </w:rPr>
              <w:t>效果</w:t>
            </w:r>
          </w:p>
        </w:tc>
        <w:tc>
          <w:tcPr>
            <w:tcW w:w="4056"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效果显著提升得3分，效果一般得2分，效益差不得分。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经济</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效益</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（4分）</w:t>
            </w: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办公楼租金收缴情况</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（4分）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考核</w:t>
            </w:r>
            <w:r>
              <w:rPr>
                <w:rFonts w:hint="eastAsia" w:ascii="宋体" w:hAnsi="宋体" w:eastAsia="宋体" w:cs="宋体"/>
                <w:color w:val="auto"/>
                <w:kern w:val="0"/>
                <w:sz w:val="18"/>
                <w:szCs w:val="18"/>
                <w:lang w:bidi="ar"/>
              </w:rPr>
              <w:t>办公楼租金收缴情况</w:t>
            </w:r>
          </w:p>
        </w:tc>
        <w:tc>
          <w:tcPr>
            <w:tcW w:w="4056"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物业管理大楼已收取租金/租金目标值大于70万元得满分，小于70万元，则酌情扣分。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restart"/>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可持续效益</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（6分）</w:t>
            </w: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工程项目</w:t>
            </w:r>
          </w:p>
          <w:p>
            <w:pPr>
              <w:widowControl/>
              <w:jc w:val="center"/>
              <w:textAlignment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eastAsia="zh-CN" w:bidi="ar"/>
              </w:rPr>
              <w:t>评价率</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（3分）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lang w:val="en-US" w:eastAsia="zh-CN" w:bidi="ar"/>
              </w:rPr>
              <w:t>考核</w:t>
            </w:r>
            <w:r>
              <w:rPr>
                <w:rFonts w:hint="eastAsia" w:ascii="宋体" w:hAnsi="宋体" w:eastAsia="宋体" w:cs="宋体"/>
                <w:color w:val="auto"/>
                <w:kern w:val="0"/>
                <w:sz w:val="18"/>
                <w:szCs w:val="18"/>
                <w:lang w:bidi="ar"/>
              </w:rPr>
              <w:t>推动工程项目竣工</w:t>
            </w:r>
            <w:r>
              <w:rPr>
                <w:rFonts w:hint="eastAsia" w:ascii="宋体" w:hAnsi="宋体" w:eastAsia="宋体" w:cs="宋体"/>
                <w:color w:val="auto"/>
                <w:kern w:val="0"/>
                <w:sz w:val="18"/>
                <w:szCs w:val="18"/>
                <w:lang w:val="en-US" w:eastAsia="zh-CN" w:bidi="ar"/>
              </w:rPr>
              <w:t>率</w:t>
            </w:r>
          </w:p>
        </w:tc>
        <w:tc>
          <w:tcPr>
            <w:tcW w:w="4056" w:type="dxa"/>
            <w:shd w:val="clear" w:color="auto" w:fill="auto"/>
            <w:vAlign w:val="center"/>
          </w:tcPr>
          <w:p>
            <w:pPr>
              <w:widowControl/>
              <w:jc w:val="left"/>
              <w:textAlignment w:val="center"/>
              <w:rPr>
                <w:rFonts w:hint="default" w:ascii="宋体" w:hAnsi="宋体" w:eastAsia="宋体" w:cs="宋体"/>
                <w:color w:val="auto"/>
                <w:sz w:val="18"/>
                <w:szCs w:val="18"/>
                <w:lang w:val="en-US" w:eastAsia="zh-CN"/>
              </w:rPr>
            </w:pPr>
            <w:r>
              <w:rPr>
                <w:rFonts w:hint="eastAsia" w:ascii="宋体" w:hAnsi="宋体" w:eastAsia="宋体" w:cs="宋体"/>
                <w:color w:val="auto"/>
                <w:kern w:val="0"/>
                <w:sz w:val="18"/>
                <w:szCs w:val="18"/>
                <w:lang w:bidi="ar"/>
              </w:rPr>
              <w:t>该项目满分</w:t>
            </w:r>
            <w:r>
              <w:rPr>
                <w:rFonts w:hint="eastAsia" w:ascii="宋体" w:hAnsi="宋体" w:eastAsia="宋体" w:cs="宋体"/>
                <w:color w:val="auto"/>
                <w:kern w:val="0"/>
                <w:sz w:val="18"/>
                <w:szCs w:val="18"/>
                <w:lang w:val="en-US" w:eastAsia="zh-CN" w:bidi="ar"/>
              </w:rPr>
              <w:t>90%以上</w:t>
            </w:r>
            <w:r>
              <w:rPr>
                <w:rFonts w:hint="eastAsia" w:ascii="宋体" w:hAnsi="宋体" w:eastAsia="宋体" w:cs="宋体"/>
                <w:color w:val="auto"/>
                <w:kern w:val="0"/>
                <w:sz w:val="18"/>
                <w:szCs w:val="18"/>
                <w:lang w:bidi="ar"/>
              </w:rPr>
              <w:t>为3分。</w:t>
            </w:r>
            <w:r>
              <w:rPr>
                <w:rFonts w:hint="eastAsia" w:ascii="宋体" w:hAnsi="宋体" w:eastAsia="宋体" w:cs="宋体"/>
                <w:color w:val="auto"/>
                <w:kern w:val="0"/>
                <w:sz w:val="18"/>
                <w:szCs w:val="18"/>
                <w:lang w:val="en-US" w:eastAsia="zh-CN" w:bidi="ar"/>
              </w:rPr>
              <w:t>每少10%扣0.5分，严重扣完为止。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vMerge w:val="continue"/>
            <w:shd w:val="clear" w:color="auto" w:fill="auto"/>
            <w:vAlign w:val="center"/>
          </w:tcPr>
          <w:p>
            <w:pPr>
              <w:jc w:val="center"/>
              <w:rPr>
                <w:rFonts w:hint="eastAsia" w:ascii="宋体" w:hAnsi="宋体" w:eastAsia="宋体" w:cs="宋体"/>
                <w:color w:val="auto"/>
                <w:sz w:val="18"/>
                <w:szCs w:val="18"/>
              </w:rPr>
            </w:pPr>
          </w:p>
        </w:tc>
        <w:tc>
          <w:tcPr>
            <w:tcW w:w="1230"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泉州市优质工程个数</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（3分）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考核</w:t>
            </w:r>
            <w:r>
              <w:rPr>
                <w:rFonts w:hint="eastAsia" w:ascii="宋体" w:hAnsi="宋体" w:eastAsia="宋体" w:cs="宋体"/>
                <w:color w:val="auto"/>
                <w:kern w:val="0"/>
                <w:sz w:val="18"/>
                <w:szCs w:val="18"/>
                <w:lang w:bidi="ar"/>
              </w:rPr>
              <w:t>推动办理监督项目申请优质工程的个数</w:t>
            </w:r>
          </w:p>
        </w:tc>
        <w:tc>
          <w:tcPr>
            <w:tcW w:w="4056"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该项目满分为3分。全年优质工程个数≧1个得1分，没有的不得分。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846" w:type="dxa"/>
            <w:vMerge w:val="continue"/>
            <w:shd w:val="clear" w:color="auto" w:fill="auto"/>
            <w:vAlign w:val="center"/>
          </w:tcPr>
          <w:p>
            <w:pPr>
              <w:jc w:val="center"/>
              <w:rPr>
                <w:rFonts w:hint="eastAsia" w:ascii="宋体" w:hAnsi="宋体" w:eastAsia="宋体" w:cs="宋体"/>
                <w:color w:val="auto"/>
                <w:sz w:val="18"/>
                <w:szCs w:val="18"/>
              </w:rPr>
            </w:pPr>
          </w:p>
        </w:tc>
        <w:tc>
          <w:tcPr>
            <w:tcW w:w="949" w:type="dxa"/>
            <w:shd w:val="clear" w:color="auto" w:fill="auto"/>
            <w:vAlign w:val="center"/>
          </w:tcPr>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服务对象满意度</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（4分））</w:t>
            </w:r>
          </w:p>
        </w:tc>
        <w:tc>
          <w:tcPr>
            <w:tcW w:w="123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公众满意度（4分）</w:t>
            </w:r>
          </w:p>
        </w:tc>
        <w:tc>
          <w:tcPr>
            <w:tcW w:w="2504"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考核</w:t>
            </w:r>
            <w:r>
              <w:rPr>
                <w:rFonts w:hint="eastAsia" w:ascii="宋体" w:hAnsi="宋体" w:eastAsia="宋体" w:cs="宋体"/>
                <w:color w:val="auto"/>
                <w:kern w:val="0"/>
                <w:sz w:val="18"/>
                <w:szCs w:val="18"/>
                <w:lang w:bidi="ar"/>
              </w:rPr>
              <w:t>社会公众对部门履职效果的满意程度。</w:t>
            </w:r>
          </w:p>
        </w:tc>
        <w:tc>
          <w:tcPr>
            <w:tcW w:w="4056"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社会公众对部门履职效果的满意程度。</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①95%≤满意度＜100%，得4分；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②90%≤满意度＜95%，得3分；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③85%≤满意度＜90%得1分；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④满意度低于85%，不得分。</w:t>
            </w:r>
          </w:p>
        </w:tc>
      </w:tr>
    </w:tbl>
    <w:p>
      <w:pPr>
        <w:snapToGrid/>
        <w:spacing w:before="312" w:beforeLines="100" w:beforeAutospacing="0" w:after="156" w:afterLines="50" w:afterAutospacing="0" w:line="360" w:lineRule="auto"/>
        <w:ind w:left="0" w:leftChars="0" w:right="0" w:rightChars="0" w:firstLine="0" w:firstLineChars="0"/>
        <w:jc w:val="left"/>
        <w:outlineLvl w:val="0"/>
        <w:rPr>
          <w:rFonts w:hint="eastAsia" w:ascii="Times New Roman" w:hAnsi="仿宋" w:eastAsia="宋体" w:cs="仿宋"/>
          <w:b/>
          <w:bCs/>
          <w:color w:val="auto"/>
          <w:spacing w:val="4"/>
          <w:sz w:val="32"/>
          <w:szCs w:val="32"/>
        </w:rPr>
      </w:pPr>
      <w:bookmarkStart w:id="42" w:name="_Toc4009"/>
      <w:bookmarkStart w:id="43" w:name="_Toc20625"/>
      <w:bookmarkStart w:id="44" w:name="_Toc8940"/>
      <w:bookmarkStart w:id="45" w:name="_Toc9432"/>
      <w:r>
        <w:rPr>
          <w:rFonts w:hint="eastAsia" w:ascii="Times New Roman" w:hAnsi="仿宋" w:eastAsia="宋体" w:cs="仿宋"/>
          <w:b/>
          <w:bCs/>
          <w:color w:val="auto"/>
          <w:spacing w:val="4"/>
          <w:sz w:val="32"/>
          <w:szCs w:val="32"/>
        </w:rPr>
        <w:t>四、</w:t>
      </w:r>
      <w:bookmarkStart w:id="46" w:name="_Hlk495161152"/>
      <w:r>
        <w:rPr>
          <w:rFonts w:hint="eastAsia" w:ascii="Times New Roman" w:hAnsi="仿宋" w:eastAsia="宋体" w:cs="仿宋"/>
          <w:b/>
          <w:bCs/>
          <w:color w:val="auto"/>
          <w:spacing w:val="4"/>
          <w:sz w:val="32"/>
          <w:szCs w:val="32"/>
        </w:rPr>
        <w:t>部门整体支出绩效评价分析</w:t>
      </w:r>
      <w:bookmarkEnd w:id="42"/>
      <w:bookmarkEnd w:id="43"/>
      <w:bookmarkEnd w:id="46"/>
    </w:p>
    <w:p>
      <w:pPr>
        <w:widowControl/>
        <w:snapToGrid/>
        <w:spacing w:beforeAutospacing="0" w:afterAutospacing="0" w:line="360" w:lineRule="auto"/>
        <w:ind w:left="0" w:leftChars="0" w:firstLine="576" w:firstLineChars="200"/>
        <w:jc w:val="left"/>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为了全面、客观、有效地进行绩效评价，评价工作组主要对2022年度石狮市住房和城乡建设局部门整体支出投入、过程管理、产出与效益等方面进行绩效评价分析。</w:t>
      </w:r>
    </w:p>
    <w:p>
      <w:pPr>
        <w:pStyle w:val="5"/>
        <w:snapToGrid/>
        <w:spacing w:before="156" w:beforeLines="50" w:beforeAutospacing="0" w:afterAutospacing="0" w:line="360" w:lineRule="auto"/>
        <w:ind w:left="0" w:leftChars="0" w:right="0" w:rightChars="0" w:firstLine="0" w:firstLineChars="0"/>
        <w:jc w:val="left"/>
        <w:outlineLvl w:val="1"/>
        <w:rPr>
          <w:rFonts w:hint="eastAsia" w:ascii="Times New Roman" w:hAnsi="仿宋" w:eastAsia="宋体" w:cs="仿宋"/>
          <w:b/>
          <w:bCs/>
          <w:color w:val="auto"/>
          <w:spacing w:val="4"/>
          <w:sz w:val="30"/>
          <w:szCs w:val="32"/>
        </w:rPr>
      </w:pPr>
      <w:bookmarkStart w:id="47" w:name="_Toc18517"/>
      <w:bookmarkStart w:id="48" w:name="_Toc28622"/>
      <w:r>
        <w:rPr>
          <w:rFonts w:hint="eastAsia" w:ascii="Times New Roman" w:hAnsi="仿宋" w:eastAsia="宋体" w:cs="仿宋"/>
          <w:b/>
          <w:bCs/>
          <w:color w:val="auto"/>
          <w:spacing w:val="4"/>
          <w:sz w:val="30"/>
          <w:szCs w:val="32"/>
        </w:rPr>
        <w:t>（一）投入情况（分值20分）</w:t>
      </w:r>
      <w:bookmarkEnd w:id="47"/>
      <w:bookmarkEnd w:id="48"/>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投入情况设置目标设定、预算配置2个二级指标。其中目标设定从绩效目标合理性、绩效指标明确性两方面进行评价；预算配置从在职人员控制率、</w:t>
      </w:r>
      <w:r>
        <w:rPr>
          <w:rFonts w:hint="eastAsia" w:ascii="Times New Roman" w:hAnsi="仿宋" w:eastAsia="宋体" w:cs="仿宋"/>
          <w:color w:val="auto"/>
          <w:spacing w:val="4"/>
          <w:sz w:val="28"/>
          <w:szCs w:val="32"/>
          <w:lang w:eastAsia="zh-CN"/>
        </w:rPr>
        <w:t>“三公”经费</w:t>
      </w:r>
      <w:r>
        <w:rPr>
          <w:rFonts w:hint="eastAsia" w:ascii="Times New Roman" w:hAnsi="仿宋" w:eastAsia="宋体" w:cs="仿宋"/>
          <w:color w:val="auto"/>
          <w:spacing w:val="4"/>
          <w:sz w:val="28"/>
          <w:szCs w:val="32"/>
        </w:rPr>
        <w:t>变动率、重点支出安排率三方面进行评价</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bookmarkStart w:id="49" w:name="_Toc13485"/>
      <w:r>
        <w:rPr>
          <w:rFonts w:hint="eastAsia" w:ascii="Times New Roman" w:hAnsi="仿宋" w:eastAsia="宋体" w:cs="仿宋"/>
          <w:b/>
          <w:color w:val="auto"/>
          <w:spacing w:val="4"/>
          <w:sz w:val="28"/>
          <w:szCs w:val="32"/>
        </w:rPr>
        <w:t>1.绩效目标合理性（分值4分）</w:t>
      </w:r>
      <w:bookmarkEnd w:id="49"/>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“绩效目标合理性”主要评价部门所设立的整体绩效目标依据是否充分，是否符合客观实际，用于反映和考核部门整体绩效目标与部门履职、年度工作任务的相符性情况。</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根据石狮市住房和城乡建设局提供的绩效目标申报表，石狮市住房和城乡建设局按照工作职能</w:t>
      </w:r>
      <w:r>
        <w:rPr>
          <w:rFonts w:hint="eastAsia" w:ascii="Times New Roman" w:hAnsi="仿宋" w:eastAsia="宋体" w:cs="仿宋"/>
          <w:color w:val="auto"/>
          <w:spacing w:val="4"/>
          <w:sz w:val="28"/>
          <w:szCs w:val="32"/>
          <w:lang w:eastAsia="zh-CN"/>
        </w:rPr>
        <w:t>制定</w:t>
      </w:r>
      <w:r>
        <w:rPr>
          <w:rFonts w:hint="eastAsia" w:ascii="Times New Roman" w:hAnsi="仿宋" w:eastAsia="宋体" w:cs="仿宋"/>
          <w:color w:val="auto"/>
          <w:spacing w:val="4"/>
          <w:sz w:val="28"/>
          <w:szCs w:val="32"/>
        </w:rPr>
        <w:t>了年度目标任务，与预算资金基本匹配。整体支出绩效目标与部门年度的任务数相对应，基本符合客观实际。本项得分4分。</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bookmarkStart w:id="50" w:name="_Toc26873"/>
      <w:r>
        <w:rPr>
          <w:rFonts w:hint="eastAsia" w:ascii="Times New Roman" w:hAnsi="仿宋" w:eastAsia="宋体" w:cs="仿宋"/>
          <w:b/>
          <w:color w:val="auto"/>
          <w:spacing w:val="4"/>
          <w:sz w:val="28"/>
          <w:szCs w:val="32"/>
        </w:rPr>
        <w:t>2.绩效目标明确性（分值4分）</w:t>
      </w:r>
      <w:bookmarkEnd w:id="50"/>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“绩效</w:t>
      </w:r>
      <w:r>
        <w:rPr>
          <w:rFonts w:hint="eastAsia" w:ascii="Times New Roman" w:hAnsi="仿宋" w:eastAsia="宋体" w:cs="仿宋"/>
          <w:color w:val="auto"/>
          <w:spacing w:val="4"/>
          <w:sz w:val="28"/>
          <w:szCs w:val="32"/>
          <w:lang w:val="en-US" w:eastAsia="zh-CN"/>
        </w:rPr>
        <w:t>目标</w:t>
      </w:r>
      <w:r>
        <w:rPr>
          <w:rFonts w:hint="eastAsia" w:ascii="Times New Roman" w:hAnsi="仿宋" w:eastAsia="宋体" w:cs="仿宋"/>
          <w:color w:val="auto"/>
          <w:spacing w:val="4"/>
          <w:sz w:val="28"/>
          <w:szCs w:val="32"/>
        </w:rPr>
        <w:t>明确性”主要评价部门依据整体绩效目标所设定的绩效</w:t>
      </w:r>
      <w:r>
        <w:rPr>
          <w:rFonts w:hint="eastAsia" w:ascii="Times New Roman" w:hAnsi="仿宋" w:eastAsia="宋体" w:cs="仿宋"/>
          <w:color w:val="auto"/>
          <w:spacing w:val="4"/>
          <w:sz w:val="28"/>
          <w:szCs w:val="32"/>
          <w:lang w:val="en-US" w:eastAsia="zh-CN"/>
        </w:rPr>
        <w:t>目标</w:t>
      </w:r>
      <w:r>
        <w:rPr>
          <w:rFonts w:hint="eastAsia" w:ascii="Times New Roman" w:hAnsi="仿宋" w:eastAsia="宋体" w:cs="仿宋"/>
          <w:color w:val="auto"/>
          <w:spacing w:val="4"/>
          <w:sz w:val="28"/>
          <w:szCs w:val="32"/>
        </w:rPr>
        <w:t>是否清晰、细化、可衡量，用以反映和评价部门（单位）整体绩效目标的明细化情况。</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评价小组通过查阅部门绩效目标申请表，石狮市住房和城乡建设局将部门整体的绩效目标细化分解为具体的工作任务，但存在设置数量指标不可衡量。如，二级指标“大楼正常运转”设置的三级指标为“面积≤7200平方米”，该指标无法清晰衡量大楼是否正常运转；成本指标设置不合理。如：“临时工工资投入”绩效目标值为“&gt;9万元”为反向指标，此项扣2分，本项得2分。</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bookmarkStart w:id="51" w:name="_Toc18154"/>
      <w:r>
        <w:rPr>
          <w:rFonts w:hint="eastAsia" w:ascii="Times New Roman" w:hAnsi="仿宋" w:eastAsia="宋体" w:cs="仿宋"/>
          <w:b/>
          <w:color w:val="auto"/>
          <w:spacing w:val="4"/>
          <w:sz w:val="28"/>
          <w:szCs w:val="32"/>
        </w:rPr>
        <w:t>3.在职人员控制率（分值4分）</w:t>
      </w:r>
      <w:bookmarkEnd w:id="51"/>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“在职人员控制率”主要评价部门（单位）本年度实际在职人员数与编制数的比率，用以反映和评价部门（单位）对人员成本的控制程度。评分标准为：①在职人员控制率小等于100%，得满分；</w:t>
      </w:r>
    </w:p>
    <w:p>
      <w:pPr>
        <w:snapToGrid/>
        <w:spacing w:beforeAutospacing="0" w:afterAutospacing="0" w:line="360" w:lineRule="auto"/>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②在职人员控制率大等于115%，得0分；③在职人员控制率在100%-115%之间，得分=（115%－某部门在职人员控制率）/15%×指标分值。</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根据石狮市住房和城乡建设局职能配置、内设机构和人员编制规定，以及单位基本情况表，石狮市住房和城乡建设局编制数为42人，在职人数35</w:t>
      </w:r>
      <w:r>
        <w:rPr>
          <w:rFonts w:hint="eastAsia" w:ascii="Times New Roman" w:hAnsi="仿宋" w:eastAsia="宋体" w:cs="仿宋"/>
          <w:color w:val="auto"/>
          <w:spacing w:val="4"/>
          <w:sz w:val="28"/>
          <w:szCs w:val="32"/>
          <w:lang w:val="en-US" w:eastAsia="zh-CN"/>
        </w:rPr>
        <w:t>人</w:t>
      </w:r>
      <w:r>
        <w:rPr>
          <w:rFonts w:hint="eastAsia" w:ascii="Times New Roman" w:hAnsi="仿宋" w:eastAsia="宋体" w:cs="仿宋"/>
          <w:color w:val="auto"/>
          <w:spacing w:val="4"/>
          <w:sz w:val="28"/>
          <w:szCs w:val="32"/>
        </w:rPr>
        <w:t>。在职人员控制率=（在职人员数/编制数）×100%=35/42×100%=83%，本项得4分。</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bookmarkStart w:id="52" w:name="_Toc1926"/>
      <w:r>
        <w:rPr>
          <w:rFonts w:hint="eastAsia" w:ascii="Times New Roman" w:hAnsi="仿宋" w:eastAsia="宋体" w:cs="仿宋"/>
          <w:b/>
          <w:color w:val="auto"/>
          <w:spacing w:val="4"/>
          <w:sz w:val="28"/>
          <w:szCs w:val="32"/>
        </w:rPr>
        <w:t>4.</w:t>
      </w:r>
      <w:r>
        <w:rPr>
          <w:rFonts w:hint="eastAsia" w:ascii="Times New Roman" w:hAnsi="仿宋" w:eastAsia="宋体" w:cs="仿宋"/>
          <w:b/>
          <w:color w:val="auto"/>
          <w:spacing w:val="4"/>
          <w:sz w:val="28"/>
          <w:szCs w:val="32"/>
          <w:lang w:eastAsia="zh-CN"/>
        </w:rPr>
        <w:t>“三公”经费</w:t>
      </w:r>
      <w:r>
        <w:rPr>
          <w:rFonts w:hint="eastAsia" w:ascii="Times New Roman" w:hAnsi="仿宋" w:eastAsia="宋体" w:cs="仿宋"/>
          <w:b/>
          <w:color w:val="auto"/>
          <w:spacing w:val="4"/>
          <w:sz w:val="28"/>
          <w:szCs w:val="32"/>
        </w:rPr>
        <w:t>变动率（分值4分）</w:t>
      </w:r>
      <w:bookmarkEnd w:id="52"/>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lang w:eastAsia="zh-CN"/>
        </w:rPr>
        <w:t>“三公”经费</w:t>
      </w:r>
      <w:r>
        <w:rPr>
          <w:rFonts w:hint="eastAsia" w:ascii="Times New Roman" w:hAnsi="仿宋" w:eastAsia="宋体" w:cs="仿宋"/>
          <w:color w:val="auto"/>
          <w:spacing w:val="4"/>
          <w:sz w:val="28"/>
          <w:szCs w:val="32"/>
          <w:lang w:val="en-US" w:eastAsia="zh-CN"/>
        </w:rPr>
        <w:t>变动</w:t>
      </w:r>
      <w:r>
        <w:rPr>
          <w:rFonts w:hint="eastAsia" w:ascii="Times New Roman" w:hAnsi="仿宋" w:eastAsia="宋体" w:cs="仿宋"/>
          <w:color w:val="auto"/>
          <w:spacing w:val="4"/>
          <w:sz w:val="28"/>
          <w:szCs w:val="32"/>
        </w:rPr>
        <w:t>率指部门本年度</w:t>
      </w:r>
      <w:r>
        <w:rPr>
          <w:rFonts w:hint="eastAsia" w:ascii="Times New Roman" w:hAnsi="仿宋" w:eastAsia="宋体" w:cs="仿宋"/>
          <w:color w:val="auto"/>
          <w:spacing w:val="4"/>
          <w:sz w:val="28"/>
          <w:szCs w:val="32"/>
          <w:lang w:eastAsia="zh-CN"/>
        </w:rPr>
        <w:t>“三公”经费</w:t>
      </w:r>
      <w:r>
        <w:rPr>
          <w:rFonts w:hint="eastAsia" w:ascii="Times New Roman" w:hAnsi="仿宋" w:eastAsia="宋体" w:cs="仿宋"/>
          <w:color w:val="auto"/>
          <w:spacing w:val="4"/>
          <w:sz w:val="28"/>
          <w:szCs w:val="32"/>
        </w:rPr>
        <w:t>预算数与上年度</w:t>
      </w:r>
      <w:r>
        <w:rPr>
          <w:rFonts w:hint="eastAsia" w:ascii="Times New Roman" w:hAnsi="仿宋" w:eastAsia="宋体" w:cs="仿宋"/>
          <w:color w:val="auto"/>
          <w:spacing w:val="4"/>
          <w:sz w:val="28"/>
          <w:szCs w:val="32"/>
          <w:lang w:eastAsia="zh-CN"/>
        </w:rPr>
        <w:t>“三公”经费</w:t>
      </w:r>
      <w:r>
        <w:rPr>
          <w:rFonts w:hint="eastAsia" w:ascii="Times New Roman" w:hAnsi="仿宋" w:eastAsia="宋体" w:cs="仿宋"/>
          <w:color w:val="auto"/>
          <w:spacing w:val="4"/>
          <w:sz w:val="28"/>
          <w:szCs w:val="32"/>
        </w:rPr>
        <w:t>预算数的变动比率，用以反映和考核部门对控制重点行政成本的努力程度。评分标准为</w:t>
      </w:r>
      <w:r>
        <w:rPr>
          <w:rFonts w:hint="eastAsia" w:ascii="Times New Roman" w:hAnsi="仿宋" w:eastAsia="宋体" w:cs="仿宋"/>
          <w:color w:val="auto"/>
          <w:spacing w:val="4"/>
          <w:sz w:val="28"/>
          <w:szCs w:val="32"/>
          <w:lang w:eastAsia="zh-CN"/>
        </w:rPr>
        <w:t>“三公”经费</w:t>
      </w:r>
      <w:r>
        <w:rPr>
          <w:rFonts w:hint="eastAsia" w:ascii="Times New Roman" w:hAnsi="仿宋" w:eastAsia="宋体" w:cs="仿宋"/>
          <w:color w:val="auto"/>
          <w:spacing w:val="4"/>
          <w:sz w:val="28"/>
          <w:szCs w:val="32"/>
        </w:rPr>
        <w:t>变动率=[（本年度</w:t>
      </w:r>
      <w:r>
        <w:rPr>
          <w:rFonts w:hint="eastAsia" w:ascii="Times New Roman" w:hAnsi="仿宋" w:eastAsia="宋体" w:cs="仿宋"/>
          <w:color w:val="auto"/>
          <w:spacing w:val="4"/>
          <w:sz w:val="28"/>
          <w:szCs w:val="32"/>
          <w:lang w:eastAsia="zh-CN"/>
        </w:rPr>
        <w:t>“三公”经费</w:t>
      </w:r>
      <w:r>
        <w:rPr>
          <w:rFonts w:hint="eastAsia" w:ascii="Times New Roman" w:hAnsi="仿宋" w:eastAsia="宋体" w:cs="仿宋"/>
          <w:color w:val="auto"/>
          <w:spacing w:val="4"/>
          <w:sz w:val="28"/>
          <w:szCs w:val="32"/>
        </w:rPr>
        <w:t>总额-上年度</w:t>
      </w:r>
      <w:r>
        <w:rPr>
          <w:rFonts w:hint="eastAsia" w:ascii="Times New Roman" w:hAnsi="仿宋" w:eastAsia="宋体" w:cs="仿宋"/>
          <w:color w:val="auto"/>
          <w:spacing w:val="4"/>
          <w:sz w:val="28"/>
          <w:szCs w:val="32"/>
          <w:lang w:eastAsia="zh-CN"/>
        </w:rPr>
        <w:t>“三公”经费</w:t>
      </w:r>
      <w:r>
        <w:rPr>
          <w:rFonts w:hint="eastAsia" w:ascii="Times New Roman" w:hAnsi="仿宋" w:eastAsia="宋体" w:cs="仿宋"/>
          <w:color w:val="auto"/>
          <w:spacing w:val="4"/>
          <w:sz w:val="28"/>
          <w:szCs w:val="32"/>
        </w:rPr>
        <w:t>总额）/上年度</w:t>
      </w:r>
      <w:r>
        <w:rPr>
          <w:rFonts w:hint="eastAsia" w:ascii="Times New Roman" w:hAnsi="仿宋" w:eastAsia="宋体" w:cs="仿宋"/>
          <w:color w:val="auto"/>
          <w:spacing w:val="4"/>
          <w:sz w:val="28"/>
          <w:szCs w:val="32"/>
          <w:lang w:eastAsia="zh-CN"/>
        </w:rPr>
        <w:t>“三公”经费</w:t>
      </w:r>
      <w:r>
        <w:rPr>
          <w:rFonts w:hint="eastAsia" w:ascii="Times New Roman" w:hAnsi="仿宋" w:eastAsia="宋体" w:cs="仿宋"/>
          <w:color w:val="auto"/>
          <w:spacing w:val="4"/>
          <w:sz w:val="28"/>
          <w:szCs w:val="32"/>
        </w:rPr>
        <w:t>总额]×100%。变动率≤0%得满分；变动率每超过</w:t>
      </w:r>
      <w:r>
        <w:rPr>
          <w:rFonts w:hint="eastAsia" w:ascii="Times New Roman" w:hAnsi="仿宋" w:eastAsia="宋体" w:cs="仿宋"/>
          <w:color w:val="auto"/>
          <w:spacing w:val="4"/>
          <w:sz w:val="28"/>
          <w:szCs w:val="32"/>
          <w:lang w:val="en-US" w:eastAsia="zh-CN"/>
        </w:rPr>
        <w:t>10</w:t>
      </w:r>
      <w:r>
        <w:rPr>
          <w:rFonts w:hint="eastAsia" w:ascii="Times New Roman" w:hAnsi="仿宋" w:eastAsia="宋体" w:cs="仿宋"/>
          <w:color w:val="auto"/>
          <w:spacing w:val="4"/>
          <w:sz w:val="28"/>
          <w:szCs w:val="32"/>
        </w:rPr>
        <w:t>个百分点扣0.5 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石狮市住房和城乡建设局2022年</w:t>
      </w:r>
      <w:r>
        <w:rPr>
          <w:rFonts w:hint="eastAsia" w:ascii="Times New Roman" w:hAnsi="仿宋" w:eastAsia="宋体" w:cs="仿宋"/>
          <w:color w:val="auto"/>
          <w:spacing w:val="4"/>
          <w:sz w:val="28"/>
          <w:szCs w:val="32"/>
          <w:lang w:eastAsia="zh-CN"/>
        </w:rPr>
        <w:t>“三公”经费</w:t>
      </w:r>
      <w:r>
        <w:rPr>
          <w:rFonts w:hint="eastAsia" w:ascii="Times New Roman" w:hAnsi="仿宋" w:eastAsia="宋体" w:cs="仿宋"/>
          <w:color w:val="auto"/>
          <w:spacing w:val="4"/>
          <w:sz w:val="28"/>
          <w:szCs w:val="32"/>
        </w:rPr>
        <w:t>预算数2.2万元，2021年</w:t>
      </w:r>
      <w:r>
        <w:rPr>
          <w:rFonts w:hint="eastAsia" w:ascii="Times New Roman" w:hAnsi="仿宋" w:eastAsia="宋体" w:cs="仿宋"/>
          <w:color w:val="auto"/>
          <w:spacing w:val="4"/>
          <w:sz w:val="28"/>
          <w:szCs w:val="32"/>
          <w:lang w:eastAsia="zh-CN"/>
        </w:rPr>
        <w:t>“三公”经费</w:t>
      </w:r>
      <w:r>
        <w:rPr>
          <w:rFonts w:hint="eastAsia" w:ascii="Times New Roman" w:hAnsi="仿宋" w:eastAsia="宋体" w:cs="仿宋"/>
          <w:color w:val="auto"/>
          <w:spacing w:val="4"/>
          <w:sz w:val="28"/>
          <w:szCs w:val="32"/>
        </w:rPr>
        <w:t>预算数2万元，比上年增加0.2万元,变动率10%。根据评分标准，扣0.5分，此项得3.5分。</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bookmarkStart w:id="53" w:name="_Toc5529"/>
      <w:r>
        <w:rPr>
          <w:rFonts w:hint="eastAsia" w:ascii="Times New Roman" w:hAnsi="仿宋" w:eastAsia="宋体" w:cs="仿宋"/>
          <w:b/>
          <w:color w:val="auto"/>
          <w:spacing w:val="4"/>
          <w:sz w:val="28"/>
          <w:szCs w:val="32"/>
          <w:lang w:val="zh-CN"/>
        </w:rPr>
        <w:t>5</w:t>
      </w:r>
      <w:r>
        <w:rPr>
          <w:rFonts w:hint="eastAsia" w:ascii="Times New Roman" w:hAnsi="仿宋" w:eastAsia="宋体" w:cs="仿宋"/>
          <w:b/>
          <w:color w:val="auto"/>
          <w:spacing w:val="4"/>
          <w:sz w:val="28"/>
          <w:szCs w:val="32"/>
        </w:rPr>
        <w:t>.重点支出安排率（分值</w:t>
      </w:r>
      <w:r>
        <w:rPr>
          <w:rFonts w:hint="eastAsia" w:ascii="Times New Roman" w:hAnsi="仿宋" w:eastAsia="宋体" w:cs="仿宋"/>
          <w:b/>
          <w:color w:val="auto"/>
          <w:spacing w:val="4"/>
          <w:sz w:val="28"/>
          <w:szCs w:val="32"/>
          <w:lang w:val="zh-CN"/>
        </w:rPr>
        <w:t>4</w:t>
      </w:r>
      <w:r>
        <w:rPr>
          <w:rFonts w:hint="eastAsia" w:ascii="Times New Roman" w:hAnsi="仿宋" w:eastAsia="宋体" w:cs="仿宋"/>
          <w:b/>
          <w:color w:val="auto"/>
          <w:spacing w:val="4"/>
          <w:sz w:val="28"/>
          <w:szCs w:val="32"/>
        </w:rPr>
        <w:t>分）</w:t>
      </w:r>
      <w:bookmarkEnd w:id="53"/>
      <w:r>
        <w:rPr>
          <w:rFonts w:hint="eastAsia" w:ascii="Times New Roman" w:hAnsi="仿宋" w:eastAsia="宋体" w:cs="仿宋"/>
          <w:b/>
          <w:color w:val="auto"/>
          <w:spacing w:val="4"/>
          <w:sz w:val="28"/>
          <w:szCs w:val="32"/>
        </w:rPr>
        <w:tab/>
      </w:r>
    </w:p>
    <w:p>
      <w:pPr>
        <w:pStyle w:val="38"/>
        <w:snapToGrid/>
        <w:spacing w:beforeAutospacing="0" w:after="0" w:afterAutospacing="0" w:line="360" w:lineRule="auto"/>
        <w:ind w:left="0" w:leftChars="0" w:firstLine="576" w:firstLineChars="200"/>
        <w:rPr>
          <w:rFonts w:hint="eastAsia" w:ascii="Times New Roman" w:hAnsi="仿宋" w:eastAsia="宋体" w:cs="仿宋"/>
          <w:color w:val="auto"/>
          <w:spacing w:val="4"/>
          <w:sz w:val="28"/>
          <w:szCs w:val="32"/>
          <w:lang w:val="en-US" w:eastAsia="zh-CN" w:bidi="ar-SA"/>
        </w:rPr>
      </w:pPr>
      <w:r>
        <w:rPr>
          <w:rFonts w:hint="eastAsia" w:ascii="Times New Roman" w:hAnsi="仿宋" w:eastAsia="宋体" w:cs="仿宋"/>
          <w:color w:val="auto"/>
          <w:spacing w:val="4"/>
          <w:sz w:val="28"/>
          <w:szCs w:val="32"/>
          <w:lang w:val="zh-CN" w:eastAsia="zh-CN" w:bidi="ar-SA"/>
        </w:rPr>
        <w:t>“重点</w:t>
      </w:r>
      <w:r>
        <w:rPr>
          <w:rFonts w:hint="eastAsia" w:ascii="Times New Roman" w:hAnsi="仿宋" w:eastAsia="宋体" w:cs="仿宋"/>
          <w:color w:val="auto"/>
          <w:spacing w:val="4"/>
          <w:sz w:val="28"/>
          <w:szCs w:val="32"/>
          <w:lang w:val="en-US" w:eastAsia="zh-CN" w:bidi="ar-SA"/>
        </w:rPr>
        <w:t>支出安排率”主要评价部门（单位）本年度预算安排的重点项目</w:t>
      </w:r>
      <w:r>
        <w:rPr>
          <w:rFonts w:hint="eastAsia" w:ascii="Times New Roman" w:hAnsi="仿宋" w:cs="仿宋"/>
          <w:color w:val="auto"/>
          <w:spacing w:val="4"/>
          <w:sz w:val="28"/>
          <w:szCs w:val="32"/>
          <w:lang w:val="en-US" w:eastAsia="zh-CN" w:bidi="ar-SA"/>
        </w:rPr>
        <w:t>支出</w:t>
      </w:r>
      <w:r>
        <w:rPr>
          <w:rFonts w:hint="eastAsia" w:ascii="Times New Roman" w:hAnsi="仿宋" w:eastAsia="宋体" w:cs="仿宋"/>
          <w:color w:val="auto"/>
          <w:spacing w:val="4"/>
          <w:sz w:val="28"/>
          <w:szCs w:val="32"/>
          <w:lang w:val="en-US" w:eastAsia="zh-CN" w:bidi="ar-SA"/>
        </w:rPr>
        <w:t>与部门项目总支出的比率，用以反映和考核部门（单位）对履行主要职责或完成重点任务的保障程度。</w:t>
      </w:r>
    </w:p>
    <w:p>
      <w:pPr>
        <w:pStyle w:val="39"/>
        <w:snapToGrid/>
        <w:spacing w:beforeAutospacing="0" w:after="0" w:afterAutospacing="0" w:line="360" w:lineRule="auto"/>
        <w:ind w:left="0" w:leftChars="0" w:firstLine="576" w:firstLineChars="200"/>
        <w:jc w:val="both"/>
        <w:rPr>
          <w:rFonts w:hint="eastAsia" w:ascii="Times New Roman" w:hAnsi="仿宋" w:eastAsia="宋体" w:cs="仿宋"/>
          <w:color w:val="auto"/>
          <w:spacing w:val="4"/>
          <w:sz w:val="28"/>
          <w:szCs w:val="32"/>
          <w:lang w:val="en-US" w:eastAsia="zh-CN" w:bidi="ar-SA"/>
        </w:rPr>
      </w:pPr>
      <w:r>
        <w:rPr>
          <w:rFonts w:hint="eastAsia" w:ascii="Times New Roman" w:hAnsi="仿宋" w:eastAsia="宋体" w:cs="仿宋"/>
          <w:color w:val="auto"/>
          <w:spacing w:val="4"/>
          <w:sz w:val="28"/>
          <w:szCs w:val="32"/>
          <w:lang w:val="en-US" w:eastAsia="zh-CN" w:bidi="ar-SA"/>
        </w:rPr>
        <w:t>石狮市住房和城乡建设局2022年收入支出决算总表数据，项目支出调整后预算数为16843.2万元，主要用于我市建筑企业施工资质等级晋升的奖励、人民防空专项资金石结构房屋改造奖补项目、危旧房屋改造补助项目、物业管理大楼维护费（含拆危建公），房屋安全鉴定费等项目，均为主要职责履行，重点支出安排率100%。本项得分4分。</w:t>
      </w:r>
    </w:p>
    <w:p>
      <w:pPr>
        <w:pStyle w:val="5"/>
        <w:snapToGrid/>
        <w:spacing w:before="156" w:beforeLines="50" w:beforeAutospacing="0" w:afterAutospacing="0" w:line="360" w:lineRule="auto"/>
        <w:ind w:left="0" w:leftChars="0" w:right="0" w:rightChars="0" w:firstLine="0" w:firstLineChars="0"/>
        <w:jc w:val="left"/>
        <w:outlineLvl w:val="1"/>
        <w:rPr>
          <w:rFonts w:hint="eastAsia" w:ascii="Times New Roman" w:hAnsi="仿宋" w:eastAsia="宋体" w:cs="仿宋"/>
          <w:b/>
          <w:bCs/>
          <w:color w:val="auto"/>
          <w:spacing w:val="4"/>
          <w:sz w:val="30"/>
          <w:szCs w:val="32"/>
        </w:rPr>
      </w:pPr>
      <w:bookmarkStart w:id="54" w:name="_Toc7671"/>
      <w:bookmarkStart w:id="55" w:name="_Toc278"/>
      <w:bookmarkStart w:id="56" w:name="_Toc19347"/>
      <w:r>
        <w:rPr>
          <w:rFonts w:hint="eastAsia" w:ascii="Times New Roman" w:hAnsi="仿宋" w:eastAsia="宋体" w:cs="仿宋"/>
          <w:b/>
          <w:bCs/>
          <w:color w:val="auto"/>
          <w:spacing w:val="4"/>
          <w:sz w:val="30"/>
          <w:szCs w:val="32"/>
        </w:rPr>
        <w:t>（二）过程</w:t>
      </w:r>
      <w:r>
        <w:rPr>
          <w:rFonts w:hint="eastAsia" w:ascii="Times New Roman" w:hAnsi="仿宋" w:eastAsia="宋体" w:cs="仿宋"/>
          <w:b/>
          <w:bCs/>
          <w:color w:val="auto"/>
          <w:spacing w:val="4"/>
          <w:sz w:val="30"/>
          <w:szCs w:val="32"/>
          <w:lang w:val="en-US" w:eastAsia="zh-CN"/>
        </w:rPr>
        <w:t xml:space="preserve"> </w:t>
      </w:r>
      <w:r>
        <w:rPr>
          <w:rFonts w:hint="eastAsia" w:ascii="Times New Roman" w:hAnsi="仿宋" w:eastAsia="宋体" w:cs="仿宋"/>
          <w:b/>
          <w:bCs/>
          <w:color w:val="auto"/>
          <w:spacing w:val="4"/>
          <w:sz w:val="30"/>
          <w:szCs w:val="32"/>
        </w:rPr>
        <w:t>(分值20分)</w:t>
      </w:r>
      <w:bookmarkEnd w:id="54"/>
      <w:bookmarkEnd w:id="55"/>
      <w:bookmarkEnd w:id="56"/>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过程设置预算执行和预算管理2个二级指标。其中，预算执行从预算完成率、预算调整率、结转结余率、公用经费控制率、“三公”经费控制率和政府采购执行率等六方面进行评价；预算管理指标从管理制度健全性、资金使用合规性、预决算信息公开性和资产管理完整性等四方面进行评价。</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bookmarkStart w:id="57" w:name="_Toc17666"/>
      <w:r>
        <w:rPr>
          <w:rFonts w:hint="eastAsia" w:ascii="Times New Roman" w:hAnsi="仿宋" w:eastAsia="宋体" w:cs="仿宋"/>
          <w:b/>
          <w:color w:val="auto"/>
          <w:spacing w:val="4"/>
          <w:sz w:val="28"/>
          <w:szCs w:val="32"/>
        </w:rPr>
        <w:t>1.预算完成率</w:t>
      </w:r>
      <w:r>
        <w:rPr>
          <w:rFonts w:hint="eastAsia" w:ascii="Times New Roman" w:hAnsi="仿宋" w:eastAsia="宋体" w:cs="仿宋"/>
          <w:b/>
          <w:color w:val="auto"/>
          <w:spacing w:val="4"/>
          <w:sz w:val="28"/>
          <w:szCs w:val="32"/>
          <w:lang w:val="en-US" w:eastAsia="zh-CN"/>
        </w:rPr>
        <w:t xml:space="preserve"> </w:t>
      </w:r>
      <w:r>
        <w:rPr>
          <w:rFonts w:hint="eastAsia" w:ascii="Times New Roman" w:hAnsi="仿宋" w:eastAsia="宋体" w:cs="仿宋"/>
          <w:b/>
          <w:color w:val="auto"/>
          <w:spacing w:val="4"/>
          <w:sz w:val="28"/>
          <w:szCs w:val="32"/>
        </w:rPr>
        <w:t>(分值2分)</w:t>
      </w:r>
      <w:bookmarkEnd w:id="57"/>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预算完成率=（预算完成数/预算数）×100%。评分标准为“完成率大于或等于95%的，得满分；完成率小于或等于85%的，得0分；完成率在85%-95%之间的，得分=（某部门预算完成率-85%）/10%×该指标分值”。</w:t>
      </w:r>
    </w:p>
    <w:p>
      <w:pPr>
        <w:snapToGrid/>
        <w:spacing w:beforeAutospacing="0" w:afterAutospacing="0" w:line="360" w:lineRule="auto"/>
        <w:ind w:left="0" w:leftChars="0" w:firstLine="576" w:firstLineChars="200"/>
        <w:outlineLvl w:val="2"/>
        <w:rPr>
          <w:rFonts w:hint="eastAsia" w:ascii="Times New Roman" w:hAnsi="仿宋" w:eastAsia="宋体" w:cs="仿宋"/>
          <w:color w:val="auto"/>
          <w:spacing w:val="4"/>
          <w:sz w:val="28"/>
          <w:szCs w:val="32"/>
        </w:rPr>
      </w:pPr>
      <w:bookmarkStart w:id="58" w:name="_Toc17641"/>
      <w:r>
        <w:rPr>
          <w:rFonts w:hint="eastAsia" w:ascii="Times New Roman" w:hAnsi="仿宋" w:eastAsia="宋体" w:cs="仿宋"/>
          <w:color w:val="auto"/>
          <w:spacing w:val="4"/>
          <w:sz w:val="28"/>
          <w:szCs w:val="32"/>
        </w:rPr>
        <w:t>2022年调整后预算数</w:t>
      </w:r>
      <w:r>
        <w:rPr>
          <w:rFonts w:hint="eastAsia" w:ascii="Times New Roman" w:hAnsi="仿宋" w:eastAsia="宋体" w:cs="仿宋"/>
          <w:color w:val="auto"/>
          <w:spacing w:val="4"/>
          <w:sz w:val="28"/>
          <w:szCs w:val="32"/>
          <w:lang w:val="en-US" w:eastAsia="zh-CN"/>
        </w:rPr>
        <w:t>18672.57万</w:t>
      </w:r>
      <w:r>
        <w:rPr>
          <w:rFonts w:hint="eastAsia" w:ascii="Times New Roman" w:hAnsi="仿宋" w:eastAsia="宋体" w:cs="仿宋"/>
          <w:color w:val="auto"/>
          <w:spacing w:val="4"/>
          <w:sz w:val="28"/>
          <w:szCs w:val="32"/>
        </w:rPr>
        <w:t>，本年度实际完成的预算数</w:t>
      </w:r>
      <w:r>
        <w:rPr>
          <w:rFonts w:hint="eastAsia" w:ascii="Times New Roman" w:hAnsi="仿宋" w:eastAsia="宋体" w:cs="仿宋"/>
          <w:color w:val="auto"/>
          <w:spacing w:val="4"/>
          <w:sz w:val="28"/>
          <w:szCs w:val="32"/>
          <w:lang w:val="en-US" w:eastAsia="zh-CN"/>
        </w:rPr>
        <w:t>18672.57万</w:t>
      </w:r>
      <w:r>
        <w:rPr>
          <w:rFonts w:hint="eastAsia" w:ascii="Times New Roman" w:hAnsi="仿宋" w:eastAsia="宋体" w:cs="仿宋"/>
          <w:color w:val="auto"/>
          <w:spacing w:val="4"/>
          <w:sz w:val="28"/>
          <w:szCs w:val="32"/>
        </w:rPr>
        <w:t>，预算完成率=（预算完成数/预算数）×100%=(</w:t>
      </w:r>
      <w:r>
        <w:rPr>
          <w:rFonts w:hint="eastAsia" w:ascii="Times New Roman" w:hAnsi="仿宋" w:eastAsia="宋体" w:cs="仿宋"/>
          <w:color w:val="auto"/>
          <w:spacing w:val="4"/>
          <w:sz w:val="28"/>
          <w:szCs w:val="32"/>
          <w:lang w:val="en-US" w:eastAsia="zh-CN"/>
        </w:rPr>
        <w:t>18171.18</w:t>
      </w:r>
      <w:r>
        <w:rPr>
          <w:rFonts w:hint="eastAsia" w:ascii="Times New Roman" w:hAnsi="仿宋" w:eastAsia="宋体" w:cs="仿宋"/>
          <w:color w:val="auto"/>
          <w:spacing w:val="4"/>
          <w:sz w:val="28"/>
          <w:szCs w:val="32"/>
        </w:rPr>
        <w:t>/</w:t>
      </w:r>
      <w:r>
        <w:rPr>
          <w:rFonts w:hint="eastAsia" w:ascii="Times New Roman" w:hAnsi="仿宋" w:eastAsia="宋体" w:cs="仿宋"/>
          <w:color w:val="auto"/>
          <w:spacing w:val="4"/>
          <w:sz w:val="28"/>
          <w:szCs w:val="32"/>
          <w:lang w:val="en-US" w:eastAsia="zh-CN"/>
        </w:rPr>
        <w:t>18672.57</w:t>
      </w:r>
      <w:r>
        <w:rPr>
          <w:rFonts w:hint="eastAsia" w:ascii="Times New Roman" w:hAnsi="仿宋" w:eastAsia="宋体" w:cs="仿宋"/>
          <w:color w:val="auto"/>
          <w:spacing w:val="4"/>
          <w:sz w:val="28"/>
          <w:szCs w:val="32"/>
        </w:rPr>
        <w:t>)万×100%=</w:t>
      </w:r>
      <w:r>
        <w:rPr>
          <w:rFonts w:hint="eastAsia" w:ascii="Times New Roman" w:hAnsi="仿宋" w:eastAsia="宋体" w:cs="仿宋"/>
          <w:color w:val="auto"/>
          <w:spacing w:val="4"/>
          <w:sz w:val="28"/>
          <w:szCs w:val="32"/>
          <w:lang w:val="en-US" w:eastAsia="zh-CN"/>
        </w:rPr>
        <w:t>97</w:t>
      </w:r>
      <w:r>
        <w:rPr>
          <w:rFonts w:hint="eastAsia" w:ascii="Times New Roman" w:hAnsi="仿宋" w:eastAsia="宋体" w:cs="仿宋"/>
          <w:color w:val="auto"/>
          <w:spacing w:val="4"/>
          <w:sz w:val="28"/>
          <w:szCs w:val="32"/>
        </w:rPr>
        <w:t>%。完成率大于或等于95%的，得2分。</w:t>
      </w:r>
      <w:bookmarkEnd w:id="58"/>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bookmarkStart w:id="59" w:name="_Toc1454"/>
      <w:r>
        <w:rPr>
          <w:rFonts w:hint="eastAsia" w:ascii="Times New Roman" w:hAnsi="仿宋" w:eastAsia="宋体" w:cs="仿宋"/>
          <w:b/>
          <w:color w:val="auto"/>
          <w:spacing w:val="4"/>
          <w:sz w:val="28"/>
          <w:szCs w:val="32"/>
        </w:rPr>
        <w:t>2.预算调整率</w:t>
      </w:r>
      <w:r>
        <w:rPr>
          <w:rFonts w:hint="eastAsia" w:ascii="Times New Roman" w:hAnsi="仿宋" w:eastAsia="宋体" w:cs="仿宋"/>
          <w:b/>
          <w:color w:val="auto"/>
          <w:spacing w:val="4"/>
          <w:sz w:val="28"/>
          <w:szCs w:val="32"/>
          <w:lang w:val="en-US" w:eastAsia="zh-CN"/>
        </w:rPr>
        <w:t xml:space="preserve"> </w:t>
      </w:r>
      <w:r>
        <w:rPr>
          <w:rFonts w:hint="eastAsia" w:ascii="Times New Roman" w:hAnsi="仿宋" w:eastAsia="宋体" w:cs="仿宋"/>
          <w:b/>
          <w:color w:val="auto"/>
          <w:spacing w:val="4"/>
          <w:sz w:val="28"/>
          <w:szCs w:val="32"/>
        </w:rPr>
        <w:t>(分值2分)</w:t>
      </w:r>
      <w:bookmarkEnd w:id="59"/>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预算调整率=(预算调整数/预算数)×100%。评分标准为“调整率等于0的，得满分；调整率大于或等于10%的，得0分；调整率在0-10%之间的，得分=（10%-某部门预算调整率）/10%×该指标分值”。</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根据2022年收入支出决算表数据，年初预算数为14877.35万元</w:t>
      </w:r>
      <w:r>
        <w:rPr>
          <w:rFonts w:hint="eastAsia" w:ascii="Times New Roman" w:hAnsi="仿宋" w:eastAsia="宋体" w:cs="仿宋"/>
          <w:color w:val="auto"/>
          <w:spacing w:val="4"/>
          <w:sz w:val="28"/>
          <w:szCs w:val="32"/>
          <w:lang w:val="en-US" w:eastAsia="zh-CN"/>
        </w:rPr>
        <w:t>,</w:t>
      </w:r>
      <w:r>
        <w:rPr>
          <w:rFonts w:hint="eastAsia" w:ascii="Times New Roman" w:hAnsi="仿宋" w:eastAsia="宋体" w:cs="仿宋"/>
          <w:color w:val="auto"/>
          <w:spacing w:val="4"/>
          <w:sz w:val="28"/>
          <w:szCs w:val="32"/>
        </w:rPr>
        <w:t>预算调整数</w:t>
      </w:r>
      <w:r>
        <w:rPr>
          <w:rFonts w:hint="eastAsia" w:ascii="Times New Roman" w:hAnsi="仿宋" w:eastAsia="宋体" w:cs="仿宋"/>
          <w:color w:val="auto"/>
          <w:spacing w:val="4"/>
          <w:sz w:val="28"/>
          <w:szCs w:val="32"/>
          <w:lang w:val="en-US" w:eastAsia="zh-CN"/>
        </w:rPr>
        <w:t>3795.2</w:t>
      </w:r>
      <w:r>
        <w:rPr>
          <w:rFonts w:hint="eastAsia" w:ascii="Times New Roman" w:hAnsi="仿宋" w:eastAsia="宋体" w:cs="仿宋"/>
          <w:color w:val="auto"/>
          <w:spacing w:val="4"/>
          <w:sz w:val="28"/>
          <w:szCs w:val="32"/>
        </w:rPr>
        <w:t>万元，预算调整率=(预算调整数/预算数)×100%=（</w:t>
      </w:r>
      <w:r>
        <w:rPr>
          <w:rFonts w:hint="eastAsia" w:ascii="Times New Roman" w:hAnsi="仿宋" w:eastAsia="宋体" w:cs="仿宋"/>
          <w:color w:val="auto"/>
          <w:spacing w:val="4"/>
          <w:sz w:val="28"/>
          <w:szCs w:val="32"/>
          <w:lang w:val="en-US" w:eastAsia="zh-CN"/>
        </w:rPr>
        <w:t>3795.2</w:t>
      </w:r>
      <w:r>
        <w:rPr>
          <w:rFonts w:hint="eastAsia" w:ascii="Times New Roman" w:hAnsi="仿宋" w:eastAsia="宋体" w:cs="仿宋"/>
          <w:color w:val="auto"/>
          <w:spacing w:val="4"/>
          <w:sz w:val="28"/>
          <w:szCs w:val="32"/>
        </w:rPr>
        <w:t>/14877.35）=</w:t>
      </w:r>
      <w:r>
        <w:rPr>
          <w:rFonts w:hint="eastAsia" w:ascii="Times New Roman" w:hAnsi="仿宋" w:eastAsia="宋体" w:cs="仿宋"/>
          <w:color w:val="auto"/>
          <w:spacing w:val="4"/>
          <w:sz w:val="28"/>
          <w:szCs w:val="32"/>
          <w:lang w:val="en-US" w:eastAsia="zh-CN"/>
        </w:rPr>
        <w:t>25</w:t>
      </w:r>
      <w:r>
        <w:rPr>
          <w:rFonts w:hint="eastAsia" w:ascii="Times New Roman" w:hAnsi="仿宋" w:eastAsia="宋体" w:cs="仿宋"/>
          <w:color w:val="auto"/>
          <w:spacing w:val="4"/>
          <w:sz w:val="28"/>
          <w:szCs w:val="32"/>
        </w:rPr>
        <w:t>%。根据评分标准，调整率大于或等于10%的，得0分；此项扣2分。</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bookmarkStart w:id="60" w:name="_Toc26464"/>
      <w:r>
        <w:rPr>
          <w:rFonts w:hint="eastAsia" w:ascii="Times New Roman" w:hAnsi="仿宋" w:eastAsia="宋体" w:cs="仿宋"/>
          <w:b/>
          <w:color w:val="auto"/>
          <w:spacing w:val="4"/>
          <w:sz w:val="28"/>
          <w:szCs w:val="32"/>
        </w:rPr>
        <w:t>3.结转结余率</w:t>
      </w:r>
      <w:r>
        <w:rPr>
          <w:rFonts w:hint="eastAsia" w:ascii="Times New Roman" w:hAnsi="仿宋" w:eastAsia="宋体" w:cs="仿宋"/>
          <w:b/>
          <w:color w:val="auto"/>
          <w:spacing w:val="4"/>
          <w:sz w:val="28"/>
          <w:szCs w:val="32"/>
          <w:lang w:val="en-US" w:eastAsia="zh-CN"/>
        </w:rPr>
        <w:t xml:space="preserve"> </w:t>
      </w:r>
      <w:r>
        <w:rPr>
          <w:rFonts w:hint="eastAsia" w:ascii="Times New Roman" w:hAnsi="仿宋" w:eastAsia="宋体" w:cs="仿宋"/>
          <w:b/>
          <w:color w:val="auto"/>
          <w:spacing w:val="4"/>
          <w:sz w:val="28"/>
          <w:szCs w:val="32"/>
        </w:rPr>
        <w:t>(分值2分)</w:t>
      </w:r>
      <w:bookmarkEnd w:id="60"/>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结转结余率指标用于衡量部门(单位)本年度结转结余总额(含留在二级单位账上的资金)与支出预算数的比率，反映和评价部门(单位)对本年度结转结余资金的实际控制程度。评价标准为“结转结余率等于0的，得满分；结转结余率大于或等于50%的，得0分；结转结余率在0-50%之间的，得分=（50%-某部门结转结余率）/50%×该指标分值。”</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根据石狮市住房和城乡建设局数据，年末财政拨款结转和结余</w:t>
      </w:r>
      <w:r>
        <w:rPr>
          <w:rFonts w:hint="eastAsia" w:ascii="Times New Roman" w:hAnsi="仿宋" w:eastAsia="宋体" w:cs="仿宋"/>
          <w:color w:val="auto"/>
          <w:spacing w:val="4"/>
          <w:sz w:val="28"/>
          <w:szCs w:val="32"/>
          <w:lang w:val="en-US" w:eastAsia="zh-CN"/>
        </w:rPr>
        <w:t>501.4</w:t>
      </w:r>
      <w:r>
        <w:rPr>
          <w:rFonts w:hint="eastAsia" w:ascii="Times New Roman" w:hAnsi="仿宋" w:eastAsia="宋体" w:cs="仿宋"/>
          <w:color w:val="auto"/>
          <w:spacing w:val="4"/>
          <w:sz w:val="28"/>
          <w:szCs w:val="32"/>
        </w:rPr>
        <w:t>万元，支出预算数</w:t>
      </w:r>
      <w:r>
        <w:rPr>
          <w:rFonts w:hint="eastAsia" w:ascii="Times New Roman" w:hAnsi="仿宋" w:eastAsia="宋体" w:cs="仿宋"/>
          <w:color w:val="auto"/>
          <w:spacing w:val="4"/>
          <w:sz w:val="28"/>
          <w:szCs w:val="32"/>
          <w:lang w:val="en-US" w:eastAsia="zh-CN"/>
        </w:rPr>
        <w:t>18171.18</w:t>
      </w:r>
      <w:r>
        <w:rPr>
          <w:rFonts w:hint="eastAsia" w:ascii="Times New Roman" w:hAnsi="仿宋" w:eastAsia="宋体" w:cs="仿宋"/>
          <w:color w:val="auto"/>
          <w:spacing w:val="4"/>
          <w:sz w:val="28"/>
          <w:szCs w:val="32"/>
        </w:rPr>
        <w:t>万元，结转结余率=</w:t>
      </w:r>
      <w:r>
        <w:rPr>
          <w:rFonts w:hint="eastAsia" w:ascii="Times New Roman" w:hAnsi="仿宋" w:eastAsia="宋体" w:cs="仿宋"/>
          <w:color w:val="auto"/>
          <w:spacing w:val="4"/>
          <w:sz w:val="28"/>
          <w:szCs w:val="32"/>
          <w:lang w:val="en-US" w:eastAsia="zh-CN"/>
        </w:rPr>
        <w:t>26</w:t>
      </w:r>
      <w:r>
        <w:rPr>
          <w:rFonts w:hint="eastAsia" w:ascii="Times New Roman" w:hAnsi="仿宋" w:eastAsia="宋体" w:cs="仿宋"/>
          <w:color w:val="auto"/>
          <w:spacing w:val="4"/>
          <w:sz w:val="28"/>
          <w:szCs w:val="32"/>
        </w:rPr>
        <w:t>%。根据评价指标，（50%-</w:t>
      </w:r>
      <w:r>
        <w:rPr>
          <w:rFonts w:hint="eastAsia" w:ascii="Times New Roman" w:hAnsi="仿宋" w:eastAsia="宋体" w:cs="仿宋"/>
          <w:color w:val="auto"/>
          <w:spacing w:val="4"/>
          <w:sz w:val="28"/>
          <w:szCs w:val="32"/>
          <w:lang w:val="en-US" w:eastAsia="zh-CN"/>
        </w:rPr>
        <w:t>26%</w:t>
      </w:r>
      <w:r>
        <w:rPr>
          <w:rFonts w:hint="eastAsia" w:ascii="Times New Roman" w:hAnsi="仿宋" w:eastAsia="宋体" w:cs="仿宋"/>
          <w:color w:val="auto"/>
          <w:spacing w:val="4"/>
          <w:sz w:val="28"/>
          <w:szCs w:val="32"/>
        </w:rPr>
        <w:t>）/50%×</w:t>
      </w:r>
      <w:r>
        <w:rPr>
          <w:rFonts w:hint="eastAsia" w:ascii="Times New Roman" w:hAnsi="仿宋" w:eastAsia="宋体" w:cs="仿宋"/>
          <w:color w:val="auto"/>
          <w:spacing w:val="4"/>
          <w:sz w:val="28"/>
          <w:szCs w:val="32"/>
          <w:lang w:val="en-US" w:eastAsia="zh-CN"/>
        </w:rPr>
        <w:t>2=0.96</w:t>
      </w:r>
      <w:r>
        <w:rPr>
          <w:rFonts w:hint="eastAsia" w:ascii="Times New Roman" w:hAnsi="仿宋" w:eastAsia="宋体" w:cs="仿宋"/>
          <w:color w:val="auto"/>
          <w:spacing w:val="4"/>
          <w:sz w:val="28"/>
          <w:szCs w:val="32"/>
        </w:rPr>
        <w:t>。扣1.04分，本项得分0.96分。</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bookmarkStart w:id="61" w:name="_Toc26106"/>
      <w:r>
        <w:rPr>
          <w:rFonts w:hint="eastAsia" w:ascii="Times New Roman" w:hAnsi="仿宋" w:eastAsia="宋体" w:cs="仿宋"/>
          <w:b/>
          <w:color w:val="auto"/>
          <w:spacing w:val="4"/>
          <w:sz w:val="28"/>
          <w:szCs w:val="32"/>
        </w:rPr>
        <w:t>4.公用经费控制率</w:t>
      </w:r>
      <w:r>
        <w:rPr>
          <w:rFonts w:hint="eastAsia" w:ascii="Times New Roman" w:hAnsi="仿宋" w:eastAsia="宋体" w:cs="仿宋"/>
          <w:b/>
          <w:color w:val="auto"/>
          <w:spacing w:val="4"/>
          <w:sz w:val="28"/>
          <w:szCs w:val="32"/>
          <w:lang w:val="en-US" w:eastAsia="zh-CN"/>
        </w:rPr>
        <w:t xml:space="preserve"> </w:t>
      </w:r>
      <w:r>
        <w:rPr>
          <w:rFonts w:hint="eastAsia" w:ascii="Times New Roman" w:hAnsi="仿宋" w:eastAsia="宋体" w:cs="仿宋"/>
          <w:b/>
          <w:color w:val="auto"/>
          <w:spacing w:val="4"/>
          <w:sz w:val="28"/>
          <w:szCs w:val="32"/>
        </w:rPr>
        <w:t>(分值2分)</w:t>
      </w:r>
      <w:bookmarkEnd w:id="61"/>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公用经费控制率指部门(单位)本年度实际支出的公用经费总额与预算安排的公用经费总额的比率，反映和评价部门(单位)对机构运转成本的实际控制程度。评分标准为“公用经费控制率≤100%(2分)；公用经费控制率&gt;100%且≤120%(1分)；公用经费控制率&gt;120%且≤150%(0.5分)；公用经费控制率&gt;150%(0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根据石狮市住房和城乡建设局2022年预算安排公用经费总额119.14万元，实际支出公用经费总额79.78万元，公用经费控制率=(实际支出公用经费总额/预算安排公用经费总额)×100%=（79.78/119.14）×100%=67%,公用经费控制率≤100%。本项得2分。</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bookmarkStart w:id="62" w:name="_Toc4109"/>
      <w:r>
        <w:rPr>
          <w:rFonts w:hint="eastAsia" w:ascii="Times New Roman" w:hAnsi="仿宋" w:eastAsia="宋体" w:cs="仿宋"/>
          <w:b/>
          <w:color w:val="auto"/>
          <w:spacing w:val="4"/>
          <w:sz w:val="28"/>
          <w:szCs w:val="32"/>
        </w:rPr>
        <w:t>5.“三公”经费控制率</w:t>
      </w:r>
      <w:r>
        <w:rPr>
          <w:rFonts w:hint="eastAsia" w:ascii="Times New Roman" w:hAnsi="仿宋" w:eastAsia="宋体" w:cs="仿宋"/>
          <w:b/>
          <w:color w:val="auto"/>
          <w:spacing w:val="4"/>
          <w:sz w:val="28"/>
          <w:szCs w:val="32"/>
          <w:lang w:val="en-US" w:eastAsia="zh-CN"/>
        </w:rPr>
        <w:t xml:space="preserve"> </w:t>
      </w:r>
      <w:r>
        <w:rPr>
          <w:rFonts w:hint="eastAsia" w:ascii="Times New Roman" w:hAnsi="仿宋" w:eastAsia="宋体" w:cs="仿宋"/>
          <w:b/>
          <w:color w:val="auto"/>
          <w:spacing w:val="4"/>
          <w:sz w:val="28"/>
          <w:szCs w:val="32"/>
        </w:rPr>
        <w:t>(分值2分)</w:t>
      </w:r>
      <w:bookmarkEnd w:id="62"/>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lang w:eastAsia="zh-CN"/>
        </w:rPr>
      </w:pPr>
      <w:r>
        <w:rPr>
          <w:rFonts w:hint="eastAsia" w:ascii="Times New Roman" w:hAnsi="仿宋" w:eastAsia="宋体" w:cs="仿宋"/>
          <w:color w:val="auto"/>
          <w:spacing w:val="4"/>
          <w:sz w:val="28"/>
          <w:szCs w:val="32"/>
        </w:rPr>
        <w:t>“三公”经费控制率指部门(单位)本年度“三公”经费实际支出数与预算安排数的比率，用以反映和评价部门(单位)对“三公”经费的实际控制程度。评分标准为“三公”经费控制率≤100%(2分)；每超过一个百分点扣0.5分，扣完为止</w:t>
      </w:r>
      <w:r>
        <w:rPr>
          <w:rFonts w:hint="eastAsia" w:ascii="Times New Roman" w:hAnsi="仿宋" w:eastAsia="宋体" w:cs="仿宋"/>
          <w:color w:val="auto"/>
          <w:spacing w:val="4"/>
          <w:sz w:val="28"/>
          <w:szCs w:val="32"/>
          <w:lang w:eastAsia="zh-CN"/>
        </w:rPr>
        <w:t>。</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根据石狮市住房和城乡建设局2022年度</w:t>
      </w:r>
      <w:r>
        <w:rPr>
          <w:rFonts w:hint="eastAsia" w:ascii="Times New Roman" w:hAnsi="仿宋" w:eastAsia="宋体" w:cs="仿宋"/>
          <w:color w:val="auto"/>
          <w:spacing w:val="4"/>
          <w:sz w:val="28"/>
          <w:szCs w:val="32"/>
          <w:lang w:eastAsia="zh-CN"/>
        </w:rPr>
        <w:t>“三公”经费</w:t>
      </w:r>
      <w:r>
        <w:rPr>
          <w:rFonts w:hint="eastAsia" w:ascii="Times New Roman" w:hAnsi="仿宋" w:eastAsia="宋体" w:cs="仿宋"/>
          <w:color w:val="auto"/>
          <w:spacing w:val="4"/>
          <w:sz w:val="28"/>
          <w:szCs w:val="32"/>
        </w:rPr>
        <w:t>预算2.2万元，实际支出4.68万元。</w:t>
      </w:r>
      <w:r>
        <w:rPr>
          <w:rFonts w:hint="eastAsia" w:ascii="Times New Roman" w:hAnsi="仿宋" w:eastAsia="宋体" w:cs="仿宋"/>
          <w:color w:val="auto"/>
          <w:spacing w:val="4"/>
          <w:sz w:val="28"/>
          <w:szCs w:val="32"/>
          <w:lang w:eastAsia="zh-CN"/>
        </w:rPr>
        <w:t>“三公”经费</w:t>
      </w:r>
      <w:r>
        <w:rPr>
          <w:rFonts w:hint="eastAsia" w:ascii="Times New Roman" w:hAnsi="仿宋" w:eastAsia="宋体" w:cs="仿宋"/>
          <w:color w:val="auto"/>
          <w:spacing w:val="4"/>
          <w:sz w:val="28"/>
          <w:szCs w:val="32"/>
        </w:rPr>
        <w:t>控制率2.2/4.68=47%，本项得分2分。</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bookmarkStart w:id="63" w:name="_Toc11615"/>
      <w:r>
        <w:rPr>
          <w:rFonts w:hint="eastAsia" w:ascii="Times New Roman" w:hAnsi="仿宋" w:eastAsia="宋体" w:cs="仿宋"/>
          <w:b/>
          <w:color w:val="auto"/>
          <w:spacing w:val="4"/>
          <w:sz w:val="28"/>
          <w:szCs w:val="32"/>
        </w:rPr>
        <w:t>6.政府采购执行率</w:t>
      </w:r>
      <w:r>
        <w:rPr>
          <w:rFonts w:hint="eastAsia" w:ascii="Times New Roman" w:hAnsi="仿宋" w:eastAsia="宋体" w:cs="仿宋"/>
          <w:b/>
          <w:color w:val="auto"/>
          <w:spacing w:val="4"/>
          <w:sz w:val="28"/>
          <w:szCs w:val="32"/>
          <w:lang w:val="en-US" w:eastAsia="zh-CN"/>
        </w:rPr>
        <w:t xml:space="preserve"> </w:t>
      </w:r>
      <w:r>
        <w:rPr>
          <w:rFonts w:hint="eastAsia" w:ascii="Times New Roman" w:hAnsi="仿宋" w:eastAsia="宋体" w:cs="仿宋"/>
          <w:b/>
          <w:color w:val="auto"/>
          <w:spacing w:val="4"/>
          <w:sz w:val="28"/>
          <w:szCs w:val="32"/>
        </w:rPr>
        <w:t>(分值2分)</w:t>
      </w:r>
      <w:bookmarkEnd w:id="63"/>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政府采购执行率主要评价部门（单位）本年度政府采购是否执行政府采购相关规定和要求，用以反映和考核部门(单位)政府采购预算执行情况。评分标准为“是否按规定编制政府采购预算；是否编制了政府采购计划表；是否按规定编制资产购置预算；是否存在政府采购未按照规定公开招标、违规采购等违规行为；一项不符扣0.5分，扣完为止。”</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根据石狮市住房和城乡建设局实际采购2.94万元，但是2022年初未按规定编制政府采购预算和政府采购计划表。本项扣</w:t>
      </w:r>
      <w:r>
        <w:rPr>
          <w:rFonts w:hint="eastAsia" w:ascii="Times New Roman" w:hAnsi="仿宋" w:eastAsia="宋体" w:cs="仿宋"/>
          <w:color w:val="auto"/>
          <w:spacing w:val="4"/>
          <w:sz w:val="28"/>
          <w:szCs w:val="32"/>
          <w:lang w:val="en-US" w:eastAsia="zh-CN"/>
        </w:rPr>
        <w:t>1</w:t>
      </w:r>
      <w:r>
        <w:rPr>
          <w:rFonts w:hint="eastAsia" w:ascii="Times New Roman" w:hAnsi="仿宋" w:eastAsia="宋体" w:cs="仿宋"/>
          <w:color w:val="auto"/>
          <w:spacing w:val="4"/>
          <w:sz w:val="28"/>
          <w:szCs w:val="32"/>
        </w:rPr>
        <w:t>分。</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bookmarkStart w:id="64" w:name="_Toc6968"/>
      <w:r>
        <w:rPr>
          <w:rFonts w:hint="eastAsia" w:ascii="Times New Roman" w:hAnsi="仿宋" w:eastAsia="宋体" w:cs="仿宋"/>
          <w:b/>
          <w:color w:val="auto"/>
          <w:spacing w:val="4"/>
          <w:sz w:val="28"/>
          <w:szCs w:val="32"/>
        </w:rPr>
        <w:t>7.管理制度健全性</w:t>
      </w:r>
      <w:r>
        <w:rPr>
          <w:rFonts w:hint="eastAsia" w:ascii="Times New Roman" w:hAnsi="仿宋" w:eastAsia="宋体" w:cs="仿宋"/>
          <w:b/>
          <w:color w:val="auto"/>
          <w:spacing w:val="4"/>
          <w:sz w:val="28"/>
          <w:szCs w:val="32"/>
          <w:lang w:val="en-US" w:eastAsia="zh-CN"/>
        </w:rPr>
        <w:t xml:space="preserve"> </w:t>
      </w:r>
      <w:r>
        <w:rPr>
          <w:rFonts w:hint="eastAsia" w:ascii="Times New Roman" w:hAnsi="仿宋" w:eastAsia="宋体" w:cs="仿宋"/>
          <w:b/>
          <w:color w:val="auto"/>
          <w:spacing w:val="4"/>
          <w:sz w:val="28"/>
          <w:szCs w:val="32"/>
        </w:rPr>
        <w:t>(分值2分)</w:t>
      </w:r>
      <w:bookmarkEnd w:id="64"/>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管理制度健全性主要评价部门(单位)为加强预算管理、规范财务行为而制定的管理制度是否健全完整，用以反映和评价部门(单位)预算管理制度对完成主要职责或促进事业发展的保障情况。</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石狮市住房和城乡建设局2022年制定部门预算管理办法、内部控制评价与监督制度、“三重一大”制度、收支管理制度以及相关制度健全，此项得分2分。</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bookmarkStart w:id="65" w:name="_Toc30449"/>
      <w:r>
        <w:rPr>
          <w:rFonts w:hint="eastAsia" w:ascii="Times New Roman" w:hAnsi="仿宋" w:eastAsia="宋体" w:cs="仿宋"/>
          <w:b/>
          <w:color w:val="auto"/>
          <w:spacing w:val="4"/>
          <w:sz w:val="28"/>
          <w:szCs w:val="32"/>
        </w:rPr>
        <w:t>8.资金使用合规性</w:t>
      </w:r>
      <w:r>
        <w:rPr>
          <w:rFonts w:hint="eastAsia" w:ascii="Times New Roman" w:hAnsi="仿宋" w:eastAsia="宋体" w:cs="仿宋"/>
          <w:b/>
          <w:color w:val="auto"/>
          <w:spacing w:val="4"/>
          <w:sz w:val="28"/>
          <w:szCs w:val="32"/>
          <w:lang w:val="en-US" w:eastAsia="zh-CN"/>
        </w:rPr>
        <w:t xml:space="preserve"> </w:t>
      </w:r>
      <w:r>
        <w:rPr>
          <w:rFonts w:hint="eastAsia" w:ascii="Times New Roman" w:hAnsi="仿宋" w:eastAsia="宋体" w:cs="仿宋"/>
          <w:b/>
          <w:color w:val="auto"/>
          <w:spacing w:val="4"/>
          <w:sz w:val="28"/>
          <w:szCs w:val="32"/>
        </w:rPr>
        <w:t>(分值2分)</w:t>
      </w:r>
      <w:bookmarkEnd w:id="65"/>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资金使用合规性主要评价部门(单位)使用预算资金是否符合相关的预算财务管理制度的规定，反映和评价部门(单位)预算资金的规范运行情况。</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抽查2022年石狮市住房和城乡建设局支出明细，资金的拨付有完整的审批过程和手续，符合部门预算批复的用途；未发现截留、挤占、挪用、虚列支出的情况。本项得分2分。</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bookmarkStart w:id="66" w:name="_Toc20452"/>
      <w:r>
        <w:rPr>
          <w:rFonts w:hint="eastAsia" w:ascii="Times New Roman" w:hAnsi="仿宋" w:eastAsia="宋体" w:cs="仿宋"/>
          <w:b/>
          <w:color w:val="auto"/>
          <w:spacing w:val="4"/>
          <w:sz w:val="28"/>
          <w:szCs w:val="32"/>
        </w:rPr>
        <w:t>9.预决算信息公开性和完善性</w:t>
      </w:r>
      <w:r>
        <w:rPr>
          <w:rFonts w:hint="eastAsia" w:ascii="Times New Roman" w:hAnsi="仿宋" w:eastAsia="宋体" w:cs="仿宋"/>
          <w:b/>
          <w:color w:val="auto"/>
          <w:spacing w:val="4"/>
          <w:sz w:val="28"/>
          <w:szCs w:val="32"/>
          <w:lang w:val="en-US" w:eastAsia="zh-CN"/>
        </w:rPr>
        <w:t xml:space="preserve"> </w:t>
      </w:r>
      <w:r>
        <w:rPr>
          <w:rFonts w:hint="eastAsia" w:ascii="Times New Roman" w:hAnsi="仿宋" w:eastAsia="宋体" w:cs="仿宋"/>
          <w:b/>
          <w:color w:val="auto"/>
          <w:spacing w:val="4"/>
          <w:sz w:val="28"/>
          <w:szCs w:val="32"/>
        </w:rPr>
        <w:t>(分值2分)</w:t>
      </w:r>
      <w:bookmarkEnd w:id="66"/>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预决算信息公开性和完善性主要衡量部门(单位)基础信息是否完善、预决算信息是否及时公开，用以反映和评价基础信息对预算管理工作的支撑情况。</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石狮市住房和城乡建设局2022年按照政府信息公开有关规定及预算批复文件中要求的格式、时限公开预算信息，但2022年决算还未公开。本项酌情扣1分，得1分。</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bookmarkStart w:id="67" w:name="_bookmark20"/>
      <w:bookmarkEnd w:id="67"/>
      <w:bookmarkStart w:id="68" w:name="_bookmark23"/>
      <w:bookmarkEnd w:id="68"/>
      <w:bookmarkStart w:id="69" w:name="_bookmark21"/>
      <w:bookmarkEnd w:id="69"/>
      <w:bookmarkStart w:id="70" w:name="_bookmark22"/>
      <w:bookmarkEnd w:id="70"/>
      <w:bookmarkStart w:id="71" w:name="_bookmark19"/>
      <w:bookmarkEnd w:id="71"/>
      <w:bookmarkStart w:id="72" w:name="_Toc11492"/>
      <w:r>
        <w:rPr>
          <w:rFonts w:hint="eastAsia" w:ascii="Times New Roman" w:hAnsi="仿宋" w:eastAsia="宋体" w:cs="仿宋"/>
          <w:b/>
          <w:color w:val="auto"/>
          <w:spacing w:val="4"/>
          <w:sz w:val="28"/>
          <w:szCs w:val="32"/>
        </w:rPr>
        <w:t>10.资产管理安全性</w:t>
      </w:r>
      <w:r>
        <w:rPr>
          <w:rFonts w:hint="eastAsia" w:ascii="Times New Roman" w:hAnsi="仿宋" w:eastAsia="宋体" w:cs="仿宋"/>
          <w:b/>
          <w:color w:val="auto"/>
          <w:spacing w:val="4"/>
          <w:sz w:val="28"/>
          <w:szCs w:val="32"/>
          <w:lang w:val="en-US" w:eastAsia="zh-CN"/>
        </w:rPr>
        <w:t xml:space="preserve"> </w:t>
      </w:r>
      <w:r>
        <w:rPr>
          <w:rFonts w:hint="eastAsia" w:ascii="Times New Roman" w:hAnsi="仿宋" w:eastAsia="宋体" w:cs="仿宋"/>
          <w:b/>
          <w:color w:val="auto"/>
          <w:spacing w:val="4"/>
          <w:sz w:val="28"/>
          <w:szCs w:val="32"/>
        </w:rPr>
        <w:t>(分值2分)</w:t>
      </w:r>
      <w:bookmarkEnd w:id="72"/>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资产管理安全性主要评价部门(单位)的资产是否保存完整，使用合规、配置合理、处置规范、收入及时足额上缴，用以反映和考核部门(单位)资产安全运行情况。评分标准为“①资产保存是否完整，有专人保管；②单位资产管理制度是否健全、完整、合法；③资产有偿使用及处置收入是否及时足额上缴；④固定资产是否进行建立固定资产卡片并进行贴标管理；一项不符扣0.5分，扣完为止。”。</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绩效评价工作小组现场走访，资产保存完整，有专人保管，管理制度健全、完整、合法，资产有偿使用及处置收入及时足额上缴。</w:t>
      </w:r>
      <w:r>
        <w:rPr>
          <w:rFonts w:hint="eastAsia" w:ascii="Times New Roman" w:hAnsi="仿宋" w:eastAsia="宋体" w:cs="仿宋"/>
          <w:b w:val="0"/>
          <w:bCs w:val="0"/>
          <w:color w:val="auto"/>
          <w:spacing w:val="4"/>
          <w:sz w:val="28"/>
          <w:szCs w:val="32"/>
          <w:lang w:val="en-US" w:eastAsia="zh-CN"/>
        </w:rPr>
        <w:t>但在现场检查时发现，未对</w:t>
      </w:r>
      <w:r>
        <w:rPr>
          <w:rFonts w:hint="eastAsia" w:ascii="Times New Roman" w:hAnsi="仿宋" w:eastAsia="宋体" w:cs="仿宋"/>
          <w:b w:val="0"/>
          <w:bCs w:val="0"/>
          <w:color w:val="auto"/>
          <w:spacing w:val="4"/>
          <w:sz w:val="28"/>
          <w:szCs w:val="32"/>
          <w:lang w:eastAsia="zh-CN"/>
        </w:rPr>
        <w:t>办公</w:t>
      </w:r>
      <w:r>
        <w:rPr>
          <w:rFonts w:hint="eastAsia" w:ascii="Times New Roman" w:hAnsi="仿宋" w:eastAsia="宋体" w:cs="仿宋"/>
          <w:b w:val="0"/>
          <w:bCs w:val="0"/>
          <w:color w:val="auto"/>
          <w:spacing w:val="4"/>
          <w:sz w:val="28"/>
          <w:szCs w:val="32"/>
          <w:lang w:val="en-US" w:eastAsia="zh-CN"/>
        </w:rPr>
        <w:t>电脑、家具</w:t>
      </w:r>
      <w:r>
        <w:rPr>
          <w:rFonts w:hint="eastAsia" w:ascii="Times New Roman" w:hAnsi="仿宋" w:eastAsia="宋体" w:cs="仿宋"/>
          <w:b w:val="0"/>
          <w:bCs w:val="0"/>
          <w:color w:val="auto"/>
          <w:spacing w:val="4"/>
          <w:sz w:val="28"/>
          <w:szCs w:val="32"/>
          <w:lang w:eastAsia="zh-CN"/>
        </w:rPr>
        <w:t>等</w:t>
      </w:r>
      <w:r>
        <w:rPr>
          <w:rFonts w:hint="eastAsia" w:ascii="Times New Roman" w:hAnsi="仿宋" w:eastAsia="宋体" w:cs="仿宋"/>
          <w:b w:val="0"/>
          <w:bCs w:val="0"/>
          <w:color w:val="auto"/>
          <w:spacing w:val="4"/>
          <w:sz w:val="28"/>
          <w:szCs w:val="32"/>
          <w:lang w:val="en-US" w:eastAsia="zh-CN"/>
        </w:rPr>
        <w:t>张贴</w:t>
      </w:r>
      <w:r>
        <w:rPr>
          <w:rFonts w:hint="eastAsia" w:ascii="Times New Roman" w:hAnsi="仿宋" w:eastAsia="宋体" w:cs="仿宋"/>
          <w:b w:val="0"/>
          <w:bCs w:val="0"/>
          <w:color w:val="auto"/>
          <w:spacing w:val="4"/>
          <w:sz w:val="28"/>
          <w:szCs w:val="32"/>
          <w:lang w:eastAsia="zh-CN"/>
        </w:rPr>
        <w:t>固定资产</w:t>
      </w:r>
      <w:r>
        <w:rPr>
          <w:rFonts w:hint="eastAsia" w:ascii="Times New Roman" w:hAnsi="仿宋" w:eastAsia="宋体" w:cs="仿宋"/>
          <w:b w:val="0"/>
          <w:bCs w:val="0"/>
          <w:color w:val="auto"/>
          <w:spacing w:val="4"/>
          <w:sz w:val="28"/>
          <w:szCs w:val="32"/>
          <w:lang w:val="en-US" w:eastAsia="zh-CN"/>
        </w:rPr>
        <w:t>标识卡。</w:t>
      </w:r>
      <w:r>
        <w:rPr>
          <w:rFonts w:hint="eastAsia" w:ascii="Times New Roman" w:hAnsi="仿宋" w:eastAsia="宋体" w:cs="仿宋"/>
          <w:color w:val="auto"/>
          <w:spacing w:val="4"/>
          <w:sz w:val="28"/>
          <w:szCs w:val="32"/>
        </w:rPr>
        <w:t>本项扣1分，得分1分。</w:t>
      </w:r>
      <w:bookmarkStart w:id="73" w:name="_Toc25107"/>
      <w:bookmarkStart w:id="74" w:name="_Toc12092"/>
    </w:p>
    <w:p>
      <w:pPr>
        <w:pStyle w:val="5"/>
        <w:snapToGrid/>
        <w:spacing w:before="156" w:beforeLines="50" w:beforeAutospacing="0" w:afterAutospacing="0" w:line="360" w:lineRule="auto"/>
        <w:ind w:left="0" w:leftChars="0" w:right="0" w:rightChars="0" w:firstLine="0" w:firstLineChars="0"/>
        <w:jc w:val="left"/>
        <w:outlineLvl w:val="1"/>
        <w:rPr>
          <w:rFonts w:hint="eastAsia" w:ascii="Times New Roman" w:hAnsi="仿宋" w:eastAsia="宋体" w:cs="仿宋"/>
          <w:b/>
          <w:bCs/>
          <w:color w:val="auto"/>
          <w:spacing w:val="4"/>
          <w:sz w:val="30"/>
          <w:szCs w:val="32"/>
        </w:rPr>
      </w:pPr>
      <w:bookmarkStart w:id="75" w:name="_Toc4724"/>
      <w:r>
        <w:rPr>
          <w:rFonts w:hint="eastAsia" w:ascii="Times New Roman" w:hAnsi="仿宋" w:eastAsia="宋体" w:cs="仿宋"/>
          <w:b/>
          <w:bCs/>
          <w:color w:val="auto"/>
          <w:spacing w:val="4"/>
          <w:sz w:val="30"/>
          <w:szCs w:val="32"/>
        </w:rPr>
        <w:t>（三）项目情况（权重为40% ）</w:t>
      </w:r>
      <w:bookmarkEnd w:id="75"/>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产出主要从职责履行、产出数量、产出质量、产出时效、产出成本5个方面进行评价。</w:t>
      </w:r>
    </w:p>
    <w:p>
      <w:pPr>
        <w:snapToGrid/>
        <w:spacing w:beforeAutospacing="0" w:afterAutospacing="0" w:line="360" w:lineRule="auto"/>
        <w:ind w:left="0" w:leftChars="0" w:right="0" w:rightChars="0" w:firstLine="0" w:firstLineChars="0"/>
        <w:jc w:val="left"/>
        <w:outlineLvl w:val="2"/>
        <w:rPr>
          <w:rFonts w:hint="default" w:ascii="Times New Roman" w:hAnsi="仿宋" w:eastAsia="宋体" w:cs="仿宋"/>
          <w:b/>
          <w:color w:val="auto"/>
          <w:spacing w:val="4"/>
          <w:sz w:val="28"/>
          <w:szCs w:val="32"/>
          <w:lang w:val="en-US" w:eastAsia="zh-CN"/>
        </w:rPr>
      </w:pPr>
      <w:r>
        <w:rPr>
          <w:rFonts w:hint="eastAsia" w:ascii="Times New Roman" w:hAnsi="仿宋" w:eastAsia="宋体" w:cs="仿宋"/>
          <w:b/>
          <w:color w:val="auto"/>
          <w:spacing w:val="4"/>
          <w:sz w:val="28"/>
          <w:szCs w:val="32"/>
        </w:rPr>
        <w:t>1.履职产出</w:t>
      </w:r>
      <w:r>
        <w:rPr>
          <w:rFonts w:hint="eastAsia" w:ascii="Times New Roman" w:hAnsi="仿宋" w:eastAsia="宋体" w:cs="仿宋"/>
          <w:b/>
          <w:color w:val="auto"/>
          <w:spacing w:val="4"/>
          <w:sz w:val="28"/>
          <w:szCs w:val="32"/>
          <w:lang w:eastAsia="zh-CN"/>
        </w:rPr>
        <w:t>（分值为</w:t>
      </w:r>
      <w:r>
        <w:rPr>
          <w:rFonts w:hint="eastAsia" w:ascii="Times New Roman" w:hAnsi="仿宋" w:eastAsia="宋体" w:cs="仿宋"/>
          <w:b/>
          <w:color w:val="auto"/>
          <w:spacing w:val="4"/>
          <w:sz w:val="28"/>
          <w:szCs w:val="32"/>
          <w:lang w:val="en-US" w:eastAsia="zh-CN"/>
        </w:rPr>
        <w:t>8分）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主要从项目实际完成率、项目质量达标率、部门绩效自评项目占比率、部门预算绩效管理情况四个方面进行评价。</w:t>
      </w:r>
    </w:p>
    <w:p>
      <w:pPr>
        <w:snapToGrid/>
        <w:spacing w:beforeAutospacing="0" w:afterAutospacing="0" w:line="360" w:lineRule="auto"/>
        <w:ind w:left="0" w:leftChars="0" w:firstLine="576" w:firstLineChars="200"/>
        <w:outlineLvl w:val="2"/>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（1）项目实际完成率（分值为2分）</w:t>
      </w:r>
    </w:p>
    <w:p>
      <w:pPr>
        <w:pStyle w:val="2"/>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项目实际完成率”指标是抽查评价部门(单位)履行职责而实际完成的项目数与计划完成的项目数的比率，用以反映和评价部门(单位)履职任务目标的实现程度。评分标准为：①项目实际完成率大等于95%的，得满分；项目实际完成率小等于80%的，得0分；</w:t>
      </w:r>
    </w:p>
    <w:p>
      <w:pPr>
        <w:pStyle w:val="2"/>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项目实际完成率在80%-95%之间的，得分=(某部门项目实际完成率-80%)/10%×该指标分值。</w:t>
      </w:r>
    </w:p>
    <w:p>
      <w:pPr>
        <w:pStyle w:val="2"/>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根据石狮市住房和城乡建设局提供的材料，2022年石狮市住房和城乡建设局专项补助资金等项目16843.2</w:t>
      </w:r>
      <w:r>
        <w:rPr>
          <w:rFonts w:hint="eastAsia" w:ascii="Times New Roman" w:hAnsi="仿宋" w:eastAsia="宋体" w:cs="仿宋"/>
          <w:color w:val="auto"/>
          <w:spacing w:val="4"/>
          <w:sz w:val="28"/>
          <w:szCs w:val="32"/>
          <w:lang w:val="en-US" w:eastAsia="zh-CN"/>
        </w:rPr>
        <w:t>万元，</w:t>
      </w:r>
      <w:r>
        <w:rPr>
          <w:rFonts w:hint="eastAsia" w:ascii="Times New Roman" w:hAnsi="仿宋" w:eastAsia="宋体" w:cs="仿宋"/>
          <w:color w:val="auto"/>
          <w:spacing w:val="4"/>
          <w:sz w:val="28"/>
          <w:szCs w:val="32"/>
        </w:rPr>
        <w:t>实际完成16403.4</w:t>
      </w:r>
      <w:r>
        <w:rPr>
          <w:rFonts w:hint="eastAsia" w:ascii="Times New Roman" w:hAnsi="仿宋" w:eastAsia="宋体" w:cs="仿宋"/>
          <w:color w:val="auto"/>
          <w:spacing w:val="4"/>
          <w:sz w:val="28"/>
          <w:szCs w:val="32"/>
          <w:lang w:val="en-US" w:eastAsia="zh-CN"/>
        </w:rPr>
        <w:t>万元，完成</w:t>
      </w:r>
      <w:r>
        <w:rPr>
          <w:rFonts w:hint="eastAsia" w:ascii="Times New Roman" w:hAnsi="仿宋" w:eastAsia="宋体" w:cs="仿宋"/>
          <w:color w:val="auto"/>
          <w:spacing w:val="4"/>
          <w:sz w:val="28"/>
          <w:szCs w:val="32"/>
        </w:rPr>
        <w:t>率</w:t>
      </w:r>
      <w:r>
        <w:rPr>
          <w:rFonts w:hint="eastAsia" w:ascii="Times New Roman" w:hAnsi="仿宋" w:eastAsia="宋体" w:cs="仿宋"/>
          <w:color w:val="auto"/>
          <w:spacing w:val="4"/>
          <w:sz w:val="28"/>
          <w:szCs w:val="32"/>
          <w:lang w:val="en-US" w:eastAsia="zh-CN"/>
        </w:rPr>
        <w:t>97</w:t>
      </w:r>
      <w:r>
        <w:rPr>
          <w:rFonts w:hint="eastAsia" w:ascii="Times New Roman" w:hAnsi="仿宋" w:eastAsia="宋体" w:cs="仿宋"/>
          <w:color w:val="auto"/>
          <w:spacing w:val="4"/>
          <w:sz w:val="28"/>
          <w:szCs w:val="32"/>
        </w:rPr>
        <w:t>%。已达成年度目标，此项得2分。</w:t>
      </w:r>
    </w:p>
    <w:p>
      <w:pPr>
        <w:pStyle w:val="24"/>
        <w:snapToGrid/>
        <w:spacing w:beforeAutospacing="0" w:afterAutospacing="0" w:line="360" w:lineRule="auto"/>
        <w:ind w:left="0" w:leftChars="0" w:firstLine="576" w:firstLineChars="200"/>
        <w:outlineLvl w:val="2"/>
        <w:rPr>
          <w:rFonts w:hint="eastAsia" w:ascii="Times New Roman" w:hAnsi="仿宋" w:eastAsia="宋体" w:cs="仿宋"/>
          <w:color w:val="auto"/>
          <w:spacing w:val="4"/>
          <w:kern w:val="2"/>
          <w:sz w:val="28"/>
          <w:szCs w:val="32"/>
        </w:rPr>
      </w:pPr>
      <w:r>
        <w:rPr>
          <w:rFonts w:hint="eastAsia" w:ascii="Times New Roman" w:hAnsi="仿宋" w:eastAsia="宋体" w:cs="仿宋"/>
          <w:color w:val="auto"/>
          <w:spacing w:val="4"/>
          <w:kern w:val="2"/>
          <w:sz w:val="28"/>
          <w:szCs w:val="32"/>
        </w:rPr>
        <w:t>（2）项目质量达标率（分值2分）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“项目质量达标率”指标考核的是部门已完成项目中质量达标项目个数占已完成项目个数的比率，用以反映和评价部门服职质量目标的实现程度，项目质量达标率=(已完成项目中质量达标项目个数/已完成项目个数 ×100%。</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kern w:val="2"/>
          <w:sz w:val="28"/>
          <w:szCs w:val="32"/>
          <w:lang w:val="en-US" w:eastAsia="zh-CN" w:bidi="ar-SA"/>
        </w:rPr>
        <w:t>评价组在检查石狮市建设工程质量安全站的2022年检测经费项目发现，</w:t>
      </w:r>
      <w:r>
        <w:rPr>
          <w:rFonts w:hint="eastAsia" w:ascii="Times New Roman" w:hAnsi="仿宋" w:eastAsia="宋体" w:cs="仿宋"/>
          <w:color w:val="auto"/>
          <w:spacing w:val="4"/>
          <w:sz w:val="28"/>
          <w:szCs w:val="32"/>
        </w:rPr>
        <w:t>参建各方主体质量责任意识有待提高</w:t>
      </w:r>
      <w:r>
        <w:rPr>
          <w:rFonts w:hint="eastAsia" w:ascii="Times New Roman" w:hAnsi="仿宋" w:eastAsia="宋体" w:cs="仿宋"/>
          <w:color w:val="auto"/>
          <w:spacing w:val="4"/>
          <w:sz w:val="28"/>
          <w:szCs w:val="32"/>
          <w:lang w:eastAsia="zh-CN"/>
        </w:rPr>
        <w:t>，</w:t>
      </w:r>
      <w:r>
        <w:rPr>
          <w:rFonts w:hint="eastAsia" w:ascii="Times New Roman" w:hAnsi="仿宋" w:eastAsia="宋体" w:cs="仿宋"/>
          <w:color w:val="auto"/>
          <w:spacing w:val="4"/>
          <w:sz w:val="28"/>
          <w:szCs w:val="32"/>
          <w:lang w:val="en-US" w:eastAsia="zh-CN"/>
        </w:rPr>
        <w:t>如见证取样和送检计划未按要求明确见证取样和送检的具体部位，未按规定要求送检标样混凝土试块等。例如：石狮世茂钞坑项目2013-10-03地块(一期)25#楼个别构件经取芯验证不满足设计强度要求。</w:t>
      </w:r>
      <w:r>
        <w:rPr>
          <w:rFonts w:hint="eastAsia" w:ascii="Times New Roman" w:hAnsi="仿宋" w:eastAsia="宋体" w:cs="仿宋"/>
          <w:color w:val="auto"/>
          <w:spacing w:val="4"/>
          <w:sz w:val="28"/>
          <w:szCs w:val="32"/>
        </w:rPr>
        <w:t>根据评分标准，此项得</w:t>
      </w:r>
      <w:r>
        <w:rPr>
          <w:rFonts w:hint="eastAsia" w:ascii="Times New Roman" w:hAnsi="仿宋" w:eastAsia="宋体" w:cs="仿宋"/>
          <w:color w:val="auto"/>
          <w:spacing w:val="4"/>
          <w:sz w:val="28"/>
          <w:szCs w:val="32"/>
          <w:lang w:val="en-US" w:eastAsia="zh-CN"/>
        </w:rPr>
        <w:t>1</w:t>
      </w:r>
      <w:r>
        <w:rPr>
          <w:rFonts w:hint="eastAsia" w:ascii="Times New Roman" w:hAnsi="仿宋" w:eastAsia="宋体" w:cs="仿宋"/>
          <w:color w:val="auto"/>
          <w:spacing w:val="4"/>
          <w:sz w:val="28"/>
          <w:szCs w:val="32"/>
        </w:rPr>
        <w:t>分。</w:t>
      </w:r>
    </w:p>
    <w:p>
      <w:pPr>
        <w:pStyle w:val="2"/>
        <w:snapToGrid/>
        <w:spacing w:beforeAutospacing="0" w:afterAutospacing="0" w:line="360" w:lineRule="auto"/>
        <w:ind w:left="0" w:leftChars="0" w:firstLine="576" w:firstLineChars="200"/>
        <w:outlineLvl w:val="2"/>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（3）部门绩效自评项目占比率（分值为2分）</w:t>
      </w:r>
    </w:p>
    <w:p>
      <w:pPr>
        <w:pStyle w:val="2"/>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部门绩效自评项目占比率”指标考核的是部门自评项目在所有项目中所占的份额，反映和评价部门对项目自评的重视程度。2022年石狮市住房和城乡建设局项目全部开展了绩效自评并撰写绩效自评报告。部门绩效自评项目占比率100%。根据评分标准，此项得分2分。</w:t>
      </w:r>
    </w:p>
    <w:p>
      <w:pPr>
        <w:pStyle w:val="2"/>
        <w:snapToGrid/>
        <w:spacing w:beforeAutospacing="0" w:afterAutospacing="0" w:line="360" w:lineRule="auto"/>
        <w:ind w:left="0" w:leftChars="0" w:firstLine="576" w:firstLineChars="200"/>
        <w:outlineLvl w:val="2"/>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（4）部门预算绩效管理情况（分值为2分）</w:t>
      </w:r>
    </w:p>
    <w:p>
      <w:pPr>
        <w:numPr>
          <w:ilvl w:val="0"/>
          <w:numId w:val="0"/>
        </w:numPr>
        <w:snapToGrid/>
        <w:spacing w:beforeAutospacing="0" w:afterAutospacing="0" w:line="360" w:lineRule="auto"/>
        <w:ind w:left="0" w:leftChars="0" w:firstLine="576" w:firstLineChars="200"/>
        <w:rPr>
          <w:rFonts w:hint="default" w:ascii="Times New Roman" w:hAnsi="仿宋" w:eastAsia="宋体" w:cs="仿宋"/>
          <w:color w:val="auto"/>
          <w:spacing w:val="4"/>
          <w:sz w:val="28"/>
          <w:szCs w:val="32"/>
          <w:lang w:val="en-US"/>
        </w:rPr>
      </w:pPr>
      <w:r>
        <w:rPr>
          <w:rFonts w:hint="eastAsia" w:ascii="Times New Roman" w:hAnsi="仿宋" w:eastAsia="宋体" w:cs="仿宋"/>
          <w:color w:val="auto"/>
          <w:spacing w:val="4"/>
          <w:sz w:val="28"/>
          <w:szCs w:val="32"/>
        </w:rPr>
        <w:t>“部门预算绩效管理情况”指标对部门开展预算绩效管理工作的年度评价结果，用以反映部门对预算绩效管理工作的重视程度和取得的成效。评价小组结果调查，石狮市住房和城乡建设局积极配合绩效评价工作小组工作，及时准备、提供目标申报表、绩效监控表、绩效自评表和自评报告。</w:t>
      </w:r>
      <w:r>
        <w:rPr>
          <w:rFonts w:hint="default" w:ascii="Times New Roman" w:hAnsi="仿宋" w:eastAsia="宋体" w:cs="仿宋"/>
          <w:color w:val="auto"/>
          <w:spacing w:val="4"/>
          <w:sz w:val="28"/>
          <w:szCs w:val="32"/>
          <w:lang w:val="en-US" w:eastAsia="zh-CN"/>
        </w:rPr>
        <w:t>根据石狮市住房和城乡建设局财政绩效自评报告</w:t>
      </w:r>
      <w:r>
        <w:rPr>
          <w:rFonts w:hint="eastAsia" w:ascii="Times New Roman" w:hAnsi="仿宋" w:eastAsia="宋体" w:cs="仿宋"/>
          <w:color w:val="auto"/>
          <w:spacing w:val="4"/>
          <w:sz w:val="28"/>
          <w:szCs w:val="32"/>
          <w:lang w:val="en-US" w:eastAsia="zh-CN"/>
        </w:rPr>
        <w:t>和自评表，</w:t>
      </w:r>
      <w:r>
        <w:rPr>
          <w:rFonts w:hint="default" w:ascii="Times New Roman" w:hAnsi="仿宋" w:eastAsia="宋体" w:cs="仿宋"/>
          <w:color w:val="auto"/>
          <w:spacing w:val="4"/>
          <w:sz w:val="28"/>
          <w:szCs w:val="32"/>
          <w:lang w:val="en-US" w:eastAsia="zh-CN"/>
        </w:rPr>
        <w:t>评价组检查发现，2021年市级城乡人居环境建设专项资金（泉财指标〔2021〕1027号）项目</w:t>
      </w:r>
      <w:r>
        <w:rPr>
          <w:rFonts w:hint="eastAsia" w:ascii="Times New Roman" w:hAnsi="仿宋" w:eastAsia="宋体" w:cs="仿宋"/>
          <w:color w:val="auto"/>
          <w:spacing w:val="4"/>
          <w:sz w:val="28"/>
          <w:szCs w:val="32"/>
          <w:lang w:val="en-US" w:eastAsia="zh-CN"/>
        </w:rPr>
        <w:t>存在自评表填写不完整</w:t>
      </w:r>
      <w:r>
        <w:rPr>
          <w:rFonts w:hint="default" w:ascii="Times New Roman" w:hAnsi="仿宋" w:eastAsia="宋体" w:cs="仿宋"/>
          <w:color w:val="auto"/>
          <w:spacing w:val="4"/>
          <w:sz w:val="28"/>
          <w:szCs w:val="32"/>
          <w:lang w:val="en-US" w:eastAsia="zh-CN"/>
        </w:rPr>
        <w:t>。</w:t>
      </w:r>
      <w:r>
        <w:rPr>
          <w:rFonts w:hint="eastAsia" w:ascii="Times New Roman" w:hAnsi="仿宋" w:eastAsia="宋体" w:cs="仿宋"/>
          <w:color w:val="auto"/>
          <w:spacing w:val="4"/>
          <w:sz w:val="28"/>
          <w:szCs w:val="32"/>
          <w:lang w:val="en-US" w:eastAsia="zh-CN"/>
        </w:rPr>
        <w:t>因</w:t>
      </w:r>
      <w:r>
        <w:rPr>
          <w:rFonts w:hint="default" w:ascii="Times New Roman" w:hAnsi="仿宋" w:eastAsia="宋体" w:cs="仿宋"/>
          <w:color w:val="auto"/>
          <w:spacing w:val="4"/>
          <w:sz w:val="28"/>
          <w:szCs w:val="32"/>
          <w:lang w:val="en-US" w:eastAsia="zh-CN"/>
        </w:rPr>
        <w:t>填报人员对于新系统操作不够熟悉，导致在系统填报时未能正确设置定性分析与数据分析选项</w:t>
      </w:r>
      <w:r>
        <w:rPr>
          <w:rFonts w:hint="eastAsia" w:ascii="Times New Roman" w:hAnsi="仿宋" w:eastAsia="宋体" w:cs="仿宋"/>
          <w:color w:val="auto"/>
          <w:spacing w:val="4"/>
          <w:sz w:val="28"/>
          <w:szCs w:val="32"/>
          <w:lang w:val="en-US" w:eastAsia="zh-CN"/>
        </w:rPr>
        <w:t>，自评</w:t>
      </w:r>
      <w:r>
        <w:rPr>
          <w:rFonts w:hint="default" w:ascii="Times New Roman" w:hAnsi="仿宋" w:eastAsia="宋体" w:cs="仿宋"/>
          <w:color w:val="auto"/>
          <w:spacing w:val="4"/>
          <w:sz w:val="28"/>
          <w:szCs w:val="32"/>
          <w:lang w:val="en-US" w:eastAsia="zh-CN"/>
        </w:rPr>
        <w:t>表格无法正常填写</w:t>
      </w:r>
      <w:r>
        <w:rPr>
          <w:rFonts w:hint="eastAsia" w:ascii="Times New Roman" w:hAnsi="仿宋" w:eastAsia="宋体" w:cs="仿宋"/>
          <w:color w:val="auto"/>
          <w:spacing w:val="4"/>
          <w:sz w:val="28"/>
          <w:szCs w:val="32"/>
          <w:lang w:val="en-US" w:eastAsia="zh-CN"/>
        </w:rPr>
        <w:t>，</w:t>
      </w:r>
      <w:r>
        <w:rPr>
          <w:rFonts w:hint="default" w:ascii="Times New Roman" w:hAnsi="仿宋" w:eastAsia="宋体" w:cs="仿宋"/>
          <w:color w:val="auto"/>
          <w:spacing w:val="4"/>
          <w:sz w:val="28"/>
          <w:szCs w:val="32"/>
          <w:lang w:val="en-US" w:eastAsia="zh-CN"/>
        </w:rPr>
        <w:t>最终的绩效自评报告得分只有40分，被评定为低等级。</w:t>
      </w:r>
      <w:r>
        <w:rPr>
          <w:rFonts w:hint="eastAsia" w:ascii="Times New Roman" w:hAnsi="仿宋" w:eastAsia="宋体" w:cs="仿宋"/>
          <w:color w:val="auto"/>
          <w:spacing w:val="4"/>
          <w:sz w:val="28"/>
          <w:szCs w:val="32"/>
          <w:lang w:val="en-US" w:eastAsia="zh-CN"/>
        </w:rPr>
        <w:t>此项得1分。</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r>
        <w:rPr>
          <w:rFonts w:hint="eastAsia" w:ascii="Times New Roman" w:hAnsi="仿宋" w:eastAsia="宋体" w:cs="仿宋"/>
          <w:b/>
          <w:color w:val="auto"/>
          <w:spacing w:val="4"/>
          <w:sz w:val="28"/>
          <w:szCs w:val="32"/>
        </w:rPr>
        <w:t>2.产出数量（分值为10分）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产出数量主要从临时工工资按时发放次数、驻村干部人数、修缮加固历史建筑数量、危房消除率、工程项目竣工个数5个方面进行评价。</w:t>
      </w:r>
    </w:p>
    <w:p>
      <w:pPr>
        <w:snapToGrid/>
        <w:spacing w:beforeAutospacing="0" w:afterAutospacing="0" w:line="360" w:lineRule="auto"/>
        <w:ind w:left="0" w:leftChars="0" w:firstLine="576" w:firstLineChars="200"/>
        <w:outlineLvl w:val="2"/>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（1）部门临时工工资按时发放（分值为2分）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部门临时工工资按时发放”指标对部门临时工工资按时发放评价结果，用以反映部门对临时工工资发放是否及时性。评分标准为：①2022年度临时工工资按时发放次数≥12次得2分；②11次≤部门临时工工资按时发放＜12次，得1分；③10次≤部门临时工工资按时发放＜11次,得0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2022年度临时工工资按时发放次数12次，保障了临时工的福利，不存在拖欠工资行为。达到绩效目标值。根据评分标准，此项得2分。</w:t>
      </w:r>
    </w:p>
    <w:p>
      <w:pPr>
        <w:snapToGrid/>
        <w:spacing w:beforeAutospacing="0" w:afterAutospacing="0" w:line="360" w:lineRule="auto"/>
        <w:ind w:left="0" w:leftChars="0" w:firstLine="576" w:firstLineChars="200"/>
        <w:outlineLvl w:val="2"/>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（2）驻村干部人数（分值为2分）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“驻村干部人数”指标考核当年度驻村干部的人数情况。绩效目标为大于等于2人，2022年度实际下派驻村干部人数2人。已完成年度绩效目标，根据评分标准，此项得2分。</w:t>
      </w:r>
    </w:p>
    <w:p>
      <w:pPr>
        <w:snapToGrid/>
        <w:spacing w:beforeAutospacing="0" w:afterAutospacing="0" w:line="360" w:lineRule="auto"/>
        <w:ind w:left="0" w:leftChars="0" w:firstLine="576" w:firstLineChars="200"/>
        <w:outlineLvl w:val="2"/>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（3）修缮加固历史建筑（分值为3分）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修缮加固历史建筑”指标对历史建筑进行修缮加固结果，用以反映部门对修缮加固历史建筑是否达到绩效目标值。2022年设定的绩效目标值大于等于10栋，实际完成值10栋，已完成年度绩效目标。根据评分标准，此项得2分。</w:t>
      </w:r>
    </w:p>
    <w:p>
      <w:pPr>
        <w:snapToGrid/>
        <w:spacing w:beforeAutospacing="0" w:afterAutospacing="0" w:line="360" w:lineRule="auto"/>
        <w:ind w:left="0" w:leftChars="0" w:firstLine="576" w:firstLineChars="200"/>
        <w:outlineLvl w:val="2"/>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（4）危房消除率（分值为2分）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“危房消除率”指标用于衡量当年度危房消除情况。根据石狮市住房和城乡建设局提供的数据资料，2022年度绩效目标为大于90%，实际完成90%，已完成年度绩效目标。根据评分标准，此项得2分。</w:t>
      </w:r>
    </w:p>
    <w:p>
      <w:pPr>
        <w:snapToGrid/>
        <w:spacing w:beforeAutospacing="0" w:afterAutospacing="0" w:line="360" w:lineRule="auto"/>
        <w:ind w:left="0" w:leftChars="0" w:firstLine="576" w:firstLineChars="200"/>
        <w:outlineLvl w:val="2"/>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（5）工程项目竣</w:t>
      </w:r>
      <w:r>
        <w:rPr>
          <w:rFonts w:hint="eastAsia" w:ascii="Times New Roman" w:hAnsi="仿宋" w:eastAsia="宋体" w:cs="仿宋"/>
          <w:color w:val="auto"/>
          <w:spacing w:val="4"/>
          <w:sz w:val="28"/>
          <w:szCs w:val="32"/>
          <w:lang w:eastAsia="zh-CN"/>
        </w:rPr>
        <w:t>工</w:t>
      </w:r>
      <w:r>
        <w:rPr>
          <w:rFonts w:hint="eastAsia" w:ascii="Times New Roman" w:hAnsi="仿宋" w:eastAsia="宋体" w:cs="仿宋"/>
          <w:color w:val="auto"/>
          <w:spacing w:val="4"/>
          <w:sz w:val="28"/>
          <w:szCs w:val="32"/>
          <w:lang w:val="en-US" w:eastAsia="zh-CN"/>
        </w:rPr>
        <w:t>个数</w:t>
      </w:r>
      <w:r>
        <w:rPr>
          <w:rFonts w:hint="eastAsia" w:ascii="Times New Roman" w:hAnsi="仿宋" w:eastAsia="宋体" w:cs="仿宋"/>
          <w:color w:val="auto"/>
          <w:spacing w:val="4"/>
          <w:sz w:val="28"/>
          <w:szCs w:val="32"/>
        </w:rPr>
        <w:t>（分值为2分）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“工程项目竣工</w:t>
      </w:r>
      <w:r>
        <w:rPr>
          <w:rFonts w:hint="eastAsia" w:ascii="Times New Roman" w:hAnsi="仿宋" w:eastAsia="宋体" w:cs="仿宋"/>
          <w:color w:val="auto"/>
          <w:spacing w:val="4"/>
          <w:sz w:val="28"/>
          <w:szCs w:val="32"/>
          <w:lang w:eastAsia="zh-CN"/>
        </w:rPr>
        <w:t>个数</w:t>
      </w:r>
      <w:r>
        <w:rPr>
          <w:rFonts w:hint="eastAsia" w:ascii="Times New Roman" w:hAnsi="仿宋" w:eastAsia="宋体" w:cs="仿宋"/>
          <w:color w:val="auto"/>
          <w:spacing w:val="4"/>
          <w:sz w:val="28"/>
          <w:szCs w:val="32"/>
        </w:rPr>
        <w:t>”指标用于衡量当年度推动工程项目竣工的个数。根据石狮市住房和城乡建设局提供的数据资料，评分标准为：全年竣工项目数≧20个得2分；15-20个的得1分；5-15的得10分，少于5个的不得分。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lang w:val="en-US" w:eastAsia="zh-CN"/>
        </w:rPr>
      </w:pPr>
      <w:r>
        <w:rPr>
          <w:rFonts w:hint="eastAsia" w:ascii="Times New Roman" w:hAnsi="仿宋" w:eastAsia="宋体" w:cs="仿宋"/>
          <w:color w:val="auto"/>
          <w:spacing w:val="4"/>
          <w:sz w:val="28"/>
          <w:szCs w:val="32"/>
        </w:rPr>
        <w:t>根据评价小组调研情况，</w:t>
      </w:r>
      <w:r>
        <w:rPr>
          <w:rFonts w:hint="eastAsia" w:ascii="Times New Roman" w:hAnsi="仿宋" w:eastAsia="宋体" w:cs="仿宋"/>
          <w:color w:val="auto"/>
          <w:spacing w:val="4"/>
          <w:sz w:val="28"/>
          <w:szCs w:val="32"/>
          <w:lang w:val="en-US" w:eastAsia="zh-CN"/>
        </w:rPr>
        <w:t>2022年</w:t>
      </w:r>
      <w:r>
        <w:rPr>
          <w:rFonts w:hint="eastAsia" w:ascii="Times New Roman" w:hAnsi="仿宋" w:eastAsia="宋体" w:cs="仿宋"/>
          <w:color w:val="auto"/>
          <w:sz w:val="28"/>
          <w:szCs w:val="32"/>
        </w:rPr>
        <w:t>完成竣工验收项目</w:t>
      </w:r>
      <w:r>
        <w:rPr>
          <w:rFonts w:hint="eastAsia" w:ascii="Times New Roman" w:hAnsi="仿宋" w:eastAsia="宋体" w:cs="仿宋"/>
          <w:color w:val="auto"/>
          <w:sz w:val="28"/>
          <w:szCs w:val="32"/>
          <w:lang w:val="en-US" w:eastAsia="zh-CN"/>
        </w:rPr>
        <w:t>82</w:t>
      </w:r>
      <w:r>
        <w:rPr>
          <w:rFonts w:hint="eastAsia" w:ascii="Times New Roman" w:hAnsi="仿宋" w:eastAsia="宋体" w:cs="仿宋"/>
          <w:color w:val="auto"/>
          <w:sz w:val="28"/>
          <w:szCs w:val="32"/>
        </w:rPr>
        <w:t>个，其中房屋建筑工程</w:t>
      </w:r>
      <w:r>
        <w:rPr>
          <w:rFonts w:hint="eastAsia" w:ascii="Times New Roman" w:hAnsi="仿宋" w:eastAsia="宋体" w:cs="仿宋"/>
          <w:color w:val="auto"/>
          <w:sz w:val="28"/>
          <w:szCs w:val="32"/>
          <w:lang w:val="en-US" w:eastAsia="zh-CN"/>
        </w:rPr>
        <w:t>70</w:t>
      </w:r>
      <w:r>
        <w:rPr>
          <w:rFonts w:hint="eastAsia" w:ascii="Times New Roman" w:hAnsi="仿宋" w:eastAsia="宋体" w:cs="仿宋"/>
          <w:color w:val="auto"/>
          <w:sz w:val="28"/>
          <w:szCs w:val="32"/>
        </w:rPr>
        <w:t>个，市政工程</w:t>
      </w:r>
      <w:r>
        <w:rPr>
          <w:rFonts w:hint="eastAsia" w:ascii="Times New Roman" w:hAnsi="仿宋" w:eastAsia="宋体" w:cs="仿宋"/>
          <w:color w:val="auto"/>
          <w:sz w:val="28"/>
          <w:szCs w:val="32"/>
          <w:lang w:val="en-US" w:eastAsia="zh-CN"/>
        </w:rPr>
        <w:t>12</w:t>
      </w:r>
      <w:r>
        <w:rPr>
          <w:rFonts w:hint="eastAsia" w:ascii="Times New Roman" w:hAnsi="仿宋" w:eastAsia="宋体" w:cs="仿宋"/>
          <w:color w:val="auto"/>
          <w:sz w:val="28"/>
          <w:szCs w:val="32"/>
        </w:rPr>
        <w:t>个，出具工程质量监督报告</w:t>
      </w:r>
      <w:r>
        <w:rPr>
          <w:rFonts w:hint="eastAsia" w:ascii="Times New Roman" w:hAnsi="仿宋" w:eastAsia="宋体" w:cs="仿宋"/>
          <w:color w:val="auto"/>
          <w:sz w:val="28"/>
          <w:szCs w:val="32"/>
          <w:lang w:val="en-US" w:eastAsia="zh-CN"/>
        </w:rPr>
        <w:t>82</w:t>
      </w:r>
      <w:r>
        <w:rPr>
          <w:rFonts w:hint="eastAsia" w:ascii="Times New Roman" w:hAnsi="仿宋" w:eastAsia="宋体" w:cs="仿宋"/>
          <w:color w:val="auto"/>
          <w:sz w:val="28"/>
          <w:szCs w:val="32"/>
        </w:rPr>
        <w:t>份。</w:t>
      </w:r>
      <w:r>
        <w:rPr>
          <w:rFonts w:hint="eastAsia" w:ascii="Times New Roman" w:hAnsi="仿宋" w:eastAsia="宋体" w:cs="仿宋"/>
          <w:color w:val="auto"/>
          <w:spacing w:val="4"/>
          <w:sz w:val="28"/>
          <w:szCs w:val="32"/>
        </w:rPr>
        <w:t>根据评分标准，</w:t>
      </w:r>
      <w:r>
        <w:rPr>
          <w:rFonts w:hint="eastAsia" w:ascii="Times New Roman" w:hAnsi="仿宋" w:eastAsia="宋体" w:cs="仿宋"/>
          <w:color w:val="auto"/>
          <w:spacing w:val="4"/>
          <w:sz w:val="28"/>
          <w:szCs w:val="32"/>
          <w:lang w:val="en-US" w:eastAsia="zh-CN"/>
        </w:rPr>
        <w:t>此</w:t>
      </w:r>
      <w:r>
        <w:rPr>
          <w:rFonts w:hint="eastAsia" w:ascii="Times New Roman" w:hAnsi="仿宋" w:eastAsia="宋体" w:cs="仿宋"/>
          <w:color w:val="auto"/>
          <w:spacing w:val="4"/>
          <w:sz w:val="28"/>
          <w:szCs w:val="32"/>
        </w:rPr>
        <w:t>项</w:t>
      </w:r>
      <w:r>
        <w:rPr>
          <w:rFonts w:hint="eastAsia" w:ascii="Times New Roman" w:hAnsi="仿宋" w:eastAsia="宋体" w:cs="仿宋"/>
          <w:color w:val="auto"/>
          <w:spacing w:val="4"/>
          <w:sz w:val="28"/>
          <w:szCs w:val="32"/>
          <w:lang w:val="en-US" w:eastAsia="zh-CN"/>
        </w:rPr>
        <w:t>得分2分。</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r>
        <w:rPr>
          <w:rFonts w:hint="eastAsia" w:ascii="Times New Roman" w:hAnsi="仿宋" w:eastAsia="宋体" w:cs="仿宋"/>
          <w:b/>
          <w:color w:val="auto"/>
          <w:spacing w:val="4"/>
          <w:sz w:val="28"/>
          <w:szCs w:val="32"/>
          <w:lang w:val="en-US" w:eastAsia="zh-CN"/>
        </w:rPr>
        <w:t>3.</w:t>
      </w:r>
      <w:r>
        <w:rPr>
          <w:rFonts w:hint="eastAsia" w:ascii="Times New Roman" w:hAnsi="仿宋" w:eastAsia="宋体" w:cs="仿宋"/>
          <w:b/>
          <w:color w:val="auto"/>
          <w:spacing w:val="4"/>
          <w:sz w:val="28"/>
          <w:szCs w:val="32"/>
        </w:rPr>
        <w:t>产出质量（分值为12分）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产出质量从专业技术人员参加培训次数、工程项目建筑起重机械检查</w:t>
      </w:r>
      <w:r>
        <w:rPr>
          <w:rFonts w:hint="eastAsia" w:ascii="Times New Roman" w:hAnsi="仿宋" w:eastAsia="宋体" w:cs="仿宋"/>
          <w:color w:val="auto"/>
          <w:spacing w:val="4"/>
          <w:sz w:val="28"/>
          <w:szCs w:val="32"/>
          <w:lang w:val="en-US" w:eastAsia="zh-CN"/>
        </w:rPr>
        <w:t>整改</w:t>
      </w:r>
      <w:r>
        <w:rPr>
          <w:rFonts w:hint="eastAsia" w:ascii="Times New Roman" w:hAnsi="仿宋" w:eastAsia="宋体" w:cs="仿宋"/>
          <w:color w:val="auto"/>
          <w:spacing w:val="4"/>
          <w:sz w:val="28"/>
          <w:szCs w:val="32"/>
        </w:rPr>
        <w:t>率、资金使用合规性、完成上级下发的房屋普查量、党建工作质量水平、动态考评完成率6个方面评价。</w:t>
      </w:r>
    </w:p>
    <w:p>
      <w:pPr>
        <w:snapToGrid/>
        <w:spacing w:beforeAutospacing="0" w:afterAutospacing="0" w:line="360" w:lineRule="auto"/>
        <w:ind w:left="0" w:leftChars="0" w:firstLine="576" w:firstLineChars="200"/>
        <w:outlineLvl w:val="2"/>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（1）专业技术人员参加培训次数（分值为2分）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“专业技术人员参加培训次数”指标考察专业技术人员受培训的情况。根据数据资料，现场监督人员每位每年专业技术培训次数为0的，每发现一人的扣0.5分，扣完为止。</w:t>
      </w:r>
      <w:r>
        <w:rPr>
          <w:rFonts w:hint="eastAsia" w:ascii="Times New Roman" w:hAnsi="仿宋" w:eastAsia="宋体" w:cs="仿宋"/>
          <w:color w:val="auto"/>
          <w:spacing w:val="4"/>
          <w:sz w:val="28"/>
          <w:szCs w:val="32"/>
          <w:lang w:val="en-US" w:eastAsia="zh-CN"/>
        </w:rPr>
        <w:t>2022年</w:t>
      </w:r>
      <w:r>
        <w:rPr>
          <w:rFonts w:hint="eastAsia" w:ascii="Times New Roman" w:hAnsi="仿宋" w:eastAsia="宋体" w:cs="仿宋"/>
          <w:color w:val="auto"/>
          <w:spacing w:val="4"/>
          <w:sz w:val="28"/>
          <w:szCs w:val="32"/>
        </w:rPr>
        <w:t>监督人员</w:t>
      </w:r>
      <w:r>
        <w:rPr>
          <w:rFonts w:hint="eastAsia" w:ascii="Times New Roman" w:hAnsi="仿宋" w:eastAsia="宋体" w:cs="仿宋"/>
          <w:color w:val="auto"/>
          <w:spacing w:val="4"/>
          <w:sz w:val="28"/>
          <w:szCs w:val="32"/>
          <w:lang w:val="en-US" w:eastAsia="zh-CN"/>
        </w:rPr>
        <w:t>至少</w:t>
      </w:r>
      <w:r>
        <w:rPr>
          <w:rFonts w:hint="eastAsia" w:ascii="Times New Roman" w:hAnsi="仿宋" w:eastAsia="宋体" w:cs="仿宋"/>
          <w:color w:val="auto"/>
          <w:spacing w:val="4"/>
          <w:sz w:val="28"/>
          <w:szCs w:val="32"/>
        </w:rPr>
        <w:t>都参与专业技术培训1次。已达到年度绩效目标。根据评分标准，此项得2分。</w:t>
      </w:r>
    </w:p>
    <w:p>
      <w:pPr>
        <w:snapToGrid/>
        <w:spacing w:beforeAutospacing="0" w:afterAutospacing="0" w:line="360" w:lineRule="auto"/>
        <w:ind w:left="0" w:leftChars="0" w:firstLine="576" w:firstLineChars="200"/>
        <w:outlineLvl w:val="2"/>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（2）工程项目建筑起重机械专项检查率（分值为2分）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“工程项目建筑起重机械专项检查率”指标通过</w:t>
      </w:r>
      <w:r>
        <w:rPr>
          <w:rFonts w:hint="eastAsia" w:ascii="Times New Roman" w:hAnsi="仿宋" w:eastAsia="宋体" w:cs="仿宋"/>
          <w:color w:val="auto"/>
          <w:spacing w:val="4"/>
          <w:sz w:val="28"/>
          <w:szCs w:val="32"/>
          <w:lang w:val="en-US" w:eastAsia="zh-CN"/>
        </w:rPr>
        <w:t>考核</w:t>
      </w:r>
      <w:r>
        <w:rPr>
          <w:rFonts w:hint="eastAsia" w:ascii="Times New Roman" w:hAnsi="仿宋" w:eastAsia="宋体" w:cs="仿宋"/>
          <w:color w:val="auto"/>
          <w:spacing w:val="4"/>
          <w:sz w:val="28"/>
          <w:szCs w:val="32"/>
        </w:rPr>
        <w:t>起重建筑检查的情况。</w:t>
      </w:r>
      <w:r>
        <w:rPr>
          <w:rFonts w:hint="eastAsia" w:ascii="Times New Roman" w:hAnsi="仿宋" w:eastAsia="宋体" w:cs="仿宋"/>
          <w:color w:val="auto"/>
          <w:sz w:val="28"/>
          <w:szCs w:val="32"/>
        </w:rPr>
        <w:t>对全市在建项目起重机械、模架、深基坑等危大工程的安全管理进行检查，检查建筑起重机械</w:t>
      </w:r>
      <w:r>
        <w:rPr>
          <w:rFonts w:hint="eastAsia" w:ascii="Times New Roman" w:hAnsi="仿宋" w:eastAsia="宋体" w:cs="仿宋"/>
          <w:color w:val="auto"/>
          <w:sz w:val="28"/>
          <w:szCs w:val="32"/>
          <w:lang w:val="en-US" w:eastAsia="zh-CN"/>
        </w:rPr>
        <w:t>125</w:t>
      </w:r>
      <w:r>
        <w:rPr>
          <w:rFonts w:hint="eastAsia" w:ascii="Times New Roman" w:hAnsi="仿宋" w:eastAsia="宋体" w:cs="仿宋"/>
          <w:color w:val="auto"/>
          <w:sz w:val="28"/>
          <w:szCs w:val="32"/>
        </w:rPr>
        <w:t>台，排查安全隐患</w:t>
      </w:r>
      <w:r>
        <w:rPr>
          <w:rFonts w:hint="eastAsia" w:ascii="Times New Roman" w:hAnsi="仿宋" w:eastAsia="宋体" w:cs="仿宋"/>
          <w:color w:val="auto"/>
          <w:sz w:val="28"/>
          <w:szCs w:val="32"/>
          <w:lang w:val="en-US" w:eastAsia="zh-CN"/>
        </w:rPr>
        <w:t>637</w:t>
      </w:r>
      <w:r>
        <w:rPr>
          <w:rFonts w:hint="eastAsia" w:ascii="Times New Roman" w:hAnsi="仿宋" w:eastAsia="宋体" w:cs="仿宋"/>
          <w:color w:val="auto"/>
          <w:sz w:val="28"/>
          <w:szCs w:val="32"/>
        </w:rPr>
        <w:t>处，发出《责令改正通知书》</w:t>
      </w:r>
      <w:r>
        <w:rPr>
          <w:rFonts w:hint="eastAsia" w:ascii="Times New Roman" w:hAnsi="仿宋" w:eastAsia="宋体" w:cs="仿宋"/>
          <w:color w:val="auto"/>
          <w:sz w:val="28"/>
          <w:szCs w:val="32"/>
          <w:lang w:val="en-US" w:eastAsia="zh-CN"/>
        </w:rPr>
        <w:t>8</w:t>
      </w:r>
      <w:r>
        <w:rPr>
          <w:rFonts w:hint="eastAsia" w:ascii="Times New Roman" w:hAnsi="仿宋" w:eastAsia="宋体" w:cs="仿宋"/>
          <w:color w:val="auto"/>
          <w:sz w:val="28"/>
          <w:szCs w:val="32"/>
        </w:rPr>
        <w:t>份，责令3台存在较大安全隐患的机械停止使用，对于检查发现的问题，责令相关责任单位立即整改并组织复查，督促各参建责任单位切实履行安全生产主体责任，严防安全事故发生</w:t>
      </w:r>
      <w:r>
        <w:rPr>
          <w:rFonts w:hint="eastAsia" w:ascii="Times New Roman" w:hAnsi="仿宋" w:eastAsia="宋体" w:cs="仿宋"/>
          <w:color w:val="auto"/>
          <w:spacing w:val="4"/>
          <w:sz w:val="28"/>
          <w:szCs w:val="32"/>
        </w:rPr>
        <w:t>，</w:t>
      </w:r>
      <w:r>
        <w:rPr>
          <w:rFonts w:hint="eastAsia" w:ascii="Times New Roman" w:hAnsi="仿宋" w:eastAsia="宋体" w:cs="仿宋"/>
          <w:color w:val="auto"/>
          <w:spacing w:val="4"/>
          <w:sz w:val="28"/>
          <w:szCs w:val="32"/>
          <w:lang w:val="en-US" w:eastAsia="zh-CN"/>
        </w:rPr>
        <w:t>整改率</w:t>
      </w:r>
      <w:r>
        <w:rPr>
          <w:rFonts w:hint="eastAsia" w:ascii="Times New Roman" w:hAnsi="仿宋" w:eastAsia="宋体" w:cs="仿宋"/>
          <w:color w:val="auto"/>
          <w:spacing w:val="4"/>
          <w:sz w:val="28"/>
          <w:szCs w:val="32"/>
        </w:rPr>
        <w:t>为100%</w:t>
      </w:r>
      <w:r>
        <w:rPr>
          <w:rFonts w:hint="eastAsia" w:ascii="Times New Roman" w:hAnsi="仿宋" w:eastAsia="宋体" w:cs="仿宋"/>
          <w:color w:val="auto"/>
          <w:spacing w:val="4"/>
          <w:sz w:val="28"/>
          <w:szCs w:val="32"/>
          <w:lang w:eastAsia="zh-CN"/>
        </w:rPr>
        <w:t>，</w:t>
      </w:r>
      <w:r>
        <w:rPr>
          <w:rFonts w:hint="eastAsia" w:ascii="Times New Roman" w:hAnsi="仿宋" w:eastAsia="宋体" w:cs="仿宋"/>
          <w:color w:val="auto"/>
          <w:spacing w:val="4"/>
          <w:sz w:val="28"/>
          <w:szCs w:val="32"/>
        </w:rPr>
        <w:t>完成年度绩效目标。根据评分标准，此项得2分。</w:t>
      </w:r>
    </w:p>
    <w:p>
      <w:pPr>
        <w:snapToGrid/>
        <w:spacing w:beforeAutospacing="0" w:afterAutospacing="0" w:line="360" w:lineRule="auto"/>
        <w:ind w:left="0" w:leftChars="0" w:firstLine="576" w:firstLineChars="200"/>
        <w:outlineLvl w:val="2"/>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（3）资金使用合规性（分值为2分）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“资金使用合规性”指标通过对资金使用情况查询，要求专项资金专款专用，不得挪用、截留。经评价小组调查，本项目资金使用过程符合相关规定，无挪用截留。根据评分标准，此项得2分。</w:t>
      </w:r>
    </w:p>
    <w:p>
      <w:pPr>
        <w:snapToGrid/>
        <w:spacing w:beforeAutospacing="0" w:afterAutospacing="0" w:line="360" w:lineRule="auto"/>
        <w:ind w:left="0" w:leftChars="0" w:firstLine="576" w:firstLineChars="200"/>
        <w:outlineLvl w:val="2"/>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（4）完成上级下发的房屋普查量（分值为2分）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“完成上级下发的房屋普查量”指标通过对房屋普查情况的调查，考核是否完成当年度绩效目标。绩效目标设置为完成房屋普查的90%，实际完成90%，完成年度绩效目标。根据评分标准，此项得2分。</w:t>
      </w:r>
    </w:p>
    <w:p>
      <w:pPr>
        <w:snapToGrid/>
        <w:spacing w:beforeAutospacing="0" w:afterAutospacing="0" w:line="360" w:lineRule="auto"/>
        <w:ind w:left="0" w:leftChars="0" w:firstLine="576" w:firstLineChars="200"/>
        <w:outlineLvl w:val="2"/>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（5）党建工作质量水平（分值为2分）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“党建工作质量水平”指标</w:t>
      </w:r>
      <w:r>
        <w:rPr>
          <w:rFonts w:hint="eastAsia" w:ascii="Times New Roman" w:hAnsi="仿宋" w:eastAsia="宋体" w:cs="仿宋"/>
          <w:color w:val="auto"/>
          <w:spacing w:val="4"/>
          <w:sz w:val="28"/>
          <w:szCs w:val="32"/>
          <w:lang w:val="en-US" w:eastAsia="zh-CN"/>
        </w:rPr>
        <w:t>衡量</w:t>
      </w:r>
      <w:r>
        <w:rPr>
          <w:rFonts w:hint="eastAsia" w:ascii="Times New Roman" w:hAnsi="仿宋" w:eastAsia="宋体" w:cs="仿宋"/>
          <w:color w:val="auto"/>
          <w:spacing w:val="4"/>
          <w:sz w:val="28"/>
          <w:szCs w:val="32"/>
        </w:rPr>
        <w:t>党建工作质量是否有所提升。根据查询数据资料，当年度石狮市住房和城乡建设局党建工作质量水平稳步提升。完成年度绩效目标。根据评分标准，此项得2分。</w:t>
      </w:r>
    </w:p>
    <w:p>
      <w:pPr>
        <w:snapToGrid/>
        <w:spacing w:beforeAutospacing="0" w:afterAutospacing="0" w:line="360" w:lineRule="auto"/>
        <w:ind w:left="0" w:leftChars="0" w:firstLine="576" w:firstLineChars="200"/>
        <w:outlineLvl w:val="2"/>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（6）动态考评完成率（分值为2分）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动态考评完成率”指标按《福建省建设工程质量安全动态监管办法（2018年版）》要求进行动态考评，用以反映部门对建设工程质量安全动态考评完成工作的重视程度和取得的成效。评分标准为：①动态考评完成率等于100%的，得满分;②动态考评完成率小于等于99%的，得0分;②动态考评完成率在99%-100%之间的 得分=(某部门项目质量达标率-99%)/1%×该指标分值。</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2022年石狮市住房和城乡建设局按《福建省建设工程质量安全动态监管办法（2018年版）》要求进行动态考评，在动态考评过程中需要对工程质量以及施工过程用到的材料进行检测，委托具有相应能力的检测机构负责检测，动态考评完成率均达100%</w:t>
      </w:r>
      <w:r>
        <w:rPr>
          <w:rFonts w:hint="eastAsia" w:ascii="Times New Roman" w:hAnsi="仿宋" w:eastAsia="宋体" w:cs="仿宋"/>
          <w:color w:val="auto"/>
          <w:spacing w:val="4"/>
          <w:sz w:val="28"/>
          <w:szCs w:val="32"/>
          <w:lang w:eastAsia="zh-CN"/>
        </w:rPr>
        <w:t>。</w:t>
      </w:r>
      <w:r>
        <w:rPr>
          <w:rFonts w:hint="eastAsia" w:ascii="Times New Roman" w:hAnsi="仿宋" w:eastAsia="宋体" w:cs="仿宋"/>
          <w:color w:val="auto"/>
          <w:spacing w:val="4"/>
          <w:sz w:val="28"/>
          <w:szCs w:val="32"/>
        </w:rPr>
        <w:t>此项得2分。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因此，产出质量共计得12分。</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r>
        <w:rPr>
          <w:rFonts w:hint="eastAsia" w:ascii="Times New Roman" w:hAnsi="仿宋" w:eastAsia="宋体" w:cs="仿宋"/>
          <w:b/>
          <w:color w:val="auto"/>
          <w:spacing w:val="4"/>
          <w:sz w:val="28"/>
          <w:szCs w:val="32"/>
          <w:lang w:val="en-US" w:eastAsia="zh-CN"/>
        </w:rPr>
        <w:t>4</w:t>
      </w:r>
      <w:r>
        <w:rPr>
          <w:rFonts w:hint="eastAsia" w:ascii="Times New Roman" w:hAnsi="仿宋" w:eastAsia="宋体" w:cs="仿宋"/>
          <w:b/>
          <w:color w:val="auto"/>
          <w:spacing w:val="4"/>
          <w:sz w:val="28"/>
          <w:szCs w:val="32"/>
        </w:rPr>
        <w:t>.产出时效（分值为5分）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产出时效从“监督抽测时间”1个方面进行评价</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“监督抽测时间”指标考察监督抽测时间是否达成年度绩效目标。根据石狮市住房和城乡建设局提供的资料，已完成年度目标。根据评分标准，该指标得5分。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因此，产出时效共计得5分。</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r>
        <w:rPr>
          <w:rFonts w:hint="eastAsia" w:ascii="Times New Roman" w:hAnsi="仿宋" w:eastAsia="宋体" w:cs="仿宋"/>
          <w:b/>
          <w:color w:val="auto"/>
          <w:spacing w:val="4"/>
          <w:sz w:val="28"/>
          <w:szCs w:val="32"/>
          <w:lang w:val="en-US" w:eastAsia="zh-CN"/>
        </w:rPr>
        <w:t>5</w:t>
      </w:r>
      <w:r>
        <w:rPr>
          <w:rFonts w:hint="eastAsia" w:ascii="Times New Roman" w:hAnsi="仿宋" w:eastAsia="宋体" w:cs="仿宋"/>
          <w:b/>
          <w:color w:val="auto"/>
          <w:spacing w:val="4"/>
          <w:sz w:val="28"/>
          <w:szCs w:val="32"/>
        </w:rPr>
        <w:t>.产出成本（分值为5分）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产出</w:t>
      </w:r>
      <w:r>
        <w:rPr>
          <w:rFonts w:hint="eastAsia" w:ascii="Times New Roman" w:hAnsi="仿宋" w:eastAsia="宋体" w:cs="仿宋"/>
          <w:color w:val="auto"/>
          <w:spacing w:val="4"/>
          <w:sz w:val="28"/>
          <w:szCs w:val="32"/>
          <w:lang w:val="en-US" w:eastAsia="zh-CN"/>
        </w:rPr>
        <w:t>成本</w:t>
      </w:r>
      <w:r>
        <w:rPr>
          <w:rFonts w:hint="eastAsia" w:ascii="Times New Roman" w:hAnsi="仿宋" w:eastAsia="宋体" w:cs="仿宋"/>
          <w:color w:val="auto"/>
          <w:spacing w:val="4"/>
          <w:sz w:val="28"/>
          <w:szCs w:val="32"/>
        </w:rPr>
        <w:t>从“执监检测经费</w:t>
      </w:r>
      <w:r>
        <w:rPr>
          <w:rFonts w:hint="eastAsia" w:ascii="Times New Roman" w:hAnsi="仿宋" w:eastAsia="宋体" w:cs="仿宋"/>
          <w:color w:val="auto"/>
          <w:spacing w:val="4"/>
          <w:sz w:val="28"/>
          <w:szCs w:val="32"/>
          <w:lang w:val="en-US" w:eastAsia="zh-CN"/>
        </w:rPr>
        <w:t>成本</w:t>
      </w:r>
      <w:r>
        <w:rPr>
          <w:rFonts w:hint="eastAsia" w:ascii="Times New Roman" w:hAnsi="仿宋" w:eastAsia="宋体" w:cs="仿宋"/>
          <w:color w:val="auto"/>
          <w:spacing w:val="4"/>
          <w:sz w:val="28"/>
          <w:szCs w:val="32"/>
        </w:rPr>
        <w:t>”1个方面进行评价</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“执监检测经费</w:t>
      </w:r>
      <w:r>
        <w:rPr>
          <w:rFonts w:hint="eastAsia" w:ascii="Times New Roman" w:hAnsi="仿宋" w:eastAsia="宋体" w:cs="仿宋"/>
          <w:color w:val="auto"/>
          <w:spacing w:val="4"/>
          <w:sz w:val="28"/>
          <w:szCs w:val="32"/>
          <w:lang w:val="en-US" w:eastAsia="zh-CN"/>
        </w:rPr>
        <w:t>成本</w:t>
      </w:r>
      <w:r>
        <w:rPr>
          <w:rFonts w:hint="eastAsia" w:ascii="Times New Roman" w:hAnsi="仿宋" w:eastAsia="宋体" w:cs="仿宋"/>
          <w:color w:val="auto"/>
          <w:spacing w:val="4"/>
          <w:sz w:val="28"/>
          <w:szCs w:val="32"/>
        </w:rPr>
        <w:t>”指标考核执监检测经费支出</w:t>
      </w:r>
      <w:r>
        <w:rPr>
          <w:rFonts w:hint="eastAsia" w:ascii="Times New Roman" w:hAnsi="仿宋" w:eastAsia="宋体" w:cs="仿宋"/>
          <w:color w:val="auto"/>
          <w:spacing w:val="4"/>
          <w:sz w:val="28"/>
          <w:szCs w:val="32"/>
          <w:lang w:val="en-US" w:eastAsia="zh-CN"/>
        </w:rPr>
        <w:t>成本</w:t>
      </w:r>
      <w:r>
        <w:rPr>
          <w:rFonts w:hint="eastAsia" w:ascii="Times New Roman" w:hAnsi="仿宋" w:eastAsia="宋体" w:cs="仿宋"/>
          <w:color w:val="auto"/>
          <w:spacing w:val="4"/>
          <w:sz w:val="28"/>
          <w:szCs w:val="32"/>
        </w:rPr>
        <w:t>是否超过预算。评分标准为：全年支出≦70.3万，得10分；超过的支出费用≦10%的得5分；超过10%的不得分；根据石狮市住房和城乡建设局提供的资料，项目所有支出在70.3万内，符合绩效目标要求。根据评分标准，该指标得5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因此，产出成本共计得5分。</w:t>
      </w:r>
    </w:p>
    <w:p>
      <w:pPr>
        <w:pStyle w:val="5"/>
        <w:snapToGrid/>
        <w:spacing w:before="156" w:beforeLines="50" w:beforeAutospacing="0" w:afterAutospacing="0" w:line="360" w:lineRule="auto"/>
        <w:ind w:left="0" w:leftChars="0" w:right="0" w:rightChars="0" w:firstLine="0" w:firstLineChars="0"/>
        <w:jc w:val="left"/>
        <w:outlineLvl w:val="1"/>
        <w:rPr>
          <w:rFonts w:hint="eastAsia" w:ascii="Times New Roman" w:hAnsi="仿宋" w:eastAsia="宋体" w:cs="仿宋"/>
          <w:b/>
          <w:color w:val="auto"/>
          <w:spacing w:val="4"/>
          <w:sz w:val="30"/>
          <w:szCs w:val="32"/>
        </w:rPr>
      </w:pPr>
      <w:bookmarkStart w:id="76" w:name="_Toc6190"/>
      <w:r>
        <w:rPr>
          <w:rFonts w:hint="eastAsia" w:ascii="Times New Roman" w:hAnsi="仿宋" w:eastAsia="宋体" w:cs="仿宋"/>
          <w:b/>
          <w:color w:val="auto"/>
          <w:spacing w:val="4"/>
          <w:sz w:val="30"/>
          <w:szCs w:val="32"/>
        </w:rPr>
        <w:t>（四）效益(分值20分，得分19分)</w:t>
      </w:r>
      <w:bookmarkEnd w:id="73"/>
      <w:bookmarkEnd w:id="74"/>
      <w:bookmarkEnd w:id="76"/>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效果设置履职效益为二级指标，从社会效益、经济效益、可持续影响、服务对象满意度四个方面进行评价。</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社会效益下设“</w:t>
      </w:r>
      <w:r>
        <w:rPr>
          <w:rFonts w:hint="eastAsia" w:ascii="Times New Roman" w:hAnsi="仿宋" w:eastAsia="宋体" w:cs="仿宋"/>
          <w:color w:val="auto"/>
          <w:spacing w:val="4"/>
          <w:sz w:val="28"/>
          <w:szCs w:val="32"/>
          <w:lang w:eastAsia="zh-CN"/>
        </w:rPr>
        <w:t>物业企业管理小区的整改率</w:t>
      </w:r>
      <w:r>
        <w:rPr>
          <w:rFonts w:hint="eastAsia" w:ascii="Times New Roman" w:hAnsi="仿宋" w:eastAsia="宋体" w:cs="仿宋"/>
          <w:color w:val="auto"/>
          <w:spacing w:val="4"/>
          <w:sz w:val="28"/>
          <w:szCs w:val="32"/>
        </w:rPr>
        <w:t>”“提高小区环境卫生”2个三级指标；经济效益下设“办公楼租金收缴情况”</w:t>
      </w:r>
      <w:r>
        <w:rPr>
          <w:rFonts w:hint="eastAsia" w:ascii="Times New Roman" w:hAnsi="仿宋" w:eastAsia="宋体" w:cs="仿宋"/>
          <w:color w:val="auto"/>
          <w:spacing w:val="4"/>
          <w:sz w:val="28"/>
          <w:szCs w:val="32"/>
          <w:lang w:val="en-US" w:eastAsia="zh-CN"/>
        </w:rPr>
        <w:t>1</w:t>
      </w:r>
      <w:r>
        <w:rPr>
          <w:rFonts w:hint="eastAsia" w:ascii="Times New Roman" w:hAnsi="仿宋" w:eastAsia="宋体" w:cs="仿宋"/>
          <w:color w:val="auto"/>
          <w:spacing w:val="4"/>
          <w:sz w:val="28"/>
          <w:szCs w:val="32"/>
        </w:rPr>
        <w:t>个三级指标；可持续影响下设“工程项目竣工</w:t>
      </w:r>
      <w:r>
        <w:rPr>
          <w:rFonts w:hint="eastAsia" w:ascii="Times New Roman" w:hAnsi="仿宋" w:eastAsia="宋体" w:cs="仿宋"/>
          <w:color w:val="auto"/>
          <w:spacing w:val="4"/>
          <w:sz w:val="28"/>
          <w:szCs w:val="32"/>
          <w:lang w:val="en-US" w:eastAsia="zh-CN"/>
        </w:rPr>
        <w:t>率</w:t>
      </w:r>
      <w:r>
        <w:rPr>
          <w:rFonts w:hint="eastAsia" w:ascii="Times New Roman" w:hAnsi="仿宋" w:eastAsia="宋体" w:cs="仿宋"/>
          <w:color w:val="auto"/>
          <w:spacing w:val="4"/>
          <w:sz w:val="28"/>
          <w:szCs w:val="32"/>
        </w:rPr>
        <w:t>”“泉州市优质工程个数”2个三级指标；服务对象满意度下设“公众满意度”三级指标。</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r>
        <w:rPr>
          <w:rFonts w:hint="eastAsia" w:ascii="Times New Roman" w:hAnsi="仿宋" w:eastAsia="宋体" w:cs="仿宋"/>
          <w:b/>
          <w:color w:val="auto"/>
          <w:spacing w:val="4"/>
          <w:sz w:val="28"/>
          <w:szCs w:val="32"/>
        </w:rPr>
        <w:t>1.</w:t>
      </w:r>
      <w:r>
        <w:rPr>
          <w:rFonts w:hint="eastAsia" w:ascii="Times New Roman" w:hAnsi="仿宋" w:eastAsia="宋体" w:cs="仿宋"/>
          <w:b/>
          <w:color w:val="auto"/>
          <w:spacing w:val="4"/>
          <w:sz w:val="28"/>
          <w:szCs w:val="32"/>
          <w:lang w:eastAsia="zh-CN"/>
        </w:rPr>
        <w:t>物业企业管理小区的整改率</w:t>
      </w:r>
      <w:r>
        <w:rPr>
          <w:rFonts w:hint="eastAsia" w:ascii="Times New Roman" w:hAnsi="仿宋" w:eastAsia="宋体" w:cs="仿宋"/>
          <w:b/>
          <w:color w:val="auto"/>
          <w:spacing w:val="4"/>
          <w:sz w:val="28"/>
          <w:szCs w:val="32"/>
        </w:rPr>
        <w:t>(分值3分)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lang w:eastAsia="zh-CN"/>
        </w:rPr>
        <w:t>物业企业管理小区的整改率</w:t>
      </w:r>
      <w:r>
        <w:rPr>
          <w:rFonts w:hint="eastAsia" w:ascii="Times New Roman" w:hAnsi="仿宋" w:eastAsia="宋体" w:cs="仿宋"/>
          <w:color w:val="auto"/>
          <w:spacing w:val="4"/>
          <w:sz w:val="28"/>
          <w:szCs w:val="32"/>
        </w:rPr>
        <w:t>指标通过考察辖区内住宅区物业</w:t>
      </w:r>
      <w:r>
        <w:rPr>
          <w:rFonts w:hint="eastAsia" w:ascii="Times New Roman" w:hAnsi="仿宋" w:eastAsia="宋体" w:cs="仿宋"/>
          <w:color w:val="auto"/>
          <w:spacing w:val="4"/>
          <w:sz w:val="28"/>
          <w:szCs w:val="32"/>
          <w:lang w:val="en-US" w:eastAsia="zh-CN"/>
        </w:rPr>
        <w:t>整改</w:t>
      </w:r>
      <w:r>
        <w:rPr>
          <w:rFonts w:hint="eastAsia" w:ascii="Times New Roman" w:hAnsi="仿宋" w:eastAsia="宋体" w:cs="仿宋"/>
          <w:color w:val="auto"/>
          <w:spacing w:val="4"/>
          <w:sz w:val="28"/>
          <w:szCs w:val="32"/>
        </w:rPr>
        <w:t>情况，反映社会效益目标实现程度。</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2022年度印发了《提升物业服务水平专项监督行动方案》，通过贯彻落实市委关于推进“党建+”社区邻里中心建设的决策部署，开展专项监督活动。按照方案要求，各镇（街道）组织村（社区）、物业服务企业根据《物业项目整治工作自查表》对辖区老旧小区、物业住宅小区、物业商务楼宇开展自查。我局结合物业服务质量考评工作，组织专家对各镇（街道）自查情况进行抽查和复核。共抽查85个小区，开具《工作指导意见书》85份，已全部完成整改。已达成年度目标。本项得分3分。</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32"/>
        </w:rPr>
      </w:pPr>
      <w:r>
        <w:rPr>
          <w:rFonts w:hint="eastAsia" w:ascii="Times New Roman" w:hAnsi="仿宋" w:eastAsia="宋体" w:cs="仿宋"/>
          <w:b/>
          <w:color w:val="auto"/>
          <w:spacing w:val="4"/>
          <w:sz w:val="28"/>
          <w:szCs w:val="32"/>
        </w:rPr>
        <w:t>2.提高小区环境卫生(分值3分)</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提高小区环境卫生通过考察辖区内住宅区环境卫生提升情况，反映社会效益目标实现程度。</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lang w:val="en-US" w:eastAsia="zh-CN"/>
        </w:rPr>
        <w:t>2022年度存在4个物业服务质量堪忧，如银昌新城（泉州市群洪物业管理有限公司）、地税嘉源（福建省鸿彬物业管理有限公司）、灵秀公租房（福建省名城嘉源商业管理服务有限公司）、凯旋名门（泉州市凯益物业管理有限公司）等小区消防安全隐患，并未按期整改物业管理项目。</w:t>
      </w:r>
      <w:r>
        <w:rPr>
          <w:rFonts w:hint="eastAsia" w:ascii="Times New Roman" w:hAnsi="仿宋" w:eastAsia="宋体" w:cs="仿宋"/>
          <w:color w:val="auto"/>
          <w:spacing w:val="4"/>
          <w:sz w:val="28"/>
          <w:szCs w:val="32"/>
        </w:rPr>
        <w:t>检查中发现小区存在消防通道未标示、集中充电点线路不规范、消控制度落实不到位等情况</w:t>
      </w:r>
      <w:r>
        <w:rPr>
          <w:rFonts w:hint="eastAsia" w:ascii="Times New Roman" w:hAnsi="仿宋" w:eastAsia="宋体" w:cs="仿宋"/>
          <w:color w:val="auto"/>
          <w:spacing w:val="4"/>
          <w:sz w:val="28"/>
          <w:szCs w:val="32"/>
          <w:lang w:eastAsia="zh-CN"/>
        </w:rPr>
        <w:t>，</w:t>
      </w:r>
      <w:r>
        <w:rPr>
          <w:rFonts w:hint="eastAsia" w:ascii="Times New Roman" w:hAnsi="仿宋" w:eastAsia="宋体" w:cs="仿宋"/>
          <w:color w:val="auto"/>
          <w:spacing w:val="4"/>
          <w:sz w:val="28"/>
          <w:szCs w:val="32"/>
          <w:lang w:val="en-US" w:eastAsia="zh-CN"/>
        </w:rPr>
        <w:t>此项扣1分</w:t>
      </w:r>
      <w:r>
        <w:rPr>
          <w:rFonts w:hint="eastAsia" w:ascii="Times New Roman" w:hAnsi="仿宋" w:eastAsia="宋体" w:cs="仿宋"/>
          <w:color w:val="auto"/>
          <w:spacing w:val="4"/>
          <w:sz w:val="28"/>
          <w:szCs w:val="32"/>
        </w:rPr>
        <w:t>。本项得分</w:t>
      </w:r>
      <w:r>
        <w:rPr>
          <w:rFonts w:hint="eastAsia" w:ascii="Times New Roman" w:hAnsi="仿宋" w:eastAsia="宋体" w:cs="仿宋"/>
          <w:color w:val="auto"/>
          <w:spacing w:val="4"/>
          <w:sz w:val="28"/>
          <w:szCs w:val="32"/>
          <w:lang w:val="en-US" w:eastAsia="zh-CN"/>
        </w:rPr>
        <w:t>2</w:t>
      </w:r>
      <w:r>
        <w:rPr>
          <w:rFonts w:hint="eastAsia" w:ascii="Times New Roman" w:hAnsi="仿宋" w:eastAsia="宋体" w:cs="仿宋"/>
          <w:color w:val="auto"/>
          <w:spacing w:val="4"/>
          <w:sz w:val="28"/>
          <w:szCs w:val="32"/>
        </w:rPr>
        <w:t>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2"/>
        <w:rPr>
          <w:rFonts w:hint="eastAsia" w:ascii="Times New Roman" w:hAnsi="仿宋" w:eastAsia="宋体" w:cs="仿宋"/>
          <w:b/>
          <w:color w:val="auto"/>
          <w:spacing w:val="4"/>
          <w:sz w:val="28"/>
          <w:szCs w:val="32"/>
        </w:rPr>
      </w:pPr>
      <w:r>
        <w:rPr>
          <w:rFonts w:hint="eastAsia" w:ascii="Times New Roman" w:hAnsi="仿宋" w:eastAsia="宋体" w:cs="仿宋"/>
          <w:b/>
          <w:color w:val="auto"/>
          <w:spacing w:val="4"/>
          <w:sz w:val="28"/>
          <w:szCs w:val="32"/>
        </w:rPr>
        <w:t>3.办公楼租金收缴情况(分值4分)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办公楼租金收缴情况通过考察办公楼租金收缴情况，反映社会效益目标实现程度。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2022年石狮市住房和城乡建设局办公楼租金收缴情况绩效目标设定为70万元，因疫情</w:t>
      </w:r>
      <w:r>
        <w:rPr>
          <w:rFonts w:hint="eastAsia" w:ascii="Times New Roman" w:hAnsi="仿宋" w:eastAsia="宋体" w:cs="仿宋"/>
          <w:color w:val="auto"/>
          <w:spacing w:val="4"/>
          <w:sz w:val="28"/>
          <w:szCs w:val="32"/>
          <w:lang w:val="en-US" w:eastAsia="zh-CN"/>
        </w:rPr>
        <w:t>减免</w:t>
      </w:r>
      <w:r>
        <w:rPr>
          <w:rFonts w:hint="eastAsia" w:ascii="Times New Roman" w:hAnsi="仿宋" w:eastAsia="宋体" w:cs="仿宋"/>
          <w:color w:val="auto"/>
          <w:spacing w:val="4"/>
          <w:sz w:val="28"/>
          <w:szCs w:val="32"/>
        </w:rPr>
        <w:t>6个月房租，实际收回64.41万元。</w:t>
      </w:r>
      <w:r>
        <w:rPr>
          <w:rFonts w:hint="eastAsia" w:ascii="Times New Roman" w:hAnsi="仿宋" w:eastAsia="宋体" w:cs="仿宋"/>
          <w:color w:val="auto"/>
          <w:spacing w:val="4"/>
          <w:sz w:val="28"/>
          <w:szCs w:val="32"/>
          <w:lang w:eastAsia="zh-CN"/>
        </w:rPr>
        <w:t>因疫情原因此项不扣分</w:t>
      </w:r>
      <w:r>
        <w:rPr>
          <w:rFonts w:hint="eastAsia" w:ascii="Times New Roman" w:hAnsi="仿宋" w:eastAsia="宋体" w:cs="仿宋"/>
          <w:color w:val="auto"/>
          <w:spacing w:val="4"/>
          <w:sz w:val="28"/>
          <w:szCs w:val="32"/>
        </w:rPr>
        <w:t>，得分</w:t>
      </w:r>
      <w:r>
        <w:rPr>
          <w:rFonts w:hint="eastAsia" w:ascii="Times New Roman" w:hAnsi="仿宋" w:eastAsia="宋体" w:cs="仿宋"/>
          <w:color w:val="auto"/>
          <w:spacing w:val="4"/>
          <w:sz w:val="28"/>
          <w:szCs w:val="32"/>
          <w:lang w:val="en-US" w:eastAsia="zh-CN"/>
        </w:rPr>
        <w:t>4</w:t>
      </w:r>
      <w:r>
        <w:rPr>
          <w:rFonts w:hint="eastAsia" w:ascii="Times New Roman" w:hAnsi="仿宋" w:eastAsia="宋体" w:cs="仿宋"/>
          <w:color w:val="auto"/>
          <w:spacing w:val="4"/>
          <w:sz w:val="28"/>
          <w:szCs w:val="32"/>
        </w:rPr>
        <w:t>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2"/>
        <w:rPr>
          <w:rFonts w:hint="eastAsia" w:ascii="Times New Roman" w:hAnsi="仿宋" w:eastAsia="宋体" w:cs="仿宋"/>
          <w:b/>
          <w:bCs w:val="0"/>
          <w:color w:val="auto"/>
          <w:spacing w:val="4"/>
          <w:sz w:val="28"/>
          <w:szCs w:val="32"/>
        </w:rPr>
      </w:pPr>
      <w:r>
        <w:rPr>
          <w:rFonts w:hint="eastAsia" w:ascii="Times New Roman" w:hAnsi="仿宋" w:eastAsia="宋体" w:cs="仿宋"/>
          <w:b/>
          <w:bCs w:val="0"/>
          <w:color w:val="auto"/>
          <w:spacing w:val="4"/>
          <w:sz w:val="28"/>
          <w:szCs w:val="32"/>
        </w:rPr>
        <w:t>4.工程</w:t>
      </w:r>
      <w:r>
        <w:rPr>
          <w:rFonts w:hint="eastAsia" w:ascii="Times New Roman" w:hAnsi="仿宋" w:eastAsia="宋体" w:cs="仿宋"/>
          <w:b/>
          <w:bCs w:val="0"/>
          <w:color w:val="auto"/>
          <w:sz w:val="28"/>
          <w:szCs w:val="32"/>
          <w:lang w:val="en-US" w:eastAsia="zh-CN"/>
        </w:rPr>
        <w:t>项目评价率</w:t>
      </w:r>
      <w:r>
        <w:rPr>
          <w:rFonts w:hint="eastAsia" w:ascii="Times New Roman" w:hAnsi="仿宋" w:eastAsia="宋体" w:cs="仿宋"/>
          <w:b/>
          <w:bCs w:val="0"/>
          <w:color w:val="auto"/>
          <w:spacing w:val="4"/>
          <w:sz w:val="28"/>
          <w:szCs w:val="32"/>
        </w:rPr>
        <w:t>(分值3分)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color w:val="auto"/>
          <w:spacing w:val="4"/>
          <w:kern w:val="2"/>
          <w:sz w:val="28"/>
          <w:szCs w:val="32"/>
          <w:lang w:val="en-US" w:eastAsia="zh-CN" w:bidi="ar-SA"/>
        </w:rPr>
      </w:pPr>
      <w:r>
        <w:rPr>
          <w:rFonts w:hint="eastAsia" w:ascii="Times New Roman" w:hAnsi="仿宋" w:eastAsia="宋体" w:cs="仿宋"/>
          <w:color w:val="auto"/>
          <w:spacing w:val="4"/>
          <w:sz w:val="28"/>
          <w:szCs w:val="32"/>
        </w:rPr>
        <w:t>工程</w:t>
      </w:r>
      <w:r>
        <w:rPr>
          <w:rFonts w:hint="eastAsia" w:ascii="Times New Roman" w:hAnsi="仿宋" w:eastAsia="宋体" w:cs="仿宋"/>
          <w:color w:val="auto"/>
          <w:sz w:val="28"/>
          <w:szCs w:val="32"/>
          <w:lang w:val="en-US" w:eastAsia="zh-CN"/>
        </w:rPr>
        <w:t>项目评价率</w:t>
      </w:r>
      <w:r>
        <w:rPr>
          <w:rFonts w:hint="eastAsia" w:ascii="Times New Roman" w:hAnsi="仿宋" w:eastAsia="宋体" w:cs="仿宋"/>
          <w:color w:val="auto"/>
          <w:spacing w:val="4"/>
          <w:sz w:val="28"/>
          <w:szCs w:val="32"/>
        </w:rPr>
        <w:t>指标用于衡量当年度工程</w:t>
      </w:r>
      <w:r>
        <w:rPr>
          <w:rFonts w:hint="eastAsia" w:ascii="Times New Roman" w:hAnsi="仿宋" w:eastAsia="宋体" w:cs="仿宋"/>
          <w:color w:val="auto"/>
          <w:sz w:val="28"/>
          <w:szCs w:val="32"/>
          <w:lang w:val="en-US" w:eastAsia="zh-CN"/>
        </w:rPr>
        <w:t>项目评价情况。</w:t>
      </w:r>
      <w:r>
        <w:rPr>
          <w:rFonts w:hint="eastAsia" w:ascii="Times New Roman" w:hAnsi="仿宋" w:eastAsia="宋体" w:cs="仿宋"/>
          <w:color w:val="auto"/>
          <w:spacing w:val="4"/>
          <w:sz w:val="28"/>
          <w:szCs w:val="32"/>
        </w:rPr>
        <w:t>根据石狮市住房和城乡建设局提供的数据资料，评分标准为：该项目</w:t>
      </w:r>
      <w:r>
        <w:rPr>
          <w:rFonts w:hint="eastAsia" w:ascii="Times New Roman" w:hAnsi="仿宋" w:eastAsia="宋体" w:cs="仿宋"/>
          <w:color w:val="auto"/>
          <w:spacing w:val="4"/>
          <w:sz w:val="28"/>
          <w:szCs w:val="32"/>
          <w:lang w:val="en-US" w:eastAsia="zh-CN"/>
        </w:rPr>
        <w:t>90%以上</w:t>
      </w:r>
      <w:r>
        <w:rPr>
          <w:rFonts w:hint="eastAsia" w:ascii="Times New Roman" w:hAnsi="仿宋" w:eastAsia="宋体" w:cs="仿宋"/>
          <w:color w:val="auto"/>
          <w:spacing w:val="4"/>
          <w:sz w:val="28"/>
          <w:szCs w:val="32"/>
        </w:rPr>
        <w:t>为3分</w:t>
      </w:r>
      <w:r>
        <w:rPr>
          <w:rFonts w:hint="eastAsia" w:ascii="Times New Roman" w:hAnsi="仿宋" w:eastAsia="宋体" w:cs="仿宋"/>
          <w:color w:val="auto"/>
          <w:spacing w:val="4"/>
          <w:sz w:val="28"/>
          <w:szCs w:val="32"/>
          <w:lang w:eastAsia="zh-CN"/>
        </w:rPr>
        <w:t>，</w:t>
      </w:r>
      <w:r>
        <w:rPr>
          <w:rFonts w:hint="eastAsia" w:ascii="Times New Roman" w:hAnsi="仿宋" w:eastAsia="宋体" w:cs="仿宋"/>
          <w:color w:val="auto"/>
          <w:spacing w:val="4"/>
          <w:sz w:val="28"/>
          <w:szCs w:val="32"/>
          <w:lang w:val="en-US" w:eastAsia="zh-CN"/>
        </w:rPr>
        <w:t>每少10%扣0.5分，严重扣完为止。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textAlignment w:val="auto"/>
        <w:rPr>
          <w:rFonts w:hint="eastAsia" w:ascii="Times New Roman" w:hAnsi="仿宋" w:eastAsia="宋体" w:cs="仿宋"/>
          <w:color w:val="auto"/>
          <w:sz w:val="28"/>
          <w:szCs w:val="32"/>
          <w:lang w:val="en-US" w:eastAsia="zh-CN"/>
        </w:rPr>
      </w:pPr>
      <w:r>
        <w:rPr>
          <w:rFonts w:hint="eastAsia" w:ascii="Times New Roman" w:hAnsi="仿宋" w:eastAsia="宋体" w:cs="仿宋"/>
          <w:color w:val="auto"/>
          <w:sz w:val="28"/>
          <w:szCs w:val="32"/>
          <w:lang w:val="en-US" w:eastAsia="zh-CN"/>
        </w:rPr>
        <w:t>评价组在检查石狮市建设工程质量安全站的检测经费项目发现，2022年共有在建工程项目165个，已评价在建项目107个，受疫情的影响，存在56个在建工程项目无法按时进行监管记分评价，其中包括了各类规模大小的工程，项目评价率64%，扣1.2分，得分1.8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2"/>
        <w:rPr>
          <w:rFonts w:hint="eastAsia" w:ascii="Times New Roman" w:hAnsi="仿宋" w:eastAsia="宋体" w:cs="仿宋"/>
          <w:b/>
          <w:color w:val="auto"/>
          <w:spacing w:val="4"/>
          <w:sz w:val="28"/>
          <w:szCs w:val="32"/>
        </w:rPr>
      </w:pPr>
      <w:r>
        <w:rPr>
          <w:rFonts w:hint="eastAsia" w:ascii="Times New Roman" w:hAnsi="仿宋" w:eastAsia="宋体" w:cs="仿宋"/>
          <w:b/>
          <w:color w:val="auto"/>
          <w:spacing w:val="4"/>
          <w:sz w:val="28"/>
          <w:szCs w:val="32"/>
        </w:rPr>
        <w:t>5.泉州市优质工程个数(分值3分)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泉州市优质工程个数指标主要通过考察推动办理监督项目申请优质工程的个数，反映效益指标完成情况。绩效目标设置为完成1个，实际完成1个。本项得分3分。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2"/>
        <w:rPr>
          <w:rFonts w:hint="eastAsia" w:ascii="Times New Roman" w:hAnsi="仿宋" w:eastAsia="宋体" w:cs="仿宋"/>
          <w:b/>
          <w:color w:val="auto"/>
          <w:spacing w:val="4"/>
          <w:sz w:val="28"/>
          <w:szCs w:val="32"/>
        </w:rPr>
      </w:pPr>
      <w:r>
        <w:rPr>
          <w:rFonts w:hint="eastAsia" w:ascii="Times New Roman" w:hAnsi="仿宋" w:eastAsia="宋体" w:cs="仿宋"/>
          <w:b/>
          <w:color w:val="auto"/>
          <w:spacing w:val="4"/>
          <w:sz w:val="28"/>
          <w:szCs w:val="32"/>
        </w:rPr>
        <w:t>6.公众满意度(分值4分)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群众满意度主要评价石狮市群众对石狮市住房和城乡建设局工作的满意程度。评价标准为“满意度≥90%（4分）；80%≤满意度＜90%（4分）；70%≤满意度＜80%（2分），满意度＜70%（0分）”。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绩效评价工作小组发放问卷调查表60份，填写58份(问卷调查表见附件一,问卷调查结果为群众满意度平均95%,本项得分4分。</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color w:val="auto"/>
          <w:spacing w:val="4"/>
          <w:sz w:val="28"/>
          <w:szCs w:val="28"/>
          <w:lang w:val="en-US" w:eastAsia="zh-CN"/>
        </w:rPr>
      </w:pPr>
      <w:r>
        <w:rPr>
          <w:rFonts w:hint="eastAsia" w:ascii="Times New Roman" w:hAnsi="仿宋" w:eastAsia="宋体" w:cs="仿宋"/>
          <w:b/>
          <w:bCs/>
          <w:color w:val="auto"/>
          <w:spacing w:val="4"/>
          <w:sz w:val="28"/>
          <w:szCs w:val="28"/>
        </w:rPr>
        <w:t>22年度石狮市住房和城乡建设局部门整体支出绩效评价得分</w:t>
      </w:r>
      <w:r>
        <w:rPr>
          <w:rFonts w:hint="eastAsia" w:ascii="Times New Roman" w:hAnsi="仿宋" w:eastAsia="宋体" w:cs="仿宋"/>
          <w:b/>
          <w:bCs/>
          <w:color w:val="auto"/>
          <w:spacing w:val="4"/>
          <w:sz w:val="28"/>
          <w:szCs w:val="28"/>
          <w:lang w:val="en-US" w:eastAsia="zh-CN"/>
        </w:rPr>
        <w:t>表</w:t>
      </w:r>
    </w:p>
    <w:tbl>
      <w:tblPr>
        <w:tblStyle w:val="17"/>
        <w:tblW w:w="8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961"/>
        <w:gridCol w:w="1245"/>
        <w:gridCol w:w="1860"/>
        <w:gridCol w:w="2575"/>
        <w:gridCol w:w="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10" w:type="dxa"/>
            <w:shd w:val="clear" w:color="auto" w:fill="auto"/>
            <w:vAlign w:val="center"/>
          </w:tcPr>
          <w:p>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color w:val="auto"/>
                <w:kern w:val="0"/>
                <w:sz w:val="18"/>
                <w:szCs w:val="18"/>
                <w:lang w:bidi="ar"/>
              </w:rPr>
              <w:t>一级指标</w:t>
            </w:r>
          </w:p>
        </w:tc>
        <w:tc>
          <w:tcPr>
            <w:tcW w:w="961" w:type="dxa"/>
            <w:shd w:val="clear" w:color="auto" w:fill="auto"/>
            <w:vAlign w:val="center"/>
          </w:tcPr>
          <w:p>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color w:val="auto"/>
                <w:kern w:val="0"/>
                <w:sz w:val="18"/>
                <w:szCs w:val="18"/>
                <w:lang w:bidi="ar"/>
              </w:rPr>
              <w:t>二级指标</w:t>
            </w:r>
          </w:p>
        </w:tc>
        <w:tc>
          <w:tcPr>
            <w:tcW w:w="1245" w:type="dxa"/>
            <w:shd w:val="clear" w:color="auto" w:fill="auto"/>
            <w:vAlign w:val="center"/>
          </w:tcPr>
          <w:p>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color w:val="auto"/>
                <w:kern w:val="0"/>
                <w:sz w:val="18"/>
                <w:szCs w:val="18"/>
                <w:lang w:bidi="ar"/>
              </w:rPr>
              <w:t>三级指标</w:t>
            </w:r>
          </w:p>
        </w:tc>
        <w:tc>
          <w:tcPr>
            <w:tcW w:w="1860" w:type="dxa"/>
            <w:shd w:val="clear" w:color="auto" w:fill="auto"/>
            <w:vAlign w:val="center"/>
          </w:tcPr>
          <w:p>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color w:val="auto"/>
                <w:kern w:val="0"/>
                <w:sz w:val="18"/>
                <w:szCs w:val="18"/>
                <w:lang w:bidi="ar"/>
              </w:rPr>
              <w:t>指标解释</w:t>
            </w:r>
          </w:p>
        </w:tc>
        <w:tc>
          <w:tcPr>
            <w:tcW w:w="2575" w:type="dxa"/>
            <w:shd w:val="clear" w:color="auto" w:fill="auto"/>
            <w:vAlign w:val="center"/>
          </w:tcPr>
          <w:p>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color w:val="auto"/>
                <w:kern w:val="0"/>
                <w:sz w:val="18"/>
                <w:szCs w:val="18"/>
                <w:lang w:bidi="ar"/>
              </w:rPr>
              <w:t>评价标准</w:t>
            </w:r>
          </w:p>
        </w:tc>
        <w:tc>
          <w:tcPr>
            <w:tcW w:w="950" w:type="dxa"/>
            <w:shd w:val="clear" w:color="auto" w:fill="auto"/>
            <w:vAlign w:val="center"/>
          </w:tcPr>
          <w:p>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810"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投入(20%)</w:t>
            </w:r>
          </w:p>
        </w:tc>
        <w:tc>
          <w:tcPr>
            <w:tcW w:w="961"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目标设定（8分）</w:t>
            </w: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绩效目标</w:t>
            </w:r>
          </w:p>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合理性</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（4分）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部门所设立的整体绩效目标依据是否充分，是否符合客观实际，用于反映和考核部门整体绩效目标与部门履职、年度工作任务的相符性情况。</w:t>
            </w:r>
          </w:p>
        </w:tc>
        <w:tc>
          <w:tcPr>
            <w:tcW w:w="2575"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①是否符合国家法律法规；</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②是否符合国民经济和社会发展总体规划；</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③是否符合部门“三定”方案 确定的职责；</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④是否符合部门制定的中长期实施规划或年度工作计划。</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一项不符扣1分。</w:t>
            </w:r>
          </w:p>
        </w:tc>
        <w:tc>
          <w:tcPr>
            <w:tcW w:w="95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bidi="ar"/>
              </w:rPr>
              <w:t>绩效</w:t>
            </w:r>
            <w:r>
              <w:rPr>
                <w:rFonts w:hint="eastAsia" w:ascii="宋体" w:hAnsi="宋体" w:eastAsia="宋体" w:cs="宋体"/>
                <w:color w:val="auto"/>
                <w:kern w:val="0"/>
                <w:sz w:val="18"/>
                <w:szCs w:val="18"/>
                <w:lang w:val="en-US" w:eastAsia="zh-CN" w:bidi="ar"/>
              </w:rPr>
              <w:t>目标</w:t>
            </w:r>
          </w:p>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明确性</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（4分）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部门依据整体绩效目标所设定的绩效指标是否清晰、细化、可衡量，用于反映和考核部门整体绩效目标的明细化情况</w:t>
            </w:r>
          </w:p>
        </w:tc>
        <w:tc>
          <w:tcPr>
            <w:tcW w:w="2575" w:type="dxa"/>
            <w:shd w:val="clear" w:color="auto" w:fill="auto"/>
            <w:vAlign w:val="center"/>
          </w:tcPr>
          <w:p>
            <w:pPr>
              <w:widowControl/>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 xml:space="preserve">①是否将部门整体的绩效目标细化分解为具体的工作任务； </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②是否通过清晰、可衡量的指标予以体现；</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③是否与部门年度的任务数或计划数相对应；</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④是否以本年度部门预算资金相匹配。</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一项不符扣1分。</w:t>
            </w:r>
          </w:p>
        </w:tc>
        <w:tc>
          <w:tcPr>
            <w:tcW w:w="95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预算配置（12分）</w:t>
            </w: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在职人员</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控制率</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（4分）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部门（单位）本年度实际在职人员数与编制数的比率，用以反映和评价部门（单位）对人员成本的控制程度。在职人员控制率=（在职人员数/编制数）×100%</w:t>
            </w:r>
          </w:p>
        </w:tc>
        <w:tc>
          <w:tcPr>
            <w:tcW w:w="2575"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①在职人员控制率小等于100%，得满分；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②在职人员控制率大等于115%，得0分；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③在职人员控制率在100%-115%之间，得分=（115%－某部门在职人员控制率）/15%×指标分值。</w:t>
            </w:r>
          </w:p>
        </w:tc>
        <w:tc>
          <w:tcPr>
            <w:tcW w:w="950" w:type="dxa"/>
            <w:shd w:val="clear" w:color="auto" w:fill="auto"/>
            <w:vAlign w:val="center"/>
          </w:tcPr>
          <w:p>
            <w:pPr>
              <w:widowControl/>
              <w:jc w:val="center"/>
              <w:textAlignment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“三公</w:t>
            </w:r>
            <w:r>
              <w:rPr>
                <w:rFonts w:hint="eastAsia" w:ascii="宋体" w:hAnsi="宋体" w:eastAsia="宋体" w:cs="宋体"/>
                <w:color w:val="auto"/>
                <w:kern w:val="0"/>
                <w:sz w:val="18"/>
                <w:szCs w:val="18"/>
                <w:lang w:bidi="ar"/>
              </w:rPr>
              <w:t>”</w:t>
            </w:r>
            <w:bookmarkStart w:id="86" w:name="_GoBack"/>
            <w:bookmarkEnd w:id="86"/>
            <w:r>
              <w:rPr>
                <w:rFonts w:hint="eastAsia" w:ascii="宋体" w:hAnsi="宋体" w:eastAsia="宋体" w:cs="宋体"/>
                <w:color w:val="auto"/>
                <w:kern w:val="0"/>
                <w:sz w:val="18"/>
                <w:szCs w:val="18"/>
                <w:lang w:bidi="ar"/>
              </w:rPr>
              <w:t>经费变动率（4分）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部门本年度</w:t>
            </w:r>
            <w:r>
              <w:rPr>
                <w:rFonts w:hint="eastAsia" w:ascii="宋体" w:hAnsi="宋体" w:eastAsia="宋体" w:cs="宋体"/>
                <w:color w:val="auto"/>
                <w:kern w:val="0"/>
                <w:sz w:val="18"/>
                <w:szCs w:val="18"/>
                <w:lang w:eastAsia="zh-CN" w:bidi="ar"/>
              </w:rPr>
              <w:t>“三公”经费</w:t>
            </w:r>
            <w:r>
              <w:rPr>
                <w:rFonts w:hint="eastAsia" w:ascii="宋体" w:hAnsi="宋体" w:eastAsia="宋体" w:cs="宋体"/>
                <w:color w:val="auto"/>
                <w:kern w:val="0"/>
                <w:sz w:val="18"/>
                <w:szCs w:val="18"/>
                <w:lang w:bidi="ar"/>
              </w:rPr>
              <w:t>预算数与上年度</w:t>
            </w:r>
            <w:r>
              <w:rPr>
                <w:rFonts w:hint="eastAsia" w:ascii="宋体" w:hAnsi="宋体" w:eastAsia="宋体" w:cs="宋体"/>
                <w:color w:val="auto"/>
                <w:kern w:val="0"/>
                <w:sz w:val="18"/>
                <w:szCs w:val="18"/>
                <w:lang w:eastAsia="zh-CN" w:bidi="ar"/>
              </w:rPr>
              <w:t>“三公”经费</w:t>
            </w:r>
            <w:r>
              <w:rPr>
                <w:rFonts w:hint="eastAsia" w:ascii="宋体" w:hAnsi="宋体" w:eastAsia="宋体" w:cs="宋体"/>
                <w:color w:val="auto"/>
                <w:kern w:val="0"/>
                <w:sz w:val="18"/>
                <w:szCs w:val="18"/>
                <w:lang w:bidi="ar"/>
              </w:rPr>
              <w:t>预算数的变动比率，用以反映和考核部门对控制重点行政成本的努力程度。</w:t>
            </w:r>
          </w:p>
        </w:tc>
        <w:tc>
          <w:tcPr>
            <w:tcW w:w="2575"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三公经费变动率=[（本年度</w:t>
            </w:r>
            <w:r>
              <w:rPr>
                <w:rFonts w:hint="eastAsia" w:ascii="宋体" w:hAnsi="宋体" w:eastAsia="宋体" w:cs="宋体"/>
                <w:color w:val="auto"/>
                <w:kern w:val="0"/>
                <w:sz w:val="18"/>
                <w:szCs w:val="18"/>
                <w:lang w:eastAsia="zh-CN" w:bidi="ar"/>
              </w:rPr>
              <w:t>“三公”经费</w:t>
            </w:r>
            <w:r>
              <w:rPr>
                <w:rFonts w:hint="eastAsia" w:ascii="宋体" w:hAnsi="宋体" w:eastAsia="宋体" w:cs="宋体"/>
                <w:color w:val="auto"/>
                <w:kern w:val="0"/>
                <w:sz w:val="18"/>
                <w:szCs w:val="18"/>
                <w:lang w:bidi="ar"/>
              </w:rPr>
              <w:t>总额-上年度</w:t>
            </w:r>
            <w:r>
              <w:rPr>
                <w:rFonts w:hint="eastAsia" w:ascii="宋体" w:hAnsi="宋体" w:eastAsia="宋体" w:cs="宋体"/>
                <w:color w:val="auto"/>
                <w:kern w:val="0"/>
                <w:sz w:val="18"/>
                <w:szCs w:val="18"/>
                <w:lang w:eastAsia="zh-CN" w:bidi="ar"/>
              </w:rPr>
              <w:t>“三公”经费</w:t>
            </w:r>
            <w:r>
              <w:rPr>
                <w:rFonts w:hint="eastAsia" w:ascii="宋体" w:hAnsi="宋体" w:eastAsia="宋体" w:cs="宋体"/>
                <w:color w:val="auto"/>
                <w:kern w:val="0"/>
                <w:sz w:val="18"/>
                <w:szCs w:val="18"/>
                <w:lang w:bidi="ar"/>
              </w:rPr>
              <w:t>总额）/上年度</w:t>
            </w:r>
            <w:r>
              <w:rPr>
                <w:rFonts w:hint="eastAsia" w:ascii="宋体" w:hAnsi="宋体" w:eastAsia="宋体" w:cs="宋体"/>
                <w:color w:val="auto"/>
                <w:kern w:val="0"/>
                <w:sz w:val="18"/>
                <w:szCs w:val="18"/>
                <w:lang w:eastAsia="zh-CN" w:bidi="ar"/>
              </w:rPr>
              <w:t>“三公”经费</w:t>
            </w:r>
            <w:r>
              <w:rPr>
                <w:rFonts w:hint="eastAsia" w:ascii="宋体" w:hAnsi="宋体" w:eastAsia="宋体" w:cs="宋体"/>
                <w:color w:val="auto"/>
                <w:kern w:val="0"/>
                <w:sz w:val="18"/>
                <w:szCs w:val="18"/>
                <w:lang w:bidi="ar"/>
              </w:rPr>
              <w:t>总额]×100%。</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①变动率≤0%得满分；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②变动率每超过一个百分点扣0.5 分，扣完为止。</w:t>
            </w:r>
          </w:p>
        </w:tc>
        <w:tc>
          <w:tcPr>
            <w:tcW w:w="950" w:type="dxa"/>
            <w:shd w:val="clear" w:color="auto" w:fill="auto"/>
            <w:vAlign w:val="center"/>
          </w:tcPr>
          <w:p>
            <w:pPr>
              <w:widowControl/>
              <w:jc w:val="center"/>
              <w:textAlignment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重点支出</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安排率</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（4分）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部门本年度预算安排的重点项目支出与部门项目总支出的比率，用以反映和考核部门对履行主要职责或完成重点任务的保障程度。重点支出安排率=（重点项目支出/项目总支出）×100%。</w:t>
            </w:r>
          </w:p>
        </w:tc>
        <w:tc>
          <w:tcPr>
            <w:tcW w:w="2575"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①重点支出安排率&gt;80%(4分)；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②50%&lt;重点支出安排率 ≤80%(2分)；重点支出安排率≤50%(0分)。</w:t>
            </w:r>
          </w:p>
        </w:tc>
        <w:tc>
          <w:tcPr>
            <w:tcW w:w="95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810"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过程（20%）</w:t>
            </w:r>
          </w:p>
        </w:tc>
        <w:tc>
          <w:tcPr>
            <w:tcW w:w="961"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预算执行（12分）</w:t>
            </w:r>
          </w:p>
        </w:tc>
        <w:tc>
          <w:tcPr>
            <w:tcW w:w="1245"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预算完成率（2分）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通过对部门（单位）本年度支出预算完成数与支出预算数的比较，反映和评价部门（单位）支出预算的完成程度。支出预算完成率=（预算完成数/预算数）×100%。</w:t>
            </w:r>
          </w:p>
        </w:tc>
        <w:tc>
          <w:tcPr>
            <w:tcW w:w="2575"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①完成率大于或等于95%的，得满分；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②完成率小于或等于85%的，得0分；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③完成率在85%-95%之间的，得分=（某部门预算完成率-85%）/10%×该指标分值。</w:t>
            </w:r>
          </w:p>
        </w:tc>
        <w:tc>
          <w:tcPr>
            <w:tcW w:w="95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预算调整率（2分）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部门（单位）本年度支出预算调整数与支出预算数的比率，用以反映和评价部门（单位）预算的调整程度。支出预算调整率=（支出预算调整数/支出预算数）×100%</w:t>
            </w:r>
          </w:p>
        </w:tc>
        <w:tc>
          <w:tcPr>
            <w:tcW w:w="2575"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①支出预算调整率等于0的，得满分；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②调整率大于或等于10%的，得0分；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③调整率在0-10%之间的，得分=（10%-某部门预算调整率）/10%×该指标分值；</w:t>
            </w:r>
          </w:p>
        </w:tc>
        <w:tc>
          <w:tcPr>
            <w:tcW w:w="95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结转结余率（2分）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部门（单位）本年度结转结余总额（含留在二级单位账上的资金）与支出预算数的比率，反映和评价部门（单位）对本年度结转结余资金的实际控制程度。</w:t>
            </w:r>
          </w:p>
        </w:tc>
        <w:tc>
          <w:tcPr>
            <w:tcW w:w="2575"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①结转结余率等于0的，得满分；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②结转结余率大于或等于50%的，得0分；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③结转结余率在0-50%之间的，得分=（50%-某部门结转结余率）/50%×该指标分值。</w:t>
            </w:r>
          </w:p>
        </w:tc>
        <w:tc>
          <w:tcPr>
            <w:tcW w:w="950" w:type="dxa"/>
            <w:shd w:val="clear" w:color="auto" w:fill="auto"/>
            <w:vAlign w:val="center"/>
          </w:tcPr>
          <w:p>
            <w:pPr>
              <w:widowControl/>
              <w:jc w:val="center"/>
              <w:textAlignment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公用经费</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控制率</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部门（单位）本年度实际支出的公用经费总额与预算安排的公用经费总额的比率，反映和评价部门（单位）对机构运转成本的实际控制程度。</w:t>
            </w:r>
          </w:p>
        </w:tc>
        <w:tc>
          <w:tcPr>
            <w:tcW w:w="2575"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①公用经费控制率≤100%(2分)；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②公用经费控制率&gt;100%且≤120%(1分 )；</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③公用经费控制率&gt;120%且≤150% (0.5 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④公用经费控制率&gt;150% (0 分)。</w:t>
            </w:r>
          </w:p>
        </w:tc>
        <w:tc>
          <w:tcPr>
            <w:tcW w:w="95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cs="宋体" w:eastAsiaTheme="minorEastAsia"/>
                <w:color w:val="000000"/>
                <w:kern w:val="0"/>
                <w:sz w:val="18"/>
                <w:szCs w:val="18"/>
                <w:lang w:eastAsia="zh-CN" w:bidi="ar"/>
              </w:rPr>
            </w:pPr>
            <w:r>
              <w:rPr>
                <w:rFonts w:hint="eastAsia" w:ascii="宋体" w:hAnsi="宋体" w:cs="宋体"/>
                <w:color w:val="000000"/>
                <w:kern w:val="0"/>
                <w:sz w:val="18"/>
                <w:szCs w:val="18"/>
                <w:lang w:eastAsia="zh-CN" w:bidi="ar"/>
              </w:rPr>
              <w:t>“三公”经费</w:t>
            </w:r>
          </w:p>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控制率</w:t>
            </w:r>
          </w:p>
          <w:p>
            <w:pPr>
              <w:widowControl/>
              <w:jc w:val="center"/>
              <w:textAlignment w:val="center"/>
              <w:rPr>
                <w:rFonts w:hint="eastAsia" w:ascii="宋体" w:hAnsi="宋体" w:eastAsia="宋体" w:cs="宋体"/>
                <w:color w:val="auto"/>
                <w:sz w:val="18"/>
                <w:szCs w:val="18"/>
              </w:rPr>
            </w:pPr>
            <w:r>
              <w:rPr>
                <w:rFonts w:hint="eastAsia" w:ascii="宋体" w:hAnsi="宋体" w:cs="宋体"/>
                <w:color w:val="000000"/>
                <w:kern w:val="0"/>
                <w:sz w:val="18"/>
                <w:szCs w:val="18"/>
                <w:lang w:bidi="ar"/>
              </w:rPr>
              <w:t>（2分）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cs="宋体"/>
                <w:color w:val="000000"/>
                <w:kern w:val="0"/>
                <w:sz w:val="18"/>
                <w:szCs w:val="18"/>
                <w:lang w:bidi="ar"/>
              </w:rPr>
              <w:t>部门（单位）本年度</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实际支出数与预算安排数的比率，用以反映和评价部门（单位）对</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的实际控制程度。</w:t>
            </w:r>
          </w:p>
        </w:tc>
        <w:tc>
          <w:tcPr>
            <w:tcW w:w="2575"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①</w:t>
            </w:r>
            <w:r>
              <w:rPr>
                <w:rFonts w:hint="eastAsia" w:ascii="宋体" w:hAnsi="宋体" w:cs="宋体"/>
                <w:color w:val="000000"/>
                <w:kern w:val="0"/>
                <w:sz w:val="18"/>
                <w:szCs w:val="18"/>
                <w:lang w:eastAsia="zh-CN" w:bidi="ar"/>
              </w:rPr>
              <w:t>“三公”经费</w:t>
            </w:r>
            <w:r>
              <w:rPr>
                <w:rFonts w:hint="eastAsia" w:ascii="宋体" w:hAnsi="宋体" w:cs="宋体"/>
                <w:color w:val="000000"/>
                <w:kern w:val="0"/>
                <w:sz w:val="18"/>
                <w:szCs w:val="18"/>
                <w:lang w:bidi="ar"/>
              </w:rPr>
              <w:t>控制率小于等于100%的，得满分；</w:t>
            </w:r>
          </w:p>
          <w:p>
            <w:pPr>
              <w:widowControl/>
              <w:jc w:val="left"/>
              <w:textAlignment w:val="center"/>
              <w:rPr>
                <w:rFonts w:hint="eastAsia" w:ascii="宋体" w:hAnsi="宋体" w:eastAsia="宋体" w:cs="宋体"/>
                <w:color w:val="auto"/>
                <w:sz w:val="18"/>
                <w:szCs w:val="18"/>
              </w:rPr>
            </w:pPr>
            <w:r>
              <w:rPr>
                <w:rFonts w:hint="eastAsia" w:ascii="宋体" w:hAnsi="宋体" w:cs="宋体"/>
                <w:color w:val="000000"/>
                <w:kern w:val="0"/>
                <w:sz w:val="18"/>
                <w:szCs w:val="18"/>
                <w:lang w:bidi="ar"/>
              </w:rPr>
              <w:t>②每超过</w:t>
            </w:r>
            <w:r>
              <w:rPr>
                <w:rFonts w:hint="eastAsia" w:ascii="宋体" w:hAnsi="宋体" w:cs="宋体"/>
                <w:color w:val="000000"/>
                <w:kern w:val="0"/>
                <w:sz w:val="18"/>
                <w:szCs w:val="18"/>
                <w:lang w:val="en-US" w:eastAsia="zh-CN" w:bidi="ar"/>
              </w:rPr>
              <w:t>10</w:t>
            </w:r>
            <w:r>
              <w:rPr>
                <w:rFonts w:hint="eastAsia" w:ascii="宋体" w:hAnsi="宋体" w:cs="宋体"/>
                <w:color w:val="000000"/>
                <w:kern w:val="0"/>
                <w:sz w:val="18"/>
                <w:szCs w:val="18"/>
                <w:lang w:bidi="ar"/>
              </w:rPr>
              <w:t>个百分点扣0.5分，扣完为止。</w:t>
            </w:r>
          </w:p>
        </w:tc>
        <w:tc>
          <w:tcPr>
            <w:tcW w:w="95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政府采购</w:t>
            </w:r>
          </w:p>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 xml:space="preserve">执行率 </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评价部门（单位）本年度政府采购是否执行政府采购相关规定和要求。</w:t>
            </w:r>
          </w:p>
        </w:tc>
        <w:tc>
          <w:tcPr>
            <w:tcW w:w="2575"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政府采购执行率=（实际政府采购支出资金/政府采购预算资金）×100%。</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①政府采购执行率&gt;90%,得3分；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②85%≤政府采购执行率≤90%，得2分；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③80%≤政府采购执行率＜85%,得1分；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④低于80%不得分。</w:t>
            </w:r>
          </w:p>
        </w:tc>
        <w:tc>
          <w:tcPr>
            <w:tcW w:w="950" w:type="dxa"/>
            <w:shd w:val="clear" w:color="auto" w:fill="auto"/>
            <w:vAlign w:val="center"/>
          </w:tcPr>
          <w:p>
            <w:pPr>
              <w:widowControl/>
              <w:jc w:val="center"/>
              <w:textAlignment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预算管理（8分）</w:t>
            </w: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管理制度</w:t>
            </w:r>
          </w:p>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健全性</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部门（单位）为加强预算管理、规范财务行为而制定的管理制度是否健全完整，用以反映和评价部门（单位）预算管理制度对完成主要职责或促进事业发展的保障情况。</w:t>
            </w:r>
          </w:p>
        </w:tc>
        <w:tc>
          <w:tcPr>
            <w:tcW w:w="2575"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①已制定预算资金管理办法、内部财务管理制度、会计核算制度等管理制度（1分）；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②相关管理制度健全（1分）。</w:t>
            </w:r>
          </w:p>
        </w:tc>
        <w:tc>
          <w:tcPr>
            <w:tcW w:w="95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资金使用</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合规性</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部门（单位）使用预算资金是否符合相关的预算财务管理制度的规定，反映和评价部门（单位）预算资金的规范运行情况。</w:t>
            </w:r>
          </w:p>
        </w:tc>
        <w:tc>
          <w:tcPr>
            <w:tcW w:w="2575"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①是否符合国家财经法规及有关部门资金管理办法的规定；</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②资金的拨付是否有完整的审批过程和手续；</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③对下补助资金是否有专门的资金分配办法或方案（包含测算过程）；</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④项目的重大开支是否经过评估论证，是否存在截留、挤占、挪用、虚列支出的情况。一项不符扣0.5分，扣完为止。</w:t>
            </w:r>
          </w:p>
        </w:tc>
        <w:tc>
          <w:tcPr>
            <w:tcW w:w="95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预决算信息公开性</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部门（单位）是否按照政府信息公开有关规定及预决算批复文件中要求的格式、时限公开相关预决算信息，用以反映和评价部门（单位）预决算管理的公开透明情况。</w:t>
            </w:r>
          </w:p>
        </w:tc>
        <w:tc>
          <w:tcPr>
            <w:tcW w:w="2575"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①按规定格式公开预决算信息（1分）；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②按规定时限公开预决算信息（1分）；</w:t>
            </w:r>
          </w:p>
        </w:tc>
        <w:tc>
          <w:tcPr>
            <w:tcW w:w="950" w:type="dxa"/>
            <w:shd w:val="clear" w:color="auto" w:fill="auto"/>
            <w:vAlign w:val="center"/>
          </w:tcPr>
          <w:p>
            <w:pPr>
              <w:widowControl/>
              <w:jc w:val="center"/>
              <w:textAlignment w:val="center"/>
              <w:rPr>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资产管理</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完整性</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部门（单位）的资产是否保存完整、使用合规、收入及时足额上缴，用以反映和评价部门（单位）资产运行情况。</w:t>
            </w:r>
          </w:p>
        </w:tc>
        <w:tc>
          <w:tcPr>
            <w:tcW w:w="2575"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①资产保存是否完整，有专人保管；</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②单位资产管理制度是否健全、完整、合法；；</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③资产有偿使用及处置收入是否及时足额上缴；</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④固定资产是否进行建立固定资产卡片并进行贴标管理；一项不符扣0.5分，扣完为止。</w:t>
            </w:r>
          </w:p>
        </w:tc>
        <w:tc>
          <w:tcPr>
            <w:tcW w:w="95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810"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产出（40%）</w:t>
            </w:r>
          </w:p>
        </w:tc>
        <w:tc>
          <w:tcPr>
            <w:tcW w:w="961"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职责履行（8分）</w:t>
            </w: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项目实际</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完成率</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抽查评价部门(单位)履行职责而实际完成的项目数与计划完成的项目数的比率，用以反映和评价部门(单位)履职任务目标的实现程度项目实际完成率=(实际完成项目数/计划完 成项目数)×100%。</w:t>
            </w:r>
          </w:p>
        </w:tc>
        <w:tc>
          <w:tcPr>
            <w:tcW w:w="2575"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①项目实际完成率大等于95%的，得满分；项目实际完成率小等于80%的，得0分；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项目实际完成率在80%-95%之间的，得分=(某部门项目实际完成率-80%)/10%×该指标分值。</w:t>
            </w:r>
          </w:p>
        </w:tc>
        <w:tc>
          <w:tcPr>
            <w:tcW w:w="950" w:type="dxa"/>
            <w:shd w:val="clear" w:color="auto" w:fill="auto"/>
            <w:vAlign w:val="center"/>
          </w:tcPr>
          <w:p>
            <w:pPr>
              <w:widowControl/>
              <w:jc w:val="center"/>
              <w:textAlignment w:val="center"/>
              <w:rPr>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项目质量</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达标率</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已完成项目中质量达标项目个数占已完成项目个数的比率，用以反映和评价部门服职质量目标的实现程度，项目质量达标率=(已完成项目中质量达标项目个数/已完成项目个数×100%。项目质量达标是指项目决算验收合格。</w:t>
            </w:r>
          </w:p>
        </w:tc>
        <w:tc>
          <w:tcPr>
            <w:tcW w:w="2575"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①项目质量达标率等于100%的，得满分;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②项</w:t>
            </w:r>
            <w:r>
              <w:rPr>
                <w:rFonts w:hint="eastAsia" w:ascii="宋体" w:hAnsi="宋体" w:eastAsia="宋体" w:cs="宋体"/>
                <w:color w:val="auto"/>
                <w:kern w:val="0"/>
                <w:sz w:val="18"/>
                <w:szCs w:val="18"/>
                <w:lang w:eastAsia="zh-CN" w:bidi="ar"/>
              </w:rPr>
              <w:t>目</w:t>
            </w:r>
            <w:r>
              <w:rPr>
                <w:rFonts w:hint="eastAsia" w:ascii="宋体" w:hAnsi="宋体" w:eastAsia="宋体" w:cs="宋体"/>
                <w:color w:val="auto"/>
                <w:kern w:val="0"/>
                <w:sz w:val="18"/>
                <w:szCs w:val="18"/>
                <w:lang w:bidi="ar"/>
              </w:rPr>
              <w:t>质量达标率小等于99%的，得0分;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②项目质量达标率在99%-100%之间的 得分=(某部门项目质量达标率-99%)/1%×该指标分值</w:t>
            </w:r>
          </w:p>
        </w:tc>
        <w:tc>
          <w:tcPr>
            <w:tcW w:w="950" w:type="dxa"/>
            <w:shd w:val="clear" w:color="auto" w:fill="auto"/>
            <w:vAlign w:val="center"/>
          </w:tcPr>
          <w:p>
            <w:pPr>
              <w:widowControl/>
              <w:jc w:val="center"/>
              <w:textAlignment w:val="center"/>
              <w:rPr>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部门绩效自</w:t>
            </w:r>
          </w:p>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评项目占比</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率（2分）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部门自评项目在所有项目中所占的份额，反映和评价部门对项目自评的重视程度。部门支出项目绩效自评范围：本年度列入本级财政预算安排的项目。</w:t>
            </w:r>
          </w:p>
        </w:tc>
        <w:tc>
          <w:tcPr>
            <w:tcW w:w="2575"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部门绩效自评项目占比率=(自评项目个数/所有项目个数)×100%。得分=占比率×该指标分值</w:t>
            </w:r>
          </w:p>
        </w:tc>
        <w:tc>
          <w:tcPr>
            <w:tcW w:w="950" w:type="dxa"/>
            <w:shd w:val="clear" w:color="auto" w:fill="auto"/>
            <w:vAlign w:val="center"/>
          </w:tcPr>
          <w:p>
            <w:pPr>
              <w:widowControl/>
              <w:jc w:val="center"/>
              <w:textAlignment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部门预算绩效管理情况（2分）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对部门开展预算绩效管理工作的年度评价结果，用以反映部门对预算绩效管理工作的重视程度和取得的成效。</w:t>
            </w:r>
          </w:p>
        </w:tc>
        <w:tc>
          <w:tcPr>
            <w:tcW w:w="2575"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对部门绩效管理工作开展情况进行核查评价计算得分，包括绩效目标管理，绩效执行监控、绩效自评和评价结果应用等情况。以部门为单位进行综合计算，得出各部门绩效管理工作评价结果，资料数据来源不真实的不得分。未按规定报送绩效管理报表资料或未按时完成整改反馈的，每次扣1分。综合得分=(部门绩效管理工作评价结果/100) *2分</w:t>
            </w:r>
          </w:p>
        </w:tc>
        <w:tc>
          <w:tcPr>
            <w:tcW w:w="950" w:type="dxa"/>
            <w:shd w:val="clear" w:color="auto" w:fill="auto"/>
            <w:vAlign w:val="center"/>
          </w:tcPr>
          <w:p>
            <w:pPr>
              <w:widowControl/>
              <w:jc w:val="center"/>
              <w:textAlignment w:val="center"/>
              <w:rPr>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产出数量（10）</w:t>
            </w:r>
          </w:p>
        </w:tc>
        <w:tc>
          <w:tcPr>
            <w:tcW w:w="1245"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临时工工资按时发放次数(2分）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对部门临时工工资按时发放评价结果，用以反映部门对临时工工资发放是否及时性。</w:t>
            </w:r>
          </w:p>
        </w:tc>
        <w:tc>
          <w:tcPr>
            <w:tcW w:w="2575"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①2022年度临时工工资按时发放次数≥12次得2分；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②11次≤政府采购执行率＜12次，得1分；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③10次≤政府采购执行率＜11次,得0分；</w:t>
            </w:r>
          </w:p>
        </w:tc>
        <w:tc>
          <w:tcPr>
            <w:tcW w:w="950" w:type="dxa"/>
            <w:shd w:val="clear" w:color="auto" w:fill="auto"/>
            <w:noWrap/>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驻村干部</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人数(2分）</w:t>
            </w:r>
          </w:p>
        </w:tc>
        <w:tc>
          <w:tcPr>
            <w:tcW w:w="1860" w:type="dxa"/>
            <w:shd w:val="clear" w:color="auto" w:fill="auto"/>
            <w:vAlign w:val="center"/>
          </w:tcPr>
          <w:p>
            <w:pPr>
              <w:jc w:val="left"/>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考核</w:t>
            </w:r>
            <w:r>
              <w:rPr>
                <w:rFonts w:hint="eastAsia" w:ascii="宋体" w:hAnsi="宋体" w:eastAsia="宋体" w:cs="宋体"/>
                <w:color w:val="auto"/>
                <w:kern w:val="0"/>
                <w:sz w:val="18"/>
                <w:szCs w:val="18"/>
                <w:lang w:bidi="ar"/>
              </w:rPr>
              <w:t>驻村干部人数</w:t>
            </w:r>
            <w:r>
              <w:rPr>
                <w:rFonts w:hint="eastAsia" w:ascii="宋体" w:hAnsi="宋体" w:eastAsia="宋体" w:cs="宋体"/>
                <w:color w:val="auto"/>
                <w:kern w:val="0"/>
                <w:sz w:val="18"/>
                <w:szCs w:val="18"/>
                <w:lang w:val="en-US" w:eastAsia="zh-CN" w:bidi="ar"/>
              </w:rPr>
              <w:t>考核是否达到住建局绩效目标要求</w:t>
            </w:r>
          </w:p>
        </w:tc>
        <w:tc>
          <w:tcPr>
            <w:tcW w:w="2575" w:type="dxa"/>
            <w:shd w:val="clear" w:color="auto" w:fill="auto"/>
            <w:vAlign w:val="center"/>
          </w:tcPr>
          <w:p>
            <w:pPr>
              <w:widowControl/>
              <w:jc w:val="left"/>
              <w:textAlignment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bidi="ar"/>
              </w:rPr>
              <w:t>①驻村干部人数≥2人</w:t>
            </w:r>
            <w:r>
              <w:rPr>
                <w:rFonts w:hint="eastAsia" w:ascii="宋体" w:hAnsi="宋体" w:eastAsia="宋体" w:cs="宋体"/>
                <w:color w:val="auto"/>
                <w:kern w:val="0"/>
                <w:sz w:val="18"/>
                <w:szCs w:val="18"/>
                <w:lang w:val="en-US" w:eastAsia="zh-CN" w:bidi="ar"/>
              </w:rPr>
              <w:t>,得2分；</w:t>
            </w:r>
          </w:p>
          <w:p>
            <w:pPr>
              <w:widowControl/>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②驻村干部人数</w:t>
            </w:r>
            <w:r>
              <w:rPr>
                <w:rFonts w:hint="eastAsia" w:ascii="宋体" w:hAnsi="宋体" w:eastAsia="宋体" w:cs="宋体"/>
                <w:color w:val="auto"/>
                <w:kern w:val="0"/>
                <w:sz w:val="18"/>
                <w:szCs w:val="18"/>
                <w:lang w:val="en-US" w:eastAsia="zh-CN" w:bidi="ar"/>
              </w:rPr>
              <w:t>1人</w:t>
            </w:r>
            <w:r>
              <w:rPr>
                <w:rFonts w:hint="eastAsia" w:ascii="宋体" w:hAnsi="宋体" w:eastAsia="宋体" w:cs="宋体"/>
                <w:color w:val="auto"/>
                <w:kern w:val="0"/>
                <w:sz w:val="18"/>
                <w:szCs w:val="18"/>
                <w:lang w:bidi="ar"/>
              </w:rPr>
              <w:t>，得1分；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③驻村干部人数</w:t>
            </w:r>
            <w:r>
              <w:rPr>
                <w:rFonts w:hint="eastAsia" w:ascii="宋体" w:hAnsi="宋体" w:eastAsia="宋体" w:cs="宋体"/>
                <w:color w:val="auto"/>
                <w:kern w:val="0"/>
                <w:sz w:val="18"/>
                <w:szCs w:val="18"/>
                <w:lang w:val="en-US" w:eastAsia="zh-CN" w:bidi="ar"/>
              </w:rPr>
              <w:t>0人，</w:t>
            </w:r>
            <w:r>
              <w:rPr>
                <w:rFonts w:hint="eastAsia" w:ascii="宋体" w:hAnsi="宋体" w:eastAsia="宋体" w:cs="宋体"/>
                <w:color w:val="auto"/>
                <w:kern w:val="0"/>
                <w:sz w:val="18"/>
                <w:szCs w:val="18"/>
                <w:lang w:bidi="ar"/>
              </w:rPr>
              <w:t>得0分；</w:t>
            </w:r>
          </w:p>
        </w:tc>
        <w:tc>
          <w:tcPr>
            <w:tcW w:w="950" w:type="dxa"/>
            <w:shd w:val="clear" w:color="auto" w:fill="auto"/>
            <w:noWrap/>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修缮加固历史建筑(2分）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对历史建筑进行修缮加固结果，用以反映部门对修缮加固历史建筑是否达到绩效目标值。</w:t>
            </w:r>
          </w:p>
        </w:tc>
        <w:tc>
          <w:tcPr>
            <w:tcW w:w="2575"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≥10 栋得满分，每少于1栋扣1分，扣完为止</w:t>
            </w:r>
          </w:p>
        </w:tc>
        <w:tc>
          <w:tcPr>
            <w:tcW w:w="950" w:type="dxa"/>
            <w:shd w:val="clear" w:color="auto" w:fill="auto"/>
            <w:noWrap/>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危房消除率(2分）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房屋安全隐患排除率=经鉴定无安全隐患的房屋数量/需要鉴定的房屋数量x100%</w:t>
            </w:r>
          </w:p>
        </w:tc>
        <w:tc>
          <w:tcPr>
            <w:tcW w:w="2575"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危房消除率≥90%得2分，按比例得分。</w:t>
            </w:r>
          </w:p>
        </w:tc>
        <w:tc>
          <w:tcPr>
            <w:tcW w:w="950" w:type="dxa"/>
            <w:shd w:val="clear" w:color="auto" w:fill="auto"/>
            <w:noWrap/>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工程项目竣工个数</w:t>
            </w:r>
          </w:p>
          <w:p>
            <w:pPr>
              <w:widowControl/>
              <w:jc w:val="center"/>
              <w:textAlignment w:val="center"/>
              <w:rPr>
                <w:rFonts w:hint="eastAsia" w:ascii="宋体" w:hAnsi="宋体" w:eastAsia="宋体" w:cs="宋体"/>
                <w:color w:val="2E75B6" w:themeColor="accent1" w:themeShade="BF"/>
                <w:sz w:val="18"/>
                <w:szCs w:val="18"/>
              </w:rPr>
            </w:pPr>
            <w:r>
              <w:rPr>
                <w:rFonts w:hint="eastAsia" w:ascii="宋体" w:hAnsi="宋体" w:eastAsia="宋体" w:cs="宋体"/>
                <w:color w:val="auto"/>
                <w:kern w:val="0"/>
                <w:sz w:val="18"/>
                <w:szCs w:val="18"/>
                <w:lang w:bidi="ar"/>
              </w:rPr>
              <w:t>(2分）</w:t>
            </w:r>
          </w:p>
        </w:tc>
        <w:tc>
          <w:tcPr>
            <w:tcW w:w="1860" w:type="dxa"/>
            <w:shd w:val="clear" w:color="auto" w:fill="auto"/>
            <w:vAlign w:val="center"/>
          </w:tcPr>
          <w:p>
            <w:pPr>
              <w:widowControl/>
              <w:jc w:val="left"/>
              <w:textAlignment w:val="center"/>
              <w:rPr>
                <w:rFonts w:hint="eastAsia" w:ascii="宋体" w:hAnsi="宋体" w:eastAsia="宋体" w:cs="宋体"/>
                <w:color w:val="2E75B6" w:themeColor="accent1" w:themeShade="BF"/>
                <w:sz w:val="18"/>
                <w:szCs w:val="18"/>
              </w:rPr>
            </w:pPr>
            <w:r>
              <w:rPr>
                <w:rFonts w:hint="eastAsia" w:ascii="宋体" w:hAnsi="宋体" w:eastAsia="宋体" w:cs="宋体"/>
                <w:color w:val="auto"/>
                <w:kern w:val="0"/>
                <w:sz w:val="18"/>
                <w:szCs w:val="18"/>
                <w:lang w:bidi="ar"/>
              </w:rPr>
              <w:t>推动工程项目竣工的个数</w:t>
            </w:r>
          </w:p>
        </w:tc>
        <w:tc>
          <w:tcPr>
            <w:tcW w:w="2575" w:type="dxa"/>
            <w:shd w:val="clear" w:color="auto" w:fill="auto"/>
            <w:vAlign w:val="center"/>
          </w:tcPr>
          <w:p>
            <w:pPr>
              <w:widowControl/>
              <w:jc w:val="left"/>
              <w:textAlignment w:val="center"/>
              <w:rPr>
                <w:rFonts w:hint="default" w:ascii="宋体" w:hAnsi="宋体" w:eastAsia="宋体" w:cs="宋体"/>
                <w:color w:val="2E75B6" w:themeColor="accent1" w:themeShade="BF"/>
                <w:sz w:val="18"/>
                <w:szCs w:val="18"/>
                <w:lang w:val="en-US" w:eastAsia="zh-CN"/>
              </w:rPr>
            </w:pPr>
            <w:r>
              <w:rPr>
                <w:rFonts w:hint="eastAsia" w:ascii="宋体" w:hAnsi="宋体" w:eastAsia="宋体" w:cs="宋体"/>
                <w:color w:val="auto"/>
                <w:kern w:val="0"/>
                <w:sz w:val="18"/>
                <w:szCs w:val="18"/>
                <w:lang w:bidi="ar"/>
              </w:rPr>
              <w:t>该项目满分为2分。全年竣工项目数≧</w:t>
            </w:r>
            <w:r>
              <w:rPr>
                <w:rFonts w:hint="eastAsia" w:ascii="宋体" w:hAnsi="宋体" w:eastAsia="宋体" w:cs="宋体"/>
                <w:color w:val="auto"/>
                <w:kern w:val="0"/>
                <w:sz w:val="18"/>
                <w:szCs w:val="18"/>
                <w:lang w:val="en-US" w:eastAsia="zh-CN" w:bidi="ar"/>
              </w:rPr>
              <w:t>107</w:t>
            </w:r>
            <w:r>
              <w:rPr>
                <w:rFonts w:hint="eastAsia" w:ascii="宋体" w:hAnsi="宋体" w:eastAsia="宋体" w:cs="宋体"/>
                <w:color w:val="auto"/>
                <w:kern w:val="0"/>
                <w:sz w:val="18"/>
                <w:szCs w:val="18"/>
                <w:lang w:bidi="ar"/>
              </w:rPr>
              <w:t>个得2分</w:t>
            </w:r>
            <w:r>
              <w:rPr>
                <w:rFonts w:hint="eastAsia" w:ascii="宋体" w:hAnsi="宋体" w:eastAsia="宋体" w:cs="宋体"/>
                <w:color w:val="auto"/>
                <w:kern w:val="0"/>
                <w:sz w:val="18"/>
                <w:szCs w:val="18"/>
                <w:lang w:eastAsia="zh-CN" w:bidi="ar"/>
              </w:rPr>
              <w:t>，</w:t>
            </w:r>
            <w:r>
              <w:rPr>
                <w:rFonts w:hint="eastAsia" w:ascii="宋体" w:hAnsi="宋体" w:eastAsia="宋体" w:cs="宋体"/>
                <w:color w:val="auto"/>
                <w:kern w:val="0"/>
                <w:sz w:val="18"/>
                <w:szCs w:val="18"/>
                <w:lang w:val="en-US" w:eastAsia="zh-CN" w:bidi="ar"/>
              </w:rPr>
              <w:t>每少10个扣1分，严重扣完为止。</w:t>
            </w:r>
          </w:p>
        </w:tc>
        <w:tc>
          <w:tcPr>
            <w:tcW w:w="950" w:type="dxa"/>
            <w:shd w:val="clear" w:color="auto" w:fill="auto"/>
            <w:noWrap/>
            <w:vAlign w:val="center"/>
          </w:tcPr>
          <w:p>
            <w:pPr>
              <w:widowControl/>
              <w:jc w:val="center"/>
              <w:textAlignment w:val="center"/>
              <w:rPr>
                <w:rFonts w:hint="eastAsia" w:ascii="宋体" w:hAnsi="宋体" w:eastAsia="宋体" w:cs="宋体"/>
                <w:color w:val="2E75B6" w:themeColor="accent1" w:themeShade="BF"/>
                <w:sz w:val="18"/>
                <w:szCs w:val="18"/>
                <w:lang w:eastAsia="zh-CN"/>
              </w:rPr>
            </w:pPr>
            <w:r>
              <w:rPr>
                <w:rFonts w:hint="eastAsia" w:ascii="宋体" w:hAnsi="宋体" w:eastAsia="宋体" w:cs="宋体"/>
                <w:color w:val="2E75B6" w:themeColor="accent1" w:themeShade="BF"/>
                <w:kern w:val="0"/>
                <w:sz w:val="18"/>
                <w:szCs w:val="18"/>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产出质量（12）</w:t>
            </w:r>
          </w:p>
        </w:tc>
        <w:tc>
          <w:tcPr>
            <w:tcW w:w="1245"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专业技术人员参加培训次数(2分）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现场监督人员参加培训次数</w:t>
            </w:r>
          </w:p>
        </w:tc>
        <w:tc>
          <w:tcPr>
            <w:tcW w:w="2575"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现场监督人员每位每年专业技术培训次数为0的，每少一人的扣0.5分，封顶5分。</w:t>
            </w:r>
          </w:p>
        </w:tc>
        <w:tc>
          <w:tcPr>
            <w:tcW w:w="950" w:type="dxa"/>
            <w:shd w:val="clear" w:color="auto" w:fill="auto"/>
            <w:noWrap/>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考核对</w:t>
            </w:r>
            <w:r>
              <w:rPr>
                <w:rFonts w:hint="eastAsia" w:ascii="宋体" w:hAnsi="宋体" w:eastAsia="宋体" w:cs="宋体"/>
                <w:color w:val="auto"/>
                <w:kern w:val="0"/>
                <w:sz w:val="18"/>
                <w:szCs w:val="18"/>
                <w:lang w:bidi="ar"/>
              </w:rPr>
              <w:t>起重机械检查整改</w:t>
            </w:r>
            <w:r>
              <w:rPr>
                <w:rFonts w:hint="eastAsia" w:ascii="宋体" w:hAnsi="宋体" w:eastAsia="宋体" w:cs="宋体"/>
                <w:color w:val="auto"/>
                <w:kern w:val="0"/>
                <w:sz w:val="18"/>
                <w:szCs w:val="18"/>
                <w:lang w:val="en-US" w:eastAsia="zh-CN" w:bidi="ar"/>
              </w:rPr>
              <w:t>情况</w:t>
            </w:r>
            <w:r>
              <w:rPr>
                <w:rFonts w:hint="eastAsia" w:ascii="宋体" w:hAnsi="宋体" w:eastAsia="宋体" w:cs="宋体"/>
                <w:color w:val="auto"/>
                <w:kern w:val="0"/>
                <w:sz w:val="18"/>
                <w:szCs w:val="18"/>
                <w:lang w:bidi="ar"/>
              </w:rPr>
              <w:t>(2分）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lang w:val="en-US" w:eastAsia="zh-CN" w:bidi="ar"/>
              </w:rPr>
              <w:t>考核对</w:t>
            </w:r>
            <w:r>
              <w:rPr>
                <w:rFonts w:hint="eastAsia" w:ascii="宋体" w:hAnsi="宋体" w:eastAsia="宋体" w:cs="宋体"/>
                <w:color w:val="auto"/>
                <w:kern w:val="0"/>
                <w:sz w:val="18"/>
                <w:szCs w:val="18"/>
                <w:lang w:bidi="ar"/>
              </w:rPr>
              <w:t>起重机械检查整改</w:t>
            </w:r>
            <w:r>
              <w:rPr>
                <w:rFonts w:hint="eastAsia" w:ascii="宋体" w:hAnsi="宋体" w:eastAsia="宋体" w:cs="宋体"/>
                <w:color w:val="auto"/>
                <w:kern w:val="0"/>
                <w:sz w:val="18"/>
                <w:szCs w:val="18"/>
                <w:lang w:val="en-US" w:eastAsia="zh-CN" w:bidi="ar"/>
              </w:rPr>
              <w:t>情况</w:t>
            </w:r>
          </w:p>
        </w:tc>
        <w:tc>
          <w:tcPr>
            <w:tcW w:w="2575" w:type="dxa"/>
            <w:shd w:val="clear" w:color="auto" w:fill="auto"/>
            <w:vAlign w:val="center"/>
          </w:tcPr>
          <w:p>
            <w:pPr>
              <w:widowControl/>
              <w:jc w:val="left"/>
              <w:textAlignment w:val="center"/>
              <w:rPr>
                <w:rFonts w:hint="default" w:ascii="宋体" w:hAnsi="宋体" w:eastAsia="宋体" w:cs="宋体"/>
                <w:color w:val="auto"/>
                <w:sz w:val="18"/>
                <w:szCs w:val="18"/>
                <w:lang w:val="en-US" w:eastAsia="zh-CN"/>
              </w:rPr>
            </w:pPr>
            <w:r>
              <w:rPr>
                <w:rFonts w:hint="eastAsia" w:ascii="宋体" w:hAnsi="宋体" w:eastAsia="宋体" w:cs="宋体"/>
                <w:color w:val="auto"/>
                <w:kern w:val="0"/>
                <w:sz w:val="18"/>
                <w:szCs w:val="18"/>
                <w:lang w:bidi="ar"/>
              </w:rPr>
              <w:t>起重机械检查整改率</w:t>
            </w:r>
            <w:r>
              <w:rPr>
                <w:rFonts w:hint="eastAsia" w:ascii="宋体" w:hAnsi="宋体" w:eastAsia="宋体" w:cs="宋体"/>
                <w:color w:val="auto"/>
                <w:kern w:val="0"/>
                <w:sz w:val="18"/>
                <w:szCs w:val="18"/>
                <w:lang w:val="en-US" w:eastAsia="zh-CN" w:bidi="ar"/>
              </w:rPr>
              <w:t>100%得1分，每少10%扣1分</w:t>
            </w:r>
            <w:r>
              <w:rPr>
                <w:rFonts w:hint="eastAsia" w:ascii="宋体" w:hAnsi="宋体" w:eastAsia="宋体" w:cs="宋体"/>
                <w:color w:val="auto"/>
                <w:kern w:val="0"/>
                <w:sz w:val="18"/>
                <w:szCs w:val="18"/>
                <w:lang w:bidi="ar"/>
              </w:rPr>
              <w:t>。</w:t>
            </w:r>
          </w:p>
        </w:tc>
        <w:tc>
          <w:tcPr>
            <w:tcW w:w="950" w:type="dxa"/>
            <w:shd w:val="clear" w:color="auto" w:fill="auto"/>
            <w:noWrap/>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资金使用</w:t>
            </w:r>
          </w:p>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合规性</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资金使用合规性专款专用</w:t>
            </w:r>
          </w:p>
        </w:tc>
        <w:tc>
          <w:tcPr>
            <w:tcW w:w="2575"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资金使用合规性专款专用符合规定得2分，不符合得0分。</w:t>
            </w:r>
          </w:p>
        </w:tc>
        <w:tc>
          <w:tcPr>
            <w:tcW w:w="950" w:type="dxa"/>
            <w:shd w:val="clear" w:color="auto" w:fill="auto"/>
            <w:noWrap/>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完成上级下发的房屋普查量(2分</w:t>
            </w:r>
            <w:r>
              <w:rPr>
                <w:rFonts w:hint="eastAsia" w:ascii="宋体" w:hAnsi="宋体" w:eastAsia="宋体" w:cs="宋体"/>
                <w:color w:val="auto"/>
                <w:kern w:val="0"/>
                <w:sz w:val="18"/>
                <w:szCs w:val="18"/>
                <w:lang w:eastAsia="zh-CN" w:bidi="ar"/>
              </w:rPr>
              <w:t>）</w:t>
            </w:r>
          </w:p>
        </w:tc>
        <w:tc>
          <w:tcPr>
            <w:tcW w:w="1860" w:type="dxa"/>
            <w:shd w:val="clear" w:color="auto" w:fill="auto"/>
            <w:noWrap/>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highlight w:val="none"/>
                <w:lang w:bidi="ar"/>
              </w:rPr>
              <w:t>完成上级下发的房屋普查量</w:t>
            </w:r>
          </w:p>
        </w:tc>
        <w:tc>
          <w:tcPr>
            <w:tcW w:w="2575" w:type="dxa"/>
            <w:shd w:val="clear" w:color="auto" w:fill="auto"/>
            <w:vAlign w:val="center"/>
          </w:tcPr>
          <w:p>
            <w:pPr>
              <w:widowControl/>
              <w:jc w:val="left"/>
              <w:textAlignment w:val="center"/>
              <w:rPr>
                <w:rFonts w:hint="default" w:ascii="宋体" w:hAnsi="宋体" w:eastAsia="宋体" w:cs="宋体"/>
                <w:color w:val="auto"/>
                <w:sz w:val="18"/>
                <w:szCs w:val="18"/>
                <w:lang w:val="en-US" w:eastAsia="zh-CN"/>
              </w:rPr>
            </w:pPr>
            <w:r>
              <w:rPr>
                <w:rFonts w:hint="eastAsia" w:ascii="宋体" w:hAnsi="宋体" w:eastAsia="宋体" w:cs="宋体"/>
                <w:color w:val="auto"/>
                <w:kern w:val="0"/>
                <w:sz w:val="18"/>
                <w:szCs w:val="18"/>
                <w:highlight w:val="none"/>
                <w:lang w:bidi="ar"/>
              </w:rPr>
              <w:t>房屋普查量≥90%得满分</w:t>
            </w:r>
            <w:r>
              <w:rPr>
                <w:rFonts w:hint="eastAsia" w:ascii="宋体" w:hAnsi="宋体" w:eastAsia="宋体" w:cs="宋体"/>
                <w:color w:val="auto"/>
                <w:kern w:val="0"/>
                <w:sz w:val="18"/>
                <w:szCs w:val="18"/>
                <w:highlight w:val="none"/>
                <w:lang w:eastAsia="zh-CN" w:bidi="ar"/>
              </w:rPr>
              <w:t>，</w:t>
            </w:r>
            <w:r>
              <w:rPr>
                <w:rFonts w:hint="eastAsia" w:ascii="宋体" w:hAnsi="宋体" w:eastAsia="宋体" w:cs="宋体"/>
                <w:color w:val="auto"/>
                <w:kern w:val="0"/>
                <w:sz w:val="18"/>
                <w:szCs w:val="18"/>
                <w:highlight w:val="none"/>
                <w:lang w:val="en-US" w:eastAsia="zh-CN" w:bidi="ar"/>
              </w:rPr>
              <w:t>每少10%扣1分</w:t>
            </w:r>
            <w:r>
              <w:rPr>
                <w:rFonts w:hint="eastAsia" w:ascii="宋体" w:hAnsi="宋体" w:eastAsia="宋体" w:cs="宋体"/>
                <w:color w:val="auto"/>
                <w:kern w:val="0"/>
                <w:sz w:val="18"/>
                <w:szCs w:val="18"/>
                <w:lang w:bidi="ar"/>
              </w:rPr>
              <w:t>。</w:t>
            </w:r>
          </w:p>
        </w:tc>
        <w:tc>
          <w:tcPr>
            <w:tcW w:w="950" w:type="dxa"/>
            <w:shd w:val="clear" w:color="auto" w:fill="auto"/>
            <w:noWrap/>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党建工作质量水平</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党建工作质量水平</w:t>
            </w:r>
          </w:p>
        </w:tc>
        <w:tc>
          <w:tcPr>
            <w:tcW w:w="2575"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党建工作质量水平提升效果显著</w:t>
            </w:r>
            <w:r>
              <w:rPr>
                <w:rFonts w:hint="eastAsia" w:ascii="宋体" w:hAnsi="宋体" w:eastAsia="宋体" w:cs="宋体"/>
                <w:color w:val="auto"/>
                <w:kern w:val="0"/>
                <w:sz w:val="18"/>
                <w:szCs w:val="18"/>
                <w:lang w:eastAsia="zh-CN" w:bidi="ar"/>
              </w:rPr>
              <w:t>，</w:t>
            </w:r>
            <w:r>
              <w:rPr>
                <w:rFonts w:hint="eastAsia" w:ascii="宋体" w:hAnsi="宋体" w:eastAsia="宋体" w:cs="宋体"/>
                <w:color w:val="auto"/>
                <w:kern w:val="0"/>
                <w:sz w:val="18"/>
                <w:szCs w:val="18"/>
                <w:lang w:val="en-US" w:eastAsia="zh-CN" w:bidi="ar"/>
              </w:rPr>
              <w:t>稳步</w:t>
            </w:r>
            <w:r>
              <w:rPr>
                <w:rFonts w:hint="eastAsia" w:ascii="宋体" w:hAnsi="宋体" w:eastAsia="宋体" w:cs="宋体"/>
                <w:color w:val="auto"/>
                <w:kern w:val="0"/>
                <w:sz w:val="18"/>
                <w:szCs w:val="18"/>
                <w:lang w:bidi="ar"/>
              </w:rPr>
              <w:t>提升得</w:t>
            </w:r>
            <w:r>
              <w:rPr>
                <w:rFonts w:hint="eastAsia" w:ascii="宋体" w:hAnsi="宋体" w:eastAsia="宋体" w:cs="宋体"/>
                <w:color w:val="auto"/>
                <w:kern w:val="0"/>
                <w:sz w:val="18"/>
                <w:szCs w:val="18"/>
                <w:lang w:val="en-US" w:eastAsia="zh-CN" w:bidi="ar"/>
              </w:rPr>
              <w:t>2</w:t>
            </w:r>
            <w:r>
              <w:rPr>
                <w:rFonts w:hint="eastAsia" w:ascii="宋体" w:hAnsi="宋体" w:eastAsia="宋体" w:cs="宋体"/>
                <w:color w:val="auto"/>
                <w:kern w:val="0"/>
                <w:sz w:val="18"/>
                <w:szCs w:val="18"/>
                <w:lang w:bidi="ar"/>
              </w:rPr>
              <w:t>分，效果一般得</w:t>
            </w:r>
            <w:r>
              <w:rPr>
                <w:rFonts w:hint="eastAsia" w:ascii="宋体" w:hAnsi="宋体" w:eastAsia="宋体" w:cs="宋体"/>
                <w:color w:val="auto"/>
                <w:kern w:val="0"/>
                <w:sz w:val="18"/>
                <w:szCs w:val="18"/>
                <w:lang w:val="en-US" w:eastAsia="zh-CN" w:bidi="ar"/>
              </w:rPr>
              <w:t>1</w:t>
            </w:r>
            <w:r>
              <w:rPr>
                <w:rFonts w:hint="eastAsia" w:ascii="宋体" w:hAnsi="宋体" w:eastAsia="宋体" w:cs="宋体"/>
                <w:color w:val="auto"/>
                <w:kern w:val="0"/>
                <w:sz w:val="18"/>
                <w:szCs w:val="18"/>
                <w:lang w:bidi="ar"/>
              </w:rPr>
              <w:t>分，</w:t>
            </w:r>
            <w:r>
              <w:rPr>
                <w:rFonts w:hint="eastAsia" w:ascii="宋体" w:hAnsi="宋体" w:eastAsia="宋体" w:cs="宋体"/>
                <w:color w:val="auto"/>
                <w:kern w:val="0"/>
                <w:sz w:val="18"/>
                <w:szCs w:val="18"/>
                <w:lang w:val="en-US" w:eastAsia="zh-CN" w:bidi="ar"/>
              </w:rPr>
              <w:t>无提升</w:t>
            </w:r>
            <w:r>
              <w:rPr>
                <w:rFonts w:hint="eastAsia" w:ascii="宋体" w:hAnsi="宋体" w:eastAsia="宋体" w:cs="宋体"/>
                <w:color w:val="auto"/>
                <w:kern w:val="0"/>
                <w:sz w:val="18"/>
                <w:szCs w:val="18"/>
                <w:lang w:bidi="ar"/>
              </w:rPr>
              <w:t>不得分。</w:t>
            </w:r>
          </w:p>
        </w:tc>
        <w:tc>
          <w:tcPr>
            <w:tcW w:w="950" w:type="dxa"/>
            <w:shd w:val="clear" w:color="auto" w:fill="auto"/>
            <w:noWrap/>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动态考评</w:t>
            </w:r>
          </w:p>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完成率</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按《福建省建设工程质量安全动态监管办法（2018年版）》要求进行动态考评，用以反映部门对建设工程质量安全动态考评完成工作的重视程度和取得的成效。</w:t>
            </w:r>
          </w:p>
        </w:tc>
        <w:tc>
          <w:tcPr>
            <w:tcW w:w="2575"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①动态考评完成率等于100%的，得满分;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②动态考评完成率小于等于99%的，得0分;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②动态考评完成率在99%-100%之间的 得分=(某部门项目质量达标率-99%)/1%×该指标分值。</w:t>
            </w:r>
          </w:p>
        </w:tc>
        <w:tc>
          <w:tcPr>
            <w:tcW w:w="950" w:type="dxa"/>
            <w:shd w:val="clear" w:color="auto" w:fill="auto"/>
            <w:noWrap/>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产出</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时效</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（5分）</w:t>
            </w: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监督抽测</w:t>
            </w:r>
          </w:p>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时间</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（5分）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考核</w:t>
            </w:r>
            <w:r>
              <w:rPr>
                <w:rFonts w:hint="eastAsia" w:ascii="宋体" w:hAnsi="宋体" w:eastAsia="宋体" w:cs="宋体"/>
                <w:color w:val="auto"/>
                <w:kern w:val="0"/>
                <w:sz w:val="18"/>
                <w:szCs w:val="18"/>
                <w:lang w:bidi="ar"/>
              </w:rPr>
              <w:t>监督抽测的时间</w:t>
            </w:r>
            <w:r>
              <w:rPr>
                <w:rFonts w:hint="eastAsia" w:ascii="宋体" w:hAnsi="宋体" w:eastAsia="宋体" w:cs="宋体"/>
                <w:color w:val="auto"/>
                <w:kern w:val="0"/>
                <w:sz w:val="18"/>
                <w:szCs w:val="18"/>
                <w:lang w:val="en-US" w:eastAsia="zh-CN" w:bidi="ar"/>
              </w:rPr>
              <w:t>是否达到绩效目标值</w:t>
            </w:r>
          </w:p>
        </w:tc>
        <w:tc>
          <w:tcPr>
            <w:tcW w:w="2575"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该项目满分为4分。完成目标值得4分，没完成不得分。</w:t>
            </w:r>
          </w:p>
        </w:tc>
        <w:tc>
          <w:tcPr>
            <w:tcW w:w="950" w:type="dxa"/>
            <w:shd w:val="clear" w:color="auto" w:fill="auto"/>
            <w:noWrap/>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产出</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成本</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（5分）</w:t>
            </w: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执监、检测</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经费（5分）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考核</w:t>
            </w:r>
            <w:r>
              <w:rPr>
                <w:rFonts w:hint="eastAsia" w:ascii="宋体" w:hAnsi="宋体" w:eastAsia="宋体" w:cs="宋体"/>
                <w:color w:val="auto"/>
                <w:kern w:val="0"/>
                <w:sz w:val="18"/>
                <w:szCs w:val="18"/>
                <w:lang w:bidi="ar"/>
              </w:rPr>
              <w:t>执监、检测经费支出费用</w:t>
            </w:r>
            <w:r>
              <w:rPr>
                <w:rFonts w:hint="eastAsia" w:ascii="宋体" w:hAnsi="宋体" w:eastAsia="宋体" w:cs="宋体"/>
                <w:color w:val="auto"/>
                <w:kern w:val="0"/>
                <w:sz w:val="18"/>
                <w:szCs w:val="18"/>
                <w:lang w:val="en-US" w:eastAsia="zh-CN" w:bidi="ar"/>
              </w:rPr>
              <w:t>是否达到绩效目标值</w:t>
            </w:r>
          </w:p>
        </w:tc>
        <w:tc>
          <w:tcPr>
            <w:tcW w:w="2575"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该项目满分为5分。全年支出≦70.3万，得5分；超过的支出费用≦10%的得2分；超过10%的不得分。</w:t>
            </w:r>
          </w:p>
        </w:tc>
        <w:tc>
          <w:tcPr>
            <w:tcW w:w="950" w:type="dxa"/>
            <w:shd w:val="clear" w:color="auto" w:fill="auto"/>
            <w:noWrap/>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10" w:type="dxa"/>
            <w:vMerge w:val="restart"/>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效益（20%）</w:t>
            </w:r>
          </w:p>
        </w:tc>
        <w:tc>
          <w:tcPr>
            <w:tcW w:w="961" w:type="dxa"/>
            <w:vMerge w:val="restart"/>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社会</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效益</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（6分）</w:t>
            </w:r>
          </w:p>
        </w:tc>
        <w:tc>
          <w:tcPr>
            <w:tcW w:w="1245"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eastAsia="zh-CN" w:bidi="ar"/>
              </w:rPr>
              <w:t>物业企业管理小区的整改率</w:t>
            </w:r>
            <w:r>
              <w:rPr>
                <w:rFonts w:hint="eastAsia" w:ascii="宋体" w:hAnsi="宋体" w:eastAsia="宋体" w:cs="宋体"/>
                <w:color w:val="auto"/>
                <w:kern w:val="0"/>
                <w:sz w:val="18"/>
                <w:szCs w:val="18"/>
                <w:lang w:bidi="ar"/>
              </w:rPr>
              <w:t>（3分）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考核是否</w:t>
            </w:r>
            <w:r>
              <w:rPr>
                <w:rFonts w:hint="eastAsia" w:ascii="宋体" w:hAnsi="宋体" w:eastAsia="宋体" w:cs="宋体"/>
                <w:color w:val="auto"/>
                <w:kern w:val="0"/>
                <w:sz w:val="18"/>
                <w:szCs w:val="18"/>
                <w:lang w:bidi="ar"/>
              </w:rPr>
              <w:t>提高物业企业管理小区水平</w:t>
            </w:r>
            <w:r>
              <w:rPr>
                <w:rFonts w:hint="eastAsia" w:ascii="宋体" w:hAnsi="宋体" w:eastAsia="宋体" w:cs="宋体"/>
                <w:color w:val="auto"/>
                <w:kern w:val="0"/>
                <w:sz w:val="18"/>
                <w:szCs w:val="18"/>
                <w:lang w:val="en-US" w:eastAsia="zh-CN" w:bidi="ar"/>
              </w:rPr>
              <w:t>的效果</w:t>
            </w:r>
          </w:p>
        </w:tc>
        <w:tc>
          <w:tcPr>
            <w:tcW w:w="2575"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完成率达100%得满分；90%-99%扣2分；90%以下不得分。</w:t>
            </w:r>
          </w:p>
        </w:tc>
        <w:tc>
          <w:tcPr>
            <w:tcW w:w="950" w:type="dxa"/>
            <w:shd w:val="clear" w:color="auto" w:fill="auto"/>
            <w:noWrap/>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提高小区环境卫生</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（3分）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考核</w:t>
            </w:r>
            <w:r>
              <w:rPr>
                <w:rFonts w:hint="eastAsia" w:ascii="宋体" w:hAnsi="宋体" w:eastAsia="宋体" w:cs="宋体"/>
                <w:color w:val="auto"/>
                <w:kern w:val="0"/>
                <w:sz w:val="18"/>
                <w:szCs w:val="18"/>
                <w:lang w:bidi="ar"/>
              </w:rPr>
              <w:t>提高小区环境卫生</w:t>
            </w:r>
            <w:r>
              <w:rPr>
                <w:rFonts w:hint="eastAsia" w:ascii="宋体" w:hAnsi="宋体" w:eastAsia="宋体" w:cs="宋体"/>
                <w:color w:val="auto"/>
                <w:kern w:val="0"/>
                <w:sz w:val="18"/>
                <w:szCs w:val="18"/>
                <w:lang w:val="en-US" w:eastAsia="zh-CN" w:bidi="ar"/>
              </w:rPr>
              <w:t>效果</w:t>
            </w:r>
          </w:p>
        </w:tc>
        <w:tc>
          <w:tcPr>
            <w:tcW w:w="2575"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效果显著提升得3分，效果一般得2分，效益差不得分。</w:t>
            </w:r>
          </w:p>
        </w:tc>
        <w:tc>
          <w:tcPr>
            <w:tcW w:w="950" w:type="dxa"/>
            <w:shd w:val="clear" w:color="auto" w:fill="auto"/>
            <w:noWrap/>
            <w:vAlign w:val="center"/>
          </w:tcPr>
          <w:p>
            <w:pPr>
              <w:widowControl/>
              <w:jc w:val="center"/>
              <w:textAlignment w:val="center"/>
              <w:rPr>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经济</w:t>
            </w:r>
          </w:p>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效益</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（4分）</w:t>
            </w: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办公楼租金收缴情况</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（4分）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考核</w:t>
            </w:r>
            <w:r>
              <w:rPr>
                <w:rFonts w:hint="eastAsia" w:ascii="宋体" w:hAnsi="宋体" w:eastAsia="宋体" w:cs="宋体"/>
                <w:color w:val="auto"/>
                <w:kern w:val="0"/>
                <w:sz w:val="18"/>
                <w:szCs w:val="18"/>
                <w:lang w:bidi="ar"/>
              </w:rPr>
              <w:t>办公楼租金收缴情况</w:t>
            </w:r>
          </w:p>
        </w:tc>
        <w:tc>
          <w:tcPr>
            <w:tcW w:w="2575"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物业管理大楼已收取租金/租金目标值大于70万元得满分，小于70万元，则酌情扣分。</w:t>
            </w:r>
          </w:p>
        </w:tc>
        <w:tc>
          <w:tcPr>
            <w:tcW w:w="950" w:type="dxa"/>
            <w:shd w:val="clear" w:color="auto" w:fill="auto"/>
            <w:noWrap/>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restart"/>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可持续效益</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（6分）</w:t>
            </w: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工程项目</w:t>
            </w:r>
          </w:p>
          <w:p>
            <w:pPr>
              <w:widowControl/>
              <w:jc w:val="center"/>
              <w:textAlignment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eastAsia="zh-CN" w:bidi="ar"/>
              </w:rPr>
              <w:t>评价率</w:t>
            </w:r>
          </w:p>
          <w:p>
            <w:pPr>
              <w:widowControl/>
              <w:jc w:val="center"/>
              <w:textAlignment w:val="center"/>
              <w:rPr>
                <w:rFonts w:hint="eastAsia" w:ascii="宋体" w:hAnsi="宋体" w:eastAsia="宋体" w:cs="宋体"/>
                <w:color w:val="2E75B6" w:themeColor="accent1" w:themeShade="BF"/>
                <w:sz w:val="18"/>
                <w:szCs w:val="18"/>
              </w:rPr>
            </w:pPr>
            <w:r>
              <w:rPr>
                <w:rFonts w:hint="eastAsia" w:ascii="宋体" w:hAnsi="宋体" w:eastAsia="宋体" w:cs="宋体"/>
                <w:color w:val="auto"/>
                <w:kern w:val="0"/>
                <w:sz w:val="18"/>
                <w:szCs w:val="18"/>
                <w:lang w:bidi="ar"/>
              </w:rPr>
              <w:t>（3分）</w:t>
            </w:r>
          </w:p>
        </w:tc>
        <w:tc>
          <w:tcPr>
            <w:tcW w:w="1860" w:type="dxa"/>
            <w:shd w:val="clear" w:color="auto" w:fill="auto"/>
            <w:vAlign w:val="center"/>
          </w:tcPr>
          <w:p>
            <w:pPr>
              <w:widowControl/>
              <w:jc w:val="left"/>
              <w:textAlignment w:val="center"/>
              <w:rPr>
                <w:rFonts w:hint="eastAsia" w:ascii="宋体" w:hAnsi="宋体" w:eastAsia="宋体" w:cs="宋体"/>
                <w:color w:val="2E75B6" w:themeColor="accent1" w:themeShade="BF"/>
                <w:sz w:val="18"/>
                <w:szCs w:val="18"/>
              </w:rPr>
            </w:pPr>
            <w:r>
              <w:rPr>
                <w:rFonts w:hint="eastAsia" w:ascii="宋体" w:hAnsi="宋体" w:eastAsia="宋体" w:cs="宋体"/>
                <w:color w:val="auto"/>
                <w:kern w:val="0"/>
                <w:sz w:val="18"/>
                <w:szCs w:val="18"/>
                <w:lang w:val="en-US" w:eastAsia="zh-CN" w:bidi="ar"/>
              </w:rPr>
              <w:t>考核</w:t>
            </w:r>
            <w:r>
              <w:rPr>
                <w:rFonts w:hint="eastAsia" w:ascii="宋体" w:hAnsi="宋体" w:eastAsia="宋体" w:cs="宋体"/>
                <w:color w:val="auto"/>
                <w:kern w:val="0"/>
                <w:sz w:val="18"/>
                <w:szCs w:val="18"/>
                <w:lang w:bidi="ar"/>
              </w:rPr>
              <w:t>推动工程项目竣工</w:t>
            </w:r>
            <w:r>
              <w:rPr>
                <w:rFonts w:hint="eastAsia" w:ascii="宋体" w:hAnsi="宋体" w:eastAsia="宋体" w:cs="宋体"/>
                <w:color w:val="auto"/>
                <w:kern w:val="0"/>
                <w:sz w:val="18"/>
                <w:szCs w:val="18"/>
                <w:lang w:val="en-US" w:eastAsia="zh-CN" w:bidi="ar"/>
              </w:rPr>
              <w:t>率</w:t>
            </w:r>
          </w:p>
        </w:tc>
        <w:tc>
          <w:tcPr>
            <w:tcW w:w="2575" w:type="dxa"/>
            <w:shd w:val="clear" w:color="auto" w:fill="auto"/>
            <w:vAlign w:val="center"/>
          </w:tcPr>
          <w:p>
            <w:pPr>
              <w:widowControl/>
              <w:jc w:val="left"/>
              <w:textAlignment w:val="center"/>
              <w:rPr>
                <w:rFonts w:hint="eastAsia" w:ascii="宋体" w:hAnsi="宋体" w:eastAsia="宋体" w:cs="宋体"/>
                <w:color w:val="2E75B6" w:themeColor="accent1" w:themeShade="BF"/>
                <w:sz w:val="18"/>
                <w:szCs w:val="18"/>
              </w:rPr>
            </w:pPr>
            <w:r>
              <w:rPr>
                <w:rFonts w:hint="eastAsia" w:ascii="宋体" w:hAnsi="宋体" w:eastAsia="宋体" w:cs="宋体"/>
                <w:color w:val="auto"/>
                <w:kern w:val="0"/>
                <w:sz w:val="18"/>
                <w:szCs w:val="18"/>
                <w:lang w:bidi="ar"/>
              </w:rPr>
              <w:t>该项目满分</w:t>
            </w:r>
            <w:r>
              <w:rPr>
                <w:rFonts w:hint="eastAsia" w:ascii="宋体" w:hAnsi="宋体" w:eastAsia="宋体" w:cs="宋体"/>
                <w:color w:val="auto"/>
                <w:kern w:val="0"/>
                <w:sz w:val="18"/>
                <w:szCs w:val="18"/>
                <w:lang w:val="en-US" w:eastAsia="zh-CN" w:bidi="ar"/>
              </w:rPr>
              <w:t>90%以上</w:t>
            </w:r>
            <w:r>
              <w:rPr>
                <w:rFonts w:hint="eastAsia" w:ascii="宋体" w:hAnsi="宋体" w:eastAsia="宋体" w:cs="宋体"/>
                <w:color w:val="auto"/>
                <w:kern w:val="0"/>
                <w:sz w:val="18"/>
                <w:szCs w:val="18"/>
                <w:lang w:bidi="ar"/>
              </w:rPr>
              <w:t>为3分。</w:t>
            </w:r>
            <w:r>
              <w:rPr>
                <w:rFonts w:hint="eastAsia" w:ascii="宋体" w:hAnsi="宋体" w:eastAsia="宋体" w:cs="宋体"/>
                <w:color w:val="auto"/>
                <w:kern w:val="0"/>
                <w:sz w:val="18"/>
                <w:szCs w:val="18"/>
                <w:lang w:val="en-US" w:eastAsia="zh-CN" w:bidi="ar"/>
              </w:rPr>
              <w:t>每少10%扣0.5分，严重扣完为止。</w:t>
            </w:r>
          </w:p>
        </w:tc>
        <w:tc>
          <w:tcPr>
            <w:tcW w:w="950" w:type="dxa"/>
            <w:shd w:val="clear" w:color="auto" w:fill="auto"/>
            <w:vAlign w:val="center"/>
          </w:tcPr>
          <w:p>
            <w:pPr>
              <w:widowControl/>
              <w:jc w:val="center"/>
              <w:textAlignment w:val="center"/>
              <w:rPr>
                <w:rFonts w:hint="eastAsia" w:ascii="宋体" w:hAnsi="宋体" w:eastAsia="宋体" w:cs="宋体"/>
                <w:color w:val="2E75B6" w:themeColor="accent1" w:themeShade="BF"/>
                <w:sz w:val="18"/>
                <w:szCs w:val="18"/>
                <w:lang w:eastAsia="zh-CN"/>
              </w:rPr>
            </w:pPr>
            <w:r>
              <w:rPr>
                <w:rFonts w:hint="eastAsia" w:ascii="宋体" w:hAnsi="宋体" w:eastAsia="宋体" w:cs="宋体"/>
                <w:color w:val="2E75B6" w:themeColor="accent1" w:themeShade="BF"/>
                <w:kern w:val="0"/>
                <w:sz w:val="18"/>
                <w:szCs w:val="18"/>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vMerge w:val="continue"/>
            <w:shd w:val="clear" w:color="auto" w:fill="auto"/>
            <w:vAlign w:val="center"/>
          </w:tcPr>
          <w:p>
            <w:pPr>
              <w:jc w:val="center"/>
              <w:rPr>
                <w:rFonts w:hint="eastAsia" w:ascii="宋体" w:hAnsi="宋体" w:eastAsia="宋体" w:cs="宋体"/>
                <w:color w:val="auto"/>
                <w:sz w:val="18"/>
                <w:szCs w:val="18"/>
              </w:rPr>
            </w:pPr>
          </w:p>
        </w:tc>
        <w:tc>
          <w:tcPr>
            <w:tcW w:w="1245" w:type="dxa"/>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泉州市优质工程个数</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（3分）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考核</w:t>
            </w:r>
            <w:r>
              <w:rPr>
                <w:rFonts w:hint="eastAsia" w:ascii="宋体" w:hAnsi="宋体" w:eastAsia="宋体" w:cs="宋体"/>
                <w:color w:val="auto"/>
                <w:kern w:val="0"/>
                <w:sz w:val="18"/>
                <w:szCs w:val="18"/>
                <w:lang w:bidi="ar"/>
              </w:rPr>
              <w:t>推动办理监督项目申请优质工程的个数</w:t>
            </w:r>
          </w:p>
        </w:tc>
        <w:tc>
          <w:tcPr>
            <w:tcW w:w="2575"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该项目满分为3分。全年优质工程个数≧1个得1分，没有的不得分。</w:t>
            </w:r>
          </w:p>
        </w:tc>
        <w:tc>
          <w:tcPr>
            <w:tcW w:w="950"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810" w:type="dxa"/>
            <w:vMerge w:val="continue"/>
            <w:shd w:val="clear" w:color="auto" w:fill="auto"/>
            <w:vAlign w:val="center"/>
          </w:tcPr>
          <w:p>
            <w:pPr>
              <w:jc w:val="center"/>
              <w:rPr>
                <w:rFonts w:hint="eastAsia" w:ascii="宋体" w:hAnsi="宋体" w:eastAsia="宋体" w:cs="宋体"/>
                <w:color w:val="auto"/>
                <w:sz w:val="18"/>
                <w:szCs w:val="18"/>
              </w:rPr>
            </w:pPr>
          </w:p>
        </w:tc>
        <w:tc>
          <w:tcPr>
            <w:tcW w:w="961" w:type="dxa"/>
            <w:shd w:val="clear" w:color="auto" w:fill="auto"/>
            <w:vAlign w:val="center"/>
          </w:tcPr>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服务对象满意度</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（4分））</w:t>
            </w:r>
          </w:p>
        </w:tc>
        <w:tc>
          <w:tcPr>
            <w:tcW w:w="1245" w:type="dxa"/>
            <w:shd w:val="clear" w:color="auto" w:fill="auto"/>
            <w:vAlign w:val="center"/>
          </w:tcPr>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公众满意度（4分）</w:t>
            </w:r>
          </w:p>
        </w:tc>
        <w:tc>
          <w:tcPr>
            <w:tcW w:w="1860" w:type="dxa"/>
            <w:shd w:val="clear" w:color="auto" w:fill="auto"/>
            <w:vAlign w:val="center"/>
          </w:tcPr>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val="en-US" w:eastAsia="zh-CN" w:bidi="ar"/>
              </w:rPr>
              <w:t>考核</w:t>
            </w:r>
            <w:r>
              <w:rPr>
                <w:rFonts w:hint="eastAsia" w:ascii="宋体" w:hAnsi="宋体" w:eastAsia="宋体" w:cs="宋体"/>
                <w:color w:val="auto"/>
                <w:kern w:val="0"/>
                <w:sz w:val="18"/>
                <w:szCs w:val="18"/>
                <w:lang w:bidi="ar"/>
              </w:rPr>
              <w:t>社会公众对部门履职效果的满意程度。</w:t>
            </w:r>
          </w:p>
        </w:tc>
        <w:tc>
          <w:tcPr>
            <w:tcW w:w="2575"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社会公众对部门履职效果的满意程度。</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①95%≤满意度＜100%，得4分；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②90%≤满意度＜95%，得3分；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③85%≤满意度＜90%得1分；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④满意度低于85%，不得分。</w:t>
            </w:r>
          </w:p>
        </w:tc>
        <w:tc>
          <w:tcPr>
            <w:tcW w:w="950" w:type="dxa"/>
            <w:shd w:val="clear" w:color="auto" w:fill="auto"/>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876" w:type="dxa"/>
            <w:gridSpan w:val="4"/>
            <w:shd w:val="clear" w:color="auto" w:fill="auto"/>
            <w:vAlign w:val="center"/>
          </w:tcPr>
          <w:p>
            <w:pPr>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总分</w:t>
            </w:r>
          </w:p>
        </w:tc>
        <w:tc>
          <w:tcPr>
            <w:tcW w:w="2575" w:type="dxa"/>
            <w:shd w:val="clear" w:color="auto" w:fill="auto"/>
            <w:noWrap/>
            <w:vAlign w:val="center"/>
          </w:tcPr>
          <w:p>
            <w:pPr>
              <w:rPr>
                <w:rFonts w:hint="eastAsia" w:ascii="宋体" w:hAnsi="宋体" w:eastAsia="宋体" w:cs="宋体"/>
                <w:color w:val="auto"/>
                <w:sz w:val="18"/>
                <w:szCs w:val="18"/>
              </w:rPr>
            </w:pPr>
          </w:p>
        </w:tc>
        <w:tc>
          <w:tcPr>
            <w:tcW w:w="950" w:type="dxa"/>
            <w:shd w:val="clear" w:color="auto" w:fill="auto"/>
            <w:vAlign w:val="center"/>
          </w:tcPr>
          <w:p>
            <w:pPr>
              <w:jc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87.26</w:t>
            </w:r>
          </w:p>
        </w:tc>
      </w:tr>
    </w:tbl>
    <w:p>
      <w:pPr>
        <w:snapToGrid/>
        <w:spacing w:before="312" w:beforeLines="100" w:beforeAutospacing="0" w:after="156" w:afterLines="50" w:afterAutospacing="0" w:line="360" w:lineRule="auto"/>
        <w:ind w:left="0" w:leftChars="0" w:right="0" w:rightChars="0" w:firstLine="0" w:firstLineChars="0"/>
        <w:jc w:val="left"/>
        <w:outlineLvl w:val="0"/>
        <w:rPr>
          <w:rFonts w:hint="eastAsia" w:ascii="Times New Roman" w:hAnsi="仿宋" w:eastAsia="宋体" w:cs="仿宋"/>
          <w:b/>
          <w:bCs/>
          <w:color w:val="auto"/>
          <w:spacing w:val="17"/>
          <w:sz w:val="32"/>
          <w:szCs w:val="32"/>
        </w:rPr>
      </w:pPr>
      <w:bookmarkStart w:id="77" w:name="bookmark136"/>
      <w:bookmarkStart w:id="78" w:name="_Toc32047"/>
      <w:bookmarkStart w:id="79" w:name="bookmark138"/>
      <w:bookmarkStart w:id="80" w:name="bookmark135"/>
      <w:r>
        <w:rPr>
          <w:rFonts w:hint="eastAsia" w:ascii="Times New Roman" w:hAnsi="仿宋" w:eastAsia="宋体" w:cs="仿宋"/>
          <w:b/>
          <w:bCs/>
          <w:color w:val="auto"/>
          <w:spacing w:val="17"/>
          <w:sz w:val="32"/>
          <w:szCs w:val="32"/>
        </w:rPr>
        <w:t>五、评价结论</w:t>
      </w:r>
      <w:bookmarkEnd w:id="77"/>
      <w:bookmarkEnd w:id="78"/>
      <w:bookmarkEnd w:id="79"/>
      <w:bookmarkEnd w:id="80"/>
    </w:p>
    <w:p>
      <w:pPr>
        <w:snapToGrid/>
        <w:spacing w:beforeAutospacing="0" w:afterAutospacing="0" w:line="360" w:lineRule="auto"/>
        <w:ind w:left="0" w:leftChars="0" w:firstLine="628" w:firstLineChars="200"/>
        <w:rPr>
          <w:rFonts w:hint="eastAsia" w:ascii="Times New Roman" w:hAnsi="仿宋" w:eastAsia="宋体" w:cs="仿宋"/>
          <w:color w:val="auto"/>
          <w:spacing w:val="17"/>
          <w:sz w:val="28"/>
          <w:szCs w:val="32"/>
        </w:rPr>
      </w:pPr>
      <w:r>
        <w:rPr>
          <w:rFonts w:hint="eastAsia" w:ascii="Times New Roman" w:hAnsi="仿宋" w:eastAsia="宋体" w:cs="仿宋"/>
          <w:color w:val="auto"/>
          <w:spacing w:val="17"/>
          <w:sz w:val="28"/>
          <w:szCs w:val="32"/>
        </w:rPr>
        <w:t>绩效评价工作小组通过从投入、过程、产出和效果四方面，以及加分项逐项分析评价，石狮市住房和城乡建设局部门整体支出绩效评价共得分</w:t>
      </w:r>
      <w:r>
        <w:rPr>
          <w:rFonts w:hint="eastAsia" w:ascii="Times New Roman" w:hAnsi="仿宋" w:eastAsia="宋体" w:cs="仿宋"/>
          <w:color w:val="auto"/>
          <w:spacing w:val="17"/>
          <w:sz w:val="28"/>
          <w:szCs w:val="32"/>
          <w:lang w:val="en-US" w:eastAsia="zh-CN"/>
        </w:rPr>
        <w:t>87.26</w:t>
      </w:r>
      <w:r>
        <w:rPr>
          <w:rFonts w:hint="eastAsia" w:ascii="Times New Roman" w:hAnsi="仿宋" w:eastAsia="宋体" w:cs="仿宋"/>
          <w:color w:val="auto"/>
          <w:spacing w:val="17"/>
          <w:sz w:val="28"/>
          <w:szCs w:val="32"/>
        </w:rPr>
        <w:t>分，评价等级为</w:t>
      </w:r>
      <w:r>
        <w:rPr>
          <w:rFonts w:hint="eastAsia" w:ascii="Times New Roman" w:hAnsi="仿宋" w:eastAsia="宋体" w:cs="仿宋"/>
          <w:color w:val="auto"/>
          <w:spacing w:val="17"/>
          <w:sz w:val="28"/>
          <w:szCs w:val="32"/>
          <w:lang w:eastAsia="zh-CN"/>
        </w:rPr>
        <w:t>：“</w:t>
      </w:r>
      <w:r>
        <w:rPr>
          <w:rFonts w:hint="eastAsia" w:ascii="Times New Roman" w:hAnsi="仿宋" w:eastAsia="宋体" w:cs="仿宋"/>
          <w:color w:val="auto"/>
          <w:spacing w:val="17"/>
          <w:sz w:val="28"/>
          <w:szCs w:val="32"/>
          <w:lang w:val="en-US" w:eastAsia="zh-CN"/>
        </w:rPr>
        <w:t>良</w:t>
      </w:r>
      <w:r>
        <w:rPr>
          <w:rFonts w:hint="eastAsia" w:ascii="Times New Roman" w:hAnsi="仿宋" w:eastAsia="宋体" w:cs="仿宋"/>
          <w:color w:val="auto"/>
          <w:spacing w:val="17"/>
          <w:sz w:val="28"/>
          <w:szCs w:val="32"/>
          <w:lang w:eastAsia="zh-CN"/>
        </w:rPr>
        <w:t>”</w:t>
      </w:r>
      <w:r>
        <w:rPr>
          <w:rFonts w:hint="eastAsia" w:ascii="Times New Roman" w:hAnsi="仿宋" w:eastAsia="宋体" w:cs="仿宋"/>
          <w:color w:val="auto"/>
          <w:spacing w:val="17"/>
          <w:sz w:val="28"/>
          <w:szCs w:val="32"/>
        </w:rPr>
        <w:t>。</w:t>
      </w:r>
    </w:p>
    <w:p>
      <w:pPr>
        <w:snapToGrid/>
        <w:spacing w:beforeAutospacing="0" w:afterAutospacing="0" w:line="360" w:lineRule="auto"/>
        <w:ind w:left="0" w:leftChars="0" w:firstLine="628" w:firstLineChars="200"/>
        <w:rPr>
          <w:rFonts w:hint="eastAsia" w:ascii="Times New Roman" w:hAnsi="仿宋" w:eastAsia="宋体" w:cs="仿宋"/>
          <w:color w:val="auto"/>
          <w:sz w:val="28"/>
          <w:lang w:val="en-US" w:eastAsia="zh-CN"/>
        </w:rPr>
      </w:pPr>
      <w:r>
        <w:rPr>
          <w:rFonts w:hint="eastAsia" w:ascii="Times New Roman" w:hAnsi="仿宋" w:eastAsia="宋体" w:cs="仿宋"/>
          <w:color w:val="auto"/>
          <w:spacing w:val="17"/>
          <w:sz w:val="28"/>
          <w:szCs w:val="32"/>
          <w:lang w:val="en-US" w:eastAsia="zh-CN"/>
        </w:rPr>
        <w:t>扣分项目为：绩效目标明确性扣2分，“三公”经费变动率扣0.5分，预算调整率扣2分，结转结余率扣1.04分，政府采购执行率扣1分，预决算信息公开性扣1分，资产管理完整性扣1分，项目质量达标率扣1分，部门预算绩效管理情况扣1分，部门项目评价率扣1.2分，提高小区卫生环境扣1分。共扣12.74分。</w:t>
      </w:r>
    </w:p>
    <w:bookmarkEnd w:id="44"/>
    <w:bookmarkEnd w:id="45"/>
    <w:p>
      <w:pPr>
        <w:pStyle w:val="2"/>
        <w:keepNext w:val="0"/>
        <w:keepLines w:val="0"/>
        <w:pageBreakBefore w:val="0"/>
        <w:widowControl w:val="0"/>
        <w:kinsoku/>
        <w:wordWrap/>
        <w:overflowPunct/>
        <w:topLinePunct w:val="0"/>
        <w:autoSpaceDE/>
        <w:autoSpaceDN/>
        <w:bidi w:val="0"/>
        <w:adjustRightInd/>
        <w:snapToGrid/>
        <w:spacing w:before="312" w:beforeLines="100" w:beforeAutospacing="0" w:after="156" w:afterLines="50" w:afterAutospacing="0" w:line="360" w:lineRule="auto"/>
        <w:ind w:left="0" w:leftChars="0" w:right="0" w:rightChars="0" w:firstLine="0" w:firstLineChars="0"/>
        <w:jc w:val="left"/>
        <w:textAlignment w:val="auto"/>
        <w:outlineLvl w:val="0"/>
        <w:rPr>
          <w:rFonts w:hint="eastAsia" w:ascii="Times New Roman" w:hAnsi="仿宋" w:eastAsia="宋体" w:cs="仿宋"/>
          <w:b/>
          <w:bCs/>
          <w:color w:val="auto"/>
          <w:spacing w:val="4"/>
          <w:sz w:val="32"/>
          <w:szCs w:val="32"/>
          <w:lang w:eastAsia="zh-CN"/>
        </w:rPr>
      </w:pPr>
      <w:bookmarkStart w:id="81" w:name="_Toc13388"/>
      <w:r>
        <w:rPr>
          <w:rFonts w:hint="eastAsia" w:ascii="Times New Roman" w:hAnsi="仿宋" w:eastAsia="宋体" w:cs="仿宋"/>
          <w:b/>
          <w:bCs/>
          <w:color w:val="auto"/>
          <w:spacing w:val="4"/>
          <w:sz w:val="32"/>
          <w:szCs w:val="32"/>
          <w:lang w:eastAsia="zh-CN"/>
        </w:rPr>
        <w:t>六、存在问题</w:t>
      </w:r>
    </w:p>
    <w:p>
      <w:pPr>
        <w:pStyle w:val="2"/>
        <w:keepNext w:val="0"/>
        <w:keepLines w:val="0"/>
        <w:pageBreakBefore w:val="0"/>
        <w:widowControl w:val="0"/>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color w:val="auto"/>
          <w:spacing w:val="4"/>
          <w:sz w:val="30"/>
          <w:szCs w:val="32"/>
          <w:lang w:val="en-US" w:eastAsia="zh-CN"/>
        </w:rPr>
      </w:pPr>
      <w:bookmarkStart w:id="82" w:name="_Toc16057"/>
      <w:r>
        <w:rPr>
          <w:rFonts w:hint="eastAsia" w:ascii="Times New Roman" w:hAnsi="仿宋" w:eastAsia="宋体" w:cs="仿宋"/>
          <w:b/>
          <w:bCs/>
          <w:color w:val="auto"/>
          <w:spacing w:val="4"/>
          <w:sz w:val="30"/>
          <w:szCs w:val="32"/>
          <w:lang w:eastAsia="zh-CN"/>
        </w:rPr>
        <w:t>（一）</w:t>
      </w:r>
      <w:bookmarkEnd w:id="82"/>
      <w:r>
        <w:rPr>
          <w:rFonts w:hint="eastAsia" w:ascii="Times New Roman" w:hAnsi="仿宋" w:eastAsia="宋体" w:cs="仿宋"/>
          <w:b/>
          <w:bCs/>
          <w:color w:val="auto"/>
          <w:spacing w:val="4"/>
          <w:sz w:val="30"/>
          <w:szCs w:val="32"/>
          <w:lang w:val="en-US" w:eastAsia="zh-CN"/>
        </w:rPr>
        <w:t>固定资产管理不规范</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76" w:firstLineChars="200"/>
        <w:textAlignment w:val="auto"/>
        <w:outlineLvl w:val="1"/>
        <w:rPr>
          <w:rFonts w:hint="eastAsia" w:ascii="Times New Roman" w:hAnsi="仿宋" w:eastAsia="宋体" w:cs="仿宋"/>
          <w:b w:val="0"/>
          <w:bCs w:val="0"/>
          <w:color w:val="auto"/>
          <w:spacing w:val="4"/>
          <w:sz w:val="28"/>
          <w:szCs w:val="32"/>
          <w:lang w:eastAsia="zh-CN"/>
        </w:rPr>
      </w:pPr>
      <w:r>
        <w:rPr>
          <w:rFonts w:hint="eastAsia" w:ascii="Times New Roman" w:hAnsi="仿宋" w:eastAsia="宋体" w:cs="仿宋"/>
          <w:b w:val="0"/>
          <w:bCs w:val="0"/>
          <w:color w:val="auto"/>
          <w:spacing w:val="4"/>
          <w:sz w:val="28"/>
          <w:szCs w:val="32"/>
          <w:lang w:val="en-US" w:eastAsia="zh-CN"/>
        </w:rPr>
        <w:t>评价组对石狮市住建局机关现场检查时发现，未对</w:t>
      </w:r>
      <w:r>
        <w:rPr>
          <w:rFonts w:hint="eastAsia" w:ascii="Times New Roman" w:hAnsi="仿宋" w:eastAsia="宋体" w:cs="仿宋"/>
          <w:b w:val="0"/>
          <w:bCs w:val="0"/>
          <w:color w:val="auto"/>
          <w:spacing w:val="4"/>
          <w:sz w:val="28"/>
          <w:szCs w:val="32"/>
          <w:lang w:eastAsia="zh-CN"/>
        </w:rPr>
        <w:t>办公</w:t>
      </w:r>
      <w:r>
        <w:rPr>
          <w:rFonts w:hint="eastAsia" w:ascii="Times New Roman" w:hAnsi="仿宋" w:eastAsia="宋体" w:cs="仿宋"/>
          <w:b w:val="0"/>
          <w:bCs w:val="0"/>
          <w:color w:val="auto"/>
          <w:spacing w:val="4"/>
          <w:sz w:val="28"/>
          <w:szCs w:val="32"/>
          <w:lang w:val="en-US" w:eastAsia="zh-CN"/>
        </w:rPr>
        <w:t>电脑、家具</w:t>
      </w:r>
      <w:r>
        <w:rPr>
          <w:rFonts w:hint="eastAsia" w:ascii="Times New Roman" w:hAnsi="仿宋" w:eastAsia="宋体" w:cs="仿宋"/>
          <w:b w:val="0"/>
          <w:bCs w:val="0"/>
          <w:color w:val="auto"/>
          <w:spacing w:val="4"/>
          <w:sz w:val="28"/>
          <w:szCs w:val="32"/>
          <w:lang w:eastAsia="zh-CN"/>
        </w:rPr>
        <w:t>等</w:t>
      </w:r>
      <w:r>
        <w:rPr>
          <w:rFonts w:hint="eastAsia" w:ascii="Times New Roman" w:hAnsi="仿宋" w:eastAsia="宋体" w:cs="仿宋"/>
          <w:b w:val="0"/>
          <w:bCs w:val="0"/>
          <w:color w:val="auto"/>
          <w:spacing w:val="4"/>
          <w:sz w:val="28"/>
          <w:szCs w:val="32"/>
          <w:lang w:val="en-US" w:eastAsia="zh-CN"/>
        </w:rPr>
        <w:t>张贴</w:t>
      </w:r>
      <w:r>
        <w:rPr>
          <w:rFonts w:hint="eastAsia" w:ascii="Times New Roman" w:hAnsi="仿宋" w:eastAsia="宋体" w:cs="仿宋"/>
          <w:b w:val="0"/>
          <w:bCs w:val="0"/>
          <w:color w:val="auto"/>
          <w:spacing w:val="4"/>
          <w:sz w:val="28"/>
          <w:szCs w:val="32"/>
          <w:lang w:eastAsia="zh-CN"/>
        </w:rPr>
        <w:t>固定资产</w:t>
      </w:r>
      <w:r>
        <w:rPr>
          <w:rFonts w:hint="eastAsia" w:ascii="Times New Roman" w:hAnsi="仿宋" w:eastAsia="宋体" w:cs="仿宋"/>
          <w:b w:val="0"/>
          <w:bCs w:val="0"/>
          <w:color w:val="auto"/>
          <w:spacing w:val="4"/>
          <w:sz w:val="28"/>
          <w:szCs w:val="32"/>
          <w:lang w:val="en-US" w:eastAsia="zh-CN"/>
        </w:rPr>
        <w:t>标识卡。一旦</w:t>
      </w:r>
      <w:r>
        <w:rPr>
          <w:rFonts w:hint="eastAsia" w:ascii="Times New Roman" w:hAnsi="仿宋" w:eastAsia="宋体" w:cs="仿宋"/>
          <w:b w:val="0"/>
          <w:bCs w:val="0"/>
          <w:color w:val="auto"/>
          <w:spacing w:val="4"/>
          <w:sz w:val="28"/>
          <w:szCs w:val="32"/>
          <w:lang w:eastAsia="zh-CN"/>
        </w:rPr>
        <w:t>资产发生损坏或丢失，</w:t>
      </w:r>
      <w:r>
        <w:rPr>
          <w:rFonts w:hint="eastAsia" w:ascii="Times New Roman" w:hAnsi="仿宋" w:eastAsia="宋体" w:cs="仿宋"/>
          <w:b w:val="0"/>
          <w:bCs w:val="0"/>
          <w:color w:val="auto"/>
          <w:spacing w:val="4"/>
          <w:sz w:val="28"/>
          <w:szCs w:val="32"/>
          <w:lang w:val="en-US" w:eastAsia="zh-CN"/>
        </w:rPr>
        <w:t>没有进行标识无法确认资产的使用情况和状态，容易导致资产的闲置浪费或者重复购置</w:t>
      </w:r>
      <w:r>
        <w:rPr>
          <w:rFonts w:hint="eastAsia" w:ascii="Times New Roman" w:hAnsi="仿宋" w:eastAsia="宋体" w:cs="仿宋"/>
          <w:b w:val="0"/>
          <w:bCs w:val="0"/>
          <w:color w:val="auto"/>
          <w:spacing w:val="4"/>
          <w:sz w:val="28"/>
          <w:szCs w:val="32"/>
          <w:lang w:eastAsia="zh-CN"/>
        </w:rPr>
        <w:t>，将对资产的管理带来很大的不利影响。</w:t>
      </w:r>
    </w:p>
    <w:p>
      <w:pPr>
        <w:keepNext w:val="0"/>
        <w:keepLines w:val="0"/>
        <w:pageBreakBefore w:val="0"/>
        <w:widowControl w:val="0"/>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color w:val="auto"/>
          <w:spacing w:val="4"/>
          <w:sz w:val="30"/>
          <w:szCs w:val="32"/>
          <w:highlight w:val="none"/>
          <w:lang w:val="en-US" w:eastAsia="zh-CN"/>
        </w:rPr>
      </w:pPr>
      <w:r>
        <w:rPr>
          <w:rFonts w:hint="eastAsia" w:ascii="Times New Roman" w:hAnsi="仿宋" w:eastAsia="宋体" w:cs="仿宋"/>
          <w:b/>
          <w:bCs/>
          <w:color w:val="auto"/>
          <w:spacing w:val="4"/>
          <w:sz w:val="30"/>
          <w:szCs w:val="32"/>
          <w:lang w:val="en-US" w:eastAsia="zh-CN"/>
        </w:rPr>
        <w:t>（二）对</w:t>
      </w:r>
      <w:r>
        <w:rPr>
          <w:rFonts w:hint="eastAsia" w:ascii="Times New Roman" w:hAnsi="仿宋" w:eastAsia="宋体" w:cs="仿宋"/>
          <w:b/>
          <w:bCs/>
          <w:color w:val="auto"/>
          <w:spacing w:val="4"/>
          <w:sz w:val="30"/>
          <w:szCs w:val="32"/>
          <w:highlight w:val="none"/>
          <w:lang w:val="en-US" w:eastAsia="zh-CN"/>
        </w:rPr>
        <w:t>施工过程的监管有待进一步加强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color w:val="auto"/>
          <w:spacing w:val="4"/>
          <w:sz w:val="28"/>
          <w:szCs w:val="32"/>
          <w:highlight w:val="none"/>
          <w:lang w:val="en-US" w:eastAsia="zh-CN"/>
        </w:rPr>
      </w:pPr>
      <w:r>
        <w:rPr>
          <w:rFonts w:hint="eastAsia" w:ascii="Times New Roman" w:hAnsi="仿宋" w:eastAsia="宋体" w:cs="仿宋"/>
          <w:color w:val="auto"/>
          <w:spacing w:val="4"/>
          <w:sz w:val="28"/>
          <w:szCs w:val="32"/>
          <w:highlight w:val="none"/>
          <w:lang w:val="en-US" w:eastAsia="zh-CN"/>
        </w:rPr>
        <w:t>评价组在检查石狮市建设工程质量安全站的2022年检测经费项目发现，存在见证取样和送检计划未按要求执行。以石狮世茂钞坑项目2013-10-03地块(一期)25#楼个别构件为例。经过取芯验证后发现，该构件不满足设计强度要求，给工程质量带来了潜在风险。建设工程质量安全站还需加强对施工过程的监督和检查，提升各方对工程质量的重视程度，从而减少类似事件的发生。</w:t>
      </w:r>
    </w:p>
    <w:p>
      <w:pPr>
        <w:keepNext w:val="0"/>
        <w:keepLines w:val="0"/>
        <w:pageBreakBefore w:val="0"/>
        <w:widowControl w:val="0"/>
        <w:numPr>
          <w:ilvl w:val="0"/>
          <w:numId w:val="0"/>
        </w:numPr>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color w:val="auto"/>
          <w:spacing w:val="4"/>
          <w:sz w:val="30"/>
          <w:szCs w:val="32"/>
          <w:highlight w:val="none"/>
          <w:lang w:val="en-US" w:eastAsia="zh-CN"/>
        </w:rPr>
      </w:pPr>
      <w:r>
        <w:rPr>
          <w:rFonts w:hint="eastAsia" w:ascii="Times New Roman" w:hAnsi="仿宋" w:eastAsia="宋体" w:cs="仿宋"/>
          <w:b/>
          <w:bCs/>
          <w:color w:val="auto"/>
          <w:spacing w:val="4"/>
          <w:sz w:val="30"/>
          <w:szCs w:val="32"/>
          <w:highlight w:val="none"/>
          <w:lang w:val="en-US" w:eastAsia="zh-CN"/>
        </w:rPr>
        <w:t>（三）后期督促整改力度不够</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color w:val="auto"/>
          <w:spacing w:val="4"/>
          <w:sz w:val="28"/>
          <w:szCs w:val="32"/>
          <w:lang w:val="en-US" w:eastAsia="zh-CN"/>
        </w:rPr>
      </w:pPr>
      <w:r>
        <w:rPr>
          <w:rFonts w:hint="eastAsia" w:ascii="Times New Roman" w:hAnsi="仿宋" w:eastAsia="宋体" w:cs="仿宋"/>
          <w:color w:val="auto"/>
          <w:spacing w:val="4"/>
          <w:sz w:val="28"/>
          <w:szCs w:val="32"/>
          <w:lang w:val="en-US" w:eastAsia="zh-CN"/>
        </w:rPr>
        <w:t>根据石狮市住房保障服务中心的物业管理大楼维护费项目的调研中，发现2022年度存在4个未按期整改情况。如，银昌新城（泉州市群洪物业管理有限公司）、地税嘉源（福建省鸿彬物业管理有限公司）、灵秀公租房（福建省名城嘉源商业管理服务有限公司）、凯旋名门（泉州市凯益物业管理有限公司）等小区都存在消防安全隐患问题。其中包括消防通道未标示、集中充电点线路不规范以及消控制度落实不到位等情况。对于未按期进行整改物业管理公司。石狮市住房保障服务中心需进一步加强监督和惩处力度。</w:t>
      </w:r>
    </w:p>
    <w:p>
      <w:pPr>
        <w:keepNext w:val="0"/>
        <w:keepLines w:val="0"/>
        <w:pageBreakBefore w:val="0"/>
        <w:widowControl w:val="0"/>
        <w:numPr>
          <w:ilvl w:val="0"/>
          <w:numId w:val="0"/>
        </w:numPr>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color w:val="auto"/>
          <w:spacing w:val="4"/>
          <w:kern w:val="2"/>
          <w:sz w:val="30"/>
          <w:szCs w:val="32"/>
          <w:lang w:val="en-US" w:eastAsia="zh-CN" w:bidi="ar-SA"/>
        </w:rPr>
      </w:pPr>
      <w:r>
        <w:rPr>
          <w:rFonts w:hint="eastAsia" w:ascii="Times New Roman" w:hAnsi="仿宋" w:eastAsia="宋体" w:cs="仿宋"/>
          <w:b/>
          <w:bCs/>
          <w:color w:val="auto"/>
          <w:spacing w:val="4"/>
          <w:kern w:val="2"/>
          <w:sz w:val="30"/>
          <w:szCs w:val="32"/>
          <w:lang w:val="en-US" w:eastAsia="zh-CN" w:bidi="ar-SA"/>
        </w:rPr>
        <w:t>（四）在建工程项目评价率较低</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color w:val="auto"/>
          <w:spacing w:val="4"/>
          <w:kern w:val="2"/>
          <w:sz w:val="28"/>
          <w:szCs w:val="32"/>
          <w:lang w:val="en-US" w:eastAsia="zh-CN" w:bidi="ar-SA"/>
        </w:rPr>
      </w:pPr>
      <w:r>
        <w:rPr>
          <w:rFonts w:hint="eastAsia" w:ascii="Times New Roman" w:hAnsi="仿宋" w:eastAsia="宋体" w:cs="仿宋"/>
          <w:color w:val="auto"/>
          <w:spacing w:val="4"/>
          <w:kern w:val="2"/>
          <w:sz w:val="28"/>
          <w:szCs w:val="32"/>
          <w:lang w:val="en-US" w:eastAsia="zh-CN" w:bidi="ar-SA"/>
        </w:rPr>
        <w:t>评价组在检查石狮市建设工程质量安全站的检测经费项目发现，2022年共有在建工程项目165个，已评价在建项目107个，受疫情的影响，存在56个在建工程项目无法按时进行监管记分评价，其中包括了各类规模大小的工程，项目评价率较低。</w:t>
      </w:r>
    </w:p>
    <w:p>
      <w:pPr>
        <w:pStyle w:val="2"/>
        <w:keepNext w:val="0"/>
        <w:keepLines w:val="0"/>
        <w:pageBreakBefore w:val="0"/>
        <w:widowControl w:val="0"/>
        <w:kinsoku/>
        <w:wordWrap/>
        <w:overflowPunct/>
        <w:topLinePunct w:val="0"/>
        <w:autoSpaceDE/>
        <w:autoSpaceDN/>
        <w:bidi w:val="0"/>
        <w:adjustRightInd/>
        <w:snapToGrid/>
        <w:spacing w:before="312" w:beforeLines="100" w:beforeAutospacing="0" w:after="156" w:afterLines="50" w:afterAutospacing="0" w:line="360" w:lineRule="auto"/>
        <w:ind w:left="0" w:leftChars="0" w:right="0" w:rightChars="0" w:firstLine="0" w:firstLineChars="0"/>
        <w:jc w:val="left"/>
        <w:textAlignment w:val="auto"/>
        <w:outlineLvl w:val="0"/>
        <w:rPr>
          <w:rFonts w:hint="eastAsia" w:ascii="Times New Roman" w:hAnsi="仿宋" w:eastAsia="宋体" w:cs="仿宋"/>
          <w:b/>
          <w:bCs/>
          <w:color w:val="auto"/>
          <w:spacing w:val="4"/>
          <w:sz w:val="32"/>
          <w:szCs w:val="32"/>
        </w:rPr>
      </w:pPr>
      <w:r>
        <w:rPr>
          <w:rFonts w:hint="eastAsia" w:ascii="Times New Roman" w:hAnsi="仿宋" w:eastAsia="宋体" w:cs="仿宋"/>
          <w:b/>
          <w:bCs/>
          <w:color w:val="auto"/>
          <w:spacing w:val="4"/>
          <w:sz w:val="32"/>
          <w:szCs w:val="32"/>
        </w:rPr>
        <w:t>七、提出建议</w:t>
      </w:r>
      <w:bookmarkEnd w:id="81"/>
    </w:p>
    <w:p>
      <w:pPr>
        <w:pStyle w:val="2"/>
        <w:keepNext w:val="0"/>
        <w:keepLines w:val="0"/>
        <w:pageBreakBefore w:val="0"/>
        <w:widowControl w:val="0"/>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color w:val="auto"/>
          <w:spacing w:val="4"/>
          <w:sz w:val="30"/>
          <w:szCs w:val="32"/>
          <w:lang w:eastAsia="zh-CN"/>
        </w:rPr>
      </w:pPr>
      <w:bookmarkStart w:id="83" w:name="_Toc831"/>
      <w:r>
        <w:rPr>
          <w:rFonts w:hint="eastAsia" w:ascii="Times New Roman" w:hAnsi="仿宋" w:eastAsia="宋体" w:cs="仿宋"/>
          <w:b/>
          <w:bCs/>
          <w:color w:val="auto"/>
          <w:spacing w:val="4"/>
          <w:sz w:val="30"/>
          <w:szCs w:val="32"/>
        </w:rPr>
        <w:t>（一）</w:t>
      </w:r>
      <w:bookmarkEnd w:id="83"/>
      <w:r>
        <w:rPr>
          <w:rFonts w:hint="eastAsia" w:ascii="Times New Roman" w:hAnsi="仿宋" w:eastAsia="宋体" w:cs="仿宋"/>
          <w:b/>
          <w:bCs/>
          <w:color w:val="auto"/>
          <w:spacing w:val="4"/>
          <w:sz w:val="30"/>
          <w:szCs w:val="32"/>
        </w:rPr>
        <w:t>加强对固定资产管理的规范化建设</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default" w:ascii="Times New Roman" w:eastAsia="宋体"/>
          <w:color w:val="auto"/>
          <w:sz w:val="28"/>
          <w:lang w:val="en-US" w:eastAsia="zh-CN"/>
        </w:rPr>
      </w:pPr>
      <w:r>
        <w:rPr>
          <w:rFonts w:hint="eastAsia" w:ascii="Times New Roman" w:hAnsi="仿宋" w:eastAsia="宋体" w:cs="仿宋"/>
          <w:color w:val="auto"/>
          <w:spacing w:val="4"/>
          <w:kern w:val="2"/>
          <w:sz w:val="28"/>
          <w:szCs w:val="32"/>
          <w:lang w:val="en-US" w:eastAsia="zh-CN" w:bidi="ar-SA"/>
        </w:rPr>
        <w:t>石狮市住建局应该高度重视固定资产标识卡的管理，保障资产使用情况和标识卡相一致，并建立完善的固定资产管理制度和流程，明确资产的归属和责任人。同时，还应该加强资产的清点和管理，定期进行盘点和折旧计算等工作，确保资产的正常使用和维护。通过运用资产管理软件系统等信息化手段，实现对固定资产的实时监控和管理。</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color w:val="auto"/>
          <w:spacing w:val="4"/>
          <w:sz w:val="30"/>
          <w:szCs w:val="32"/>
        </w:rPr>
      </w:pPr>
      <w:r>
        <w:rPr>
          <w:rFonts w:hint="eastAsia" w:ascii="Times New Roman" w:hAnsi="仿宋" w:eastAsia="宋体" w:cs="仿宋"/>
          <w:b/>
          <w:bCs/>
          <w:color w:val="auto"/>
          <w:spacing w:val="4"/>
          <w:sz w:val="30"/>
          <w:szCs w:val="32"/>
          <w:lang w:eastAsia="zh-CN"/>
        </w:rPr>
        <w:t>（</w:t>
      </w:r>
      <w:r>
        <w:rPr>
          <w:rFonts w:hint="eastAsia" w:ascii="Times New Roman" w:hAnsi="仿宋" w:eastAsia="宋体" w:cs="仿宋"/>
          <w:b/>
          <w:bCs/>
          <w:color w:val="auto"/>
          <w:spacing w:val="4"/>
          <w:sz w:val="30"/>
          <w:szCs w:val="32"/>
          <w:lang w:val="en-US" w:eastAsia="zh-CN"/>
        </w:rPr>
        <w:t>二</w:t>
      </w:r>
      <w:r>
        <w:rPr>
          <w:rFonts w:hint="eastAsia" w:ascii="Times New Roman" w:hAnsi="仿宋" w:eastAsia="宋体" w:cs="仿宋"/>
          <w:b/>
          <w:bCs/>
          <w:color w:val="auto"/>
          <w:spacing w:val="4"/>
          <w:sz w:val="30"/>
          <w:szCs w:val="32"/>
          <w:lang w:eastAsia="zh-CN"/>
        </w:rPr>
        <w:t>）</w:t>
      </w:r>
      <w:r>
        <w:rPr>
          <w:rFonts w:hint="eastAsia" w:ascii="Times New Roman" w:hAnsi="仿宋" w:eastAsia="宋体" w:cs="仿宋"/>
          <w:b/>
          <w:bCs/>
          <w:color w:val="auto"/>
          <w:spacing w:val="4"/>
          <w:sz w:val="30"/>
          <w:szCs w:val="32"/>
          <w:lang w:val="en-US" w:eastAsia="zh-CN"/>
        </w:rPr>
        <w:t>提高各方责任意识，</w:t>
      </w:r>
      <w:r>
        <w:rPr>
          <w:rFonts w:hint="eastAsia" w:ascii="Times New Roman" w:hAnsi="仿宋" w:eastAsia="宋体" w:cs="仿宋"/>
          <w:b/>
          <w:bCs/>
          <w:color w:val="auto"/>
          <w:spacing w:val="4"/>
          <w:sz w:val="30"/>
          <w:szCs w:val="32"/>
        </w:rPr>
        <w:t>建立健全管控体系</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lang w:val="en-US" w:eastAsia="zh-CN"/>
        </w:rPr>
        <w:t>首先，需明确参建各方在见证取样和送检过程中的职责与义务，确保每一个环节都能够得到有效监督和控制。加强对于见证取样和送检计划编制的规范性指导，确保计划的具体部位清晰明确。同时，还需要建立健全的质量管理体系，加强对于材料、施工工艺等关键环节的监督和把控。</w:t>
      </w:r>
      <w:r>
        <w:rPr>
          <w:rFonts w:hint="eastAsia" w:ascii="Times New Roman" w:hAnsi="仿宋" w:eastAsia="宋体" w:cs="仿宋"/>
          <w:color w:val="auto"/>
          <w:spacing w:val="4"/>
          <w:sz w:val="28"/>
          <w:szCs w:val="32"/>
          <w:lang w:eastAsia="zh-CN"/>
        </w:rPr>
        <w:t>按照</w:t>
      </w:r>
      <w:r>
        <w:rPr>
          <w:rFonts w:hint="eastAsia" w:ascii="Times New Roman" w:hAnsi="仿宋" w:eastAsia="宋体" w:cs="仿宋"/>
          <w:color w:val="auto"/>
          <w:spacing w:val="4"/>
          <w:sz w:val="28"/>
          <w:szCs w:val="32"/>
        </w:rPr>
        <w:t>《泉州市工程质量检测机构管理规定》</w:t>
      </w:r>
      <w:r>
        <w:rPr>
          <w:rFonts w:hint="eastAsia" w:ascii="Times New Roman" w:hAnsi="仿宋" w:eastAsia="宋体" w:cs="仿宋"/>
          <w:color w:val="auto"/>
          <w:spacing w:val="4"/>
          <w:sz w:val="28"/>
          <w:szCs w:val="32"/>
          <w:lang w:eastAsia="zh-CN"/>
        </w:rPr>
        <w:t>落实，</w:t>
      </w:r>
      <w:r>
        <w:rPr>
          <w:rFonts w:hint="eastAsia" w:ascii="Times New Roman" w:hAnsi="仿宋" w:eastAsia="宋体" w:cs="仿宋"/>
          <w:color w:val="auto"/>
          <w:spacing w:val="4"/>
          <w:sz w:val="28"/>
          <w:szCs w:val="32"/>
        </w:rPr>
        <w:t>严格要求工程参建单位加强危大工程专项方案编制、审查、论证、审批、验收等环节管理。</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color w:val="auto"/>
          <w:spacing w:val="4"/>
          <w:kern w:val="2"/>
          <w:sz w:val="30"/>
          <w:szCs w:val="32"/>
          <w:lang w:val="en-US" w:eastAsia="zh-CN" w:bidi="ar-SA"/>
        </w:rPr>
      </w:pPr>
      <w:r>
        <w:rPr>
          <w:rFonts w:hint="eastAsia" w:ascii="Times New Roman" w:hAnsi="仿宋" w:eastAsia="宋体" w:cs="仿宋"/>
          <w:b/>
          <w:bCs/>
          <w:color w:val="auto"/>
          <w:spacing w:val="4"/>
          <w:kern w:val="2"/>
          <w:sz w:val="30"/>
          <w:szCs w:val="32"/>
          <w:lang w:val="en-US" w:eastAsia="zh-CN" w:bidi="ar-SA"/>
        </w:rPr>
        <w:t>（三）加大对物业公司的监督力度，督促物业整改到位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color w:val="auto"/>
          <w:spacing w:val="4"/>
          <w:kern w:val="2"/>
          <w:sz w:val="28"/>
          <w:szCs w:val="32"/>
          <w:lang w:val="en-US" w:eastAsia="zh-CN" w:bidi="ar-SA"/>
        </w:rPr>
      </w:pPr>
      <w:r>
        <w:rPr>
          <w:rFonts w:hint="eastAsia" w:ascii="Times New Roman" w:hAnsi="仿宋" w:eastAsia="宋体" w:cs="仿宋"/>
          <w:color w:val="auto"/>
          <w:spacing w:val="4"/>
          <w:kern w:val="2"/>
          <w:sz w:val="28"/>
          <w:szCs w:val="32"/>
          <w:lang w:val="en-US" w:eastAsia="zh-CN" w:bidi="ar-SA"/>
        </w:rPr>
        <w:t>督促物业管理公司严格按照《石狮市物业服务质量评价方案》（狮住建〔2022〕17号）的规定限期进行整改，并建立健全相应的监督机制。对集中充电点的线路进行定期检查和维护，确保其符合安全标准。加强小区消防安全宣传，提高广大业主消防安全意识，让业主反向推动小区物业监督落实各项消防安全措施。</w:t>
      </w:r>
    </w:p>
    <w:p>
      <w:pPr>
        <w:keepNext w:val="0"/>
        <w:keepLines w:val="0"/>
        <w:pageBreakBefore w:val="0"/>
        <w:widowControl w:val="0"/>
        <w:numPr>
          <w:ilvl w:val="0"/>
          <w:numId w:val="0"/>
        </w:numPr>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color w:val="auto"/>
          <w:spacing w:val="4"/>
          <w:kern w:val="2"/>
          <w:sz w:val="30"/>
          <w:szCs w:val="32"/>
          <w:lang w:val="en-US" w:eastAsia="zh-CN" w:bidi="ar-SA"/>
        </w:rPr>
      </w:pPr>
      <w:r>
        <w:rPr>
          <w:rFonts w:hint="eastAsia" w:ascii="Times New Roman" w:hAnsi="仿宋" w:eastAsia="宋体" w:cs="仿宋"/>
          <w:b/>
          <w:bCs/>
          <w:color w:val="auto"/>
          <w:spacing w:val="4"/>
          <w:kern w:val="2"/>
          <w:sz w:val="30"/>
          <w:szCs w:val="32"/>
          <w:lang w:val="en-US" w:eastAsia="zh-CN" w:bidi="ar-SA"/>
        </w:rPr>
        <w:t>（四）加强对工程单位的指导，</w:t>
      </w:r>
      <w:bookmarkStart w:id="84" w:name="_Toc10135"/>
      <w:bookmarkStart w:id="85" w:name="_Toc9830"/>
      <w:r>
        <w:rPr>
          <w:rFonts w:hint="eastAsia" w:ascii="Times New Roman" w:hAnsi="仿宋" w:eastAsia="宋体" w:cs="仿宋"/>
          <w:b/>
          <w:bCs/>
          <w:color w:val="auto"/>
          <w:spacing w:val="4"/>
          <w:kern w:val="2"/>
          <w:sz w:val="30"/>
          <w:szCs w:val="32"/>
          <w:lang w:val="en-US" w:eastAsia="zh-CN" w:bidi="ar-SA"/>
        </w:rPr>
        <w:t>提高项目评价率</w:t>
      </w:r>
    </w:p>
    <w:p>
      <w:pPr>
        <w:pStyle w:val="4"/>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b w:val="0"/>
          <w:color w:val="auto"/>
          <w:spacing w:val="4"/>
          <w:kern w:val="2"/>
          <w:sz w:val="28"/>
          <w:szCs w:val="32"/>
          <w:lang w:val="en-US" w:eastAsia="zh-CN" w:bidi="ar-SA"/>
        </w:rPr>
      </w:pPr>
      <w:r>
        <w:rPr>
          <w:rFonts w:hint="eastAsia" w:ascii="Times New Roman" w:hAnsi="仿宋" w:eastAsia="宋体" w:cs="仿宋"/>
          <w:b w:val="0"/>
          <w:color w:val="auto"/>
          <w:spacing w:val="4"/>
          <w:kern w:val="2"/>
          <w:sz w:val="28"/>
          <w:szCs w:val="32"/>
          <w:lang w:val="en-US" w:eastAsia="zh-CN" w:bidi="ar-SA"/>
        </w:rPr>
        <w:t>未进行监管记分评价的项目存在一定风险。为确保建工程项目的安全性和质量，建议在考虑到疫情不确定性的情况下，指导工程单位制定合理计划，并着力提升整体创建质量和提前规划。为此，石狮市建设工程质量安全站应加强与工程单位的沟通与合作。可采取线上方式对未进行监管记分评价的项目进行远程检查和审核，以确保项目的安全和质量不受影响。同时，还需加强对工程单位的指导和培训，提高其自身的管理水平和风险防范意识。</w:t>
      </w:r>
    </w:p>
    <w:p>
      <w:pPr>
        <w:pStyle w:val="4"/>
        <w:keepNext w:val="0"/>
        <w:keepLines w:val="0"/>
        <w:pageBreakBefore w:val="0"/>
        <w:widowControl w:val="0"/>
        <w:kinsoku/>
        <w:wordWrap/>
        <w:overflowPunct/>
        <w:topLinePunct w:val="0"/>
        <w:autoSpaceDE/>
        <w:autoSpaceDN/>
        <w:bidi w:val="0"/>
        <w:adjustRightInd/>
        <w:snapToGrid/>
        <w:spacing w:before="312" w:beforeLines="100" w:beforeAutospacing="0" w:after="156" w:afterLines="50" w:afterAutospacing="0" w:line="360" w:lineRule="auto"/>
        <w:ind w:left="0" w:leftChars="0" w:right="0" w:rightChars="0" w:firstLine="0" w:firstLineChars="0"/>
        <w:jc w:val="left"/>
        <w:textAlignment w:val="auto"/>
        <w:outlineLvl w:val="0"/>
        <w:rPr>
          <w:rFonts w:hint="eastAsia" w:ascii="Times New Roman" w:hAnsi="仿宋" w:eastAsia="宋体" w:cs="仿宋"/>
          <w:b/>
          <w:bCs/>
          <w:color w:val="auto"/>
          <w:spacing w:val="4"/>
          <w:kern w:val="2"/>
          <w:sz w:val="32"/>
          <w:szCs w:val="32"/>
          <w:lang w:val="en-US" w:eastAsia="zh-CN" w:bidi="ar-SA"/>
        </w:rPr>
      </w:pPr>
      <w:r>
        <w:rPr>
          <w:rFonts w:hint="eastAsia" w:ascii="Times New Roman" w:hAnsi="仿宋" w:eastAsia="宋体" w:cs="仿宋"/>
          <w:b/>
          <w:bCs/>
          <w:color w:val="auto"/>
          <w:spacing w:val="4"/>
          <w:kern w:val="2"/>
          <w:sz w:val="32"/>
          <w:szCs w:val="32"/>
          <w:lang w:val="en-US" w:eastAsia="zh-CN" w:bidi="ar-SA"/>
        </w:rPr>
        <w:t>八、其他需要说明的问题</w:t>
      </w:r>
      <w:bookmarkEnd w:id="84"/>
      <w:bookmarkEnd w:id="85"/>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本报告中“2022年度石狮市住房和城乡建设局部门整体支出”相关数据，均以项目单位提供的项目支出明细账、财务报表为来源依据。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textAlignment w:val="auto"/>
        <w:rPr>
          <w:rFonts w:hint="eastAsia" w:ascii="Times New Roman" w:hAnsi="仿宋" w:eastAsia="宋体" w:cs="仿宋"/>
          <w:color w:val="auto"/>
          <w:spacing w:val="4"/>
          <w:sz w:val="28"/>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jc w:val="right"/>
        <w:textAlignment w:val="auto"/>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泉州市启程财务咨询有限公司</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76" w:firstLineChars="200"/>
        <w:jc w:val="center"/>
        <w:textAlignment w:val="auto"/>
        <w:rPr>
          <w:rFonts w:hint="eastAsia" w:ascii="Times New Roman" w:hAnsi="宋体" w:eastAsia="宋体" w:cs="宋体"/>
          <w:color w:val="auto"/>
          <w:sz w:val="28"/>
          <w:szCs w:val="32"/>
        </w:rPr>
      </w:pPr>
      <w:r>
        <w:rPr>
          <w:rFonts w:hint="eastAsia" w:ascii="Times New Roman" w:hAnsi="仿宋" w:eastAsia="宋体" w:cs="仿宋"/>
          <w:color w:val="auto"/>
          <w:spacing w:val="4"/>
          <w:sz w:val="28"/>
          <w:szCs w:val="32"/>
          <w:lang w:val="en-US" w:eastAsia="zh-CN"/>
        </w:rPr>
        <w:t xml:space="preserve">                            </w:t>
      </w:r>
      <w:r>
        <w:rPr>
          <w:rFonts w:hint="eastAsia" w:ascii="Times New Roman" w:hAnsi="仿宋" w:eastAsia="宋体" w:cs="仿宋"/>
          <w:color w:val="auto"/>
          <w:spacing w:val="4"/>
          <w:sz w:val="28"/>
          <w:szCs w:val="32"/>
        </w:rPr>
        <w:t>2023年</w:t>
      </w:r>
      <w:r>
        <w:rPr>
          <w:rFonts w:hint="eastAsia" w:ascii="Times New Roman" w:hAnsi="仿宋" w:eastAsia="宋体" w:cs="仿宋"/>
          <w:color w:val="auto"/>
          <w:spacing w:val="4"/>
          <w:sz w:val="28"/>
          <w:szCs w:val="32"/>
          <w:lang w:val="en-US" w:eastAsia="zh-CN"/>
        </w:rPr>
        <w:t>6</w:t>
      </w:r>
      <w:r>
        <w:rPr>
          <w:rFonts w:hint="eastAsia" w:ascii="Times New Roman" w:hAnsi="仿宋" w:eastAsia="宋体" w:cs="仿宋"/>
          <w:color w:val="auto"/>
          <w:spacing w:val="4"/>
          <w:sz w:val="28"/>
          <w:szCs w:val="32"/>
        </w:rPr>
        <w:t>月</w:t>
      </w:r>
      <w:r>
        <w:rPr>
          <w:rFonts w:hint="eastAsia" w:ascii="Times New Roman" w:hAnsi="仿宋" w:eastAsia="宋体" w:cs="仿宋"/>
          <w:color w:val="auto"/>
          <w:spacing w:val="4"/>
          <w:sz w:val="28"/>
          <w:szCs w:val="32"/>
          <w:lang w:val="en-US" w:eastAsia="zh-CN"/>
        </w:rPr>
        <w:t>20</w:t>
      </w:r>
      <w:r>
        <w:rPr>
          <w:rFonts w:hint="eastAsia" w:ascii="Times New Roman" w:hAnsi="仿宋" w:eastAsia="宋体" w:cs="仿宋"/>
          <w:color w:val="auto"/>
          <w:spacing w:val="4"/>
          <w:sz w:val="28"/>
          <w:szCs w:val="32"/>
        </w:rPr>
        <w:t>日</w:t>
      </w:r>
    </w:p>
    <w:p>
      <w:pPr>
        <w:pStyle w:val="3"/>
        <w:rPr>
          <w:rFonts w:hint="eastAsia" w:ascii="Times New Roman" w:hAnsi="宋体" w:eastAsia="宋体" w:cs="宋体"/>
          <w:color w:val="auto"/>
          <w:sz w:val="28"/>
          <w:szCs w:val="32"/>
        </w:rPr>
      </w:pPr>
    </w:p>
    <w:p>
      <w:pPr>
        <w:pStyle w:val="3"/>
        <w:rPr>
          <w:rFonts w:hint="eastAsia" w:ascii="Times New Roman" w:hAnsi="宋体" w:eastAsia="宋体" w:cs="宋体"/>
          <w:color w:val="auto"/>
          <w:sz w:val="28"/>
          <w:szCs w:val="32"/>
        </w:rPr>
      </w:pPr>
    </w:p>
    <w:p>
      <w:pPr>
        <w:snapToGrid/>
        <w:spacing w:beforeAutospacing="0" w:afterAutospacing="0" w:line="360" w:lineRule="auto"/>
        <w:ind w:left="0" w:leftChars="0" w:firstLine="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附件一：</w:t>
      </w:r>
    </w:p>
    <w:p>
      <w:pPr>
        <w:snapToGrid/>
        <w:spacing w:beforeAutospacing="0" w:afterAutospacing="0" w:line="360" w:lineRule="auto"/>
        <w:ind w:left="0" w:leftChars="0" w:firstLine="0"/>
        <w:jc w:val="center"/>
        <w:rPr>
          <w:rFonts w:hint="eastAsia" w:ascii="Times New Roman" w:hAnsi="仿宋" w:eastAsia="宋体" w:cs="仿宋"/>
          <w:b/>
          <w:bCs/>
          <w:color w:val="auto"/>
          <w:spacing w:val="4"/>
          <w:sz w:val="28"/>
          <w:szCs w:val="32"/>
        </w:rPr>
      </w:pPr>
      <w:r>
        <w:rPr>
          <w:rFonts w:hint="eastAsia" w:ascii="Times New Roman" w:hAnsi="仿宋" w:eastAsia="宋体" w:cs="仿宋"/>
          <w:b/>
          <w:bCs/>
          <w:color w:val="auto"/>
          <w:spacing w:val="4"/>
          <w:sz w:val="28"/>
          <w:szCs w:val="32"/>
        </w:rPr>
        <w:t>2022年度石狮市住房和城乡建设局部门整体支出</w:t>
      </w:r>
    </w:p>
    <w:p>
      <w:pPr>
        <w:snapToGrid/>
        <w:spacing w:beforeAutospacing="0" w:afterAutospacing="0" w:line="360" w:lineRule="auto"/>
        <w:ind w:left="0" w:leftChars="0" w:firstLine="0"/>
        <w:jc w:val="center"/>
        <w:rPr>
          <w:rFonts w:hint="eastAsia" w:ascii="Times New Roman" w:hAnsi="仿宋" w:eastAsia="宋体" w:cs="仿宋"/>
          <w:b/>
          <w:bCs/>
          <w:color w:val="auto"/>
          <w:spacing w:val="4"/>
          <w:sz w:val="28"/>
          <w:szCs w:val="32"/>
        </w:rPr>
      </w:pPr>
      <w:r>
        <w:rPr>
          <w:rFonts w:hint="eastAsia" w:ascii="Times New Roman" w:hAnsi="仿宋" w:eastAsia="宋体" w:cs="仿宋"/>
          <w:b/>
          <w:bCs/>
          <w:color w:val="auto"/>
          <w:spacing w:val="4"/>
          <w:sz w:val="28"/>
          <w:szCs w:val="32"/>
        </w:rPr>
        <w:t>满意度调查问卷</w:t>
      </w:r>
    </w:p>
    <w:p>
      <w:pPr>
        <w:snapToGrid/>
        <w:spacing w:beforeAutospacing="0" w:afterAutospacing="0" w:line="360" w:lineRule="auto"/>
        <w:ind w:left="0" w:leftChars="0" w:firstLine="0"/>
        <w:jc w:val="center"/>
        <w:rPr>
          <w:rFonts w:hint="eastAsia" w:ascii="Times New Roman" w:hAnsi="仿宋" w:eastAsia="宋体" w:cs="仿宋"/>
          <w:b/>
          <w:bCs/>
          <w:color w:val="auto"/>
          <w:spacing w:val="4"/>
          <w:sz w:val="28"/>
          <w:szCs w:val="32"/>
        </w:rPr>
      </w:pPr>
    </w:p>
    <w:p>
      <w:pPr>
        <w:snapToGrid/>
        <w:spacing w:beforeAutospacing="0" w:afterAutospacing="0" w:line="360" w:lineRule="auto"/>
        <w:ind w:left="0" w:leftChars="0" w:firstLine="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尊敬的填表人：</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我们接受石狮市财政局委托，现对石狮市住房和城乡建设局部门整体支出进行绩效评价。为了充分了解该单位整体支出的产出效益，现需进行该项目满意度调查，敬请配合，不胜感谢！</w:t>
      </w:r>
    </w:p>
    <w:p>
      <w:pPr>
        <w:snapToGrid/>
        <w:spacing w:beforeAutospacing="0" w:afterAutospacing="0" w:line="360" w:lineRule="auto"/>
        <w:ind w:left="0" w:leftChars="0" w:firstLine="576" w:firstLineChars="200"/>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此致！</w:t>
      </w:r>
    </w:p>
    <w:p>
      <w:pPr>
        <w:snapToGrid/>
        <w:spacing w:beforeAutospacing="0" w:afterAutospacing="0" w:line="360" w:lineRule="auto"/>
        <w:ind w:left="0" w:leftChars="0" w:firstLine="560" w:firstLineChars="200"/>
        <w:rPr>
          <w:rFonts w:hint="eastAsia" w:ascii="Times New Roman" w:hAnsi="仿宋" w:eastAsia="宋体" w:cs="仿宋"/>
          <w:color w:val="auto"/>
          <w:sz w:val="28"/>
          <w:szCs w:val="32"/>
        </w:rPr>
      </w:pPr>
      <w:r>
        <w:rPr>
          <w:rFonts w:hint="eastAsia" w:ascii="Times New Roman" w:hAnsi="仿宋" w:eastAsia="宋体" w:cs="仿宋"/>
          <w:color w:val="auto"/>
          <w:sz w:val="28"/>
          <w:szCs w:val="32"/>
        </w:rPr>
        <w:t>请在所选答案的序号上划“√”，或将答案填写在相应的横线上</w:t>
      </w:r>
    </w:p>
    <w:p>
      <w:pPr>
        <w:snapToGrid/>
        <w:spacing w:beforeAutospacing="0" w:afterAutospacing="0" w:line="360" w:lineRule="auto"/>
        <w:ind w:left="0" w:leftChars="0" w:firstLine="0"/>
        <w:jc w:val="left"/>
        <w:rPr>
          <w:rFonts w:hint="eastAsia" w:ascii="Times New Roman" w:hAnsi="仿宋" w:eastAsia="宋体" w:cs="仿宋"/>
          <w:color w:val="auto"/>
          <w:sz w:val="28"/>
          <w:szCs w:val="32"/>
        </w:rPr>
      </w:pPr>
    </w:p>
    <w:p>
      <w:pPr>
        <w:pStyle w:val="2"/>
        <w:snapToGrid/>
        <w:spacing w:beforeAutospacing="0" w:afterAutospacing="0" w:line="360" w:lineRule="auto"/>
        <w:ind w:left="0" w:leftChars="0" w:firstLine="0"/>
        <w:rPr>
          <w:rFonts w:hint="eastAsia" w:ascii="Times New Roman" w:hAnsi="仿宋" w:eastAsia="宋体" w:cs="仿宋"/>
          <w:color w:val="auto"/>
          <w:sz w:val="28"/>
          <w:szCs w:val="32"/>
        </w:rPr>
      </w:pPr>
    </w:p>
    <w:p>
      <w:pPr>
        <w:pStyle w:val="24"/>
        <w:snapToGrid/>
        <w:spacing w:beforeAutospacing="0" w:afterAutospacing="0" w:line="360" w:lineRule="auto"/>
        <w:ind w:left="0" w:leftChars="0" w:firstLine="560" w:firstLineChars="200"/>
        <w:rPr>
          <w:rFonts w:hint="eastAsia" w:ascii="Times New Roman" w:hAnsi="仿宋" w:eastAsia="宋体" w:cs="仿宋"/>
          <w:color w:val="auto"/>
          <w:sz w:val="28"/>
          <w:szCs w:val="32"/>
        </w:rPr>
      </w:pPr>
    </w:p>
    <w:p>
      <w:pPr>
        <w:snapToGrid/>
        <w:spacing w:beforeAutospacing="0" w:afterAutospacing="0" w:line="360" w:lineRule="auto"/>
        <w:ind w:left="0" w:leftChars="0" w:firstLine="0"/>
        <w:jc w:val="right"/>
        <w:rPr>
          <w:rFonts w:hint="eastAsia" w:ascii="Times New Roman" w:hAnsi="仿宋" w:eastAsia="宋体" w:cs="仿宋"/>
          <w:color w:val="auto"/>
          <w:spacing w:val="4"/>
          <w:sz w:val="28"/>
          <w:szCs w:val="32"/>
        </w:rPr>
      </w:pPr>
      <w:r>
        <w:rPr>
          <w:rFonts w:hint="eastAsia" w:ascii="Times New Roman" w:hAnsi="仿宋" w:eastAsia="宋体" w:cs="仿宋"/>
          <w:color w:val="auto"/>
          <w:spacing w:val="4"/>
          <w:sz w:val="28"/>
          <w:szCs w:val="32"/>
        </w:rPr>
        <w:t xml:space="preserve">泉州市启程财务咨询有限公司     </w:t>
      </w:r>
    </w:p>
    <w:p>
      <w:pPr>
        <w:snapToGrid/>
        <w:spacing w:beforeAutospacing="0" w:afterAutospacing="0" w:line="360" w:lineRule="auto"/>
        <w:ind w:left="0" w:leftChars="0" w:firstLine="5472" w:firstLineChars="1900"/>
        <w:rPr>
          <w:rFonts w:hint="eastAsia" w:ascii="Times New Roman" w:hAnsi="仿宋" w:eastAsia="宋体" w:cs="仿宋"/>
          <w:color w:val="auto"/>
          <w:spacing w:val="4"/>
          <w:sz w:val="28"/>
          <w:szCs w:val="28"/>
        </w:rPr>
      </w:pPr>
      <w:r>
        <w:rPr>
          <w:rFonts w:hint="eastAsia" w:ascii="Times New Roman" w:hAnsi="仿宋" w:eastAsia="宋体" w:cs="仿宋"/>
          <w:color w:val="auto"/>
          <w:spacing w:val="4"/>
          <w:sz w:val="28"/>
          <w:szCs w:val="32"/>
        </w:rPr>
        <w:t xml:space="preserve">年    月    日 </w:t>
      </w:r>
      <w:r>
        <w:rPr>
          <w:rFonts w:hint="eastAsia" w:ascii="Times New Roman" w:hAnsi="仿宋" w:eastAsia="宋体" w:cs="仿宋"/>
          <w:color w:val="auto"/>
          <w:spacing w:val="4"/>
          <w:sz w:val="28"/>
          <w:szCs w:val="28"/>
        </w:rPr>
        <w:t xml:space="preserve"> </w:t>
      </w:r>
    </w:p>
    <w:p>
      <w:pPr>
        <w:snapToGrid/>
        <w:spacing w:beforeAutospacing="0" w:afterAutospacing="0" w:line="360" w:lineRule="auto"/>
        <w:ind w:left="0" w:leftChars="0" w:firstLine="576" w:firstLineChars="200"/>
        <w:rPr>
          <w:rFonts w:hint="eastAsia" w:ascii="Times New Roman" w:hAnsi="宋体" w:eastAsia="宋体" w:cs="宋体"/>
          <w:color w:val="auto"/>
          <w:spacing w:val="4"/>
          <w:sz w:val="28"/>
          <w:szCs w:val="22"/>
        </w:rPr>
      </w:pPr>
    </w:p>
    <w:p>
      <w:pPr>
        <w:snapToGrid/>
        <w:spacing w:beforeAutospacing="0" w:afterAutospacing="0" w:line="360" w:lineRule="auto"/>
        <w:ind w:left="0" w:leftChars="0" w:firstLine="576" w:firstLineChars="200"/>
        <w:rPr>
          <w:rFonts w:hint="eastAsia" w:ascii="Times New Roman" w:hAnsi="宋体" w:eastAsia="宋体" w:cs="宋体"/>
          <w:color w:val="auto"/>
          <w:spacing w:val="4"/>
          <w:sz w:val="28"/>
          <w:szCs w:val="22"/>
        </w:rPr>
      </w:pPr>
    </w:p>
    <w:p>
      <w:pPr>
        <w:snapToGrid/>
        <w:spacing w:beforeAutospacing="0" w:afterAutospacing="0" w:line="360" w:lineRule="auto"/>
        <w:ind w:left="0" w:leftChars="0" w:firstLine="576" w:firstLineChars="200"/>
        <w:rPr>
          <w:rFonts w:hint="eastAsia" w:ascii="Times New Roman" w:hAnsi="宋体" w:eastAsia="宋体" w:cs="宋体"/>
          <w:color w:val="auto"/>
          <w:spacing w:val="4"/>
          <w:sz w:val="28"/>
          <w:szCs w:val="22"/>
        </w:rPr>
      </w:pPr>
    </w:p>
    <w:p>
      <w:pPr>
        <w:snapToGrid/>
        <w:spacing w:beforeAutospacing="0" w:afterAutospacing="0" w:line="360" w:lineRule="auto"/>
        <w:ind w:left="0" w:leftChars="0" w:firstLine="576" w:firstLineChars="200"/>
        <w:rPr>
          <w:rFonts w:hint="eastAsia" w:ascii="Times New Roman" w:hAnsi="宋体" w:eastAsia="宋体" w:cs="宋体"/>
          <w:color w:val="auto"/>
          <w:spacing w:val="4"/>
          <w:sz w:val="28"/>
          <w:szCs w:val="22"/>
        </w:rPr>
      </w:pPr>
    </w:p>
    <w:p>
      <w:pPr>
        <w:snapToGrid/>
        <w:spacing w:beforeAutospacing="0" w:afterAutospacing="0" w:line="360" w:lineRule="auto"/>
        <w:ind w:left="0" w:leftChars="0" w:firstLine="576" w:firstLineChars="200"/>
        <w:rPr>
          <w:rFonts w:hint="eastAsia" w:ascii="Times New Roman" w:hAnsi="宋体" w:eastAsia="宋体" w:cs="宋体"/>
          <w:color w:val="auto"/>
          <w:spacing w:val="4"/>
          <w:sz w:val="28"/>
          <w:szCs w:val="22"/>
        </w:rPr>
      </w:pPr>
    </w:p>
    <w:p>
      <w:pPr>
        <w:pStyle w:val="3"/>
        <w:rPr>
          <w:rFonts w:hint="eastAsia" w:ascii="Times New Roman" w:hAnsi="宋体" w:eastAsia="宋体" w:cs="宋体"/>
          <w:color w:val="auto"/>
          <w:spacing w:val="4"/>
          <w:sz w:val="28"/>
          <w:szCs w:val="22"/>
        </w:rPr>
      </w:pPr>
    </w:p>
    <w:p>
      <w:pPr>
        <w:snapToGrid/>
        <w:spacing w:beforeAutospacing="0" w:afterAutospacing="0" w:line="360" w:lineRule="auto"/>
        <w:rPr>
          <w:rFonts w:ascii="Times New Roman" w:hAnsi="仿宋" w:eastAsia="宋体" w:cs="仿宋"/>
          <w:color w:val="auto"/>
          <w:sz w:val="28"/>
          <w:szCs w:val="28"/>
        </w:rPr>
      </w:pPr>
      <w:r>
        <w:rPr>
          <w:rFonts w:hint="eastAsia" w:ascii="Times New Roman" w:hAnsi="宋体" w:eastAsia="宋体" w:cs="宋体"/>
          <w:color w:val="auto"/>
          <w:spacing w:val="4"/>
          <w:sz w:val="28"/>
          <w:szCs w:val="22"/>
        </w:rPr>
        <w:t xml:space="preserve">姓名(可匿名):                 </w:t>
      </w:r>
      <w:r>
        <w:rPr>
          <w:rFonts w:hint="eastAsia" w:ascii="Times New Roman" w:hAnsi="宋体" w:eastAsia="宋体" w:cs="宋体"/>
          <w:color w:val="auto"/>
          <w:spacing w:val="4"/>
          <w:sz w:val="28"/>
          <w:szCs w:val="22"/>
          <w:lang w:val="en-US" w:eastAsia="zh-CN"/>
        </w:rPr>
        <w:t xml:space="preserve">   </w:t>
      </w:r>
      <w:r>
        <w:rPr>
          <w:rFonts w:hint="eastAsia" w:ascii="Times New Roman" w:hAnsi="宋体" w:eastAsia="宋体" w:cs="宋体"/>
          <w:color w:val="auto"/>
          <w:spacing w:val="4"/>
          <w:sz w:val="28"/>
          <w:szCs w:val="22"/>
        </w:rPr>
        <w:t>填写日期：   年   月   日</w:t>
      </w:r>
    </w:p>
    <w:tbl>
      <w:tblPr>
        <w:tblStyle w:val="30"/>
        <w:tblW w:w="575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34"/>
        <w:gridCol w:w="6205"/>
        <w:gridCol w:w="1160"/>
        <w:gridCol w:w="800"/>
        <w:gridCol w:w="7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jc w:val="center"/>
        </w:trPr>
        <w:tc>
          <w:tcPr>
            <w:tcW w:w="332" w:type="pct"/>
            <w:tcBorders>
              <w:top w:val="single" w:color="000000" w:sz="2" w:space="0"/>
              <w:bottom w:val="single" w:color="000000" w:sz="2" w:space="0"/>
            </w:tcBorders>
            <w:vAlign w:val="top"/>
          </w:tcPr>
          <w:p>
            <w:pPr>
              <w:spacing w:line="360" w:lineRule="auto"/>
              <w:jc w:val="center"/>
              <w:rPr>
                <w:rFonts w:ascii="仿宋" w:hAnsi="仿宋" w:eastAsia="仿宋" w:cs="仿宋"/>
                <w:b/>
                <w:bCs/>
                <w:color w:val="auto"/>
                <w:kern w:val="0"/>
                <w:sz w:val="24"/>
              </w:rPr>
            </w:pPr>
          </w:p>
          <w:p>
            <w:pPr>
              <w:spacing w:line="360" w:lineRule="auto"/>
              <w:jc w:val="center"/>
              <w:outlineLvl w:val="3"/>
              <w:rPr>
                <w:rFonts w:ascii="仿宋" w:hAnsi="仿宋" w:eastAsia="仿宋" w:cs="仿宋"/>
                <w:b/>
                <w:bCs/>
                <w:color w:val="auto"/>
                <w:spacing w:val="4"/>
                <w:kern w:val="0"/>
                <w:sz w:val="24"/>
              </w:rPr>
            </w:pPr>
            <w:r>
              <w:rPr>
                <w:rFonts w:hint="eastAsia" w:ascii="仿宋" w:hAnsi="仿宋" w:eastAsia="仿宋" w:cs="仿宋"/>
                <w:b/>
                <w:bCs/>
                <w:color w:val="auto"/>
                <w:kern w:val="0"/>
                <w:sz w:val="24"/>
              </w:rPr>
              <w:t>序号</w:t>
            </w:r>
          </w:p>
        </w:tc>
        <w:tc>
          <w:tcPr>
            <w:tcW w:w="3242" w:type="pct"/>
            <w:tcBorders>
              <w:top w:val="single" w:color="000000" w:sz="2" w:space="0"/>
              <w:bottom w:val="single" w:color="000000" w:sz="2" w:space="0"/>
            </w:tcBorders>
            <w:vAlign w:val="top"/>
          </w:tcPr>
          <w:p>
            <w:pPr>
              <w:spacing w:line="360" w:lineRule="auto"/>
              <w:jc w:val="center"/>
              <w:rPr>
                <w:rFonts w:ascii="仿宋" w:hAnsi="仿宋" w:eastAsia="仿宋" w:cs="仿宋"/>
                <w:b/>
                <w:bCs/>
                <w:color w:val="auto"/>
                <w:kern w:val="0"/>
                <w:sz w:val="24"/>
              </w:rPr>
            </w:pPr>
          </w:p>
          <w:p>
            <w:pPr>
              <w:spacing w:line="360" w:lineRule="auto"/>
              <w:jc w:val="center"/>
              <w:outlineLvl w:val="3"/>
              <w:rPr>
                <w:rFonts w:ascii="仿宋" w:hAnsi="仿宋" w:eastAsia="仿宋" w:cs="仿宋"/>
                <w:b/>
                <w:bCs/>
                <w:color w:val="auto"/>
                <w:spacing w:val="4"/>
                <w:sz w:val="24"/>
              </w:rPr>
            </w:pPr>
            <w:r>
              <w:rPr>
                <w:rFonts w:hint="eastAsia" w:ascii="仿宋" w:hAnsi="仿宋" w:eastAsia="仿宋" w:cs="仿宋"/>
                <w:b/>
                <w:bCs/>
                <w:color w:val="auto"/>
                <w:kern w:val="0"/>
                <w:sz w:val="24"/>
              </w:rPr>
              <w:t>调查项目</w:t>
            </w:r>
          </w:p>
        </w:tc>
        <w:tc>
          <w:tcPr>
            <w:tcW w:w="606" w:type="pct"/>
            <w:tcBorders>
              <w:top w:val="single" w:color="000000" w:sz="2" w:space="0"/>
              <w:bottom w:val="single" w:color="000000" w:sz="2" w:space="0"/>
            </w:tcBorders>
            <w:vAlign w:val="top"/>
          </w:tcPr>
          <w:p>
            <w:pPr>
              <w:spacing w:line="360" w:lineRule="auto"/>
              <w:jc w:val="center"/>
              <w:rPr>
                <w:rFonts w:ascii="仿宋" w:hAnsi="仿宋" w:eastAsia="仿宋" w:cs="仿宋"/>
                <w:b/>
                <w:bCs/>
                <w:color w:val="auto"/>
                <w:kern w:val="0"/>
                <w:sz w:val="24"/>
              </w:rPr>
            </w:pPr>
          </w:p>
          <w:p>
            <w:pPr>
              <w:spacing w:line="360" w:lineRule="auto"/>
              <w:jc w:val="center"/>
              <w:outlineLvl w:val="3"/>
              <w:rPr>
                <w:rFonts w:ascii="仿宋" w:hAnsi="仿宋" w:eastAsia="仿宋" w:cs="仿宋"/>
                <w:b/>
                <w:bCs/>
                <w:color w:val="auto"/>
                <w:spacing w:val="4"/>
                <w:sz w:val="24"/>
              </w:rPr>
            </w:pPr>
            <w:r>
              <w:rPr>
                <w:rFonts w:hint="eastAsia" w:ascii="仿宋" w:hAnsi="仿宋" w:eastAsia="仿宋" w:cs="仿宋"/>
                <w:b/>
                <w:bCs/>
                <w:color w:val="auto"/>
                <w:kern w:val="0"/>
                <w:sz w:val="24"/>
              </w:rPr>
              <w:t>标准分数</w:t>
            </w:r>
          </w:p>
        </w:tc>
        <w:tc>
          <w:tcPr>
            <w:tcW w:w="418" w:type="pct"/>
            <w:tcBorders>
              <w:top w:val="single" w:color="000000" w:sz="2" w:space="0"/>
              <w:bottom w:val="single" w:color="000000" w:sz="2" w:space="0"/>
            </w:tcBorders>
            <w:vAlign w:val="top"/>
          </w:tcPr>
          <w:p>
            <w:pPr>
              <w:spacing w:line="360" w:lineRule="auto"/>
              <w:jc w:val="center"/>
              <w:rPr>
                <w:rFonts w:ascii="仿宋" w:hAnsi="仿宋" w:eastAsia="仿宋" w:cs="仿宋"/>
                <w:b/>
                <w:bCs/>
                <w:color w:val="auto"/>
                <w:kern w:val="0"/>
                <w:sz w:val="24"/>
              </w:rPr>
            </w:pPr>
          </w:p>
          <w:p>
            <w:pPr>
              <w:spacing w:line="360" w:lineRule="auto"/>
              <w:jc w:val="center"/>
              <w:outlineLvl w:val="3"/>
              <w:rPr>
                <w:rFonts w:ascii="仿宋" w:hAnsi="仿宋" w:eastAsia="仿宋" w:cs="仿宋"/>
                <w:b/>
                <w:bCs/>
                <w:color w:val="auto"/>
                <w:spacing w:val="4"/>
                <w:kern w:val="0"/>
                <w:sz w:val="24"/>
              </w:rPr>
            </w:pPr>
            <w:r>
              <w:rPr>
                <w:rFonts w:hint="eastAsia" w:ascii="仿宋" w:hAnsi="仿宋" w:eastAsia="仿宋" w:cs="仿宋"/>
                <w:b/>
                <w:bCs/>
                <w:color w:val="auto"/>
                <w:kern w:val="0"/>
                <w:sz w:val="24"/>
              </w:rPr>
              <w:t>得分</w:t>
            </w:r>
          </w:p>
        </w:tc>
        <w:tc>
          <w:tcPr>
            <w:tcW w:w="399" w:type="pct"/>
            <w:tcBorders>
              <w:top w:val="single" w:color="000000" w:sz="2" w:space="0"/>
              <w:bottom w:val="single" w:color="000000" w:sz="2" w:space="0"/>
            </w:tcBorders>
            <w:vAlign w:val="top"/>
          </w:tcPr>
          <w:p>
            <w:pPr>
              <w:spacing w:line="360" w:lineRule="auto"/>
              <w:jc w:val="center"/>
              <w:rPr>
                <w:rFonts w:ascii="仿宋" w:hAnsi="仿宋" w:eastAsia="仿宋" w:cs="仿宋"/>
                <w:b/>
                <w:bCs/>
                <w:color w:val="auto"/>
                <w:kern w:val="0"/>
                <w:sz w:val="24"/>
              </w:rPr>
            </w:pPr>
          </w:p>
          <w:p>
            <w:pPr>
              <w:spacing w:line="360" w:lineRule="auto"/>
              <w:jc w:val="center"/>
              <w:outlineLvl w:val="3"/>
              <w:rPr>
                <w:rFonts w:ascii="仿宋" w:hAnsi="仿宋" w:eastAsia="仿宋" w:cs="仿宋"/>
                <w:b/>
                <w:bCs/>
                <w:color w:val="auto"/>
                <w:spacing w:val="4"/>
                <w:kern w:val="0"/>
                <w:sz w:val="24"/>
              </w:rPr>
            </w:pPr>
            <w:r>
              <w:rPr>
                <w:rFonts w:hint="eastAsia" w:ascii="仿宋" w:hAnsi="仿宋" w:eastAsia="仿宋" w:cs="仿宋"/>
                <w:b/>
                <w:bCs/>
                <w:color w:val="auto"/>
                <w:kern w:val="0"/>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0" w:hRule="atLeast"/>
          <w:jc w:val="center"/>
        </w:trPr>
        <w:tc>
          <w:tcPr>
            <w:tcW w:w="332" w:type="pct"/>
            <w:tcBorders>
              <w:top w:val="single" w:color="000000" w:sz="2" w:space="0"/>
              <w:bottom w:val="single" w:color="000000" w:sz="2" w:space="0"/>
            </w:tcBorders>
            <w:vAlign w:val="top"/>
          </w:tcPr>
          <w:p>
            <w:pPr>
              <w:spacing w:before="239" w:line="187" w:lineRule="auto"/>
              <w:ind w:left="195"/>
              <w:jc w:val="center"/>
              <w:rPr>
                <w:rFonts w:ascii="仿宋" w:hAnsi="仿宋" w:eastAsia="仿宋" w:cs="仿宋"/>
                <w:color w:val="auto"/>
                <w:spacing w:val="4"/>
                <w:sz w:val="24"/>
              </w:rPr>
            </w:pPr>
            <w:r>
              <w:rPr>
                <w:rFonts w:hint="eastAsia" w:ascii="仿宋" w:hAnsi="仿宋" w:eastAsia="仿宋" w:cs="仿宋"/>
                <w:color w:val="auto"/>
                <w:spacing w:val="4"/>
                <w:sz w:val="24"/>
              </w:rPr>
              <w:t>1</w:t>
            </w:r>
          </w:p>
          <w:p>
            <w:pPr>
              <w:pStyle w:val="2"/>
              <w:jc w:val="center"/>
              <w:rPr>
                <w:rFonts w:ascii="仿宋" w:hAnsi="仿宋" w:eastAsia="仿宋" w:cs="仿宋"/>
                <w:color w:val="auto"/>
                <w:spacing w:val="4"/>
                <w:kern w:val="0"/>
                <w:sz w:val="24"/>
                <w:szCs w:val="24"/>
              </w:rPr>
            </w:pPr>
          </w:p>
        </w:tc>
        <w:tc>
          <w:tcPr>
            <w:tcW w:w="3242" w:type="pct"/>
            <w:tcBorders>
              <w:top w:val="single" w:color="000000" w:sz="2" w:space="0"/>
              <w:bottom w:val="single" w:color="000000" w:sz="2" w:space="0"/>
            </w:tcBorders>
            <w:vAlign w:val="top"/>
          </w:tcPr>
          <w:p>
            <w:pPr>
              <w:spacing w:before="29" w:line="230" w:lineRule="auto"/>
              <w:ind w:left="90" w:right="58"/>
              <w:rPr>
                <w:color w:val="auto"/>
                <w:sz w:val="28"/>
                <w:szCs w:val="22"/>
              </w:rPr>
            </w:pPr>
            <w:r>
              <w:rPr>
                <w:rFonts w:hint="eastAsia" w:ascii="仿宋" w:hAnsi="仿宋" w:eastAsia="仿宋" w:cs="仿宋"/>
                <w:color w:val="auto"/>
                <w:spacing w:val="4"/>
                <w:sz w:val="24"/>
              </w:rPr>
              <w:t>您认为石狮市住房和城乡建设局安全项目质量如何?</w:t>
            </w:r>
          </w:p>
          <w:p>
            <w:pPr>
              <w:spacing w:before="29" w:line="230" w:lineRule="auto"/>
              <w:ind w:left="90" w:right="58"/>
              <w:rPr>
                <w:rFonts w:ascii="仿宋" w:hAnsi="仿宋" w:eastAsia="仿宋" w:cs="仿宋"/>
                <w:color w:val="auto"/>
                <w:spacing w:val="4"/>
                <w:sz w:val="24"/>
              </w:rPr>
            </w:pPr>
            <w:r>
              <w:rPr>
                <w:rFonts w:hint="eastAsia" w:ascii="仿宋" w:hAnsi="仿宋" w:eastAsia="仿宋" w:cs="仿宋"/>
                <w:color w:val="auto"/>
                <w:spacing w:val="4"/>
                <w:sz w:val="24"/>
              </w:rPr>
              <w:t>(质量好10分；较好 6-9分;一般1-5分;</w:t>
            </w:r>
          </w:p>
          <w:p>
            <w:pPr>
              <w:spacing w:before="29" w:line="230" w:lineRule="auto"/>
              <w:ind w:left="90" w:right="58"/>
              <w:rPr>
                <w:rFonts w:ascii="仿宋" w:hAnsi="仿宋" w:eastAsia="仿宋" w:cs="仿宋"/>
                <w:color w:val="auto"/>
                <w:spacing w:val="4"/>
                <w:kern w:val="0"/>
                <w:sz w:val="24"/>
              </w:rPr>
            </w:pPr>
            <w:r>
              <w:rPr>
                <w:rFonts w:hint="eastAsia" w:ascii="仿宋" w:hAnsi="仿宋" w:eastAsia="仿宋" w:cs="仿宋"/>
                <w:color w:val="auto"/>
                <w:spacing w:val="4"/>
                <w:sz w:val="24"/>
              </w:rPr>
              <w:t>不好0分）</w:t>
            </w:r>
          </w:p>
        </w:tc>
        <w:tc>
          <w:tcPr>
            <w:tcW w:w="606" w:type="pct"/>
            <w:tcBorders>
              <w:top w:val="single" w:color="000000" w:sz="2" w:space="0"/>
              <w:bottom w:val="single" w:color="000000" w:sz="2" w:space="0"/>
            </w:tcBorders>
            <w:vAlign w:val="top"/>
          </w:tcPr>
          <w:p>
            <w:pPr>
              <w:spacing w:before="276" w:line="185" w:lineRule="auto"/>
              <w:ind w:left="267"/>
              <w:jc w:val="center"/>
              <w:rPr>
                <w:rFonts w:ascii="仿宋" w:hAnsi="仿宋" w:eastAsia="仿宋" w:cs="仿宋"/>
                <w:color w:val="auto"/>
                <w:spacing w:val="4"/>
                <w:sz w:val="24"/>
              </w:rPr>
            </w:pPr>
            <w:r>
              <w:rPr>
                <w:rFonts w:hint="eastAsia" w:ascii="仿宋" w:hAnsi="仿宋" w:eastAsia="仿宋" w:cs="仿宋"/>
                <w:color w:val="auto"/>
                <w:spacing w:val="4"/>
                <w:sz w:val="24"/>
              </w:rPr>
              <w:t>10</w:t>
            </w:r>
          </w:p>
        </w:tc>
        <w:tc>
          <w:tcPr>
            <w:tcW w:w="418"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c>
          <w:tcPr>
            <w:tcW w:w="399"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0" w:hRule="atLeast"/>
          <w:jc w:val="center"/>
        </w:trPr>
        <w:tc>
          <w:tcPr>
            <w:tcW w:w="332" w:type="pct"/>
            <w:tcBorders>
              <w:top w:val="single" w:color="000000" w:sz="2" w:space="0"/>
              <w:bottom w:val="single" w:color="000000" w:sz="2" w:space="0"/>
            </w:tcBorders>
            <w:vAlign w:val="top"/>
          </w:tcPr>
          <w:p>
            <w:pPr>
              <w:spacing w:before="252" w:line="186" w:lineRule="auto"/>
              <w:ind w:left="195"/>
              <w:jc w:val="center"/>
              <w:rPr>
                <w:rFonts w:ascii="仿宋" w:hAnsi="仿宋" w:eastAsia="仿宋" w:cs="仿宋"/>
                <w:color w:val="auto"/>
                <w:spacing w:val="4"/>
                <w:sz w:val="24"/>
              </w:rPr>
            </w:pPr>
            <w:r>
              <w:rPr>
                <w:rFonts w:hint="eastAsia" w:ascii="仿宋" w:hAnsi="仿宋" w:eastAsia="仿宋" w:cs="仿宋"/>
                <w:color w:val="auto"/>
                <w:spacing w:val="4"/>
                <w:sz w:val="24"/>
              </w:rPr>
              <w:t>2</w:t>
            </w:r>
          </w:p>
          <w:p>
            <w:pPr>
              <w:pStyle w:val="2"/>
              <w:jc w:val="center"/>
              <w:rPr>
                <w:rFonts w:ascii="仿宋" w:hAnsi="仿宋" w:eastAsia="仿宋" w:cs="仿宋"/>
                <w:color w:val="auto"/>
                <w:spacing w:val="4"/>
                <w:kern w:val="0"/>
                <w:sz w:val="24"/>
                <w:szCs w:val="24"/>
              </w:rPr>
            </w:pPr>
          </w:p>
        </w:tc>
        <w:tc>
          <w:tcPr>
            <w:tcW w:w="3242" w:type="pct"/>
            <w:tcBorders>
              <w:top w:val="single" w:color="000000" w:sz="2" w:space="0"/>
              <w:bottom w:val="single" w:color="000000" w:sz="2" w:space="0"/>
            </w:tcBorders>
            <w:vAlign w:val="top"/>
          </w:tcPr>
          <w:p>
            <w:pPr>
              <w:spacing w:before="62" w:line="229" w:lineRule="auto"/>
              <w:ind w:left="90" w:right="91"/>
              <w:rPr>
                <w:rFonts w:ascii="仿宋" w:hAnsi="仿宋" w:eastAsia="仿宋" w:cs="仿宋"/>
                <w:color w:val="auto"/>
                <w:spacing w:val="4"/>
                <w:kern w:val="0"/>
                <w:sz w:val="24"/>
              </w:rPr>
            </w:pPr>
            <w:r>
              <w:rPr>
                <w:rFonts w:hint="eastAsia" w:ascii="仿宋" w:hAnsi="仿宋" w:eastAsia="仿宋" w:cs="仿宋"/>
                <w:color w:val="auto"/>
                <w:spacing w:val="4"/>
                <w:sz w:val="24"/>
              </w:rPr>
              <w:t>您认为石狮市住房和城乡建设局整体项目的经济效益如何? （效益明显10分；较明显6-9分；一般1-5分；效果不明显0分）</w:t>
            </w:r>
          </w:p>
        </w:tc>
        <w:tc>
          <w:tcPr>
            <w:tcW w:w="606" w:type="pct"/>
            <w:tcBorders>
              <w:top w:val="single" w:color="000000" w:sz="2" w:space="0"/>
              <w:bottom w:val="single" w:color="000000" w:sz="2" w:space="0"/>
            </w:tcBorders>
            <w:vAlign w:val="top"/>
          </w:tcPr>
          <w:p>
            <w:pPr>
              <w:spacing w:before="276" w:line="185" w:lineRule="auto"/>
              <w:ind w:left="267"/>
              <w:jc w:val="center"/>
              <w:rPr>
                <w:rFonts w:ascii="仿宋" w:hAnsi="仿宋" w:eastAsia="仿宋" w:cs="仿宋"/>
                <w:color w:val="auto"/>
                <w:spacing w:val="4"/>
                <w:sz w:val="24"/>
              </w:rPr>
            </w:pPr>
            <w:r>
              <w:rPr>
                <w:rFonts w:hint="eastAsia" w:ascii="仿宋" w:hAnsi="仿宋" w:eastAsia="仿宋" w:cs="仿宋"/>
                <w:color w:val="auto"/>
                <w:spacing w:val="4"/>
                <w:sz w:val="24"/>
              </w:rPr>
              <w:t>10</w:t>
            </w:r>
          </w:p>
        </w:tc>
        <w:tc>
          <w:tcPr>
            <w:tcW w:w="418"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c>
          <w:tcPr>
            <w:tcW w:w="399"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0" w:hRule="atLeast"/>
          <w:jc w:val="center"/>
        </w:trPr>
        <w:tc>
          <w:tcPr>
            <w:tcW w:w="332" w:type="pct"/>
            <w:tcBorders>
              <w:top w:val="single" w:color="000000" w:sz="2" w:space="0"/>
              <w:bottom w:val="single" w:color="000000" w:sz="2" w:space="0"/>
            </w:tcBorders>
            <w:vAlign w:val="top"/>
          </w:tcPr>
          <w:p>
            <w:pPr>
              <w:spacing w:line="317" w:lineRule="auto"/>
              <w:jc w:val="center"/>
              <w:rPr>
                <w:rFonts w:ascii="仿宋" w:hAnsi="仿宋" w:eastAsia="仿宋" w:cs="仿宋"/>
                <w:color w:val="auto"/>
                <w:spacing w:val="4"/>
                <w:sz w:val="24"/>
              </w:rPr>
            </w:pPr>
          </w:p>
          <w:p>
            <w:pPr>
              <w:spacing w:before="74" w:line="185" w:lineRule="auto"/>
              <w:ind w:left="195"/>
              <w:jc w:val="center"/>
              <w:rPr>
                <w:rFonts w:ascii="仿宋" w:hAnsi="仿宋" w:eastAsia="仿宋" w:cs="仿宋"/>
                <w:color w:val="auto"/>
                <w:spacing w:val="4"/>
                <w:sz w:val="24"/>
              </w:rPr>
            </w:pPr>
            <w:r>
              <w:rPr>
                <w:rFonts w:hint="eastAsia" w:ascii="仿宋" w:hAnsi="仿宋" w:eastAsia="仿宋" w:cs="仿宋"/>
                <w:color w:val="auto"/>
                <w:spacing w:val="4"/>
                <w:sz w:val="24"/>
              </w:rPr>
              <w:t>3</w:t>
            </w:r>
          </w:p>
          <w:p>
            <w:pPr>
              <w:pStyle w:val="2"/>
              <w:jc w:val="center"/>
              <w:rPr>
                <w:rFonts w:ascii="仿宋" w:hAnsi="仿宋" w:eastAsia="仿宋" w:cs="仿宋"/>
                <w:color w:val="auto"/>
                <w:spacing w:val="4"/>
                <w:kern w:val="0"/>
                <w:sz w:val="24"/>
                <w:szCs w:val="24"/>
              </w:rPr>
            </w:pPr>
          </w:p>
        </w:tc>
        <w:tc>
          <w:tcPr>
            <w:tcW w:w="3242" w:type="pct"/>
            <w:tcBorders>
              <w:top w:val="single" w:color="000000" w:sz="2" w:space="0"/>
              <w:bottom w:val="single" w:color="000000" w:sz="2" w:space="0"/>
            </w:tcBorders>
            <w:vAlign w:val="top"/>
          </w:tcPr>
          <w:p>
            <w:pPr>
              <w:spacing w:before="73" w:line="234" w:lineRule="auto"/>
              <w:ind w:left="90"/>
              <w:rPr>
                <w:rFonts w:ascii="仿宋" w:hAnsi="仿宋" w:eastAsia="仿宋" w:cs="仿宋"/>
                <w:color w:val="auto"/>
                <w:spacing w:val="4"/>
                <w:kern w:val="0"/>
                <w:sz w:val="24"/>
              </w:rPr>
            </w:pPr>
            <w:r>
              <w:rPr>
                <w:rFonts w:hint="eastAsia" w:ascii="仿宋" w:hAnsi="仿宋" w:eastAsia="仿宋" w:cs="仿宋"/>
                <w:color w:val="auto"/>
                <w:spacing w:val="4"/>
                <w:sz w:val="24"/>
              </w:rPr>
              <w:t>您认为石狮市住房和城乡建设局整体项目可持续发展情况如何？（持续发展效果明显10分；较明显6-9分；一般1-5分；效果不明显0分）</w:t>
            </w:r>
          </w:p>
        </w:tc>
        <w:tc>
          <w:tcPr>
            <w:tcW w:w="606" w:type="pct"/>
            <w:tcBorders>
              <w:top w:val="single" w:color="000000" w:sz="2" w:space="0"/>
              <w:bottom w:val="single" w:color="000000" w:sz="2" w:space="0"/>
            </w:tcBorders>
            <w:vAlign w:val="top"/>
          </w:tcPr>
          <w:p>
            <w:pPr>
              <w:spacing w:before="276" w:line="185" w:lineRule="auto"/>
              <w:ind w:left="267"/>
              <w:jc w:val="center"/>
              <w:rPr>
                <w:rFonts w:ascii="仿宋" w:hAnsi="仿宋" w:eastAsia="仿宋" w:cs="仿宋"/>
                <w:color w:val="auto"/>
                <w:spacing w:val="4"/>
                <w:sz w:val="24"/>
              </w:rPr>
            </w:pPr>
          </w:p>
          <w:p>
            <w:pPr>
              <w:spacing w:before="276" w:line="185" w:lineRule="auto"/>
              <w:ind w:left="267"/>
              <w:jc w:val="center"/>
              <w:rPr>
                <w:rFonts w:ascii="仿宋" w:hAnsi="仿宋" w:eastAsia="仿宋" w:cs="仿宋"/>
                <w:color w:val="auto"/>
                <w:spacing w:val="4"/>
                <w:sz w:val="24"/>
              </w:rPr>
            </w:pPr>
            <w:r>
              <w:rPr>
                <w:rFonts w:hint="eastAsia" w:ascii="仿宋" w:hAnsi="仿宋" w:eastAsia="仿宋" w:cs="仿宋"/>
                <w:color w:val="auto"/>
                <w:spacing w:val="4"/>
                <w:sz w:val="24"/>
              </w:rPr>
              <w:t>10</w:t>
            </w:r>
          </w:p>
        </w:tc>
        <w:tc>
          <w:tcPr>
            <w:tcW w:w="418"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c>
          <w:tcPr>
            <w:tcW w:w="399"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0" w:hRule="atLeast"/>
          <w:jc w:val="center"/>
        </w:trPr>
        <w:tc>
          <w:tcPr>
            <w:tcW w:w="332" w:type="pct"/>
            <w:tcBorders>
              <w:top w:val="single" w:color="000000" w:sz="2" w:space="0"/>
              <w:bottom w:val="single" w:color="000000" w:sz="2" w:space="0"/>
            </w:tcBorders>
            <w:vAlign w:val="top"/>
          </w:tcPr>
          <w:p>
            <w:pPr>
              <w:spacing w:before="216" w:line="186" w:lineRule="auto"/>
              <w:ind w:left="195"/>
              <w:jc w:val="center"/>
              <w:rPr>
                <w:rFonts w:ascii="仿宋" w:hAnsi="仿宋" w:eastAsia="仿宋" w:cs="仿宋"/>
                <w:color w:val="auto"/>
                <w:spacing w:val="4"/>
                <w:sz w:val="24"/>
              </w:rPr>
            </w:pPr>
            <w:r>
              <w:rPr>
                <w:rFonts w:hint="eastAsia" w:ascii="仿宋" w:hAnsi="仿宋" w:eastAsia="仿宋" w:cs="仿宋"/>
                <w:color w:val="auto"/>
                <w:spacing w:val="4"/>
                <w:sz w:val="24"/>
              </w:rPr>
              <w:t>4</w:t>
            </w:r>
          </w:p>
          <w:p>
            <w:pPr>
              <w:pStyle w:val="2"/>
              <w:jc w:val="center"/>
              <w:rPr>
                <w:rFonts w:ascii="仿宋" w:hAnsi="仿宋" w:eastAsia="仿宋" w:cs="仿宋"/>
                <w:color w:val="auto"/>
                <w:spacing w:val="4"/>
                <w:kern w:val="0"/>
                <w:sz w:val="24"/>
                <w:szCs w:val="24"/>
              </w:rPr>
            </w:pPr>
          </w:p>
        </w:tc>
        <w:tc>
          <w:tcPr>
            <w:tcW w:w="3242" w:type="pct"/>
            <w:tcBorders>
              <w:top w:val="single" w:color="000000" w:sz="2" w:space="0"/>
              <w:bottom w:val="single" w:color="000000" w:sz="2" w:space="0"/>
            </w:tcBorders>
            <w:vAlign w:val="top"/>
          </w:tcPr>
          <w:p>
            <w:pPr>
              <w:spacing w:before="17" w:line="215" w:lineRule="auto"/>
              <w:ind w:left="90" w:right="254"/>
              <w:rPr>
                <w:rFonts w:ascii="仿宋" w:hAnsi="仿宋" w:eastAsia="仿宋" w:cs="仿宋"/>
                <w:color w:val="auto"/>
                <w:spacing w:val="4"/>
                <w:sz w:val="24"/>
              </w:rPr>
            </w:pPr>
            <w:r>
              <w:rPr>
                <w:rFonts w:hint="eastAsia" w:ascii="仿宋" w:hAnsi="仿宋" w:eastAsia="仿宋" w:cs="仿宋"/>
                <w:color w:val="auto"/>
                <w:spacing w:val="4"/>
                <w:sz w:val="24"/>
              </w:rPr>
              <w:t>您认为石狮市住房和城乡建设局工作执行效率如何？（好10分;较好6-9分； 一般1-5分;</w:t>
            </w:r>
          </w:p>
          <w:p>
            <w:pPr>
              <w:spacing w:before="17" w:line="215" w:lineRule="auto"/>
              <w:ind w:left="90" w:right="254"/>
              <w:rPr>
                <w:rFonts w:ascii="仿宋" w:hAnsi="仿宋" w:eastAsia="仿宋" w:cs="仿宋"/>
                <w:color w:val="auto"/>
                <w:spacing w:val="4"/>
                <w:kern w:val="0"/>
                <w:sz w:val="24"/>
              </w:rPr>
            </w:pPr>
            <w:r>
              <w:rPr>
                <w:rFonts w:hint="eastAsia" w:ascii="仿宋" w:hAnsi="仿宋" w:eastAsia="仿宋" w:cs="仿宋"/>
                <w:color w:val="auto"/>
                <w:spacing w:val="4"/>
                <w:sz w:val="24"/>
              </w:rPr>
              <w:t>不好0分)</w:t>
            </w:r>
          </w:p>
        </w:tc>
        <w:tc>
          <w:tcPr>
            <w:tcW w:w="606" w:type="pct"/>
            <w:tcBorders>
              <w:top w:val="single" w:color="000000" w:sz="2" w:space="0"/>
              <w:bottom w:val="single" w:color="000000" w:sz="2" w:space="0"/>
            </w:tcBorders>
            <w:vAlign w:val="top"/>
          </w:tcPr>
          <w:p>
            <w:pPr>
              <w:spacing w:before="276" w:line="185" w:lineRule="auto"/>
              <w:ind w:left="267"/>
              <w:jc w:val="center"/>
              <w:rPr>
                <w:rFonts w:ascii="仿宋" w:hAnsi="仿宋" w:eastAsia="仿宋" w:cs="仿宋"/>
                <w:color w:val="auto"/>
                <w:spacing w:val="4"/>
                <w:sz w:val="24"/>
              </w:rPr>
            </w:pPr>
            <w:r>
              <w:rPr>
                <w:rFonts w:hint="eastAsia" w:ascii="仿宋" w:hAnsi="仿宋" w:eastAsia="仿宋" w:cs="仿宋"/>
                <w:color w:val="auto"/>
                <w:spacing w:val="4"/>
                <w:sz w:val="24"/>
              </w:rPr>
              <w:t>10</w:t>
            </w:r>
          </w:p>
        </w:tc>
        <w:tc>
          <w:tcPr>
            <w:tcW w:w="418"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c>
          <w:tcPr>
            <w:tcW w:w="399"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0" w:hRule="atLeast"/>
          <w:jc w:val="center"/>
        </w:trPr>
        <w:tc>
          <w:tcPr>
            <w:tcW w:w="332" w:type="pct"/>
            <w:tcBorders>
              <w:top w:val="single" w:color="000000" w:sz="2" w:space="0"/>
              <w:bottom w:val="single" w:color="000000" w:sz="2" w:space="0"/>
            </w:tcBorders>
            <w:vAlign w:val="top"/>
          </w:tcPr>
          <w:p>
            <w:pPr>
              <w:spacing w:before="220" w:line="183" w:lineRule="auto"/>
              <w:ind w:left="195"/>
              <w:jc w:val="center"/>
              <w:rPr>
                <w:rFonts w:ascii="仿宋" w:hAnsi="仿宋" w:eastAsia="仿宋" w:cs="仿宋"/>
                <w:color w:val="auto"/>
                <w:spacing w:val="4"/>
                <w:sz w:val="24"/>
              </w:rPr>
            </w:pPr>
            <w:r>
              <w:rPr>
                <w:rFonts w:hint="eastAsia" w:ascii="仿宋" w:hAnsi="仿宋" w:eastAsia="仿宋" w:cs="仿宋"/>
                <w:color w:val="auto"/>
                <w:spacing w:val="4"/>
                <w:sz w:val="24"/>
              </w:rPr>
              <w:t>5</w:t>
            </w:r>
          </w:p>
          <w:p>
            <w:pPr>
              <w:pStyle w:val="2"/>
              <w:jc w:val="center"/>
              <w:rPr>
                <w:rFonts w:ascii="仿宋" w:hAnsi="仿宋" w:eastAsia="仿宋" w:cs="仿宋"/>
                <w:color w:val="auto"/>
                <w:spacing w:val="4"/>
                <w:kern w:val="0"/>
                <w:sz w:val="24"/>
                <w:szCs w:val="24"/>
              </w:rPr>
            </w:pPr>
          </w:p>
        </w:tc>
        <w:tc>
          <w:tcPr>
            <w:tcW w:w="3242" w:type="pct"/>
            <w:tcBorders>
              <w:top w:val="single" w:color="000000" w:sz="2" w:space="0"/>
              <w:bottom w:val="single" w:color="000000" w:sz="2" w:space="0"/>
            </w:tcBorders>
            <w:vAlign w:val="top"/>
          </w:tcPr>
          <w:p>
            <w:pPr>
              <w:spacing w:before="28" w:line="207" w:lineRule="auto"/>
              <w:ind w:left="90" w:right="288"/>
              <w:rPr>
                <w:color w:val="auto"/>
                <w:sz w:val="28"/>
                <w:szCs w:val="22"/>
              </w:rPr>
            </w:pPr>
            <w:r>
              <w:rPr>
                <w:rFonts w:hint="eastAsia" w:ascii="仿宋" w:hAnsi="仿宋" w:eastAsia="仿宋" w:cs="仿宋"/>
                <w:color w:val="auto"/>
                <w:spacing w:val="4"/>
                <w:sz w:val="24"/>
              </w:rPr>
              <w:t>您对石狮市住房和城乡建设局工作职能是否了解?</w:t>
            </w:r>
          </w:p>
          <w:p>
            <w:pPr>
              <w:spacing w:before="28" w:line="207" w:lineRule="auto"/>
              <w:ind w:left="90" w:right="288"/>
              <w:rPr>
                <w:rFonts w:ascii="仿宋" w:hAnsi="仿宋" w:eastAsia="仿宋" w:cs="仿宋"/>
                <w:color w:val="auto"/>
                <w:spacing w:val="4"/>
                <w:kern w:val="0"/>
                <w:sz w:val="24"/>
              </w:rPr>
            </w:pPr>
            <w:r>
              <w:rPr>
                <w:rFonts w:hint="eastAsia" w:ascii="仿宋" w:hAnsi="仿宋" w:eastAsia="仿宋" w:cs="仿宋"/>
                <w:color w:val="auto"/>
                <w:spacing w:val="4"/>
                <w:sz w:val="24"/>
              </w:rPr>
              <w:t>(非常了解10分;了解6-9分; 一般1-5分;不了解0分)</w:t>
            </w:r>
          </w:p>
        </w:tc>
        <w:tc>
          <w:tcPr>
            <w:tcW w:w="606" w:type="pct"/>
            <w:tcBorders>
              <w:top w:val="single" w:color="000000" w:sz="2" w:space="0"/>
              <w:bottom w:val="single" w:color="000000" w:sz="2" w:space="0"/>
            </w:tcBorders>
            <w:vAlign w:val="top"/>
          </w:tcPr>
          <w:p>
            <w:pPr>
              <w:spacing w:before="276" w:line="185" w:lineRule="auto"/>
              <w:ind w:left="267"/>
              <w:jc w:val="center"/>
              <w:rPr>
                <w:rFonts w:ascii="仿宋" w:hAnsi="仿宋" w:eastAsia="仿宋" w:cs="仿宋"/>
                <w:color w:val="auto"/>
                <w:spacing w:val="4"/>
                <w:sz w:val="24"/>
              </w:rPr>
            </w:pPr>
            <w:r>
              <w:rPr>
                <w:rFonts w:hint="eastAsia" w:ascii="仿宋" w:hAnsi="仿宋" w:eastAsia="仿宋" w:cs="仿宋"/>
                <w:color w:val="auto"/>
                <w:spacing w:val="4"/>
                <w:sz w:val="24"/>
              </w:rPr>
              <w:t>10</w:t>
            </w:r>
          </w:p>
        </w:tc>
        <w:tc>
          <w:tcPr>
            <w:tcW w:w="418"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c>
          <w:tcPr>
            <w:tcW w:w="399"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0" w:hRule="atLeast"/>
          <w:jc w:val="center"/>
        </w:trPr>
        <w:tc>
          <w:tcPr>
            <w:tcW w:w="332" w:type="pct"/>
            <w:tcBorders>
              <w:top w:val="single" w:color="000000" w:sz="2" w:space="0"/>
              <w:bottom w:val="single" w:color="000000" w:sz="2" w:space="0"/>
            </w:tcBorders>
            <w:vAlign w:val="top"/>
          </w:tcPr>
          <w:p>
            <w:pPr>
              <w:spacing w:before="218" w:line="185" w:lineRule="auto"/>
              <w:rPr>
                <w:rFonts w:ascii="仿宋" w:hAnsi="仿宋" w:eastAsia="仿宋" w:cs="仿宋"/>
                <w:color w:val="auto"/>
                <w:spacing w:val="4"/>
                <w:sz w:val="24"/>
              </w:rPr>
            </w:pPr>
          </w:p>
          <w:p>
            <w:pPr>
              <w:spacing w:before="218" w:line="185" w:lineRule="auto"/>
              <w:ind w:left="195"/>
              <w:jc w:val="center"/>
              <w:rPr>
                <w:rFonts w:ascii="仿宋" w:hAnsi="仿宋" w:eastAsia="仿宋" w:cs="仿宋"/>
                <w:color w:val="auto"/>
                <w:spacing w:val="4"/>
                <w:sz w:val="24"/>
              </w:rPr>
            </w:pPr>
            <w:r>
              <w:rPr>
                <w:rFonts w:hint="eastAsia" w:ascii="仿宋" w:hAnsi="仿宋" w:eastAsia="仿宋" w:cs="仿宋"/>
                <w:color w:val="auto"/>
                <w:spacing w:val="4"/>
                <w:sz w:val="24"/>
              </w:rPr>
              <w:t>6</w:t>
            </w:r>
          </w:p>
          <w:p>
            <w:pPr>
              <w:pStyle w:val="2"/>
              <w:jc w:val="center"/>
              <w:rPr>
                <w:rFonts w:ascii="仿宋" w:hAnsi="仿宋" w:eastAsia="仿宋" w:cs="仿宋"/>
                <w:color w:val="auto"/>
                <w:spacing w:val="4"/>
                <w:kern w:val="0"/>
                <w:sz w:val="24"/>
                <w:szCs w:val="24"/>
              </w:rPr>
            </w:pPr>
          </w:p>
        </w:tc>
        <w:tc>
          <w:tcPr>
            <w:tcW w:w="3242" w:type="pct"/>
            <w:tcBorders>
              <w:top w:val="single" w:color="000000" w:sz="2" w:space="0"/>
              <w:bottom w:val="single" w:color="000000" w:sz="2" w:space="0"/>
            </w:tcBorders>
            <w:vAlign w:val="top"/>
          </w:tcPr>
          <w:p>
            <w:pPr>
              <w:spacing w:before="29" w:line="206" w:lineRule="auto"/>
              <w:ind w:left="90" w:right="288"/>
              <w:rPr>
                <w:rFonts w:ascii="仿宋" w:hAnsi="仿宋" w:eastAsia="仿宋" w:cs="仿宋"/>
                <w:color w:val="auto"/>
                <w:spacing w:val="4"/>
                <w:sz w:val="24"/>
              </w:rPr>
            </w:pPr>
            <w:r>
              <w:rPr>
                <w:rFonts w:hint="eastAsia" w:ascii="仿宋" w:hAnsi="仿宋" w:eastAsia="仿宋" w:cs="仿宋"/>
                <w:color w:val="auto"/>
                <w:spacing w:val="4"/>
                <w:sz w:val="24"/>
              </w:rPr>
              <w:t>您认为石狮市住房和城乡建设局可持续性效益如何?(好10分;较好6-9分; 一般1-5分;</w:t>
            </w:r>
          </w:p>
          <w:p>
            <w:pPr>
              <w:spacing w:before="29" w:line="206" w:lineRule="auto"/>
              <w:ind w:left="90" w:right="288"/>
              <w:rPr>
                <w:rFonts w:ascii="仿宋" w:hAnsi="仿宋" w:eastAsia="仿宋" w:cs="仿宋"/>
                <w:color w:val="auto"/>
                <w:spacing w:val="4"/>
                <w:kern w:val="0"/>
                <w:sz w:val="24"/>
              </w:rPr>
            </w:pPr>
            <w:r>
              <w:rPr>
                <w:rFonts w:hint="eastAsia" w:ascii="仿宋" w:hAnsi="仿宋" w:eastAsia="仿宋" w:cs="仿宋"/>
                <w:color w:val="auto"/>
                <w:spacing w:val="4"/>
                <w:sz w:val="24"/>
              </w:rPr>
              <w:t>不好0分)</w:t>
            </w:r>
          </w:p>
        </w:tc>
        <w:tc>
          <w:tcPr>
            <w:tcW w:w="606" w:type="pct"/>
            <w:tcBorders>
              <w:top w:val="single" w:color="000000" w:sz="2" w:space="0"/>
              <w:bottom w:val="single" w:color="000000" w:sz="2" w:space="0"/>
            </w:tcBorders>
            <w:vAlign w:val="top"/>
          </w:tcPr>
          <w:p>
            <w:pPr>
              <w:spacing w:before="276" w:line="185" w:lineRule="auto"/>
              <w:ind w:left="267"/>
              <w:jc w:val="center"/>
              <w:rPr>
                <w:rFonts w:ascii="仿宋" w:hAnsi="仿宋" w:eastAsia="仿宋" w:cs="仿宋"/>
                <w:color w:val="auto"/>
                <w:spacing w:val="4"/>
                <w:sz w:val="24"/>
              </w:rPr>
            </w:pPr>
            <w:r>
              <w:rPr>
                <w:rFonts w:hint="eastAsia" w:ascii="仿宋" w:hAnsi="仿宋" w:eastAsia="仿宋" w:cs="仿宋"/>
                <w:color w:val="auto"/>
                <w:spacing w:val="4"/>
                <w:sz w:val="24"/>
              </w:rPr>
              <w:t>10</w:t>
            </w:r>
          </w:p>
        </w:tc>
        <w:tc>
          <w:tcPr>
            <w:tcW w:w="418"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c>
          <w:tcPr>
            <w:tcW w:w="399"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4" w:hRule="atLeast"/>
          <w:jc w:val="center"/>
        </w:trPr>
        <w:tc>
          <w:tcPr>
            <w:tcW w:w="332" w:type="pct"/>
            <w:tcBorders>
              <w:top w:val="single" w:color="000000" w:sz="2" w:space="0"/>
              <w:bottom w:val="single" w:color="000000" w:sz="2" w:space="0"/>
            </w:tcBorders>
            <w:vAlign w:val="top"/>
          </w:tcPr>
          <w:p>
            <w:pPr>
              <w:spacing w:before="263" w:line="183" w:lineRule="auto"/>
              <w:ind w:left="195"/>
              <w:jc w:val="center"/>
              <w:rPr>
                <w:rFonts w:ascii="仿宋" w:hAnsi="仿宋" w:eastAsia="仿宋" w:cs="仿宋"/>
                <w:color w:val="auto"/>
                <w:spacing w:val="4"/>
                <w:sz w:val="24"/>
              </w:rPr>
            </w:pPr>
            <w:r>
              <w:rPr>
                <w:rFonts w:hint="eastAsia" w:ascii="仿宋" w:hAnsi="仿宋" w:eastAsia="仿宋" w:cs="仿宋"/>
                <w:color w:val="auto"/>
                <w:spacing w:val="4"/>
                <w:sz w:val="24"/>
              </w:rPr>
              <w:t>7</w:t>
            </w:r>
          </w:p>
          <w:p>
            <w:pPr>
              <w:pStyle w:val="2"/>
              <w:jc w:val="center"/>
              <w:rPr>
                <w:rFonts w:ascii="仿宋" w:hAnsi="仿宋" w:eastAsia="仿宋" w:cs="仿宋"/>
                <w:color w:val="auto"/>
                <w:spacing w:val="4"/>
                <w:kern w:val="0"/>
                <w:sz w:val="24"/>
                <w:szCs w:val="24"/>
              </w:rPr>
            </w:pPr>
          </w:p>
        </w:tc>
        <w:tc>
          <w:tcPr>
            <w:tcW w:w="3242" w:type="pct"/>
            <w:tcBorders>
              <w:top w:val="single" w:color="000000" w:sz="2" w:space="0"/>
              <w:bottom w:val="single" w:color="000000" w:sz="2" w:space="0"/>
            </w:tcBorders>
            <w:vAlign w:val="top"/>
          </w:tcPr>
          <w:p>
            <w:pPr>
              <w:spacing w:before="62" w:line="234" w:lineRule="auto"/>
              <w:ind w:left="90"/>
              <w:rPr>
                <w:color w:val="auto"/>
                <w:sz w:val="28"/>
                <w:szCs w:val="22"/>
              </w:rPr>
            </w:pPr>
            <w:r>
              <w:rPr>
                <w:rFonts w:hint="eastAsia" w:ascii="仿宋" w:hAnsi="仿宋" w:eastAsia="仿宋" w:cs="仿宋"/>
                <w:color w:val="auto"/>
                <w:spacing w:val="4"/>
                <w:sz w:val="24"/>
              </w:rPr>
              <w:t>您认为石狮市住房和城乡建设局办事效率如何?</w:t>
            </w:r>
          </w:p>
          <w:p>
            <w:pPr>
              <w:spacing w:before="62" w:line="234" w:lineRule="auto"/>
              <w:ind w:left="90"/>
              <w:rPr>
                <w:rFonts w:ascii="仿宋" w:hAnsi="仿宋" w:eastAsia="仿宋" w:cs="仿宋"/>
                <w:color w:val="auto"/>
                <w:spacing w:val="4"/>
                <w:kern w:val="0"/>
                <w:sz w:val="24"/>
              </w:rPr>
            </w:pPr>
            <w:r>
              <w:rPr>
                <w:rFonts w:hint="eastAsia" w:ascii="仿宋" w:hAnsi="仿宋" w:eastAsia="仿宋" w:cs="仿宋"/>
                <w:color w:val="auto"/>
                <w:spacing w:val="4"/>
                <w:sz w:val="24"/>
              </w:rPr>
              <w:t>(优10分，良8-9分， 合格1-7分，差0分)</w:t>
            </w:r>
          </w:p>
        </w:tc>
        <w:tc>
          <w:tcPr>
            <w:tcW w:w="606" w:type="pct"/>
            <w:tcBorders>
              <w:top w:val="single" w:color="000000" w:sz="2" w:space="0"/>
              <w:bottom w:val="single" w:color="000000" w:sz="2" w:space="0"/>
            </w:tcBorders>
            <w:vAlign w:val="top"/>
          </w:tcPr>
          <w:p>
            <w:pPr>
              <w:spacing w:before="276" w:line="185" w:lineRule="auto"/>
              <w:ind w:left="267"/>
              <w:jc w:val="center"/>
              <w:rPr>
                <w:rFonts w:ascii="仿宋" w:hAnsi="仿宋" w:eastAsia="仿宋" w:cs="仿宋"/>
                <w:color w:val="auto"/>
                <w:spacing w:val="4"/>
                <w:sz w:val="24"/>
              </w:rPr>
            </w:pPr>
            <w:r>
              <w:rPr>
                <w:rFonts w:hint="eastAsia" w:ascii="仿宋" w:hAnsi="仿宋" w:eastAsia="仿宋" w:cs="仿宋"/>
                <w:color w:val="auto"/>
                <w:spacing w:val="4"/>
                <w:sz w:val="24"/>
              </w:rPr>
              <w:t>10</w:t>
            </w:r>
          </w:p>
        </w:tc>
        <w:tc>
          <w:tcPr>
            <w:tcW w:w="418"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c>
          <w:tcPr>
            <w:tcW w:w="399"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jc w:val="center"/>
        </w:trPr>
        <w:tc>
          <w:tcPr>
            <w:tcW w:w="332" w:type="pct"/>
            <w:tcBorders>
              <w:top w:val="single" w:color="000000" w:sz="2" w:space="0"/>
              <w:bottom w:val="single" w:color="000000" w:sz="2" w:space="0"/>
            </w:tcBorders>
            <w:vAlign w:val="top"/>
          </w:tcPr>
          <w:p>
            <w:pPr>
              <w:spacing w:line="296" w:lineRule="auto"/>
              <w:jc w:val="center"/>
              <w:rPr>
                <w:rFonts w:ascii="仿宋" w:hAnsi="仿宋" w:eastAsia="仿宋" w:cs="仿宋"/>
                <w:color w:val="auto"/>
                <w:spacing w:val="4"/>
                <w:sz w:val="24"/>
              </w:rPr>
            </w:pPr>
          </w:p>
          <w:p>
            <w:pPr>
              <w:spacing w:before="74" w:line="185" w:lineRule="auto"/>
              <w:ind w:left="195"/>
              <w:jc w:val="center"/>
              <w:rPr>
                <w:rFonts w:ascii="仿宋" w:hAnsi="仿宋" w:eastAsia="仿宋" w:cs="仿宋"/>
                <w:color w:val="auto"/>
                <w:spacing w:val="4"/>
                <w:sz w:val="24"/>
              </w:rPr>
            </w:pPr>
            <w:r>
              <w:rPr>
                <w:rFonts w:hint="eastAsia" w:ascii="仿宋" w:hAnsi="仿宋" w:eastAsia="仿宋" w:cs="仿宋"/>
                <w:color w:val="auto"/>
                <w:spacing w:val="4"/>
                <w:sz w:val="24"/>
              </w:rPr>
              <w:t>8</w:t>
            </w:r>
          </w:p>
          <w:p>
            <w:pPr>
              <w:pStyle w:val="2"/>
              <w:jc w:val="center"/>
              <w:rPr>
                <w:rFonts w:ascii="仿宋" w:hAnsi="仿宋" w:eastAsia="仿宋" w:cs="仿宋"/>
                <w:color w:val="auto"/>
                <w:spacing w:val="4"/>
                <w:kern w:val="0"/>
                <w:sz w:val="24"/>
                <w:szCs w:val="24"/>
              </w:rPr>
            </w:pPr>
          </w:p>
        </w:tc>
        <w:tc>
          <w:tcPr>
            <w:tcW w:w="3242" w:type="pct"/>
            <w:tcBorders>
              <w:top w:val="single" w:color="000000" w:sz="2" w:space="0"/>
              <w:bottom w:val="single" w:color="000000" w:sz="2" w:space="0"/>
            </w:tcBorders>
            <w:vAlign w:val="top"/>
          </w:tcPr>
          <w:p>
            <w:pPr>
              <w:spacing w:before="184" w:line="230" w:lineRule="auto"/>
              <w:ind w:left="90"/>
              <w:rPr>
                <w:rFonts w:ascii="仿宋" w:hAnsi="仿宋" w:eastAsia="仿宋" w:cs="仿宋"/>
                <w:color w:val="auto"/>
                <w:spacing w:val="4"/>
                <w:kern w:val="0"/>
                <w:sz w:val="24"/>
              </w:rPr>
            </w:pPr>
            <w:r>
              <w:rPr>
                <w:rFonts w:hint="eastAsia" w:ascii="仿宋" w:hAnsi="仿宋" w:eastAsia="仿宋" w:cs="仿宋"/>
                <w:color w:val="auto"/>
                <w:spacing w:val="4"/>
                <w:sz w:val="24"/>
              </w:rPr>
              <w:t>您认为石狮市住房和城乡建设局工作是否存在不足之处?（存在3项及以上 0分,存在1-2项 1-9分，不存在 10分)</w:t>
            </w:r>
          </w:p>
        </w:tc>
        <w:tc>
          <w:tcPr>
            <w:tcW w:w="606" w:type="pct"/>
            <w:tcBorders>
              <w:top w:val="single" w:color="000000" w:sz="2" w:space="0"/>
              <w:bottom w:val="single" w:color="000000" w:sz="2" w:space="0"/>
            </w:tcBorders>
            <w:vAlign w:val="top"/>
          </w:tcPr>
          <w:p>
            <w:pPr>
              <w:spacing w:before="276" w:line="185" w:lineRule="auto"/>
              <w:ind w:left="267"/>
              <w:jc w:val="center"/>
              <w:rPr>
                <w:rFonts w:ascii="仿宋" w:hAnsi="仿宋" w:eastAsia="仿宋" w:cs="仿宋"/>
                <w:color w:val="auto"/>
                <w:spacing w:val="4"/>
                <w:sz w:val="24"/>
              </w:rPr>
            </w:pPr>
          </w:p>
          <w:p>
            <w:pPr>
              <w:spacing w:before="276" w:line="185" w:lineRule="auto"/>
              <w:ind w:left="267"/>
              <w:jc w:val="center"/>
              <w:rPr>
                <w:rFonts w:ascii="仿宋" w:hAnsi="仿宋" w:eastAsia="仿宋" w:cs="仿宋"/>
                <w:color w:val="auto"/>
                <w:spacing w:val="4"/>
                <w:sz w:val="24"/>
              </w:rPr>
            </w:pPr>
            <w:r>
              <w:rPr>
                <w:rFonts w:hint="eastAsia" w:ascii="仿宋" w:hAnsi="仿宋" w:eastAsia="仿宋" w:cs="仿宋"/>
                <w:color w:val="auto"/>
                <w:spacing w:val="4"/>
                <w:sz w:val="24"/>
              </w:rPr>
              <w:t>10</w:t>
            </w:r>
          </w:p>
        </w:tc>
        <w:tc>
          <w:tcPr>
            <w:tcW w:w="418"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c>
          <w:tcPr>
            <w:tcW w:w="399" w:type="pct"/>
            <w:tcBorders>
              <w:top w:val="single" w:color="000000" w:sz="2" w:space="0"/>
              <w:bottom w:val="single" w:color="000000" w:sz="2" w:space="0"/>
            </w:tcBorders>
            <w:vAlign w:val="top"/>
          </w:tcPr>
          <w:p>
            <w:pPr>
              <w:spacing w:before="184" w:line="233" w:lineRule="auto"/>
              <w:ind w:left="109"/>
              <w:rPr>
                <w:rFonts w:ascii="仿宋" w:hAnsi="仿宋" w:eastAsia="仿宋" w:cs="仿宋"/>
                <w:color w:val="auto"/>
                <w:spacing w:val="4"/>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0" w:hRule="atLeast"/>
          <w:jc w:val="center"/>
        </w:trPr>
        <w:tc>
          <w:tcPr>
            <w:tcW w:w="332" w:type="pct"/>
            <w:tcBorders>
              <w:top w:val="single" w:color="000000" w:sz="2" w:space="0"/>
              <w:bottom w:val="single" w:color="000000" w:sz="2" w:space="0"/>
            </w:tcBorders>
            <w:vAlign w:val="top"/>
          </w:tcPr>
          <w:p>
            <w:pPr>
              <w:spacing w:before="294" w:line="185" w:lineRule="auto"/>
              <w:ind w:left="195"/>
              <w:jc w:val="center"/>
              <w:rPr>
                <w:rFonts w:ascii="仿宋" w:hAnsi="仿宋" w:eastAsia="仿宋" w:cs="仿宋"/>
                <w:color w:val="auto"/>
                <w:spacing w:val="4"/>
                <w:sz w:val="24"/>
              </w:rPr>
            </w:pPr>
            <w:r>
              <w:rPr>
                <w:rFonts w:hint="eastAsia" w:ascii="仿宋" w:hAnsi="仿宋" w:eastAsia="仿宋" w:cs="仿宋"/>
                <w:color w:val="auto"/>
                <w:spacing w:val="4"/>
                <w:sz w:val="24"/>
              </w:rPr>
              <w:t>9</w:t>
            </w:r>
          </w:p>
          <w:p>
            <w:pPr>
              <w:pStyle w:val="2"/>
              <w:jc w:val="center"/>
              <w:rPr>
                <w:rFonts w:ascii="仿宋" w:hAnsi="仿宋" w:eastAsia="仿宋" w:cs="仿宋"/>
                <w:color w:val="auto"/>
                <w:spacing w:val="4"/>
                <w:kern w:val="0"/>
                <w:sz w:val="24"/>
                <w:szCs w:val="24"/>
              </w:rPr>
            </w:pPr>
          </w:p>
        </w:tc>
        <w:tc>
          <w:tcPr>
            <w:tcW w:w="3242" w:type="pct"/>
            <w:tcBorders>
              <w:top w:val="single" w:color="000000" w:sz="2" w:space="0"/>
              <w:bottom w:val="single" w:color="000000" w:sz="2" w:space="0"/>
            </w:tcBorders>
            <w:vAlign w:val="top"/>
          </w:tcPr>
          <w:p>
            <w:pPr>
              <w:spacing w:before="94" w:line="251" w:lineRule="auto"/>
              <w:ind w:left="90"/>
              <w:rPr>
                <w:rFonts w:ascii="仿宋" w:hAnsi="仿宋" w:eastAsia="仿宋" w:cs="仿宋"/>
                <w:color w:val="auto"/>
                <w:spacing w:val="4"/>
                <w:kern w:val="0"/>
                <w:sz w:val="24"/>
              </w:rPr>
            </w:pPr>
            <w:r>
              <w:rPr>
                <w:rFonts w:hint="eastAsia" w:ascii="仿宋" w:hAnsi="仿宋" w:eastAsia="仿宋" w:cs="仿宋"/>
                <w:color w:val="auto"/>
                <w:spacing w:val="4"/>
                <w:sz w:val="24"/>
              </w:rPr>
              <w:t>您认为石狮市住房和城乡建设局工作产生社会效益如何?(效果显著 10分，较显著6-9分，一般1-5分，效果不明显0分)</w:t>
            </w:r>
          </w:p>
        </w:tc>
        <w:tc>
          <w:tcPr>
            <w:tcW w:w="606" w:type="pct"/>
            <w:tcBorders>
              <w:top w:val="single" w:color="000000" w:sz="2" w:space="0"/>
              <w:bottom w:val="single" w:color="000000" w:sz="2" w:space="0"/>
            </w:tcBorders>
            <w:vAlign w:val="top"/>
          </w:tcPr>
          <w:p>
            <w:pPr>
              <w:spacing w:before="276" w:line="185" w:lineRule="auto"/>
              <w:ind w:left="267"/>
              <w:jc w:val="center"/>
              <w:rPr>
                <w:rFonts w:ascii="仿宋" w:hAnsi="仿宋" w:eastAsia="仿宋" w:cs="仿宋"/>
                <w:color w:val="auto"/>
                <w:spacing w:val="4"/>
                <w:sz w:val="24"/>
              </w:rPr>
            </w:pPr>
          </w:p>
          <w:p>
            <w:pPr>
              <w:spacing w:before="276" w:line="185" w:lineRule="auto"/>
              <w:ind w:left="267"/>
              <w:jc w:val="center"/>
              <w:rPr>
                <w:rFonts w:ascii="仿宋" w:hAnsi="仿宋" w:eastAsia="仿宋" w:cs="仿宋"/>
                <w:color w:val="auto"/>
                <w:spacing w:val="4"/>
                <w:sz w:val="24"/>
              </w:rPr>
            </w:pPr>
            <w:r>
              <w:rPr>
                <w:rFonts w:hint="eastAsia" w:ascii="仿宋" w:hAnsi="仿宋" w:eastAsia="仿宋" w:cs="仿宋"/>
                <w:color w:val="auto"/>
                <w:spacing w:val="4"/>
                <w:sz w:val="24"/>
              </w:rPr>
              <w:t>10</w:t>
            </w:r>
          </w:p>
        </w:tc>
        <w:tc>
          <w:tcPr>
            <w:tcW w:w="418"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c>
          <w:tcPr>
            <w:tcW w:w="399"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4" w:hRule="atLeast"/>
          <w:jc w:val="center"/>
        </w:trPr>
        <w:tc>
          <w:tcPr>
            <w:tcW w:w="332" w:type="pct"/>
            <w:tcBorders>
              <w:top w:val="single" w:color="000000" w:sz="2" w:space="0"/>
              <w:bottom w:val="single" w:color="000000" w:sz="2" w:space="0"/>
            </w:tcBorders>
            <w:vAlign w:val="top"/>
          </w:tcPr>
          <w:p>
            <w:pPr>
              <w:spacing w:before="276" w:line="185" w:lineRule="auto"/>
              <w:ind w:left="134"/>
              <w:jc w:val="center"/>
              <w:rPr>
                <w:rFonts w:ascii="仿宋" w:hAnsi="仿宋" w:eastAsia="仿宋" w:cs="仿宋"/>
                <w:color w:val="auto"/>
                <w:spacing w:val="4"/>
                <w:sz w:val="24"/>
              </w:rPr>
            </w:pPr>
            <w:r>
              <w:rPr>
                <w:rFonts w:hint="eastAsia" w:ascii="仿宋" w:hAnsi="仿宋" w:eastAsia="仿宋" w:cs="仿宋"/>
                <w:color w:val="auto"/>
                <w:spacing w:val="4"/>
                <w:sz w:val="24"/>
              </w:rPr>
              <w:t>10</w:t>
            </w:r>
          </w:p>
          <w:p>
            <w:pPr>
              <w:pStyle w:val="2"/>
              <w:jc w:val="center"/>
              <w:rPr>
                <w:rFonts w:ascii="仿宋" w:hAnsi="仿宋" w:eastAsia="仿宋" w:cs="仿宋"/>
                <w:color w:val="auto"/>
                <w:spacing w:val="4"/>
                <w:kern w:val="0"/>
                <w:sz w:val="24"/>
                <w:szCs w:val="24"/>
              </w:rPr>
            </w:pPr>
          </w:p>
        </w:tc>
        <w:tc>
          <w:tcPr>
            <w:tcW w:w="3242" w:type="pct"/>
            <w:tcBorders>
              <w:top w:val="single" w:color="000000" w:sz="2" w:space="0"/>
              <w:bottom w:val="single" w:color="000000" w:sz="2" w:space="0"/>
            </w:tcBorders>
            <w:vAlign w:val="top"/>
          </w:tcPr>
          <w:p>
            <w:pPr>
              <w:spacing w:before="77" w:line="235" w:lineRule="auto"/>
              <w:ind w:left="90"/>
              <w:rPr>
                <w:color w:val="auto"/>
                <w:sz w:val="28"/>
                <w:szCs w:val="22"/>
              </w:rPr>
            </w:pPr>
            <w:r>
              <w:rPr>
                <w:rFonts w:hint="eastAsia" w:ascii="仿宋" w:hAnsi="仿宋" w:eastAsia="仿宋" w:cs="仿宋"/>
                <w:color w:val="auto"/>
                <w:spacing w:val="4"/>
                <w:sz w:val="24"/>
              </w:rPr>
              <w:t>您对石狮市住房和城乡建设局开展工作是否满意?</w:t>
            </w:r>
          </w:p>
          <w:p>
            <w:pPr>
              <w:spacing w:before="77" w:line="235" w:lineRule="auto"/>
              <w:ind w:left="90"/>
              <w:rPr>
                <w:rFonts w:ascii="仿宋" w:hAnsi="仿宋" w:eastAsia="仿宋" w:cs="仿宋"/>
                <w:color w:val="auto"/>
                <w:spacing w:val="4"/>
                <w:sz w:val="24"/>
              </w:rPr>
            </w:pPr>
            <w:r>
              <w:rPr>
                <w:rFonts w:hint="eastAsia" w:ascii="仿宋" w:hAnsi="仿宋" w:eastAsia="仿宋" w:cs="仿宋"/>
                <w:color w:val="auto"/>
                <w:spacing w:val="4"/>
                <w:sz w:val="24"/>
              </w:rPr>
              <w:t>(很满意10分，满意7-9分，一般1-6分，</w:t>
            </w:r>
          </w:p>
          <w:p>
            <w:pPr>
              <w:spacing w:before="77" w:line="235" w:lineRule="auto"/>
              <w:ind w:left="90"/>
              <w:rPr>
                <w:rFonts w:ascii="仿宋" w:hAnsi="仿宋" w:eastAsia="仿宋" w:cs="仿宋"/>
                <w:color w:val="auto"/>
                <w:spacing w:val="4"/>
                <w:kern w:val="0"/>
                <w:sz w:val="24"/>
              </w:rPr>
            </w:pPr>
            <w:r>
              <w:rPr>
                <w:rFonts w:hint="eastAsia" w:ascii="仿宋" w:hAnsi="仿宋" w:eastAsia="仿宋" w:cs="仿宋"/>
                <w:color w:val="auto"/>
                <w:spacing w:val="4"/>
                <w:sz w:val="24"/>
              </w:rPr>
              <w:t>不满意0分)</w:t>
            </w:r>
          </w:p>
        </w:tc>
        <w:tc>
          <w:tcPr>
            <w:tcW w:w="606" w:type="pct"/>
            <w:tcBorders>
              <w:top w:val="single" w:color="000000" w:sz="2" w:space="0"/>
              <w:bottom w:val="single" w:color="000000" w:sz="2" w:space="0"/>
            </w:tcBorders>
            <w:vAlign w:val="top"/>
          </w:tcPr>
          <w:p>
            <w:pPr>
              <w:spacing w:before="276" w:line="185" w:lineRule="auto"/>
              <w:ind w:left="267"/>
              <w:jc w:val="center"/>
              <w:rPr>
                <w:rFonts w:ascii="仿宋" w:hAnsi="仿宋" w:eastAsia="仿宋" w:cs="仿宋"/>
                <w:color w:val="auto"/>
                <w:spacing w:val="4"/>
                <w:sz w:val="24"/>
              </w:rPr>
            </w:pPr>
          </w:p>
          <w:p>
            <w:pPr>
              <w:spacing w:before="276" w:line="185" w:lineRule="auto"/>
              <w:ind w:left="267"/>
              <w:jc w:val="center"/>
              <w:rPr>
                <w:rFonts w:ascii="仿宋" w:hAnsi="仿宋" w:eastAsia="仿宋" w:cs="仿宋"/>
                <w:color w:val="auto"/>
                <w:spacing w:val="4"/>
                <w:sz w:val="24"/>
              </w:rPr>
            </w:pPr>
            <w:r>
              <w:rPr>
                <w:rFonts w:hint="eastAsia" w:ascii="仿宋" w:hAnsi="仿宋" w:eastAsia="仿宋" w:cs="仿宋"/>
                <w:color w:val="auto"/>
                <w:spacing w:val="4"/>
                <w:sz w:val="24"/>
              </w:rPr>
              <w:t>10</w:t>
            </w:r>
          </w:p>
        </w:tc>
        <w:tc>
          <w:tcPr>
            <w:tcW w:w="418"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c>
          <w:tcPr>
            <w:tcW w:w="399"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jc w:val="center"/>
        </w:trPr>
        <w:tc>
          <w:tcPr>
            <w:tcW w:w="332"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c>
          <w:tcPr>
            <w:tcW w:w="3242" w:type="pct"/>
            <w:tcBorders>
              <w:top w:val="single" w:color="000000" w:sz="2" w:space="0"/>
              <w:bottom w:val="single" w:color="000000" w:sz="2" w:space="0"/>
            </w:tcBorders>
            <w:vAlign w:val="top"/>
          </w:tcPr>
          <w:p>
            <w:pPr>
              <w:spacing w:before="276" w:line="185" w:lineRule="auto"/>
              <w:ind w:left="267"/>
              <w:jc w:val="center"/>
              <w:rPr>
                <w:rFonts w:ascii="仿宋" w:hAnsi="仿宋" w:eastAsia="仿宋" w:cs="仿宋"/>
                <w:color w:val="auto"/>
                <w:spacing w:val="4"/>
                <w:sz w:val="24"/>
              </w:rPr>
            </w:pPr>
            <w:r>
              <w:rPr>
                <w:rFonts w:hint="eastAsia" w:ascii="仿宋" w:hAnsi="仿宋" w:eastAsia="仿宋" w:cs="仿宋"/>
                <w:color w:val="auto"/>
                <w:spacing w:val="4"/>
                <w:sz w:val="24"/>
              </w:rPr>
              <w:t>合计</w:t>
            </w:r>
          </w:p>
        </w:tc>
        <w:tc>
          <w:tcPr>
            <w:tcW w:w="606" w:type="pct"/>
            <w:tcBorders>
              <w:top w:val="single" w:color="000000" w:sz="2" w:space="0"/>
              <w:bottom w:val="single" w:color="000000" w:sz="2" w:space="0"/>
            </w:tcBorders>
            <w:vAlign w:val="top"/>
          </w:tcPr>
          <w:p>
            <w:pPr>
              <w:spacing w:before="276" w:line="185" w:lineRule="auto"/>
              <w:ind w:firstLine="496" w:firstLineChars="200"/>
              <w:rPr>
                <w:rFonts w:ascii="仿宋" w:hAnsi="仿宋" w:eastAsia="仿宋" w:cs="仿宋"/>
                <w:color w:val="auto"/>
                <w:spacing w:val="4"/>
                <w:sz w:val="24"/>
              </w:rPr>
            </w:pPr>
            <w:r>
              <w:rPr>
                <w:rFonts w:hint="eastAsia" w:ascii="仿宋" w:hAnsi="仿宋" w:eastAsia="仿宋" w:cs="仿宋"/>
                <w:color w:val="auto"/>
                <w:spacing w:val="4"/>
                <w:sz w:val="24"/>
              </w:rPr>
              <w:t>100</w:t>
            </w:r>
          </w:p>
        </w:tc>
        <w:tc>
          <w:tcPr>
            <w:tcW w:w="418"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c>
          <w:tcPr>
            <w:tcW w:w="399" w:type="pct"/>
            <w:tcBorders>
              <w:top w:val="single" w:color="000000" w:sz="2" w:space="0"/>
              <w:bottom w:val="single" w:color="000000" w:sz="2" w:space="0"/>
            </w:tcBorders>
            <w:vAlign w:val="top"/>
          </w:tcPr>
          <w:p>
            <w:pPr>
              <w:rPr>
                <w:rFonts w:ascii="仿宋" w:hAnsi="仿宋" w:eastAsia="仿宋" w:cs="仿宋"/>
                <w:color w:val="auto"/>
                <w:spacing w:val="4"/>
                <w:kern w:val="0"/>
                <w:sz w:val="24"/>
              </w:rPr>
            </w:pPr>
          </w:p>
        </w:tc>
      </w:tr>
    </w:tbl>
    <w:p>
      <w:pPr>
        <w:pStyle w:val="25"/>
        <w:spacing w:line="240" w:lineRule="auto"/>
        <w:ind w:firstLine="0" w:firstLineChars="0"/>
        <w:rPr>
          <w:rFonts w:ascii="黑体" w:hAnsi="黑体" w:eastAsia="黑体" w:cs="黑体"/>
          <w:color w:val="auto"/>
          <w:kern w:val="44"/>
          <w:sz w:val="24"/>
        </w:rPr>
      </w:pPr>
    </w:p>
    <w:sectPr>
      <w:headerReference r:id="rId4" w:type="default"/>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altName w:val="FreeSerif"/>
    <w:panose1 w:val="02040503050406030204"/>
    <w:charset w:val="00"/>
    <w:family w:val="roman"/>
    <w:pitch w:val="default"/>
    <w:sig w:usb0="00000000" w:usb1="00000000" w:usb2="00000000" w:usb3="00000000" w:csb0="2000019F" w:csb1="00000000"/>
  </w:font>
  <w:font w:name="FreeSerif">
    <w:panose1 w:val="02020603050405020304"/>
    <w:charset w:val="00"/>
    <w:family w:val="auto"/>
    <w:pitch w:val="default"/>
    <w:sig w:usb0="E59FAFFF" w:usb1="C200FDFF" w:usb2="43501B29" w:usb3="04000043" w:csb0="600101FF" w:csb1="FFFF0000"/>
  </w:font>
  <w:font w:name="仿宋">
    <w:altName w:val="仿宋_GB2312"/>
    <w:panose1 w:val="02010609060101010101"/>
    <w:charset w:val="86"/>
    <w:family w:val="auto"/>
    <w:pitch w:val="default"/>
    <w:sig w:usb0="00000000" w:usb1="00000000" w:usb2="00000016" w:usb3="00000000" w:csb0="00040001" w:csb1="00000000"/>
  </w:font>
  <w:font w:name="GWZT-EN">
    <w:panose1 w:val="02020400000000000000"/>
    <w:charset w:val="86"/>
    <w:family w:val="auto"/>
    <w:pitch w:val="default"/>
    <w:sig w:usb0="A00002BF" w:usb1="38CF7CFA" w:usb2="00082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B25BF5"/>
    <w:multiLevelType w:val="singleLevel"/>
    <w:tmpl w:val="DCB25BF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5YTE5ODdmYjI3NzA2NzYyYjIxY2E4ZWVjZjBhYWUifQ=="/>
  </w:docVars>
  <w:rsids>
    <w:rsidRoot w:val="004569F1"/>
    <w:rsid w:val="00000555"/>
    <w:rsid w:val="000139F1"/>
    <w:rsid w:val="000170C7"/>
    <w:rsid w:val="00021F5B"/>
    <w:rsid w:val="000238DA"/>
    <w:rsid w:val="000329F2"/>
    <w:rsid w:val="000409A3"/>
    <w:rsid w:val="000437DE"/>
    <w:rsid w:val="0008548E"/>
    <w:rsid w:val="000B41C2"/>
    <w:rsid w:val="000B6332"/>
    <w:rsid w:val="000D3CF0"/>
    <w:rsid w:val="00134A07"/>
    <w:rsid w:val="00144519"/>
    <w:rsid w:val="00155D47"/>
    <w:rsid w:val="0017221F"/>
    <w:rsid w:val="0018091E"/>
    <w:rsid w:val="00185D87"/>
    <w:rsid w:val="001978A8"/>
    <w:rsid w:val="001B006A"/>
    <w:rsid w:val="001C3ABA"/>
    <w:rsid w:val="002024BC"/>
    <w:rsid w:val="002225AB"/>
    <w:rsid w:val="00291C26"/>
    <w:rsid w:val="002A00E8"/>
    <w:rsid w:val="002B5921"/>
    <w:rsid w:val="002C0AAE"/>
    <w:rsid w:val="002C6D80"/>
    <w:rsid w:val="002D40AA"/>
    <w:rsid w:val="003153AC"/>
    <w:rsid w:val="00323C72"/>
    <w:rsid w:val="0035030C"/>
    <w:rsid w:val="00356B70"/>
    <w:rsid w:val="00366A2A"/>
    <w:rsid w:val="0038312F"/>
    <w:rsid w:val="003B1D5A"/>
    <w:rsid w:val="003B34E0"/>
    <w:rsid w:val="003D4E03"/>
    <w:rsid w:val="003D55F9"/>
    <w:rsid w:val="003E55B1"/>
    <w:rsid w:val="00414486"/>
    <w:rsid w:val="004179CC"/>
    <w:rsid w:val="0042630A"/>
    <w:rsid w:val="004569F1"/>
    <w:rsid w:val="00456A7F"/>
    <w:rsid w:val="00491D15"/>
    <w:rsid w:val="004B37E7"/>
    <w:rsid w:val="004B7908"/>
    <w:rsid w:val="004F6F76"/>
    <w:rsid w:val="005043DB"/>
    <w:rsid w:val="00504FF1"/>
    <w:rsid w:val="00516B9D"/>
    <w:rsid w:val="005253DB"/>
    <w:rsid w:val="00535F61"/>
    <w:rsid w:val="005709DB"/>
    <w:rsid w:val="005709FF"/>
    <w:rsid w:val="00571C36"/>
    <w:rsid w:val="0058669E"/>
    <w:rsid w:val="005913E8"/>
    <w:rsid w:val="00592DCB"/>
    <w:rsid w:val="005A5736"/>
    <w:rsid w:val="005C19BC"/>
    <w:rsid w:val="005C679B"/>
    <w:rsid w:val="005F7D98"/>
    <w:rsid w:val="006224D4"/>
    <w:rsid w:val="00625330"/>
    <w:rsid w:val="00667C38"/>
    <w:rsid w:val="00672887"/>
    <w:rsid w:val="006834DE"/>
    <w:rsid w:val="00686CF1"/>
    <w:rsid w:val="0069072B"/>
    <w:rsid w:val="0069183F"/>
    <w:rsid w:val="0069536E"/>
    <w:rsid w:val="006B1A42"/>
    <w:rsid w:val="006B6627"/>
    <w:rsid w:val="006D4DE0"/>
    <w:rsid w:val="006F7CB4"/>
    <w:rsid w:val="00700433"/>
    <w:rsid w:val="00702AE0"/>
    <w:rsid w:val="007046A2"/>
    <w:rsid w:val="00710749"/>
    <w:rsid w:val="00722EF2"/>
    <w:rsid w:val="00723B0F"/>
    <w:rsid w:val="007425ED"/>
    <w:rsid w:val="007666E2"/>
    <w:rsid w:val="0079595D"/>
    <w:rsid w:val="007A2232"/>
    <w:rsid w:val="007C4088"/>
    <w:rsid w:val="007E01C0"/>
    <w:rsid w:val="007E1FE8"/>
    <w:rsid w:val="00814ADD"/>
    <w:rsid w:val="00823CB9"/>
    <w:rsid w:val="00824973"/>
    <w:rsid w:val="008670E0"/>
    <w:rsid w:val="00870295"/>
    <w:rsid w:val="00874222"/>
    <w:rsid w:val="00887A2F"/>
    <w:rsid w:val="00896558"/>
    <w:rsid w:val="008D05D9"/>
    <w:rsid w:val="008E0FA2"/>
    <w:rsid w:val="008E2480"/>
    <w:rsid w:val="008E79CD"/>
    <w:rsid w:val="008F59A9"/>
    <w:rsid w:val="008F7F95"/>
    <w:rsid w:val="0090119B"/>
    <w:rsid w:val="00903ED3"/>
    <w:rsid w:val="00950B9B"/>
    <w:rsid w:val="0095131E"/>
    <w:rsid w:val="009C77D7"/>
    <w:rsid w:val="009D5E17"/>
    <w:rsid w:val="009E4436"/>
    <w:rsid w:val="009F7098"/>
    <w:rsid w:val="009F733B"/>
    <w:rsid w:val="00A43DC3"/>
    <w:rsid w:val="00A53026"/>
    <w:rsid w:val="00A570FE"/>
    <w:rsid w:val="00A72245"/>
    <w:rsid w:val="00A72496"/>
    <w:rsid w:val="00A76974"/>
    <w:rsid w:val="00A83029"/>
    <w:rsid w:val="00A873A5"/>
    <w:rsid w:val="00AB604F"/>
    <w:rsid w:val="00B22419"/>
    <w:rsid w:val="00B26391"/>
    <w:rsid w:val="00B335F9"/>
    <w:rsid w:val="00B33F67"/>
    <w:rsid w:val="00B37E37"/>
    <w:rsid w:val="00B40BB9"/>
    <w:rsid w:val="00B6745A"/>
    <w:rsid w:val="00B772BD"/>
    <w:rsid w:val="00B94C34"/>
    <w:rsid w:val="00BB07C3"/>
    <w:rsid w:val="00BB3828"/>
    <w:rsid w:val="00C47F1C"/>
    <w:rsid w:val="00C5607F"/>
    <w:rsid w:val="00C8339F"/>
    <w:rsid w:val="00CF13D8"/>
    <w:rsid w:val="00D040B1"/>
    <w:rsid w:val="00D160BA"/>
    <w:rsid w:val="00D16743"/>
    <w:rsid w:val="00D54BB4"/>
    <w:rsid w:val="00D57478"/>
    <w:rsid w:val="00D64059"/>
    <w:rsid w:val="00DD2A63"/>
    <w:rsid w:val="00DD5E19"/>
    <w:rsid w:val="00DF41AA"/>
    <w:rsid w:val="00E118DE"/>
    <w:rsid w:val="00E3171A"/>
    <w:rsid w:val="00E91ECE"/>
    <w:rsid w:val="00EC5A21"/>
    <w:rsid w:val="00EF5064"/>
    <w:rsid w:val="00F01EC6"/>
    <w:rsid w:val="00F04682"/>
    <w:rsid w:val="00F112EF"/>
    <w:rsid w:val="00F9337B"/>
    <w:rsid w:val="00FA61C8"/>
    <w:rsid w:val="00FA628F"/>
    <w:rsid w:val="00FB5154"/>
    <w:rsid w:val="00FE5F36"/>
    <w:rsid w:val="00FE778B"/>
    <w:rsid w:val="00FF7AD9"/>
    <w:rsid w:val="010B06CF"/>
    <w:rsid w:val="02067A1C"/>
    <w:rsid w:val="023300B2"/>
    <w:rsid w:val="02562D5C"/>
    <w:rsid w:val="025E74F4"/>
    <w:rsid w:val="028E3199"/>
    <w:rsid w:val="02E84F90"/>
    <w:rsid w:val="030722EE"/>
    <w:rsid w:val="047C0C3F"/>
    <w:rsid w:val="047F1664"/>
    <w:rsid w:val="055758BE"/>
    <w:rsid w:val="06486916"/>
    <w:rsid w:val="06C712B1"/>
    <w:rsid w:val="06F0147F"/>
    <w:rsid w:val="070F54A3"/>
    <w:rsid w:val="0803471E"/>
    <w:rsid w:val="088640F7"/>
    <w:rsid w:val="08D67F53"/>
    <w:rsid w:val="08E9202E"/>
    <w:rsid w:val="090D71AB"/>
    <w:rsid w:val="0A0D0F95"/>
    <w:rsid w:val="0A2254F5"/>
    <w:rsid w:val="0A2833C6"/>
    <w:rsid w:val="0AB2323C"/>
    <w:rsid w:val="0AF41BDB"/>
    <w:rsid w:val="0B4D3BF1"/>
    <w:rsid w:val="0B692BC4"/>
    <w:rsid w:val="0C2700D8"/>
    <w:rsid w:val="0D4E1A68"/>
    <w:rsid w:val="0D553231"/>
    <w:rsid w:val="0E590D2D"/>
    <w:rsid w:val="0EB23F3A"/>
    <w:rsid w:val="0EDD4374"/>
    <w:rsid w:val="0F245407"/>
    <w:rsid w:val="0F7B7575"/>
    <w:rsid w:val="0F831255"/>
    <w:rsid w:val="0F9D602C"/>
    <w:rsid w:val="10092657"/>
    <w:rsid w:val="103233B6"/>
    <w:rsid w:val="103307B8"/>
    <w:rsid w:val="1057106E"/>
    <w:rsid w:val="106E378B"/>
    <w:rsid w:val="1113485F"/>
    <w:rsid w:val="1131072A"/>
    <w:rsid w:val="11AD742D"/>
    <w:rsid w:val="11E75EE5"/>
    <w:rsid w:val="11F13516"/>
    <w:rsid w:val="127050CB"/>
    <w:rsid w:val="1295437A"/>
    <w:rsid w:val="130E6CE2"/>
    <w:rsid w:val="13B0225A"/>
    <w:rsid w:val="13D02DAA"/>
    <w:rsid w:val="13FF0DA5"/>
    <w:rsid w:val="1409111B"/>
    <w:rsid w:val="141F4EA5"/>
    <w:rsid w:val="142F63D8"/>
    <w:rsid w:val="143D1E81"/>
    <w:rsid w:val="14B236D8"/>
    <w:rsid w:val="151B4D60"/>
    <w:rsid w:val="152C0D1B"/>
    <w:rsid w:val="15433819"/>
    <w:rsid w:val="154E15F1"/>
    <w:rsid w:val="155A2F95"/>
    <w:rsid w:val="16693D46"/>
    <w:rsid w:val="166D119E"/>
    <w:rsid w:val="1684168B"/>
    <w:rsid w:val="16883DD2"/>
    <w:rsid w:val="16AD7759"/>
    <w:rsid w:val="16D01B7A"/>
    <w:rsid w:val="172A43B4"/>
    <w:rsid w:val="176D1177"/>
    <w:rsid w:val="177F2867"/>
    <w:rsid w:val="17D64F6F"/>
    <w:rsid w:val="17D81F52"/>
    <w:rsid w:val="17D82359"/>
    <w:rsid w:val="180F5177"/>
    <w:rsid w:val="187D41DF"/>
    <w:rsid w:val="187F5606"/>
    <w:rsid w:val="18AE6A09"/>
    <w:rsid w:val="19071834"/>
    <w:rsid w:val="19597C05"/>
    <w:rsid w:val="1A7016AA"/>
    <w:rsid w:val="1A930EF5"/>
    <w:rsid w:val="1B524C1F"/>
    <w:rsid w:val="1B696C33"/>
    <w:rsid w:val="1C921E4A"/>
    <w:rsid w:val="1D5037CA"/>
    <w:rsid w:val="1D7B460B"/>
    <w:rsid w:val="1E93401A"/>
    <w:rsid w:val="1F34016A"/>
    <w:rsid w:val="1FC30E7F"/>
    <w:rsid w:val="1FE14158"/>
    <w:rsid w:val="208E7FC4"/>
    <w:rsid w:val="20FC0D46"/>
    <w:rsid w:val="212328C1"/>
    <w:rsid w:val="21645F8B"/>
    <w:rsid w:val="223B07F0"/>
    <w:rsid w:val="224E35FD"/>
    <w:rsid w:val="22D2218B"/>
    <w:rsid w:val="22E44DA0"/>
    <w:rsid w:val="22FD7B57"/>
    <w:rsid w:val="23703F94"/>
    <w:rsid w:val="24277F71"/>
    <w:rsid w:val="242D4844"/>
    <w:rsid w:val="24385274"/>
    <w:rsid w:val="25B357D5"/>
    <w:rsid w:val="25BC3A39"/>
    <w:rsid w:val="26B92423"/>
    <w:rsid w:val="274B3022"/>
    <w:rsid w:val="27DB4ACE"/>
    <w:rsid w:val="2859084F"/>
    <w:rsid w:val="28652DD3"/>
    <w:rsid w:val="28676281"/>
    <w:rsid w:val="28B91A62"/>
    <w:rsid w:val="290E37E8"/>
    <w:rsid w:val="29655DA2"/>
    <w:rsid w:val="299959A2"/>
    <w:rsid w:val="29AA0009"/>
    <w:rsid w:val="2A4C49BE"/>
    <w:rsid w:val="2A922F77"/>
    <w:rsid w:val="2ACE562D"/>
    <w:rsid w:val="2AE47FDC"/>
    <w:rsid w:val="2B0926C0"/>
    <w:rsid w:val="2B297FE5"/>
    <w:rsid w:val="2CBE3855"/>
    <w:rsid w:val="2CC906D1"/>
    <w:rsid w:val="2CC96439"/>
    <w:rsid w:val="2CD75567"/>
    <w:rsid w:val="2CFD19F7"/>
    <w:rsid w:val="2D0D4B37"/>
    <w:rsid w:val="2D387FC4"/>
    <w:rsid w:val="2D9F1682"/>
    <w:rsid w:val="2DB72CF5"/>
    <w:rsid w:val="2E23072F"/>
    <w:rsid w:val="2ED27DE6"/>
    <w:rsid w:val="2ED3143C"/>
    <w:rsid w:val="2ED81E78"/>
    <w:rsid w:val="2F806D27"/>
    <w:rsid w:val="30E20088"/>
    <w:rsid w:val="311E5564"/>
    <w:rsid w:val="31321B4D"/>
    <w:rsid w:val="316D68CA"/>
    <w:rsid w:val="31E438D6"/>
    <w:rsid w:val="31FE615D"/>
    <w:rsid w:val="323D52C0"/>
    <w:rsid w:val="32D700C1"/>
    <w:rsid w:val="32DC190E"/>
    <w:rsid w:val="32FF6E6D"/>
    <w:rsid w:val="339B068A"/>
    <w:rsid w:val="342268CD"/>
    <w:rsid w:val="34560205"/>
    <w:rsid w:val="345A75C8"/>
    <w:rsid w:val="348426B1"/>
    <w:rsid w:val="35226EE4"/>
    <w:rsid w:val="352928A7"/>
    <w:rsid w:val="354809E2"/>
    <w:rsid w:val="35723839"/>
    <w:rsid w:val="358D68CC"/>
    <w:rsid w:val="359C5F6C"/>
    <w:rsid w:val="3604731B"/>
    <w:rsid w:val="366E2DC7"/>
    <w:rsid w:val="36706548"/>
    <w:rsid w:val="369C5698"/>
    <w:rsid w:val="36A6683E"/>
    <w:rsid w:val="37796733"/>
    <w:rsid w:val="378679C0"/>
    <w:rsid w:val="38116232"/>
    <w:rsid w:val="3A053765"/>
    <w:rsid w:val="3A113B23"/>
    <w:rsid w:val="3A2E2366"/>
    <w:rsid w:val="3ABA486F"/>
    <w:rsid w:val="3B183024"/>
    <w:rsid w:val="3CE27C70"/>
    <w:rsid w:val="3D24301C"/>
    <w:rsid w:val="3D2B0D7F"/>
    <w:rsid w:val="3DC05C43"/>
    <w:rsid w:val="3DC40DFB"/>
    <w:rsid w:val="3E353EED"/>
    <w:rsid w:val="3E846685"/>
    <w:rsid w:val="3E917176"/>
    <w:rsid w:val="3ECC27C2"/>
    <w:rsid w:val="3EF71358"/>
    <w:rsid w:val="3F0B695A"/>
    <w:rsid w:val="3F2660E0"/>
    <w:rsid w:val="40A53078"/>
    <w:rsid w:val="40B650B9"/>
    <w:rsid w:val="41BF327F"/>
    <w:rsid w:val="422D74F8"/>
    <w:rsid w:val="423B2E57"/>
    <w:rsid w:val="42503636"/>
    <w:rsid w:val="44F92119"/>
    <w:rsid w:val="46892719"/>
    <w:rsid w:val="46DB235E"/>
    <w:rsid w:val="47224C12"/>
    <w:rsid w:val="486C0C85"/>
    <w:rsid w:val="48E07E4B"/>
    <w:rsid w:val="48FD64AB"/>
    <w:rsid w:val="49021AA0"/>
    <w:rsid w:val="4B817682"/>
    <w:rsid w:val="4C0D2AAF"/>
    <w:rsid w:val="4D07114B"/>
    <w:rsid w:val="4D6F7DC6"/>
    <w:rsid w:val="4DA52AA9"/>
    <w:rsid w:val="4DF07E60"/>
    <w:rsid w:val="4E522508"/>
    <w:rsid w:val="4E555281"/>
    <w:rsid w:val="4E5C2352"/>
    <w:rsid w:val="4EC61CA6"/>
    <w:rsid w:val="4F2E349C"/>
    <w:rsid w:val="4F762A6E"/>
    <w:rsid w:val="4F901E15"/>
    <w:rsid w:val="4F950C90"/>
    <w:rsid w:val="4FE93844"/>
    <w:rsid w:val="50D80D76"/>
    <w:rsid w:val="50F851C2"/>
    <w:rsid w:val="51383F5B"/>
    <w:rsid w:val="5206463D"/>
    <w:rsid w:val="526130AB"/>
    <w:rsid w:val="52976ACD"/>
    <w:rsid w:val="52BC29D7"/>
    <w:rsid w:val="53B03D82"/>
    <w:rsid w:val="54124706"/>
    <w:rsid w:val="54C600B0"/>
    <w:rsid w:val="55B20C33"/>
    <w:rsid w:val="573D6968"/>
    <w:rsid w:val="57E26CFD"/>
    <w:rsid w:val="584B5683"/>
    <w:rsid w:val="588C15CC"/>
    <w:rsid w:val="58BB5D56"/>
    <w:rsid w:val="58EE0267"/>
    <w:rsid w:val="591841CF"/>
    <w:rsid w:val="59595331"/>
    <w:rsid w:val="5ABF4E13"/>
    <w:rsid w:val="5AC57105"/>
    <w:rsid w:val="5BB12F2F"/>
    <w:rsid w:val="5BCA00F5"/>
    <w:rsid w:val="5D5C4DA2"/>
    <w:rsid w:val="5D7F0DD6"/>
    <w:rsid w:val="5D9236CB"/>
    <w:rsid w:val="5E6C590B"/>
    <w:rsid w:val="5F7C66C9"/>
    <w:rsid w:val="5F8316BF"/>
    <w:rsid w:val="5F9B1910"/>
    <w:rsid w:val="600E7075"/>
    <w:rsid w:val="60427D17"/>
    <w:rsid w:val="60544F40"/>
    <w:rsid w:val="60DB5CA7"/>
    <w:rsid w:val="614B791F"/>
    <w:rsid w:val="624F7008"/>
    <w:rsid w:val="62960F74"/>
    <w:rsid w:val="63202D86"/>
    <w:rsid w:val="6364478F"/>
    <w:rsid w:val="637A5D7B"/>
    <w:rsid w:val="641532C5"/>
    <w:rsid w:val="64202DC6"/>
    <w:rsid w:val="64537CD1"/>
    <w:rsid w:val="64670845"/>
    <w:rsid w:val="654E2431"/>
    <w:rsid w:val="65931A51"/>
    <w:rsid w:val="66253E7F"/>
    <w:rsid w:val="66880AAA"/>
    <w:rsid w:val="66FF2634"/>
    <w:rsid w:val="67E87203"/>
    <w:rsid w:val="6953614D"/>
    <w:rsid w:val="696A4915"/>
    <w:rsid w:val="697C0346"/>
    <w:rsid w:val="6A4118B1"/>
    <w:rsid w:val="6A915B84"/>
    <w:rsid w:val="6AC377B1"/>
    <w:rsid w:val="6B1220F0"/>
    <w:rsid w:val="6B826D10"/>
    <w:rsid w:val="6B897BF1"/>
    <w:rsid w:val="6C5001CC"/>
    <w:rsid w:val="6D754569"/>
    <w:rsid w:val="6DC27BD3"/>
    <w:rsid w:val="6E0660CA"/>
    <w:rsid w:val="6E0F76C6"/>
    <w:rsid w:val="6E8B7240"/>
    <w:rsid w:val="6EDB5075"/>
    <w:rsid w:val="6F51070C"/>
    <w:rsid w:val="6F6E66AF"/>
    <w:rsid w:val="6F7704D0"/>
    <w:rsid w:val="6FC02B97"/>
    <w:rsid w:val="6FC25B68"/>
    <w:rsid w:val="6FCA035E"/>
    <w:rsid w:val="6FEF16BE"/>
    <w:rsid w:val="70035569"/>
    <w:rsid w:val="700974FB"/>
    <w:rsid w:val="70420198"/>
    <w:rsid w:val="706A73D6"/>
    <w:rsid w:val="70E54D18"/>
    <w:rsid w:val="72AD2F60"/>
    <w:rsid w:val="72C63391"/>
    <w:rsid w:val="72D300DA"/>
    <w:rsid w:val="741E637E"/>
    <w:rsid w:val="744E5F97"/>
    <w:rsid w:val="74A16B19"/>
    <w:rsid w:val="759C7DD3"/>
    <w:rsid w:val="75CF0849"/>
    <w:rsid w:val="760F2622"/>
    <w:rsid w:val="76815090"/>
    <w:rsid w:val="773774DD"/>
    <w:rsid w:val="775F5A05"/>
    <w:rsid w:val="77767521"/>
    <w:rsid w:val="78766AAE"/>
    <w:rsid w:val="78CE73AB"/>
    <w:rsid w:val="78FC4A23"/>
    <w:rsid w:val="793C3C4D"/>
    <w:rsid w:val="794634E5"/>
    <w:rsid w:val="7A1B7E60"/>
    <w:rsid w:val="7ADD3367"/>
    <w:rsid w:val="7BB075FB"/>
    <w:rsid w:val="7C4E248F"/>
    <w:rsid w:val="7DFE07D9"/>
    <w:rsid w:val="7E2C5A01"/>
    <w:rsid w:val="7E4355E6"/>
    <w:rsid w:val="7E672ADC"/>
    <w:rsid w:val="7E7B2C53"/>
    <w:rsid w:val="7E7B7F8F"/>
    <w:rsid w:val="7EBD0B32"/>
    <w:rsid w:val="7EC1181F"/>
    <w:rsid w:val="7F6E764D"/>
    <w:rsid w:val="7F860781"/>
    <w:rsid w:val="7FB04986"/>
    <w:rsid w:val="7FD61453"/>
    <w:rsid w:val="7FF90280"/>
    <w:rsid w:val="BBEDE7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39" w:semiHidden="0" w:name="toc 2"/>
    <w:lsdException w:qFormat="1" w:unhideWhenUsed="0" w:uiPriority="0"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27"/>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5">
    <w:name w:val="heading 2"/>
    <w:basedOn w:val="1"/>
    <w:next w:val="1"/>
    <w:link w:val="40"/>
    <w:unhideWhenUsed/>
    <w:qFormat/>
    <w:uiPriority w:val="0"/>
    <w:pPr>
      <w:ind w:firstLine="482"/>
      <w:outlineLvl w:val="1"/>
    </w:pPr>
    <w:rPr>
      <w:b/>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alloon Text"/>
    <w:basedOn w:val="1"/>
    <w:next w:val="3"/>
    <w:link w:val="37"/>
    <w:qFormat/>
    <w:uiPriority w:val="0"/>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Indent"/>
    <w:basedOn w:val="1"/>
    <w:qFormat/>
    <w:uiPriority w:val="0"/>
    <w:pPr>
      <w:ind w:firstLine="200" w:firstLineChars="200"/>
    </w:pPr>
    <w:rPr>
      <w:color w:val="0000FF"/>
      <w:sz w:val="28"/>
      <w:szCs w:val="28"/>
    </w:rPr>
  </w:style>
  <w:style w:type="paragraph" w:styleId="7">
    <w:name w:val="annotation text"/>
    <w:basedOn w:val="1"/>
    <w:link w:val="36"/>
    <w:unhideWhenUsed/>
    <w:qFormat/>
    <w:uiPriority w:val="0"/>
    <w:pPr>
      <w:jc w:val="left"/>
    </w:pPr>
  </w:style>
  <w:style w:type="paragraph" w:styleId="8">
    <w:name w:val="Body Text Indent"/>
    <w:basedOn w:val="1"/>
    <w:qFormat/>
    <w:uiPriority w:val="0"/>
    <w:pPr>
      <w:adjustRightInd w:val="0"/>
      <w:snapToGrid w:val="0"/>
      <w:spacing w:line="560" w:lineRule="atLeast"/>
      <w:ind w:firstLine="640" w:firstLineChars="200"/>
    </w:pPr>
    <w:rPr>
      <w:kern w:val="0"/>
      <w:szCs w:val="28"/>
    </w:rPr>
  </w:style>
  <w:style w:type="paragraph" w:styleId="9">
    <w:name w:val="toc 3"/>
    <w:basedOn w:val="1"/>
    <w:next w:val="1"/>
    <w:qFormat/>
    <w:uiPriority w:val="0"/>
    <w:pPr>
      <w:ind w:left="840" w:leftChars="400"/>
    </w:pPr>
  </w:style>
  <w:style w:type="paragraph" w:styleId="10">
    <w:name w:val="Date"/>
    <w:basedOn w:val="1"/>
    <w:next w:val="1"/>
    <w:link w:val="35"/>
    <w:qFormat/>
    <w:uiPriority w:val="0"/>
    <w:pPr>
      <w:ind w:left="100" w:leftChars="2500"/>
    </w:pPr>
  </w:style>
  <w:style w:type="paragraph" w:styleId="11">
    <w:name w:val="footer"/>
    <w:basedOn w:val="1"/>
    <w:qFormat/>
    <w:uiPriority w:val="99"/>
    <w:pPr>
      <w:tabs>
        <w:tab w:val="center" w:pos="4153"/>
        <w:tab w:val="right" w:pos="8306"/>
      </w:tabs>
      <w:snapToGrid w:val="0"/>
      <w:jc w:val="left"/>
    </w:pPr>
    <w:rPr>
      <w:sz w:val="18"/>
      <w:szCs w:val="18"/>
    </w:rPr>
  </w:style>
  <w:style w:type="paragraph" w:styleId="12">
    <w:name w:val="toc 1"/>
    <w:basedOn w:val="1"/>
    <w:next w:val="1"/>
    <w:qFormat/>
    <w:uiPriority w:val="0"/>
  </w:style>
  <w:style w:type="paragraph" w:styleId="13">
    <w:name w:val="toc 2"/>
    <w:basedOn w:val="1"/>
    <w:next w:val="14"/>
    <w:qFormat/>
    <w:uiPriority w:val="39"/>
    <w:pPr>
      <w:ind w:left="420" w:leftChars="200"/>
    </w:pPr>
  </w:style>
  <w:style w:type="paragraph" w:styleId="14">
    <w:name w:val="Title"/>
    <w:basedOn w:val="1"/>
    <w:qFormat/>
    <w:uiPriority w:val="0"/>
    <w:pPr>
      <w:jc w:val="center"/>
      <w:outlineLvl w:val="0"/>
    </w:pPr>
    <w:rPr>
      <w:rFonts w:ascii="Arial" w:hAnsi="Arial"/>
      <w:b/>
      <w:sz w:val="32"/>
    </w:rPr>
  </w:style>
  <w:style w:type="paragraph" w:styleId="15">
    <w:name w:val="Normal (Web)"/>
    <w:basedOn w:val="1"/>
    <w:qFormat/>
    <w:uiPriority w:val="0"/>
    <w:pPr>
      <w:spacing w:beforeAutospacing="1" w:afterAutospacing="1"/>
      <w:jc w:val="left"/>
    </w:pPr>
    <w:rPr>
      <w:rFonts w:cs="Times New Roman"/>
      <w:kern w:val="0"/>
      <w:sz w:val="24"/>
    </w:rPr>
  </w:style>
  <w:style w:type="paragraph" w:styleId="16">
    <w:name w:val="annotation subject"/>
    <w:basedOn w:val="7"/>
    <w:next w:val="7"/>
    <w:link w:val="41"/>
    <w:semiHidden/>
    <w:unhideWhenUsed/>
    <w:qFormat/>
    <w:uiPriority w:val="0"/>
    <w:rPr>
      <w:b/>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character" w:styleId="21">
    <w:name w:val="page number"/>
    <w:basedOn w:val="19"/>
    <w:qFormat/>
    <w:uiPriority w:val="0"/>
    <w:rPr>
      <w:rFonts w:hint="default"/>
      <w:sz w:val="24"/>
    </w:rPr>
  </w:style>
  <w:style w:type="character" w:styleId="22">
    <w:name w:val="Hyperlink"/>
    <w:basedOn w:val="19"/>
    <w:qFormat/>
    <w:uiPriority w:val="99"/>
    <w:rPr>
      <w:color w:val="0000FF"/>
      <w:u w:val="single"/>
    </w:rPr>
  </w:style>
  <w:style w:type="character" w:styleId="23">
    <w:name w:val="annotation reference"/>
    <w:basedOn w:val="19"/>
    <w:semiHidden/>
    <w:unhideWhenUsed/>
    <w:qFormat/>
    <w:uiPriority w:val="0"/>
    <w:rPr>
      <w:sz w:val="21"/>
      <w:szCs w:val="21"/>
    </w:rPr>
  </w:style>
  <w:style w:type="paragraph" w:customStyle="1" w:styleId="24">
    <w:name w:val="正文缩进311"/>
    <w:next w:val="1"/>
    <w:qFormat/>
    <w:uiPriority w:val="0"/>
    <w:pPr>
      <w:wordWrap w:val="0"/>
      <w:ind w:left="3400"/>
      <w:jc w:val="both"/>
    </w:pPr>
    <w:rPr>
      <w:rFonts w:ascii="Calibri" w:hAnsi="Calibri" w:eastAsia="宋体" w:cs="Times New Roman"/>
      <w:sz w:val="21"/>
      <w:szCs w:val="22"/>
      <w:lang w:val="en-US" w:eastAsia="zh-CN" w:bidi="ar-SA"/>
    </w:rPr>
  </w:style>
  <w:style w:type="paragraph" w:customStyle="1" w:styleId="25">
    <w:name w:val="正文文本首行缩进 21"/>
    <w:basedOn w:val="26"/>
    <w:qFormat/>
    <w:uiPriority w:val="0"/>
    <w:pPr>
      <w:ind w:firstLine="420"/>
    </w:pPr>
  </w:style>
  <w:style w:type="paragraph" w:customStyle="1" w:styleId="26">
    <w:name w:val="正文文本缩进1"/>
    <w:basedOn w:val="1"/>
    <w:qFormat/>
    <w:uiPriority w:val="0"/>
    <w:pPr>
      <w:spacing w:line="520" w:lineRule="exact"/>
      <w:ind w:firstLine="640" w:firstLineChars="200"/>
    </w:pPr>
    <w:rPr>
      <w:rFonts w:ascii="仿宋_GB2312" w:eastAsia="仿宋_GB2312"/>
      <w:sz w:val="32"/>
    </w:rPr>
  </w:style>
  <w:style w:type="character" w:customStyle="1" w:styleId="27">
    <w:name w:val="标题 1 Char"/>
    <w:link w:val="4"/>
    <w:qFormat/>
    <w:uiPriority w:val="0"/>
    <w:rPr>
      <w:rFonts w:hint="eastAsia" w:ascii="宋体" w:hAnsi="宋体" w:eastAsia="宋体" w:cs="Times New Roman"/>
      <w:b/>
      <w:kern w:val="44"/>
      <w:sz w:val="48"/>
      <w:szCs w:val="48"/>
    </w:rPr>
  </w:style>
  <w:style w:type="character" w:customStyle="1" w:styleId="28">
    <w:name w:val="标题 2 字符"/>
    <w:qFormat/>
    <w:uiPriority w:val="0"/>
    <w:rPr>
      <w:b/>
    </w:rPr>
  </w:style>
  <w:style w:type="paragraph" w:customStyle="1" w:styleId="29">
    <w:name w:val="_Style 2"/>
    <w:basedOn w:val="4"/>
    <w:next w:val="1"/>
    <w:qFormat/>
    <w:uiPriority w:val="39"/>
    <w:pPr>
      <w:widowControl/>
      <w:spacing w:before="480" w:line="276" w:lineRule="auto"/>
      <w:outlineLvl w:val="9"/>
    </w:pPr>
    <w:rPr>
      <w:rFonts w:ascii="Cambria" w:hAnsi="Cambria"/>
      <w:color w:val="365F91"/>
      <w:kern w:val="0"/>
      <w:sz w:val="28"/>
      <w:szCs w:val="28"/>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styleId="31">
    <w:name w:val="List Paragraph"/>
    <w:basedOn w:val="1"/>
    <w:unhideWhenUsed/>
    <w:qFormat/>
    <w:uiPriority w:val="99"/>
    <w:pPr>
      <w:ind w:firstLine="420" w:firstLineChars="200"/>
    </w:pPr>
  </w:style>
  <w:style w:type="paragraph" w:customStyle="1" w:styleId="32">
    <w:name w:val="WPSOffice手动目录 1"/>
    <w:qFormat/>
    <w:uiPriority w:val="0"/>
    <w:rPr>
      <w:rFonts w:ascii="Times New Roman" w:hAnsi="Times New Roman" w:eastAsia="宋体" w:cs="Times New Roman"/>
      <w:lang w:val="en-US" w:eastAsia="zh-CN" w:bidi="ar-SA"/>
    </w:rPr>
  </w:style>
  <w:style w:type="paragraph" w:customStyle="1" w:styleId="3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4">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35">
    <w:name w:val="日期 Char"/>
    <w:basedOn w:val="19"/>
    <w:link w:val="10"/>
    <w:qFormat/>
    <w:uiPriority w:val="0"/>
    <w:rPr>
      <w:rFonts w:asciiTheme="minorHAnsi" w:hAnsiTheme="minorHAnsi" w:eastAsiaTheme="minorEastAsia" w:cstheme="minorBidi"/>
      <w:kern w:val="2"/>
      <w:sz w:val="21"/>
      <w:szCs w:val="24"/>
    </w:rPr>
  </w:style>
  <w:style w:type="character" w:customStyle="1" w:styleId="36">
    <w:name w:val="批注文字 Char"/>
    <w:basedOn w:val="19"/>
    <w:link w:val="7"/>
    <w:qFormat/>
    <w:uiPriority w:val="0"/>
    <w:rPr>
      <w:rFonts w:asciiTheme="minorHAnsi" w:hAnsiTheme="minorHAnsi" w:eastAsiaTheme="minorEastAsia" w:cstheme="minorBidi"/>
      <w:kern w:val="2"/>
      <w:sz w:val="21"/>
      <w:szCs w:val="24"/>
    </w:rPr>
  </w:style>
  <w:style w:type="character" w:customStyle="1" w:styleId="37">
    <w:name w:val="批注框文本 Char"/>
    <w:basedOn w:val="19"/>
    <w:link w:val="2"/>
    <w:qFormat/>
    <w:uiPriority w:val="0"/>
    <w:rPr>
      <w:rFonts w:asciiTheme="minorHAnsi" w:hAnsiTheme="minorHAnsi" w:eastAsiaTheme="minorEastAsia" w:cstheme="minorBidi"/>
      <w:kern w:val="2"/>
      <w:sz w:val="18"/>
      <w:szCs w:val="18"/>
    </w:rPr>
  </w:style>
  <w:style w:type="paragraph" w:customStyle="1" w:styleId="38">
    <w:name w:val="Body text|1"/>
    <w:basedOn w:val="1"/>
    <w:qFormat/>
    <w:uiPriority w:val="0"/>
    <w:pPr>
      <w:spacing w:after="200" w:line="430" w:lineRule="auto"/>
      <w:ind w:firstLine="400"/>
    </w:pPr>
    <w:rPr>
      <w:rFonts w:ascii="宋体" w:hAnsi="宋体" w:eastAsia="宋体" w:cs="宋体"/>
      <w:sz w:val="22"/>
      <w:szCs w:val="22"/>
      <w:lang w:val="zh-TW" w:eastAsia="zh-TW" w:bidi="zh-TW"/>
    </w:rPr>
  </w:style>
  <w:style w:type="paragraph" w:customStyle="1" w:styleId="39">
    <w:name w:val="Body text|2"/>
    <w:basedOn w:val="1"/>
    <w:qFormat/>
    <w:uiPriority w:val="0"/>
    <w:pPr>
      <w:spacing w:after="300"/>
      <w:ind w:left="1270"/>
      <w:jc w:val="center"/>
    </w:pPr>
    <w:rPr>
      <w:sz w:val="26"/>
      <w:szCs w:val="26"/>
      <w:lang w:val="zh-TW" w:eastAsia="zh-TW" w:bidi="zh-TW"/>
    </w:rPr>
  </w:style>
  <w:style w:type="character" w:customStyle="1" w:styleId="40">
    <w:name w:val="标题 2 Char"/>
    <w:link w:val="5"/>
    <w:qFormat/>
    <w:uiPriority w:val="0"/>
    <w:rPr>
      <w:b/>
    </w:rPr>
  </w:style>
  <w:style w:type="character" w:customStyle="1" w:styleId="41">
    <w:name w:val="批注主题 Char"/>
    <w:basedOn w:val="36"/>
    <w:link w:val="16"/>
    <w:semiHidden/>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7FC592-2F2D-4CB6-AED9-E4B96D39A441}">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44</Pages>
  <Words>23505</Words>
  <Characters>25229</Characters>
  <Lines>186</Lines>
  <Paragraphs>52</Paragraphs>
  <TotalTime>0</TotalTime>
  <ScaleCrop>false</ScaleCrop>
  <LinksUpToDate>false</LinksUpToDate>
  <CharactersWithSpaces>25493</CharactersWithSpaces>
  <Application>WPS Office_11.8.2.12185_F1E327BC-269C-435d-A152-05C5408002CA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2022-10-26T18:00:00Z</dcterms:created>
  <dc:creator>Administrator</dc:creator>
  <cp:lastModifiedBy>thtf</cp:lastModifiedBy>
  <cp:lastPrinted>2022-12-10T01:29:00Z</cp:lastPrinted>
  <dcterms:modified xsi:type="dcterms:W3CDTF">2024-12-08T21:11:48Z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2052-11.8.2.12185</vt:lpwstr>
  </property>
  <property fmtid="{D5CDD505-2E9C-101B-9397-08002B2CF9AE}" pid="3" name="ICV">
    <vt:lpwstr>4581C132749B40E9B42F5B3089607497_13</vt:lpwstr>
  </property>
</Properties>
</file>