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Pr>
      <w:bookmarkStart w:id="0" w:name="_Hlk119917153"/>
    </w:p>
    <w:bookmarkEnd w:id="0"/>
    <w:p>
      <w:pPr>
        <w:rPr>
          <w:rFonts w:ascii="黑体" w:hAnsi="黑体" w:eastAsia="黑体" w:cs="黑体"/>
          <w:spacing w:val="4"/>
          <w:sz w:val="44"/>
          <w:szCs w:val="44"/>
        </w:rPr>
      </w:pPr>
    </w:p>
    <w:p>
      <w:pPr>
        <w:pStyle w:val="2"/>
      </w:pPr>
    </w:p>
    <w:p>
      <w:pPr>
        <w:jc w:val="center"/>
        <w:rPr>
          <w:rFonts w:ascii="黑体" w:hAnsi="黑体" w:eastAsia="黑体" w:cs="黑体"/>
          <w:spacing w:val="4"/>
          <w:sz w:val="44"/>
          <w:szCs w:val="44"/>
        </w:rPr>
      </w:pPr>
      <w:r>
        <w:rPr>
          <w:rFonts w:hint="eastAsia" w:ascii="黑体" w:hAnsi="黑体" w:eastAsia="黑体" w:cs="黑体"/>
          <w:spacing w:val="4"/>
          <w:sz w:val="44"/>
          <w:szCs w:val="44"/>
        </w:rPr>
        <w:t>2022年度石狮市应急管理局部门</w:t>
      </w:r>
      <w:bookmarkStart w:id="1" w:name="_Toc8216"/>
      <w:bookmarkStart w:id="2" w:name="_Toc15425"/>
    </w:p>
    <w:p>
      <w:pPr>
        <w:jc w:val="center"/>
        <w:outlineLvl w:val="0"/>
        <w:rPr>
          <w:rFonts w:ascii="黑体" w:hAnsi="黑体" w:eastAsia="黑体" w:cs="黑体"/>
          <w:spacing w:val="4"/>
          <w:sz w:val="44"/>
          <w:szCs w:val="44"/>
        </w:rPr>
      </w:pPr>
      <w:bookmarkStart w:id="3" w:name="_Toc20470"/>
      <w:bookmarkStart w:id="4" w:name="_Toc14390"/>
      <w:bookmarkStart w:id="5" w:name="_Toc27517"/>
      <w:bookmarkStart w:id="6" w:name="_Toc6644"/>
      <w:bookmarkStart w:id="7" w:name="_Toc7298"/>
      <w:r>
        <w:rPr>
          <w:rFonts w:hint="eastAsia" w:ascii="黑体" w:hAnsi="黑体" w:eastAsia="黑体" w:cs="黑体"/>
          <w:spacing w:val="4"/>
          <w:sz w:val="44"/>
          <w:szCs w:val="44"/>
        </w:rPr>
        <w:t>整体支出绩效评价报告</w:t>
      </w:r>
      <w:bookmarkEnd w:id="1"/>
      <w:bookmarkEnd w:id="2"/>
      <w:bookmarkEnd w:id="3"/>
      <w:bookmarkEnd w:id="4"/>
      <w:bookmarkEnd w:id="5"/>
      <w:bookmarkEnd w:id="6"/>
      <w:bookmarkEnd w:id="7"/>
    </w:p>
    <w:p>
      <w:pPr>
        <w:pStyle w:val="24"/>
        <w:rPr>
          <w:rFonts w:ascii="黑体" w:hAnsi="黑体" w:eastAsia="黑体" w:cs="黑体"/>
        </w:rPr>
      </w:pPr>
    </w:p>
    <w:p>
      <w:pPr>
        <w:rPr>
          <w:rFonts w:ascii="黑体" w:hAnsi="黑体" w:eastAsia="黑体" w:cs="黑体"/>
        </w:rPr>
      </w:pPr>
    </w:p>
    <w:p>
      <w:pPr>
        <w:pStyle w:val="2"/>
        <w:rPr>
          <w:rFonts w:ascii="黑体" w:hAnsi="黑体" w:eastAsia="黑体" w:cs="黑体"/>
        </w:rPr>
      </w:pPr>
    </w:p>
    <w:p>
      <w:pPr>
        <w:pStyle w:val="24"/>
        <w:rPr>
          <w:rFonts w:ascii="黑体" w:hAnsi="黑体" w:eastAsia="黑体" w:cs="黑体"/>
        </w:rPr>
      </w:pPr>
    </w:p>
    <w:p>
      <w:pPr>
        <w:spacing w:line="360" w:lineRule="auto"/>
        <w:ind w:firstLine="1269" w:firstLineChars="345"/>
        <w:jc w:val="center"/>
        <w:rPr>
          <w:rFonts w:ascii="黑体" w:hAnsi="黑体" w:eastAsia="黑体" w:cs="黑体"/>
          <w:bCs/>
          <w:spacing w:val="4"/>
          <w:sz w:val="36"/>
          <w:szCs w:val="36"/>
        </w:rPr>
      </w:pPr>
    </w:p>
    <w:p>
      <w:pPr>
        <w:pStyle w:val="2"/>
        <w:rPr>
          <w:rFonts w:ascii="黑体" w:hAnsi="黑体" w:eastAsia="黑体" w:cs="黑体"/>
        </w:rPr>
      </w:pPr>
    </w:p>
    <w:p>
      <w:pPr>
        <w:pStyle w:val="2"/>
        <w:rPr>
          <w:rFonts w:ascii="黑体" w:hAnsi="黑体" w:eastAsia="黑体" w:cs="黑体"/>
        </w:rPr>
      </w:pPr>
    </w:p>
    <w:p>
      <w:pPr>
        <w:pStyle w:val="24"/>
        <w:rPr>
          <w:rFonts w:ascii="黑体" w:hAnsi="黑体" w:eastAsia="黑体" w:cs="黑体"/>
        </w:rPr>
      </w:pPr>
    </w:p>
    <w:p>
      <w:pPr>
        <w:spacing w:line="360" w:lineRule="auto"/>
        <w:ind w:firstLine="640" w:firstLineChars="200"/>
        <w:jc w:val="left"/>
        <w:rPr>
          <w:rFonts w:ascii="黑体" w:hAnsi="黑体" w:eastAsia="黑体" w:cs="黑体"/>
          <w:sz w:val="32"/>
          <w:szCs w:val="32"/>
          <w:u w:val="single"/>
        </w:rPr>
      </w:pPr>
      <w:r>
        <w:rPr>
          <w:rFonts w:hint="eastAsia" w:ascii="黑体" w:hAnsi="黑体" w:eastAsia="黑体" w:cs="黑体"/>
          <w:sz w:val="32"/>
          <w:szCs w:val="32"/>
        </w:rPr>
        <w:t>项目单位：</w:t>
      </w:r>
      <w:r>
        <w:rPr>
          <w:rFonts w:hint="eastAsia" w:ascii="黑体" w:hAnsi="黑体" w:eastAsia="黑体" w:cs="黑体"/>
          <w:sz w:val="32"/>
          <w:szCs w:val="32"/>
          <w:u w:val="single"/>
        </w:rPr>
        <w:t xml:space="preserve">        石狮市应急管理局         </w:t>
      </w:r>
    </w:p>
    <w:p>
      <w:pPr>
        <w:pStyle w:val="2"/>
        <w:rPr>
          <w:rFonts w:ascii="黑体" w:hAnsi="黑体" w:eastAsia="黑体" w:cs="黑体"/>
        </w:rPr>
      </w:pPr>
    </w:p>
    <w:p>
      <w:pPr>
        <w:spacing w:line="360" w:lineRule="auto"/>
        <w:ind w:firstLine="640" w:firstLineChars="200"/>
        <w:jc w:val="left"/>
        <w:rPr>
          <w:rFonts w:ascii="黑体" w:hAnsi="黑体" w:eastAsia="黑体" w:cs="黑体"/>
          <w:sz w:val="32"/>
          <w:szCs w:val="32"/>
          <w:u w:val="single"/>
        </w:rPr>
      </w:pPr>
      <w:r>
        <w:rPr>
          <w:rFonts w:hint="eastAsia" w:ascii="黑体" w:hAnsi="黑体" w:eastAsia="黑体" w:cs="黑体"/>
          <w:sz w:val="32"/>
          <w:szCs w:val="32"/>
        </w:rPr>
        <w:t>委托单位：</w:t>
      </w:r>
      <w:r>
        <w:rPr>
          <w:rFonts w:hint="eastAsia" w:ascii="黑体" w:hAnsi="黑体" w:eastAsia="黑体" w:cs="黑体"/>
          <w:sz w:val="32"/>
          <w:szCs w:val="32"/>
          <w:u w:val="single"/>
        </w:rPr>
        <w:t xml:space="preserve">          石狮市财政局           </w:t>
      </w:r>
    </w:p>
    <w:p>
      <w:pPr>
        <w:pStyle w:val="25"/>
        <w:ind w:firstLine="640"/>
        <w:rPr>
          <w:rFonts w:ascii="黑体" w:hAnsi="黑体" w:eastAsia="黑体" w:cs="黑体"/>
          <w:szCs w:val="32"/>
        </w:rPr>
      </w:pPr>
    </w:p>
    <w:p>
      <w:pPr>
        <w:spacing w:line="360" w:lineRule="auto"/>
        <w:ind w:firstLine="640" w:firstLineChars="200"/>
        <w:jc w:val="left"/>
        <w:rPr>
          <w:rFonts w:ascii="黑体" w:hAnsi="黑体" w:eastAsia="黑体" w:cs="黑体"/>
          <w:sz w:val="32"/>
          <w:szCs w:val="32"/>
          <w:u w:val="single"/>
        </w:rPr>
      </w:pPr>
      <w:r>
        <w:rPr>
          <w:rFonts w:hint="eastAsia" w:ascii="黑体" w:hAnsi="黑体" w:eastAsia="黑体" w:cs="黑体"/>
          <w:sz w:val="32"/>
          <w:szCs w:val="32"/>
        </w:rPr>
        <w:t>评价机构：</w:t>
      </w:r>
      <w:r>
        <w:rPr>
          <w:rFonts w:hint="eastAsia" w:ascii="黑体" w:hAnsi="黑体" w:eastAsia="黑体" w:cs="黑体"/>
          <w:sz w:val="32"/>
          <w:szCs w:val="32"/>
          <w:u w:val="single"/>
        </w:rPr>
        <w:t xml:space="preserve">   泉州市启程财务咨询有限公司    </w:t>
      </w:r>
    </w:p>
    <w:p>
      <w:pPr>
        <w:pStyle w:val="25"/>
        <w:ind w:firstLine="0" w:firstLineChars="0"/>
        <w:rPr>
          <w:rFonts w:ascii="黑体" w:hAnsi="黑体" w:eastAsia="黑体" w:cs="黑体"/>
          <w:szCs w:val="32"/>
        </w:rPr>
      </w:pPr>
    </w:p>
    <w:p>
      <w:pPr>
        <w:spacing w:line="360" w:lineRule="auto"/>
        <w:ind w:firstLine="640" w:firstLineChars="200"/>
        <w:jc w:val="left"/>
        <w:rPr>
          <w:rFonts w:ascii="黑体" w:hAnsi="黑体" w:eastAsia="黑体" w:cs="黑体"/>
          <w:sz w:val="32"/>
          <w:szCs w:val="32"/>
          <w:u w:val="single"/>
        </w:rPr>
      </w:pPr>
      <w:r>
        <w:rPr>
          <w:rFonts w:hint="eastAsia" w:ascii="黑体" w:hAnsi="黑体" w:eastAsia="黑体" w:cs="黑体"/>
          <w:sz w:val="32"/>
          <w:szCs w:val="32"/>
        </w:rPr>
        <w:t>评价时间：</w:t>
      </w:r>
      <w:r>
        <w:rPr>
          <w:rFonts w:hint="eastAsia" w:ascii="黑体" w:hAnsi="黑体" w:eastAsia="黑体" w:cs="黑体"/>
          <w:sz w:val="32"/>
          <w:szCs w:val="32"/>
          <w:u w:val="single"/>
        </w:rPr>
        <w:t xml:space="preserve">        2023年5-6月           </w:t>
      </w:r>
    </w:p>
    <w:p>
      <w:pPr>
        <w:spacing w:line="760" w:lineRule="exact"/>
        <w:jc w:val="center"/>
        <w:rPr>
          <w:rFonts w:ascii="黑体" w:hAnsi="黑体" w:eastAsia="黑体" w:cs="黑体"/>
          <w:spacing w:val="4"/>
          <w:sz w:val="32"/>
          <w:szCs w:val="32"/>
        </w:rPr>
      </w:pPr>
    </w:p>
    <w:p>
      <w:pPr>
        <w:pStyle w:val="2"/>
        <w:rPr>
          <w:rFonts w:ascii="黑体" w:hAnsi="黑体" w:eastAsia="黑体" w:cs="黑体"/>
          <w:spacing w:val="4"/>
          <w:sz w:val="32"/>
          <w:szCs w:val="32"/>
        </w:rPr>
      </w:pPr>
    </w:p>
    <w:p>
      <w:pPr>
        <w:pStyle w:val="24"/>
        <w:rPr>
          <w:rFonts w:ascii="黑体" w:hAnsi="黑体" w:eastAsia="黑体" w:cs="黑体"/>
          <w:spacing w:val="4"/>
          <w:sz w:val="32"/>
          <w:szCs w:val="32"/>
        </w:rPr>
      </w:pPr>
    </w:p>
    <w:p>
      <w:pPr>
        <w:rPr>
          <w:rFonts w:ascii="黑体" w:hAnsi="黑体" w:eastAsia="黑体" w:cs="黑体"/>
        </w:rPr>
      </w:pPr>
    </w:p>
    <w:p>
      <w:pPr>
        <w:pStyle w:val="24"/>
        <w:rPr>
          <w:rFonts w:ascii="黑体" w:hAnsi="黑体" w:eastAsia="黑体" w:cs="黑体"/>
          <w:spacing w:val="4"/>
          <w:sz w:val="32"/>
          <w:szCs w:val="32"/>
        </w:rPr>
      </w:pPr>
    </w:p>
    <w:p>
      <w:pPr>
        <w:spacing w:line="360" w:lineRule="auto"/>
        <w:jc w:val="center"/>
        <w:rPr>
          <w:rFonts w:ascii="黑体" w:hAnsi="黑体" w:eastAsia="黑体" w:cs="黑体"/>
          <w:sz w:val="32"/>
          <w:szCs w:val="32"/>
        </w:rPr>
      </w:pPr>
      <w:r>
        <w:rPr>
          <w:rFonts w:hint="eastAsia" w:ascii="黑体" w:hAnsi="黑体" w:eastAsia="黑体" w:cs="黑体"/>
          <w:sz w:val="32"/>
          <w:szCs w:val="32"/>
        </w:rPr>
        <w:t>2023年6月20日</w:t>
      </w:r>
    </w:p>
    <w:p>
      <w:pPr>
        <w:spacing w:line="760" w:lineRule="exact"/>
        <w:rPr>
          <w:rFonts w:ascii="黑体" w:hAnsi="黑体" w:eastAsia="黑体" w:cs="黑体"/>
          <w:bCs/>
          <w:spacing w:val="4"/>
          <w:sz w:val="36"/>
          <w:szCs w:val="36"/>
        </w:rPr>
        <w:sectPr>
          <w:pgSz w:w="11906" w:h="16838"/>
          <w:pgMar w:top="1440" w:right="1800" w:bottom="1440" w:left="1800" w:header="851" w:footer="992" w:gutter="0"/>
          <w:pgNumType w:fmt="decimal" w:start="1"/>
          <w:cols w:space="425" w:num="1"/>
          <w:docGrid w:type="lines" w:linePitch="312" w:charSpace="0"/>
        </w:sectPr>
      </w:pPr>
      <w:bookmarkStart w:id="8" w:name="_Toc2829"/>
      <w:bookmarkStart w:id="9" w:name="_Toc26626"/>
      <w:bookmarkStart w:id="10" w:name="_Toc12820"/>
    </w:p>
    <w:p>
      <w:pPr>
        <w:spacing w:line="760" w:lineRule="exact"/>
        <w:jc w:val="center"/>
        <w:outlineLvl w:val="0"/>
        <w:rPr>
          <w:rFonts w:ascii="黑体" w:hAnsi="黑体" w:eastAsia="黑体" w:cs="黑体"/>
          <w:bCs/>
          <w:spacing w:val="4"/>
          <w:sz w:val="36"/>
          <w:szCs w:val="36"/>
        </w:rPr>
      </w:pPr>
      <w:bookmarkStart w:id="11" w:name="_Toc20706"/>
      <w:bookmarkStart w:id="12" w:name="_Toc15343"/>
      <w:bookmarkStart w:id="13" w:name="_Toc30097"/>
      <w:bookmarkStart w:id="14" w:name="_Toc594"/>
      <w:bookmarkStart w:id="15" w:name="_Toc17633"/>
      <w:r>
        <w:rPr>
          <w:rFonts w:hint="eastAsia" w:ascii="黑体" w:hAnsi="黑体" w:eastAsia="黑体" w:cs="黑体"/>
          <w:bCs/>
          <w:spacing w:val="4"/>
          <w:sz w:val="36"/>
          <w:szCs w:val="36"/>
        </w:rPr>
        <w:t>绩效评价工作组人员名单</w:t>
      </w:r>
      <w:bookmarkEnd w:id="8"/>
      <w:bookmarkEnd w:id="9"/>
      <w:bookmarkEnd w:id="10"/>
      <w:bookmarkEnd w:id="11"/>
      <w:bookmarkEnd w:id="12"/>
      <w:bookmarkEnd w:id="13"/>
      <w:bookmarkEnd w:id="14"/>
      <w:bookmarkEnd w:id="15"/>
    </w:p>
    <w:p>
      <w:pPr>
        <w:pStyle w:val="2"/>
      </w:pPr>
    </w:p>
    <w:tbl>
      <w:tblPr>
        <w:tblStyle w:val="18"/>
        <w:tblW w:w="85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2128"/>
        <w:gridCol w:w="2359"/>
        <w:gridCol w:w="2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pPr>
              <w:spacing w:line="760" w:lineRule="exact"/>
              <w:jc w:val="center"/>
              <w:rPr>
                <w:rFonts w:ascii="仿宋" w:hAnsi="仿宋" w:eastAsia="仿宋" w:cs="仿宋"/>
                <w:b/>
                <w:bCs/>
                <w:spacing w:val="4"/>
                <w:sz w:val="32"/>
                <w:szCs w:val="32"/>
              </w:rPr>
            </w:pPr>
            <w:r>
              <w:rPr>
                <w:rFonts w:hint="eastAsia" w:ascii="仿宋" w:hAnsi="仿宋" w:eastAsia="仿宋" w:cs="仿宋"/>
                <w:b/>
                <w:bCs/>
                <w:spacing w:val="4"/>
                <w:sz w:val="32"/>
                <w:szCs w:val="32"/>
              </w:rPr>
              <w:t>序号</w:t>
            </w:r>
          </w:p>
        </w:tc>
        <w:tc>
          <w:tcPr>
            <w:tcW w:w="2128" w:type="dxa"/>
          </w:tcPr>
          <w:p>
            <w:pPr>
              <w:spacing w:line="760" w:lineRule="exact"/>
              <w:jc w:val="center"/>
              <w:rPr>
                <w:rFonts w:ascii="仿宋" w:hAnsi="仿宋" w:eastAsia="仿宋" w:cs="仿宋"/>
                <w:b/>
                <w:bCs/>
                <w:spacing w:val="4"/>
                <w:sz w:val="32"/>
                <w:szCs w:val="32"/>
              </w:rPr>
            </w:pPr>
            <w:r>
              <w:rPr>
                <w:rFonts w:hint="eastAsia" w:ascii="仿宋" w:hAnsi="仿宋" w:eastAsia="仿宋" w:cs="仿宋"/>
                <w:b/>
                <w:bCs/>
                <w:spacing w:val="4"/>
                <w:sz w:val="32"/>
                <w:szCs w:val="32"/>
              </w:rPr>
              <w:t>职务</w:t>
            </w:r>
          </w:p>
        </w:tc>
        <w:tc>
          <w:tcPr>
            <w:tcW w:w="2359" w:type="dxa"/>
          </w:tcPr>
          <w:p>
            <w:pPr>
              <w:spacing w:line="760" w:lineRule="exact"/>
              <w:jc w:val="center"/>
              <w:rPr>
                <w:rFonts w:ascii="仿宋" w:hAnsi="仿宋" w:eastAsia="仿宋" w:cs="仿宋"/>
                <w:b/>
                <w:bCs/>
                <w:spacing w:val="4"/>
                <w:sz w:val="32"/>
                <w:szCs w:val="32"/>
              </w:rPr>
            </w:pPr>
            <w:r>
              <w:rPr>
                <w:rFonts w:hint="eastAsia" w:ascii="仿宋" w:hAnsi="仿宋" w:eastAsia="仿宋" w:cs="仿宋"/>
                <w:b/>
                <w:bCs/>
                <w:spacing w:val="4"/>
                <w:sz w:val="32"/>
                <w:szCs w:val="32"/>
              </w:rPr>
              <w:t>姓名</w:t>
            </w:r>
          </w:p>
        </w:tc>
        <w:tc>
          <w:tcPr>
            <w:tcW w:w="2686" w:type="dxa"/>
          </w:tcPr>
          <w:p>
            <w:pPr>
              <w:spacing w:line="760" w:lineRule="exact"/>
              <w:jc w:val="center"/>
              <w:rPr>
                <w:rFonts w:ascii="仿宋" w:hAnsi="仿宋" w:eastAsia="仿宋" w:cs="仿宋"/>
                <w:b/>
                <w:bCs/>
                <w:spacing w:val="4"/>
                <w:sz w:val="32"/>
                <w:szCs w:val="32"/>
              </w:rPr>
            </w:pPr>
            <w:r>
              <w:rPr>
                <w:rFonts w:hint="eastAsia" w:ascii="仿宋" w:hAnsi="仿宋" w:eastAsia="仿宋" w:cs="仿宋"/>
                <w:b/>
                <w:bCs/>
                <w:spacing w:val="4"/>
                <w:sz w:val="32"/>
                <w:szCs w:val="32"/>
              </w:rPr>
              <w:t>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1417" w:type="dxa"/>
          </w:tcPr>
          <w:p>
            <w:pPr>
              <w:spacing w:line="760" w:lineRule="exact"/>
              <w:jc w:val="center"/>
              <w:rPr>
                <w:rFonts w:ascii="仿宋" w:hAnsi="仿宋" w:eastAsia="仿宋" w:cs="仿宋"/>
                <w:spacing w:val="4"/>
                <w:sz w:val="32"/>
                <w:szCs w:val="32"/>
              </w:rPr>
            </w:pPr>
            <w:r>
              <w:rPr>
                <w:rFonts w:hint="eastAsia" w:ascii="仿宋" w:hAnsi="仿宋" w:eastAsia="仿宋" w:cs="仿宋"/>
                <w:spacing w:val="4"/>
                <w:sz w:val="32"/>
                <w:szCs w:val="32"/>
              </w:rPr>
              <w:t>1</w:t>
            </w:r>
          </w:p>
        </w:tc>
        <w:tc>
          <w:tcPr>
            <w:tcW w:w="2128" w:type="dxa"/>
          </w:tcPr>
          <w:p>
            <w:pPr>
              <w:spacing w:line="760" w:lineRule="exact"/>
              <w:jc w:val="center"/>
              <w:rPr>
                <w:rFonts w:ascii="仿宋" w:hAnsi="仿宋" w:eastAsia="仿宋" w:cs="仿宋"/>
                <w:spacing w:val="4"/>
                <w:sz w:val="32"/>
                <w:szCs w:val="32"/>
              </w:rPr>
            </w:pPr>
            <w:r>
              <w:rPr>
                <w:rFonts w:hint="eastAsia" w:ascii="仿宋" w:hAnsi="仿宋" w:eastAsia="仿宋" w:cs="仿宋"/>
                <w:spacing w:val="4"/>
                <w:sz w:val="32"/>
                <w:szCs w:val="32"/>
              </w:rPr>
              <w:t>组长</w:t>
            </w:r>
          </w:p>
        </w:tc>
        <w:tc>
          <w:tcPr>
            <w:tcW w:w="2359" w:type="dxa"/>
          </w:tcPr>
          <w:p>
            <w:pPr>
              <w:spacing w:line="760" w:lineRule="exact"/>
              <w:jc w:val="center"/>
              <w:rPr>
                <w:rFonts w:ascii="仿宋" w:hAnsi="仿宋" w:eastAsia="仿宋" w:cs="仿宋"/>
                <w:spacing w:val="4"/>
                <w:sz w:val="32"/>
                <w:szCs w:val="32"/>
              </w:rPr>
            </w:pPr>
            <w:r>
              <w:rPr>
                <w:rFonts w:hint="eastAsia" w:ascii="仿宋" w:hAnsi="仿宋" w:eastAsia="仿宋" w:cs="仿宋"/>
                <w:spacing w:val="4"/>
                <w:sz w:val="32"/>
                <w:szCs w:val="32"/>
              </w:rPr>
              <w:t>徐本玉</w:t>
            </w:r>
          </w:p>
        </w:tc>
        <w:tc>
          <w:tcPr>
            <w:tcW w:w="2686" w:type="dxa"/>
          </w:tcPr>
          <w:p>
            <w:pPr>
              <w:spacing w:line="760" w:lineRule="exact"/>
              <w:jc w:val="center"/>
              <w:rPr>
                <w:rFonts w:ascii="仿宋" w:hAnsi="仿宋" w:eastAsia="仿宋" w:cs="仿宋"/>
                <w:spacing w:val="4"/>
                <w:sz w:val="32"/>
                <w:szCs w:val="32"/>
              </w:rPr>
            </w:pPr>
            <w:r>
              <w:rPr>
                <w:rFonts w:hint="eastAsia" w:ascii="仿宋" w:hAnsi="仿宋" w:eastAsia="仿宋" w:cs="仿宋"/>
                <w:spacing w:val="4"/>
                <w:sz w:val="32"/>
                <w:szCs w:val="32"/>
              </w:rPr>
              <w:t>18606955277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pPr>
              <w:spacing w:line="760" w:lineRule="exact"/>
              <w:jc w:val="center"/>
              <w:rPr>
                <w:rFonts w:ascii="仿宋" w:hAnsi="仿宋" w:eastAsia="仿宋" w:cs="仿宋"/>
                <w:spacing w:val="4"/>
                <w:sz w:val="32"/>
                <w:szCs w:val="32"/>
              </w:rPr>
            </w:pPr>
            <w:r>
              <w:rPr>
                <w:rFonts w:hint="eastAsia" w:ascii="仿宋" w:hAnsi="仿宋" w:eastAsia="仿宋" w:cs="仿宋"/>
                <w:spacing w:val="4"/>
                <w:sz w:val="32"/>
                <w:szCs w:val="32"/>
              </w:rPr>
              <w:t>2</w:t>
            </w:r>
          </w:p>
        </w:tc>
        <w:tc>
          <w:tcPr>
            <w:tcW w:w="2128" w:type="dxa"/>
          </w:tcPr>
          <w:p>
            <w:pPr>
              <w:spacing w:line="760" w:lineRule="exact"/>
              <w:jc w:val="center"/>
              <w:rPr>
                <w:rFonts w:ascii="仿宋" w:hAnsi="仿宋" w:eastAsia="仿宋" w:cs="仿宋"/>
                <w:spacing w:val="4"/>
                <w:sz w:val="32"/>
                <w:szCs w:val="32"/>
              </w:rPr>
            </w:pPr>
            <w:r>
              <w:rPr>
                <w:rFonts w:hint="eastAsia" w:ascii="仿宋" w:hAnsi="仿宋" w:eastAsia="仿宋" w:cs="仿宋"/>
                <w:spacing w:val="4"/>
                <w:sz w:val="32"/>
                <w:szCs w:val="32"/>
              </w:rPr>
              <w:t>副组长</w:t>
            </w:r>
          </w:p>
        </w:tc>
        <w:tc>
          <w:tcPr>
            <w:tcW w:w="2359" w:type="dxa"/>
          </w:tcPr>
          <w:p>
            <w:pPr>
              <w:spacing w:line="760" w:lineRule="exact"/>
              <w:jc w:val="center"/>
              <w:rPr>
                <w:rFonts w:ascii="仿宋" w:hAnsi="仿宋" w:eastAsia="仿宋" w:cs="仿宋"/>
                <w:spacing w:val="4"/>
                <w:sz w:val="32"/>
                <w:szCs w:val="32"/>
              </w:rPr>
            </w:pPr>
            <w:r>
              <w:rPr>
                <w:rFonts w:hint="eastAsia" w:ascii="仿宋" w:hAnsi="仿宋" w:eastAsia="仿宋" w:cs="仿宋"/>
                <w:spacing w:val="4"/>
                <w:sz w:val="32"/>
                <w:szCs w:val="32"/>
              </w:rPr>
              <w:t>卢婉芳</w:t>
            </w:r>
          </w:p>
        </w:tc>
        <w:tc>
          <w:tcPr>
            <w:tcW w:w="2686" w:type="dxa"/>
          </w:tcPr>
          <w:p>
            <w:pPr>
              <w:spacing w:line="760" w:lineRule="exact"/>
              <w:jc w:val="center"/>
              <w:rPr>
                <w:rFonts w:ascii="仿宋" w:hAnsi="仿宋" w:eastAsia="仿宋" w:cs="仿宋"/>
                <w:spacing w:val="4"/>
                <w:sz w:val="32"/>
                <w:szCs w:val="32"/>
              </w:rPr>
            </w:pPr>
            <w:r>
              <w:rPr>
                <w:rFonts w:hint="eastAsia" w:ascii="仿宋" w:hAnsi="仿宋" w:eastAsia="仿宋" w:cs="仿宋"/>
                <w:spacing w:val="4"/>
                <w:sz w:val="32"/>
                <w:szCs w:val="32"/>
              </w:rPr>
              <w:t>15060965456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pPr>
              <w:spacing w:line="760" w:lineRule="exact"/>
              <w:jc w:val="center"/>
              <w:rPr>
                <w:rFonts w:ascii="仿宋" w:hAnsi="仿宋" w:eastAsia="仿宋" w:cs="仿宋"/>
                <w:spacing w:val="4"/>
                <w:sz w:val="32"/>
                <w:szCs w:val="32"/>
              </w:rPr>
            </w:pPr>
            <w:r>
              <w:rPr>
                <w:rFonts w:hint="eastAsia" w:ascii="仿宋" w:hAnsi="仿宋" w:eastAsia="仿宋" w:cs="仿宋"/>
                <w:spacing w:val="4"/>
                <w:sz w:val="32"/>
                <w:szCs w:val="32"/>
              </w:rPr>
              <w:t>3</w:t>
            </w:r>
          </w:p>
        </w:tc>
        <w:tc>
          <w:tcPr>
            <w:tcW w:w="2128" w:type="dxa"/>
          </w:tcPr>
          <w:p>
            <w:pPr>
              <w:spacing w:line="760" w:lineRule="exact"/>
              <w:jc w:val="center"/>
              <w:rPr>
                <w:rFonts w:ascii="仿宋" w:hAnsi="仿宋" w:eastAsia="仿宋" w:cs="仿宋"/>
                <w:spacing w:val="4"/>
                <w:sz w:val="32"/>
                <w:szCs w:val="32"/>
              </w:rPr>
            </w:pPr>
            <w:r>
              <w:rPr>
                <w:rFonts w:hint="eastAsia" w:ascii="仿宋" w:hAnsi="仿宋" w:eastAsia="仿宋" w:cs="仿宋"/>
                <w:spacing w:val="4"/>
                <w:sz w:val="32"/>
                <w:szCs w:val="32"/>
              </w:rPr>
              <w:t>组员</w:t>
            </w:r>
          </w:p>
        </w:tc>
        <w:tc>
          <w:tcPr>
            <w:tcW w:w="2359" w:type="dxa"/>
          </w:tcPr>
          <w:p>
            <w:pPr>
              <w:spacing w:line="760" w:lineRule="exact"/>
              <w:jc w:val="center"/>
              <w:rPr>
                <w:rFonts w:ascii="仿宋" w:hAnsi="仿宋" w:eastAsia="仿宋" w:cs="仿宋"/>
                <w:spacing w:val="4"/>
                <w:sz w:val="32"/>
                <w:szCs w:val="32"/>
              </w:rPr>
            </w:pPr>
            <w:r>
              <w:rPr>
                <w:rFonts w:hint="eastAsia" w:ascii="仿宋" w:hAnsi="仿宋" w:eastAsia="仿宋" w:cs="仿宋"/>
                <w:spacing w:val="4"/>
                <w:sz w:val="32"/>
                <w:szCs w:val="32"/>
              </w:rPr>
              <w:t>陈晓彬</w:t>
            </w:r>
          </w:p>
        </w:tc>
        <w:tc>
          <w:tcPr>
            <w:tcW w:w="2686" w:type="dxa"/>
          </w:tcPr>
          <w:p>
            <w:pPr>
              <w:spacing w:line="760" w:lineRule="exact"/>
              <w:jc w:val="center"/>
              <w:rPr>
                <w:rFonts w:ascii="仿宋" w:hAnsi="仿宋" w:eastAsia="仿宋" w:cs="仿宋"/>
                <w:spacing w:val="4"/>
                <w:sz w:val="32"/>
                <w:szCs w:val="32"/>
              </w:rPr>
            </w:pPr>
            <w:r>
              <w:rPr>
                <w:rFonts w:hint="eastAsia" w:ascii="仿宋" w:hAnsi="仿宋" w:eastAsia="仿宋" w:cs="仿宋"/>
                <w:spacing w:val="4"/>
                <w:sz w:val="32"/>
                <w:szCs w:val="32"/>
              </w:rPr>
              <w:t>15960567231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pPr>
              <w:spacing w:line="760" w:lineRule="exact"/>
              <w:jc w:val="center"/>
              <w:rPr>
                <w:rFonts w:ascii="仿宋" w:hAnsi="仿宋" w:eastAsia="仿宋" w:cs="仿宋"/>
                <w:spacing w:val="4"/>
                <w:sz w:val="32"/>
                <w:szCs w:val="32"/>
              </w:rPr>
            </w:pPr>
            <w:r>
              <w:rPr>
                <w:rFonts w:hint="eastAsia" w:ascii="仿宋" w:hAnsi="仿宋" w:eastAsia="仿宋" w:cs="仿宋"/>
                <w:spacing w:val="4"/>
                <w:sz w:val="32"/>
                <w:szCs w:val="32"/>
              </w:rPr>
              <w:t>4</w:t>
            </w:r>
          </w:p>
        </w:tc>
        <w:tc>
          <w:tcPr>
            <w:tcW w:w="2128" w:type="dxa"/>
          </w:tcPr>
          <w:p>
            <w:pPr>
              <w:spacing w:line="760" w:lineRule="exact"/>
              <w:jc w:val="center"/>
              <w:rPr>
                <w:rFonts w:ascii="仿宋" w:hAnsi="仿宋" w:eastAsia="仿宋" w:cs="仿宋"/>
                <w:spacing w:val="4"/>
                <w:sz w:val="32"/>
                <w:szCs w:val="32"/>
              </w:rPr>
            </w:pPr>
            <w:r>
              <w:rPr>
                <w:rFonts w:hint="eastAsia" w:ascii="仿宋" w:hAnsi="仿宋" w:eastAsia="仿宋" w:cs="仿宋"/>
                <w:spacing w:val="4"/>
                <w:sz w:val="32"/>
                <w:szCs w:val="32"/>
              </w:rPr>
              <w:t>组员</w:t>
            </w:r>
          </w:p>
        </w:tc>
        <w:tc>
          <w:tcPr>
            <w:tcW w:w="2359" w:type="dxa"/>
          </w:tcPr>
          <w:p>
            <w:pPr>
              <w:spacing w:line="760" w:lineRule="exact"/>
              <w:jc w:val="center"/>
              <w:rPr>
                <w:rFonts w:ascii="仿宋" w:hAnsi="仿宋" w:eastAsia="仿宋" w:cs="仿宋"/>
                <w:spacing w:val="4"/>
                <w:sz w:val="32"/>
                <w:szCs w:val="32"/>
              </w:rPr>
            </w:pPr>
            <w:r>
              <w:rPr>
                <w:rFonts w:hint="eastAsia" w:ascii="仿宋" w:hAnsi="仿宋" w:eastAsia="仿宋" w:cs="仿宋"/>
                <w:spacing w:val="4"/>
                <w:sz w:val="32"/>
                <w:szCs w:val="32"/>
              </w:rPr>
              <w:t>刘凤阳</w:t>
            </w:r>
          </w:p>
        </w:tc>
        <w:tc>
          <w:tcPr>
            <w:tcW w:w="2686" w:type="dxa"/>
          </w:tcPr>
          <w:p>
            <w:pPr>
              <w:spacing w:line="760" w:lineRule="exact"/>
              <w:jc w:val="center"/>
              <w:rPr>
                <w:rFonts w:ascii="仿宋" w:hAnsi="仿宋" w:eastAsia="仿宋" w:cs="仿宋"/>
                <w:spacing w:val="4"/>
                <w:sz w:val="32"/>
                <w:szCs w:val="32"/>
              </w:rPr>
            </w:pPr>
            <w:r>
              <w:rPr>
                <w:rFonts w:hint="eastAsia" w:ascii="仿宋" w:hAnsi="仿宋" w:eastAsia="仿宋" w:cs="仿宋"/>
                <w:spacing w:val="4"/>
                <w:sz w:val="32"/>
                <w:szCs w:val="32"/>
              </w:rPr>
              <w:t>13348313607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pPr>
              <w:spacing w:line="760" w:lineRule="exact"/>
              <w:jc w:val="center"/>
              <w:rPr>
                <w:rFonts w:ascii="仿宋" w:hAnsi="仿宋" w:eastAsia="仿宋" w:cs="仿宋"/>
                <w:spacing w:val="4"/>
                <w:sz w:val="32"/>
                <w:szCs w:val="32"/>
              </w:rPr>
            </w:pPr>
            <w:r>
              <w:rPr>
                <w:rFonts w:hint="eastAsia" w:ascii="仿宋" w:hAnsi="仿宋" w:eastAsia="仿宋" w:cs="仿宋"/>
                <w:spacing w:val="4"/>
                <w:sz w:val="32"/>
                <w:szCs w:val="32"/>
              </w:rPr>
              <w:t>5</w:t>
            </w:r>
          </w:p>
        </w:tc>
        <w:tc>
          <w:tcPr>
            <w:tcW w:w="2128" w:type="dxa"/>
          </w:tcPr>
          <w:p>
            <w:pPr>
              <w:spacing w:line="760" w:lineRule="exact"/>
              <w:jc w:val="center"/>
              <w:rPr>
                <w:rFonts w:ascii="仿宋" w:hAnsi="仿宋" w:eastAsia="仿宋" w:cs="仿宋"/>
                <w:spacing w:val="4"/>
                <w:sz w:val="32"/>
                <w:szCs w:val="32"/>
              </w:rPr>
            </w:pPr>
            <w:r>
              <w:rPr>
                <w:rFonts w:hint="eastAsia" w:ascii="仿宋" w:hAnsi="仿宋" w:eastAsia="仿宋" w:cs="仿宋"/>
                <w:spacing w:val="4"/>
                <w:sz w:val="32"/>
                <w:szCs w:val="32"/>
              </w:rPr>
              <w:t>组员</w:t>
            </w:r>
          </w:p>
        </w:tc>
        <w:tc>
          <w:tcPr>
            <w:tcW w:w="2359" w:type="dxa"/>
          </w:tcPr>
          <w:p>
            <w:pPr>
              <w:spacing w:line="760" w:lineRule="exact"/>
              <w:jc w:val="center"/>
              <w:rPr>
                <w:rFonts w:ascii="仿宋" w:hAnsi="仿宋" w:eastAsia="仿宋" w:cs="仿宋"/>
                <w:spacing w:val="4"/>
                <w:sz w:val="32"/>
                <w:szCs w:val="32"/>
              </w:rPr>
            </w:pPr>
            <w:r>
              <w:rPr>
                <w:rFonts w:hint="eastAsia" w:ascii="仿宋" w:hAnsi="仿宋" w:eastAsia="仿宋" w:cs="仿宋"/>
                <w:spacing w:val="4"/>
                <w:sz w:val="32"/>
                <w:szCs w:val="32"/>
              </w:rPr>
              <w:t>李英</w:t>
            </w:r>
          </w:p>
        </w:tc>
        <w:tc>
          <w:tcPr>
            <w:tcW w:w="2686" w:type="dxa"/>
          </w:tcPr>
          <w:p>
            <w:pPr>
              <w:spacing w:line="760" w:lineRule="exact"/>
              <w:jc w:val="center"/>
              <w:rPr>
                <w:rFonts w:ascii="仿宋" w:hAnsi="仿宋" w:eastAsia="仿宋" w:cs="仿宋"/>
                <w:spacing w:val="4"/>
                <w:sz w:val="32"/>
                <w:szCs w:val="32"/>
              </w:rPr>
            </w:pPr>
            <w:r>
              <w:rPr>
                <w:rFonts w:hint="eastAsia" w:ascii="仿宋" w:hAnsi="仿宋" w:eastAsia="仿宋" w:cs="仿宋"/>
                <w:spacing w:val="4"/>
                <w:sz w:val="32"/>
                <w:szCs w:val="32"/>
              </w:rPr>
              <w:t>19959520670</w:t>
            </w:r>
          </w:p>
        </w:tc>
      </w:tr>
    </w:tbl>
    <w:p>
      <w:pPr>
        <w:jc w:val="center"/>
        <w:rPr>
          <w:rFonts w:ascii="黑体" w:hAnsi="黑体" w:eastAsia="黑体" w:cs="黑体"/>
          <w:color w:val="843C0B" w:themeColor="accent2" w:themeShade="80"/>
          <w:sz w:val="30"/>
          <w:szCs w:val="30"/>
        </w:rPr>
      </w:pPr>
    </w:p>
    <w:p>
      <w:pPr>
        <w:jc w:val="center"/>
        <w:rPr>
          <w:rFonts w:ascii="黑体" w:hAnsi="黑体" w:eastAsia="黑体" w:cs="黑体"/>
          <w:color w:val="843C0B" w:themeColor="accent2" w:themeShade="80"/>
          <w:sz w:val="30"/>
          <w:szCs w:val="30"/>
        </w:rPr>
      </w:pPr>
    </w:p>
    <w:p>
      <w:pPr>
        <w:pStyle w:val="2"/>
      </w:pPr>
    </w:p>
    <w:p>
      <w:pPr>
        <w:tabs>
          <w:tab w:val="left" w:pos="3748"/>
        </w:tabs>
        <w:spacing w:line="760" w:lineRule="exact"/>
        <w:ind w:firstLine="656" w:firstLineChars="200"/>
        <w:rPr>
          <w:rFonts w:ascii="宋体" w:hAnsi="宋体" w:eastAsia="宋体" w:cs="Times New Roman"/>
          <w:spacing w:val="4"/>
          <w:sz w:val="32"/>
          <w:szCs w:val="32"/>
        </w:rPr>
        <w:sectPr>
          <w:footerReference r:id="rId3" w:type="default"/>
          <w:pgSz w:w="11906" w:h="16838"/>
          <w:pgMar w:top="1440" w:right="1800" w:bottom="1440" w:left="1800" w:header="851" w:footer="992" w:gutter="0"/>
          <w:pgNumType w:fmt="decimalFullWidth" w:start="1"/>
          <w:cols w:space="425" w:num="1"/>
          <w:docGrid w:type="lines" w:linePitch="312" w:charSpace="0"/>
        </w:sectPr>
      </w:pPr>
      <w:r>
        <w:rPr>
          <w:rFonts w:hint="eastAsia" w:ascii="宋体" w:hAnsi="宋体" w:eastAsia="宋体" w:cs="Times New Roman"/>
          <w:spacing w:val="4"/>
          <w:sz w:val="32"/>
          <w:szCs w:val="32"/>
        </w:rPr>
        <w:tab/>
      </w:r>
    </w:p>
    <w:p>
      <w:pPr>
        <w:keepNext w:val="0"/>
        <w:keepLines w:val="0"/>
        <w:pageBreakBefore w:val="0"/>
        <w:tabs>
          <w:tab w:val="right" w:leader="dot" w:pos="8447"/>
        </w:tabs>
        <w:kinsoku/>
        <w:wordWrap/>
        <w:overflowPunct/>
        <w:topLinePunct w:val="0"/>
        <w:autoSpaceDE/>
        <w:autoSpaceDN/>
        <w:bidi w:val="0"/>
        <w:adjustRightInd/>
        <w:snapToGrid/>
        <w:spacing w:before="480" w:beforeAutospacing="0" w:after="120" w:afterAutospacing="0" w:line="240" w:lineRule="auto"/>
        <w:ind w:left="0" w:leftChars="0" w:right="0" w:rightChars="0" w:firstLine="0" w:firstLineChars="0"/>
        <w:jc w:val="center"/>
        <w:textAlignment w:val="auto"/>
        <w:outlineLvl w:val="0"/>
        <w:rPr>
          <w:rFonts w:ascii="宋体" w:hAnsi="宋体" w:eastAsia="宋体" w:cs="宋体"/>
          <w:b w:val="0"/>
          <w:sz w:val="40"/>
          <w:szCs w:val="28"/>
        </w:rPr>
      </w:pPr>
      <w:bookmarkStart w:id="16" w:name="_Toc30060"/>
      <w:bookmarkStart w:id="17" w:name="_Toc14120"/>
      <w:bookmarkStart w:id="18" w:name="_Toc14440"/>
      <w:bookmarkStart w:id="19" w:name="_Toc31027"/>
      <w:bookmarkStart w:id="20" w:name="_Toc29692"/>
      <w:bookmarkStart w:id="21" w:name="_Toc14970"/>
      <w:bookmarkStart w:id="22" w:name="_Toc19507"/>
      <w:bookmarkStart w:id="23" w:name="_Toc8052"/>
      <w:r>
        <w:rPr>
          <w:rFonts w:hint="eastAsia" w:ascii="宋体" w:hAnsi="宋体" w:eastAsia="宋体" w:cs="宋体"/>
          <w:b w:val="0"/>
          <w:spacing w:val="4"/>
          <w:sz w:val="40"/>
          <w:szCs w:val="28"/>
        </w:rPr>
        <w:t>目   录</w:t>
      </w:r>
      <w:bookmarkEnd w:id="16"/>
      <w:bookmarkEnd w:id="17"/>
      <w:bookmarkEnd w:id="18"/>
      <w:bookmarkEnd w:id="19"/>
      <w:bookmarkEnd w:id="20"/>
      <w:bookmarkEnd w:id="21"/>
      <w:bookmarkEnd w:id="22"/>
      <w:bookmarkEnd w:id="23"/>
    </w:p>
    <w:sdt>
      <w:sdtPr>
        <w:rPr>
          <w:rFonts w:ascii="宋体" w:hAnsi="宋体" w:eastAsia="宋体" w:cstheme="minorBidi"/>
          <w:kern w:val="2"/>
          <w:sz w:val="21"/>
          <w:szCs w:val="24"/>
          <w:lang w:val="en-US" w:eastAsia="zh-CN" w:bidi="ar-SA"/>
        </w:rPr>
        <w:id w:val="147469686"/>
        <w15:color w:val="DBDBDB"/>
        <w:docPartObj>
          <w:docPartGallery w:val="Table of Contents"/>
          <w:docPartUnique/>
        </w:docPartObj>
      </w:sdtPr>
      <w:sdtEndPr>
        <w:rPr>
          <w:rFonts w:ascii="宋体" w:hAnsi="宋体" w:eastAsia="宋体" w:cstheme="minorBidi"/>
          <w:kern w:val="2"/>
          <w:sz w:val="21"/>
          <w:szCs w:val="24"/>
          <w:lang w:val="en-US" w:eastAsia="zh-CN" w:bidi="ar-SA"/>
        </w:rPr>
      </w:sdtEndPr>
      <w:sdtContent>
        <w:p>
          <w:pPr>
            <w:keepNext w:val="0"/>
            <w:keepLines w:val="0"/>
            <w:pageBreakBefore w:val="0"/>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pPr>
          <w:bookmarkStart w:id="24" w:name="_Toc5923"/>
          <w:bookmarkStart w:id="25" w:name="_Toc20620"/>
          <w:bookmarkStart w:id="26" w:name="_Toc27543"/>
        </w:p>
        <w:p>
          <w:pPr>
            <w:pStyle w:val="32"/>
            <w:keepNext w:val="0"/>
            <w:keepLines w:val="0"/>
            <w:pageBreakBefore w:val="0"/>
            <w:tabs>
              <w:tab w:val="right" w:leader="dot" w:pos="8306"/>
            </w:tabs>
            <w:kinsoku/>
            <w:wordWrap/>
            <w:overflowPunct/>
            <w:topLinePunct w:val="0"/>
            <w:autoSpaceDE/>
            <w:autoSpaceDN/>
            <w:bidi w:val="0"/>
            <w:adjustRightInd/>
            <w:snapToGrid w:val="0"/>
            <w:spacing w:beforeAutospacing="0" w:after="120" w:afterAutospacing="0" w:line="240" w:lineRule="auto"/>
            <w:ind w:left="0" w:leftChars="0" w:right="0" w:rightChars="0" w:firstLine="0" w:firstLineChars="0"/>
            <w:jc w:val="left"/>
            <w:textAlignment w:val="auto"/>
            <w:rPr>
              <w:rFonts w:ascii="Times New Roman" w:eastAsia="宋体"/>
              <w:b w:val="0"/>
              <w:sz w:val="24"/>
              <w:szCs w:val="28"/>
            </w:rPr>
          </w:pPr>
          <w:r>
            <w:rPr>
              <w:rFonts w:ascii="Times New Roman" w:eastAsia="宋体"/>
              <w:b w:val="0"/>
              <w:sz w:val="24"/>
              <w:szCs w:val="28"/>
            </w:rPr>
            <w:fldChar w:fldCharType="begin"/>
          </w:r>
          <w:r>
            <w:rPr>
              <w:rFonts w:ascii="Times New Roman" w:eastAsia="宋体"/>
              <w:b w:val="0"/>
              <w:sz w:val="24"/>
              <w:szCs w:val="28"/>
            </w:rPr>
            <w:instrText xml:space="preserve">TOC \o "1-3" \h \u </w:instrText>
          </w:r>
          <w:r>
            <w:rPr>
              <w:rFonts w:ascii="Times New Roman" w:eastAsia="宋体"/>
              <w:b w:val="0"/>
              <w:sz w:val="24"/>
              <w:szCs w:val="28"/>
            </w:rPr>
            <w:fldChar w:fldCharType="separate"/>
          </w:r>
          <w:r>
            <w:rPr>
              <w:rFonts w:ascii="Times New Roman" w:eastAsia="宋体"/>
              <w:b w:val="0"/>
              <w:sz w:val="24"/>
              <w:szCs w:val="28"/>
            </w:rPr>
            <w:fldChar w:fldCharType="begin"/>
          </w:r>
          <w:r>
            <w:rPr>
              <w:rFonts w:ascii="Times New Roman" w:eastAsia="宋体"/>
              <w:b w:val="0"/>
              <w:sz w:val="24"/>
              <w:szCs w:val="28"/>
            </w:rPr>
            <w:instrText xml:space="preserve"> HYPERLINK \l _Toc10259 </w:instrText>
          </w:r>
          <w:r>
            <w:rPr>
              <w:rFonts w:ascii="Times New Roman" w:eastAsia="宋体"/>
              <w:b w:val="0"/>
              <w:sz w:val="24"/>
              <w:szCs w:val="28"/>
            </w:rPr>
            <w:fldChar w:fldCharType="separate"/>
          </w:r>
          <w:r>
            <w:rPr>
              <w:rFonts w:hint="eastAsia" w:ascii="Times New Roman" w:hAnsi="仿宋" w:eastAsia="宋体" w:cs="仿宋"/>
              <w:b w:val="0"/>
              <w:bCs/>
              <w:spacing w:val="-8"/>
              <w:sz w:val="24"/>
              <w:szCs w:val="28"/>
            </w:rPr>
            <w:t>一、部门概况</w:t>
          </w:r>
          <w:r>
            <w:rPr>
              <w:rFonts w:ascii="Times New Roman" w:eastAsia="宋体"/>
              <w:b w:val="0"/>
              <w:sz w:val="24"/>
              <w:szCs w:val="28"/>
            </w:rPr>
            <w:tab/>
          </w:r>
          <w:r>
            <w:rPr>
              <w:rFonts w:hint="eastAsia" w:ascii="Times New Roman" w:hAnsi="宋体" w:eastAsia="宋体" w:cs="宋体"/>
              <w:b w:val="0"/>
              <w:sz w:val="24"/>
              <w:szCs w:val="28"/>
            </w:rPr>
            <w:fldChar w:fldCharType="begin"/>
          </w:r>
          <w:r>
            <w:rPr>
              <w:rFonts w:hint="eastAsia" w:ascii="Times New Roman" w:hAnsi="宋体" w:eastAsia="宋体" w:cs="宋体"/>
              <w:b w:val="0"/>
              <w:sz w:val="24"/>
              <w:szCs w:val="28"/>
            </w:rPr>
            <w:instrText xml:space="preserve"> PAGEREF _Toc10259 \h </w:instrText>
          </w:r>
          <w:r>
            <w:rPr>
              <w:rFonts w:hint="eastAsia" w:ascii="Times New Roman" w:hAnsi="宋体" w:eastAsia="宋体" w:cs="宋体"/>
              <w:b w:val="0"/>
              <w:sz w:val="24"/>
              <w:szCs w:val="28"/>
            </w:rPr>
            <w:fldChar w:fldCharType="separate"/>
          </w:r>
          <w:r>
            <w:rPr>
              <w:rFonts w:hint="eastAsia" w:ascii="Times New Roman" w:hAnsi="宋体" w:eastAsia="宋体" w:cs="宋体"/>
              <w:b w:val="0"/>
              <w:sz w:val="24"/>
              <w:szCs w:val="28"/>
            </w:rPr>
            <w:t>３</w:t>
          </w:r>
          <w:r>
            <w:rPr>
              <w:rFonts w:hint="eastAsia" w:ascii="Times New Roman" w:hAnsi="宋体" w:eastAsia="宋体" w:cs="宋体"/>
              <w:b w:val="0"/>
              <w:sz w:val="24"/>
              <w:szCs w:val="28"/>
            </w:rPr>
            <w:fldChar w:fldCharType="end"/>
          </w:r>
          <w:r>
            <w:rPr>
              <w:rFonts w:ascii="Times New Roman" w:eastAsia="宋体"/>
              <w:b w:val="0"/>
              <w:sz w:val="24"/>
              <w:szCs w:val="28"/>
            </w:rPr>
            <w:fldChar w:fldCharType="end"/>
          </w:r>
        </w:p>
        <w:p>
          <w:pPr>
            <w:pStyle w:val="33"/>
            <w:keepNext w:val="0"/>
            <w:keepLines w:val="0"/>
            <w:pageBreakBefore w:val="0"/>
            <w:tabs>
              <w:tab w:val="right" w:leader="dot" w:pos="8306"/>
            </w:tabs>
            <w:kinsoku/>
            <w:wordWrap/>
            <w:overflowPunct/>
            <w:topLinePunct w:val="0"/>
            <w:autoSpaceDE/>
            <w:autoSpaceDN/>
            <w:bidi w:val="0"/>
            <w:adjustRightInd/>
            <w:snapToGrid w:val="0"/>
            <w:spacing w:beforeAutospacing="0" w:after="120" w:afterAutospacing="0" w:line="240" w:lineRule="auto"/>
            <w:ind w:right="0" w:rightChars="0"/>
            <w:jc w:val="left"/>
            <w:textAlignment w:val="auto"/>
            <w:rPr>
              <w:rFonts w:ascii="Times New Roman" w:eastAsia="宋体"/>
              <w:b w:val="0"/>
              <w:sz w:val="24"/>
              <w:szCs w:val="28"/>
            </w:rPr>
          </w:pPr>
          <w:r>
            <w:rPr>
              <w:rFonts w:ascii="Times New Roman" w:eastAsia="宋体"/>
              <w:b w:val="0"/>
              <w:sz w:val="24"/>
              <w:szCs w:val="28"/>
            </w:rPr>
            <w:fldChar w:fldCharType="begin"/>
          </w:r>
          <w:r>
            <w:rPr>
              <w:rFonts w:ascii="Times New Roman" w:eastAsia="宋体"/>
              <w:b w:val="0"/>
              <w:sz w:val="24"/>
              <w:szCs w:val="28"/>
            </w:rPr>
            <w:instrText xml:space="preserve"> HYPERLINK \l _Toc7156 </w:instrText>
          </w:r>
          <w:r>
            <w:rPr>
              <w:rFonts w:ascii="Times New Roman" w:eastAsia="宋体"/>
              <w:b w:val="0"/>
              <w:sz w:val="24"/>
              <w:szCs w:val="28"/>
            </w:rPr>
            <w:fldChar w:fldCharType="separate"/>
          </w:r>
          <w:r>
            <w:rPr>
              <w:rFonts w:hint="eastAsia" w:ascii="Times New Roman" w:eastAsia="宋体"/>
              <w:b w:val="0"/>
              <w:sz w:val="24"/>
              <w:szCs w:val="28"/>
            </w:rPr>
            <w:t>（</w:t>
          </w:r>
          <w:r>
            <w:rPr>
              <w:rFonts w:hint="eastAsia"/>
              <w:b w:val="0"/>
              <w:sz w:val="24"/>
              <w:szCs w:val="28"/>
              <w:lang w:val="en-US" w:eastAsia="zh-CN"/>
            </w:rPr>
            <w:t>一</w:t>
          </w:r>
          <w:r>
            <w:rPr>
              <w:rFonts w:hint="eastAsia" w:ascii="Times New Roman" w:eastAsia="宋体"/>
              <w:b w:val="0"/>
              <w:sz w:val="24"/>
              <w:szCs w:val="28"/>
            </w:rPr>
            <w:t>）</w:t>
          </w:r>
          <w:r>
            <w:rPr>
              <w:rFonts w:hint="eastAsia" w:ascii="Times New Roman" w:hAnsi="仿宋" w:eastAsia="宋体" w:cs="仿宋"/>
              <w:b w:val="0"/>
              <w:bCs/>
              <w:spacing w:val="-12"/>
              <w:sz w:val="24"/>
              <w:szCs w:val="28"/>
            </w:rPr>
            <w:t>机构职能及组成</w:t>
          </w:r>
          <w:r>
            <w:rPr>
              <w:rFonts w:ascii="Times New Roman" w:eastAsia="宋体"/>
              <w:b w:val="0"/>
              <w:sz w:val="24"/>
              <w:szCs w:val="28"/>
            </w:rPr>
            <w:tab/>
          </w:r>
          <w:r>
            <w:rPr>
              <w:rFonts w:ascii="Times New Roman" w:eastAsia="宋体"/>
              <w:b w:val="0"/>
              <w:sz w:val="24"/>
              <w:szCs w:val="28"/>
            </w:rPr>
            <w:fldChar w:fldCharType="begin"/>
          </w:r>
          <w:r>
            <w:rPr>
              <w:rFonts w:ascii="Times New Roman" w:eastAsia="宋体"/>
              <w:b w:val="0"/>
              <w:sz w:val="24"/>
              <w:szCs w:val="28"/>
            </w:rPr>
            <w:instrText xml:space="preserve"> PAGEREF _Toc7156 \h </w:instrText>
          </w:r>
          <w:r>
            <w:rPr>
              <w:rFonts w:ascii="Times New Roman" w:eastAsia="宋体"/>
              <w:b w:val="0"/>
              <w:sz w:val="24"/>
              <w:szCs w:val="28"/>
            </w:rPr>
            <w:fldChar w:fldCharType="separate"/>
          </w:r>
          <w:r>
            <w:rPr>
              <w:rFonts w:ascii="Times New Roman" w:eastAsia="宋体"/>
              <w:b w:val="0"/>
              <w:sz w:val="24"/>
              <w:szCs w:val="28"/>
            </w:rPr>
            <w:t>３</w:t>
          </w:r>
          <w:r>
            <w:rPr>
              <w:rFonts w:ascii="Times New Roman" w:eastAsia="宋体"/>
              <w:b w:val="0"/>
              <w:sz w:val="24"/>
              <w:szCs w:val="28"/>
            </w:rPr>
            <w:fldChar w:fldCharType="end"/>
          </w:r>
          <w:r>
            <w:rPr>
              <w:rFonts w:ascii="Times New Roman" w:eastAsia="宋体"/>
              <w:b w:val="0"/>
              <w:sz w:val="24"/>
              <w:szCs w:val="28"/>
            </w:rPr>
            <w:fldChar w:fldCharType="end"/>
          </w:r>
        </w:p>
        <w:p>
          <w:pPr>
            <w:pStyle w:val="33"/>
            <w:keepNext w:val="0"/>
            <w:keepLines w:val="0"/>
            <w:pageBreakBefore w:val="0"/>
            <w:tabs>
              <w:tab w:val="right" w:leader="dot" w:pos="8306"/>
            </w:tabs>
            <w:kinsoku/>
            <w:wordWrap/>
            <w:overflowPunct/>
            <w:topLinePunct w:val="0"/>
            <w:autoSpaceDE/>
            <w:autoSpaceDN/>
            <w:bidi w:val="0"/>
            <w:adjustRightInd/>
            <w:snapToGrid w:val="0"/>
            <w:spacing w:beforeAutospacing="0" w:after="120" w:afterAutospacing="0" w:line="240" w:lineRule="auto"/>
            <w:ind w:left="420" w:leftChars="200" w:right="0" w:rightChars="0" w:firstLine="0" w:firstLineChars="0"/>
            <w:jc w:val="left"/>
            <w:textAlignment w:val="auto"/>
            <w:rPr>
              <w:rFonts w:ascii="Times New Roman" w:eastAsia="宋体"/>
              <w:b w:val="0"/>
              <w:sz w:val="24"/>
              <w:szCs w:val="28"/>
            </w:rPr>
          </w:pPr>
          <w:r>
            <w:rPr>
              <w:rFonts w:ascii="Times New Roman" w:eastAsia="宋体"/>
              <w:b w:val="0"/>
              <w:sz w:val="24"/>
              <w:szCs w:val="28"/>
            </w:rPr>
            <w:fldChar w:fldCharType="begin"/>
          </w:r>
          <w:r>
            <w:rPr>
              <w:rFonts w:ascii="Times New Roman" w:eastAsia="宋体"/>
              <w:b w:val="0"/>
              <w:sz w:val="24"/>
              <w:szCs w:val="28"/>
            </w:rPr>
            <w:instrText xml:space="preserve"> HYPERLINK \l _Toc24645 </w:instrText>
          </w:r>
          <w:r>
            <w:rPr>
              <w:rFonts w:ascii="Times New Roman" w:eastAsia="宋体"/>
              <w:b w:val="0"/>
              <w:sz w:val="24"/>
              <w:szCs w:val="28"/>
            </w:rPr>
            <w:fldChar w:fldCharType="separate"/>
          </w:r>
          <w:r>
            <w:rPr>
              <w:rFonts w:hint="eastAsia" w:ascii="Times New Roman" w:hAnsi="仿宋" w:eastAsia="宋体" w:cs="仿宋"/>
              <w:b w:val="0"/>
              <w:spacing w:val="4"/>
              <w:sz w:val="24"/>
              <w:szCs w:val="28"/>
            </w:rPr>
            <w:t>（二）人员结构</w:t>
          </w:r>
          <w:r>
            <w:rPr>
              <w:rFonts w:ascii="Times New Roman" w:eastAsia="宋体"/>
              <w:b w:val="0"/>
              <w:sz w:val="24"/>
              <w:szCs w:val="28"/>
            </w:rPr>
            <w:tab/>
          </w:r>
          <w:r>
            <w:rPr>
              <w:rFonts w:ascii="Times New Roman" w:eastAsia="宋体"/>
              <w:b w:val="0"/>
              <w:sz w:val="24"/>
              <w:szCs w:val="28"/>
            </w:rPr>
            <w:fldChar w:fldCharType="begin"/>
          </w:r>
          <w:r>
            <w:rPr>
              <w:rFonts w:ascii="Times New Roman" w:eastAsia="宋体"/>
              <w:b w:val="0"/>
              <w:sz w:val="24"/>
              <w:szCs w:val="28"/>
            </w:rPr>
            <w:instrText xml:space="preserve"> PAGEREF _Toc24645 \h </w:instrText>
          </w:r>
          <w:r>
            <w:rPr>
              <w:rFonts w:ascii="Times New Roman" w:eastAsia="宋体"/>
              <w:b w:val="0"/>
              <w:sz w:val="24"/>
              <w:szCs w:val="28"/>
            </w:rPr>
            <w:fldChar w:fldCharType="separate"/>
          </w:r>
          <w:r>
            <w:rPr>
              <w:rFonts w:ascii="Times New Roman" w:eastAsia="宋体"/>
              <w:b w:val="0"/>
              <w:sz w:val="24"/>
              <w:szCs w:val="28"/>
            </w:rPr>
            <w:t>６</w:t>
          </w:r>
          <w:r>
            <w:rPr>
              <w:rFonts w:ascii="Times New Roman" w:eastAsia="宋体"/>
              <w:b w:val="0"/>
              <w:sz w:val="24"/>
              <w:szCs w:val="28"/>
            </w:rPr>
            <w:fldChar w:fldCharType="end"/>
          </w:r>
          <w:r>
            <w:rPr>
              <w:rFonts w:ascii="Times New Roman" w:eastAsia="宋体"/>
              <w:b w:val="0"/>
              <w:sz w:val="24"/>
              <w:szCs w:val="28"/>
            </w:rPr>
            <w:fldChar w:fldCharType="end"/>
          </w:r>
        </w:p>
        <w:p>
          <w:pPr>
            <w:pStyle w:val="33"/>
            <w:keepNext w:val="0"/>
            <w:keepLines w:val="0"/>
            <w:pageBreakBefore w:val="0"/>
            <w:tabs>
              <w:tab w:val="right" w:leader="dot" w:pos="8306"/>
            </w:tabs>
            <w:kinsoku/>
            <w:wordWrap/>
            <w:overflowPunct/>
            <w:topLinePunct w:val="0"/>
            <w:autoSpaceDE/>
            <w:autoSpaceDN/>
            <w:bidi w:val="0"/>
            <w:adjustRightInd/>
            <w:snapToGrid w:val="0"/>
            <w:spacing w:beforeAutospacing="0" w:after="120" w:afterAutospacing="0" w:line="240" w:lineRule="auto"/>
            <w:ind w:left="420" w:leftChars="200" w:right="0" w:rightChars="0" w:firstLine="0" w:firstLineChars="0"/>
            <w:jc w:val="left"/>
            <w:textAlignment w:val="auto"/>
            <w:rPr>
              <w:rFonts w:ascii="Times New Roman" w:eastAsia="宋体"/>
              <w:b w:val="0"/>
              <w:sz w:val="24"/>
              <w:szCs w:val="28"/>
            </w:rPr>
          </w:pPr>
          <w:r>
            <w:rPr>
              <w:rFonts w:ascii="Times New Roman" w:eastAsia="宋体"/>
              <w:b w:val="0"/>
              <w:sz w:val="24"/>
              <w:szCs w:val="28"/>
            </w:rPr>
            <w:fldChar w:fldCharType="begin"/>
          </w:r>
          <w:r>
            <w:rPr>
              <w:rFonts w:ascii="Times New Roman" w:eastAsia="宋体"/>
              <w:b w:val="0"/>
              <w:sz w:val="24"/>
              <w:szCs w:val="28"/>
            </w:rPr>
            <w:instrText xml:space="preserve"> HYPERLINK \l _Toc14974 </w:instrText>
          </w:r>
          <w:r>
            <w:rPr>
              <w:rFonts w:ascii="Times New Roman" w:eastAsia="宋体"/>
              <w:b w:val="0"/>
              <w:sz w:val="24"/>
              <w:szCs w:val="28"/>
            </w:rPr>
            <w:fldChar w:fldCharType="separate"/>
          </w:r>
          <w:r>
            <w:rPr>
              <w:rFonts w:hint="eastAsia" w:ascii="Times New Roman" w:hAnsi="仿宋" w:eastAsia="宋体" w:cs="仿宋"/>
              <w:b w:val="0"/>
              <w:spacing w:val="4"/>
              <w:kern w:val="2"/>
              <w:sz w:val="24"/>
              <w:szCs w:val="28"/>
            </w:rPr>
            <w:t>（三）部门整体收支情况</w:t>
          </w:r>
          <w:r>
            <w:rPr>
              <w:rFonts w:ascii="Times New Roman" w:eastAsia="宋体"/>
              <w:b w:val="0"/>
              <w:sz w:val="24"/>
              <w:szCs w:val="28"/>
            </w:rPr>
            <w:tab/>
          </w:r>
          <w:r>
            <w:rPr>
              <w:rFonts w:ascii="Times New Roman" w:eastAsia="宋体"/>
              <w:b w:val="0"/>
              <w:sz w:val="24"/>
              <w:szCs w:val="28"/>
            </w:rPr>
            <w:fldChar w:fldCharType="begin"/>
          </w:r>
          <w:r>
            <w:rPr>
              <w:rFonts w:ascii="Times New Roman" w:eastAsia="宋体"/>
              <w:b w:val="0"/>
              <w:sz w:val="24"/>
              <w:szCs w:val="28"/>
            </w:rPr>
            <w:instrText xml:space="preserve"> PAGEREF _Toc14974 \h </w:instrText>
          </w:r>
          <w:r>
            <w:rPr>
              <w:rFonts w:ascii="Times New Roman" w:eastAsia="宋体"/>
              <w:b w:val="0"/>
              <w:sz w:val="24"/>
              <w:szCs w:val="28"/>
            </w:rPr>
            <w:fldChar w:fldCharType="separate"/>
          </w:r>
          <w:r>
            <w:rPr>
              <w:rFonts w:ascii="Times New Roman" w:eastAsia="宋体"/>
              <w:b w:val="0"/>
              <w:sz w:val="24"/>
              <w:szCs w:val="28"/>
            </w:rPr>
            <w:t>６</w:t>
          </w:r>
          <w:r>
            <w:rPr>
              <w:rFonts w:ascii="Times New Roman" w:eastAsia="宋体"/>
              <w:b w:val="0"/>
              <w:sz w:val="24"/>
              <w:szCs w:val="28"/>
            </w:rPr>
            <w:fldChar w:fldCharType="end"/>
          </w:r>
          <w:r>
            <w:rPr>
              <w:rFonts w:ascii="Times New Roman" w:eastAsia="宋体"/>
              <w:b w:val="0"/>
              <w:sz w:val="24"/>
              <w:szCs w:val="28"/>
            </w:rPr>
            <w:fldChar w:fldCharType="end"/>
          </w:r>
        </w:p>
        <w:p>
          <w:pPr>
            <w:pStyle w:val="33"/>
            <w:keepNext w:val="0"/>
            <w:keepLines w:val="0"/>
            <w:pageBreakBefore w:val="0"/>
            <w:tabs>
              <w:tab w:val="right" w:leader="dot" w:pos="8306"/>
            </w:tabs>
            <w:kinsoku/>
            <w:wordWrap/>
            <w:overflowPunct/>
            <w:topLinePunct w:val="0"/>
            <w:autoSpaceDE/>
            <w:autoSpaceDN/>
            <w:bidi w:val="0"/>
            <w:adjustRightInd/>
            <w:snapToGrid w:val="0"/>
            <w:spacing w:beforeAutospacing="0" w:after="120" w:afterAutospacing="0" w:line="240" w:lineRule="auto"/>
            <w:ind w:left="420" w:leftChars="200" w:right="0" w:rightChars="0" w:firstLine="0" w:firstLineChars="0"/>
            <w:jc w:val="left"/>
            <w:textAlignment w:val="auto"/>
            <w:rPr>
              <w:rFonts w:ascii="Times New Roman" w:eastAsia="宋体"/>
              <w:b w:val="0"/>
              <w:sz w:val="24"/>
              <w:szCs w:val="28"/>
            </w:rPr>
          </w:pPr>
          <w:r>
            <w:rPr>
              <w:rFonts w:ascii="Times New Roman" w:eastAsia="宋体"/>
              <w:b w:val="0"/>
              <w:sz w:val="24"/>
              <w:szCs w:val="28"/>
            </w:rPr>
            <w:fldChar w:fldCharType="begin"/>
          </w:r>
          <w:r>
            <w:rPr>
              <w:rFonts w:ascii="Times New Roman" w:eastAsia="宋体"/>
              <w:b w:val="0"/>
              <w:sz w:val="24"/>
              <w:szCs w:val="28"/>
            </w:rPr>
            <w:instrText xml:space="preserve"> HYPERLINK \l _Toc24421 </w:instrText>
          </w:r>
          <w:r>
            <w:rPr>
              <w:rFonts w:ascii="Times New Roman" w:eastAsia="宋体"/>
              <w:b w:val="0"/>
              <w:sz w:val="24"/>
              <w:szCs w:val="28"/>
            </w:rPr>
            <w:fldChar w:fldCharType="separate"/>
          </w:r>
          <w:r>
            <w:rPr>
              <w:rFonts w:hint="eastAsia" w:ascii="Times New Roman" w:hAnsi="仿宋" w:eastAsia="宋体" w:cs="仿宋"/>
              <w:b w:val="0"/>
              <w:spacing w:val="4"/>
              <w:sz w:val="24"/>
              <w:szCs w:val="28"/>
            </w:rPr>
            <w:t>（四）部门整体绩效目标</w:t>
          </w:r>
          <w:r>
            <w:rPr>
              <w:rFonts w:ascii="Times New Roman" w:eastAsia="宋体"/>
              <w:b w:val="0"/>
              <w:sz w:val="24"/>
              <w:szCs w:val="28"/>
            </w:rPr>
            <w:tab/>
          </w:r>
          <w:r>
            <w:rPr>
              <w:rFonts w:ascii="Times New Roman" w:eastAsia="宋体"/>
              <w:b w:val="0"/>
              <w:sz w:val="24"/>
              <w:szCs w:val="28"/>
            </w:rPr>
            <w:fldChar w:fldCharType="begin"/>
          </w:r>
          <w:r>
            <w:rPr>
              <w:rFonts w:ascii="Times New Roman" w:eastAsia="宋体"/>
              <w:b w:val="0"/>
              <w:sz w:val="24"/>
              <w:szCs w:val="28"/>
            </w:rPr>
            <w:instrText xml:space="preserve"> PAGEREF _Toc24421 \h </w:instrText>
          </w:r>
          <w:r>
            <w:rPr>
              <w:rFonts w:ascii="Times New Roman" w:eastAsia="宋体"/>
              <w:b w:val="0"/>
              <w:sz w:val="24"/>
              <w:szCs w:val="28"/>
            </w:rPr>
            <w:fldChar w:fldCharType="separate"/>
          </w:r>
          <w:r>
            <w:rPr>
              <w:rFonts w:ascii="Times New Roman" w:eastAsia="宋体"/>
              <w:b w:val="0"/>
              <w:sz w:val="24"/>
              <w:szCs w:val="28"/>
            </w:rPr>
            <w:t>７</w:t>
          </w:r>
          <w:r>
            <w:rPr>
              <w:rFonts w:ascii="Times New Roman" w:eastAsia="宋体"/>
              <w:b w:val="0"/>
              <w:sz w:val="24"/>
              <w:szCs w:val="28"/>
            </w:rPr>
            <w:fldChar w:fldCharType="end"/>
          </w:r>
          <w:r>
            <w:rPr>
              <w:rFonts w:ascii="Times New Roman" w:eastAsia="宋体"/>
              <w:b w:val="0"/>
              <w:sz w:val="24"/>
              <w:szCs w:val="28"/>
            </w:rPr>
            <w:fldChar w:fldCharType="end"/>
          </w:r>
        </w:p>
        <w:p>
          <w:pPr>
            <w:pStyle w:val="32"/>
            <w:keepNext w:val="0"/>
            <w:keepLines w:val="0"/>
            <w:pageBreakBefore w:val="0"/>
            <w:tabs>
              <w:tab w:val="right" w:leader="dot" w:pos="8306"/>
            </w:tabs>
            <w:kinsoku/>
            <w:wordWrap/>
            <w:overflowPunct/>
            <w:topLinePunct w:val="0"/>
            <w:autoSpaceDE/>
            <w:autoSpaceDN/>
            <w:bidi w:val="0"/>
            <w:adjustRightInd/>
            <w:snapToGrid w:val="0"/>
            <w:spacing w:beforeAutospacing="0" w:after="120" w:afterAutospacing="0" w:line="240" w:lineRule="auto"/>
            <w:ind w:left="0" w:leftChars="0" w:right="0" w:rightChars="0" w:firstLine="0" w:firstLineChars="0"/>
            <w:jc w:val="left"/>
            <w:textAlignment w:val="auto"/>
            <w:rPr>
              <w:rFonts w:ascii="Times New Roman" w:eastAsia="宋体"/>
              <w:b w:val="0"/>
              <w:sz w:val="24"/>
              <w:szCs w:val="28"/>
            </w:rPr>
          </w:pPr>
          <w:r>
            <w:rPr>
              <w:rFonts w:ascii="Times New Roman" w:eastAsia="宋体"/>
              <w:b w:val="0"/>
              <w:sz w:val="24"/>
              <w:szCs w:val="28"/>
            </w:rPr>
            <w:fldChar w:fldCharType="begin"/>
          </w:r>
          <w:r>
            <w:rPr>
              <w:rFonts w:ascii="Times New Roman" w:eastAsia="宋体"/>
              <w:b w:val="0"/>
              <w:sz w:val="24"/>
              <w:szCs w:val="28"/>
            </w:rPr>
            <w:instrText xml:space="preserve"> HYPERLINK \l _Toc3402 </w:instrText>
          </w:r>
          <w:r>
            <w:rPr>
              <w:rFonts w:ascii="Times New Roman" w:eastAsia="宋体"/>
              <w:b w:val="0"/>
              <w:sz w:val="24"/>
              <w:szCs w:val="28"/>
            </w:rPr>
            <w:fldChar w:fldCharType="separate"/>
          </w:r>
          <w:r>
            <w:rPr>
              <w:rFonts w:hint="eastAsia" w:ascii="Times New Roman" w:hAnsi="仿宋" w:eastAsia="宋体" w:cs="仿宋"/>
              <w:b w:val="0"/>
              <w:spacing w:val="4"/>
              <w:sz w:val="24"/>
              <w:szCs w:val="28"/>
            </w:rPr>
            <w:t>二、绩效</w:t>
          </w:r>
          <w:r>
            <w:rPr>
              <w:rFonts w:hint="eastAsia" w:hAnsi="仿宋" w:cs="仿宋"/>
              <w:b w:val="0"/>
              <w:spacing w:val="4"/>
              <w:sz w:val="24"/>
              <w:szCs w:val="28"/>
              <w:lang w:eastAsia="zh-CN"/>
            </w:rPr>
            <w:t>评价</w:t>
          </w:r>
          <w:r>
            <w:rPr>
              <w:rFonts w:hint="eastAsia" w:ascii="Times New Roman" w:hAnsi="仿宋" w:eastAsia="宋体" w:cs="仿宋"/>
              <w:b w:val="0"/>
              <w:spacing w:val="4"/>
              <w:sz w:val="24"/>
              <w:szCs w:val="28"/>
            </w:rPr>
            <w:t>工作开展情况</w:t>
          </w:r>
          <w:r>
            <w:rPr>
              <w:rFonts w:ascii="Times New Roman" w:eastAsia="宋体"/>
              <w:b w:val="0"/>
              <w:sz w:val="24"/>
              <w:szCs w:val="28"/>
            </w:rPr>
            <w:tab/>
          </w:r>
          <w:r>
            <w:rPr>
              <w:rFonts w:ascii="Times New Roman" w:eastAsia="宋体"/>
              <w:b w:val="0"/>
              <w:sz w:val="24"/>
              <w:szCs w:val="28"/>
            </w:rPr>
            <w:fldChar w:fldCharType="begin"/>
          </w:r>
          <w:r>
            <w:rPr>
              <w:rFonts w:ascii="Times New Roman" w:eastAsia="宋体"/>
              <w:b w:val="0"/>
              <w:sz w:val="24"/>
              <w:szCs w:val="28"/>
            </w:rPr>
            <w:instrText xml:space="preserve"> PAGEREF _Toc3402 \h </w:instrText>
          </w:r>
          <w:r>
            <w:rPr>
              <w:rFonts w:ascii="Times New Roman" w:eastAsia="宋体"/>
              <w:b w:val="0"/>
              <w:sz w:val="24"/>
              <w:szCs w:val="28"/>
            </w:rPr>
            <w:fldChar w:fldCharType="separate"/>
          </w:r>
          <w:r>
            <w:rPr>
              <w:rFonts w:ascii="Times New Roman" w:eastAsia="宋体"/>
              <w:b w:val="0"/>
              <w:sz w:val="24"/>
              <w:szCs w:val="28"/>
            </w:rPr>
            <w:t>８</w:t>
          </w:r>
          <w:r>
            <w:rPr>
              <w:rFonts w:ascii="Times New Roman" w:eastAsia="宋体"/>
              <w:b w:val="0"/>
              <w:sz w:val="24"/>
              <w:szCs w:val="28"/>
            </w:rPr>
            <w:fldChar w:fldCharType="end"/>
          </w:r>
          <w:r>
            <w:rPr>
              <w:rFonts w:ascii="Times New Roman" w:eastAsia="宋体"/>
              <w:b w:val="0"/>
              <w:sz w:val="24"/>
              <w:szCs w:val="28"/>
            </w:rPr>
            <w:fldChar w:fldCharType="end"/>
          </w:r>
        </w:p>
        <w:p>
          <w:pPr>
            <w:pStyle w:val="33"/>
            <w:keepNext w:val="0"/>
            <w:keepLines w:val="0"/>
            <w:pageBreakBefore w:val="0"/>
            <w:tabs>
              <w:tab w:val="right" w:leader="dot" w:pos="8306"/>
            </w:tabs>
            <w:kinsoku/>
            <w:wordWrap/>
            <w:overflowPunct/>
            <w:topLinePunct w:val="0"/>
            <w:autoSpaceDE/>
            <w:autoSpaceDN/>
            <w:bidi w:val="0"/>
            <w:adjustRightInd/>
            <w:snapToGrid w:val="0"/>
            <w:spacing w:beforeAutospacing="0" w:after="120" w:afterAutospacing="0" w:line="240" w:lineRule="auto"/>
            <w:ind w:left="420" w:leftChars="200" w:right="0" w:rightChars="0" w:firstLine="0" w:firstLineChars="0"/>
            <w:jc w:val="left"/>
            <w:textAlignment w:val="auto"/>
            <w:rPr>
              <w:rFonts w:ascii="Times New Roman" w:eastAsia="宋体"/>
              <w:b w:val="0"/>
              <w:sz w:val="24"/>
              <w:szCs w:val="28"/>
            </w:rPr>
          </w:pPr>
          <w:r>
            <w:rPr>
              <w:rFonts w:ascii="Times New Roman" w:eastAsia="宋体"/>
              <w:b w:val="0"/>
              <w:sz w:val="24"/>
              <w:szCs w:val="28"/>
            </w:rPr>
            <w:fldChar w:fldCharType="begin"/>
          </w:r>
          <w:r>
            <w:rPr>
              <w:rFonts w:ascii="Times New Roman" w:eastAsia="宋体"/>
              <w:b w:val="0"/>
              <w:sz w:val="24"/>
              <w:szCs w:val="28"/>
            </w:rPr>
            <w:instrText xml:space="preserve"> HYPERLINK \l _Toc29632 </w:instrText>
          </w:r>
          <w:r>
            <w:rPr>
              <w:rFonts w:ascii="Times New Roman" w:eastAsia="宋体"/>
              <w:b w:val="0"/>
              <w:sz w:val="24"/>
              <w:szCs w:val="28"/>
            </w:rPr>
            <w:fldChar w:fldCharType="separate"/>
          </w:r>
          <w:r>
            <w:rPr>
              <w:rFonts w:hint="eastAsia" w:ascii="Times New Roman" w:hAnsi="仿宋" w:eastAsia="宋体" w:cs="仿宋"/>
              <w:b w:val="0"/>
              <w:spacing w:val="4"/>
              <w:sz w:val="24"/>
              <w:szCs w:val="28"/>
            </w:rPr>
            <w:t>（一）前期准备</w:t>
          </w:r>
          <w:r>
            <w:rPr>
              <w:rFonts w:ascii="Times New Roman" w:eastAsia="宋体"/>
              <w:b w:val="0"/>
              <w:sz w:val="24"/>
              <w:szCs w:val="28"/>
            </w:rPr>
            <w:tab/>
          </w:r>
          <w:r>
            <w:rPr>
              <w:rFonts w:ascii="Times New Roman" w:eastAsia="宋体"/>
              <w:b w:val="0"/>
              <w:sz w:val="24"/>
              <w:szCs w:val="28"/>
            </w:rPr>
            <w:fldChar w:fldCharType="begin"/>
          </w:r>
          <w:r>
            <w:rPr>
              <w:rFonts w:ascii="Times New Roman" w:eastAsia="宋体"/>
              <w:b w:val="0"/>
              <w:sz w:val="24"/>
              <w:szCs w:val="28"/>
            </w:rPr>
            <w:instrText xml:space="preserve"> PAGEREF _Toc29632 \h </w:instrText>
          </w:r>
          <w:r>
            <w:rPr>
              <w:rFonts w:ascii="Times New Roman" w:eastAsia="宋体"/>
              <w:b w:val="0"/>
              <w:sz w:val="24"/>
              <w:szCs w:val="28"/>
            </w:rPr>
            <w:fldChar w:fldCharType="separate"/>
          </w:r>
          <w:r>
            <w:rPr>
              <w:rFonts w:ascii="Times New Roman" w:eastAsia="宋体"/>
              <w:b w:val="0"/>
              <w:sz w:val="24"/>
              <w:szCs w:val="28"/>
            </w:rPr>
            <w:t>８</w:t>
          </w:r>
          <w:r>
            <w:rPr>
              <w:rFonts w:ascii="Times New Roman" w:eastAsia="宋体"/>
              <w:b w:val="0"/>
              <w:sz w:val="24"/>
              <w:szCs w:val="28"/>
            </w:rPr>
            <w:fldChar w:fldCharType="end"/>
          </w:r>
          <w:r>
            <w:rPr>
              <w:rFonts w:ascii="Times New Roman" w:eastAsia="宋体"/>
              <w:b w:val="0"/>
              <w:sz w:val="24"/>
              <w:szCs w:val="28"/>
            </w:rPr>
            <w:fldChar w:fldCharType="end"/>
          </w:r>
        </w:p>
        <w:p>
          <w:pPr>
            <w:pStyle w:val="33"/>
            <w:keepNext w:val="0"/>
            <w:keepLines w:val="0"/>
            <w:pageBreakBefore w:val="0"/>
            <w:tabs>
              <w:tab w:val="right" w:leader="dot" w:pos="8306"/>
            </w:tabs>
            <w:kinsoku/>
            <w:wordWrap/>
            <w:overflowPunct/>
            <w:topLinePunct w:val="0"/>
            <w:autoSpaceDE/>
            <w:autoSpaceDN/>
            <w:bidi w:val="0"/>
            <w:adjustRightInd/>
            <w:snapToGrid w:val="0"/>
            <w:spacing w:beforeAutospacing="0" w:after="120" w:afterAutospacing="0" w:line="240" w:lineRule="auto"/>
            <w:ind w:left="420" w:leftChars="200" w:right="0" w:rightChars="0" w:firstLine="0" w:firstLineChars="0"/>
            <w:jc w:val="left"/>
            <w:textAlignment w:val="auto"/>
            <w:rPr>
              <w:rFonts w:ascii="Times New Roman" w:eastAsia="宋体"/>
              <w:b w:val="0"/>
              <w:sz w:val="24"/>
              <w:szCs w:val="28"/>
            </w:rPr>
          </w:pPr>
          <w:r>
            <w:rPr>
              <w:rFonts w:ascii="Times New Roman" w:eastAsia="宋体"/>
              <w:b w:val="0"/>
              <w:sz w:val="24"/>
              <w:szCs w:val="28"/>
            </w:rPr>
            <w:fldChar w:fldCharType="begin"/>
          </w:r>
          <w:r>
            <w:rPr>
              <w:rFonts w:ascii="Times New Roman" w:eastAsia="宋体"/>
              <w:b w:val="0"/>
              <w:sz w:val="24"/>
              <w:szCs w:val="28"/>
            </w:rPr>
            <w:instrText xml:space="preserve"> HYPERLINK \l _Toc24093 </w:instrText>
          </w:r>
          <w:r>
            <w:rPr>
              <w:rFonts w:ascii="Times New Roman" w:eastAsia="宋体"/>
              <w:b w:val="0"/>
              <w:sz w:val="24"/>
              <w:szCs w:val="28"/>
            </w:rPr>
            <w:fldChar w:fldCharType="separate"/>
          </w:r>
          <w:r>
            <w:rPr>
              <w:rFonts w:hint="eastAsia" w:ascii="Times New Roman" w:hAnsi="仿宋" w:eastAsia="宋体" w:cs="仿宋"/>
              <w:b w:val="0"/>
              <w:spacing w:val="4"/>
              <w:sz w:val="24"/>
              <w:szCs w:val="28"/>
            </w:rPr>
            <w:t>（二）绩效评价目的</w:t>
          </w:r>
          <w:r>
            <w:rPr>
              <w:rFonts w:ascii="Times New Roman" w:eastAsia="宋体"/>
              <w:b w:val="0"/>
              <w:sz w:val="24"/>
              <w:szCs w:val="28"/>
            </w:rPr>
            <w:tab/>
          </w:r>
          <w:r>
            <w:rPr>
              <w:rFonts w:ascii="Times New Roman" w:eastAsia="宋体"/>
              <w:b w:val="0"/>
              <w:sz w:val="24"/>
              <w:szCs w:val="28"/>
            </w:rPr>
            <w:fldChar w:fldCharType="begin"/>
          </w:r>
          <w:r>
            <w:rPr>
              <w:rFonts w:ascii="Times New Roman" w:eastAsia="宋体"/>
              <w:b w:val="0"/>
              <w:sz w:val="24"/>
              <w:szCs w:val="28"/>
            </w:rPr>
            <w:instrText xml:space="preserve"> PAGEREF _Toc24093 \h </w:instrText>
          </w:r>
          <w:r>
            <w:rPr>
              <w:rFonts w:ascii="Times New Roman" w:eastAsia="宋体"/>
              <w:b w:val="0"/>
              <w:sz w:val="24"/>
              <w:szCs w:val="28"/>
            </w:rPr>
            <w:fldChar w:fldCharType="separate"/>
          </w:r>
          <w:r>
            <w:rPr>
              <w:rFonts w:ascii="Times New Roman" w:eastAsia="宋体"/>
              <w:b w:val="0"/>
              <w:sz w:val="24"/>
              <w:szCs w:val="28"/>
            </w:rPr>
            <w:t>８</w:t>
          </w:r>
          <w:r>
            <w:rPr>
              <w:rFonts w:ascii="Times New Roman" w:eastAsia="宋体"/>
              <w:b w:val="0"/>
              <w:sz w:val="24"/>
              <w:szCs w:val="28"/>
            </w:rPr>
            <w:fldChar w:fldCharType="end"/>
          </w:r>
          <w:r>
            <w:rPr>
              <w:rFonts w:ascii="Times New Roman" w:eastAsia="宋体"/>
              <w:b w:val="0"/>
              <w:sz w:val="24"/>
              <w:szCs w:val="28"/>
            </w:rPr>
            <w:fldChar w:fldCharType="end"/>
          </w:r>
        </w:p>
        <w:p>
          <w:pPr>
            <w:pStyle w:val="33"/>
            <w:keepNext w:val="0"/>
            <w:keepLines w:val="0"/>
            <w:pageBreakBefore w:val="0"/>
            <w:tabs>
              <w:tab w:val="right" w:leader="dot" w:pos="8306"/>
            </w:tabs>
            <w:kinsoku/>
            <w:wordWrap/>
            <w:overflowPunct/>
            <w:topLinePunct w:val="0"/>
            <w:autoSpaceDE/>
            <w:autoSpaceDN/>
            <w:bidi w:val="0"/>
            <w:adjustRightInd/>
            <w:snapToGrid w:val="0"/>
            <w:spacing w:beforeAutospacing="0" w:after="120" w:afterAutospacing="0" w:line="240" w:lineRule="auto"/>
            <w:ind w:left="420" w:leftChars="200" w:right="0" w:rightChars="0" w:firstLine="0" w:firstLineChars="0"/>
            <w:jc w:val="left"/>
            <w:textAlignment w:val="auto"/>
            <w:rPr>
              <w:rFonts w:ascii="Times New Roman" w:eastAsia="宋体"/>
              <w:b w:val="0"/>
              <w:sz w:val="24"/>
              <w:szCs w:val="28"/>
            </w:rPr>
          </w:pPr>
          <w:r>
            <w:rPr>
              <w:rFonts w:ascii="Times New Roman" w:eastAsia="宋体"/>
              <w:b w:val="0"/>
              <w:sz w:val="24"/>
              <w:szCs w:val="28"/>
            </w:rPr>
            <w:fldChar w:fldCharType="begin"/>
          </w:r>
          <w:r>
            <w:rPr>
              <w:rFonts w:ascii="Times New Roman" w:eastAsia="宋体"/>
              <w:b w:val="0"/>
              <w:sz w:val="24"/>
              <w:szCs w:val="28"/>
            </w:rPr>
            <w:instrText xml:space="preserve"> HYPERLINK \l _Toc12024 </w:instrText>
          </w:r>
          <w:r>
            <w:rPr>
              <w:rFonts w:ascii="Times New Roman" w:eastAsia="宋体"/>
              <w:b w:val="0"/>
              <w:sz w:val="24"/>
              <w:szCs w:val="28"/>
            </w:rPr>
            <w:fldChar w:fldCharType="separate"/>
          </w:r>
          <w:r>
            <w:rPr>
              <w:rFonts w:hint="eastAsia" w:ascii="Times New Roman" w:hAnsi="仿宋" w:eastAsia="宋体" w:cs="仿宋"/>
              <w:b w:val="0"/>
              <w:spacing w:val="4"/>
              <w:sz w:val="24"/>
              <w:szCs w:val="28"/>
            </w:rPr>
            <w:t>（三）绩效评价依据</w:t>
          </w:r>
          <w:r>
            <w:rPr>
              <w:rFonts w:ascii="Times New Roman" w:eastAsia="宋体"/>
              <w:b w:val="0"/>
              <w:sz w:val="24"/>
              <w:szCs w:val="28"/>
            </w:rPr>
            <w:tab/>
          </w:r>
          <w:r>
            <w:rPr>
              <w:rFonts w:ascii="Times New Roman" w:eastAsia="宋体"/>
              <w:b w:val="0"/>
              <w:sz w:val="24"/>
              <w:szCs w:val="28"/>
            </w:rPr>
            <w:fldChar w:fldCharType="begin"/>
          </w:r>
          <w:r>
            <w:rPr>
              <w:rFonts w:ascii="Times New Roman" w:eastAsia="宋体"/>
              <w:b w:val="0"/>
              <w:sz w:val="24"/>
              <w:szCs w:val="28"/>
            </w:rPr>
            <w:instrText xml:space="preserve"> PAGEREF _Toc12024 \h </w:instrText>
          </w:r>
          <w:r>
            <w:rPr>
              <w:rFonts w:ascii="Times New Roman" w:eastAsia="宋体"/>
              <w:b w:val="0"/>
              <w:sz w:val="24"/>
              <w:szCs w:val="28"/>
            </w:rPr>
            <w:fldChar w:fldCharType="separate"/>
          </w:r>
          <w:r>
            <w:rPr>
              <w:rFonts w:ascii="Times New Roman" w:eastAsia="宋体"/>
              <w:b w:val="0"/>
              <w:sz w:val="24"/>
              <w:szCs w:val="28"/>
            </w:rPr>
            <w:t>８</w:t>
          </w:r>
          <w:r>
            <w:rPr>
              <w:rFonts w:ascii="Times New Roman" w:eastAsia="宋体"/>
              <w:b w:val="0"/>
              <w:sz w:val="24"/>
              <w:szCs w:val="28"/>
            </w:rPr>
            <w:fldChar w:fldCharType="end"/>
          </w:r>
          <w:r>
            <w:rPr>
              <w:rFonts w:ascii="Times New Roman" w:eastAsia="宋体"/>
              <w:b w:val="0"/>
              <w:sz w:val="24"/>
              <w:szCs w:val="28"/>
            </w:rPr>
            <w:fldChar w:fldCharType="end"/>
          </w:r>
        </w:p>
        <w:p>
          <w:pPr>
            <w:pStyle w:val="33"/>
            <w:keepNext w:val="0"/>
            <w:keepLines w:val="0"/>
            <w:pageBreakBefore w:val="0"/>
            <w:tabs>
              <w:tab w:val="right" w:leader="dot" w:pos="8306"/>
            </w:tabs>
            <w:kinsoku/>
            <w:wordWrap/>
            <w:overflowPunct/>
            <w:topLinePunct w:val="0"/>
            <w:autoSpaceDE/>
            <w:autoSpaceDN/>
            <w:bidi w:val="0"/>
            <w:adjustRightInd/>
            <w:snapToGrid w:val="0"/>
            <w:spacing w:beforeAutospacing="0" w:after="120" w:afterAutospacing="0" w:line="240" w:lineRule="auto"/>
            <w:ind w:left="420" w:leftChars="200" w:right="0" w:rightChars="0" w:firstLine="0" w:firstLineChars="0"/>
            <w:jc w:val="left"/>
            <w:textAlignment w:val="auto"/>
            <w:rPr>
              <w:rFonts w:ascii="Times New Roman" w:eastAsia="宋体"/>
              <w:b w:val="0"/>
              <w:sz w:val="24"/>
              <w:szCs w:val="28"/>
            </w:rPr>
          </w:pPr>
          <w:r>
            <w:rPr>
              <w:rFonts w:ascii="Times New Roman" w:eastAsia="宋体"/>
              <w:b w:val="0"/>
              <w:sz w:val="24"/>
              <w:szCs w:val="28"/>
            </w:rPr>
            <w:fldChar w:fldCharType="begin"/>
          </w:r>
          <w:r>
            <w:rPr>
              <w:rFonts w:ascii="Times New Roman" w:eastAsia="宋体"/>
              <w:b w:val="0"/>
              <w:sz w:val="24"/>
              <w:szCs w:val="28"/>
            </w:rPr>
            <w:instrText xml:space="preserve"> HYPERLINK \l _Toc21362 </w:instrText>
          </w:r>
          <w:r>
            <w:rPr>
              <w:rFonts w:ascii="Times New Roman" w:eastAsia="宋体"/>
              <w:b w:val="0"/>
              <w:sz w:val="24"/>
              <w:szCs w:val="28"/>
            </w:rPr>
            <w:fldChar w:fldCharType="separate"/>
          </w:r>
          <w:r>
            <w:rPr>
              <w:rFonts w:hint="eastAsia" w:ascii="Times New Roman" w:hAnsi="仿宋" w:eastAsia="宋体" w:cs="仿宋"/>
              <w:b w:val="0"/>
              <w:spacing w:val="4"/>
              <w:sz w:val="24"/>
              <w:szCs w:val="28"/>
            </w:rPr>
            <w:t>（四）绩效评价方法</w:t>
          </w:r>
          <w:r>
            <w:rPr>
              <w:rFonts w:ascii="Times New Roman" w:eastAsia="宋体"/>
              <w:b w:val="0"/>
              <w:sz w:val="24"/>
              <w:szCs w:val="28"/>
            </w:rPr>
            <w:tab/>
          </w:r>
          <w:r>
            <w:rPr>
              <w:rFonts w:ascii="Times New Roman" w:eastAsia="宋体"/>
              <w:b w:val="0"/>
              <w:sz w:val="24"/>
              <w:szCs w:val="28"/>
            </w:rPr>
            <w:fldChar w:fldCharType="begin"/>
          </w:r>
          <w:r>
            <w:rPr>
              <w:rFonts w:ascii="Times New Roman" w:eastAsia="宋体"/>
              <w:b w:val="0"/>
              <w:sz w:val="24"/>
              <w:szCs w:val="28"/>
            </w:rPr>
            <w:instrText xml:space="preserve"> PAGEREF _Toc21362 \h </w:instrText>
          </w:r>
          <w:r>
            <w:rPr>
              <w:rFonts w:ascii="Times New Roman" w:eastAsia="宋体"/>
              <w:b w:val="0"/>
              <w:sz w:val="24"/>
              <w:szCs w:val="28"/>
            </w:rPr>
            <w:fldChar w:fldCharType="separate"/>
          </w:r>
          <w:r>
            <w:rPr>
              <w:rFonts w:ascii="Times New Roman" w:eastAsia="宋体"/>
              <w:b w:val="0"/>
              <w:sz w:val="24"/>
              <w:szCs w:val="28"/>
            </w:rPr>
            <w:t>９</w:t>
          </w:r>
          <w:r>
            <w:rPr>
              <w:rFonts w:ascii="Times New Roman" w:eastAsia="宋体"/>
              <w:b w:val="0"/>
              <w:sz w:val="24"/>
              <w:szCs w:val="28"/>
            </w:rPr>
            <w:fldChar w:fldCharType="end"/>
          </w:r>
          <w:r>
            <w:rPr>
              <w:rFonts w:ascii="Times New Roman" w:eastAsia="宋体"/>
              <w:b w:val="0"/>
              <w:sz w:val="24"/>
              <w:szCs w:val="28"/>
            </w:rPr>
            <w:fldChar w:fldCharType="end"/>
          </w:r>
        </w:p>
        <w:p>
          <w:pPr>
            <w:pStyle w:val="33"/>
            <w:keepNext w:val="0"/>
            <w:keepLines w:val="0"/>
            <w:pageBreakBefore w:val="0"/>
            <w:tabs>
              <w:tab w:val="right" w:leader="dot" w:pos="8306"/>
            </w:tabs>
            <w:kinsoku/>
            <w:wordWrap/>
            <w:overflowPunct/>
            <w:topLinePunct w:val="0"/>
            <w:autoSpaceDE/>
            <w:autoSpaceDN/>
            <w:bidi w:val="0"/>
            <w:adjustRightInd/>
            <w:snapToGrid w:val="0"/>
            <w:spacing w:beforeAutospacing="0" w:after="120" w:afterAutospacing="0" w:line="240" w:lineRule="auto"/>
            <w:ind w:left="420" w:leftChars="200" w:right="0" w:rightChars="0" w:firstLine="0" w:firstLineChars="0"/>
            <w:jc w:val="left"/>
            <w:textAlignment w:val="auto"/>
            <w:rPr>
              <w:rFonts w:ascii="Times New Roman" w:eastAsia="宋体"/>
              <w:b w:val="0"/>
              <w:sz w:val="24"/>
              <w:szCs w:val="28"/>
            </w:rPr>
          </w:pPr>
          <w:r>
            <w:rPr>
              <w:rFonts w:ascii="Times New Roman" w:eastAsia="宋体"/>
              <w:b w:val="0"/>
              <w:sz w:val="24"/>
              <w:szCs w:val="28"/>
            </w:rPr>
            <w:fldChar w:fldCharType="begin"/>
          </w:r>
          <w:r>
            <w:rPr>
              <w:rFonts w:ascii="Times New Roman" w:eastAsia="宋体"/>
              <w:b w:val="0"/>
              <w:sz w:val="24"/>
              <w:szCs w:val="28"/>
            </w:rPr>
            <w:instrText xml:space="preserve"> HYPERLINK \l _Toc17427 </w:instrText>
          </w:r>
          <w:r>
            <w:rPr>
              <w:rFonts w:ascii="Times New Roman" w:eastAsia="宋体"/>
              <w:b w:val="0"/>
              <w:sz w:val="24"/>
              <w:szCs w:val="28"/>
            </w:rPr>
            <w:fldChar w:fldCharType="separate"/>
          </w:r>
          <w:r>
            <w:rPr>
              <w:rFonts w:hint="eastAsia" w:ascii="Times New Roman" w:hAnsi="宋体" w:eastAsia="宋体" w:cs="宋体"/>
              <w:b w:val="0"/>
              <w:bCs/>
              <w:spacing w:val="4"/>
              <w:sz w:val="24"/>
              <w:szCs w:val="28"/>
            </w:rPr>
            <w:t>（五）绩效评价过程</w:t>
          </w:r>
          <w:r>
            <w:rPr>
              <w:rFonts w:ascii="Times New Roman" w:eastAsia="宋体"/>
              <w:b w:val="0"/>
              <w:sz w:val="24"/>
              <w:szCs w:val="28"/>
            </w:rPr>
            <w:tab/>
          </w:r>
          <w:r>
            <w:rPr>
              <w:rFonts w:ascii="Times New Roman" w:eastAsia="宋体"/>
              <w:b w:val="0"/>
              <w:sz w:val="24"/>
              <w:szCs w:val="28"/>
            </w:rPr>
            <w:fldChar w:fldCharType="begin"/>
          </w:r>
          <w:r>
            <w:rPr>
              <w:rFonts w:ascii="Times New Roman" w:eastAsia="宋体"/>
              <w:b w:val="0"/>
              <w:sz w:val="24"/>
              <w:szCs w:val="28"/>
            </w:rPr>
            <w:instrText xml:space="preserve"> PAGEREF _Toc17427 \h </w:instrText>
          </w:r>
          <w:r>
            <w:rPr>
              <w:rFonts w:ascii="Times New Roman" w:eastAsia="宋体"/>
              <w:b w:val="0"/>
              <w:sz w:val="24"/>
              <w:szCs w:val="28"/>
            </w:rPr>
            <w:fldChar w:fldCharType="separate"/>
          </w:r>
          <w:r>
            <w:rPr>
              <w:rFonts w:ascii="Times New Roman" w:eastAsia="宋体"/>
              <w:b w:val="0"/>
              <w:sz w:val="24"/>
              <w:szCs w:val="28"/>
            </w:rPr>
            <w:t>９</w:t>
          </w:r>
          <w:r>
            <w:rPr>
              <w:rFonts w:ascii="Times New Roman" w:eastAsia="宋体"/>
              <w:b w:val="0"/>
              <w:sz w:val="24"/>
              <w:szCs w:val="28"/>
            </w:rPr>
            <w:fldChar w:fldCharType="end"/>
          </w:r>
          <w:r>
            <w:rPr>
              <w:rFonts w:ascii="Times New Roman" w:eastAsia="宋体"/>
              <w:b w:val="0"/>
              <w:sz w:val="24"/>
              <w:szCs w:val="28"/>
            </w:rPr>
            <w:fldChar w:fldCharType="end"/>
          </w:r>
        </w:p>
        <w:p>
          <w:pPr>
            <w:pStyle w:val="32"/>
            <w:keepNext w:val="0"/>
            <w:keepLines w:val="0"/>
            <w:pageBreakBefore w:val="0"/>
            <w:tabs>
              <w:tab w:val="right" w:leader="dot" w:pos="8306"/>
            </w:tabs>
            <w:kinsoku/>
            <w:wordWrap/>
            <w:overflowPunct/>
            <w:topLinePunct w:val="0"/>
            <w:autoSpaceDE/>
            <w:autoSpaceDN/>
            <w:bidi w:val="0"/>
            <w:adjustRightInd/>
            <w:snapToGrid w:val="0"/>
            <w:spacing w:beforeAutospacing="0" w:after="120" w:afterAutospacing="0" w:line="240" w:lineRule="auto"/>
            <w:ind w:left="0" w:leftChars="0" w:right="0" w:rightChars="0" w:firstLine="0" w:firstLineChars="0"/>
            <w:jc w:val="left"/>
            <w:textAlignment w:val="auto"/>
            <w:rPr>
              <w:rFonts w:ascii="Times New Roman" w:eastAsia="宋体"/>
              <w:b w:val="0"/>
              <w:sz w:val="24"/>
              <w:szCs w:val="28"/>
            </w:rPr>
          </w:pPr>
          <w:r>
            <w:rPr>
              <w:rFonts w:ascii="Times New Roman" w:eastAsia="宋体"/>
              <w:b w:val="0"/>
              <w:sz w:val="24"/>
              <w:szCs w:val="28"/>
            </w:rPr>
            <w:fldChar w:fldCharType="begin"/>
          </w:r>
          <w:r>
            <w:rPr>
              <w:rFonts w:ascii="Times New Roman" w:eastAsia="宋体"/>
              <w:b w:val="0"/>
              <w:sz w:val="24"/>
              <w:szCs w:val="28"/>
            </w:rPr>
            <w:instrText xml:space="preserve"> HYPERLINK \l _Toc114 </w:instrText>
          </w:r>
          <w:r>
            <w:rPr>
              <w:rFonts w:ascii="Times New Roman" w:eastAsia="宋体"/>
              <w:b w:val="0"/>
              <w:sz w:val="24"/>
              <w:szCs w:val="28"/>
            </w:rPr>
            <w:fldChar w:fldCharType="separate"/>
          </w:r>
          <w:r>
            <w:rPr>
              <w:rFonts w:hint="eastAsia" w:ascii="Times New Roman" w:hAnsi="仿宋" w:eastAsia="宋体" w:cs="仿宋"/>
              <w:b w:val="0"/>
              <w:spacing w:val="4"/>
              <w:kern w:val="2"/>
              <w:sz w:val="24"/>
              <w:szCs w:val="28"/>
            </w:rPr>
            <w:t>三、绩效评价指标体系及评价标准</w:t>
          </w:r>
          <w:r>
            <w:rPr>
              <w:rFonts w:ascii="Times New Roman" w:eastAsia="宋体"/>
              <w:b w:val="0"/>
              <w:sz w:val="24"/>
              <w:szCs w:val="28"/>
            </w:rPr>
            <w:tab/>
          </w:r>
          <w:r>
            <w:rPr>
              <w:rFonts w:ascii="Times New Roman" w:eastAsia="宋体"/>
              <w:b w:val="0"/>
              <w:sz w:val="24"/>
              <w:szCs w:val="28"/>
            </w:rPr>
            <w:fldChar w:fldCharType="begin"/>
          </w:r>
          <w:r>
            <w:rPr>
              <w:rFonts w:ascii="Times New Roman" w:eastAsia="宋体"/>
              <w:b w:val="0"/>
              <w:sz w:val="24"/>
              <w:szCs w:val="28"/>
            </w:rPr>
            <w:instrText xml:space="preserve"> PAGEREF _Toc114 \h </w:instrText>
          </w:r>
          <w:r>
            <w:rPr>
              <w:rFonts w:ascii="Times New Roman" w:eastAsia="宋体"/>
              <w:b w:val="0"/>
              <w:sz w:val="24"/>
              <w:szCs w:val="28"/>
            </w:rPr>
            <w:fldChar w:fldCharType="separate"/>
          </w:r>
          <w:r>
            <w:rPr>
              <w:rFonts w:ascii="Times New Roman" w:eastAsia="宋体"/>
              <w:b w:val="0"/>
              <w:sz w:val="24"/>
              <w:szCs w:val="28"/>
            </w:rPr>
            <w:t>１０</w:t>
          </w:r>
          <w:r>
            <w:rPr>
              <w:rFonts w:ascii="Times New Roman" w:eastAsia="宋体"/>
              <w:b w:val="0"/>
              <w:sz w:val="24"/>
              <w:szCs w:val="28"/>
            </w:rPr>
            <w:fldChar w:fldCharType="end"/>
          </w:r>
          <w:r>
            <w:rPr>
              <w:rFonts w:ascii="Times New Roman" w:eastAsia="宋体"/>
              <w:b w:val="0"/>
              <w:sz w:val="24"/>
              <w:szCs w:val="28"/>
            </w:rPr>
            <w:fldChar w:fldCharType="end"/>
          </w:r>
        </w:p>
        <w:p>
          <w:pPr>
            <w:pStyle w:val="32"/>
            <w:keepNext w:val="0"/>
            <w:keepLines w:val="0"/>
            <w:pageBreakBefore w:val="0"/>
            <w:tabs>
              <w:tab w:val="right" w:leader="dot" w:pos="8306"/>
            </w:tabs>
            <w:kinsoku/>
            <w:wordWrap/>
            <w:overflowPunct/>
            <w:topLinePunct w:val="0"/>
            <w:autoSpaceDE/>
            <w:autoSpaceDN/>
            <w:bidi w:val="0"/>
            <w:adjustRightInd/>
            <w:snapToGrid w:val="0"/>
            <w:spacing w:beforeAutospacing="0" w:after="120" w:afterAutospacing="0" w:line="240" w:lineRule="auto"/>
            <w:ind w:left="0" w:leftChars="0" w:right="0" w:rightChars="0" w:firstLine="0" w:firstLineChars="0"/>
            <w:jc w:val="left"/>
            <w:textAlignment w:val="auto"/>
            <w:rPr>
              <w:rFonts w:ascii="Times New Roman" w:eastAsia="宋体"/>
              <w:b w:val="0"/>
              <w:sz w:val="24"/>
              <w:szCs w:val="28"/>
            </w:rPr>
          </w:pPr>
          <w:r>
            <w:rPr>
              <w:rFonts w:ascii="Times New Roman" w:eastAsia="宋体"/>
              <w:b w:val="0"/>
              <w:sz w:val="24"/>
              <w:szCs w:val="28"/>
            </w:rPr>
            <w:fldChar w:fldCharType="begin"/>
          </w:r>
          <w:r>
            <w:rPr>
              <w:rFonts w:ascii="Times New Roman" w:eastAsia="宋体"/>
              <w:b w:val="0"/>
              <w:sz w:val="24"/>
              <w:szCs w:val="28"/>
            </w:rPr>
            <w:instrText xml:space="preserve"> HYPERLINK \l _Toc26431 </w:instrText>
          </w:r>
          <w:r>
            <w:rPr>
              <w:rFonts w:ascii="Times New Roman" w:eastAsia="宋体"/>
              <w:b w:val="0"/>
              <w:sz w:val="24"/>
              <w:szCs w:val="28"/>
            </w:rPr>
            <w:fldChar w:fldCharType="separate"/>
          </w:r>
          <w:r>
            <w:rPr>
              <w:rFonts w:hint="eastAsia" w:ascii="Times New Roman" w:hAnsi="仿宋" w:eastAsia="宋体" w:cs="仿宋"/>
              <w:b w:val="0"/>
              <w:spacing w:val="4"/>
              <w:sz w:val="24"/>
              <w:szCs w:val="28"/>
            </w:rPr>
            <w:t>四、部门整体支出绩效评价指标分析</w:t>
          </w:r>
          <w:r>
            <w:rPr>
              <w:rFonts w:ascii="Times New Roman" w:eastAsia="宋体"/>
              <w:b w:val="0"/>
              <w:sz w:val="24"/>
              <w:szCs w:val="28"/>
            </w:rPr>
            <w:tab/>
          </w:r>
          <w:r>
            <w:rPr>
              <w:rFonts w:ascii="Times New Roman" w:eastAsia="宋体"/>
              <w:b w:val="0"/>
              <w:sz w:val="24"/>
              <w:szCs w:val="28"/>
            </w:rPr>
            <w:fldChar w:fldCharType="begin"/>
          </w:r>
          <w:r>
            <w:rPr>
              <w:rFonts w:ascii="Times New Roman" w:eastAsia="宋体"/>
              <w:b w:val="0"/>
              <w:sz w:val="24"/>
              <w:szCs w:val="28"/>
            </w:rPr>
            <w:instrText xml:space="preserve"> PAGEREF _Toc26431 \h </w:instrText>
          </w:r>
          <w:r>
            <w:rPr>
              <w:rFonts w:ascii="Times New Roman" w:eastAsia="宋体"/>
              <w:b w:val="0"/>
              <w:sz w:val="24"/>
              <w:szCs w:val="28"/>
            </w:rPr>
            <w:fldChar w:fldCharType="separate"/>
          </w:r>
          <w:r>
            <w:rPr>
              <w:rFonts w:ascii="Times New Roman" w:eastAsia="宋体"/>
              <w:b w:val="0"/>
              <w:sz w:val="24"/>
              <w:szCs w:val="28"/>
            </w:rPr>
            <w:t>１６</w:t>
          </w:r>
          <w:r>
            <w:rPr>
              <w:rFonts w:ascii="Times New Roman" w:eastAsia="宋体"/>
              <w:b w:val="0"/>
              <w:sz w:val="24"/>
              <w:szCs w:val="28"/>
            </w:rPr>
            <w:fldChar w:fldCharType="end"/>
          </w:r>
          <w:r>
            <w:rPr>
              <w:rFonts w:ascii="Times New Roman" w:eastAsia="宋体"/>
              <w:b w:val="0"/>
              <w:sz w:val="24"/>
              <w:szCs w:val="28"/>
            </w:rPr>
            <w:fldChar w:fldCharType="end"/>
          </w:r>
        </w:p>
        <w:p>
          <w:pPr>
            <w:pStyle w:val="33"/>
            <w:keepNext w:val="0"/>
            <w:keepLines w:val="0"/>
            <w:pageBreakBefore w:val="0"/>
            <w:tabs>
              <w:tab w:val="right" w:leader="dot" w:pos="8306"/>
            </w:tabs>
            <w:kinsoku/>
            <w:wordWrap/>
            <w:overflowPunct/>
            <w:topLinePunct w:val="0"/>
            <w:autoSpaceDE/>
            <w:autoSpaceDN/>
            <w:bidi w:val="0"/>
            <w:adjustRightInd/>
            <w:snapToGrid w:val="0"/>
            <w:spacing w:beforeAutospacing="0" w:after="120" w:afterAutospacing="0" w:line="240" w:lineRule="auto"/>
            <w:ind w:left="420" w:leftChars="200" w:right="0" w:rightChars="0" w:firstLine="0" w:firstLineChars="0"/>
            <w:jc w:val="left"/>
            <w:textAlignment w:val="auto"/>
            <w:rPr>
              <w:rFonts w:ascii="Times New Roman" w:eastAsia="宋体"/>
              <w:b w:val="0"/>
              <w:sz w:val="24"/>
              <w:szCs w:val="28"/>
            </w:rPr>
          </w:pPr>
          <w:r>
            <w:rPr>
              <w:rFonts w:ascii="Times New Roman" w:eastAsia="宋体"/>
              <w:b w:val="0"/>
              <w:sz w:val="24"/>
              <w:szCs w:val="28"/>
            </w:rPr>
            <w:fldChar w:fldCharType="begin"/>
          </w:r>
          <w:r>
            <w:rPr>
              <w:rFonts w:ascii="Times New Roman" w:eastAsia="宋体"/>
              <w:b w:val="0"/>
              <w:sz w:val="24"/>
              <w:szCs w:val="28"/>
            </w:rPr>
            <w:instrText xml:space="preserve"> HYPERLINK \l _Toc19210 </w:instrText>
          </w:r>
          <w:r>
            <w:rPr>
              <w:rFonts w:ascii="Times New Roman" w:eastAsia="宋体"/>
              <w:b w:val="0"/>
              <w:sz w:val="24"/>
              <w:szCs w:val="28"/>
            </w:rPr>
            <w:fldChar w:fldCharType="separate"/>
          </w:r>
          <w:r>
            <w:rPr>
              <w:rFonts w:hint="eastAsia" w:ascii="Times New Roman" w:hAnsi="仿宋" w:eastAsia="宋体" w:cs="仿宋"/>
              <w:b w:val="0"/>
              <w:spacing w:val="4"/>
              <w:sz w:val="24"/>
              <w:szCs w:val="28"/>
            </w:rPr>
            <w:t>（一）项目投入情况（权重为20%，得分17.5分）</w:t>
          </w:r>
          <w:r>
            <w:rPr>
              <w:rFonts w:ascii="Times New Roman" w:eastAsia="宋体"/>
              <w:b w:val="0"/>
              <w:sz w:val="24"/>
              <w:szCs w:val="28"/>
            </w:rPr>
            <w:tab/>
          </w:r>
          <w:r>
            <w:rPr>
              <w:rFonts w:ascii="Times New Roman" w:eastAsia="宋体"/>
              <w:b w:val="0"/>
              <w:sz w:val="24"/>
              <w:szCs w:val="28"/>
            </w:rPr>
            <w:fldChar w:fldCharType="begin"/>
          </w:r>
          <w:r>
            <w:rPr>
              <w:rFonts w:ascii="Times New Roman" w:eastAsia="宋体"/>
              <w:b w:val="0"/>
              <w:sz w:val="24"/>
              <w:szCs w:val="28"/>
            </w:rPr>
            <w:instrText xml:space="preserve"> PAGEREF _Toc19210 \h </w:instrText>
          </w:r>
          <w:r>
            <w:rPr>
              <w:rFonts w:ascii="Times New Roman" w:eastAsia="宋体"/>
              <w:b w:val="0"/>
              <w:sz w:val="24"/>
              <w:szCs w:val="28"/>
            </w:rPr>
            <w:fldChar w:fldCharType="separate"/>
          </w:r>
          <w:r>
            <w:rPr>
              <w:rFonts w:ascii="Times New Roman" w:eastAsia="宋体"/>
              <w:b w:val="0"/>
              <w:sz w:val="24"/>
              <w:szCs w:val="28"/>
            </w:rPr>
            <w:t>１６</w:t>
          </w:r>
          <w:r>
            <w:rPr>
              <w:rFonts w:ascii="Times New Roman" w:eastAsia="宋体"/>
              <w:b w:val="0"/>
              <w:sz w:val="24"/>
              <w:szCs w:val="28"/>
            </w:rPr>
            <w:fldChar w:fldCharType="end"/>
          </w:r>
          <w:r>
            <w:rPr>
              <w:rFonts w:ascii="Times New Roman" w:eastAsia="宋体"/>
              <w:b w:val="0"/>
              <w:sz w:val="24"/>
              <w:szCs w:val="28"/>
            </w:rPr>
            <w:fldChar w:fldCharType="end"/>
          </w:r>
        </w:p>
        <w:p>
          <w:pPr>
            <w:pStyle w:val="33"/>
            <w:keepNext w:val="0"/>
            <w:keepLines w:val="0"/>
            <w:pageBreakBefore w:val="0"/>
            <w:tabs>
              <w:tab w:val="right" w:leader="dot" w:pos="8306"/>
            </w:tabs>
            <w:kinsoku/>
            <w:wordWrap/>
            <w:overflowPunct/>
            <w:topLinePunct w:val="0"/>
            <w:autoSpaceDE/>
            <w:autoSpaceDN/>
            <w:bidi w:val="0"/>
            <w:adjustRightInd/>
            <w:snapToGrid w:val="0"/>
            <w:spacing w:beforeAutospacing="0" w:after="120" w:afterAutospacing="0" w:line="240" w:lineRule="auto"/>
            <w:ind w:left="420" w:leftChars="200" w:right="0" w:rightChars="0" w:firstLine="0" w:firstLineChars="0"/>
            <w:jc w:val="left"/>
            <w:textAlignment w:val="auto"/>
            <w:rPr>
              <w:rFonts w:ascii="Times New Roman" w:eastAsia="宋体"/>
              <w:b w:val="0"/>
              <w:sz w:val="24"/>
              <w:szCs w:val="28"/>
            </w:rPr>
          </w:pPr>
          <w:r>
            <w:rPr>
              <w:rFonts w:ascii="Times New Roman" w:eastAsia="宋体"/>
              <w:b w:val="0"/>
              <w:sz w:val="24"/>
              <w:szCs w:val="28"/>
            </w:rPr>
            <w:fldChar w:fldCharType="begin"/>
          </w:r>
          <w:r>
            <w:rPr>
              <w:rFonts w:ascii="Times New Roman" w:eastAsia="宋体"/>
              <w:b w:val="0"/>
              <w:sz w:val="24"/>
              <w:szCs w:val="28"/>
            </w:rPr>
            <w:instrText xml:space="preserve"> HYPERLINK \l _Toc18483 </w:instrText>
          </w:r>
          <w:r>
            <w:rPr>
              <w:rFonts w:ascii="Times New Roman" w:eastAsia="宋体"/>
              <w:b w:val="0"/>
              <w:sz w:val="24"/>
              <w:szCs w:val="28"/>
            </w:rPr>
            <w:fldChar w:fldCharType="separate"/>
          </w:r>
          <w:r>
            <w:rPr>
              <w:rFonts w:hint="eastAsia" w:ascii="Times New Roman" w:hAnsi="仿宋" w:eastAsia="宋体" w:cs="仿宋"/>
              <w:b w:val="0"/>
              <w:bCs/>
              <w:spacing w:val="4"/>
              <w:sz w:val="24"/>
              <w:szCs w:val="28"/>
            </w:rPr>
            <w:t>（二）实施过程（权重为20%，得分1</w:t>
          </w:r>
          <w:r>
            <w:rPr>
              <w:rFonts w:hint="eastAsia" w:ascii="Times New Roman" w:hAnsi="仿宋" w:eastAsia="宋体" w:cs="仿宋"/>
              <w:b w:val="0"/>
              <w:bCs/>
              <w:spacing w:val="4"/>
              <w:sz w:val="24"/>
              <w:szCs w:val="28"/>
              <w:lang w:val="en-US" w:eastAsia="zh-CN"/>
            </w:rPr>
            <w:t>2</w:t>
          </w:r>
          <w:r>
            <w:rPr>
              <w:rFonts w:hint="eastAsia" w:ascii="Times New Roman" w:hAnsi="仿宋" w:eastAsia="宋体" w:cs="仿宋"/>
              <w:b w:val="0"/>
              <w:bCs/>
              <w:spacing w:val="4"/>
              <w:sz w:val="24"/>
              <w:szCs w:val="28"/>
            </w:rPr>
            <w:t>.04分）</w:t>
          </w:r>
          <w:r>
            <w:rPr>
              <w:rFonts w:ascii="Times New Roman" w:eastAsia="宋体"/>
              <w:b w:val="0"/>
              <w:sz w:val="24"/>
              <w:szCs w:val="28"/>
            </w:rPr>
            <w:tab/>
          </w:r>
          <w:r>
            <w:rPr>
              <w:rFonts w:ascii="Times New Roman" w:eastAsia="宋体"/>
              <w:b w:val="0"/>
              <w:sz w:val="24"/>
              <w:szCs w:val="28"/>
            </w:rPr>
            <w:fldChar w:fldCharType="begin"/>
          </w:r>
          <w:r>
            <w:rPr>
              <w:rFonts w:ascii="Times New Roman" w:eastAsia="宋体"/>
              <w:b w:val="0"/>
              <w:sz w:val="24"/>
              <w:szCs w:val="28"/>
            </w:rPr>
            <w:instrText xml:space="preserve"> PAGEREF _Toc18483 \h </w:instrText>
          </w:r>
          <w:r>
            <w:rPr>
              <w:rFonts w:ascii="Times New Roman" w:eastAsia="宋体"/>
              <w:b w:val="0"/>
              <w:sz w:val="24"/>
              <w:szCs w:val="28"/>
            </w:rPr>
            <w:fldChar w:fldCharType="separate"/>
          </w:r>
          <w:r>
            <w:rPr>
              <w:rFonts w:ascii="Times New Roman" w:eastAsia="宋体"/>
              <w:b w:val="0"/>
              <w:sz w:val="24"/>
              <w:szCs w:val="28"/>
            </w:rPr>
            <w:t>１８</w:t>
          </w:r>
          <w:r>
            <w:rPr>
              <w:rFonts w:ascii="Times New Roman" w:eastAsia="宋体"/>
              <w:b w:val="0"/>
              <w:sz w:val="24"/>
              <w:szCs w:val="28"/>
            </w:rPr>
            <w:fldChar w:fldCharType="end"/>
          </w:r>
          <w:r>
            <w:rPr>
              <w:rFonts w:ascii="Times New Roman" w:eastAsia="宋体"/>
              <w:b w:val="0"/>
              <w:sz w:val="24"/>
              <w:szCs w:val="28"/>
            </w:rPr>
            <w:fldChar w:fldCharType="end"/>
          </w:r>
        </w:p>
        <w:p>
          <w:pPr>
            <w:pStyle w:val="33"/>
            <w:keepNext w:val="0"/>
            <w:keepLines w:val="0"/>
            <w:pageBreakBefore w:val="0"/>
            <w:tabs>
              <w:tab w:val="right" w:leader="dot" w:pos="8306"/>
            </w:tabs>
            <w:kinsoku/>
            <w:wordWrap/>
            <w:overflowPunct/>
            <w:topLinePunct w:val="0"/>
            <w:autoSpaceDE/>
            <w:autoSpaceDN/>
            <w:bidi w:val="0"/>
            <w:adjustRightInd/>
            <w:snapToGrid w:val="0"/>
            <w:spacing w:beforeAutospacing="0" w:after="120" w:afterAutospacing="0" w:line="240" w:lineRule="auto"/>
            <w:ind w:left="420" w:leftChars="200" w:right="0" w:rightChars="0" w:firstLine="0" w:firstLineChars="0"/>
            <w:jc w:val="left"/>
            <w:textAlignment w:val="auto"/>
            <w:rPr>
              <w:rFonts w:ascii="Times New Roman" w:eastAsia="宋体"/>
              <w:b w:val="0"/>
              <w:sz w:val="24"/>
              <w:szCs w:val="28"/>
            </w:rPr>
          </w:pPr>
          <w:r>
            <w:rPr>
              <w:rFonts w:ascii="Times New Roman" w:eastAsia="宋体"/>
              <w:b w:val="0"/>
              <w:sz w:val="24"/>
              <w:szCs w:val="28"/>
            </w:rPr>
            <w:fldChar w:fldCharType="begin"/>
          </w:r>
          <w:r>
            <w:rPr>
              <w:rFonts w:ascii="Times New Roman" w:eastAsia="宋体"/>
              <w:b w:val="0"/>
              <w:sz w:val="24"/>
              <w:szCs w:val="28"/>
            </w:rPr>
            <w:instrText xml:space="preserve"> HYPERLINK \l _Toc30300 </w:instrText>
          </w:r>
          <w:r>
            <w:rPr>
              <w:rFonts w:ascii="Times New Roman" w:eastAsia="宋体"/>
              <w:b w:val="0"/>
              <w:sz w:val="24"/>
              <w:szCs w:val="28"/>
            </w:rPr>
            <w:fldChar w:fldCharType="separate"/>
          </w:r>
          <w:r>
            <w:rPr>
              <w:rFonts w:hint="eastAsia" w:ascii="Times New Roman" w:hAnsi="仿宋" w:eastAsia="宋体" w:cs="仿宋"/>
              <w:b w:val="0"/>
              <w:spacing w:val="4"/>
              <w:sz w:val="24"/>
              <w:szCs w:val="28"/>
            </w:rPr>
            <w:t>（</w:t>
          </w:r>
          <w:r>
            <w:rPr>
              <w:rFonts w:hint="eastAsia" w:ascii="Times New Roman" w:hAnsi="仿宋" w:eastAsia="宋体" w:cs="仿宋"/>
              <w:b w:val="0"/>
              <w:spacing w:val="4"/>
              <w:sz w:val="24"/>
              <w:szCs w:val="28"/>
              <w:lang w:eastAsia="zh-CN"/>
            </w:rPr>
            <w:t>三</w:t>
          </w:r>
          <w:r>
            <w:rPr>
              <w:rFonts w:hint="eastAsia" w:ascii="Times New Roman" w:hAnsi="仿宋" w:eastAsia="宋体" w:cs="仿宋"/>
              <w:b w:val="0"/>
              <w:spacing w:val="4"/>
              <w:sz w:val="24"/>
              <w:szCs w:val="28"/>
            </w:rPr>
            <w:t>） 项目产出（权重为40%，得分</w:t>
          </w:r>
          <w:r>
            <w:rPr>
              <w:rFonts w:hint="eastAsia" w:ascii="Times New Roman" w:hAnsi="仿宋" w:eastAsia="宋体" w:cs="仿宋"/>
              <w:b w:val="0"/>
              <w:spacing w:val="4"/>
              <w:sz w:val="24"/>
              <w:szCs w:val="28"/>
              <w:lang w:val="en-US" w:eastAsia="zh-CN"/>
            </w:rPr>
            <w:t>40</w:t>
          </w:r>
          <w:r>
            <w:rPr>
              <w:rFonts w:hint="eastAsia" w:ascii="Times New Roman" w:hAnsi="仿宋" w:eastAsia="宋体" w:cs="仿宋"/>
              <w:b w:val="0"/>
              <w:spacing w:val="4"/>
              <w:sz w:val="24"/>
              <w:szCs w:val="28"/>
            </w:rPr>
            <w:t>分）</w:t>
          </w:r>
          <w:r>
            <w:rPr>
              <w:rFonts w:ascii="Times New Roman" w:eastAsia="宋体"/>
              <w:b w:val="0"/>
              <w:sz w:val="24"/>
              <w:szCs w:val="28"/>
            </w:rPr>
            <w:tab/>
          </w:r>
          <w:r>
            <w:rPr>
              <w:rFonts w:ascii="Times New Roman" w:eastAsia="宋体"/>
              <w:b w:val="0"/>
              <w:sz w:val="24"/>
              <w:szCs w:val="28"/>
            </w:rPr>
            <w:fldChar w:fldCharType="begin"/>
          </w:r>
          <w:r>
            <w:rPr>
              <w:rFonts w:ascii="Times New Roman" w:eastAsia="宋体"/>
              <w:b w:val="0"/>
              <w:sz w:val="24"/>
              <w:szCs w:val="28"/>
            </w:rPr>
            <w:instrText xml:space="preserve"> PAGEREF _Toc30300 \h </w:instrText>
          </w:r>
          <w:r>
            <w:rPr>
              <w:rFonts w:ascii="Times New Roman" w:eastAsia="宋体"/>
              <w:b w:val="0"/>
              <w:sz w:val="24"/>
              <w:szCs w:val="28"/>
            </w:rPr>
            <w:fldChar w:fldCharType="separate"/>
          </w:r>
          <w:r>
            <w:rPr>
              <w:rFonts w:ascii="Times New Roman" w:eastAsia="宋体"/>
              <w:b w:val="0"/>
              <w:sz w:val="24"/>
              <w:szCs w:val="28"/>
            </w:rPr>
            <w:t>２３</w:t>
          </w:r>
          <w:r>
            <w:rPr>
              <w:rFonts w:ascii="Times New Roman" w:eastAsia="宋体"/>
              <w:b w:val="0"/>
              <w:sz w:val="24"/>
              <w:szCs w:val="28"/>
            </w:rPr>
            <w:fldChar w:fldCharType="end"/>
          </w:r>
          <w:r>
            <w:rPr>
              <w:rFonts w:ascii="Times New Roman" w:eastAsia="宋体"/>
              <w:b w:val="0"/>
              <w:sz w:val="24"/>
              <w:szCs w:val="28"/>
            </w:rPr>
            <w:fldChar w:fldCharType="end"/>
          </w:r>
        </w:p>
        <w:p>
          <w:pPr>
            <w:pStyle w:val="33"/>
            <w:keepNext w:val="0"/>
            <w:keepLines w:val="0"/>
            <w:pageBreakBefore w:val="0"/>
            <w:widowControl/>
            <w:tabs>
              <w:tab w:val="right" w:leader="dot" w:pos="8306"/>
            </w:tabs>
            <w:kinsoku/>
            <w:wordWrap/>
            <w:overflowPunct/>
            <w:topLinePunct w:val="0"/>
            <w:autoSpaceDE/>
            <w:autoSpaceDN/>
            <w:bidi w:val="0"/>
            <w:adjustRightInd/>
            <w:snapToGrid w:val="0"/>
            <w:spacing w:beforeAutospacing="0" w:after="120" w:afterAutospacing="0" w:line="240" w:lineRule="auto"/>
            <w:ind w:left="420" w:leftChars="200" w:right="0" w:rightChars="0" w:firstLine="0" w:firstLineChars="0"/>
            <w:jc w:val="left"/>
            <w:textAlignment w:val="auto"/>
            <w:rPr>
              <w:rFonts w:ascii="Times New Roman" w:eastAsia="宋体"/>
              <w:b w:val="0"/>
              <w:sz w:val="24"/>
              <w:szCs w:val="28"/>
            </w:rPr>
          </w:pPr>
          <w:r>
            <w:rPr>
              <w:rFonts w:ascii="Times New Roman" w:eastAsia="宋体"/>
              <w:b w:val="0"/>
              <w:sz w:val="24"/>
              <w:szCs w:val="28"/>
            </w:rPr>
            <w:fldChar w:fldCharType="begin"/>
          </w:r>
          <w:r>
            <w:rPr>
              <w:rFonts w:ascii="Times New Roman" w:eastAsia="宋体"/>
              <w:b w:val="0"/>
              <w:sz w:val="24"/>
              <w:szCs w:val="28"/>
            </w:rPr>
            <w:instrText xml:space="preserve"> HYPERLINK \l _Toc16245 </w:instrText>
          </w:r>
          <w:r>
            <w:rPr>
              <w:rFonts w:ascii="Times New Roman" w:eastAsia="宋体"/>
              <w:b w:val="0"/>
              <w:sz w:val="24"/>
              <w:szCs w:val="28"/>
            </w:rPr>
            <w:fldChar w:fldCharType="separate"/>
          </w:r>
          <w:r>
            <w:rPr>
              <w:rFonts w:hint="eastAsia" w:ascii="Times New Roman" w:hAnsi="仿宋" w:eastAsia="宋体" w:cs="仿宋"/>
              <w:b w:val="0"/>
              <w:spacing w:val="4"/>
              <w:sz w:val="24"/>
              <w:szCs w:val="28"/>
            </w:rPr>
            <w:t>（</w:t>
          </w:r>
          <w:r>
            <w:rPr>
              <w:rFonts w:hint="eastAsia" w:ascii="Times New Roman" w:hAnsi="仿宋" w:eastAsia="宋体" w:cs="仿宋"/>
              <w:b w:val="0"/>
              <w:spacing w:val="4"/>
              <w:sz w:val="24"/>
              <w:szCs w:val="28"/>
              <w:lang w:eastAsia="zh-CN"/>
            </w:rPr>
            <w:t>四</w:t>
          </w:r>
          <w:r>
            <w:rPr>
              <w:rFonts w:hint="eastAsia" w:ascii="Times New Roman" w:hAnsi="仿宋" w:eastAsia="宋体" w:cs="仿宋"/>
              <w:b w:val="0"/>
              <w:spacing w:val="4"/>
              <w:sz w:val="24"/>
              <w:szCs w:val="28"/>
            </w:rPr>
            <w:t>） 项目效益（权重为</w:t>
          </w:r>
          <w:r>
            <w:rPr>
              <w:rFonts w:hint="eastAsia" w:ascii="Times New Roman" w:hAnsi="仿宋" w:eastAsia="宋体" w:cs="仿宋"/>
              <w:b w:val="0"/>
              <w:spacing w:val="4"/>
              <w:sz w:val="24"/>
              <w:szCs w:val="28"/>
              <w:lang w:val="en-US" w:eastAsia="zh-CN"/>
            </w:rPr>
            <w:t>20</w:t>
          </w:r>
          <w:r>
            <w:rPr>
              <w:rFonts w:hint="eastAsia" w:ascii="Times New Roman" w:hAnsi="仿宋" w:eastAsia="宋体" w:cs="仿宋"/>
              <w:b w:val="0"/>
              <w:spacing w:val="4"/>
              <w:sz w:val="24"/>
              <w:szCs w:val="28"/>
            </w:rPr>
            <w:t>%，得分</w:t>
          </w:r>
          <w:r>
            <w:rPr>
              <w:rFonts w:hint="eastAsia" w:ascii="Times New Roman" w:hAnsi="仿宋" w:eastAsia="宋体" w:cs="仿宋"/>
              <w:b w:val="0"/>
              <w:spacing w:val="4"/>
              <w:sz w:val="24"/>
              <w:szCs w:val="28"/>
              <w:lang w:val="en-US" w:eastAsia="zh-CN"/>
            </w:rPr>
            <w:t>19</w:t>
          </w:r>
          <w:r>
            <w:rPr>
              <w:rFonts w:hint="eastAsia" w:ascii="Times New Roman" w:hAnsi="仿宋" w:eastAsia="宋体" w:cs="仿宋"/>
              <w:b w:val="0"/>
              <w:spacing w:val="4"/>
              <w:sz w:val="24"/>
              <w:szCs w:val="28"/>
            </w:rPr>
            <w:t>分）</w:t>
          </w:r>
          <w:r>
            <w:rPr>
              <w:rFonts w:ascii="Times New Roman" w:eastAsia="宋体"/>
              <w:b w:val="0"/>
              <w:sz w:val="24"/>
              <w:szCs w:val="28"/>
            </w:rPr>
            <w:tab/>
          </w:r>
          <w:r>
            <w:rPr>
              <w:rFonts w:ascii="Times New Roman" w:eastAsia="宋体"/>
              <w:b w:val="0"/>
              <w:sz w:val="24"/>
              <w:szCs w:val="28"/>
            </w:rPr>
            <w:fldChar w:fldCharType="begin"/>
          </w:r>
          <w:r>
            <w:rPr>
              <w:rFonts w:ascii="Times New Roman" w:eastAsia="宋体"/>
              <w:b w:val="0"/>
              <w:sz w:val="24"/>
              <w:szCs w:val="28"/>
            </w:rPr>
            <w:instrText xml:space="preserve"> PAGEREF _Toc16245 \h </w:instrText>
          </w:r>
          <w:r>
            <w:rPr>
              <w:rFonts w:ascii="Times New Roman" w:eastAsia="宋体"/>
              <w:b w:val="0"/>
              <w:sz w:val="24"/>
              <w:szCs w:val="28"/>
            </w:rPr>
            <w:fldChar w:fldCharType="separate"/>
          </w:r>
          <w:r>
            <w:rPr>
              <w:rFonts w:ascii="Times New Roman" w:eastAsia="宋体"/>
              <w:b w:val="0"/>
              <w:sz w:val="24"/>
              <w:szCs w:val="28"/>
            </w:rPr>
            <w:t>３０</w:t>
          </w:r>
          <w:r>
            <w:rPr>
              <w:rFonts w:ascii="Times New Roman" w:eastAsia="宋体"/>
              <w:b w:val="0"/>
              <w:sz w:val="24"/>
              <w:szCs w:val="28"/>
            </w:rPr>
            <w:fldChar w:fldCharType="end"/>
          </w:r>
          <w:r>
            <w:rPr>
              <w:rFonts w:ascii="Times New Roman" w:eastAsia="宋体"/>
              <w:b w:val="0"/>
              <w:sz w:val="24"/>
              <w:szCs w:val="28"/>
            </w:rPr>
            <w:fldChar w:fldCharType="end"/>
          </w:r>
        </w:p>
        <w:p>
          <w:pPr>
            <w:pStyle w:val="32"/>
            <w:keepNext w:val="0"/>
            <w:keepLines w:val="0"/>
            <w:pageBreakBefore w:val="0"/>
            <w:tabs>
              <w:tab w:val="right" w:leader="dot" w:pos="8306"/>
            </w:tabs>
            <w:kinsoku/>
            <w:wordWrap/>
            <w:overflowPunct/>
            <w:topLinePunct w:val="0"/>
            <w:autoSpaceDE/>
            <w:autoSpaceDN/>
            <w:bidi w:val="0"/>
            <w:adjustRightInd/>
            <w:snapToGrid w:val="0"/>
            <w:spacing w:beforeAutospacing="0" w:after="120" w:afterAutospacing="0" w:line="240" w:lineRule="auto"/>
            <w:ind w:left="0" w:leftChars="0" w:right="0" w:rightChars="0" w:firstLine="0" w:firstLineChars="0"/>
            <w:jc w:val="left"/>
            <w:textAlignment w:val="auto"/>
            <w:rPr>
              <w:rFonts w:ascii="Times New Roman" w:eastAsia="宋体"/>
              <w:b w:val="0"/>
              <w:sz w:val="24"/>
              <w:szCs w:val="28"/>
            </w:rPr>
          </w:pPr>
          <w:r>
            <w:rPr>
              <w:rFonts w:ascii="Times New Roman" w:eastAsia="宋体"/>
              <w:b w:val="0"/>
              <w:sz w:val="24"/>
              <w:szCs w:val="28"/>
            </w:rPr>
            <w:fldChar w:fldCharType="begin"/>
          </w:r>
          <w:r>
            <w:rPr>
              <w:rFonts w:ascii="Times New Roman" w:eastAsia="宋体"/>
              <w:b w:val="0"/>
              <w:sz w:val="24"/>
              <w:szCs w:val="28"/>
            </w:rPr>
            <w:instrText xml:space="preserve"> HYPERLINK \l _Toc32260 </w:instrText>
          </w:r>
          <w:r>
            <w:rPr>
              <w:rFonts w:ascii="Times New Roman" w:eastAsia="宋体"/>
              <w:b w:val="0"/>
              <w:sz w:val="24"/>
              <w:szCs w:val="28"/>
            </w:rPr>
            <w:fldChar w:fldCharType="separate"/>
          </w:r>
          <w:r>
            <w:rPr>
              <w:rFonts w:hint="eastAsia" w:ascii="Times New Roman" w:hAnsi="仿宋" w:eastAsia="宋体" w:cs="仿宋"/>
              <w:b w:val="0"/>
              <w:bCs/>
              <w:spacing w:val="4"/>
              <w:kern w:val="2"/>
              <w:sz w:val="24"/>
              <w:szCs w:val="28"/>
              <w:lang w:val="en-US" w:eastAsia="zh-CN" w:bidi="ar-SA"/>
            </w:rPr>
            <w:t>五、绩效评价结论及成效</w:t>
          </w:r>
          <w:r>
            <w:rPr>
              <w:rFonts w:ascii="Times New Roman" w:eastAsia="宋体"/>
              <w:b w:val="0"/>
              <w:sz w:val="24"/>
              <w:szCs w:val="28"/>
            </w:rPr>
            <w:tab/>
          </w:r>
          <w:r>
            <w:rPr>
              <w:rFonts w:ascii="Times New Roman" w:eastAsia="宋体"/>
              <w:b w:val="0"/>
              <w:sz w:val="24"/>
              <w:szCs w:val="28"/>
            </w:rPr>
            <w:fldChar w:fldCharType="begin"/>
          </w:r>
          <w:r>
            <w:rPr>
              <w:rFonts w:ascii="Times New Roman" w:eastAsia="宋体"/>
              <w:b w:val="0"/>
              <w:sz w:val="24"/>
              <w:szCs w:val="28"/>
            </w:rPr>
            <w:instrText xml:space="preserve"> PAGEREF _Toc32260 \h </w:instrText>
          </w:r>
          <w:r>
            <w:rPr>
              <w:rFonts w:ascii="Times New Roman" w:eastAsia="宋体"/>
              <w:b w:val="0"/>
              <w:sz w:val="24"/>
              <w:szCs w:val="28"/>
            </w:rPr>
            <w:fldChar w:fldCharType="separate"/>
          </w:r>
          <w:r>
            <w:rPr>
              <w:rFonts w:ascii="Times New Roman" w:eastAsia="宋体"/>
              <w:b w:val="0"/>
              <w:sz w:val="24"/>
              <w:szCs w:val="28"/>
            </w:rPr>
            <w:t>３８</w:t>
          </w:r>
          <w:r>
            <w:rPr>
              <w:rFonts w:ascii="Times New Roman" w:eastAsia="宋体"/>
              <w:b w:val="0"/>
              <w:sz w:val="24"/>
              <w:szCs w:val="28"/>
            </w:rPr>
            <w:fldChar w:fldCharType="end"/>
          </w:r>
          <w:r>
            <w:rPr>
              <w:rFonts w:ascii="Times New Roman" w:eastAsia="宋体"/>
              <w:b w:val="0"/>
              <w:sz w:val="24"/>
              <w:szCs w:val="28"/>
            </w:rPr>
            <w:fldChar w:fldCharType="end"/>
          </w:r>
        </w:p>
        <w:p>
          <w:pPr>
            <w:pStyle w:val="32"/>
            <w:keepNext w:val="0"/>
            <w:keepLines w:val="0"/>
            <w:pageBreakBefore w:val="0"/>
            <w:tabs>
              <w:tab w:val="right" w:leader="dot" w:pos="8306"/>
            </w:tabs>
            <w:kinsoku/>
            <w:wordWrap/>
            <w:overflowPunct/>
            <w:topLinePunct w:val="0"/>
            <w:autoSpaceDE/>
            <w:autoSpaceDN/>
            <w:bidi w:val="0"/>
            <w:adjustRightInd/>
            <w:snapToGrid w:val="0"/>
            <w:spacing w:beforeAutospacing="0" w:after="120" w:afterAutospacing="0" w:line="240" w:lineRule="auto"/>
            <w:ind w:left="0" w:leftChars="0" w:right="0" w:rightChars="0" w:firstLine="0" w:firstLineChars="0"/>
            <w:jc w:val="left"/>
            <w:textAlignment w:val="auto"/>
            <w:rPr>
              <w:rFonts w:ascii="Times New Roman" w:eastAsia="宋体"/>
              <w:b w:val="0"/>
              <w:sz w:val="24"/>
              <w:szCs w:val="28"/>
            </w:rPr>
          </w:pPr>
          <w:r>
            <w:rPr>
              <w:rFonts w:ascii="Times New Roman" w:eastAsia="宋体"/>
              <w:b w:val="0"/>
              <w:sz w:val="24"/>
              <w:szCs w:val="28"/>
            </w:rPr>
            <w:fldChar w:fldCharType="begin"/>
          </w:r>
          <w:r>
            <w:rPr>
              <w:rFonts w:ascii="Times New Roman" w:eastAsia="宋体"/>
              <w:b w:val="0"/>
              <w:sz w:val="24"/>
              <w:szCs w:val="28"/>
            </w:rPr>
            <w:instrText xml:space="preserve"> HYPERLINK \l _Toc16579 </w:instrText>
          </w:r>
          <w:r>
            <w:rPr>
              <w:rFonts w:ascii="Times New Roman" w:eastAsia="宋体"/>
              <w:b w:val="0"/>
              <w:sz w:val="24"/>
              <w:szCs w:val="28"/>
            </w:rPr>
            <w:fldChar w:fldCharType="separate"/>
          </w:r>
          <w:r>
            <w:rPr>
              <w:rFonts w:hint="eastAsia" w:ascii="Times New Roman" w:hAnsi="仿宋" w:eastAsia="宋体" w:cs="仿宋"/>
              <w:b w:val="0"/>
              <w:bCs/>
              <w:spacing w:val="4"/>
              <w:kern w:val="2"/>
              <w:sz w:val="24"/>
              <w:szCs w:val="28"/>
              <w:lang w:val="en-US" w:eastAsia="zh-CN" w:bidi="ar-SA"/>
            </w:rPr>
            <w:t>六、存在问题</w:t>
          </w:r>
          <w:r>
            <w:rPr>
              <w:rFonts w:ascii="Times New Roman" w:eastAsia="宋体"/>
              <w:b w:val="0"/>
              <w:sz w:val="24"/>
              <w:szCs w:val="28"/>
            </w:rPr>
            <w:tab/>
          </w:r>
          <w:r>
            <w:rPr>
              <w:rFonts w:ascii="Times New Roman" w:eastAsia="宋体"/>
              <w:b w:val="0"/>
              <w:sz w:val="24"/>
              <w:szCs w:val="28"/>
            </w:rPr>
            <w:fldChar w:fldCharType="begin"/>
          </w:r>
          <w:r>
            <w:rPr>
              <w:rFonts w:ascii="Times New Roman" w:eastAsia="宋体"/>
              <w:b w:val="0"/>
              <w:sz w:val="24"/>
              <w:szCs w:val="28"/>
            </w:rPr>
            <w:instrText xml:space="preserve"> PAGEREF _Toc16579 \h </w:instrText>
          </w:r>
          <w:r>
            <w:rPr>
              <w:rFonts w:ascii="Times New Roman" w:eastAsia="宋体"/>
              <w:b w:val="0"/>
              <w:sz w:val="24"/>
              <w:szCs w:val="28"/>
            </w:rPr>
            <w:fldChar w:fldCharType="separate"/>
          </w:r>
          <w:r>
            <w:rPr>
              <w:rFonts w:ascii="Times New Roman" w:eastAsia="宋体"/>
              <w:b w:val="0"/>
              <w:sz w:val="24"/>
              <w:szCs w:val="28"/>
            </w:rPr>
            <w:t>４０</w:t>
          </w:r>
          <w:r>
            <w:rPr>
              <w:rFonts w:ascii="Times New Roman" w:eastAsia="宋体"/>
              <w:b w:val="0"/>
              <w:sz w:val="24"/>
              <w:szCs w:val="28"/>
            </w:rPr>
            <w:fldChar w:fldCharType="end"/>
          </w:r>
          <w:r>
            <w:rPr>
              <w:rFonts w:ascii="Times New Roman" w:eastAsia="宋体"/>
              <w:b w:val="0"/>
              <w:sz w:val="24"/>
              <w:szCs w:val="28"/>
            </w:rPr>
            <w:fldChar w:fldCharType="end"/>
          </w:r>
        </w:p>
        <w:p>
          <w:pPr>
            <w:pStyle w:val="32"/>
            <w:keepNext w:val="0"/>
            <w:keepLines w:val="0"/>
            <w:pageBreakBefore w:val="0"/>
            <w:widowControl/>
            <w:tabs>
              <w:tab w:val="right" w:leader="dot" w:pos="8306"/>
            </w:tabs>
            <w:kinsoku/>
            <w:wordWrap/>
            <w:overflowPunct/>
            <w:topLinePunct w:val="0"/>
            <w:autoSpaceDE/>
            <w:autoSpaceDN/>
            <w:bidi w:val="0"/>
            <w:adjustRightInd/>
            <w:snapToGrid w:val="0"/>
            <w:spacing w:beforeAutospacing="0" w:after="120" w:afterAutospacing="0" w:line="240" w:lineRule="auto"/>
            <w:ind w:left="0" w:leftChars="0" w:right="0" w:rightChars="0" w:firstLine="0" w:firstLineChars="0"/>
            <w:jc w:val="left"/>
            <w:textAlignment w:val="auto"/>
            <w:rPr>
              <w:rFonts w:hint="eastAsia" w:ascii="Times New Roman" w:hAnsi="宋体" w:eastAsia="宋体" w:cs="宋体"/>
              <w:b w:val="0"/>
              <w:sz w:val="24"/>
              <w:szCs w:val="28"/>
            </w:rPr>
          </w:pPr>
          <w:r>
            <w:rPr>
              <w:rFonts w:ascii="Times New Roman" w:eastAsia="宋体"/>
              <w:b w:val="0"/>
              <w:sz w:val="24"/>
              <w:szCs w:val="28"/>
            </w:rPr>
            <w:fldChar w:fldCharType="begin"/>
          </w:r>
          <w:r>
            <w:rPr>
              <w:rFonts w:ascii="Times New Roman" w:eastAsia="宋体"/>
              <w:b w:val="0"/>
              <w:sz w:val="24"/>
              <w:szCs w:val="28"/>
            </w:rPr>
            <w:instrText xml:space="preserve"> HYPERLINK \l _Toc2669 </w:instrText>
          </w:r>
          <w:r>
            <w:rPr>
              <w:rFonts w:ascii="Times New Roman" w:eastAsia="宋体"/>
              <w:b w:val="0"/>
              <w:sz w:val="24"/>
              <w:szCs w:val="28"/>
            </w:rPr>
            <w:fldChar w:fldCharType="separate"/>
          </w:r>
          <w:r>
            <w:rPr>
              <w:rFonts w:hint="eastAsia" w:ascii="Times New Roman" w:hAnsi="仿宋" w:eastAsia="宋体" w:cs="仿宋"/>
              <w:b w:val="0"/>
              <w:bCs/>
              <w:spacing w:val="4"/>
              <w:kern w:val="2"/>
              <w:sz w:val="24"/>
              <w:szCs w:val="28"/>
              <w:lang w:val="en-US" w:eastAsia="zh-CN" w:bidi="ar-SA"/>
            </w:rPr>
            <w:t>七、改进意见及建议</w:t>
          </w:r>
          <w:r>
            <w:rPr>
              <w:rFonts w:ascii="Times New Roman" w:eastAsia="宋体"/>
              <w:b w:val="0"/>
              <w:sz w:val="24"/>
              <w:szCs w:val="28"/>
            </w:rPr>
            <w:tab/>
          </w:r>
          <w:r>
            <w:rPr>
              <w:rFonts w:ascii="Times New Roman" w:eastAsia="宋体"/>
              <w:b w:val="0"/>
              <w:sz w:val="24"/>
              <w:szCs w:val="28"/>
            </w:rPr>
            <w:fldChar w:fldCharType="begin"/>
          </w:r>
          <w:r>
            <w:rPr>
              <w:rFonts w:ascii="Times New Roman" w:eastAsia="宋体"/>
              <w:b w:val="0"/>
              <w:sz w:val="24"/>
              <w:szCs w:val="28"/>
            </w:rPr>
            <w:instrText xml:space="preserve"> PAGEREF _Toc2669 \h </w:instrText>
          </w:r>
          <w:r>
            <w:rPr>
              <w:rFonts w:ascii="Times New Roman" w:eastAsia="宋体"/>
              <w:b w:val="0"/>
              <w:sz w:val="24"/>
              <w:szCs w:val="28"/>
            </w:rPr>
            <w:fldChar w:fldCharType="separate"/>
          </w:r>
          <w:r>
            <w:rPr>
              <w:rFonts w:ascii="Times New Roman" w:eastAsia="宋体"/>
              <w:b w:val="0"/>
              <w:sz w:val="24"/>
              <w:szCs w:val="28"/>
            </w:rPr>
            <w:t>４１</w:t>
          </w:r>
          <w:r>
            <w:rPr>
              <w:rFonts w:ascii="Times New Roman" w:eastAsia="宋体"/>
              <w:b w:val="0"/>
              <w:sz w:val="24"/>
              <w:szCs w:val="28"/>
            </w:rPr>
            <w:fldChar w:fldCharType="end"/>
          </w:r>
          <w:r>
            <w:rPr>
              <w:rFonts w:ascii="Times New Roman" w:eastAsia="宋体"/>
              <w:b w:val="0"/>
              <w:sz w:val="24"/>
              <w:szCs w:val="28"/>
            </w:rPr>
            <w:fldChar w:fldCharType="end"/>
          </w:r>
        </w:p>
        <w:p>
          <w:pPr>
            <w:pStyle w:val="32"/>
            <w:keepNext w:val="0"/>
            <w:keepLines w:val="0"/>
            <w:pageBreakBefore w:val="0"/>
            <w:tabs>
              <w:tab w:val="right" w:leader="dot" w:pos="8306"/>
            </w:tabs>
            <w:kinsoku/>
            <w:wordWrap/>
            <w:overflowPunct/>
            <w:topLinePunct w:val="0"/>
            <w:autoSpaceDE/>
            <w:autoSpaceDN/>
            <w:bidi w:val="0"/>
            <w:adjustRightInd/>
            <w:snapToGrid w:val="0"/>
            <w:spacing w:beforeAutospacing="0" w:after="120" w:afterAutospacing="0" w:line="240" w:lineRule="auto"/>
            <w:ind w:left="0" w:leftChars="0" w:right="0" w:rightChars="0" w:firstLine="0" w:firstLineChars="0"/>
            <w:jc w:val="left"/>
            <w:textAlignment w:val="auto"/>
            <w:rPr>
              <w:rFonts w:ascii="Times New Roman" w:eastAsia="宋体"/>
              <w:b w:val="0"/>
              <w:sz w:val="24"/>
              <w:szCs w:val="28"/>
            </w:rPr>
          </w:pPr>
          <w:r>
            <w:rPr>
              <w:rFonts w:ascii="Times New Roman" w:eastAsia="宋体"/>
              <w:b w:val="0"/>
              <w:sz w:val="24"/>
              <w:szCs w:val="28"/>
            </w:rPr>
            <w:fldChar w:fldCharType="begin"/>
          </w:r>
          <w:r>
            <w:rPr>
              <w:rFonts w:ascii="Times New Roman" w:eastAsia="宋体"/>
              <w:b w:val="0"/>
              <w:sz w:val="24"/>
              <w:szCs w:val="28"/>
            </w:rPr>
            <w:instrText xml:space="preserve"> HYPERLINK \l _Toc29064 </w:instrText>
          </w:r>
          <w:r>
            <w:rPr>
              <w:rFonts w:ascii="Times New Roman" w:eastAsia="宋体"/>
              <w:b w:val="0"/>
              <w:sz w:val="24"/>
              <w:szCs w:val="28"/>
            </w:rPr>
            <w:fldChar w:fldCharType="separate"/>
          </w:r>
          <w:r>
            <w:rPr>
              <w:rFonts w:hint="eastAsia" w:ascii="Times New Roman" w:hAnsi="仿宋" w:eastAsia="宋体" w:cs="仿宋"/>
              <w:b w:val="0"/>
              <w:bCs/>
              <w:spacing w:val="4"/>
              <w:kern w:val="2"/>
              <w:sz w:val="24"/>
              <w:szCs w:val="28"/>
              <w:lang w:val="en-US" w:eastAsia="zh-CN" w:bidi="ar-SA"/>
            </w:rPr>
            <w:t>八、其他需要说明的问题</w:t>
          </w:r>
          <w:r>
            <w:rPr>
              <w:rFonts w:ascii="Times New Roman" w:eastAsia="宋体"/>
              <w:b w:val="0"/>
              <w:sz w:val="24"/>
              <w:szCs w:val="28"/>
            </w:rPr>
            <w:tab/>
          </w:r>
          <w:r>
            <w:rPr>
              <w:rFonts w:ascii="Times New Roman" w:eastAsia="宋体"/>
              <w:b w:val="0"/>
              <w:sz w:val="24"/>
              <w:szCs w:val="28"/>
            </w:rPr>
            <w:fldChar w:fldCharType="begin"/>
          </w:r>
          <w:r>
            <w:rPr>
              <w:rFonts w:ascii="Times New Roman" w:eastAsia="宋体"/>
              <w:b w:val="0"/>
              <w:sz w:val="24"/>
              <w:szCs w:val="28"/>
            </w:rPr>
            <w:instrText xml:space="preserve"> PAGEREF _Toc29064 \h </w:instrText>
          </w:r>
          <w:r>
            <w:rPr>
              <w:rFonts w:ascii="Times New Roman" w:eastAsia="宋体"/>
              <w:b w:val="0"/>
              <w:sz w:val="24"/>
              <w:szCs w:val="28"/>
            </w:rPr>
            <w:fldChar w:fldCharType="separate"/>
          </w:r>
          <w:r>
            <w:rPr>
              <w:rFonts w:hint="eastAsia"/>
              <w:b w:val="0"/>
              <w:sz w:val="24"/>
              <w:szCs w:val="28"/>
              <w:lang w:val="en-US" w:eastAsia="zh-CN"/>
            </w:rPr>
            <w:t>4 2</w:t>
          </w:r>
          <w:r>
            <w:rPr>
              <w:rFonts w:ascii="Times New Roman" w:eastAsia="宋体"/>
              <w:b w:val="0"/>
              <w:sz w:val="24"/>
              <w:szCs w:val="28"/>
            </w:rPr>
            <w:fldChar w:fldCharType="end"/>
          </w:r>
          <w:r>
            <w:rPr>
              <w:rFonts w:ascii="Times New Roman" w:eastAsia="宋体"/>
              <w:b w:val="0"/>
              <w:sz w:val="24"/>
              <w:szCs w:val="28"/>
            </w:rPr>
            <w:fldChar w:fldCharType="end"/>
          </w:r>
        </w:p>
        <w:p>
          <w:pPr>
            <w:keepNext w:val="0"/>
            <w:keepLines w:val="0"/>
            <w:pageBreakBefore w:val="0"/>
            <w:kinsoku/>
            <w:wordWrap/>
            <w:overflowPunct/>
            <w:topLinePunct w:val="0"/>
            <w:autoSpaceDE/>
            <w:autoSpaceDN/>
            <w:bidi w:val="0"/>
            <w:adjustRightInd/>
            <w:snapToGrid/>
            <w:spacing w:line="560" w:lineRule="exact"/>
            <w:textAlignment w:val="auto"/>
            <w:rPr>
              <w:sz w:val="28"/>
              <w:szCs w:val="28"/>
            </w:rPr>
          </w:pPr>
          <w:r>
            <w:rPr>
              <w:sz w:val="28"/>
              <w:szCs w:val="28"/>
            </w:rPr>
            <w:fldChar w:fldCharType="end"/>
          </w:r>
        </w:p>
        <w:p>
          <w:pPr>
            <w:keepNext w:val="0"/>
            <w:keepLines w:val="0"/>
            <w:pageBreakBefore w:val="0"/>
            <w:kinsoku/>
            <w:wordWrap/>
            <w:overflowPunct/>
            <w:topLinePunct w:val="0"/>
            <w:autoSpaceDE/>
            <w:autoSpaceDN/>
            <w:bidi w:val="0"/>
            <w:adjustRightInd/>
            <w:snapToGrid/>
            <w:spacing w:line="560" w:lineRule="exact"/>
            <w:textAlignment w:val="auto"/>
            <w:rPr>
              <w:sz w:val="28"/>
              <w:szCs w:val="28"/>
            </w:rPr>
          </w:pPr>
        </w:p>
        <w:p>
          <w:pPr>
            <w:keepNext w:val="0"/>
            <w:keepLines w:val="0"/>
            <w:pageBreakBefore w:val="0"/>
            <w:kinsoku/>
            <w:wordWrap/>
            <w:overflowPunct/>
            <w:topLinePunct w:val="0"/>
            <w:autoSpaceDE/>
            <w:autoSpaceDN/>
            <w:bidi w:val="0"/>
            <w:adjustRightInd/>
            <w:snapToGrid/>
            <w:spacing w:line="560" w:lineRule="exact"/>
            <w:textAlignment w:val="auto"/>
            <w:rPr>
              <w:sz w:val="28"/>
              <w:szCs w:val="28"/>
            </w:rPr>
          </w:pPr>
        </w:p>
        <w:p>
          <w:pPr>
            <w:keepNext w:val="0"/>
            <w:keepLines w:val="0"/>
            <w:pageBreakBefore w:val="0"/>
            <w:kinsoku/>
            <w:wordWrap/>
            <w:overflowPunct/>
            <w:topLinePunct w:val="0"/>
            <w:autoSpaceDE/>
            <w:autoSpaceDN/>
            <w:bidi w:val="0"/>
            <w:adjustRightInd/>
            <w:snapToGrid/>
            <w:spacing w:line="560" w:lineRule="exact"/>
            <w:textAlignment w:val="auto"/>
            <w:rPr>
              <w:sz w:val="28"/>
              <w:szCs w:val="28"/>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b/>
              <w:spacing w:val="4"/>
              <w:sz w:val="32"/>
              <w:szCs w:val="32"/>
            </w:rPr>
          </w:pPr>
          <w:bookmarkStart w:id="27" w:name="_Toc13506"/>
        </w:p>
      </w:sdtContent>
    </w:sdt>
    <w:p>
      <w:pPr>
        <w:pStyle w:val="13"/>
        <w:tabs>
          <w:tab w:val="right" w:leader="dot" w:pos="8778"/>
        </w:tabs>
        <w:snapToGrid/>
        <w:spacing w:beforeAutospacing="0" w:afterAutospacing="0" w:line="360" w:lineRule="auto"/>
        <w:ind w:left="0" w:leftChars="0" w:firstLine="0"/>
        <w:jc w:val="center"/>
        <w:outlineLvl w:val="0"/>
        <w:rPr>
          <w:rFonts w:hint="eastAsia" w:ascii="Times New Roman" w:hAnsi="宋体" w:eastAsia="宋体" w:cs="宋体"/>
          <w:b/>
          <w:spacing w:val="4"/>
          <w:sz w:val="28"/>
          <w:szCs w:val="32"/>
        </w:rPr>
        <w:sectPr>
          <w:headerReference r:id="rId4" w:type="default"/>
          <w:footerReference r:id="rId5" w:type="default"/>
          <w:pgSz w:w="11906" w:h="16838"/>
          <w:pgMar w:top="1440" w:right="1800" w:bottom="1440" w:left="1800" w:header="851" w:footer="992" w:gutter="0"/>
          <w:pgNumType w:fmt="decimalFullWidth"/>
          <w:cols w:space="425" w:num="1"/>
          <w:docGrid w:type="lines" w:linePitch="312" w:charSpace="0"/>
        </w:sectPr>
      </w:pPr>
    </w:p>
    <w:p>
      <w:pPr>
        <w:pStyle w:val="13"/>
        <w:tabs>
          <w:tab w:val="right" w:leader="dot" w:pos="8778"/>
        </w:tabs>
        <w:snapToGrid/>
        <w:spacing w:beforeAutospacing="0" w:afterAutospacing="0" w:line="360" w:lineRule="auto"/>
        <w:ind w:left="0" w:leftChars="0" w:firstLine="0"/>
        <w:jc w:val="center"/>
        <w:outlineLvl w:val="0"/>
        <w:rPr>
          <w:rFonts w:ascii="Times New Roman" w:eastAsia="宋体"/>
          <w:sz w:val="28"/>
          <w:szCs w:val="32"/>
        </w:rPr>
      </w:pPr>
      <w:r>
        <w:rPr>
          <w:rFonts w:hint="eastAsia" w:ascii="Times New Roman" w:hAnsi="宋体" w:eastAsia="宋体" w:cs="宋体"/>
          <w:b/>
          <w:spacing w:val="4"/>
          <w:sz w:val="28"/>
          <w:szCs w:val="32"/>
        </w:rPr>
        <w:t>2022年度石狮市应急管理局部门整体支出绩效评价报告</w:t>
      </w:r>
      <w:bookmarkEnd w:id="24"/>
      <w:bookmarkEnd w:id="25"/>
      <w:bookmarkEnd w:id="26"/>
      <w:bookmarkEnd w:id="27"/>
    </w:p>
    <w:p>
      <w:pPr>
        <w:snapToGrid/>
        <w:spacing w:beforeAutospacing="0" w:afterAutospacing="0" w:line="360" w:lineRule="auto"/>
        <w:ind w:left="0" w:leftChars="0" w:firstLine="560" w:firstLineChars="200"/>
        <w:rPr>
          <w:rFonts w:ascii="Times New Roman" w:hAnsi="仿宋" w:eastAsia="宋体" w:cs="仿宋"/>
          <w:spacing w:val="4"/>
          <w:sz w:val="28"/>
          <w:szCs w:val="32"/>
        </w:rPr>
      </w:pPr>
      <w:r>
        <w:rPr>
          <w:rFonts w:hint="eastAsia" w:ascii="Times New Roman" w:hAnsi="仿宋" w:eastAsia="宋体" w:cs="仿宋"/>
          <w:kern w:val="0"/>
          <w:sz w:val="28"/>
          <w:szCs w:val="32"/>
        </w:rPr>
        <w:t>为全面实施预算绩效管理，提高财政资金使用效益，建立科学、合理的财政支出绩效评价管理体系，</w:t>
      </w:r>
      <w:r>
        <w:rPr>
          <w:rFonts w:hint="eastAsia" w:ascii="Times New Roman" w:hAnsi="仿宋" w:eastAsia="宋体" w:cs="仿宋"/>
          <w:sz w:val="28"/>
          <w:szCs w:val="32"/>
        </w:rPr>
        <w:t>根据《石狮市财政局关于开展2023年财政预算绩效重点评价工作的通知》（狮财绩〔2023〕5号）文件有关规定，</w:t>
      </w:r>
      <w:r>
        <w:rPr>
          <w:rFonts w:hint="eastAsia" w:ascii="Times New Roman" w:hAnsi="仿宋" w:eastAsia="宋体" w:cs="仿宋"/>
          <w:spacing w:val="4"/>
          <w:sz w:val="28"/>
          <w:szCs w:val="32"/>
        </w:rPr>
        <w:t>石狮市财政局委托泉州市启程财务咨询有限公司，对2022年度石狮市应急管理局部门整体支出1812.55万元（根据财政指标下达金额）实施绩效评价。评价工作小组收集、整理相关绩效评价资料的基础上，通过查账、实地调研等方式对照评价指标和标准进行评议与打分，形成《2022年度石狮市应急管理局部门整体支出绩效评价报告》。</w:t>
      </w:r>
    </w:p>
    <w:p>
      <w:pPr>
        <w:adjustRightInd w:val="0"/>
        <w:snapToGrid/>
        <w:spacing w:before="312" w:beforeLines="100" w:beforeAutospacing="0" w:after="156" w:afterLines="50" w:afterAutospacing="0" w:line="360" w:lineRule="auto"/>
        <w:ind w:left="0" w:leftChars="0" w:right="0" w:rightChars="0" w:firstLine="0" w:firstLineChars="0"/>
        <w:jc w:val="left"/>
        <w:outlineLvl w:val="0"/>
        <w:rPr>
          <w:rFonts w:ascii="Times New Roman" w:hAnsi="仿宋" w:eastAsia="宋体" w:cs="仿宋"/>
          <w:b/>
          <w:bCs/>
          <w:spacing w:val="-8"/>
          <w:sz w:val="32"/>
          <w:szCs w:val="32"/>
        </w:rPr>
      </w:pPr>
      <w:bookmarkStart w:id="28" w:name="_Toc10259"/>
      <w:bookmarkStart w:id="29" w:name="_Toc9731"/>
      <w:r>
        <w:rPr>
          <w:rFonts w:hint="eastAsia" w:ascii="Times New Roman" w:hAnsi="仿宋" w:eastAsia="宋体" w:cs="仿宋"/>
          <w:b/>
          <w:bCs/>
          <w:spacing w:val="-8"/>
          <w:sz w:val="32"/>
          <w:szCs w:val="32"/>
        </w:rPr>
        <w:t>一、部门概况</w:t>
      </w:r>
      <w:bookmarkEnd w:id="28"/>
      <w:bookmarkEnd w:id="29"/>
    </w:p>
    <w:p>
      <w:pPr>
        <w:adjustRightInd w:val="0"/>
        <w:snapToGrid/>
        <w:spacing w:before="156" w:beforeLines="50" w:beforeAutospacing="0" w:afterAutospacing="0" w:line="360" w:lineRule="auto"/>
        <w:ind w:left="0" w:leftChars="0" w:right="0" w:rightChars="0" w:firstLine="0" w:firstLineChars="0"/>
        <w:jc w:val="left"/>
        <w:outlineLvl w:val="1"/>
        <w:rPr>
          <w:rFonts w:ascii="Times New Roman" w:hAnsi="仿宋" w:eastAsia="宋体" w:cs="仿宋"/>
          <w:b/>
          <w:sz w:val="30"/>
          <w:szCs w:val="32"/>
        </w:rPr>
      </w:pPr>
      <w:bookmarkStart w:id="30" w:name="_Toc7156"/>
      <w:r>
        <w:rPr>
          <w:rFonts w:hint="eastAsia" w:ascii="Times New Roman" w:hAnsi="仿宋" w:eastAsia="宋体" w:cs="仿宋"/>
          <w:b/>
          <w:bCs/>
          <w:spacing w:val="-12"/>
          <w:sz w:val="30"/>
          <w:szCs w:val="32"/>
          <w:lang w:eastAsia="zh-CN"/>
        </w:rPr>
        <w:t>（</w:t>
      </w:r>
      <w:r>
        <w:rPr>
          <w:rFonts w:hint="eastAsia" w:ascii="Times New Roman" w:hAnsi="仿宋" w:eastAsia="宋体" w:cs="仿宋"/>
          <w:b/>
          <w:bCs/>
          <w:spacing w:val="-12"/>
          <w:sz w:val="30"/>
          <w:szCs w:val="32"/>
          <w:lang w:val="en-US" w:eastAsia="zh-CN"/>
        </w:rPr>
        <w:t>一）</w:t>
      </w:r>
      <w:r>
        <w:rPr>
          <w:rFonts w:hint="eastAsia" w:ascii="Times New Roman" w:hAnsi="仿宋" w:eastAsia="宋体" w:cs="仿宋"/>
          <w:b/>
          <w:bCs/>
          <w:spacing w:val="-12"/>
          <w:sz w:val="30"/>
          <w:szCs w:val="32"/>
        </w:rPr>
        <w:t>机构职能及组成</w:t>
      </w:r>
      <w:bookmarkEnd w:id="30"/>
    </w:p>
    <w:p>
      <w:pPr>
        <w:snapToGrid/>
        <w:spacing w:beforeAutospacing="0" w:afterAutospacing="0" w:line="360" w:lineRule="auto"/>
        <w:ind w:left="0" w:leftChars="0" w:firstLine="576" w:firstLineChars="200"/>
        <w:rPr>
          <w:rFonts w:ascii="Times New Roman" w:hAnsi="仿宋" w:eastAsia="宋体" w:cs="仿宋"/>
          <w:sz w:val="28"/>
          <w:szCs w:val="32"/>
        </w:rPr>
      </w:pPr>
      <w:r>
        <w:rPr>
          <w:rFonts w:hint="eastAsia" w:ascii="Times New Roman" w:hAnsi="仿宋" w:eastAsia="宋体" w:cs="仿宋"/>
          <w:spacing w:val="4"/>
          <w:sz w:val="28"/>
          <w:szCs w:val="32"/>
        </w:rPr>
        <w:t>石狮市应急管理局是石狮市政府工作部门正科级行政单位。下设石狮市安全生产执法大队、石狮市应急救援指挥中心、石狮市地震办公室4个事业单位。</w:t>
      </w:r>
      <w:r>
        <w:rPr>
          <w:rFonts w:hint="eastAsia" w:ascii="Times New Roman" w:hAnsi="仿宋" w:eastAsia="宋体" w:cs="仿宋"/>
          <w:spacing w:val="9"/>
          <w:sz w:val="28"/>
          <w:szCs w:val="32"/>
        </w:rPr>
        <w:t>石</w:t>
      </w:r>
      <w:r>
        <w:rPr>
          <w:rFonts w:hint="eastAsia" w:ascii="Times New Roman" w:hAnsi="仿宋" w:eastAsia="宋体" w:cs="仿宋"/>
          <w:spacing w:val="8"/>
          <w:sz w:val="28"/>
          <w:szCs w:val="32"/>
        </w:rPr>
        <w:t>狮市应急管理局部门的主要职责是：</w:t>
      </w:r>
    </w:p>
    <w:p>
      <w:pPr>
        <w:snapToGrid/>
        <w:spacing w:beforeAutospacing="0" w:afterAutospacing="0" w:line="360" w:lineRule="auto"/>
        <w:ind w:left="0" w:leftChars="0" w:firstLine="576" w:firstLineChars="200"/>
        <w:rPr>
          <w:rFonts w:ascii="Times New Roman" w:hAnsi="仿宋" w:eastAsia="宋体" w:cs="仿宋"/>
          <w:sz w:val="28"/>
          <w:szCs w:val="32"/>
        </w:rPr>
      </w:pPr>
      <w:r>
        <w:rPr>
          <w:rFonts w:hint="eastAsia" w:ascii="Times New Roman" w:hAnsi="仿宋" w:eastAsia="宋体" w:cs="仿宋"/>
          <w:spacing w:val="4"/>
          <w:sz w:val="28"/>
          <w:szCs w:val="32"/>
        </w:rPr>
        <w:t xml:space="preserve">( 1 </w:t>
      </w:r>
      <w:r>
        <w:rPr>
          <w:rFonts w:hint="eastAsia" w:ascii="Times New Roman" w:hAnsi="仿宋" w:eastAsia="宋体" w:cs="仿宋"/>
          <w:spacing w:val="3"/>
          <w:sz w:val="28"/>
          <w:szCs w:val="32"/>
        </w:rPr>
        <w:t>)</w:t>
      </w:r>
      <w:r>
        <w:rPr>
          <w:rFonts w:hint="eastAsia" w:ascii="Times New Roman" w:hAnsi="仿宋" w:eastAsia="宋体" w:cs="仿宋"/>
          <w:spacing w:val="3"/>
          <w:sz w:val="28"/>
          <w:szCs w:val="32"/>
          <w:lang w:val="en-US" w:eastAsia="zh-CN"/>
        </w:rPr>
        <w:t xml:space="preserve"> </w:t>
      </w:r>
      <w:r>
        <w:rPr>
          <w:rFonts w:hint="eastAsia" w:ascii="Times New Roman" w:hAnsi="仿宋" w:eastAsia="宋体" w:cs="仿宋"/>
          <w:spacing w:val="2"/>
          <w:sz w:val="28"/>
          <w:szCs w:val="32"/>
        </w:rPr>
        <w:t>负责应急管理工作，指导全市各级各部门应对安</w:t>
      </w:r>
      <w:r>
        <w:rPr>
          <w:rFonts w:hint="eastAsia" w:ascii="Times New Roman" w:hAnsi="仿宋" w:eastAsia="宋体" w:cs="仿宋"/>
          <w:spacing w:val="1"/>
          <w:sz w:val="28"/>
          <w:szCs w:val="32"/>
        </w:rPr>
        <w:t>全生产类、 自然灾害类等突发事件和综合</w:t>
      </w:r>
      <w:r>
        <w:rPr>
          <w:rFonts w:hint="eastAsia" w:ascii="Times New Roman" w:hAnsi="仿宋" w:eastAsia="宋体" w:cs="仿宋"/>
          <w:sz w:val="28"/>
          <w:szCs w:val="32"/>
        </w:rPr>
        <w:t>防灾减灾救灾工作。</w:t>
      </w:r>
      <w:r>
        <w:rPr>
          <w:rFonts w:hint="eastAsia" w:ascii="Times New Roman" w:hAnsi="仿宋" w:eastAsia="宋体" w:cs="仿宋"/>
          <w:spacing w:val="9"/>
          <w:sz w:val="28"/>
          <w:szCs w:val="32"/>
        </w:rPr>
        <w:t>牵头组织编制全市应急体系建设、安全生产和综合防灾减</w:t>
      </w:r>
      <w:r>
        <w:rPr>
          <w:rFonts w:hint="eastAsia" w:ascii="Times New Roman" w:hAnsi="仿宋" w:eastAsia="宋体" w:cs="仿宋"/>
          <w:spacing w:val="7"/>
          <w:sz w:val="28"/>
          <w:szCs w:val="32"/>
        </w:rPr>
        <w:t>灾</w:t>
      </w:r>
      <w:r>
        <w:rPr>
          <w:rFonts w:hint="eastAsia" w:ascii="Times New Roman" w:hAnsi="仿宋" w:eastAsia="宋体" w:cs="仿宋"/>
          <w:spacing w:val="8"/>
          <w:sz w:val="28"/>
          <w:szCs w:val="32"/>
        </w:rPr>
        <w:t>规划，并指导监督实施</w:t>
      </w:r>
      <w:r>
        <w:rPr>
          <w:rFonts w:hint="eastAsia" w:ascii="Times New Roman" w:hAnsi="仿宋" w:eastAsia="宋体" w:cs="仿宋"/>
          <w:spacing w:val="7"/>
          <w:sz w:val="28"/>
          <w:szCs w:val="32"/>
        </w:rPr>
        <w:t>。</w:t>
      </w:r>
    </w:p>
    <w:p>
      <w:pPr>
        <w:snapToGrid/>
        <w:spacing w:beforeAutospacing="0" w:afterAutospacing="0" w:line="360" w:lineRule="auto"/>
        <w:ind w:left="0" w:leftChars="0" w:right="250" w:firstLine="576" w:firstLineChars="200"/>
        <w:rPr>
          <w:rFonts w:ascii="Times New Roman" w:hAnsi="仿宋" w:eastAsia="宋体" w:cs="仿宋"/>
          <w:sz w:val="28"/>
          <w:szCs w:val="32"/>
        </w:rPr>
      </w:pPr>
      <w:r>
        <w:rPr>
          <w:rFonts w:hint="eastAsia" w:ascii="Times New Roman" w:hAnsi="仿宋" w:eastAsia="宋体" w:cs="仿宋"/>
          <w:spacing w:val="4"/>
          <w:sz w:val="28"/>
          <w:szCs w:val="32"/>
        </w:rPr>
        <w:t xml:space="preserve">( 2 </w:t>
      </w:r>
      <w:r>
        <w:rPr>
          <w:rFonts w:hint="eastAsia" w:ascii="Times New Roman" w:hAnsi="仿宋" w:eastAsia="宋体" w:cs="仿宋"/>
          <w:spacing w:val="3"/>
          <w:sz w:val="28"/>
          <w:szCs w:val="32"/>
        </w:rPr>
        <w:t>)</w:t>
      </w:r>
      <w:r>
        <w:rPr>
          <w:rFonts w:hint="eastAsia" w:ascii="Times New Roman" w:hAnsi="仿宋" w:eastAsia="宋体" w:cs="仿宋"/>
          <w:spacing w:val="2"/>
          <w:sz w:val="28"/>
          <w:szCs w:val="32"/>
        </w:rPr>
        <w:t xml:space="preserve"> 负责安全生产综合监督管理，负责烟花爆竹行业</w:t>
      </w:r>
      <w:r>
        <w:rPr>
          <w:rFonts w:hint="eastAsia" w:ascii="Times New Roman" w:hAnsi="仿宋" w:eastAsia="宋体" w:cs="仿宋"/>
          <w:spacing w:val="16"/>
          <w:sz w:val="28"/>
          <w:szCs w:val="32"/>
        </w:rPr>
        <w:t>安全</w:t>
      </w:r>
      <w:r>
        <w:rPr>
          <w:rFonts w:hint="eastAsia" w:ascii="Times New Roman" w:hAnsi="仿宋" w:eastAsia="宋体" w:cs="仿宋"/>
          <w:spacing w:val="9"/>
          <w:sz w:val="28"/>
          <w:szCs w:val="32"/>
        </w:rPr>
        <w:t>生</w:t>
      </w:r>
      <w:r>
        <w:rPr>
          <w:rFonts w:hint="eastAsia" w:ascii="Times New Roman" w:hAnsi="仿宋" w:eastAsia="宋体" w:cs="仿宋"/>
          <w:spacing w:val="8"/>
          <w:sz w:val="28"/>
          <w:szCs w:val="32"/>
        </w:rPr>
        <w:t>产监督管理工作，负责危险化学品安全监督管理综合</w:t>
      </w:r>
      <w:r>
        <w:rPr>
          <w:rFonts w:hint="eastAsia" w:ascii="Times New Roman" w:hAnsi="仿宋" w:eastAsia="宋体" w:cs="仿宋"/>
          <w:spacing w:val="16"/>
          <w:sz w:val="28"/>
          <w:szCs w:val="32"/>
        </w:rPr>
        <w:t>工</w:t>
      </w:r>
      <w:r>
        <w:rPr>
          <w:rFonts w:hint="eastAsia" w:ascii="Times New Roman" w:hAnsi="仿宋" w:eastAsia="宋体" w:cs="仿宋"/>
          <w:spacing w:val="15"/>
          <w:sz w:val="28"/>
          <w:szCs w:val="32"/>
        </w:rPr>
        <w:t>作</w:t>
      </w:r>
      <w:r>
        <w:rPr>
          <w:rFonts w:hint="eastAsia" w:ascii="Times New Roman" w:hAnsi="仿宋" w:eastAsia="宋体" w:cs="仿宋"/>
          <w:spacing w:val="8"/>
          <w:sz w:val="28"/>
          <w:szCs w:val="32"/>
        </w:rPr>
        <w:t>。会同市商务局负责内贸行业安全生产监督管理。</w:t>
      </w:r>
    </w:p>
    <w:p>
      <w:pPr>
        <w:snapToGrid/>
        <w:spacing w:beforeAutospacing="0" w:afterAutospacing="0" w:line="360" w:lineRule="auto"/>
        <w:ind w:left="0" w:leftChars="0" w:right="252" w:firstLine="576" w:firstLineChars="200"/>
        <w:rPr>
          <w:rFonts w:ascii="Times New Roman" w:hAnsi="仿宋" w:eastAsia="宋体" w:cs="仿宋"/>
          <w:sz w:val="28"/>
          <w:szCs w:val="32"/>
        </w:rPr>
      </w:pPr>
      <w:r>
        <w:rPr>
          <w:rFonts w:hint="eastAsia" w:ascii="Times New Roman" w:hAnsi="仿宋" w:eastAsia="宋体" w:cs="仿宋"/>
          <w:spacing w:val="4"/>
          <w:sz w:val="28"/>
          <w:szCs w:val="32"/>
        </w:rPr>
        <w:t xml:space="preserve">( 3 </w:t>
      </w:r>
      <w:r>
        <w:rPr>
          <w:rFonts w:hint="eastAsia" w:ascii="Times New Roman" w:hAnsi="仿宋" w:eastAsia="宋体" w:cs="仿宋"/>
          <w:spacing w:val="3"/>
          <w:sz w:val="28"/>
          <w:szCs w:val="32"/>
        </w:rPr>
        <w:t>)</w:t>
      </w:r>
      <w:r>
        <w:rPr>
          <w:rFonts w:hint="eastAsia" w:ascii="Times New Roman" w:hAnsi="仿宋" w:eastAsia="宋体" w:cs="仿宋"/>
          <w:spacing w:val="2"/>
          <w:sz w:val="28"/>
          <w:szCs w:val="32"/>
        </w:rPr>
        <w:t xml:space="preserve"> 指导应急预案体系建设，组织实施事故灾难和自</w:t>
      </w:r>
      <w:r>
        <w:rPr>
          <w:rFonts w:hint="eastAsia" w:ascii="Times New Roman" w:hAnsi="仿宋" w:eastAsia="宋体" w:cs="仿宋"/>
          <w:spacing w:val="16"/>
          <w:sz w:val="28"/>
          <w:szCs w:val="32"/>
        </w:rPr>
        <w:t>然</w:t>
      </w:r>
      <w:r>
        <w:rPr>
          <w:rFonts w:hint="eastAsia" w:ascii="Times New Roman" w:hAnsi="仿宋" w:eastAsia="宋体" w:cs="仿宋"/>
          <w:spacing w:val="15"/>
          <w:sz w:val="28"/>
          <w:szCs w:val="32"/>
        </w:rPr>
        <w:t>灾</w:t>
      </w:r>
      <w:r>
        <w:rPr>
          <w:rFonts w:hint="eastAsia" w:ascii="Times New Roman" w:hAnsi="仿宋" w:eastAsia="宋体" w:cs="仿宋"/>
          <w:spacing w:val="8"/>
          <w:sz w:val="28"/>
          <w:szCs w:val="32"/>
        </w:rPr>
        <w:t>害分级应对制度，组织编制市级总体应急预案和相关的</w:t>
      </w:r>
      <w:r>
        <w:rPr>
          <w:rFonts w:hint="eastAsia" w:ascii="Times New Roman" w:hAnsi="仿宋" w:eastAsia="宋体" w:cs="仿宋"/>
          <w:spacing w:val="4"/>
          <w:sz w:val="28"/>
          <w:szCs w:val="32"/>
        </w:rPr>
        <w:t>安全生产类、</w:t>
      </w:r>
      <w:r>
        <w:rPr>
          <w:rFonts w:hint="eastAsia" w:ascii="Times New Roman" w:hAnsi="仿宋" w:eastAsia="宋体" w:cs="仿宋"/>
          <w:spacing w:val="2"/>
          <w:sz w:val="28"/>
          <w:szCs w:val="32"/>
        </w:rPr>
        <w:t>自然灾害类专项预案。综合协调应急预案衔接</w:t>
      </w:r>
      <w:r>
        <w:rPr>
          <w:rFonts w:hint="eastAsia" w:ascii="Times New Roman" w:hAnsi="仿宋" w:eastAsia="宋体" w:cs="仿宋"/>
          <w:spacing w:val="16"/>
          <w:sz w:val="28"/>
          <w:szCs w:val="32"/>
        </w:rPr>
        <w:t>工</w:t>
      </w:r>
      <w:r>
        <w:rPr>
          <w:rFonts w:hint="eastAsia" w:ascii="Times New Roman" w:hAnsi="仿宋" w:eastAsia="宋体" w:cs="仿宋"/>
          <w:spacing w:val="14"/>
          <w:sz w:val="28"/>
          <w:szCs w:val="32"/>
        </w:rPr>
        <w:t>作</w:t>
      </w:r>
      <w:r>
        <w:rPr>
          <w:rFonts w:hint="eastAsia" w:ascii="Times New Roman" w:hAnsi="仿宋" w:eastAsia="宋体" w:cs="仿宋"/>
          <w:spacing w:val="8"/>
          <w:sz w:val="28"/>
          <w:szCs w:val="32"/>
        </w:rPr>
        <w:t>。组织开展预案演练，推动应急避难设施建设。</w:t>
      </w:r>
    </w:p>
    <w:p>
      <w:pPr>
        <w:snapToGrid/>
        <w:spacing w:beforeAutospacing="0" w:afterAutospacing="0" w:line="360" w:lineRule="auto"/>
        <w:ind w:left="0" w:leftChars="0" w:firstLine="576" w:firstLineChars="200"/>
        <w:rPr>
          <w:rFonts w:ascii="Times New Roman" w:hAnsi="仿宋" w:eastAsia="宋体" w:cs="仿宋"/>
          <w:sz w:val="28"/>
          <w:szCs w:val="32"/>
        </w:rPr>
      </w:pPr>
      <w:r>
        <w:rPr>
          <w:rFonts w:hint="eastAsia" w:ascii="Times New Roman" w:hAnsi="仿宋" w:eastAsia="宋体" w:cs="仿宋"/>
          <w:spacing w:val="4"/>
          <w:sz w:val="28"/>
          <w:szCs w:val="32"/>
        </w:rPr>
        <w:t xml:space="preserve">( 4 </w:t>
      </w:r>
      <w:r>
        <w:rPr>
          <w:rFonts w:hint="eastAsia" w:ascii="Times New Roman" w:hAnsi="仿宋" w:eastAsia="宋体" w:cs="仿宋"/>
          <w:spacing w:val="3"/>
          <w:sz w:val="28"/>
          <w:szCs w:val="32"/>
        </w:rPr>
        <w:t>)</w:t>
      </w:r>
      <w:r>
        <w:rPr>
          <w:rFonts w:hint="eastAsia" w:ascii="Times New Roman" w:hAnsi="仿宋" w:eastAsia="宋体" w:cs="仿宋"/>
          <w:spacing w:val="2"/>
          <w:sz w:val="28"/>
          <w:szCs w:val="32"/>
        </w:rPr>
        <w:t xml:space="preserve"> 按要求建立统一的应急管理信息系统，负责信息</w:t>
      </w:r>
      <w:r>
        <w:rPr>
          <w:rFonts w:hint="eastAsia" w:ascii="Times New Roman" w:hAnsi="仿宋" w:eastAsia="宋体" w:cs="仿宋"/>
          <w:spacing w:val="12"/>
          <w:sz w:val="28"/>
          <w:szCs w:val="32"/>
        </w:rPr>
        <w:t>传输渠</w:t>
      </w:r>
      <w:r>
        <w:rPr>
          <w:rFonts w:hint="eastAsia" w:ascii="Times New Roman" w:hAnsi="仿宋" w:eastAsia="宋体" w:cs="仿宋"/>
          <w:spacing w:val="6"/>
          <w:sz w:val="28"/>
          <w:szCs w:val="32"/>
        </w:rPr>
        <w:t>道的规划和布局，指导落实监测预警和灾情报告制度，</w:t>
      </w:r>
      <w:r>
        <w:rPr>
          <w:rFonts w:hint="eastAsia" w:ascii="Times New Roman" w:hAnsi="仿宋" w:eastAsia="宋体" w:cs="仿宋"/>
          <w:spacing w:val="12"/>
          <w:sz w:val="28"/>
          <w:szCs w:val="32"/>
        </w:rPr>
        <w:t>健全自</w:t>
      </w:r>
      <w:r>
        <w:rPr>
          <w:rFonts w:hint="eastAsia" w:ascii="Times New Roman" w:hAnsi="仿宋" w:eastAsia="宋体" w:cs="仿宋"/>
          <w:spacing w:val="6"/>
          <w:sz w:val="28"/>
          <w:szCs w:val="32"/>
        </w:rPr>
        <w:t>然灾害信息资源获取和共享机制，依法统一发布灾情。</w:t>
      </w:r>
    </w:p>
    <w:p>
      <w:pPr>
        <w:snapToGrid/>
        <w:spacing w:beforeAutospacing="0" w:afterAutospacing="0" w:line="360" w:lineRule="auto"/>
        <w:ind w:left="0" w:leftChars="0" w:right="249" w:firstLine="536" w:firstLineChars="200"/>
        <w:rPr>
          <w:rFonts w:ascii="Times New Roman" w:hAnsi="仿宋" w:eastAsia="宋体" w:cs="仿宋"/>
          <w:sz w:val="28"/>
          <w:szCs w:val="32"/>
        </w:rPr>
      </w:pPr>
      <w:r>
        <w:rPr>
          <w:rFonts w:hint="eastAsia" w:ascii="Times New Roman" w:hAnsi="仿宋" w:eastAsia="宋体" w:cs="仿宋"/>
          <w:spacing w:val="-6"/>
          <w:sz w:val="28"/>
          <w:szCs w:val="32"/>
        </w:rPr>
        <w:t xml:space="preserve">( </w:t>
      </w:r>
      <w:r>
        <w:rPr>
          <w:rFonts w:hint="eastAsia" w:ascii="Times New Roman" w:hAnsi="仿宋" w:eastAsia="宋体" w:cs="仿宋"/>
          <w:spacing w:val="-3"/>
          <w:sz w:val="28"/>
          <w:szCs w:val="32"/>
        </w:rPr>
        <w:t>5 ) 组织指导协调安全生产类、 自然灾害类等突发事</w:t>
      </w:r>
      <w:r>
        <w:rPr>
          <w:rFonts w:hint="eastAsia" w:ascii="Times New Roman" w:hAnsi="仿宋" w:eastAsia="宋体" w:cs="仿宋"/>
          <w:spacing w:val="12"/>
          <w:sz w:val="28"/>
          <w:szCs w:val="32"/>
        </w:rPr>
        <w:t>件</w:t>
      </w:r>
      <w:r>
        <w:rPr>
          <w:rFonts w:hint="eastAsia" w:ascii="Times New Roman" w:hAnsi="仿宋" w:eastAsia="宋体" w:cs="仿宋"/>
          <w:spacing w:val="9"/>
          <w:sz w:val="28"/>
          <w:szCs w:val="32"/>
        </w:rPr>
        <w:t>应急救援，承担市级应对灾害指挥部工作，综合研判突发</w:t>
      </w:r>
      <w:r>
        <w:rPr>
          <w:rFonts w:hint="eastAsia" w:ascii="Times New Roman" w:hAnsi="仿宋" w:eastAsia="宋体" w:cs="仿宋"/>
          <w:spacing w:val="10"/>
          <w:sz w:val="28"/>
          <w:szCs w:val="32"/>
        </w:rPr>
        <w:t>事</w:t>
      </w:r>
      <w:r>
        <w:rPr>
          <w:rFonts w:hint="eastAsia" w:ascii="Times New Roman" w:hAnsi="仿宋" w:eastAsia="宋体" w:cs="仿宋"/>
          <w:spacing w:val="9"/>
          <w:sz w:val="28"/>
          <w:szCs w:val="32"/>
        </w:rPr>
        <w:t>件发展态势并提出应对建议，协助市委、市政府指定的负责同志协调组织灾害应急处置工作</w:t>
      </w:r>
      <w:r>
        <w:rPr>
          <w:rFonts w:hint="eastAsia" w:ascii="Times New Roman" w:hAnsi="仿宋" w:eastAsia="宋体" w:cs="仿宋"/>
          <w:spacing w:val="6"/>
          <w:sz w:val="28"/>
          <w:szCs w:val="32"/>
        </w:rPr>
        <w:t>。</w:t>
      </w:r>
    </w:p>
    <w:p>
      <w:pPr>
        <w:snapToGrid/>
        <w:spacing w:beforeAutospacing="0" w:afterAutospacing="0" w:line="360" w:lineRule="auto"/>
        <w:ind w:left="0" w:leftChars="0" w:right="249" w:firstLine="536" w:firstLineChars="200"/>
        <w:rPr>
          <w:rFonts w:ascii="Times New Roman" w:hAnsi="仿宋" w:eastAsia="宋体" w:cs="仿宋"/>
          <w:spacing w:val="8"/>
          <w:sz w:val="28"/>
          <w:szCs w:val="32"/>
        </w:rPr>
      </w:pPr>
      <w:r>
        <w:rPr>
          <w:rFonts w:hint="eastAsia" w:ascii="Times New Roman" w:hAnsi="仿宋" w:eastAsia="宋体" w:cs="仿宋"/>
          <w:spacing w:val="-6"/>
          <w:sz w:val="28"/>
          <w:szCs w:val="32"/>
        </w:rPr>
        <w:t>( 6</w:t>
      </w:r>
      <w:r>
        <w:rPr>
          <w:rFonts w:hint="eastAsia" w:ascii="Times New Roman" w:hAnsi="仿宋" w:eastAsia="宋体" w:cs="仿宋"/>
          <w:spacing w:val="-3"/>
          <w:sz w:val="28"/>
          <w:szCs w:val="32"/>
        </w:rPr>
        <w:t xml:space="preserve"> )</w:t>
      </w:r>
      <w:r>
        <w:rPr>
          <w:rFonts w:hint="eastAsia" w:ascii="Times New Roman" w:hAnsi="仿宋" w:eastAsia="宋体" w:cs="仿宋"/>
          <w:spacing w:val="-3"/>
          <w:sz w:val="28"/>
          <w:szCs w:val="32"/>
          <w:lang w:val="en-US" w:eastAsia="zh-CN"/>
        </w:rPr>
        <w:t xml:space="preserve"> </w:t>
      </w:r>
      <w:r>
        <w:rPr>
          <w:rFonts w:hint="eastAsia" w:ascii="Times New Roman" w:hAnsi="仿宋" w:eastAsia="宋体" w:cs="仿宋"/>
          <w:spacing w:val="2"/>
          <w:sz w:val="28"/>
          <w:szCs w:val="32"/>
        </w:rPr>
        <w:t>统一协调指挥各类应急专业队伍，建立应急协调</w:t>
      </w:r>
      <w:r>
        <w:rPr>
          <w:rFonts w:hint="eastAsia" w:ascii="Times New Roman" w:hAnsi="仿宋" w:eastAsia="宋体" w:cs="仿宋"/>
          <w:spacing w:val="9"/>
          <w:sz w:val="28"/>
          <w:szCs w:val="32"/>
        </w:rPr>
        <w:t>联动机制，推进指挥平合对接，衔接解放军、武警部队和</w:t>
      </w:r>
      <w:r>
        <w:rPr>
          <w:rFonts w:hint="eastAsia" w:ascii="Times New Roman" w:hAnsi="仿宋" w:eastAsia="宋体" w:cs="仿宋"/>
          <w:spacing w:val="8"/>
          <w:sz w:val="28"/>
          <w:szCs w:val="32"/>
        </w:rPr>
        <w:t>民</w:t>
      </w:r>
      <w:r>
        <w:rPr>
          <w:rFonts w:hint="eastAsia" w:ascii="Times New Roman" w:hAnsi="仿宋" w:eastAsia="宋体" w:cs="仿宋"/>
          <w:spacing w:val="11"/>
          <w:sz w:val="28"/>
          <w:szCs w:val="32"/>
        </w:rPr>
        <w:t>兵</w:t>
      </w:r>
      <w:r>
        <w:rPr>
          <w:rFonts w:hint="eastAsia" w:ascii="Times New Roman" w:hAnsi="仿宋" w:eastAsia="宋体" w:cs="仿宋"/>
          <w:spacing w:val="8"/>
          <w:sz w:val="28"/>
          <w:szCs w:val="32"/>
        </w:rPr>
        <w:t>预备役参与应急救援工作。</w:t>
      </w:r>
    </w:p>
    <w:p>
      <w:pPr>
        <w:snapToGrid/>
        <w:spacing w:beforeAutospacing="0" w:afterAutospacing="0" w:line="360" w:lineRule="auto"/>
        <w:ind w:left="0" w:leftChars="0" w:right="249" w:firstLine="536" w:firstLineChars="200"/>
        <w:rPr>
          <w:rFonts w:ascii="Times New Roman" w:hAnsi="仿宋" w:eastAsia="宋体" w:cs="仿宋"/>
          <w:sz w:val="28"/>
          <w:szCs w:val="32"/>
        </w:rPr>
      </w:pPr>
      <w:r>
        <w:rPr>
          <w:rFonts w:hint="eastAsia" w:ascii="Times New Roman" w:hAnsi="仿宋" w:eastAsia="宋体" w:cs="仿宋"/>
          <w:spacing w:val="-6"/>
          <w:sz w:val="28"/>
          <w:szCs w:val="32"/>
        </w:rPr>
        <w:t xml:space="preserve">( </w:t>
      </w:r>
      <w:r>
        <w:rPr>
          <w:rFonts w:hint="eastAsia" w:ascii="Times New Roman" w:hAnsi="仿宋" w:eastAsia="宋体" w:cs="仿宋"/>
          <w:spacing w:val="-3"/>
          <w:sz w:val="28"/>
          <w:szCs w:val="32"/>
        </w:rPr>
        <w:t>7 )</w:t>
      </w:r>
      <w:r>
        <w:rPr>
          <w:rFonts w:hint="eastAsia" w:ascii="Times New Roman" w:hAnsi="仿宋" w:eastAsia="宋体" w:cs="仿宋"/>
          <w:spacing w:val="-3"/>
          <w:sz w:val="28"/>
          <w:szCs w:val="32"/>
          <w:lang w:val="en-US" w:eastAsia="zh-CN"/>
        </w:rPr>
        <w:t xml:space="preserve"> </w:t>
      </w:r>
      <w:r>
        <w:rPr>
          <w:rFonts w:hint="eastAsia" w:ascii="Times New Roman" w:hAnsi="仿宋" w:eastAsia="宋体" w:cs="仿宋"/>
          <w:spacing w:val="15"/>
          <w:sz w:val="28"/>
          <w:szCs w:val="32"/>
        </w:rPr>
        <w:t>统筹应急救援力量建设，负责组织抗洪抢险、</w:t>
      </w:r>
      <w:r>
        <w:rPr>
          <w:rFonts w:hint="eastAsia" w:ascii="Times New Roman" w:hAnsi="仿宋" w:eastAsia="宋体" w:cs="仿宋"/>
          <w:spacing w:val="13"/>
          <w:sz w:val="28"/>
          <w:szCs w:val="32"/>
        </w:rPr>
        <w:t>地</w:t>
      </w:r>
      <w:r>
        <w:rPr>
          <w:rFonts w:hint="eastAsia" w:ascii="Times New Roman" w:hAnsi="仿宋" w:eastAsia="宋体" w:cs="仿宋"/>
          <w:sz w:val="28"/>
          <w:szCs w:val="32"/>
        </w:rPr>
        <w:t xml:space="preserve"> </w:t>
      </w:r>
      <w:r>
        <w:rPr>
          <w:rFonts w:hint="eastAsia" w:ascii="Times New Roman" w:hAnsi="仿宋" w:eastAsia="宋体" w:cs="仿宋"/>
          <w:spacing w:val="9"/>
          <w:sz w:val="28"/>
          <w:szCs w:val="32"/>
        </w:rPr>
        <w:t>质灾害救援、生产安全事故救援等专业应急救援力量建设</w:t>
      </w:r>
      <w:r>
        <w:rPr>
          <w:rFonts w:hint="eastAsia" w:ascii="Times New Roman" w:hAnsi="仿宋" w:eastAsia="宋体" w:cs="仿宋"/>
          <w:spacing w:val="7"/>
          <w:sz w:val="28"/>
          <w:szCs w:val="32"/>
        </w:rPr>
        <w:t>，</w:t>
      </w:r>
      <w:r>
        <w:rPr>
          <w:rFonts w:hint="eastAsia" w:ascii="Times New Roman" w:hAnsi="仿宋" w:eastAsia="宋体" w:cs="仿宋"/>
          <w:spacing w:val="9"/>
          <w:sz w:val="28"/>
          <w:szCs w:val="32"/>
        </w:rPr>
        <w:t>协调推进消防、森林火灾扑救、地震救援等专业应急救援</w:t>
      </w:r>
      <w:r>
        <w:rPr>
          <w:rFonts w:hint="eastAsia" w:ascii="Times New Roman" w:hAnsi="仿宋" w:eastAsia="宋体" w:cs="仿宋"/>
          <w:spacing w:val="7"/>
          <w:sz w:val="28"/>
          <w:szCs w:val="32"/>
        </w:rPr>
        <w:t>力</w:t>
      </w:r>
      <w:r>
        <w:rPr>
          <w:rFonts w:hint="eastAsia" w:ascii="Times New Roman" w:hAnsi="仿宋" w:eastAsia="宋体" w:cs="仿宋"/>
          <w:spacing w:val="9"/>
          <w:sz w:val="28"/>
          <w:szCs w:val="32"/>
        </w:rPr>
        <w:t>量建设，指导全市各级各部门及社会应急救援力量建设。</w:t>
      </w:r>
    </w:p>
    <w:p>
      <w:pPr>
        <w:snapToGrid/>
        <w:spacing w:beforeAutospacing="0" w:afterAutospacing="0" w:line="360" w:lineRule="auto"/>
        <w:ind w:left="0" w:leftChars="0" w:right="81" w:firstLine="536" w:firstLineChars="200"/>
        <w:rPr>
          <w:rFonts w:ascii="Times New Roman" w:hAnsi="仿宋" w:eastAsia="宋体" w:cs="仿宋"/>
          <w:sz w:val="28"/>
          <w:szCs w:val="32"/>
        </w:rPr>
      </w:pPr>
      <w:r>
        <w:rPr>
          <w:rFonts w:hint="eastAsia" w:ascii="Times New Roman" w:hAnsi="仿宋" w:eastAsia="宋体" w:cs="仿宋"/>
          <w:spacing w:val="-6"/>
          <w:sz w:val="28"/>
          <w:szCs w:val="32"/>
        </w:rPr>
        <w:t xml:space="preserve">( </w:t>
      </w:r>
      <w:r>
        <w:rPr>
          <w:rFonts w:hint="eastAsia" w:ascii="Times New Roman" w:hAnsi="仿宋" w:eastAsia="宋体" w:cs="仿宋"/>
          <w:spacing w:val="-3"/>
          <w:sz w:val="28"/>
          <w:szCs w:val="32"/>
        </w:rPr>
        <w:t>8 )</w:t>
      </w:r>
      <w:r>
        <w:rPr>
          <w:rFonts w:hint="eastAsia" w:ascii="Times New Roman" w:hAnsi="仿宋" w:eastAsia="宋体" w:cs="仿宋"/>
          <w:spacing w:val="-3"/>
          <w:sz w:val="28"/>
          <w:szCs w:val="32"/>
          <w:lang w:val="en-US" w:eastAsia="zh-CN"/>
        </w:rPr>
        <w:t xml:space="preserve"> </w:t>
      </w:r>
      <w:r>
        <w:rPr>
          <w:rFonts w:hint="eastAsia" w:ascii="Times New Roman" w:hAnsi="仿宋" w:eastAsia="宋体" w:cs="仿宋"/>
          <w:spacing w:val="8"/>
          <w:sz w:val="28"/>
          <w:szCs w:val="32"/>
        </w:rPr>
        <w:t>指导协调消防工作，指导各级各部门落实消防监</w:t>
      </w:r>
      <w:r>
        <w:rPr>
          <w:rFonts w:hint="eastAsia" w:ascii="Times New Roman" w:hAnsi="仿宋" w:eastAsia="宋体" w:cs="仿宋"/>
          <w:spacing w:val="13"/>
          <w:sz w:val="28"/>
          <w:szCs w:val="32"/>
        </w:rPr>
        <w:t>督</w:t>
      </w:r>
      <w:r>
        <w:rPr>
          <w:rFonts w:hint="eastAsia" w:ascii="Times New Roman" w:hAnsi="仿宋" w:eastAsia="宋体" w:cs="仿宋"/>
          <w:spacing w:val="8"/>
          <w:sz w:val="28"/>
          <w:szCs w:val="32"/>
        </w:rPr>
        <w:t>、火灾预防、火灾扑救等工作。</w:t>
      </w:r>
    </w:p>
    <w:p>
      <w:pPr>
        <w:snapToGrid/>
        <w:spacing w:beforeAutospacing="0" w:afterAutospacing="0" w:line="360" w:lineRule="auto"/>
        <w:ind w:left="0" w:leftChars="0" w:right="83" w:firstLine="536" w:firstLineChars="200"/>
        <w:rPr>
          <w:rFonts w:ascii="Times New Roman" w:hAnsi="仿宋" w:eastAsia="宋体" w:cs="仿宋"/>
          <w:sz w:val="28"/>
          <w:szCs w:val="32"/>
        </w:rPr>
      </w:pPr>
      <w:r>
        <w:rPr>
          <w:rFonts w:hint="eastAsia" w:ascii="Times New Roman" w:hAnsi="仿宋" w:eastAsia="宋体" w:cs="仿宋"/>
          <w:spacing w:val="-6"/>
          <w:sz w:val="28"/>
          <w:szCs w:val="32"/>
        </w:rPr>
        <w:t>( 9</w:t>
      </w:r>
      <w:r>
        <w:rPr>
          <w:rFonts w:hint="eastAsia" w:ascii="Times New Roman" w:hAnsi="仿宋" w:eastAsia="宋体" w:cs="仿宋"/>
          <w:spacing w:val="-3"/>
          <w:sz w:val="28"/>
          <w:szCs w:val="32"/>
        </w:rPr>
        <w:t xml:space="preserve"> )</w:t>
      </w:r>
      <w:r>
        <w:rPr>
          <w:rFonts w:hint="eastAsia" w:ascii="Times New Roman" w:hAnsi="仿宋" w:eastAsia="宋体" w:cs="仿宋"/>
          <w:spacing w:val="-3"/>
          <w:sz w:val="28"/>
          <w:szCs w:val="32"/>
          <w:lang w:val="en-US" w:eastAsia="zh-CN"/>
        </w:rPr>
        <w:t xml:space="preserve"> </w:t>
      </w:r>
      <w:r>
        <w:rPr>
          <w:rFonts w:hint="eastAsia" w:ascii="Times New Roman" w:hAnsi="仿宋" w:eastAsia="宋体" w:cs="仿宋"/>
          <w:spacing w:val="15"/>
          <w:sz w:val="28"/>
          <w:szCs w:val="32"/>
        </w:rPr>
        <w:t>指导协调森林火灾、水旱灾害、地震和地质灾</w:t>
      </w:r>
      <w:r>
        <w:rPr>
          <w:rFonts w:hint="eastAsia" w:ascii="Times New Roman" w:hAnsi="仿宋" w:eastAsia="宋体" w:cs="仿宋"/>
          <w:spacing w:val="13"/>
          <w:sz w:val="28"/>
          <w:szCs w:val="32"/>
        </w:rPr>
        <w:t>害</w:t>
      </w:r>
      <w:r>
        <w:rPr>
          <w:rFonts w:hint="eastAsia" w:ascii="Times New Roman" w:hAnsi="仿宋" w:eastAsia="宋体" w:cs="仿宋"/>
          <w:spacing w:val="16"/>
          <w:sz w:val="28"/>
          <w:szCs w:val="32"/>
        </w:rPr>
        <w:t>等</w:t>
      </w:r>
      <w:r>
        <w:rPr>
          <w:rFonts w:hint="eastAsia" w:ascii="Times New Roman" w:hAnsi="仿宋" w:eastAsia="宋体" w:cs="仿宋"/>
          <w:spacing w:val="8"/>
          <w:sz w:val="28"/>
          <w:szCs w:val="32"/>
        </w:rPr>
        <w:t>防治工作，负责自然灾害综合监测预警工作，指导开展自</w:t>
      </w:r>
      <w:r>
        <w:rPr>
          <w:rFonts w:hint="eastAsia" w:ascii="Times New Roman" w:hAnsi="仿宋" w:eastAsia="宋体" w:cs="仿宋"/>
          <w:spacing w:val="12"/>
          <w:sz w:val="28"/>
          <w:szCs w:val="32"/>
        </w:rPr>
        <w:t>然</w:t>
      </w:r>
      <w:r>
        <w:rPr>
          <w:rFonts w:hint="eastAsia" w:ascii="Times New Roman" w:hAnsi="仿宋" w:eastAsia="宋体" w:cs="仿宋"/>
          <w:spacing w:val="8"/>
          <w:sz w:val="28"/>
          <w:szCs w:val="32"/>
        </w:rPr>
        <w:t>灾</w:t>
      </w:r>
      <w:r>
        <w:rPr>
          <w:rFonts w:hint="eastAsia" w:ascii="Times New Roman" w:hAnsi="仿宋" w:eastAsia="宋体" w:cs="仿宋"/>
          <w:spacing w:val="6"/>
          <w:sz w:val="28"/>
          <w:szCs w:val="32"/>
        </w:rPr>
        <w:t>害综合风险评估工作。</w:t>
      </w:r>
    </w:p>
    <w:p>
      <w:pPr>
        <w:snapToGrid/>
        <w:spacing w:beforeAutospacing="0" w:afterAutospacing="0" w:line="360" w:lineRule="auto"/>
        <w:ind w:left="0" w:leftChars="0" w:right="81" w:firstLine="536" w:firstLineChars="200"/>
        <w:rPr>
          <w:rFonts w:ascii="Times New Roman" w:hAnsi="仿宋" w:eastAsia="宋体" w:cs="仿宋"/>
          <w:sz w:val="28"/>
          <w:szCs w:val="32"/>
        </w:rPr>
      </w:pPr>
      <w:r>
        <w:rPr>
          <w:rFonts w:hint="eastAsia" w:ascii="Times New Roman" w:hAnsi="仿宋" w:eastAsia="宋体" w:cs="仿宋"/>
          <w:spacing w:val="-6"/>
          <w:sz w:val="28"/>
          <w:szCs w:val="32"/>
        </w:rPr>
        <w:t xml:space="preserve">( </w:t>
      </w:r>
      <w:r>
        <w:rPr>
          <w:rFonts w:hint="eastAsia" w:ascii="Times New Roman" w:hAnsi="仿宋" w:eastAsia="宋体" w:cs="仿宋"/>
          <w:spacing w:val="-3"/>
          <w:sz w:val="28"/>
          <w:szCs w:val="32"/>
        </w:rPr>
        <w:t>10 )</w:t>
      </w:r>
      <w:r>
        <w:rPr>
          <w:rFonts w:hint="eastAsia" w:ascii="Times New Roman" w:hAnsi="仿宋" w:eastAsia="宋体" w:cs="仿宋"/>
          <w:spacing w:val="-3"/>
          <w:sz w:val="28"/>
          <w:szCs w:val="32"/>
          <w:lang w:val="en-US" w:eastAsia="zh-CN"/>
        </w:rPr>
        <w:t xml:space="preserve"> </w:t>
      </w:r>
      <w:r>
        <w:rPr>
          <w:rFonts w:hint="eastAsia" w:ascii="Times New Roman" w:hAnsi="仿宋" w:eastAsia="宋体" w:cs="仿宋"/>
          <w:spacing w:val="15"/>
          <w:sz w:val="28"/>
          <w:szCs w:val="32"/>
        </w:rPr>
        <w:t>组织协调灾害救助工作，组织指导灾情核查、</w:t>
      </w:r>
      <w:r>
        <w:rPr>
          <w:rFonts w:hint="eastAsia" w:ascii="Times New Roman" w:hAnsi="仿宋" w:eastAsia="宋体" w:cs="仿宋"/>
          <w:spacing w:val="13"/>
          <w:sz w:val="28"/>
          <w:szCs w:val="32"/>
        </w:rPr>
        <w:t>损</w:t>
      </w:r>
      <w:r>
        <w:rPr>
          <w:rFonts w:hint="eastAsia" w:ascii="Times New Roman" w:hAnsi="仿宋" w:eastAsia="宋体" w:cs="仿宋"/>
          <w:spacing w:val="16"/>
          <w:sz w:val="28"/>
          <w:szCs w:val="32"/>
        </w:rPr>
        <w:t>失</w:t>
      </w:r>
      <w:r>
        <w:rPr>
          <w:rFonts w:hint="eastAsia" w:ascii="Times New Roman" w:hAnsi="仿宋" w:eastAsia="宋体" w:cs="仿宋"/>
          <w:spacing w:val="15"/>
          <w:sz w:val="28"/>
          <w:szCs w:val="32"/>
        </w:rPr>
        <w:t>评</w:t>
      </w:r>
      <w:r>
        <w:rPr>
          <w:rFonts w:hint="eastAsia" w:ascii="Times New Roman" w:hAnsi="仿宋" w:eastAsia="宋体" w:cs="仿宋"/>
          <w:spacing w:val="8"/>
          <w:sz w:val="28"/>
          <w:szCs w:val="32"/>
        </w:rPr>
        <w:t>估、救灾捐赠工作，管理、分配上级下达和市级救灾款</w:t>
      </w:r>
      <w:r>
        <w:rPr>
          <w:rFonts w:hint="eastAsia" w:ascii="Times New Roman" w:hAnsi="仿宋" w:eastAsia="宋体" w:cs="仿宋"/>
          <w:spacing w:val="7"/>
          <w:sz w:val="28"/>
          <w:szCs w:val="32"/>
        </w:rPr>
        <w:t>物</w:t>
      </w:r>
      <w:r>
        <w:rPr>
          <w:rFonts w:hint="eastAsia" w:ascii="Times New Roman" w:hAnsi="仿宋" w:eastAsia="宋体" w:cs="仿宋"/>
          <w:spacing w:val="5"/>
          <w:sz w:val="28"/>
          <w:szCs w:val="32"/>
        </w:rPr>
        <w:t>并监督使用。</w:t>
      </w:r>
    </w:p>
    <w:p>
      <w:pPr>
        <w:snapToGrid/>
        <w:spacing w:beforeAutospacing="0" w:afterAutospacing="0" w:line="360" w:lineRule="auto"/>
        <w:ind w:left="0" w:leftChars="0" w:right="83" w:firstLine="600" w:firstLineChars="200"/>
        <w:rPr>
          <w:rFonts w:ascii="Times New Roman" w:hAnsi="仿宋" w:eastAsia="宋体" w:cs="仿宋"/>
          <w:sz w:val="28"/>
          <w:szCs w:val="32"/>
        </w:rPr>
      </w:pPr>
      <w:r>
        <w:rPr>
          <w:rFonts w:hint="eastAsia" w:ascii="Times New Roman" w:hAnsi="仿宋" w:eastAsia="宋体" w:cs="仿宋"/>
          <w:spacing w:val="10"/>
          <w:sz w:val="28"/>
          <w:szCs w:val="32"/>
        </w:rPr>
        <w:t xml:space="preserve">( </w:t>
      </w:r>
      <w:r>
        <w:rPr>
          <w:rFonts w:hint="eastAsia" w:ascii="Times New Roman" w:hAnsi="仿宋" w:eastAsia="宋体" w:cs="仿宋"/>
          <w:spacing w:val="8"/>
          <w:sz w:val="28"/>
          <w:szCs w:val="32"/>
        </w:rPr>
        <w:t>11 ) 指导协调、监督检查市直有关部门和各镇(街</w:t>
      </w:r>
      <w:r>
        <w:rPr>
          <w:rFonts w:hint="eastAsia" w:ascii="Times New Roman" w:hAnsi="仿宋" w:eastAsia="宋体" w:cs="仿宋"/>
          <w:spacing w:val="16"/>
          <w:sz w:val="28"/>
          <w:szCs w:val="32"/>
        </w:rPr>
        <w:t>道</w:t>
      </w:r>
      <w:r>
        <w:rPr>
          <w:rFonts w:hint="eastAsia" w:ascii="Times New Roman" w:hAnsi="仿宋" w:eastAsia="宋体" w:cs="仿宋"/>
          <w:spacing w:val="15"/>
          <w:sz w:val="28"/>
          <w:szCs w:val="32"/>
        </w:rPr>
        <w:t>)</w:t>
      </w:r>
      <w:r>
        <w:rPr>
          <w:rFonts w:hint="eastAsia" w:ascii="Times New Roman" w:hAnsi="仿宋" w:eastAsia="宋体" w:cs="仿宋"/>
          <w:spacing w:val="8"/>
          <w:sz w:val="28"/>
          <w:szCs w:val="32"/>
        </w:rPr>
        <w:t xml:space="preserve"> 安全生产工作，组织开展安全生产巡查、考核工作。</w:t>
      </w:r>
    </w:p>
    <w:p>
      <w:pPr>
        <w:snapToGrid/>
        <w:spacing w:beforeAutospacing="0" w:afterAutospacing="0" w:line="360" w:lineRule="auto"/>
        <w:ind w:left="0" w:leftChars="0" w:right="81" w:firstLine="620" w:firstLineChars="200"/>
        <w:rPr>
          <w:rFonts w:ascii="Times New Roman" w:hAnsi="仿宋" w:eastAsia="宋体" w:cs="仿宋"/>
          <w:sz w:val="28"/>
          <w:szCs w:val="32"/>
        </w:rPr>
      </w:pPr>
      <w:r>
        <w:rPr>
          <w:rFonts w:hint="eastAsia" w:ascii="Times New Roman" w:hAnsi="仿宋" w:eastAsia="宋体" w:cs="仿宋"/>
          <w:spacing w:val="15"/>
          <w:sz w:val="28"/>
          <w:szCs w:val="32"/>
        </w:rPr>
        <w:t>( 12 ) 依法组织一般生产安全事故调查处理，指导监</w:t>
      </w:r>
      <w:r>
        <w:rPr>
          <w:rFonts w:hint="eastAsia" w:ascii="Times New Roman" w:hAnsi="仿宋" w:eastAsia="宋体" w:cs="仿宋"/>
          <w:sz w:val="28"/>
          <w:szCs w:val="32"/>
        </w:rPr>
        <w:t xml:space="preserve"> </w:t>
      </w:r>
      <w:r>
        <w:rPr>
          <w:rFonts w:hint="eastAsia" w:ascii="Times New Roman" w:hAnsi="仿宋" w:eastAsia="宋体" w:cs="仿宋"/>
          <w:spacing w:val="9"/>
          <w:sz w:val="28"/>
          <w:szCs w:val="32"/>
        </w:rPr>
        <w:t>督一般生产安全事故查处。组织开展自然灾害类突发事件</w:t>
      </w:r>
      <w:r>
        <w:rPr>
          <w:rFonts w:hint="eastAsia" w:ascii="Times New Roman" w:hAnsi="仿宋" w:eastAsia="宋体" w:cs="仿宋"/>
          <w:spacing w:val="6"/>
          <w:sz w:val="28"/>
          <w:szCs w:val="32"/>
        </w:rPr>
        <w:t>的</w:t>
      </w:r>
      <w:r>
        <w:rPr>
          <w:rFonts w:hint="eastAsia" w:ascii="Times New Roman" w:hAnsi="仿宋" w:eastAsia="宋体" w:cs="仿宋"/>
          <w:spacing w:val="11"/>
          <w:sz w:val="28"/>
          <w:szCs w:val="32"/>
        </w:rPr>
        <w:t>调</w:t>
      </w:r>
      <w:r>
        <w:rPr>
          <w:rFonts w:hint="eastAsia" w:ascii="Times New Roman" w:hAnsi="仿宋" w:eastAsia="宋体" w:cs="仿宋"/>
          <w:spacing w:val="6"/>
          <w:sz w:val="28"/>
          <w:szCs w:val="32"/>
        </w:rPr>
        <w:t>查评估工作。</w:t>
      </w:r>
    </w:p>
    <w:p>
      <w:pPr>
        <w:snapToGrid/>
        <w:spacing w:beforeAutospacing="0" w:afterAutospacing="0" w:line="360" w:lineRule="auto"/>
        <w:ind w:left="0" w:leftChars="0" w:right="83" w:firstLine="620" w:firstLineChars="200"/>
        <w:rPr>
          <w:rFonts w:ascii="Times New Roman" w:hAnsi="仿宋" w:eastAsia="宋体" w:cs="仿宋"/>
          <w:sz w:val="28"/>
          <w:szCs w:val="32"/>
        </w:rPr>
      </w:pPr>
      <w:r>
        <w:rPr>
          <w:rFonts w:hint="eastAsia" w:ascii="Times New Roman" w:hAnsi="仿宋" w:eastAsia="宋体" w:cs="仿宋"/>
          <w:spacing w:val="15"/>
          <w:sz w:val="28"/>
          <w:szCs w:val="32"/>
        </w:rPr>
        <w:t>( 13 )</w:t>
      </w:r>
      <w:r>
        <w:rPr>
          <w:rFonts w:hint="eastAsia" w:ascii="Times New Roman" w:hAnsi="仿宋" w:eastAsia="宋体" w:cs="仿宋"/>
          <w:spacing w:val="15"/>
          <w:sz w:val="28"/>
          <w:szCs w:val="32"/>
          <w:lang w:val="en-US" w:eastAsia="zh-CN"/>
        </w:rPr>
        <w:t xml:space="preserve"> </w:t>
      </w:r>
      <w:r>
        <w:rPr>
          <w:rFonts w:hint="eastAsia" w:ascii="Times New Roman" w:hAnsi="仿宋" w:eastAsia="宋体" w:cs="仿宋"/>
          <w:spacing w:val="15"/>
          <w:sz w:val="28"/>
          <w:szCs w:val="32"/>
        </w:rPr>
        <w:t>开展应急管理方面的交流与合作，组织参与</w:t>
      </w:r>
      <w:r>
        <w:rPr>
          <w:rFonts w:hint="eastAsia" w:ascii="Times New Roman" w:hAnsi="仿宋" w:eastAsia="宋体" w:cs="仿宋"/>
          <w:spacing w:val="13"/>
          <w:sz w:val="28"/>
          <w:szCs w:val="32"/>
        </w:rPr>
        <w:t>安</w:t>
      </w:r>
      <w:r>
        <w:rPr>
          <w:rFonts w:hint="eastAsia" w:ascii="Times New Roman" w:hAnsi="仿宋" w:eastAsia="宋体" w:cs="仿宋"/>
          <w:sz w:val="28"/>
          <w:szCs w:val="32"/>
        </w:rPr>
        <w:t xml:space="preserve"> </w:t>
      </w:r>
      <w:r>
        <w:rPr>
          <w:rFonts w:hint="eastAsia" w:ascii="Times New Roman" w:hAnsi="仿宋" w:eastAsia="宋体" w:cs="仿宋"/>
          <w:spacing w:val="4"/>
          <w:sz w:val="28"/>
          <w:szCs w:val="32"/>
        </w:rPr>
        <w:t>全生</w:t>
      </w:r>
      <w:r>
        <w:rPr>
          <w:rFonts w:hint="eastAsia" w:ascii="Times New Roman" w:hAnsi="仿宋" w:eastAsia="宋体" w:cs="仿宋"/>
          <w:spacing w:val="2"/>
          <w:sz w:val="28"/>
          <w:szCs w:val="32"/>
        </w:rPr>
        <w:t>产类、自然灾害类等突发事件的对外救援工作。</w:t>
      </w:r>
    </w:p>
    <w:p>
      <w:pPr>
        <w:snapToGrid/>
        <w:spacing w:beforeAutospacing="0" w:afterAutospacing="0" w:line="360" w:lineRule="auto"/>
        <w:ind w:left="0" w:leftChars="0" w:right="81" w:firstLine="620" w:firstLineChars="200"/>
        <w:rPr>
          <w:rFonts w:ascii="Times New Roman" w:hAnsi="仿宋" w:eastAsia="宋体" w:cs="仿宋"/>
          <w:sz w:val="28"/>
          <w:szCs w:val="32"/>
        </w:rPr>
      </w:pPr>
      <w:r>
        <w:rPr>
          <w:rFonts w:hint="eastAsia" w:ascii="Times New Roman" w:hAnsi="仿宋" w:eastAsia="宋体" w:cs="仿宋"/>
          <w:spacing w:val="15"/>
          <w:sz w:val="28"/>
          <w:szCs w:val="32"/>
        </w:rPr>
        <w:t>( 14 )</w:t>
      </w:r>
      <w:r>
        <w:rPr>
          <w:rFonts w:hint="eastAsia" w:ascii="Times New Roman" w:hAnsi="仿宋" w:eastAsia="宋体" w:cs="仿宋"/>
          <w:spacing w:val="15"/>
          <w:sz w:val="28"/>
          <w:szCs w:val="32"/>
          <w:lang w:val="en-US" w:eastAsia="zh-CN"/>
        </w:rPr>
        <w:t xml:space="preserve"> </w:t>
      </w:r>
      <w:r>
        <w:rPr>
          <w:rFonts w:hint="eastAsia" w:ascii="Times New Roman" w:hAnsi="仿宋" w:eastAsia="宋体" w:cs="仿宋"/>
          <w:spacing w:val="15"/>
          <w:sz w:val="28"/>
          <w:szCs w:val="32"/>
        </w:rPr>
        <w:t>制定应急物资储备和应急救援装备规划并组</w:t>
      </w:r>
      <w:r>
        <w:rPr>
          <w:rFonts w:hint="eastAsia" w:ascii="Times New Roman" w:hAnsi="仿宋" w:eastAsia="宋体" w:cs="仿宋"/>
          <w:spacing w:val="13"/>
          <w:sz w:val="28"/>
          <w:szCs w:val="32"/>
        </w:rPr>
        <w:t>织</w:t>
      </w:r>
      <w:r>
        <w:rPr>
          <w:rFonts w:hint="eastAsia" w:ascii="Times New Roman" w:hAnsi="仿宋" w:eastAsia="宋体" w:cs="仿宋"/>
          <w:sz w:val="28"/>
          <w:szCs w:val="32"/>
        </w:rPr>
        <w:t xml:space="preserve"> </w:t>
      </w:r>
      <w:r>
        <w:rPr>
          <w:rFonts w:hint="eastAsia" w:ascii="Times New Roman" w:hAnsi="仿宋" w:eastAsia="宋体" w:cs="仿宋"/>
          <w:spacing w:val="16"/>
          <w:sz w:val="28"/>
          <w:szCs w:val="32"/>
        </w:rPr>
        <w:t>实</w:t>
      </w:r>
      <w:r>
        <w:rPr>
          <w:rFonts w:hint="eastAsia" w:ascii="Times New Roman" w:hAnsi="仿宋" w:eastAsia="宋体" w:cs="仿宋"/>
          <w:spacing w:val="12"/>
          <w:sz w:val="28"/>
          <w:szCs w:val="32"/>
        </w:rPr>
        <w:t>施</w:t>
      </w:r>
      <w:r>
        <w:rPr>
          <w:rFonts w:hint="eastAsia" w:ascii="Times New Roman" w:hAnsi="仿宋" w:eastAsia="宋体" w:cs="仿宋"/>
          <w:spacing w:val="8"/>
          <w:sz w:val="28"/>
          <w:szCs w:val="32"/>
        </w:rPr>
        <w:t>，会同市发改委 (粮食局) 等部门建立健全应急物资调</w:t>
      </w:r>
      <w:r>
        <w:rPr>
          <w:rFonts w:hint="eastAsia" w:ascii="Times New Roman" w:hAnsi="仿宋" w:eastAsia="宋体" w:cs="仿宋"/>
          <w:spacing w:val="13"/>
          <w:sz w:val="28"/>
          <w:szCs w:val="32"/>
        </w:rPr>
        <w:t>拨</w:t>
      </w:r>
      <w:r>
        <w:rPr>
          <w:rFonts w:hint="eastAsia" w:ascii="Times New Roman" w:hAnsi="仿宋" w:eastAsia="宋体" w:cs="仿宋"/>
          <w:spacing w:val="8"/>
          <w:sz w:val="28"/>
          <w:szCs w:val="32"/>
        </w:rPr>
        <w:t>制度，在救灾时统一调度。</w:t>
      </w:r>
    </w:p>
    <w:p>
      <w:pPr>
        <w:snapToGrid/>
        <w:spacing w:beforeAutospacing="0" w:afterAutospacing="0" w:line="360" w:lineRule="auto"/>
        <w:ind w:left="0" w:leftChars="0" w:firstLine="616" w:firstLineChars="200"/>
        <w:rPr>
          <w:rFonts w:ascii="Times New Roman" w:hAnsi="仿宋" w:eastAsia="宋体" w:cs="仿宋"/>
          <w:sz w:val="28"/>
          <w:szCs w:val="32"/>
        </w:rPr>
      </w:pPr>
      <w:r>
        <w:rPr>
          <w:rFonts w:hint="eastAsia" w:ascii="Times New Roman" w:hAnsi="仿宋" w:eastAsia="宋体" w:cs="仿宋"/>
          <w:spacing w:val="14"/>
          <w:sz w:val="28"/>
          <w:szCs w:val="32"/>
        </w:rPr>
        <w:t xml:space="preserve">( </w:t>
      </w:r>
      <w:r>
        <w:rPr>
          <w:rFonts w:hint="eastAsia" w:ascii="Times New Roman" w:hAnsi="仿宋" w:eastAsia="宋体" w:cs="仿宋"/>
          <w:spacing w:val="12"/>
          <w:sz w:val="28"/>
          <w:szCs w:val="32"/>
        </w:rPr>
        <w:t>15 )</w:t>
      </w:r>
      <w:r>
        <w:rPr>
          <w:rFonts w:hint="eastAsia" w:ascii="Times New Roman" w:hAnsi="仿宋" w:eastAsia="宋体" w:cs="仿宋"/>
          <w:spacing w:val="12"/>
          <w:sz w:val="28"/>
          <w:szCs w:val="32"/>
          <w:lang w:val="en-US" w:eastAsia="zh-CN"/>
        </w:rPr>
        <w:t xml:space="preserve"> </w:t>
      </w:r>
      <w:r>
        <w:rPr>
          <w:rFonts w:hint="eastAsia" w:ascii="Times New Roman" w:hAnsi="仿宋" w:eastAsia="宋体" w:cs="仿宋"/>
          <w:spacing w:val="12"/>
          <w:sz w:val="28"/>
          <w:szCs w:val="32"/>
        </w:rPr>
        <w:t>负责应急管理、安全生产宣传教育和培训工作，</w:t>
      </w:r>
      <w:r>
        <w:rPr>
          <w:rFonts w:hint="eastAsia" w:ascii="Times New Roman" w:hAnsi="仿宋" w:eastAsia="宋体" w:cs="仿宋"/>
          <w:spacing w:val="16"/>
          <w:sz w:val="28"/>
          <w:szCs w:val="32"/>
        </w:rPr>
        <w:t>组织</w:t>
      </w:r>
      <w:r>
        <w:rPr>
          <w:rFonts w:hint="eastAsia" w:ascii="Times New Roman" w:hAnsi="仿宋" w:eastAsia="宋体" w:cs="仿宋"/>
          <w:spacing w:val="11"/>
          <w:sz w:val="28"/>
          <w:szCs w:val="32"/>
        </w:rPr>
        <w:t>指</w:t>
      </w:r>
      <w:r>
        <w:rPr>
          <w:rFonts w:hint="eastAsia" w:ascii="Times New Roman" w:hAnsi="仿宋" w:eastAsia="宋体" w:cs="仿宋"/>
          <w:spacing w:val="8"/>
          <w:sz w:val="28"/>
          <w:szCs w:val="32"/>
        </w:rPr>
        <w:t>导应急管理、安全生产的科学技术研究、推广应用和</w:t>
      </w:r>
      <w:r>
        <w:rPr>
          <w:rFonts w:hint="eastAsia" w:ascii="Times New Roman" w:hAnsi="仿宋" w:eastAsia="宋体" w:cs="仿宋"/>
          <w:spacing w:val="11"/>
          <w:sz w:val="28"/>
          <w:szCs w:val="32"/>
        </w:rPr>
        <w:t>信</w:t>
      </w:r>
      <w:r>
        <w:rPr>
          <w:rFonts w:hint="eastAsia" w:ascii="Times New Roman" w:hAnsi="仿宋" w:eastAsia="宋体" w:cs="仿宋"/>
          <w:spacing w:val="7"/>
          <w:sz w:val="28"/>
          <w:szCs w:val="32"/>
        </w:rPr>
        <w:t>息化建设工作。负责加强本系统、本领域人才队伍建设。</w:t>
      </w:r>
    </w:p>
    <w:p>
      <w:pPr>
        <w:snapToGrid/>
        <w:spacing w:beforeAutospacing="0" w:afterAutospacing="0" w:line="360" w:lineRule="auto"/>
        <w:ind w:left="0" w:leftChars="0" w:right="13" w:firstLine="620" w:firstLineChars="200"/>
        <w:rPr>
          <w:rFonts w:ascii="Times New Roman" w:hAnsi="仿宋" w:eastAsia="宋体" w:cs="仿宋"/>
          <w:sz w:val="28"/>
          <w:szCs w:val="32"/>
        </w:rPr>
      </w:pPr>
      <w:r>
        <w:rPr>
          <w:rFonts w:hint="eastAsia" w:ascii="Times New Roman" w:hAnsi="仿宋" w:eastAsia="宋体" w:cs="仿宋"/>
          <w:spacing w:val="15"/>
          <w:sz w:val="28"/>
          <w:szCs w:val="32"/>
        </w:rPr>
        <w:t>( 16 ) 承担市安全生产委员会、减灾委员会的日常</w:t>
      </w:r>
      <w:r>
        <w:rPr>
          <w:rFonts w:hint="eastAsia" w:ascii="Times New Roman" w:hAnsi="仿宋" w:eastAsia="宋体" w:cs="仿宋"/>
          <w:spacing w:val="-1"/>
          <w:sz w:val="28"/>
          <w:szCs w:val="32"/>
        </w:rPr>
        <w:t>工作</w:t>
      </w:r>
      <w:r>
        <w:rPr>
          <w:rFonts w:hint="eastAsia" w:ascii="Times New Roman" w:hAnsi="仿宋" w:eastAsia="宋体" w:cs="仿宋"/>
          <w:sz w:val="28"/>
          <w:szCs w:val="32"/>
        </w:rPr>
        <w:t>。</w:t>
      </w:r>
    </w:p>
    <w:p>
      <w:pPr>
        <w:snapToGrid/>
        <w:spacing w:beforeAutospacing="0" w:afterAutospacing="0" w:line="360" w:lineRule="auto"/>
        <w:ind w:left="0" w:leftChars="0" w:firstLine="636" w:firstLineChars="200"/>
        <w:rPr>
          <w:rFonts w:ascii="Times New Roman" w:hAnsi="仿宋" w:eastAsia="宋体" w:cs="仿宋"/>
          <w:sz w:val="28"/>
          <w:szCs w:val="32"/>
        </w:rPr>
      </w:pPr>
      <w:r>
        <w:rPr>
          <w:rFonts w:hint="eastAsia" w:ascii="Times New Roman" w:hAnsi="仿宋" w:eastAsia="宋体" w:cs="仿宋"/>
          <w:spacing w:val="19"/>
          <w:sz w:val="28"/>
          <w:szCs w:val="32"/>
        </w:rPr>
        <w:t xml:space="preserve">( </w:t>
      </w:r>
      <w:r>
        <w:rPr>
          <w:rFonts w:hint="eastAsia" w:ascii="Times New Roman" w:hAnsi="仿宋" w:eastAsia="宋体" w:cs="仿宋"/>
          <w:spacing w:val="16"/>
          <w:sz w:val="28"/>
          <w:szCs w:val="32"/>
        </w:rPr>
        <w:t>17 ) 完成市委、市政府交办的其他任务。</w:t>
      </w:r>
    </w:p>
    <w:p>
      <w:pPr>
        <w:snapToGrid/>
        <w:spacing w:beforeAutospacing="0" w:afterAutospacing="0" w:line="360" w:lineRule="auto"/>
        <w:ind w:left="0" w:leftChars="0" w:right="16" w:firstLine="620" w:firstLineChars="200"/>
        <w:rPr>
          <w:rFonts w:ascii="Times New Roman" w:hAnsi="仿宋" w:eastAsia="宋体" w:cs="仿宋"/>
          <w:spacing w:val="8"/>
          <w:sz w:val="28"/>
          <w:szCs w:val="32"/>
        </w:rPr>
      </w:pPr>
      <w:r>
        <w:rPr>
          <w:rFonts w:hint="eastAsia" w:ascii="Times New Roman" w:hAnsi="仿宋" w:eastAsia="宋体" w:cs="仿宋"/>
          <w:spacing w:val="15"/>
          <w:sz w:val="28"/>
          <w:szCs w:val="32"/>
        </w:rPr>
        <w:t>( 18 ) 职能转变。市应急管理局应加强、优化、统</w:t>
      </w:r>
      <w:r>
        <w:rPr>
          <w:rFonts w:hint="eastAsia" w:ascii="Times New Roman" w:hAnsi="仿宋" w:eastAsia="宋体" w:cs="仿宋"/>
          <w:spacing w:val="13"/>
          <w:sz w:val="28"/>
          <w:szCs w:val="32"/>
        </w:rPr>
        <w:t>筹</w:t>
      </w:r>
      <w:r>
        <w:rPr>
          <w:rFonts w:hint="eastAsia" w:ascii="Times New Roman" w:hAnsi="仿宋" w:eastAsia="宋体" w:cs="仿宋"/>
          <w:sz w:val="28"/>
          <w:szCs w:val="32"/>
        </w:rPr>
        <w:t xml:space="preserve"> </w:t>
      </w:r>
      <w:r>
        <w:rPr>
          <w:rFonts w:hint="eastAsia" w:ascii="Times New Roman" w:hAnsi="仿宋" w:eastAsia="宋体" w:cs="仿宋"/>
          <w:spacing w:val="9"/>
          <w:sz w:val="28"/>
          <w:szCs w:val="32"/>
        </w:rPr>
        <w:t>全市应急能力建设，构建统一领导、权责一致、权威高效</w:t>
      </w:r>
      <w:r>
        <w:rPr>
          <w:rFonts w:hint="eastAsia" w:ascii="Times New Roman" w:hAnsi="仿宋" w:eastAsia="宋体" w:cs="仿宋"/>
          <w:spacing w:val="7"/>
          <w:sz w:val="28"/>
          <w:szCs w:val="32"/>
        </w:rPr>
        <w:t>的</w:t>
      </w:r>
      <w:r>
        <w:rPr>
          <w:rFonts w:hint="eastAsia" w:ascii="Times New Roman" w:hAnsi="仿宋" w:eastAsia="宋体" w:cs="仿宋"/>
          <w:sz w:val="28"/>
          <w:szCs w:val="32"/>
        </w:rPr>
        <w:t xml:space="preserve"> </w:t>
      </w:r>
      <w:r>
        <w:rPr>
          <w:rFonts w:hint="eastAsia" w:ascii="Times New Roman" w:hAnsi="仿宋" w:eastAsia="宋体" w:cs="仿宋"/>
          <w:spacing w:val="9"/>
          <w:sz w:val="28"/>
          <w:szCs w:val="32"/>
        </w:rPr>
        <w:t>应急能力体系，推动形成统一指挥、专常兼备、反应灵敏</w:t>
      </w:r>
      <w:r>
        <w:rPr>
          <w:rFonts w:hint="eastAsia" w:ascii="Times New Roman" w:hAnsi="仿宋" w:eastAsia="宋体" w:cs="仿宋"/>
          <w:spacing w:val="7"/>
          <w:sz w:val="28"/>
          <w:szCs w:val="32"/>
        </w:rPr>
        <w:t>、</w:t>
      </w:r>
      <w:r>
        <w:rPr>
          <w:rFonts w:hint="eastAsia" w:ascii="Times New Roman" w:hAnsi="仿宋" w:eastAsia="宋体" w:cs="仿宋"/>
          <w:spacing w:val="16"/>
          <w:sz w:val="28"/>
          <w:szCs w:val="32"/>
        </w:rPr>
        <w:t>上</w:t>
      </w:r>
      <w:r>
        <w:rPr>
          <w:rFonts w:hint="eastAsia" w:ascii="Times New Roman" w:hAnsi="仿宋" w:eastAsia="宋体" w:cs="仿宋"/>
          <w:spacing w:val="11"/>
          <w:sz w:val="28"/>
          <w:szCs w:val="32"/>
        </w:rPr>
        <w:t>下</w:t>
      </w:r>
      <w:r>
        <w:rPr>
          <w:rFonts w:hint="eastAsia" w:ascii="Times New Roman" w:hAnsi="仿宋" w:eastAsia="宋体" w:cs="仿宋"/>
          <w:spacing w:val="8"/>
          <w:sz w:val="28"/>
          <w:szCs w:val="32"/>
        </w:rPr>
        <w:t>联动、平战结合的应急管理体制。</w:t>
      </w:r>
    </w:p>
    <w:p>
      <w:pPr>
        <w:pStyle w:val="2"/>
        <w:numPr>
          <w:ilvl w:val="0"/>
          <w:numId w:val="1"/>
        </w:numPr>
        <w:snapToGrid/>
        <w:spacing w:before="156" w:beforeLines="50" w:beforeAutospacing="0" w:afterAutospacing="0" w:line="360" w:lineRule="auto"/>
        <w:ind w:left="0" w:leftChars="0" w:right="0" w:rightChars="0" w:firstLine="0" w:firstLineChars="0"/>
        <w:jc w:val="left"/>
        <w:outlineLvl w:val="1"/>
        <w:rPr>
          <w:rFonts w:hint="eastAsia" w:ascii="Times New Roman" w:hAnsi="仿宋" w:eastAsia="宋体" w:cs="仿宋"/>
          <w:b/>
          <w:spacing w:val="4"/>
          <w:sz w:val="30"/>
          <w:szCs w:val="32"/>
        </w:rPr>
      </w:pPr>
      <w:bookmarkStart w:id="31" w:name="_Toc24645"/>
      <w:r>
        <w:rPr>
          <w:rFonts w:hint="eastAsia" w:ascii="Times New Roman" w:hAnsi="仿宋" w:eastAsia="宋体" w:cs="仿宋"/>
          <w:b/>
          <w:spacing w:val="4"/>
          <w:sz w:val="30"/>
          <w:szCs w:val="32"/>
        </w:rPr>
        <w:t>人员结构</w:t>
      </w:r>
      <w:bookmarkEnd w:id="31"/>
    </w:p>
    <w:p>
      <w:pPr>
        <w:snapToGrid/>
        <w:spacing w:beforeAutospacing="0" w:afterAutospacing="0" w:line="360" w:lineRule="auto"/>
        <w:ind w:left="0" w:leftChars="0" w:right="16" w:firstLine="592" w:firstLineChars="200"/>
        <w:rPr>
          <w:rFonts w:hint="eastAsia" w:ascii="Times New Roman" w:hAnsi="仿宋" w:eastAsia="宋体" w:cs="仿宋"/>
          <w:spacing w:val="8"/>
          <w:sz w:val="28"/>
          <w:szCs w:val="32"/>
          <w:lang w:val="en-US" w:eastAsia="zh-CN"/>
        </w:rPr>
      </w:pPr>
      <w:r>
        <w:rPr>
          <w:rFonts w:hint="eastAsia" w:ascii="Times New Roman" w:hAnsi="仿宋" w:eastAsia="宋体" w:cs="仿宋"/>
          <w:spacing w:val="8"/>
          <w:sz w:val="28"/>
          <w:szCs w:val="32"/>
          <w:lang w:eastAsia="zh-CN"/>
        </w:rPr>
        <w:t>石狮市应急管理局及下属事业单位</w:t>
      </w:r>
      <w:r>
        <w:rPr>
          <w:rFonts w:hint="eastAsia" w:ascii="Times New Roman" w:hAnsi="仿宋" w:eastAsia="宋体" w:cs="仿宋"/>
          <w:spacing w:val="8"/>
          <w:sz w:val="28"/>
          <w:szCs w:val="32"/>
        </w:rPr>
        <w:t>石狮市应急管理执法大队</w:t>
      </w:r>
      <w:r>
        <w:rPr>
          <w:rFonts w:hint="eastAsia" w:ascii="Times New Roman" w:hAnsi="仿宋" w:eastAsia="宋体" w:cs="仿宋"/>
          <w:spacing w:val="8"/>
          <w:sz w:val="28"/>
          <w:szCs w:val="32"/>
          <w:lang w:eastAsia="zh-CN"/>
        </w:rPr>
        <w:t>、</w:t>
      </w:r>
      <w:r>
        <w:rPr>
          <w:rFonts w:hint="eastAsia" w:ascii="Times New Roman" w:hAnsi="仿宋" w:eastAsia="宋体" w:cs="仿宋"/>
          <w:spacing w:val="8"/>
          <w:sz w:val="28"/>
          <w:szCs w:val="32"/>
        </w:rPr>
        <w:t>石狮市应急救援指挥中心</w:t>
      </w:r>
      <w:r>
        <w:rPr>
          <w:rFonts w:hint="eastAsia" w:ascii="Times New Roman" w:hAnsi="仿宋" w:eastAsia="宋体" w:cs="仿宋"/>
          <w:spacing w:val="8"/>
          <w:sz w:val="28"/>
          <w:szCs w:val="32"/>
          <w:lang w:eastAsia="zh-CN"/>
        </w:rPr>
        <w:t>及</w:t>
      </w:r>
      <w:r>
        <w:rPr>
          <w:rFonts w:hint="eastAsia" w:ascii="Times New Roman" w:hAnsi="仿宋" w:eastAsia="宋体" w:cs="仿宋"/>
          <w:spacing w:val="8"/>
          <w:sz w:val="28"/>
          <w:szCs w:val="32"/>
        </w:rPr>
        <w:t>石狮市地震办公室</w:t>
      </w:r>
      <w:r>
        <w:rPr>
          <w:rFonts w:hint="eastAsia" w:ascii="Times New Roman" w:hAnsi="仿宋" w:eastAsia="宋体" w:cs="仿宋"/>
          <w:spacing w:val="8"/>
          <w:sz w:val="28"/>
          <w:szCs w:val="32"/>
          <w:lang w:eastAsia="zh-CN"/>
        </w:rPr>
        <w:t>人员编制数和在职人数如表所示：</w:t>
      </w:r>
    </w:p>
    <w:tbl>
      <w:tblPr>
        <w:tblStyle w:val="1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1"/>
        <w:gridCol w:w="2301"/>
        <w:gridCol w:w="2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1983" w:type="pct"/>
            <w:vAlign w:val="top"/>
          </w:tcPr>
          <w:p>
            <w:pPr>
              <w:spacing w:before="211" w:line="226" w:lineRule="auto"/>
              <w:ind w:left="1302"/>
              <w:rPr>
                <w:rFonts w:ascii="仿宋" w:hAnsi="仿宋" w:eastAsia="仿宋" w:cs="仿宋"/>
                <w:b/>
                <w:bCs/>
                <w:spacing w:val="4"/>
                <w:sz w:val="24"/>
              </w:rPr>
            </w:pPr>
            <w:r>
              <w:rPr>
                <w:rFonts w:hint="eastAsia" w:ascii="仿宋" w:hAnsi="仿宋" w:eastAsia="仿宋" w:cs="仿宋"/>
                <w:b/>
                <w:bCs/>
                <w:spacing w:val="3"/>
                <w:sz w:val="24"/>
              </w:rPr>
              <w:t>单位名</w:t>
            </w:r>
            <w:r>
              <w:rPr>
                <w:rFonts w:hint="eastAsia" w:ascii="仿宋" w:hAnsi="仿宋" w:eastAsia="仿宋" w:cs="仿宋"/>
                <w:b/>
                <w:bCs/>
                <w:spacing w:val="2"/>
                <w:sz w:val="24"/>
              </w:rPr>
              <w:t>称</w:t>
            </w:r>
          </w:p>
        </w:tc>
        <w:tc>
          <w:tcPr>
            <w:tcW w:w="1350" w:type="pct"/>
            <w:vAlign w:val="top"/>
          </w:tcPr>
          <w:p>
            <w:pPr>
              <w:spacing w:before="210" w:line="226" w:lineRule="auto"/>
              <w:ind w:left="473"/>
              <w:rPr>
                <w:rFonts w:ascii="仿宋" w:hAnsi="仿宋" w:eastAsia="仿宋" w:cs="仿宋"/>
                <w:b/>
                <w:bCs/>
                <w:spacing w:val="4"/>
                <w:sz w:val="24"/>
              </w:rPr>
            </w:pPr>
            <w:r>
              <w:rPr>
                <w:rFonts w:hint="eastAsia" w:ascii="仿宋" w:hAnsi="仿宋" w:eastAsia="仿宋" w:cs="仿宋"/>
                <w:b/>
                <w:bCs/>
                <w:sz w:val="24"/>
              </w:rPr>
              <w:t>人员编制数</w:t>
            </w:r>
          </w:p>
        </w:tc>
        <w:tc>
          <w:tcPr>
            <w:tcW w:w="1666" w:type="pct"/>
            <w:vAlign w:val="top"/>
          </w:tcPr>
          <w:p>
            <w:pPr>
              <w:spacing w:before="210" w:line="225" w:lineRule="auto"/>
              <w:ind w:left="424"/>
              <w:jc w:val="center"/>
              <w:rPr>
                <w:rFonts w:ascii="仿宋" w:hAnsi="仿宋" w:eastAsia="仿宋" w:cs="仿宋"/>
                <w:b/>
                <w:bCs/>
                <w:spacing w:val="4"/>
                <w:sz w:val="24"/>
              </w:rPr>
            </w:pPr>
            <w:r>
              <w:rPr>
                <w:rFonts w:hint="eastAsia" w:ascii="仿宋" w:hAnsi="仿宋" w:eastAsia="仿宋" w:cs="仿宋"/>
                <w:b/>
                <w:bCs/>
                <w:spacing w:val="4"/>
                <w:sz w:val="24"/>
              </w:rPr>
              <w:t>在职人</w:t>
            </w:r>
            <w:r>
              <w:rPr>
                <w:rFonts w:hint="eastAsia" w:ascii="仿宋" w:hAnsi="仿宋" w:eastAsia="仿宋" w:cs="仿宋"/>
                <w:b/>
                <w:bCs/>
                <w:spacing w:val="3"/>
                <w:sz w:val="24"/>
              </w:rPr>
              <w:t>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983" w:type="pct"/>
            <w:vAlign w:val="top"/>
          </w:tcPr>
          <w:p>
            <w:pPr>
              <w:adjustRightInd w:val="0"/>
              <w:snapToGrid w:val="0"/>
              <w:spacing w:line="360" w:lineRule="auto"/>
              <w:jc w:val="center"/>
              <w:outlineLvl w:val="1"/>
              <w:rPr>
                <w:rFonts w:ascii="仿宋" w:hAnsi="仿宋" w:eastAsia="仿宋" w:cs="仿宋"/>
                <w:spacing w:val="4"/>
                <w:sz w:val="24"/>
              </w:rPr>
            </w:pPr>
            <w:bookmarkStart w:id="32" w:name="_Toc904"/>
            <w:bookmarkStart w:id="33" w:name="_Toc20220"/>
            <w:bookmarkStart w:id="34" w:name="_Toc22306"/>
            <w:bookmarkStart w:id="35" w:name="_Toc20645"/>
            <w:bookmarkStart w:id="36" w:name="_Toc29605"/>
            <w:r>
              <w:rPr>
                <w:rFonts w:hint="eastAsia" w:ascii="仿宋" w:hAnsi="仿宋" w:eastAsia="仿宋" w:cs="仿宋"/>
                <w:spacing w:val="12"/>
                <w:sz w:val="24"/>
              </w:rPr>
              <w:t>石</w:t>
            </w:r>
            <w:r>
              <w:rPr>
                <w:rFonts w:hint="eastAsia" w:ascii="仿宋" w:hAnsi="仿宋" w:eastAsia="仿宋" w:cs="仿宋"/>
                <w:spacing w:val="8"/>
                <w:sz w:val="24"/>
              </w:rPr>
              <w:t>狮市应急管理局</w:t>
            </w:r>
            <w:bookmarkEnd w:id="32"/>
            <w:bookmarkEnd w:id="33"/>
            <w:bookmarkEnd w:id="34"/>
            <w:bookmarkEnd w:id="35"/>
            <w:bookmarkEnd w:id="36"/>
          </w:p>
        </w:tc>
        <w:tc>
          <w:tcPr>
            <w:tcW w:w="1350" w:type="pct"/>
            <w:vAlign w:val="top"/>
          </w:tcPr>
          <w:p>
            <w:pPr>
              <w:adjustRightInd w:val="0"/>
              <w:snapToGrid w:val="0"/>
              <w:spacing w:line="360" w:lineRule="auto"/>
              <w:jc w:val="center"/>
              <w:rPr>
                <w:rFonts w:ascii="仿宋" w:hAnsi="仿宋" w:eastAsia="仿宋" w:cs="仿宋"/>
                <w:spacing w:val="4"/>
                <w:sz w:val="24"/>
              </w:rPr>
            </w:pPr>
            <w:r>
              <w:rPr>
                <w:rFonts w:hint="eastAsia" w:ascii="仿宋" w:hAnsi="仿宋" w:eastAsia="仿宋" w:cs="仿宋"/>
                <w:spacing w:val="4"/>
                <w:sz w:val="24"/>
              </w:rPr>
              <w:t>9</w:t>
            </w:r>
          </w:p>
        </w:tc>
        <w:tc>
          <w:tcPr>
            <w:tcW w:w="1666" w:type="pct"/>
            <w:vAlign w:val="top"/>
          </w:tcPr>
          <w:p>
            <w:pPr>
              <w:adjustRightInd w:val="0"/>
              <w:snapToGrid w:val="0"/>
              <w:spacing w:line="360" w:lineRule="auto"/>
              <w:jc w:val="center"/>
              <w:outlineLvl w:val="1"/>
              <w:rPr>
                <w:rFonts w:ascii="仿宋" w:hAnsi="仿宋" w:eastAsia="仿宋" w:cs="仿宋"/>
                <w:spacing w:val="4"/>
                <w:sz w:val="24"/>
              </w:rPr>
            </w:pPr>
            <w:bookmarkStart w:id="37" w:name="_Toc31755"/>
            <w:bookmarkStart w:id="38" w:name="_Toc21715"/>
            <w:bookmarkStart w:id="39" w:name="_Toc23092"/>
            <w:bookmarkStart w:id="40" w:name="_Toc9051"/>
            <w:r>
              <w:rPr>
                <w:rFonts w:hint="eastAsia" w:ascii="仿宋" w:hAnsi="仿宋" w:eastAsia="仿宋" w:cs="仿宋"/>
                <w:spacing w:val="4"/>
                <w:sz w:val="24"/>
              </w:rPr>
              <w:t>9</w:t>
            </w:r>
            <w:bookmarkEnd w:id="37"/>
            <w:bookmarkEnd w:id="38"/>
            <w:bookmarkEnd w:id="39"/>
            <w:bookmarkEnd w:id="4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3" w:type="pct"/>
            <w:vAlign w:val="top"/>
          </w:tcPr>
          <w:p>
            <w:pPr>
              <w:adjustRightInd w:val="0"/>
              <w:snapToGrid w:val="0"/>
              <w:spacing w:line="360" w:lineRule="auto"/>
              <w:jc w:val="center"/>
              <w:outlineLvl w:val="1"/>
              <w:rPr>
                <w:rFonts w:ascii="仿宋" w:hAnsi="仿宋" w:eastAsia="仿宋" w:cs="仿宋"/>
                <w:spacing w:val="4"/>
                <w:sz w:val="24"/>
              </w:rPr>
            </w:pPr>
            <w:bookmarkStart w:id="41" w:name="_Toc12803"/>
            <w:bookmarkStart w:id="42" w:name="_Toc7901"/>
            <w:bookmarkStart w:id="43" w:name="_Toc17736"/>
            <w:bookmarkStart w:id="44" w:name="_Toc22743"/>
            <w:bookmarkStart w:id="45" w:name="_Toc21896"/>
            <w:r>
              <w:rPr>
                <w:rFonts w:hint="eastAsia" w:ascii="仿宋" w:hAnsi="仿宋" w:eastAsia="仿宋" w:cs="仿宋"/>
                <w:spacing w:val="9"/>
                <w:sz w:val="24"/>
              </w:rPr>
              <w:t>石狮市应急管理执法大</w:t>
            </w:r>
            <w:r>
              <w:rPr>
                <w:rFonts w:hint="eastAsia" w:ascii="仿宋" w:hAnsi="仿宋" w:eastAsia="仿宋" w:cs="仿宋"/>
                <w:spacing w:val="8"/>
                <w:sz w:val="24"/>
              </w:rPr>
              <w:t>队</w:t>
            </w:r>
            <w:bookmarkEnd w:id="41"/>
            <w:bookmarkEnd w:id="42"/>
            <w:bookmarkEnd w:id="43"/>
            <w:bookmarkEnd w:id="44"/>
            <w:bookmarkEnd w:id="45"/>
          </w:p>
        </w:tc>
        <w:tc>
          <w:tcPr>
            <w:tcW w:w="1350" w:type="pct"/>
            <w:vAlign w:val="top"/>
          </w:tcPr>
          <w:p>
            <w:pPr>
              <w:adjustRightInd w:val="0"/>
              <w:snapToGrid w:val="0"/>
              <w:spacing w:line="360" w:lineRule="auto"/>
              <w:jc w:val="center"/>
              <w:rPr>
                <w:rFonts w:ascii="仿宋" w:hAnsi="仿宋" w:eastAsia="仿宋" w:cs="仿宋"/>
                <w:spacing w:val="4"/>
                <w:sz w:val="24"/>
              </w:rPr>
            </w:pPr>
            <w:r>
              <w:rPr>
                <w:rFonts w:hint="eastAsia" w:ascii="仿宋" w:hAnsi="仿宋" w:eastAsia="仿宋" w:cs="仿宋"/>
                <w:spacing w:val="4"/>
                <w:sz w:val="24"/>
              </w:rPr>
              <w:t>13</w:t>
            </w:r>
          </w:p>
        </w:tc>
        <w:tc>
          <w:tcPr>
            <w:tcW w:w="1666" w:type="pct"/>
            <w:vAlign w:val="top"/>
          </w:tcPr>
          <w:p>
            <w:pPr>
              <w:adjustRightInd w:val="0"/>
              <w:snapToGrid w:val="0"/>
              <w:spacing w:line="360" w:lineRule="auto"/>
              <w:jc w:val="center"/>
              <w:outlineLvl w:val="1"/>
              <w:rPr>
                <w:rFonts w:ascii="仿宋" w:hAnsi="仿宋" w:eastAsia="仿宋" w:cs="仿宋"/>
                <w:spacing w:val="4"/>
                <w:sz w:val="24"/>
              </w:rPr>
            </w:pPr>
            <w:bookmarkStart w:id="46" w:name="_Toc433"/>
            <w:bookmarkStart w:id="47" w:name="_Toc2749"/>
            <w:bookmarkStart w:id="48" w:name="_Toc7791"/>
            <w:bookmarkStart w:id="49" w:name="_Toc21015"/>
            <w:r>
              <w:rPr>
                <w:rFonts w:hint="eastAsia" w:ascii="仿宋" w:hAnsi="仿宋" w:eastAsia="仿宋" w:cs="仿宋"/>
                <w:spacing w:val="4"/>
                <w:sz w:val="24"/>
              </w:rPr>
              <w:t>12</w:t>
            </w:r>
            <w:bookmarkEnd w:id="46"/>
            <w:bookmarkEnd w:id="47"/>
            <w:bookmarkEnd w:id="48"/>
            <w:bookmarkEnd w:id="4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3" w:type="pct"/>
            <w:vAlign w:val="top"/>
          </w:tcPr>
          <w:p>
            <w:pPr>
              <w:adjustRightInd w:val="0"/>
              <w:snapToGrid w:val="0"/>
              <w:spacing w:line="360" w:lineRule="auto"/>
              <w:jc w:val="center"/>
              <w:outlineLvl w:val="1"/>
              <w:rPr>
                <w:rFonts w:ascii="仿宋" w:hAnsi="仿宋" w:eastAsia="仿宋" w:cs="仿宋"/>
                <w:spacing w:val="4"/>
                <w:sz w:val="24"/>
              </w:rPr>
            </w:pPr>
            <w:bookmarkStart w:id="50" w:name="_Toc659"/>
            <w:bookmarkStart w:id="51" w:name="_Toc3641"/>
            <w:bookmarkStart w:id="52" w:name="_Toc11376"/>
            <w:bookmarkStart w:id="53" w:name="_Toc30947"/>
            <w:bookmarkStart w:id="54" w:name="_Toc10961"/>
            <w:r>
              <w:rPr>
                <w:rFonts w:hint="eastAsia" w:ascii="仿宋" w:hAnsi="仿宋" w:eastAsia="仿宋" w:cs="仿宋"/>
                <w:spacing w:val="9"/>
                <w:sz w:val="24"/>
              </w:rPr>
              <w:t>石狮市应急救援指挥中</w:t>
            </w:r>
            <w:r>
              <w:rPr>
                <w:rFonts w:hint="eastAsia" w:ascii="仿宋" w:hAnsi="仿宋" w:eastAsia="仿宋" w:cs="仿宋"/>
                <w:spacing w:val="8"/>
                <w:sz w:val="24"/>
              </w:rPr>
              <w:t>心</w:t>
            </w:r>
            <w:bookmarkEnd w:id="50"/>
            <w:bookmarkEnd w:id="51"/>
            <w:bookmarkEnd w:id="52"/>
            <w:bookmarkEnd w:id="53"/>
            <w:bookmarkEnd w:id="54"/>
          </w:p>
        </w:tc>
        <w:tc>
          <w:tcPr>
            <w:tcW w:w="1350" w:type="pct"/>
            <w:vAlign w:val="top"/>
          </w:tcPr>
          <w:p>
            <w:pPr>
              <w:adjustRightInd w:val="0"/>
              <w:snapToGrid w:val="0"/>
              <w:spacing w:line="360" w:lineRule="auto"/>
              <w:jc w:val="center"/>
              <w:rPr>
                <w:rFonts w:ascii="仿宋" w:hAnsi="仿宋" w:eastAsia="仿宋" w:cs="仿宋"/>
                <w:spacing w:val="4"/>
                <w:sz w:val="24"/>
              </w:rPr>
            </w:pPr>
            <w:r>
              <w:rPr>
                <w:rFonts w:hint="eastAsia" w:ascii="仿宋" w:hAnsi="仿宋" w:eastAsia="仿宋" w:cs="仿宋"/>
                <w:spacing w:val="4"/>
                <w:sz w:val="24"/>
              </w:rPr>
              <w:t>15</w:t>
            </w:r>
          </w:p>
        </w:tc>
        <w:tc>
          <w:tcPr>
            <w:tcW w:w="1666" w:type="pct"/>
            <w:vAlign w:val="top"/>
          </w:tcPr>
          <w:p>
            <w:pPr>
              <w:adjustRightInd w:val="0"/>
              <w:snapToGrid w:val="0"/>
              <w:spacing w:line="360" w:lineRule="auto"/>
              <w:jc w:val="center"/>
              <w:outlineLvl w:val="1"/>
              <w:rPr>
                <w:rFonts w:ascii="仿宋" w:hAnsi="仿宋" w:eastAsia="仿宋" w:cs="仿宋"/>
                <w:spacing w:val="4"/>
                <w:sz w:val="24"/>
              </w:rPr>
            </w:pPr>
            <w:bookmarkStart w:id="55" w:name="_Toc22553"/>
            <w:bookmarkStart w:id="56" w:name="_Toc27217"/>
            <w:bookmarkStart w:id="57" w:name="_Toc21973"/>
            <w:bookmarkStart w:id="58" w:name="_Toc13126"/>
            <w:r>
              <w:rPr>
                <w:rFonts w:hint="eastAsia" w:ascii="仿宋" w:hAnsi="仿宋" w:eastAsia="仿宋" w:cs="仿宋"/>
                <w:spacing w:val="4"/>
                <w:sz w:val="24"/>
              </w:rPr>
              <w:t>13</w:t>
            </w:r>
            <w:bookmarkEnd w:id="55"/>
            <w:bookmarkEnd w:id="56"/>
            <w:bookmarkEnd w:id="57"/>
            <w:bookmarkEnd w:id="5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3" w:type="pct"/>
            <w:vAlign w:val="top"/>
          </w:tcPr>
          <w:p>
            <w:pPr>
              <w:adjustRightInd w:val="0"/>
              <w:snapToGrid w:val="0"/>
              <w:spacing w:line="360" w:lineRule="auto"/>
              <w:jc w:val="center"/>
              <w:outlineLvl w:val="1"/>
              <w:rPr>
                <w:rFonts w:ascii="仿宋" w:hAnsi="仿宋" w:eastAsia="仿宋" w:cs="仿宋"/>
                <w:spacing w:val="4"/>
                <w:sz w:val="24"/>
              </w:rPr>
            </w:pPr>
            <w:bookmarkStart w:id="59" w:name="_Toc11041"/>
            <w:bookmarkStart w:id="60" w:name="_Toc20504"/>
            <w:bookmarkStart w:id="61" w:name="_Toc8071"/>
            <w:bookmarkStart w:id="62" w:name="_Toc3559"/>
            <w:bookmarkStart w:id="63" w:name="_Toc13273"/>
            <w:r>
              <w:rPr>
                <w:rFonts w:hint="eastAsia" w:ascii="仿宋" w:hAnsi="仿宋" w:eastAsia="仿宋" w:cs="仿宋"/>
                <w:spacing w:val="4"/>
                <w:sz w:val="24"/>
              </w:rPr>
              <w:t>石狮市地震办公室</w:t>
            </w:r>
            <w:bookmarkEnd w:id="59"/>
            <w:bookmarkEnd w:id="60"/>
            <w:bookmarkEnd w:id="61"/>
            <w:bookmarkEnd w:id="62"/>
            <w:bookmarkEnd w:id="63"/>
          </w:p>
        </w:tc>
        <w:tc>
          <w:tcPr>
            <w:tcW w:w="1350" w:type="pct"/>
            <w:vAlign w:val="top"/>
          </w:tcPr>
          <w:p>
            <w:pPr>
              <w:adjustRightInd w:val="0"/>
              <w:snapToGrid w:val="0"/>
              <w:spacing w:line="360" w:lineRule="auto"/>
              <w:jc w:val="center"/>
              <w:rPr>
                <w:rFonts w:ascii="仿宋" w:hAnsi="仿宋" w:eastAsia="仿宋" w:cs="仿宋"/>
                <w:spacing w:val="4"/>
                <w:sz w:val="24"/>
              </w:rPr>
            </w:pPr>
            <w:r>
              <w:rPr>
                <w:rFonts w:hint="eastAsia" w:ascii="仿宋" w:hAnsi="仿宋" w:eastAsia="仿宋" w:cs="仿宋"/>
                <w:spacing w:val="4"/>
                <w:sz w:val="24"/>
              </w:rPr>
              <w:t>3</w:t>
            </w:r>
          </w:p>
        </w:tc>
        <w:tc>
          <w:tcPr>
            <w:tcW w:w="1666" w:type="pct"/>
            <w:vAlign w:val="top"/>
          </w:tcPr>
          <w:p>
            <w:pPr>
              <w:adjustRightInd w:val="0"/>
              <w:snapToGrid w:val="0"/>
              <w:spacing w:line="360" w:lineRule="auto"/>
              <w:jc w:val="center"/>
              <w:outlineLvl w:val="1"/>
              <w:rPr>
                <w:rFonts w:ascii="仿宋" w:hAnsi="仿宋" w:eastAsia="仿宋" w:cs="仿宋"/>
                <w:spacing w:val="4"/>
                <w:sz w:val="24"/>
              </w:rPr>
            </w:pPr>
            <w:bookmarkStart w:id="64" w:name="_Toc31166"/>
            <w:bookmarkStart w:id="65" w:name="_Toc22571"/>
            <w:bookmarkStart w:id="66" w:name="_Toc23869"/>
            <w:bookmarkStart w:id="67" w:name="_Toc14955"/>
            <w:r>
              <w:rPr>
                <w:rFonts w:hint="eastAsia" w:ascii="仿宋" w:hAnsi="仿宋" w:eastAsia="仿宋" w:cs="仿宋"/>
                <w:spacing w:val="4"/>
                <w:sz w:val="24"/>
              </w:rPr>
              <w:t>2</w:t>
            </w:r>
            <w:bookmarkEnd w:id="64"/>
            <w:bookmarkEnd w:id="65"/>
            <w:bookmarkEnd w:id="66"/>
            <w:bookmarkEnd w:id="6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983" w:type="pct"/>
            <w:vAlign w:val="top"/>
          </w:tcPr>
          <w:p>
            <w:pPr>
              <w:adjustRightInd w:val="0"/>
              <w:snapToGrid w:val="0"/>
              <w:spacing w:line="360" w:lineRule="auto"/>
              <w:jc w:val="center"/>
              <w:outlineLvl w:val="1"/>
              <w:rPr>
                <w:rFonts w:ascii="仿宋" w:hAnsi="仿宋" w:eastAsia="仿宋" w:cs="仿宋"/>
                <w:spacing w:val="4"/>
                <w:sz w:val="24"/>
              </w:rPr>
            </w:pPr>
            <w:bookmarkStart w:id="68" w:name="_Toc3273"/>
            <w:bookmarkStart w:id="69" w:name="_Toc28874"/>
            <w:bookmarkStart w:id="70" w:name="_Toc31398"/>
            <w:bookmarkStart w:id="71" w:name="_Toc27088"/>
            <w:bookmarkStart w:id="72" w:name="_Toc6048"/>
            <w:r>
              <w:rPr>
                <w:rFonts w:hint="eastAsia" w:ascii="仿宋" w:hAnsi="仿宋" w:eastAsia="仿宋" w:cs="仿宋"/>
                <w:spacing w:val="4"/>
                <w:sz w:val="24"/>
              </w:rPr>
              <w:t>合 计</w:t>
            </w:r>
            <w:bookmarkEnd w:id="68"/>
            <w:bookmarkEnd w:id="69"/>
            <w:bookmarkEnd w:id="70"/>
            <w:bookmarkEnd w:id="71"/>
            <w:bookmarkEnd w:id="72"/>
          </w:p>
        </w:tc>
        <w:tc>
          <w:tcPr>
            <w:tcW w:w="1350" w:type="pct"/>
            <w:vAlign w:val="top"/>
          </w:tcPr>
          <w:p>
            <w:pPr>
              <w:adjustRightInd w:val="0"/>
              <w:snapToGrid w:val="0"/>
              <w:spacing w:line="360" w:lineRule="auto"/>
              <w:jc w:val="center"/>
              <w:rPr>
                <w:rFonts w:ascii="仿宋" w:hAnsi="仿宋" w:eastAsia="仿宋" w:cs="仿宋"/>
                <w:spacing w:val="4"/>
                <w:sz w:val="24"/>
              </w:rPr>
            </w:pPr>
            <w:r>
              <w:rPr>
                <w:rFonts w:hint="eastAsia" w:ascii="仿宋" w:hAnsi="仿宋" w:eastAsia="仿宋" w:cs="仿宋"/>
                <w:spacing w:val="4"/>
                <w:sz w:val="24"/>
              </w:rPr>
              <w:t>40</w:t>
            </w:r>
          </w:p>
        </w:tc>
        <w:tc>
          <w:tcPr>
            <w:tcW w:w="1666" w:type="pct"/>
            <w:vAlign w:val="top"/>
          </w:tcPr>
          <w:p>
            <w:pPr>
              <w:adjustRightInd w:val="0"/>
              <w:snapToGrid w:val="0"/>
              <w:spacing w:line="360" w:lineRule="auto"/>
              <w:jc w:val="center"/>
              <w:outlineLvl w:val="1"/>
              <w:rPr>
                <w:rFonts w:ascii="仿宋" w:hAnsi="仿宋" w:eastAsia="仿宋" w:cs="仿宋"/>
                <w:spacing w:val="4"/>
                <w:sz w:val="24"/>
              </w:rPr>
            </w:pPr>
            <w:bookmarkStart w:id="73" w:name="_Toc25061"/>
            <w:bookmarkStart w:id="74" w:name="_Toc19086"/>
            <w:bookmarkStart w:id="75" w:name="_Toc13338"/>
            <w:bookmarkStart w:id="76" w:name="_Toc6645"/>
            <w:r>
              <w:rPr>
                <w:rFonts w:hint="eastAsia" w:ascii="仿宋" w:hAnsi="仿宋" w:eastAsia="仿宋" w:cs="仿宋"/>
                <w:spacing w:val="4"/>
                <w:sz w:val="24"/>
              </w:rPr>
              <w:t>36</w:t>
            </w:r>
            <w:bookmarkEnd w:id="73"/>
            <w:bookmarkEnd w:id="74"/>
            <w:bookmarkEnd w:id="75"/>
            <w:bookmarkEnd w:id="76"/>
          </w:p>
        </w:tc>
      </w:tr>
    </w:tbl>
    <w:p>
      <w:pPr>
        <w:pStyle w:val="7"/>
        <w:snapToGrid/>
        <w:spacing w:before="156" w:beforeLines="50" w:beforeAutospacing="0" w:afterAutospacing="0" w:line="360" w:lineRule="auto"/>
        <w:ind w:left="0" w:leftChars="0" w:right="0" w:rightChars="0" w:firstLine="0" w:firstLineChars="0"/>
        <w:jc w:val="left"/>
        <w:outlineLvl w:val="1"/>
        <w:rPr>
          <w:rFonts w:ascii="Times New Roman" w:hAnsi="仿宋" w:eastAsia="宋体" w:cs="仿宋"/>
          <w:b/>
          <w:spacing w:val="4"/>
          <w:kern w:val="2"/>
          <w:sz w:val="30"/>
          <w:szCs w:val="32"/>
        </w:rPr>
      </w:pPr>
      <w:bookmarkStart w:id="77" w:name="_Toc1896"/>
      <w:bookmarkStart w:id="78" w:name="_Toc9203"/>
      <w:bookmarkStart w:id="79" w:name="_Toc14974"/>
      <w:r>
        <w:rPr>
          <w:rFonts w:hint="eastAsia" w:ascii="Times New Roman" w:hAnsi="仿宋" w:eastAsia="宋体" w:cs="仿宋"/>
          <w:b/>
          <w:spacing w:val="4"/>
          <w:kern w:val="2"/>
          <w:sz w:val="30"/>
          <w:szCs w:val="32"/>
        </w:rPr>
        <w:t>（三）部门整体收支情况</w:t>
      </w:r>
      <w:bookmarkEnd w:id="77"/>
      <w:bookmarkEnd w:id="78"/>
      <w:bookmarkEnd w:id="79"/>
    </w:p>
    <w:p>
      <w:pPr>
        <w:snapToGrid/>
        <w:spacing w:beforeAutospacing="0" w:afterAutospacing="0" w:line="360" w:lineRule="auto"/>
        <w:ind w:left="0" w:leftChars="0" w:firstLine="576" w:firstLineChars="200"/>
        <w:rPr>
          <w:rFonts w:ascii="Times New Roman" w:hAnsi="仿宋" w:eastAsia="宋体" w:cs="仿宋"/>
          <w:spacing w:val="4"/>
          <w:sz w:val="28"/>
          <w:szCs w:val="32"/>
        </w:rPr>
      </w:pPr>
      <w:r>
        <w:rPr>
          <w:rFonts w:hint="eastAsia" w:ascii="Times New Roman" w:hAnsi="仿宋" w:eastAsia="宋体" w:cs="仿宋"/>
          <w:spacing w:val="4"/>
          <w:sz w:val="28"/>
          <w:szCs w:val="32"/>
        </w:rPr>
        <w:t>2022年，石狮市应急管理局部门整体支出年初预算680.97万元（其中：基本支出预算556.43万元，项目支出预算124.54万元）；调整后预算数1647.2万元；年末决算支出1606.95万元(基本支出857.89万元，项目支出749.06万元),年末结转和结余40.25万元。</w:t>
      </w:r>
    </w:p>
    <w:p>
      <w:pPr>
        <w:snapToGrid/>
        <w:spacing w:beforeAutospacing="0" w:afterAutospacing="0" w:line="360" w:lineRule="auto"/>
        <w:ind w:left="0" w:leftChars="0" w:firstLine="576" w:firstLineChars="200"/>
        <w:rPr>
          <w:rFonts w:ascii="Times New Roman" w:hAnsi="仿宋" w:eastAsia="宋体" w:cs="仿宋"/>
          <w:sz w:val="28"/>
          <w:szCs w:val="32"/>
        </w:rPr>
      </w:pPr>
      <w:r>
        <w:rPr>
          <w:rFonts w:hint="eastAsia" w:ascii="Times New Roman" w:hAnsi="仿宋" w:eastAsia="宋体" w:cs="仿宋"/>
          <w:spacing w:val="4"/>
          <w:sz w:val="28"/>
          <w:szCs w:val="32"/>
        </w:rPr>
        <w:t>收入支出预算及决算情况表如表2所示，部门支出明细表如表3所示</w:t>
      </w:r>
    </w:p>
    <w:p>
      <w:pPr>
        <w:ind w:left="0" w:leftChars="0" w:right="0" w:rightChars="0" w:firstLine="0" w:firstLineChars="0"/>
        <w:jc w:val="center"/>
        <w:rPr>
          <w:rFonts w:ascii="Times New Roman" w:hAnsi="仿宋" w:eastAsia="宋体" w:cs="仿宋"/>
          <w:b/>
          <w:bCs/>
          <w:spacing w:val="4"/>
          <w:sz w:val="24"/>
          <w:szCs w:val="28"/>
        </w:rPr>
      </w:pPr>
      <w:r>
        <w:rPr>
          <w:rFonts w:hint="eastAsia" w:ascii="Times New Roman" w:hAnsi="仿宋" w:eastAsia="宋体" w:cs="仿宋"/>
          <w:b/>
          <w:bCs/>
          <w:spacing w:val="4"/>
          <w:sz w:val="24"/>
          <w:szCs w:val="28"/>
        </w:rPr>
        <w:t>表2 收入支出预算及决算情况表</w:t>
      </w:r>
    </w:p>
    <w:tbl>
      <w:tblPr>
        <w:tblStyle w:val="17"/>
        <w:tblW w:w="8855" w:type="dxa"/>
        <w:tblInd w:w="0" w:type="dxa"/>
        <w:tblLayout w:type="fixed"/>
        <w:tblCellMar>
          <w:top w:w="0" w:type="dxa"/>
          <w:left w:w="108" w:type="dxa"/>
          <w:bottom w:w="0" w:type="dxa"/>
          <w:right w:w="108" w:type="dxa"/>
        </w:tblCellMar>
      </w:tblPr>
      <w:tblGrid>
        <w:gridCol w:w="2291"/>
        <w:gridCol w:w="1703"/>
        <w:gridCol w:w="2598"/>
        <w:gridCol w:w="2263"/>
      </w:tblGrid>
      <w:tr>
        <w:tblPrEx>
          <w:tblCellMar>
            <w:top w:w="0" w:type="dxa"/>
            <w:left w:w="108" w:type="dxa"/>
            <w:bottom w:w="0" w:type="dxa"/>
            <w:right w:w="108" w:type="dxa"/>
          </w:tblCellMar>
        </w:tblPrEx>
        <w:trPr>
          <w:trHeight w:val="90" w:hRule="atLeast"/>
        </w:trPr>
        <w:tc>
          <w:tcPr>
            <w:tcW w:w="229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spacing w:val="4"/>
                <w:sz w:val="24"/>
              </w:rPr>
            </w:pPr>
            <w:r>
              <w:rPr>
                <w:rFonts w:hint="eastAsia" w:ascii="宋体" w:hAnsi="宋体" w:eastAsia="宋体" w:cs="宋体"/>
                <w:spacing w:val="4"/>
                <w:sz w:val="24"/>
              </w:rPr>
              <w:t>项目</w:t>
            </w:r>
          </w:p>
        </w:tc>
        <w:tc>
          <w:tcPr>
            <w:tcW w:w="1703"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spacing w:val="4"/>
                <w:sz w:val="24"/>
              </w:rPr>
            </w:pPr>
            <w:r>
              <w:rPr>
                <w:rFonts w:hint="eastAsia" w:ascii="宋体" w:hAnsi="宋体" w:eastAsia="宋体" w:cs="宋体"/>
                <w:spacing w:val="4"/>
                <w:sz w:val="24"/>
              </w:rPr>
              <w:t>年初预算数</w:t>
            </w:r>
          </w:p>
          <w:p>
            <w:pPr>
              <w:widowControl/>
              <w:jc w:val="center"/>
              <w:rPr>
                <w:rFonts w:ascii="宋体" w:hAnsi="宋体" w:eastAsia="宋体" w:cs="宋体"/>
                <w:spacing w:val="4"/>
                <w:sz w:val="24"/>
              </w:rPr>
            </w:pPr>
            <w:r>
              <w:rPr>
                <w:rFonts w:hint="eastAsia" w:ascii="宋体" w:hAnsi="宋体" w:eastAsia="宋体" w:cs="宋体"/>
                <w:spacing w:val="4"/>
                <w:sz w:val="24"/>
              </w:rPr>
              <w:t>（万元）</w:t>
            </w:r>
          </w:p>
        </w:tc>
        <w:tc>
          <w:tcPr>
            <w:tcW w:w="2598"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spacing w:val="4"/>
                <w:sz w:val="24"/>
              </w:rPr>
            </w:pPr>
            <w:r>
              <w:rPr>
                <w:rFonts w:hint="eastAsia" w:ascii="宋体" w:hAnsi="宋体" w:eastAsia="宋体" w:cs="宋体"/>
                <w:spacing w:val="4"/>
                <w:sz w:val="24"/>
              </w:rPr>
              <w:t>调整后预算数</w:t>
            </w:r>
          </w:p>
          <w:p>
            <w:pPr>
              <w:widowControl/>
              <w:jc w:val="center"/>
              <w:rPr>
                <w:rFonts w:ascii="宋体" w:hAnsi="宋体" w:eastAsia="宋体" w:cs="宋体"/>
                <w:spacing w:val="4"/>
                <w:sz w:val="24"/>
              </w:rPr>
            </w:pPr>
            <w:r>
              <w:rPr>
                <w:rFonts w:hint="eastAsia" w:ascii="宋体" w:hAnsi="宋体" w:eastAsia="宋体" w:cs="宋体"/>
                <w:spacing w:val="4"/>
                <w:sz w:val="24"/>
              </w:rPr>
              <w:t>（万元）</w:t>
            </w:r>
          </w:p>
        </w:tc>
        <w:tc>
          <w:tcPr>
            <w:tcW w:w="2263"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spacing w:val="4"/>
                <w:sz w:val="24"/>
              </w:rPr>
            </w:pPr>
            <w:r>
              <w:rPr>
                <w:rFonts w:hint="eastAsia" w:ascii="宋体" w:hAnsi="宋体" w:eastAsia="宋体" w:cs="宋体"/>
                <w:spacing w:val="4"/>
                <w:sz w:val="24"/>
              </w:rPr>
              <w:t xml:space="preserve"> 决算数</w:t>
            </w:r>
          </w:p>
          <w:p>
            <w:pPr>
              <w:widowControl/>
              <w:jc w:val="center"/>
              <w:rPr>
                <w:rFonts w:ascii="宋体" w:hAnsi="宋体" w:eastAsia="宋体" w:cs="宋体"/>
                <w:spacing w:val="4"/>
                <w:sz w:val="24"/>
              </w:rPr>
            </w:pPr>
            <w:r>
              <w:rPr>
                <w:rFonts w:hint="eastAsia" w:ascii="宋体" w:hAnsi="宋体" w:eastAsia="宋体" w:cs="宋体"/>
                <w:spacing w:val="4"/>
                <w:sz w:val="24"/>
              </w:rPr>
              <w:t>（万元）</w:t>
            </w:r>
          </w:p>
        </w:tc>
      </w:tr>
      <w:tr>
        <w:tblPrEx>
          <w:tblCellMar>
            <w:top w:w="0" w:type="dxa"/>
            <w:left w:w="108" w:type="dxa"/>
            <w:bottom w:w="0" w:type="dxa"/>
            <w:right w:w="108" w:type="dxa"/>
          </w:tblCellMar>
        </w:tblPrEx>
        <w:trPr>
          <w:trHeight w:val="432" w:hRule="atLeast"/>
        </w:trPr>
        <w:tc>
          <w:tcPr>
            <w:tcW w:w="229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spacing w:val="4"/>
                <w:sz w:val="24"/>
              </w:rPr>
            </w:pPr>
            <w:r>
              <w:rPr>
                <w:rFonts w:hint="eastAsia" w:ascii="宋体" w:hAnsi="宋体" w:eastAsia="宋体" w:cs="宋体"/>
                <w:spacing w:val="4"/>
                <w:sz w:val="24"/>
              </w:rPr>
              <w:t>收入预算</w:t>
            </w:r>
          </w:p>
        </w:tc>
        <w:tc>
          <w:tcPr>
            <w:tcW w:w="170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spacing w:val="4"/>
                <w:sz w:val="24"/>
              </w:rPr>
            </w:pPr>
            <w:r>
              <w:rPr>
                <w:rFonts w:hint="eastAsia" w:ascii="宋体" w:hAnsi="宋体" w:eastAsia="宋体" w:cs="宋体"/>
                <w:spacing w:val="4"/>
                <w:sz w:val="24"/>
              </w:rPr>
              <w:t>680.97</w:t>
            </w:r>
          </w:p>
        </w:tc>
        <w:tc>
          <w:tcPr>
            <w:tcW w:w="259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spacing w:val="4"/>
                <w:sz w:val="24"/>
              </w:rPr>
            </w:pPr>
            <w:r>
              <w:rPr>
                <w:rFonts w:hint="eastAsia" w:ascii="宋体" w:hAnsi="宋体" w:eastAsia="宋体" w:cs="宋体"/>
                <w:spacing w:val="4"/>
                <w:sz w:val="24"/>
              </w:rPr>
              <w:t>1530.31</w:t>
            </w:r>
          </w:p>
        </w:tc>
        <w:tc>
          <w:tcPr>
            <w:tcW w:w="226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spacing w:val="4"/>
                <w:sz w:val="24"/>
              </w:rPr>
            </w:pPr>
            <w:r>
              <w:rPr>
                <w:rFonts w:hint="eastAsia" w:ascii="宋体" w:hAnsi="宋体" w:eastAsia="宋体" w:cs="宋体"/>
                <w:spacing w:val="4"/>
                <w:sz w:val="24"/>
              </w:rPr>
              <w:t>1530.31</w:t>
            </w:r>
          </w:p>
        </w:tc>
      </w:tr>
      <w:tr>
        <w:tblPrEx>
          <w:tblCellMar>
            <w:top w:w="0" w:type="dxa"/>
            <w:left w:w="108" w:type="dxa"/>
            <w:bottom w:w="0" w:type="dxa"/>
            <w:right w:w="108" w:type="dxa"/>
          </w:tblCellMar>
        </w:tblPrEx>
        <w:trPr>
          <w:trHeight w:val="432" w:hRule="atLeast"/>
        </w:trPr>
        <w:tc>
          <w:tcPr>
            <w:tcW w:w="229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spacing w:val="4"/>
                <w:sz w:val="24"/>
              </w:rPr>
            </w:pPr>
            <w:r>
              <w:rPr>
                <w:rFonts w:hint="eastAsia" w:ascii="宋体" w:hAnsi="宋体" w:eastAsia="宋体" w:cs="宋体"/>
                <w:spacing w:val="4"/>
                <w:sz w:val="24"/>
              </w:rPr>
              <w:t>年初结转和结余</w:t>
            </w:r>
          </w:p>
        </w:tc>
        <w:tc>
          <w:tcPr>
            <w:tcW w:w="170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spacing w:val="4"/>
                <w:sz w:val="24"/>
              </w:rPr>
            </w:pPr>
            <w:r>
              <w:rPr>
                <w:rFonts w:hint="eastAsia" w:ascii="宋体" w:hAnsi="宋体" w:eastAsia="宋体" w:cs="宋体"/>
                <w:spacing w:val="4"/>
                <w:sz w:val="24"/>
              </w:rPr>
              <w:t>0</w:t>
            </w:r>
          </w:p>
        </w:tc>
        <w:tc>
          <w:tcPr>
            <w:tcW w:w="259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spacing w:val="4"/>
                <w:sz w:val="24"/>
              </w:rPr>
            </w:pPr>
            <w:r>
              <w:rPr>
                <w:rFonts w:hint="eastAsia" w:ascii="宋体" w:hAnsi="宋体" w:eastAsia="宋体" w:cs="宋体"/>
                <w:spacing w:val="4"/>
                <w:sz w:val="24"/>
              </w:rPr>
              <w:t>116.89</w:t>
            </w:r>
          </w:p>
        </w:tc>
        <w:tc>
          <w:tcPr>
            <w:tcW w:w="226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spacing w:val="4"/>
                <w:sz w:val="24"/>
              </w:rPr>
            </w:pPr>
            <w:r>
              <w:rPr>
                <w:rFonts w:hint="eastAsia" w:ascii="宋体" w:hAnsi="宋体" w:eastAsia="宋体" w:cs="宋体"/>
                <w:spacing w:val="4"/>
                <w:sz w:val="24"/>
              </w:rPr>
              <w:t>116.89</w:t>
            </w:r>
          </w:p>
        </w:tc>
      </w:tr>
      <w:tr>
        <w:tblPrEx>
          <w:tblCellMar>
            <w:top w:w="0" w:type="dxa"/>
            <w:left w:w="108" w:type="dxa"/>
            <w:bottom w:w="0" w:type="dxa"/>
            <w:right w:w="108" w:type="dxa"/>
          </w:tblCellMar>
        </w:tblPrEx>
        <w:trPr>
          <w:trHeight w:val="432" w:hRule="atLeast"/>
        </w:trPr>
        <w:tc>
          <w:tcPr>
            <w:tcW w:w="229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spacing w:val="4"/>
                <w:sz w:val="24"/>
              </w:rPr>
            </w:pPr>
            <w:r>
              <w:rPr>
                <w:rFonts w:hint="eastAsia" w:ascii="宋体" w:hAnsi="宋体" w:eastAsia="宋体" w:cs="宋体"/>
                <w:spacing w:val="4"/>
                <w:sz w:val="24"/>
              </w:rPr>
              <w:t xml:space="preserve">合计 </w:t>
            </w:r>
          </w:p>
        </w:tc>
        <w:tc>
          <w:tcPr>
            <w:tcW w:w="170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spacing w:val="4"/>
                <w:sz w:val="24"/>
              </w:rPr>
            </w:pPr>
            <w:r>
              <w:rPr>
                <w:rFonts w:hint="eastAsia" w:ascii="宋体" w:hAnsi="宋体" w:eastAsia="宋体" w:cs="宋体"/>
                <w:spacing w:val="4"/>
                <w:sz w:val="24"/>
              </w:rPr>
              <w:t>680.97</w:t>
            </w:r>
          </w:p>
        </w:tc>
        <w:tc>
          <w:tcPr>
            <w:tcW w:w="259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spacing w:val="4"/>
                <w:sz w:val="24"/>
              </w:rPr>
            </w:pPr>
            <w:r>
              <w:rPr>
                <w:rFonts w:hint="eastAsia" w:ascii="宋体" w:hAnsi="宋体" w:eastAsia="宋体" w:cs="宋体"/>
                <w:spacing w:val="4"/>
                <w:sz w:val="24"/>
              </w:rPr>
              <w:t>1647.2</w:t>
            </w:r>
          </w:p>
        </w:tc>
        <w:tc>
          <w:tcPr>
            <w:tcW w:w="226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spacing w:val="4"/>
                <w:sz w:val="24"/>
              </w:rPr>
            </w:pPr>
            <w:r>
              <w:rPr>
                <w:rFonts w:hint="eastAsia" w:ascii="宋体" w:hAnsi="宋体" w:eastAsia="宋体" w:cs="宋体"/>
                <w:spacing w:val="4"/>
                <w:sz w:val="24"/>
              </w:rPr>
              <w:t>1647.2</w:t>
            </w:r>
          </w:p>
        </w:tc>
      </w:tr>
      <w:tr>
        <w:tblPrEx>
          <w:tblCellMar>
            <w:top w:w="0" w:type="dxa"/>
            <w:left w:w="108" w:type="dxa"/>
            <w:bottom w:w="0" w:type="dxa"/>
            <w:right w:w="108" w:type="dxa"/>
          </w:tblCellMar>
        </w:tblPrEx>
        <w:trPr>
          <w:trHeight w:val="432" w:hRule="atLeast"/>
        </w:trPr>
        <w:tc>
          <w:tcPr>
            <w:tcW w:w="229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spacing w:val="4"/>
                <w:sz w:val="24"/>
              </w:rPr>
            </w:pPr>
            <w:r>
              <w:rPr>
                <w:rFonts w:hint="eastAsia" w:ascii="宋体" w:hAnsi="宋体" w:eastAsia="宋体" w:cs="宋体"/>
                <w:spacing w:val="4"/>
                <w:sz w:val="24"/>
              </w:rPr>
              <w:t>基本支出</w:t>
            </w:r>
          </w:p>
        </w:tc>
        <w:tc>
          <w:tcPr>
            <w:tcW w:w="170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spacing w:val="4"/>
                <w:sz w:val="24"/>
              </w:rPr>
            </w:pPr>
            <w:r>
              <w:rPr>
                <w:rFonts w:hint="eastAsia" w:ascii="宋体" w:hAnsi="宋体" w:eastAsia="宋体" w:cs="宋体"/>
                <w:spacing w:val="4"/>
                <w:sz w:val="24"/>
              </w:rPr>
              <w:t>556.43</w:t>
            </w:r>
          </w:p>
        </w:tc>
        <w:tc>
          <w:tcPr>
            <w:tcW w:w="259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spacing w:val="4"/>
                <w:sz w:val="24"/>
              </w:rPr>
            </w:pPr>
            <w:r>
              <w:rPr>
                <w:rFonts w:hint="eastAsia" w:ascii="宋体" w:hAnsi="宋体" w:eastAsia="宋体" w:cs="宋体"/>
                <w:spacing w:val="4"/>
                <w:sz w:val="24"/>
              </w:rPr>
              <w:t>881.39</w:t>
            </w:r>
          </w:p>
        </w:tc>
        <w:tc>
          <w:tcPr>
            <w:tcW w:w="226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spacing w:val="4"/>
                <w:sz w:val="24"/>
              </w:rPr>
            </w:pPr>
            <w:r>
              <w:rPr>
                <w:rFonts w:hint="eastAsia" w:ascii="宋体" w:hAnsi="宋体" w:eastAsia="宋体" w:cs="宋体"/>
                <w:spacing w:val="4"/>
                <w:sz w:val="24"/>
              </w:rPr>
              <w:t>857.89</w:t>
            </w:r>
          </w:p>
        </w:tc>
      </w:tr>
      <w:tr>
        <w:tblPrEx>
          <w:tblCellMar>
            <w:top w:w="0" w:type="dxa"/>
            <w:left w:w="108" w:type="dxa"/>
            <w:bottom w:w="0" w:type="dxa"/>
            <w:right w:w="108" w:type="dxa"/>
          </w:tblCellMar>
        </w:tblPrEx>
        <w:trPr>
          <w:trHeight w:val="432" w:hRule="atLeast"/>
        </w:trPr>
        <w:tc>
          <w:tcPr>
            <w:tcW w:w="229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spacing w:val="4"/>
                <w:sz w:val="24"/>
              </w:rPr>
            </w:pPr>
            <w:r>
              <w:rPr>
                <w:rFonts w:hint="eastAsia" w:ascii="宋体" w:hAnsi="宋体" w:eastAsia="宋体" w:cs="宋体"/>
                <w:spacing w:val="4"/>
                <w:sz w:val="24"/>
              </w:rPr>
              <w:t>项目支出</w:t>
            </w:r>
          </w:p>
        </w:tc>
        <w:tc>
          <w:tcPr>
            <w:tcW w:w="170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spacing w:val="4"/>
                <w:sz w:val="24"/>
              </w:rPr>
            </w:pPr>
            <w:r>
              <w:rPr>
                <w:rFonts w:hint="eastAsia" w:ascii="宋体" w:hAnsi="宋体" w:eastAsia="宋体" w:cs="宋体"/>
                <w:spacing w:val="4"/>
                <w:sz w:val="24"/>
              </w:rPr>
              <w:t>124.54</w:t>
            </w:r>
          </w:p>
        </w:tc>
        <w:tc>
          <w:tcPr>
            <w:tcW w:w="259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spacing w:val="4"/>
                <w:sz w:val="24"/>
              </w:rPr>
            </w:pPr>
            <w:r>
              <w:rPr>
                <w:rFonts w:hint="eastAsia" w:ascii="宋体" w:hAnsi="宋体" w:eastAsia="宋体" w:cs="宋体"/>
                <w:spacing w:val="4"/>
                <w:sz w:val="24"/>
              </w:rPr>
              <w:t>765.81</w:t>
            </w:r>
          </w:p>
        </w:tc>
        <w:tc>
          <w:tcPr>
            <w:tcW w:w="226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spacing w:val="4"/>
                <w:sz w:val="24"/>
              </w:rPr>
            </w:pPr>
            <w:r>
              <w:rPr>
                <w:rFonts w:hint="eastAsia" w:ascii="宋体" w:hAnsi="宋体" w:eastAsia="宋体" w:cs="宋体"/>
                <w:spacing w:val="4"/>
                <w:sz w:val="24"/>
              </w:rPr>
              <w:t>749.06</w:t>
            </w:r>
          </w:p>
        </w:tc>
      </w:tr>
      <w:tr>
        <w:tblPrEx>
          <w:tblCellMar>
            <w:top w:w="0" w:type="dxa"/>
            <w:left w:w="108" w:type="dxa"/>
            <w:bottom w:w="0" w:type="dxa"/>
            <w:right w:w="108" w:type="dxa"/>
          </w:tblCellMar>
        </w:tblPrEx>
        <w:trPr>
          <w:trHeight w:val="432" w:hRule="atLeast"/>
        </w:trPr>
        <w:tc>
          <w:tcPr>
            <w:tcW w:w="229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spacing w:val="4"/>
                <w:sz w:val="24"/>
              </w:rPr>
            </w:pPr>
            <w:r>
              <w:rPr>
                <w:rFonts w:hint="eastAsia" w:ascii="宋体" w:hAnsi="宋体" w:eastAsia="宋体" w:cs="宋体"/>
                <w:spacing w:val="4"/>
                <w:sz w:val="24"/>
              </w:rPr>
              <w:t>合计</w:t>
            </w:r>
          </w:p>
        </w:tc>
        <w:tc>
          <w:tcPr>
            <w:tcW w:w="170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spacing w:val="4"/>
                <w:sz w:val="24"/>
              </w:rPr>
            </w:pPr>
            <w:r>
              <w:rPr>
                <w:rFonts w:hint="eastAsia" w:ascii="宋体" w:hAnsi="宋体" w:eastAsia="宋体" w:cs="宋体"/>
                <w:spacing w:val="4"/>
                <w:sz w:val="24"/>
              </w:rPr>
              <w:t>680.97</w:t>
            </w:r>
          </w:p>
        </w:tc>
        <w:tc>
          <w:tcPr>
            <w:tcW w:w="259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sz w:val="24"/>
              </w:rPr>
            </w:pPr>
            <w:r>
              <w:rPr>
                <w:rFonts w:hint="eastAsia" w:ascii="宋体" w:hAnsi="宋体" w:eastAsia="宋体" w:cs="宋体"/>
                <w:sz w:val="24"/>
              </w:rPr>
              <w:t>1647.2</w:t>
            </w:r>
          </w:p>
        </w:tc>
        <w:tc>
          <w:tcPr>
            <w:tcW w:w="226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spacing w:val="4"/>
                <w:sz w:val="24"/>
              </w:rPr>
            </w:pPr>
            <w:r>
              <w:rPr>
                <w:rFonts w:hint="eastAsia" w:ascii="宋体" w:hAnsi="宋体" w:eastAsia="宋体" w:cs="宋体"/>
                <w:b/>
                <w:bCs/>
                <w:spacing w:val="4"/>
                <w:sz w:val="24"/>
              </w:rPr>
              <w:t>1606.95</w:t>
            </w:r>
          </w:p>
        </w:tc>
      </w:tr>
      <w:tr>
        <w:tblPrEx>
          <w:tblCellMar>
            <w:top w:w="0" w:type="dxa"/>
            <w:left w:w="108" w:type="dxa"/>
            <w:bottom w:w="0" w:type="dxa"/>
            <w:right w:w="108" w:type="dxa"/>
          </w:tblCellMar>
        </w:tblPrEx>
        <w:trPr>
          <w:trHeight w:val="432" w:hRule="atLeast"/>
        </w:trPr>
        <w:tc>
          <w:tcPr>
            <w:tcW w:w="229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spacing w:val="4"/>
                <w:sz w:val="24"/>
              </w:rPr>
            </w:pPr>
            <w:r>
              <w:rPr>
                <w:rFonts w:hint="eastAsia" w:ascii="宋体" w:hAnsi="宋体" w:eastAsia="宋体" w:cs="宋体"/>
                <w:spacing w:val="4"/>
                <w:sz w:val="24"/>
              </w:rPr>
              <w:t>年末结转和结余</w:t>
            </w:r>
          </w:p>
        </w:tc>
        <w:tc>
          <w:tcPr>
            <w:tcW w:w="170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spacing w:val="4"/>
                <w:sz w:val="24"/>
              </w:rPr>
            </w:pPr>
            <w:r>
              <w:rPr>
                <w:rFonts w:hint="eastAsia" w:ascii="宋体" w:hAnsi="宋体" w:eastAsia="宋体" w:cs="宋体"/>
                <w:spacing w:val="4"/>
                <w:sz w:val="24"/>
              </w:rPr>
              <w:t>0</w:t>
            </w:r>
          </w:p>
        </w:tc>
        <w:tc>
          <w:tcPr>
            <w:tcW w:w="259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spacing w:val="4"/>
                <w:sz w:val="24"/>
              </w:rPr>
            </w:pPr>
            <w:r>
              <w:rPr>
                <w:rFonts w:hint="eastAsia" w:ascii="宋体" w:hAnsi="宋体" w:eastAsia="宋体" w:cs="宋体"/>
                <w:spacing w:val="4"/>
                <w:sz w:val="24"/>
              </w:rPr>
              <w:t>0</w:t>
            </w:r>
          </w:p>
        </w:tc>
        <w:tc>
          <w:tcPr>
            <w:tcW w:w="226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spacing w:val="4"/>
                <w:sz w:val="24"/>
              </w:rPr>
            </w:pPr>
            <w:r>
              <w:rPr>
                <w:rFonts w:hint="eastAsia" w:ascii="宋体" w:hAnsi="宋体" w:eastAsia="宋体" w:cs="宋体"/>
                <w:b/>
                <w:bCs/>
                <w:spacing w:val="4"/>
                <w:sz w:val="24"/>
              </w:rPr>
              <w:t>40.25</w:t>
            </w:r>
          </w:p>
        </w:tc>
      </w:tr>
      <w:tr>
        <w:tblPrEx>
          <w:tblCellMar>
            <w:top w:w="0" w:type="dxa"/>
            <w:left w:w="108" w:type="dxa"/>
            <w:bottom w:w="0" w:type="dxa"/>
            <w:right w:w="108" w:type="dxa"/>
          </w:tblCellMar>
        </w:tblPrEx>
        <w:trPr>
          <w:trHeight w:val="432" w:hRule="atLeast"/>
        </w:trPr>
        <w:tc>
          <w:tcPr>
            <w:tcW w:w="229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spacing w:val="4"/>
                <w:sz w:val="24"/>
              </w:rPr>
            </w:pPr>
            <w:r>
              <w:rPr>
                <w:rFonts w:hint="eastAsia" w:ascii="宋体" w:hAnsi="宋体" w:eastAsia="宋体" w:cs="宋体"/>
                <w:b/>
                <w:bCs/>
                <w:spacing w:val="4"/>
                <w:sz w:val="24"/>
              </w:rPr>
              <w:t xml:space="preserve">合计 </w:t>
            </w:r>
          </w:p>
        </w:tc>
        <w:tc>
          <w:tcPr>
            <w:tcW w:w="170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spacing w:val="4"/>
                <w:sz w:val="24"/>
              </w:rPr>
            </w:pPr>
            <w:r>
              <w:rPr>
                <w:rFonts w:hint="eastAsia" w:ascii="宋体" w:hAnsi="宋体" w:eastAsia="宋体" w:cs="宋体"/>
                <w:b/>
                <w:bCs/>
                <w:spacing w:val="4"/>
                <w:sz w:val="24"/>
              </w:rPr>
              <w:t>680.97</w:t>
            </w:r>
          </w:p>
        </w:tc>
        <w:tc>
          <w:tcPr>
            <w:tcW w:w="259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spacing w:val="4"/>
                <w:sz w:val="24"/>
              </w:rPr>
            </w:pPr>
            <w:r>
              <w:rPr>
                <w:rFonts w:hint="eastAsia" w:ascii="宋体" w:hAnsi="宋体" w:eastAsia="宋体" w:cs="宋体"/>
                <w:b/>
                <w:bCs/>
                <w:sz w:val="24"/>
              </w:rPr>
              <w:t>1647.2</w:t>
            </w:r>
          </w:p>
        </w:tc>
        <w:tc>
          <w:tcPr>
            <w:tcW w:w="226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spacing w:val="4"/>
                <w:sz w:val="24"/>
              </w:rPr>
            </w:pPr>
            <w:r>
              <w:rPr>
                <w:rFonts w:hint="eastAsia" w:ascii="宋体" w:hAnsi="宋体" w:eastAsia="宋体" w:cs="宋体"/>
                <w:b/>
                <w:bCs/>
                <w:spacing w:val="4"/>
                <w:sz w:val="24"/>
              </w:rPr>
              <w:t>1647.2</w:t>
            </w:r>
          </w:p>
        </w:tc>
      </w:tr>
    </w:tbl>
    <w:p>
      <w:pPr>
        <w:ind w:left="0" w:leftChars="0" w:right="0" w:rightChars="0" w:firstLine="0" w:firstLineChars="0"/>
        <w:jc w:val="center"/>
        <w:rPr>
          <w:rFonts w:ascii="Times New Roman" w:hAnsi="仿宋" w:eastAsia="宋体" w:cs="仿宋"/>
          <w:b/>
          <w:bCs/>
          <w:spacing w:val="4"/>
          <w:sz w:val="24"/>
          <w:szCs w:val="28"/>
        </w:rPr>
      </w:pPr>
      <w:r>
        <w:rPr>
          <w:rFonts w:hint="eastAsia" w:ascii="Times New Roman" w:hAnsi="仿宋" w:eastAsia="宋体" w:cs="仿宋"/>
          <w:b/>
          <w:bCs/>
          <w:spacing w:val="4"/>
          <w:sz w:val="24"/>
          <w:szCs w:val="28"/>
        </w:rPr>
        <w:t>表3 部门支出明细表</w:t>
      </w:r>
    </w:p>
    <w:tbl>
      <w:tblPr>
        <w:tblStyle w:val="17"/>
        <w:tblW w:w="5194" w:type="pct"/>
        <w:tblInd w:w="0" w:type="dxa"/>
        <w:tblLayout w:type="fixed"/>
        <w:tblCellMar>
          <w:top w:w="0" w:type="dxa"/>
          <w:left w:w="108" w:type="dxa"/>
          <w:bottom w:w="0" w:type="dxa"/>
          <w:right w:w="108" w:type="dxa"/>
        </w:tblCellMar>
      </w:tblPr>
      <w:tblGrid>
        <w:gridCol w:w="3868"/>
        <w:gridCol w:w="1813"/>
        <w:gridCol w:w="1579"/>
        <w:gridCol w:w="1593"/>
      </w:tblGrid>
      <w:tr>
        <w:tblPrEx>
          <w:tblCellMar>
            <w:top w:w="0" w:type="dxa"/>
            <w:left w:w="108" w:type="dxa"/>
            <w:bottom w:w="0" w:type="dxa"/>
            <w:right w:w="108" w:type="dxa"/>
          </w:tblCellMar>
        </w:tblPrEx>
        <w:trPr>
          <w:trHeight w:val="555" w:hRule="atLeast"/>
        </w:trPr>
        <w:tc>
          <w:tcPr>
            <w:tcW w:w="2184"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szCs w:val="22"/>
                <w:lang w:bidi="ar"/>
              </w:rPr>
            </w:pPr>
            <w:r>
              <w:rPr>
                <w:rFonts w:hint="eastAsia" w:ascii="宋体" w:hAnsi="宋体" w:eastAsia="宋体" w:cs="宋体"/>
                <w:color w:val="000000"/>
                <w:kern w:val="0"/>
                <w:sz w:val="24"/>
                <w:lang w:bidi="ar"/>
              </w:rPr>
              <w:t>科目名称</w:t>
            </w:r>
          </w:p>
        </w:tc>
        <w:tc>
          <w:tcPr>
            <w:tcW w:w="102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szCs w:val="22"/>
                <w:lang w:bidi="ar"/>
              </w:rPr>
            </w:pPr>
            <w:r>
              <w:rPr>
                <w:rFonts w:hint="eastAsia" w:ascii="宋体" w:hAnsi="宋体" w:eastAsia="宋体" w:cs="宋体"/>
                <w:color w:val="000000"/>
                <w:kern w:val="0"/>
                <w:sz w:val="24"/>
                <w:lang w:bidi="ar"/>
              </w:rPr>
              <w:t>本年支出合计</w:t>
            </w:r>
          </w:p>
        </w:tc>
        <w:tc>
          <w:tcPr>
            <w:tcW w:w="891"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szCs w:val="22"/>
                <w:lang w:bidi="ar"/>
              </w:rPr>
            </w:pPr>
            <w:r>
              <w:rPr>
                <w:rFonts w:hint="eastAsia" w:ascii="宋体" w:hAnsi="宋体" w:eastAsia="宋体" w:cs="宋体"/>
                <w:color w:val="000000"/>
                <w:kern w:val="0"/>
                <w:sz w:val="24"/>
                <w:lang w:bidi="ar"/>
              </w:rPr>
              <w:t>基本支出</w:t>
            </w:r>
          </w:p>
        </w:tc>
        <w:tc>
          <w:tcPr>
            <w:tcW w:w="899"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szCs w:val="22"/>
                <w:lang w:bidi="ar"/>
              </w:rPr>
            </w:pPr>
            <w:r>
              <w:rPr>
                <w:rFonts w:hint="eastAsia" w:ascii="宋体" w:hAnsi="宋体" w:eastAsia="宋体" w:cs="宋体"/>
                <w:color w:val="000000"/>
                <w:kern w:val="0"/>
                <w:sz w:val="24"/>
                <w:lang w:bidi="ar"/>
              </w:rPr>
              <w:t>项目支出</w:t>
            </w:r>
          </w:p>
        </w:tc>
      </w:tr>
      <w:tr>
        <w:tblPrEx>
          <w:tblCellMar>
            <w:top w:w="0" w:type="dxa"/>
            <w:left w:w="108" w:type="dxa"/>
            <w:bottom w:w="0" w:type="dxa"/>
            <w:right w:w="108" w:type="dxa"/>
          </w:tblCellMar>
        </w:tblPrEx>
        <w:trPr>
          <w:trHeight w:val="427" w:hRule="atLeast"/>
        </w:trPr>
        <w:tc>
          <w:tcPr>
            <w:tcW w:w="2184"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合计</w:t>
            </w:r>
          </w:p>
        </w:tc>
        <w:tc>
          <w:tcPr>
            <w:tcW w:w="102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b/>
                <w:bCs/>
                <w:color w:val="000000"/>
                <w:kern w:val="0"/>
                <w:sz w:val="22"/>
                <w:szCs w:val="22"/>
                <w:lang w:bidi="ar"/>
              </w:rPr>
            </w:pPr>
            <w:r>
              <w:rPr>
                <w:rFonts w:hint="eastAsia" w:ascii="宋体" w:hAnsi="宋体" w:eastAsia="宋体" w:cs="宋体"/>
                <w:b/>
                <w:bCs/>
                <w:color w:val="000000"/>
                <w:kern w:val="0"/>
                <w:sz w:val="22"/>
                <w:szCs w:val="22"/>
                <w:lang w:bidi="ar"/>
              </w:rPr>
              <w:t>16,069,528.37</w:t>
            </w:r>
          </w:p>
        </w:tc>
        <w:tc>
          <w:tcPr>
            <w:tcW w:w="891"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b/>
                <w:bCs/>
                <w:color w:val="000000"/>
                <w:kern w:val="0"/>
                <w:sz w:val="22"/>
                <w:szCs w:val="22"/>
                <w:lang w:bidi="ar"/>
              </w:rPr>
            </w:pPr>
            <w:r>
              <w:rPr>
                <w:rFonts w:hint="eastAsia" w:ascii="宋体" w:hAnsi="宋体" w:eastAsia="宋体" w:cs="宋体"/>
                <w:b/>
                <w:bCs/>
                <w:color w:val="000000"/>
                <w:kern w:val="0"/>
                <w:sz w:val="22"/>
                <w:szCs w:val="22"/>
                <w:lang w:bidi="ar"/>
              </w:rPr>
              <w:t>8,578,926.54</w:t>
            </w:r>
          </w:p>
        </w:tc>
        <w:tc>
          <w:tcPr>
            <w:tcW w:w="899"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b/>
                <w:bCs/>
                <w:color w:val="000000"/>
                <w:kern w:val="0"/>
                <w:sz w:val="22"/>
                <w:szCs w:val="22"/>
                <w:lang w:bidi="ar"/>
              </w:rPr>
            </w:pPr>
            <w:r>
              <w:rPr>
                <w:rFonts w:hint="eastAsia" w:ascii="宋体" w:hAnsi="宋体" w:eastAsia="宋体" w:cs="宋体"/>
                <w:b/>
                <w:bCs/>
                <w:color w:val="000000"/>
                <w:kern w:val="0"/>
                <w:sz w:val="22"/>
                <w:szCs w:val="22"/>
                <w:lang w:bidi="ar"/>
              </w:rPr>
              <w:t>7,490,601.83</w:t>
            </w:r>
          </w:p>
        </w:tc>
      </w:tr>
      <w:tr>
        <w:tblPrEx>
          <w:tblCellMar>
            <w:top w:w="0" w:type="dxa"/>
            <w:left w:w="108" w:type="dxa"/>
            <w:bottom w:w="0" w:type="dxa"/>
            <w:right w:w="108" w:type="dxa"/>
          </w:tblCellMar>
        </w:tblPrEx>
        <w:trPr>
          <w:trHeight w:val="308" w:hRule="atLeast"/>
        </w:trPr>
        <w:tc>
          <w:tcPr>
            <w:tcW w:w="2184"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机关事业单位基本养老保险缴费支出</w:t>
            </w:r>
          </w:p>
        </w:tc>
        <w:tc>
          <w:tcPr>
            <w:tcW w:w="102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169,903.70</w:t>
            </w:r>
          </w:p>
        </w:tc>
        <w:tc>
          <w:tcPr>
            <w:tcW w:w="891"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169,903.70</w:t>
            </w:r>
          </w:p>
        </w:tc>
        <w:tc>
          <w:tcPr>
            <w:tcW w:w="899"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tblPrEx>
          <w:tblCellMar>
            <w:top w:w="0" w:type="dxa"/>
            <w:left w:w="108" w:type="dxa"/>
            <w:bottom w:w="0" w:type="dxa"/>
            <w:right w:w="108" w:type="dxa"/>
          </w:tblCellMar>
        </w:tblPrEx>
        <w:trPr>
          <w:trHeight w:val="308" w:hRule="atLeast"/>
        </w:trPr>
        <w:tc>
          <w:tcPr>
            <w:tcW w:w="2184"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机关事业单位职业年金缴费支出</w:t>
            </w:r>
          </w:p>
        </w:tc>
        <w:tc>
          <w:tcPr>
            <w:tcW w:w="102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95,629.36</w:t>
            </w:r>
          </w:p>
        </w:tc>
        <w:tc>
          <w:tcPr>
            <w:tcW w:w="891"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95,629.36</w:t>
            </w:r>
          </w:p>
        </w:tc>
        <w:tc>
          <w:tcPr>
            <w:tcW w:w="899"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tblPrEx>
          <w:tblCellMar>
            <w:top w:w="0" w:type="dxa"/>
            <w:left w:w="108" w:type="dxa"/>
            <w:bottom w:w="0" w:type="dxa"/>
            <w:right w:w="108" w:type="dxa"/>
          </w:tblCellMar>
        </w:tblPrEx>
        <w:trPr>
          <w:trHeight w:val="308" w:hRule="atLeast"/>
        </w:trPr>
        <w:tc>
          <w:tcPr>
            <w:tcW w:w="2184"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行政单位医疗</w:t>
            </w:r>
          </w:p>
        </w:tc>
        <w:tc>
          <w:tcPr>
            <w:tcW w:w="102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97,038.10</w:t>
            </w:r>
          </w:p>
        </w:tc>
        <w:tc>
          <w:tcPr>
            <w:tcW w:w="891"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97,038.10</w:t>
            </w:r>
          </w:p>
        </w:tc>
        <w:tc>
          <w:tcPr>
            <w:tcW w:w="899"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tblPrEx>
          <w:tblCellMar>
            <w:top w:w="0" w:type="dxa"/>
            <w:left w:w="108" w:type="dxa"/>
            <w:bottom w:w="0" w:type="dxa"/>
            <w:right w:w="108" w:type="dxa"/>
          </w:tblCellMar>
        </w:tblPrEx>
        <w:trPr>
          <w:trHeight w:val="308" w:hRule="atLeast"/>
        </w:trPr>
        <w:tc>
          <w:tcPr>
            <w:tcW w:w="2184"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公务员医疗补助</w:t>
            </w:r>
          </w:p>
        </w:tc>
        <w:tc>
          <w:tcPr>
            <w:tcW w:w="102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97,033.15</w:t>
            </w:r>
          </w:p>
        </w:tc>
        <w:tc>
          <w:tcPr>
            <w:tcW w:w="891"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97,033.15</w:t>
            </w:r>
          </w:p>
        </w:tc>
        <w:tc>
          <w:tcPr>
            <w:tcW w:w="899"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tblPrEx>
          <w:tblCellMar>
            <w:top w:w="0" w:type="dxa"/>
            <w:left w:w="108" w:type="dxa"/>
            <w:bottom w:w="0" w:type="dxa"/>
            <w:right w:w="108" w:type="dxa"/>
          </w:tblCellMar>
        </w:tblPrEx>
        <w:trPr>
          <w:trHeight w:val="308" w:hRule="atLeast"/>
        </w:trPr>
        <w:tc>
          <w:tcPr>
            <w:tcW w:w="2184"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其他行政事业单位医疗支出</w:t>
            </w:r>
          </w:p>
        </w:tc>
        <w:tc>
          <w:tcPr>
            <w:tcW w:w="102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24,950.37</w:t>
            </w:r>
          </w:p>
        </w:tc>
        <w:tc>
          <w:tcPr>
            <w:tcW w:w="891"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24,950.37</w:t>
            </w:r>
          </w:p>
        </w:tc>
        <w:tc>
          <w:tcPr>
            <w:tcW w:w="899"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tblPrEx>
          <w:tblCellMar>
            <w:top w:w="0" w:type="dxa"/>
            <w:left w:w="108" w:type="dxa"/>
            <w:bottom w:w="0" w:type="dxa"/>
            <w:right w:w="108" w:type="dxa"/>
          </w:tblCellMar>
        </w:tblPrEx>
        <w:trPr>
          <w:trHeight w:val="315" w:hRule="atLeast"/>
        </w:trPr>
        <w:tc>
          <w:tcPr>
            <w:tcW w:w="2184"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其他农林水支出</w:t>
            </w:r>
          </w:p>
        </w:tc>
        <w:tc>
          <w:tcPr>
            <w:tcW w:w="102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6,344,462.59</w:t>
            </w:r>
          </w:p>
        </w:tc>
        <w:tc>
          <w:tcPr>
            <w:tcW w:w="891"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899"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6,344,462.59</w:t>
            </w:r>
          </w:p>
        </w:tc>
      </w:tr>
      <w:tr>
        <w:tblPrEx>
          <w:tblCellMar>
            <w:top w:w="0" w:type="dxa"/>
            <w:left w:w="108" w:type="dxa"/>
            <w:bottom w:w="0" w:type="dxa"/>
            <w:right w:w="108" w:type="dxa"/>
          </w:tblCellMar>
        </w:tblPrEx>
        <w:trPr>
          <w:trHeight w:val="308" w:hRule="atLeast"/>
        </w:trPr>
        <w:tc>
          <w:tcPr>
            <w:tcW w:w="2184"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住房公积金</w:t>
            </w:r>
          </w:p>
        </w:tc>
        <w:tc>
          <w:tcPr>
            <w:tcW w:w="102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497,224.00</w:t>
            </w:r>
          </w:p>
        </w:tc>
        <w:tc>
          <w:tcPr>
            <w:tcW w:w="891"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497,224.00</w:t>
            </w:r>
          </w:p>
        </w:tc>
        <w:tc>
          <w:tcPr>
            <w:tcW w:w="899"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tblPrEx>
          <w:tblCellMar>
            <w:top w:w="0" w:type="dxa"/>
            <w:left w:w="108" w:type="dxa"/>
            <w:bottom w:w="0" w:type="dxa"/>
            <w:right w:w="108" w:type="dxa"/>
          </w:tblCellMar>
        </w:tblPrEx>
        <w:trPr>
          <w:trHeight w:val="308" w:hRule="atLeast"/>
        </w:trPr>
        <w:tc>
          <w:tcPr>
            <w:tcW w:w="2184"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行政运行</w:t>
            </w:r>
          </w:p>
        </w:tc>
        <w:tc>
          <w:tcPr>
            <w:tcW w:w="102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7,597,147.86</w:t>
            </w:r>
          </w:p>
        </w:tc>
        <w:tc>
          <w:tcPr>
            <w:tcW w:w="891"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7,597,147.86</w:t>
            </w:r>
          </w:p>
        </w:tc>
        <w:tc>
          <w:tcPr>
            <w:tcW w:w="899"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r>
      <w:tr>
        <w:tblPrEx>
          <w:tblCellMar>
            <w:top w:w="0" w:type="dxa"/>
            <w:left w:w="108" w:type="dxa"/>
            <w:bottom w:w="0" w:type="dxa"/>
            <w:right w:w="108" w:type="dxa"/>
          </w:tblCellMar>
        </w:tblPrEx>
        <w:trPr>
          <w:trHeight w:val="308" w:hRule="atLeast"/>
        </w:trPr>
        <w:tc>
          <w:tcPr>
            <w:tcW w:w="2184"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一般行政管理事务</w:t>
            </w:r>
          </w:p>
        </w:tc>
        <w:tc>
          <w:tcPr>
            <w:tcW w:w="1023"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1,146,139.24</w:t>
            </w:r>
          </w:p>
        </w:tc>
        <w:tc>
          <w:tcPr>
            <w:tcW w:w="891"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0.00</w:t>
            </w:r>
          </w:p>
        </w:tc>
        <w:tc>
          <w:tcPr>
            <w:tcW w:w="899"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1,146,139.24</w:t>
            </w:r>
          </w:p>
        </w:tc>
      </w:tr>
    </w:tbl>
    <w:p>
      <w:pPr>
        <w:snapToGrid/>
        <w:spacing w:before="156" w:beforeLines="50" w:beforeAutospacing="0" w:afterAutospacing="0" w:line="360" w:lineRule="auto"/>
        <w:ind w:left="0" w:leftChars="0" w:right="0" w:rightChars="0" w:firstLine="0" w:firstLineChars="0"/>
        <w:jc w:val="left"/>
        <w:outlineLvl w:val="1"/>
        <w:rPr>
          <w:rFonts w:ascii="Times New Roman" w:hAnsi="仿宋" w:eastAsia="宋体" w:cs="仿宋"/>
          <w:b/>
          <w:spacing w:val="4"/>
          <w:sz w:val="30"/>
          <w:szCs w:val="32"/>
        </w:rPr>
      </w:pPr>
      <w:bookmarkStart w:id="80" w:name="_Toc7628"/>
      <w:bookmarkStart w:id="81" w:name="_Toc30309"/>
      <w:bookmarkStart w:id="82" w:name="_Toc24421"/>
      <w:r>
        <w:rPr>
          <w:rFonts w:hint="eastAsia" w:ascii="Times New Roman" w:hAnsi="仿宋" w:eastAsia="宋体" w:cs="仿宋"/>
          <w:b/>
          <w:spacing w:val="4"/>
          <w:sz w:val="30"/>
          <w:szCs w:val="32"/>
        </w:rPr>
        <w:t>（四）部门整体绩效目标</w:t>
      </w:r>
      <w:bookmarkEnd w:id="80"/>
      <w:bookmarkEnd w:id="81"/>
      <w:bookmarkEnd w:id="82"/>
    </w:p>
    <w:p>
      <w:pPr>
        <w:pStyle w:val="25"/>
        <w:snapToGrid/>
        <w:spacing w:beforeAutospacing="0" w:afterAutospacing="0" w:line="360" w:lineRule="auto"/>
        <w:ind w:left="0" w:leftChars="0" w:firstLine="560" w:firstLineChars="200"/>
        <w:rPr>
          <w:rFonts w:ascii="Times New Roman" w:hAnsi="仿宋" w:eastAsia="宋体" w:cs="仿宋"/>
          <w:sz w:val="28"/>
          <w:szCs w:val="32"/>
        </w:rPr>
      </w:pPr>
      <w:r>
        <w:rPr>
          <w:rFonts w:hint="eastAsia" w:ascii="Times New Roman" w:hAnsi="仿宋" w:eastAsia="宋体" w:cs="仿宋"/>
          <w:sz w:val="28"/>
          <w:szCs w:val="32"/>
        </w:rPr>
        <w:t>石狮市应急管理局全面贯彻落实党的十九大精神及中央、省、泉州市关于做好安全生产工作的重要决策部署，以遏制较大及以上生产安全事故为主线，着力防范化解安全风险隐患，持续开展安全生产专项整治行动。部门整体支出绩效目标</w:t>
      </w:r>
      <w:r>
        <w:rPr>
          <w:rFonts w:hint="eastAsia" w:ascii="Times New Roman" w:hAnsi="仿宋" w:eastAsia="宋体" w:cs="仿宋"/>
          <w:sz w:val="28"/>
          <w:szCs w:val="32"/>
          <w:lang w:eastAsia="zh-CN"/>
        </w:rPr>
        <w:t>为</w:t>
      </w:r>
      <w:r>
        <w:rPr>
          <w:rFonts w:hint="eastAsia" w:ascii="Times New Roman" w:hAnsi="仿宋" w:eastAsia="宋体" w:cs="仿宋"/>
          <w:sz w:val="28"/>
          <w:szCs w:val="32"/>
        </w:rPr>
        <w:t>：组织开展安全生产专项整治三年行动、隐患排查治理、安全生产重点整治等大排查大整治行动，以及安全生产专项督查行动；深化危化品安全综合治理，加强重点部位、重点环节隐患排查治理和安全风险管控，强化烟花爆竹经营企业安全监管；做好地震监测预警、震害防御等工作，推进全市地震预警信息发布建设工作，做好预警终端建设的组织实施；开展自然灾害公众责任保险，减轻受灾群众的经济损失；抓好宣传教育培训工作，开展安全生产宣传工作，举办全国防灾减灾日宣传讲座和大型应急演练等活动；组织全市安全生产执法人员参加各级安全执法培训，组织危险化学品、烟花爆竹、工贸行业企业参加安全培训。</w:t>
      </w:r>
    </w:p>
    <w:p>
      <w:pPr>
        <w:snapToGrid/>
        <w:spacing w:before="312" w:beforeLines="100" w:beforeAutospacing="0" w:after="156" w:afterLines="50" w:afterAutospacing="0" w:line="360" w:lineRule="auto"/>
        <w:ind w:left="0" w:leftChars="0" w:right="0" w:rightChars="0" w:firstLine="0" w:firstLineChars="0"/>
        <w:jc w:val="left"/>
        <w:outlineLvl w:val="0"/>
        <w:rPr>
          <w:rFonts w:ascii="Times New Roman" w:hAnsi="仿宋" w:eastAsia="宋体" w:cs="仿宋"/>
          <w:b/>
          <w:spacing w:val="4"/>
          <w:sz w:val="32"/>
          <w:szCs w:val="32"/>
        </w:rPr>
      </w:pPr>
      <w:bookmarkStart w:id="83" w:name="_Toc3402"/>
      <w:r>
        <w:rPr>
          <w:rFonts w:hint="eastAsia" w:ascii="Times New Roman" w:hAnsi="仿宋" w:eastAsia="宋体" w:cs="仿宋"/>
          <w:b/>
          <w:spacing w:val="4"/>
          <w:sz w:val="32"/>
          <w:szCs w:val="32"/>
        </w:rPr>
        <w:t>二、绩效</w:t>
      </w:r>
      <w:r>
        <w:rPr>
          <w:rFonts w:hint="eastAsia" w:ascii="Times New Roman" w:hAnsi="仿宋" w:eastAsia="宋体" w:cs="仿宋"/>
          <w:b/>
          <w:spacing w:val="4"/>
          <w:sz w:val="32"/>
          <w:szCs w:val="32"/>
          <w:lang w:eastAsia="zh-CN"/>
        </w:rPr>
        <w:t>评价</w:t>
      </w:r>
      <w:r>
        <w:rPr>
          <w:rFonts w:hint="eastAsia" w:ascii="Times New Roman" w:hAnsi="仿宋" w:eastAsia="宋体" w:cs="仿宋"/>
          <w:b/>
          <w:spacing w:val="4"/>
          <w:sz w:val="32"/>
          <w:szCs w:val="32"/>
        </w:rPr>
        <w:t>工作开展情况</w:t>
      </w:r>
      <w:bookmarkEnd w:id="83"/>
    </w:p>
    <w:p>
      <w:pPr>
        <w:snapToGrid/>
        <w:spacing w:before="156" w:beforeLines="50" w:beforeAutospacing="0" w:afterAutospacing="0" w:line="360" w:lineRule="auto"/>
        <w:ind w:left="0" w:leftChars="0" w:right="0" w:rightChars="0" w:firstLine="0" w:firstLineChars="0"/>
        <w:jc w:val="left"/>
        <w:outlineLvl w:val="1"/>
        <w:rPr>
          <w:rFonts w:ascii="Times New Roman" w:hAnsi="仿宋" w:eastAsia="宋体" w:cs="仿宋"/>
          <w:b/>
          <w:spacing w:val="4"/>
          <w:sz w:val="30"/>
          <w:szCs w:val="32"/>
        </w:rPr>
      </w:pPr>
      <w:bookmarkStart w:id="84" w:name="_Toc32731"/>
      <w:bookmarkStart w:id="85" w:name="_Toc29632"/>
      <w:bookmarkStart w:id="86" w:name="_Toc23242"/>
      <w:r>
        <w:rPr>
          <w:rFonts w:hint="eastAsia" w:ascii="Times New Roman" w:hAnsi="仿宋" w:eastAsia="宋体" w:cs="仿宋"/>
          <w:b/>
          <w:spacing w:val="4"/>
          <w:sz w:val="30"/>
          <w:szCs w:val="32"/>
        </w:rPr>
        <w:t>（一）前期准备</w:t>
      </w:r>
      <w:bookmarkEnd w:id="84"/>
      <w:bookmarkEnd w:id="85"/>
      <w:bookmarkEnd w:id="86"/>
    </w:p>
    <w:p>
      <w:pPr>
        <w:snapToGrid/>
        <w:spacing w:beforeAutospacing="0" w:afterAutospacing="0" w:line="360" w:lineRule="auto"/>
        <w:ind w:left="0" w:leftChars="0" w:firstLine="576" w:firstLineChars="200"/>
        <w:rPr>
          <w:rFonts w:ascii="Times New Roman" w:hAnsi="仿宋" w:eastAsia="宋体" w:cs="仿宋"/>
          <w:spacing w:val="4"/>
          <w:sz w:val="28"/>
          <w:szCs w:val="32"/>
        </w:rPr>
      </w:pPr>
      <w:r>
        <w:rPr>
          <w:rFonts w:hint="eastAsia" w:ascii="Times New Roman" w:hAnsi="仿宋" w:eastAsia="宋体" w:cs="仿宋"/>
          <w:spacing w:val="4"/>
          <w:sz w:val="28"/>
          <w:szCs w:val="32"/>
        </w:rPr>
        <w:t>泉州市启程财务咨询有限公司成立绩效评价工作小组，按照《项目支出绩效管理办法》(财预〔2020〕10号)、《石狮市财政局关于开展2023年财政预算绩效重点评价工作的通知》（狮财绩〔2023〕5号）等文件要求，对石狮市应急管理局进行实地调研，了解整体支出的绩效开展情况，收集相关绩效评价资料，拟定绩效评价指标体系。</w:t>
      </w:r>
    </w:p>
    <w:p>
      <w:pPr>
        <w:snapToGrid/>
        <w:spacing w:before="156" w:beforeLines="50" w:beforeAutospacing="0" w:afterAutospacing="0" w:line="360" w:lineRule="auto"/>
        <w:ind w:left="0" w:leftChars="0" w:right="0" w:rightChars="0" w:firstLine="0" w:firstLineChars="0"/>
        <w:jc w:val="left"/>
        <w:outlineLvl w:val="1"/>
        <w:rPr>
          <w:rFonts w:ascii="Times New Roman" w:hAnsi="仿宋" w:eastAsia="宋体" w:cs="仿宋"/>
          <w:b/>
          <w:spacing w:val="4"/>
          <w:sz w:val="30"/>
          <w:szCs w:val="32"/>
        </w:rPr>
      </w:pPr>
      <w:bookmarkStart w:id="87" w:name="_Toc19843"/>
      <w:bookmarkStart w:id="88" w:name="_Toc29555"/>
      <w:bookmarkStart w:id="89" w:name="_Toc24093"/>
      <w:r>
        <w:rPr>
          <w:rFonts w:hint="eastAsia" w:ascii="Times New Roman" w:hAnsi="仿宋" w:eastAsia="宋体" w:cs="仿宋"/>
          <w:b/>
          <w:spacing w:val="4"/>
          <w:sz w:val="30"/>
          <w:szCs w:val="32"/>
        </w:rPr>
        <w:t>（二）绩效评价目的</w:t>
      </w:r>
      <w:bookmarkEnd w:id="87"/>
      <w:bookmarkEnd w:id="88"/>
      <w:bookmarkEnd w:id="89"/>
    </w:p>
    <w:p>
      <w:pPr>
        <w:snapToGrid/>
        <w:spacing w:beforeAutospacing="0" w:afterAutospacing="0" w:line="360" w:lineRule="auto"/>
        <w:ind w:left="0" w:leftChars="0" w:right="30" w:firstLine="576" w:firstLineChars="200"/>
        <w:outlineLvl w:val="1"/>
        <w:rPr>
          <w:rFonts w:ascii="Times New Roman" w:hAnsi="仿宋" w:eastAsia="宋体" w:cs="仿宋"/>
          <w:spacing w:val="4"/>
          <w:sz w:val="28"/>
          <w:szCs w:val="32"/>
        </w:rPr>
      </w:pPr>
      <w:bookmarkStart w:id="90" w:name="_Toc14149"/>
      <w:bookmarkStart w:id="91" w:name="_Toc26281"/>
      <w:bookmarkStart w:id="92" w:name="_Toc2775"/>
      <w:bookmarkStart w:id="93" w:name="_Toc21295"/>
      <w:bookmarkStart w:id="94" w:name="_Toc15161"/>
      <w:bookmarkStart w:id="95" w:name="_Toc29495"/>
      <w:r>
        <w:rPr>
          <w:rFonts w:hint="eastAsia" w:ascii="Times New Roman" w:hAnsi="仿宋" w:eastAsia="宋体" w:cs="仿宋"/>
          <w:spacing w:val="4"/>
          <w:sz w:val="28"/>
          <w:szCs w:val="32"/>
        </w:rPr>
        <w:t>绩效评价组对2022年度石狮市应急管理局实施绩效评价，目的通过对决策、过程、产出和效益四个角度的分析和经验总结，剖析绩效管理中存在的问题，并提出相应建议。为石狮市应急管理局强化部门责任，提高财政支出资金的使用效率提供参考依据。</w:t>
      </w:r>
      <w:bookmarkEnd w:id="90"/>
      <w:bookmarkEnd w:id="91"/>
      <w:bookmarkEnd w:id="92"/>
      <w:bookmarkEnd w:id="93"/>
      <w:bookmarkEnd w:id="94"/>
      <w:bookmarkEnd w:id="95"/>
    </w:p>
    <w:p>
      <w:pPr>
        <w:pStyle w:val="2"/>
        <w:snapToGrid/>
        <w:spacing w:before="156" w:beforeLines="50" w:beforeAutospacing="0" w:afterAutospacing="0" w:line="360" w:lineRule="auto"/>
        <w:ind w:left="0" w:leftChars="0" w:right="0" w:rightChars="0" w:firstLine="0" w:firstLineChars="0"/>
        <w:jc w:val="left"/>
        <w:outlineLvl w:val="1"/>
        <w:rPr>
          <w:rFonts w:ascii="Times New Roman" w:hAnsi="仿宋" w:eastAsia="宋体" w:cs="仿宋"/>
          <w:b/>
          <w:spacing w:val="4"/>
          <w:sz w:val="30"/>
          <w:szCs w:val="32"/>
        </w:rPr>
      </w:pPr>
      <w:bookmarkStart w:id="96" w:name="_Toc4274"/>
      <w:bookmarkStart w:id="97" w:name="_Toc12024"/>
      <w:bookmarkStart w:id="98" w:name="_Toc18913"/>
      <w:r>
        <w:rPr>
          <w:rFonts w:hint="eastAsia" w:ascii="Times New Roman" w:hAnsi="仿宋" w:eastAsia="宋体" w:cs="仿宋"/>
          <w:b/>
          <w:spacing w:val="4"/>
          <w:sz w:val="30"/>
          <w:szCs w:val="32"/>
        </w:rPr>
        <w:t>（三）绩效评价依据</w:t>
      </w:r>
      <w:bookmarkEnd w:id="96"/>
      <w:bookmarkEnd w:id="97"/>
      <w:bookmarkEnd w:id="98"/>
    </w:p>
    <w:p>
      <w:pPr>
        <w:pStyle w:val="24"/>
        <w:snapToGrid/>
        <w:spacing w:beforeAutospacing="0" w:afterAutospacing="0" w:line="360" w:lineRule="auto"/>
        <w:ind w:left="0" w:leftChars="0" w:firstLine="576" w:firstLineChars="200"/>
        <w:rPr>
          <w:rFonts w:ascii="Times New Roman" w:hAnsi="仿宋" w:eastAsia="宋体" w:cs="仿宋"/>
          <w:spacing w:val="4"/>
          <w:kern w:val="2"/>
          <w:sz w:val="28"/>
          <w:szCs w:val="32"/>
        </w:rPr>
      </w:pPr>
      <w:r>
        <w:rPr>
          <w:rFonts w:hint="eastAsia" w:ascii="Times New Roman" w:hAnsi="仿宋" w:eastAsia="宋体" w:cs="仿宋"/>
          <w:spacing w:val="4"/>
          <w:kern w:val="2"/>
          <w:sz w:val="28"/>
          <w:szCs w:val="32"/>
        </w:rPr>
        <w:t>1.《中共中央国务院关于全面实施预算绩效管理的意见》(中发〔2018〕34号)；</w:t>
      </w:r>
    </w:p>
    <w:p>
      <w:pPr>
        <w:pStyle w:val="24"/>
        <w:snapToGrid/>
        <w:spacing w:beforeAutospacing="0" w:afterAutospacing="0" w:line="360" w:lineRule="auto"/>
        <w:ind w:left="0" w:leftChars="0" w:firstLine="576" w:firstLineChars="200"/>
        <w:rPr>
          <w:rFonts w:ascii="Times New Roman" w:hAnsi="仿宋" w:eastAsia="宋体" w:cs="仿宋"/>
          <w:spacing w:val="4"/>
          <w:kern w:val="2"/>
          <w:sz w:val="28"/>
          <w:szCs w:val="32"/>
        </w:rPr>
      </w:pPr>
      <w:r>
        <w:rPr>
          <w:rFonts w:hint="eastAsia" w:ascii="Times New Roman" w:hAnsi="仿宋" w:eastAsia="宋体" w:cs="仿宋"/>
          <w:spacing w:val="4"/>
          <w:kern w:val="2"/>
          <w:sz w:val="28"/>
          <w:szCs w:val="32"/>
        </w:rPr>
        <w:t>2.财政部《关于印发＜项目支出绩效评价管理办法&gt;的通知》(财预〔2020〕10号)；</w:t>
      </w:r>
    </w:p>
    <w:p>
      <w:pPr>
        <w:pStyle w:val="24"/>
        <w:snapToGrid/>
        <w:spacing w:beforeAutospacing="0" w:afterAutospacing="0" w:line="360" w:lineRule="auto"/>
        <w:ind w:left="0" w:leftChars="0" w:firstLine="576" w:firstLineChars="200"/>
        <w:rPr>
          <w:rFonts w:ascii="Times New Roman" w:hAnsi="仿宋" w:eastAsia="宋体" w:cs="仿宋"/>
          <w:spacing w:val="4"/>
          <w:kern w:val="2"/>
          <w:sz w:val="28"/>
          <w:szCs w:val="32"/>
        </w:rPr>
      </w:pPr>
      <w:r>
        <w:rPr>
          <w:rFonts w:hint="eastAsia" w:ascii="Times New Roman" w:hAnsi="仿宋" w:eastAsia="宋体" w:cs="仿宋"/>
          <w:spacing w:val="4"/>
          <w:kern w:val="2"/>
          <w:sz w:val="28"/>
          <w:szCs w:val="32"/>
        </w:rPr>
        <w:t xml:space="preserve">3.《福建省财政厅关于印发财政支出绩效评价指标体系及使用指南的通知》(闽财绩〔2012〕13 号)；      </w:t>
      </w:r>
    </w:p>
    <w:p>
      <w:pPr>
        <w:pStyle w:val="24"/>
        <w:snapToGrid/>
        <w:spacing w:beforeAutospacing="0" w:afterAutospacing="0" w:line="360" w:lineRule="auto"/>
        <w:ind w:left="0" w:leftChars="0" w:firstLine="576" w:firstLineChars="200"/>
        <w:rPr>
          <w:rFonts w:ascii="Times New Roman" w:hAnsi="仿宋" w:eastAsia="宋体" w:cs="仿宋"/>
          <w:spacing w:val="4"/>
          <w:kern w:val="2"/>
          <w:sz w:val="28"/>
          <w:szCs w:val="32"/>
        </w:rPr>
      </w:pPr>
      <w:r>
        <w:rPr>
          <w:rFonts w:hint="eastAsia" w:ascii="Times New Roman" w:hAnsi="仿宋" w:eastAsia="宋体" w:cs="仿宋"/>
          <w:spacing w:val="4"/>
          <w:kern w:val="2"/>
          <w:sz w:val="28"/>
          <w:szCs w:val="32"/>
        </w:rPr>
        <w:t>4.《福建省财政厅关于印发＜福建省财政支出绩效评价管理暂行办法&gt;的通知》（闽财绩〔2015〕4号)。</w:t>
      </w:r>
    </w:p>
    <w:p>
      <w:pPr>
        <w:snapToGrid/>
        <w:spacing w:beforeAutospacing="0" w:afterAutospacing="0" w:line="360" w:lineRule="auto"/>
        <w:ind w:left="0" w:leftChars="0" w:firstLine="576" w:firstLineChars="200"/>
        <w:rPr>
          <w:rFonts w:hint="eastAsia" w:ascii="Times New Roman" w:hAnsi="仿宋" w:eastAsia="宋体" w:cs="仿宋"/>
          <w:sz w:val="28"/>
          <w:szCs w:val="32"/>
          <w:lang w:val="en-US" w:eastAsia="zh-CN"/>
        </w:rPr>
      </w:pPr>
      <w:r>
        <w:rPr>
          <w:rFonts w:hint="eastAsia" w:ascii="Times New Roman" w:hAnsi="仿宋" w:eastAsia="宋体" w:cs="仿宋"/>
          <w:spacing w:val="4"/>
          <w:sz w:val="28"/>
          <w:szCs w:val="32"/>
        </w:rPr>
        <w:t>5.《石狮市财政局关于开展2023年财政预算绩效重点评价工作的通知》（狮财绩〔2023〕5号）</w:t>
      </w:r>
      <w:r>
        <w:rPr>
          <w:rFonts w:hint="eastAsia" w:ascii="Times New Roman" w:hAnsi="仿宋" w:eastAsia="宋体" w:cs="仿宋"/>
          <w:spacing w:val="4"/>
          <w:sz w:val="28"/>
          <w:szCs w:val="32"/>
          <w:lang w:eastAsia="zh-CN"/>
        </w:rPr>
        <w:t>。</w:t>
      </w:r>
    </w:p>
    <w:p>
      <w:pPr>
        <w:snapToGrid/>
        <w:spacing w:before="156" w:beforeLines="50" w:beforeAutospacing="0" w:afterAutospacing="0" w:line="360" w:lineRule="auto"/>
        <w:ind w:left="0" w:leftChars="0" w:right="0" w:rightChars="0" w:firstLine="0" w:firstLineChars="0"/>
        <w:jc w:val="left"/>
        <w:outlineLvl w:val="1"/>
        <w:rPr>
          <w:rFonts w:ascii="Times New Roman" w:hAnsi="仿宋" w:eastAsia="宋体" w:cs="仿宋"/>
          <w:b/>
          <w:spacing w:val="4"/>
          <w:sz w:val="30"/>
          <w:szCs w:val="32"/>
        </w:rPr>
      </w:pPr>
      <w:bookmarkStart w:id="99" w:name="_Toc23883"/>
      <w:bookmarkStart w:id="100" w:name="_Toc19551"/>
      <w:bookmarkStart w:id="101" w:name="_Toc21362"/>
      <w:r>
        <w:rPr>
          <w:rFonts w:hint="eastAsia" w:ascii="Times New Roman" w:hAnsi="仿宋" w:eastAsia="宋体" w:cs="仿宋"/>
          <w:b/>
          <w:spacing w:val="4"/>
          <w:sz w:val="30"/>
          <w:szCs w:val="32"/>
        </w:rPr>
        <w:t>（四）绩效评价方法</w:t>
      </w:r>
      <w:bookmarkEnd w:id="99"/>
      <w:bookmarkEnd w:id="100"/>
      <w:bookmarkEnd w:id="101"/>
    </w:p>
    <w:p>
      <w:pPr>
        <w:snapToGrid/>
        <w:spacing w:beforeAutospacing="0" w:afterAutospacing="0" w:line="360" w:lineRule="auto"/>
        <w:ind w:left="0" w:leftChars="0" w:firstLine="576" w:firstLineChars="200"/>
        <w:jc w:val="left"/>
        <w:rPr>
          <w:rFonts w:ascii="Times New Roman" w:hAnsi="仿宋" w:eastAsia="宋体" w:cs="仿宋"/>
          <w:spacing w:val="4"/>
          <w:sz w:val="28"/>
          <w:szCs w:val="32"/>
        </w:rPr>
      </w:pPr>
      <w:r>
        <w:rPr>
          <w:rFonts w:hint="eastAsia" w:ascii="Times New Roman" w:hAnsi="仿宋" w:eastAsia="宋体" w:cs="仿宋"/>
          <w:spacing w:val="4"/>
          <w:sz w:val="28"/>
          <w:szCs w:val="32"/>
        </w:rPr>
        <w:t>1.比较法。通过石狮市应急管理局实际支出、实施效果等与绩效目标、历史情况、不同地区同类支出等的比较，综合分析绩效目标实现程度。</w:t>
      </w:r>
    </w:p>
    <w:p>
      <w:pPr>
        <w:snapToGrid/>
        <w:spacing w:beforeAutospacing="0" w:afterAutospacing="0" w:line="360" w:lineRule="auto"/>
        <w:ind w:left="0" w:leftChars="0" w:firstLine="576" w:firstLineChars="200"/>
        <w:jc w:val="left"/>
        <w:rPr>
          <w:rFonts w:ascii="Times New Roman" w:hAnsi="仿宋" w:eastAsia="宋体" w:cs="仿宋"/>
          <w:spacing w:val="4"/>
          <w:sz w:val="28"/>
          <w:szCs w:val="32"/>
        </w:rPr>
      </w:pPr>
      <w:r>
        <w:rPr>
          <w:rFonts w:hint="eastAsia" w:ascii="Times New Roman" w:hAnsi="仿宋" w:eastAsia="宋体" w:cs="仿宋"/>
          <w:spacing w:val="4"/>
          <w:sz w:val="28"/>
          <w:szCs w:val="32"/>
        </w:rPr>
        <w:t>2.成本效益分析法。将石狮市应急管理局2022年度的支出与效益进行对比分析，以评价绩效目标实现程度。</w:t>
      </w:r>
    </w:p>
    <w:p>
      <w:pPr>
        <w:snapToGrid/>
        <w:spacing w:beforeAutospacing="0" w:afterAutospacing="0" w:line="360" w:lineRule="auto"/>
        <w:ind w:left="0" w:leftChars="0" w:firstLine="576" w:firstLineChars="200"/>
        <w:jc w:val="left"/>
        <w:rPr>
          <w:rFonts w:ascii="Times New Roman" w:hAnsi="仿宋" w:eastAsia="宋体" w:cs="仿宋"/>
          <w:spacing w:val="4"/>
          <w:sz w:val="28"/>
          <w:szCs w:val="32"/>
        </w:rPr>
      </w:pPr>
      <w:r>
        <w:rPr>
          <w:rFonts w:hint="eastAsia" w:ascii="Times New Roman" w:hAnsi="仿宋" w:eastAsia="宋体" w:cs="仿宋"/>
          <w:spacing w:val="4"/>
          <w:sz w:val="28"/>
          <w:szCs w:val="32"/>
        </w:rPr>
        <w:t>3.服务对象评判法。是指通过对服务对象进行问卷及抽样调查等</w:t>
      </w:r>
      <w:r>
        <w:rPr>
          <w:rFonts w:hint="eastAsia" w:ascii="Times New Roman" w:hAnsi="仿宋" w:eastAsia="宋体" w:cs="仿宋"/>
          <w:spacing w:val="4"/>
          <w:sz w:val="28"/>
          <w:szCs w:val="32"/>
          <w:lang w:eastAsia="zh-CN"/>
        </w:rPr>
        <w:t>对</w:t>
      </w:r>
      <w:r>
        <w:rPr>
          <w:rFonts w:hint="eastAsia" w:ascii="Times New Roman" w:hAnsi="仿宋" w:eastAsia="宋体" w:cs="仿宋"/>
          <w:spacing w:val="4"/>
          <w:sz w:val="28"/>
          <w:szCs w:val="32"/>
        </w:rPr>
        <w:t>支出的效果进行评判，评价绩效目标实现程度。</w:t>
      </w:r>
    </w:p>
    <w:p>
      <w:pPr>
        <w:pStyle w:val="2"/>
        <w:snapToGrid/>
        <w:spacing w:before="156" w:beforeLines="50" w:beforeAutospacing="0" w:afterAutospacing="0" w:line="360" w:lineRule="auto"/>
        <w:ind w:left="0" w:leftChars="0" w:right="0" w:rightChars="0" w:firstLine="0" w:firstLineChars="0"/>
        <w:jc w:val="left"/>
        <w:outlineLvl w:val="1"/>
        <w:rPr>
          <w:rFonts w:ascii="Times New Roman" w:hAnsi="宋体" w:eastAsia="宋体" w:cs="宋体"/>
          <w:b/>
          <w:bCs/>
          <w:spacing w:val="4"/>
          <w:sz w:val="30"/>
          <w:szCs w:val="32"/>
        </w:rPr>
      </w:pPr>
      <w:bookmarkStart w:id="102" w:name="_Toc22631"/>
      <w:bookmarkStart w:id="103" w:name="_Toc17427"/>
      <w:bookmarkStart w:id="104" w:name="_Toc22022"/>
      <w:r>
        <w:rPr>
          <w:rFonts w:hint="eastAsia" w:ascii="Times New Roman" w:hAnsi="宋体" w:eastAsia="宋体" w:cs="宋体"/>
          <w:b/>
          <w:bCs/>
          <w:spacing w:val="4"/>
          <w:sz w:val="30"/>
          <w:szCs w:val="32"/>
        </w:rPr>
        <w:t>（五）绩效评价过程</w:t>
      </w:r>
      <w:bookmarkEnd w:id="102"/>
      <w:bookmarkEnd w:id="103"/>
      <w:bookmarkEnd w:id="104"/>
    </w:p>
    <w:tbl>
      <w:tblPr>
        <w:tblStyle w:val="17"/>
        <w:tblW w:w="508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08" w:type="dxa"/>
          <w:bottom w:w="0" w:type="dxa"/>
          <w:right w:w="108" w:type="dxa"/>
        </w:tblCellMar>
      </w:tblPr>
      <w:tblGrid>
        <w:gridCol w:w="612"/>
        <w:gridCol w:w="2472"/>
        <w:gridCol w:w="5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85" w:hRule="atLeast"/>
        </w:trPr>
        <w:tc>
          <w:tcPr>
            <w:tcW w:w="353" w:type="pct"/>
            <w:shd w:val="clear" w:color="auto" w:fill="auto"/>
            <w:noWrap/>
            <w:vAlign w:val="center"/>
          </w:tcPr>
          <w:p>
            <w:pPr>
              <w:widowControl/>
              <w:jc w:val="center"/>
              <w:rPr>
                <w:rFonts w:ascii="宋体" w:hAnsi="宋体" w:eastAsia="宋体" w:cs="宋体"/>
                <w:b/>
                <w:bCs/>
                <w:spacing w:val="4"/>
                <w:sz w:val="24"/>
              </w:rPr>
            </w:pPr>
            <w:r>
              <w:rPr>
                <w:rFonts w:hint="eastAsia" w:ascii="宋体" w:hAnsi="宋体" w:eastAsia="宋体" w:cs="宋体"/>
                <w:b/>
                <w:bCs/>
                <w:spacing w:val="4"/>
                <w:sz w:val="24"/>
              </w:rPr>
              <w:t>序号</w:t>
            </w:r>
          </w:p>
        </w:tc>
        <w:tc>
          <w:tcPr>
            <w:tcW w:w="1426" w:type="pct"/>
            <w:shd w:val="clear" w:color="auto" w:fill="auto"/>
            <w:noWrap/>
            <w:vAlign w:val="center"/>
          </w:tcPr>
          <w:p>
            <w:pPr>
              <w:widowControl/>
              <w:jc w:val="center"/>
              <w:rPr>
                <w:rFonts w:ascii="宋体" w:hAnsi="宋体" w:eastAsia="宋体" w:cs="宋体"/>
                <w:b/>
                <w:bCs/>
                <w:spacing w:val="4"/>
                <w:sz w:val="24"/>
              </w:rPr>
            </w:pPr>
            <w:r>
              <w:rPr>
                <w:rFonts w:hint="eastAsia" w:ascii="宋体" w:hAnsi="宋体" w:eastAsia="宋体" w:cs="宋体"/>
                <w:b/>
                <w:bCs/>
                <w:spacing w:val="4"/>
                <w:sz w:val="24"/>
              </w:rPr>
              <w:t>服务方案</w:t>
            </w:r>
          </w:p>
        </w:tc>
        <w:tc>
          <w:tcPr>
            <w:tcW w:w="3219" w:type="pct"/>
            <w:shd w:val="clear" w:color="auto" w:fill="auto"/>
            <w:noWrap/>
            <w:vAlign w:val="center"/>
          </w:tcPr>
          <w:p>
            <w:pPr>
              <w:widowControl/>
              <w:jc w:val="center"/>
              <w:rPr>
                <w:rFonts w:ascii="宋体" w:hAnsi="宋体" w:eastAsia="宋体" w:cs="宋体"/>
                <w:b/>
                <w:bCs/>
                <w:spacing w:val="4"/>
                <w:sz w:val="24"/>
              </w:rPr>
            </w:pPr>
            <w:r>
              <w:rPr>
                <w:rFonts w:hint="eastAsia" w:ascii="宋体" w:hAnsi="宋体" w:eastAsia="宋体" w:cs="宋体"/>
                <w:b/>
                <w:bCs/>
                <w:spacing w:val="4"/>
                <w:sz w:val="24"/>
              </w:rPr>
              <w:t>服务内容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547" w:hRule="atLeast"/>
        </w:trPr>
        <w:tc>
          <w:tcPr>
            <w:tcW w:w="353" w:type="pct"/>
            <w:vMerge w:val="restart"/>
            <w:shd w:val="clear" w:color="auto" w:fill="auto"/>
            <w:noWrap/>
            <w:vAlign w:val="center"/>
          </w:tcPr>
          <w:p>
            <w:pPr>
              <w:widowControl/>
              <w:jc w:val="center"/>
              <w:rPr>
                <w:rFonts w:ascii="宋体" w:hAnsi="宋体" w:eastAsia="宋体" w:cs="宋体"/>
                <w:spacing w:val="4"/>
                <w:sz w:val="24"/>
              </w:rPr>
            </w:pPr>
            <w:r>
              <w:rPr>
                <w:rFonts w:hint="eastAsia" w:ascii="宋体" w:hAnsi="宋体" w:eastAsia="宋体" w:cs="宋体"/>
                <w:spacing w:val="4"/>
                <w:sz w:val="24"/>
              </w:rPr>
              <w:t>1</w:t>
            </w:r>
          </w:p>
        </w:tc>
        <w:tc>
          <w:tcPr>
            <w:tcW w:w="1426" w:type="pct"/>
            <w:vMerge w:val="restart"/>
            <w:shd w:val="clear" w:color="auto" w:fill="auto"/>
            <w:noWrap/>
            <w:vAlign w:val="center"/>
          </w:tcPr>
          <w:p>
            <w:pPr>
              <w:spacing w:line="360" w:lineRule="auto"/>
              <w:jc w:val="center"/>
              <w:rPr>
                <w:rFonts w:ascii="宋体" w:hAnsi="宋体" w:eastAsia="宋体" w:cs="宋体"/>
                <w:spacing w:val="4"/>
                <w:sz w:val="24"/>
              </w:rPr>
            </w:pPr>
            <w:r>
              <w:rPr>
                <w:rFonts w:hint="eastAsia" w:ascii="宋体" w:hAnsi="宋体" w:eastAsia="宋体" w:cs="宋体"/>
                <w:spacing w:val="4"/>
                <w:sz w:val="24"/>
              </w:rPr>
              <w:t>成立绩效评价小组</w:t>
            </w:r>
          </w:p>
        </w:tc>
        <w:tc>
          <w:tcPr>
            <w:tcW w:w="3219" w:type="pct"/>
            <w:vMerge w:val="restart"/>
            <w:shd w:val="clear" w:color="auto" w:fill="auto"/>
            <w:vAlign w:val="center"/>
          </w:tcPr>
          <w:p>
            <w:pPr>
              <w:spacing w:line="360" w:lineRule="auto"/>
              <w:rPr>
                <w:rFonts w:ascii="宋体" w:hAnsi="宋体" w:eastAsia="宋体" w:cs="宋体"/>
                <w:spacing w:val="4"/>
                <w:sz w:val="24"/>
              </w:rPr>
            </w:pPr>
            <w:bookmarkStart w:id="105" w:name="RANGE!G13"/>
            <w:r>
              <w:rPr>
                <w:rFonts w:hint="eastAsia" w:ascii="宋体" w:hAnsi="宋体" w:eastAsia="宋体" w:cs="宋体"/>
                <w:spacing w:val="4"/>
                <w:sz w:val="24"/>
              </w:rPr>
              <w:t>泉州市启程财务咨询有限公司指派专人, 成立绩效评价小组，对2022年度石狮市应急管理局实地调研，并进行方案设计</w:t>
            </w:r>
            <w:bookmarkEnd w:id="10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414" w:hRule="atLeast"/>
        </w:trPr>
        <w:tc>
          <w:tcPr>
            <w:tcW w:w="353" w:type="pct"/>
            <w:vMerge w:val="continue"/>
            <w:vAlign w:val="center"/>
          </w:tcPr>
          <w:p>
            <w:pPr>
              <w:widowControl/>
              <w:jc w:val="center"/>
              <w:rPr>
                <w:rFonts w:ascii="宋体" w:hAnsi="宋体" w:eastAsia="宋体" w:cs="宋体"/>
                <w:spacing w:val="4"/>
                <w:sz w:val="24"/>
              </w:rPr>
            </w:pPr>
          </w:p>
        </w:tc>
        <w:tc>
          <w:tcPr>
            <w:tcW w:w="1426" w:type="pct"/>
            <w:vMerge w:val="continue"/>
            <w:vAlign w:val="center"/>
          </w:tcPr>
          <w:p>
            <w:pPr>
              <w:spacing w:line="360" w:lineRule="auto"/>
              <w:ind w:firstLine="496" w:firstLineChars="200"/>
              <w:jc w:val="center"/>
              <w:rPr>
                <w:rFonts w:ascii="宋体" w:hAnsi="宋体" w:eastAsia="宋体" w:cs="宋体"/>
                <w:spacing w:val="4"/>
                <w:sz w:val="24"/>
              </w:rPr>
            </w:pPr>
          </w:p>
        </w:tc>
        <w:tc>
          <w:tcPr>
            <w:tcW w:w="3219" w:type="pct"/>
            <w:vMerge w:val="continue"/>
            <w:vAlign w:val="center"/>
          </w:tcPr>
          <w:p>
            <w:pPr>
              <w:spacing w:line="360" w:lineRule="auto"/>
              <w:ind w:firstLine="496" w:firstLineChars="200"/>
              <w:jc w:val="left"/>
              <w:rPr>
                <w:rFonts w:ascii="宋体" w:hAnsi="宋体" w:eastAsia="宋体" w:cs="宋体"/>
                <w:spacing w:val="4"/>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1296" w:hRule="atLeast"/>
        </w:trPr>
        <w:tc>
          <w:tcPr>
            <w:tcW w:w="353" w:type="pct"/>
            <w:vMerge w:val="restart"/>
            <w:shd w:val="clear" w:color="auto" w:fill="auto"/>
            <w:noWrap/>
            <w:vAlign w:val="center"/>
          </w:tcPr>
          <w:p>
            <w:pPr>
              <w:widowControl/>
              <w:jc w:val="center"/>
              <w:rPr>
                <w:rFonts w:ascii="宋体" w:hAnsi="宋体" w:eastAsia="宋体" w:cs="宋体"/>
                <w:spacing w:val="4"/>
                <w:sz w:val="24"/>
              </w:rPr>
            </w:pPr>
            <w:r>
              <w:rPr>
                <w:rFonts w:hint="eastAsia" w:ascii="宋体" w:hAnsi="宋体" w:eastAsia="宋体" w:cs="宋体"/>
                <w:spacing w:val="4"/>
                <w:sz w:val="24"/>
              </w:rPr>
              <w:t>2</w:t>
            </w:r>
          </w:p>
        </w:tc>
        <w:tc>
          <w:tcPr>
            <w:tcW w:w="1426" w:type="pct"/>
            <w:vMerge w:val="restart"/>
            <w:shd w:val="clear" w:color="auto" w:fill="auto"/>
            <w:noWrap/>
            <w:vAlign w:val="center"/>
          </w:tcPr>
          <w:p>
            <w:pPr>
              <w:spacing w:line="360" w:lineRule="auto"/>
              <w:jc w:val="center"/>
              <w:rPr>
                <w:rFonts w:ascii="宋体" w:hAnsi="宋体" w:eastAsia="宋体" w:cs="宋体"/>
                <w:spacing w:val="4"/>
                <w:sz w:val="24"/>
              </w:rPr>
            </w:pPr>
            <w:r>
              <w:rPr>
                <w:rFonts w:hint="eastAsia" w:ascii="宋体" w:hAnsi="宋体" w:eastAsia="宋体" w:cs="宋体"/>
                <w:spacing w:val="4"/>
                <w:sz w:val="24"/>
              </w:rPr>
              <w:t>收集绩效评价资料</w:t>
            </w:r>
          </w:p>
        </w:tc>
        <w:tc>
          <w:tcPr>
            <w:tcW w:w="3219" w:type="pct"/>
            <w:vMerge w:val="restart"/>
            <w:shd w:val="clear" w:color="auto" w:fill="auto"/>
            <w:vAlign w:val="center"/>
          </w:tcPr>
          <w:p>
            <w:pPr>
              <w:spacing w:line="360" w:lineRule="auto"/>
              <w:jc w:val="left"/>
              <w:rPr>
                <w:rFonts w:ascii="宋体" w:hAnsi="宋体" w:eastAsia="宋体" w:cs="宋体"/>
                <w:spacing w:val="4"/>
                <w:sz w:val="24"/>
              </w:rPr>
            </w:pPr>
            <w:r>
              <w:rPr>
                <w:rFonts w:hint="eastAsia" w:ascii="宋体" w:hAnsi="宋体" w:eastAsia="宋体" w:cs="宋体"/>
                <w:spacing w:val="4"/>
                <w:sz w:val="24"/>
              </w:rPr>
              <w:t>绩效评价工作小组对石狮市应急管理局部门整体支出的相关政策文件和制度等资料进行收集，核实项目申报资金拨付、使用及管理情况，绩效目标实现情况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312" w:hRule="atLeast"/>
        </w:trPr>
        <w:tc>
          <w:tcPr>
            <w:tcW w:w="353" w:type="pct"/>
            <w:vMerge w:val="continue"/>
            <w:vAlign w:val="center"/>
          </w:tcPr>
          <w:p>
            <w:pPr>
              <w:widowControl/>
              <w:jc w:val="center"/>
              <w:rPr>
                <w:rFonts w:ascii="宋体" w:hAnsi="宋体" w:eastAsia="宋体" w:cs="宋体"/>
                <w:spacing w:val="4"/>
                <w:sz w:val="24"/>
              </w:rPr>
            </w:pPr>
          </w:p>
        </w:tc>
        <w:tc>
          <w:tcPr>
            <w:tcW w:w="1426" w:type="pct"/>
            <w:vMerge w:val="continue"/>
            <w:vAlign w:val="center"/>
          </w:tcPr>
          <w:p>
            <w:pPr>
              <w:spacing w:line="360" w:lineRule="auto"/>
              <w:ind w:firstLine="496" w:firstLineChars="200"/>
              <w:jc w:val="center"/>
              <w:rPr>
                <w:rFonts w:ascii="宋体" w:hAnsi="宋体" w:eastAsia="宋体" w:cs="宋体"/>
                <w:spacing w:val="4"/>
                <w:sz w:val="24"/>
              </w:rPr>
            </w:pPr>
          </w:p>
        </w:tc>
        <w:tc>
          <w:tcPr>
            <w:tcW w:w="3219" w:type="pct"/>
            <w:vMerge w:val="continue"/>
            <w:vAlign w:val="center"/>
          </w:tcPr>
          <w:p>
            <w:pPr>
              <w:spacing w:line="360" w:lineRule="auto"/>
              <w:ind w:firstLine="496" w:firstLineChars="200"/>
              <w:jc w:val="left"/>
              <w:rPr>
                <w:rFonts w:ascii="宋体" w:hAnsi="宋体" w:eastAsia="宋体" w:cs="宋体"/>
                <w:spacing w:val="4"/>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924" w:hRule="atLeast"/>
        </w:trPr>
        <w:tc>
          <w:tcPr>
            <w:tcW w:w="353" w:type="pct"/>
            <w:vMerge w:val="restart"/>
            <w:shd w:val="clear" w:color="auto" w:fill="auto"/>
            <w:noWrap/>
            <w:vAlign w:val="center"/>
          </w:tcPr>
          <w:p>
            <w:pPr>
              <w:widowControl/>
              <w:jc w:val="center"/>
              <w:rPr>
                <w:rFonts w:ascii="宋体" w:hAnsi="宋体" w:eastAsia="宋体" w:cs="宋体"/>
                <w:spacing w:val="4"/>
                <w:sz w:val="24"/>
              </w:rPr>
            </w:pPr>
            <w:r>
              <w:rPr>
                <w:rFonts w:hint="eastAsia" w:ascii="宋体" w:hAnsi="宋体" w:eastAsia="宋体" w:cs="宋体"/>
                <w:spacing w:val="4"/>
                <w:sz w:val="24"/>
              </w:rPr>
              <w:t>3</w:t>
            </w:r>
          </w:p>
        </w:tc>
        <w:tc>
          <w:tcPr>
            <w:tcW w:w="1426" w:type="pct"/>
            <w:vMerge w:val="restart"/>
            <w:shd w:val="clear" w:color="auto" w:fill="auto"/>
            <w:noWrap/>
            <w:vAlign w:val="center"/>
          </w:tcPr>
          <w:p>
            <w:pPr>
              <w:spacing w:line="360" w:lineRule="auto"/>
              <w:jc w:val="center"/>
              <w:rPr>
                <w:rFonts w:ascii="宋体" w:hAnsi="宋体" w:eastAsia="宋体" w:cs="宋体"/>
                <w:spacing w:val="4"/>
                <w:sz w:val="24"/>
              </w:rPr>
            </w:pPr>
            <w:r>
              <w:rPr>
                <w:rFonts w:hint="eastAsia" w:ascii="宋体" w:hAnsi="宋体" w:eastAsia="宋体" w:cs="宋体"/>
                <w:spacing w:val="4"/>
                <w:sz w:val="24"/>
              </w:rPr>
              <w:t>设计绩效指标体系</w:t>
            </w:r>
          </w:p>
        </w:tc>
        <w:tc>
          <w:tcPr>
            <w:tcW w:w="3219" w:type="pct"/>
            <w:vMerge w:val="restart"/>
            <w:shd w:val="clear" w:color="auto" w:fill="auto"/>
            <w:vAlign w:val="center"/>
          </w:tcPr>
          <w:p>
            <w:pPr>
              <w:spacing w:line="360" w:lineRule="auto"/>
              <w:jc w:val="left"/>
              <w:rPr>
                <w:rFonts w:ascii="宋体" w:hAnsi="宋体" w:eastAsia="宋体" w:cs="宋体"/>
                <w:spacing w:val="4"/>
                <w:sz w:val="24"/>
              </w:rPr>
            </w:pPr>
            <w:r>
              <w:rPr>
                <w:rFonts w:hint="eastAsia" w:ascii="宋体" w:hAnsi="宋体" w:eastAsia="宋体" w:cs="宋体"/>
                <w:spacing w:val="4"/>
                <w:sz w:val="24"/>
              </w:rPr>
              <w:t>绩效评价工作小组通过采集回来的项目资料，进行整理，提取绩效指标、确定指标标准、指标解释、评分标准及评分规则，设计绩效指标体系初始手稿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475" w:hRule="atLeast"/>
        </w:trPr>
        <w:tc>
          <w:tcPr>
            <w:tcW w:w="353" w:type="pct"/>
            <w:vMerge w:val="continue"/>
            <w:vAlign w:val="center"/>
          </w:tcPr>
          <w:p>
            <w:pPr>
              <w:widowControl/>
              <w:jc w:val="center"/>
              <w:rPr>
                <w:rFonts w:ascii="宋体" w:hAnsi="宋体" w:eastAsia="宋体" w:cs="宋体"/>
                <w:spacing w:val="4"/>
                <w:sz w:val="24"/>
              </w:rPr>
            </w:pPr>
          </w:p>
        </w:tc>
        <w:tc>
          <w:tcPr>
            <w:tcW w:w="1426" w:type="pct"/>
            <w:vMerge w:val="continue"/>
            <w:vAlign w:val="center"/>
          </w:tcPr>
          <w:p>
            <w:pPr>
              <w:spacing w:line="360" w:lineRule="auto"/>
              <w:ind w:firstLine="496" w:firstLineChars="200"/>
              <w:jc w:val="center"/>
              <w:rPr>
                <w:rFonts w:ascii="宋体" w:hAnsi="宋体" w:eastAsia="宋体" w:cs="宋体"/>
                <w:spacing w:val="4"/>
                <w:sz w:val="24"/>
              </w:rPr>
            </w:pPr>
          </w:p>
        </w:tc>
        <w:tc>
          <w:tcPr>
            <w:tcW w:w="3219" w:type="pct"/>
            <w:vMerge w:val="continue"/>
            <w:vAlign w:val="center"/>
          </w:tcPr>
          <w:p>
            <w:pPr>
              <w:spacing w:line="360" w:lineRule="auto"/>
              <w:ind w:firstLine="496" w:firstLineChars="200"/>
              <w:jc w:val="left"/>
              <w:rPr>
                <w:rFonts w:ascii="宋体" w:hAnsi="宋体" w:eastAsia="宋体" w:cs="宋体"/>
                <w:spacing w:val="4"/>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312" w:hRule="atLeast"/>
        </w:trPr>
        <w:tc>
          <w:tcPr>
            <w:tcW w:w="353" w:type="pct"/>
            <w:vMerge w:val="restart"/>
            <w:shd w:val="clear" w:color="auto" w:fill="auto"/>
            <w:noWrap/>
            <w:vAlign w:val="center"/>
          </w:tcPr>
          <w:p>
            <w:pPr>
              <w:widowControl/>
              <w:jc w:val="center"/>
              <w:rPr>
                <w:rFonts w:ascii="宋体" w:hAnsi="宋体" w:eastAsia="宋体" w:cs="宋体"/>
                <w:spacing w:val="4"/>
                <w:sz w:val="24"/>
              </w:rPr>
            </w:pPr>
            <w:r>
              <w:rPr>
                <w:rFonts w:hint="eastAsia" w:ascii="宋体" w:hAnsi="宋体" w:eastAsia="宋体" w:cs="宋体"/>
                <w:spacing w:val="4"/>
                <w:sz w:val="24"/>
              </w:rPr>
              <w:t>4</w:t>
            </w:r>
          </w:p>
        </w:tc>
        <w:tc>
          <w:tcPr>
            <w:tcW w:w="1426" w:type="pct"/>
            <w:vMerge w:val="restart"/>
            <w:shd w:val="clear" w:color="auto" w:fill="auto"/>
            <w:noWrap/>
            <w:vAlign w:val="center"/>
          </w:tcPr>
          <w:p>
            <w:pPr>
              <w:spacing w:line="360" w:lineRule="auto"/>
              <w:jc w:val="center"/>
              <w:rPr>
                <w:rFonts w:ascii="宋体" w:hAnsi="宋体" w:eastAsia="宋体" w:cs="宋体"/>
                <w:spacing w:val="4"/>
                <w:sz w:val="24"/>
              </w:rPr>
            </w:pPr>
            <w:r>
              <w:rPr>
                <w:rFonts w:hint="eastAsia" w:ascii="宋体" w:hAnsi="宋体" w:eastAsia="宋体" w:cs="宋体"/>
                <w:spacing w:val="4"/>
                <w:sz w:val="24"/>
              </w:rPr>
              <w:t>绩效指标初稿设计</w:t>
            </w:r>
          </w:p>
        </w:tc>
        <w:tc>
          <w:tcPr>
            <w:tcW w:w="3219" w:type="pct"/>
            <w:vMerge w:val="restart"/>
            <w:shd w:val="clear" w:color="auto" w:fill="auto"/>
            <w:noWrap/>
            <w:vAlign w:val="center"/>
          </w:tcPr>
          <w:p>
            <w:pPr>
              <w:spacing w:line="360" w:lineRule="auto"/>
              <w:jc w:val="left"/>
              <w:rPr>
                <w:rFonts w:ascii="宋体" w:hAnsi="宋体" w:eastAsia="宋体" w:cs="宋体"/>
                <w:spacing w:val="4"/>
                <w:sz w:val="24"/>
              </w:rPr>
            </w:pPr>
            <w:r>
              <w:rPr>
                <w:rFonts w:hint="eastAsia" w:ascii="宋体" w:hAnsi="宋体" w:eastAsia="宋体" w:cs="宋体"/>
                <w:spacing w:val="4"/>
                <w:sz w:val="24"/>
              </w:rPr>
              <w:t>拟写2022年度石狮市应急管理局部门整体支出绩效评价初稿设计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90" w:hRule="atLeast"/>
        </w:trPr>
        <w:tc>
          <w:tcPr>
            <w:tcW w:w="353" w:type="pct"/>
            <w:vMerge w:val="continue"/>
            <w:vAlign w:val="center"/>
          </w:tcPr>
          <w:p>
            <w:pPr>
              <w:widowControl/>
              <w:jc w:val="center"/>
              <w:rPr>
                <w:rFonts w:ascii="宋体" w:hAnsi="宋体" w:eastAsia="宋体" w:cs="宋体"/>
                <w:spacing w:val="4"/>
                <w:sz w:val="24"/>
              </w:rPr>
            </w:pPr>
          </w:p>
        </w:tc>
        <w:tc>
          <w:tcPr>
            <w:tcW w:w="1426" w:type="pct"/>
            <w:vMerge w:val="continue"/>
            <w:vAlign w:val="center"/>
          </w:tcPr>
          <w:p>
            <w:pPr>
              <w:spacing w:line="360" w:lineRule="auto"/>
              <w:ind w:firstLine="496" w:firstLineChars="200"/>
              <w:jc w:val="center"/>
              <w:rPr>
                <w:rFonts w:ascii="宋体" w:hAnsi="宋体" w:eastAsia="宋体" w:cs="宋体"/>
                <w:spacing w:val="4"/>
                <w:sz w:val="24"/>
              </w:rPr>
            </w:pPr>
          </w:p>
        </w:tc>
        <w:tc>
          <w:tcPr>
            <w:tcW w:w="3219" w:type="pct"/>
            <w:vMerge w:val="continue"/>
            <w:vAlign w:val="center"/>
          </w:tcPr>
          <w:p>
            <w:pPr>
              <w:spacing w:line="360" w:lineRule="auto"/>
              <w:ind w:firstLine="496" w:firstLineChars="200"/>
              <w:jc w:val="left"/>
              <w:rPr>
                <w:rFonts w:ascii="宋体" w:hAnsi="宋体" w:eastAsia="宋体" w:cs="宋体"/>
                <w:spacing w:val="4"/>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312" w:hRule="atLeast"/>
        </w:trPr>
        <w:tc>
          <w:tcPr>
            <w:tcW w:w="353" w:type="pct"/>
            <w:vMerge w:val="restart"/>
            <w:shd w:val="clear" w:color="auto" w:fill="auto"/>
            <w:noWrap/>
            <w:vAlign w:val="center"/>
          </w:tcPr>
          <w:p>
            <w:pPr>
              <w:widowControl/>
              <w:jc w:val="center"/>
              <w:rPr>
                <w:rFonts w:ascii="宋体" w:hAnsi="宋体" w:eastAsia="宋体" w:cs="宋体"/>
                <w:spacing w:val="4"/>
                <w:sz w:val="24"/>
              </w:rPr>
            </w:pPr>
            <w:r>
              <w:rPr>
                <w:rFonts w:hint="eastAsia" w:ascii="宋体" w:hAnsi="宋体" w:eastAsia="宋体" w:cs="宋体"/>
                <w:spacing w:val="4"/>
                <w:sz w:val="24"/>
              </w:rPr>
              <w:t>5</w:t>
            </w:r>
          </w:p>
        </w:tc>
        <w:tc>
          <w:tcPr>
            <w:tcW w:w="1426" w:type="pct"/>
            <w:vMerge w:val="restart"/>
            <w:shd w:val="clear" w:color="auto" w:fill="auto"/>
            <w:noWrap/>
            <w:vAlign w:val="center"/>
          </w:tcPr>
          <w:p>
            <w:pPr>
              <w:spacing w:line="360" w:lineRule="auto"/>
              <w:jc w:val="center"/>
              <w:rPr>
                <w:rFonts w:ascii="宋体" w:hAnsi="宋体" w:eastAsia="宋体" w:cs="宋体"/>
                <w:spacing w:val="4"/>
                <w:sz w:val="24"/>
              </w:rPr>
            </w:pPr>
            <w:r>
              <w:rPr>
                <w:rFonts w:hint="eastAsia" w:ascii="宋体" w:hAnsi="宋体" w:eastAsia="宋体" w:cs="宋体"/>
                <w:spacing w:val="4"/>
                <w:sz w:val="24"/>
              </w:rPr>
              <w:t>预算部门反馈意见</w:t>
            </w:r>
          </w:p>
        </w:tc>
        <w:tc>
          <w:tcPr>
            <w:tcW w:w="3219" w:type="pct"/>
            <w:vMerge w:val="restart"/>
            <w:shd w:val="clear" w:color="auto" w:fill="auto"/>
            <w:noWrap/>
            <w:vAlign w:val="center"/>
          </w:tcPr>
          <w:p>
            <w:pPr>
              <w:spacing w:line="360" w:lineRule="auto"/>
              <w:jc w:val="left"/>
              <w:rPr>
                <w:rFonts w:ascii="宋体" w:hAnsi="宋体" w:eastAsia="宋体" w:cs="宋体"/>
                <w:spacing w:val="4"/>
                <w:sz w:val="24"/>
              </w:rPr>
            </w:pPr>
            <w:r>
              <w:rPr>
                <w:rFonts w:hint="eastAsia" w:ascii="宋体" w:hAnsi="宋体" w:eastAsia="宋体" w:cs="宋体"/>
                <w:spacing w:val="4"/>
                <w:sz w:val="24"/>
              </w:rPr>
              <w:t>征求石狮市应急管理局意见，并向预算单位下发补充资料清单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76" w:hRule="atLeast"/>
        </w:trPr>
        <w:tc>
          <w:tcPr>
            <w:tcW w:w="353" w:type="pct"/>
            <w:vMerge w:val="continue"/>
            <w:vAlign w:val="center"/>
          </w:tcPr>
          <w:p>
            <w:pPr>
              <w:widowControl/>
              <w:jc w:val="center"/>
              <w:rPr>
                <w:rFonts w:ascii="宋体" w:hAnsi="宋体" w:eastAsia="宋体" w:cs="宋体"/>
                <w:spacing w:val="4"/>
                <w:sz w:val="24"/>
              </w:rPr>
            </w:pPr>
          </w:p>
        </w:tc>
        <w:tc>
          <w:tcPr>
            <w:tcW w:w="1426" w:type="pct"/>
            <w:vMerge w:val="continue"/>
            <w:vAlign w:val="center"/>
          </w:tcPr>
          <w:p>
            <w:pPr>
              <w:spacing w:line="360" w:lineRule="auto"/>
              <w:ind w:firstLine="496" w:firstLineChars="200"/>
              <w:jc w:val="center"/>
              <w:rPr>
                <w:rFonts w:ascii="宋体" w:hAnsi="宋体" w:eastAsia="宋体" w:cs="宋体"/>
                <w:spacing w:val="4"/>
                <w:sz w:val="24"/>
              </w:rPr>
            </w:pPr>
          </w:p>
        </w:tc>
        <w:tc>
          <w:tcPr>
            <w:tcW w:w="3219" w:type="pct"/>
            <w:vMerge w:val="continue"/>
            <w:vAlign w:val="center"/>
          </w:tcPr>
          <w:p>
            <w:pPr>
              <w:spacing w:line="360" w:lineRule="auto"/>
              <w:ind w:firstLine="496" w:firstLineChars="200"/>
              <w:jc w:val="left"/>
              <w:rPr>
                <w:rFonts w:ascii="宋体" w:hAnsi="宋体" w:eastAsia="宋体" w:cs="宋体"/>
                <w:spacing w:val="4"/>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825" w:hRule="atLeast"/>
        </w:trPr>
        <w:tc>
          <w:tcPr>
            <w:tcW w:w="353" w:type="pct"/>
            <w:shd w:val="clear" w:color="auto" w:fill="auto"/>
            <w:noWrap/>
            <w:vAlign w:val="center"/>
          </w:tcPr>
          <w:p>
            <w:pPr>
              <w:widowControl/>
              <w:jc w:val="center"/>
              <w:rPr>
                <w:rFonts w:ascii="宋体" w:hAnsi="宋体" w:eastAsia="宋体" w:cs="宋体"/>
                <w:spacing w:val="4"/>
                <w:sz w:val="24"/>
              </w:rPr>
            </w:pPr>
            <w:r>
              <w:rPr>
                <w:rFonts w:hint="eastAsia" w:ascii="宋体" w:hAnsi="宋体" w:eastAsia="宋体" w:cs="宋体"/>
                <w:spacing w:val="4"/>
                <w:sz w:val="24"/>
              </w:rPr>
              <w:t>6</w:t>
            </w:r>
          </w:p>
        </w:tc>
        <w:tc>
          <w:tcPr>
            <w:tcW w:w="1426" w:type="pct"/>
            <w:shd w:val="clear" w:color="auto" w:fill="auto"/>
            <w:noWrap/>
            <w:vAlign w:val="center"/>
          </w:tcPr>
          <w:p>
            <w:pPr>
              <w:spacing w:line="360" w:lineRule="auto"/>
              <w:jc w:val="center"/>
              <w:rPr>
                <w:rFonts w:ascii="宋体" w:hAnsi="宋体" w:eastAsia="宋体" w:cs="宋体"/>
                <w:spacing w:val="4"/>
                <w:sz w:val="24"/>
              </w:rPr>
            </w:pPr>
            <w:r>
              <w:rPr>
                <w:rFonts w:hint="eastAsia" w:ascii="宋体" w:hAnsi="宋体" w:eastAsia="宋体" w:cs="宋体"/>
                <w:spacing w:val="4"/>
                <w:sz w:val="24"/>
              </w:rPr>
              <w:t>组织专家评审</w:t>
            </w:r>
          </w:p>
        </w:tc>
        <w:tc>
          <w:tcPr>
            <w:tcW w:w="3219" w:type="pct"/>
            <w:shd w:val="clear" w:color="auto" w:fill="auto"/>
            <w:noWrap/>
            <w:vAlign w:val="center"/>
          </w:tcPr>
          <w:p>
            <w:pPr>
              <w:spacing w:line="360" w:lineRule="auto"/>
              <w:jc w:val="left"/>
              <w:rPr>
                <w:rFonts w:ascii="宋体" w:hAnsi="宋体" w:eastAsia="宋体" w:cs="宋体"/>
                <w:spacing w:val="4"/>
                <w:sz w:val="24"/>
              </w:rPr>
            </w:pPr>
            <w:r>
              <w:rPr>
                <w:rFonts w:hint="eastAsia" w:ascii="宋体" w:hAnsi="宋体" w:eastAsia="宋体" w:cs="宋体"/>
                <w:spacing w:val="4"/>
                <w:sz w:val="24"/>
              </w:rPr>
              <w:t>联合绩效专家对绩效指标体系征求意见稿进行专家评审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312" w:hRule="atLeast"/>
        </w:trPr>
        <w:tc>
          <w:tcPr>
            <w:tcW w:w="353" w:type="pct"/>
            <w:vMerge w:val="restart"/>
            <w:shd w:val="clear" w:color="auto" w:fill="auto"/>
            <w:noWrap/>
            <w:vAlign w:val="center"/>
          </w:tcPr>
          <w:p>
            <w:pPr>
              <w:widowControl/>
              <w:jc w:val="center"/>
              <w:rPr>
                <w:rFonts w:ascii="宋体" w:hAnsi="宋体" w:eastAsia="宋体" w:cs="宋体"/>
                <w:spacing w:val="4"/>
                <w:sz w:val="24"/>
              </w:rPr>
            </w:pPr>
            <w:r>
              <w:rPr>
                <w:rFonts w:hint="eastAsia" w:ascii="宋体" w:hAnsi="宋体" w:eastAsia="宋体" w:cs="宋体"/>
                <w:spacing w:val="4"/>
                <w:sz w:val="24"/>
              </w:rPr>
              <w:t>7</w:t>
            </w:r>
          </w:p>
        </w:tc>
        <w:tc>
          <w:tcPr>
            <w:tcW w:w="1426" w:type="pct"/>
            <w:vMerge w:val="restart"/>
            <w:shd w:val="clear" w:color="auto" w:fill="auto"/>
            <w:noWrap/>
            <w:vAlign w:val="center"/>
          </w:tcPr>
          <w:p>
            <w:pPr>
              <w:spacing w:line="360" w:lineRule="auto"/>
              <w:jc w:val="center"/>
              <w:rPr>
                <w:rFonts w:ascii="宋体" w:hAnsi="宋体" w:eastAsia="宋体" w:cs="宋体"/>
                <w:spacing w:val="4"/>
                <w:sz w:val="24"/>
              </w:rPr>
            </w:pPr>
            <w:r>
              <w:rPr>
                <w:rFonts w:hint="eastAsia" w:ascii="宋体" w:hAnsi="宋体" w:eastAsia="宋体" w:cs="宋体"/>
                <w:spacing w:val="4"/>
                <w:sz w:val="24"/>
              </w:rPr>
              <w:t>征询财政意见</w:t>
            </w:r>
          </w:p>
        </w:tc>
        <w:tc>
          <w:tcPr>
            <w:tcW w:w="3219" w:type="pct"/>
            <w:vMerge w:val="restart"/>
            <w:shd w:val="clear" w:color="auto" w:fill="auto"/>
            <w:noWrap/>
            <w:vAlign w:val="center"/>
          </w:tcPr>
          <w:p>
            <w:pPr>
              <w:spacing w:line="360" w:lineRule="auto"/>
              <w:jc w:val="left"/>
              <w:rPr>
                <w:rFonts w:ascii="宋体" w:hAnsi="宋体" w:eastAsia="宋体" w:cs="宋体"/>
                <w:spacing w:val="4"/>
                <w:sz w:val="24"/>
              </w:rPr>
            </w:pPr>
            <w:r>
              <w:rPr>
                <w:rFonts w:hint="eastAsia" w:ascii="宋体" w:hAnsi="宋体" w:eastAsia="宋体" w:cs="宋体"/>
                <w:spacing w:val="4"/>
                <w:sz w:val="24"/>
              </w:rPr>
              <w:t>征询石狮市财政局的意见，形成终稿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85" w:hRule="atLeast"/>
        </w:trPr>
        <w:tc>
          <w:tcPr>
            <w:tcW w:w="353" w:type="pct"/>
            <w:vMerge w:val="continue"/>
            <w:vAlign w:val="center"/>
          </w:tcPr>
          <w:p>
            <w:pPr>
              <w:widowControl/>
              <w:jc w:val="center"/>
              <w:rPr>
                <w:rFonts w:ascii="宋体" w:hAnsi="宋体" w:eastAsia="宋体" w:cs="宋体"/>
                <w:spacing w:val="4"/>
                <w:sz w:val="24"/>
              </w:rPr>
            </w:pPr>
          </w:p>
        </w:tc>
        <w:tc>
          <w:tcPr>
            <w:tcW w:w="1426" w:type="pct"/>
            <w:vMerge w:val="continue"/>
            <w:vAlign w:val="center"/>
          </w:tcPr>
          <w:p>
            <w:pPr>
              <w:widowControl/>
              <w:jc w:val="center"/>
              <w:rPr>
                <w:rFonts w:ascii="宋体" w:hAnsi="宋体" w:eastAsia="宋体" w:cs="宋体"/>
                <w:spacing w:val="4"/>
                <w:sz w:val="24"/>
              </w:rPr>
            </w:pPr>
          </w:p>
        </w:tc>
        <w:tc>
          <w:tcPr>
            <w:tcW w:w="3219" w:type="pct"/>
            <w:vMerge w:val="continue"/>
            <w:vAlign w:val="center"/>
          </w:tcPr>
          <w:p>
            <w:pPr>
              <w:widowControl/>
              <w:jc w:val="left"/>
              <w:rPr>
                <w:rFonts w:ascii="宋体" w:hAnsi="宋体" w:eastAsia="宋体" w:cs="宋体"/>
                <w:spacing w:val="4"/>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48" w:hRule="atLeast"/>
        </w:trPr>
        <w:tc>
          <w:tcPr>
            <w:tcW w:w="353" w:type="pct"/>
            <w:vMerge w:val="restart"/>
            <w:shd w:val="clear" w:color="auto" w:fill="auto"/>
            <w:noWrap/>
            <w:vAlign w:val="center"/>
          </w:tcPr>
          <w:p>
            <w:pPr>
              <w:widowControl/>
              <w:jc w:val="center"/>
              <w:rPr>
                <w:rFonts w:ascii="宋体" w:hAnsi="宋体" w:eastAsia="宋体" w:cs="宋体"/>
                <w:spacing w:val="4"/>
                <w:sz w:val="24"/>
              </w:rPr>
            </w:pPr>
            <w:r>
              <w:rPr>
                <w:rFonts w:hint="eastAsia" w:ascii="宋体" w:hAnsi="宋体" w:eastAsia="宋体" w:cs="宋体"/>
                <w:spacing w:val="4"/>
                <w:sz w:val="24"/>
              </w:rPr>
              <w:t>8</w:t>
            </w:r>
          </w:p>
        </w:tc>
        <w:tc>
          <w:tcPr>
            <w:tcW w:w="1426" w:type="pct"/>
            <w:vMerge w:val="restart"/>
            <w:shd w:val="clear" w:color="auto" w:fill="auto"/>
            <w:noWrap/>
            <w:vAlign w:val="center"/>
          </w:tcPr>
          <w:p>
            <w:pPr>
              <w:widowControl/>
              <w:jc w:val="center"/>
              <w:rPr>
                <w:rFonts w:ascii="宋体" w:hAnsi="宋体" w:eastAsia="宋体" w:cs="宋体"/>
                <w:spacing w:val="4"/>
                <w:sz w:val="24"/>
              </w:rPr>
            </w:pPr>
            <w:r>
              <w:rPr>
                <w:rFonts w:hint="eastAsia" w:ascii="宋体" w:hAnsi="宋体" w:eastAsia="宋体" w:cs="宋体"/>
                <w:spacing w:val="4"/>
                <w:sz w:val="24"/>
              </w:rPr>
              <w:t>提交绩效评价报告</w:t>
            </w:r>
          </w:p>
        </w:tc>
        <w:tc>
          <w:tcPr>
            <w:tcW w:w="3219" w:type="pct"/>
            <w:vMerge w:val="restart"/>
            <w:shd w:val="clear" w:color="auto" w:fill="auto"/>
            <w:vAlign w:val="center"/>
          </w:tcPr>
          <w:p>
            <w:pPr>
              <w:widowControl/>
              <w:jc w:val="left"/>
              <w:rPr>
                <w:rFonts w:ascii="宋体" w:hAnsi="宋体" w:eastAsia="宋体" w:cs="宋体"/>
                <w:spacing w:val="4"/>
                <w:sz w:val="24"/>
              </w:rPr>
            </w:pPr>
            <w:r>
              <w:rPr>
                <w:rFonts w:hint="eastAsia" w:ascii="宋体" w:hAnsi="宋体" w:eastAsia="宋体" w:cs="宋体"/>
                <w:spacing w:val="4"/>
                <w:sz w:val="24"/>
              </w:rPr>
              <w:t>完成《2022年度石狮市应急管理局部门整体支出绩效评价报告》，装订成册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312" w:hRule="atLeast"/>
        </w:trPr>
        <w:tc>
          <w:tcPr>
            <w:tcW w:w="353" w:type="pct"/>
            <w:vMerge w:val="continue"/>
            <w:vAlign w:val="center"/>
          </w:tcPr>
          <w:p>
            <w:pPr>
              <w:widowControl/>
              <w:jc w:val="left"/>
              <w:rPr>
                <w:rFonts w:ascii="宋体" w:hAnsi="宋体" w:eastAsia="宋体" w:cs="宋体"/>
                <w:color w:val="000000"/>
                <w:kern w:val="0"/>
                <w:sz w:val="24"/>
              </w:rPr>
            </w:pPr>
          </w:p>
        </w:tc>
        <w:tc>
          <w:tcPr>
            <w:tcW w:w="1426" w:type="pct"/>
            <w:vMerge w:val="continue"/>
            <w:vAlign w:val="center"/>
          </w:tcPr>
          <w:p>
            <w:pPr>
              <w:widowControl/>
              <w:jc w:val="left"/>
              <w:rPr>
                <w:rFonts w:ascii="宋体" w:hAnsi="宋体" w:eastAsia="宋体" w:cs="宋体"/>
                <w:color w:val="000000"/>
                <w:kern w:val="0"/>
                <w:sz w:val="24"/>
              </w:rPr>
            </w:pPr>
          </w:p>
        </w:tc>
        <w:tc>
          <w:tcPr>
            <w:tcW w:w="3219" w:type="pct"/>
            <w:vMerge w:val="continue"/>
            <w:vAlign w:val="center"/>
          </w:tcPr>
          <w:p>
            <w:pPr>
              <w:widowControl/>
              <w:jc w:val="left"/>
              <w:rPr>
                <w:rFonts w:ascii="宋体" w:hAnsi="宋体" w:eastAsia="宋体" w:cs="宋体"/>
                <w:color w:val="000000"/>
                <w:kern w:val="0"/>
                <w:sz w:val="24"/>
              </w:rPr>
            </w:pPr>
          </w:p>
        </w:tc>
      </w:tr>
    </w:tbl>
    <w:p>
      <w:pPr>
        <w:pStyle w:val="15"/>
        <w:widowControl/>
        <w:shd w:val="clear" w:color="auto" w:fill="FFFFFF"/>
        <w:snapToGrid/>
        <w:spacing w:before="312" w:beforeLines="100" w:beforeAutospacing="0" w:after="156" w:afterLines="50" w:afterAutospacing="0" w:line="360" w:lineRule="auto"/>
        <w:ind w:left="0" w:leftChars="0" w:right="0" w:rightChars="0" w:firstLine="0" w:firstLineChars="0"/>
        <w:jc w:val="left"/>
        <w:outlineLvl w:val="0"/>
        <w:rPr>
          <w:rFonts w:ascii="Times New Roman" w:hAnsi="仿宋" w:eastAsia="宋体" w:cs="仿宋"/>
          <w:b/>
          <w:spacing w:val="4"/>
          <w:kern w:val="2"/>
          <w:sz w:val="32"/>
          <w:szCs w:val="32"/>
        </w:rPr>
      </w:pPr>
      <w:bookmarkStart w:id="106" w:name="_Toc114"/>
      <w:r>
        <w:rPr>
          <w:rFonts w:hint="eastAsia" w:ascii="Times New Roman" w:hAnsi="仿宋" w:eastAsia="宋体" w:cs="仿宋"/>
          <w:b/>
          <w:spacing w:val="4"/>
          <w:kern w:val="2"/>
          <w:sz w:val="32"/>
          <w:szCs w:val="32"/>
        </w:rPr>
        <w:t>三、绩效评价指标体系及评价标准</w:t>
      </w:r>
      <w:bookmarkEnd w:id="106"/>
    </w:p>
    <w:p>
      <w:pPr>
        <w:snapToGrid/>
        <w:spacing w:beforeAutospacing="0" w:afterAutospacing="0" w:line="360" w:lineRule="auto"/>
        <w:ind w:left="0" w:leftChars="0" w:firstLine="576" w:firstLineChars="200"/>
        <w:rPr>
          <w:rFonts w:hint="eastAsia" w:ascii="Times New Roman" w:hAnsi="仿宋" w:eastAsia="宋体" w:cs="仿宋"/>
          <w:spacing w:val="4"/>
          <w:sz w:val="28"/>
          <w:szCs w:val="32"/>
          <w:lang w:eastAsia="zh-CN"/>
        </w:rPr>
      </w:pPr>
      <w:r>
        <w:rPr>
          <w:rFonts w:hint="eastAsia" w:ascii="Times New Roman" w:hAnsi="仿宋" w:eastAsia="宋体" w:cs="仿宋"/>
          <w:spacing w:val="4"/>
          <w:sz w:val="28"/>
          <w:szCs w:val="32"/>
        </w:rPr>
        <w:t>石狮市应急管理局绩效评价指标体系共设置4个一级指标、13个二级指标和3</w:t>
      </w:r>
      <w:r>
        <w:rPr>
          <w:rFonts w:hint="eastAsia" w:ascii="Times New Roman" w:hAnsi="仿宋" w:eastAsia="宋体" w:cs="仿宋"/>
          <w:spacing w:val="4"/>
          <w:sz w:val="28"/>
          <w:szCs w:val="32"/>
          <w:lang w:val="en-US" w:eastAsia="zh-CN"/>
        </w:rPr>
        <w:t>6</w:t>
      </w:r>
      <w:r>
        <w:rPr>
          <w:rFonts w:hint="eastAsia" w:ascii="Times New Roman" w:hAnsi="仿宋" w:eastAsia="宋体" w:cs="仿宋"/>
          <w:spacing w:val="4"/>
          <w:sz w:val="28"/>
          <w:szCs w:val="32"/>
        </w:rPr>
        <w:t>个三级指标。一级指标为</w:t>
      </w:r>
      <w:r>
        <w:rPr>
          <w:rFonts w:hint="eastAsia" w:ascii="Times New Roman" w:hAnsi="仿宋" w:eastAsia="宋体" w:cs="仿宋"/>
          <w:spacing w:val="4"/>
          <w:sz w:val="28"/>
          <w:szCs w:val="32"/>
          <w:lang w:val="en-US" w:eastAsia="zh-CN"/>
        </w:rPr>
        <w:t>投入</w:t>
      </w:r>
      <w:r>
        <w:rPr>
          <w:rFonts w:hint="eastAsia" w:ascii="Times New Roman" w:hAnsi="仿宋" w:eastAsia="宋体" w:cs="仿宋"/>
          <w:spacing w:val="4"/>
          <w:sz w:val="28"/>
          <w:szCs w:val="32"/>
        </w:rPr>
        <w:t>、过程、产出和效益。其中：“</w:t>
      </w:r>
      <w:r>
        <w:rPr>
          <w:rFonts w:hint="eastAsia" w:ascii="Times New Roman" w:hAnsi="仿宋" w:eastAsia="宋体" w:cs="仿宋"/>
          <w:spacing w:val="4"/>
          <w:sz w:val="28"/>
          <w:szCs w:val="32"/>
          <w:lang w:val="en-US" w:eastAsia="zh-CN"/>
        </w:rPr>
        <w:t>投入</w:t>
      </w:r>
      <w:r>
        <w:rPr>
          <w:rFonts w:hint="eastAsia" w:ascii="Times New Roman" w:hAnsi="仿宋" w:eastAsia="宋体" w:cs="仿宋"/>
          <w:spacing w:val="4"/>
          <w:sz w:val="28"/>
          <w:szCs w:val="32"/>
        </w:rPr>
        <w:t>”</w:t>
      </w:r>
      <w:r>
        <w:rPr>
          <w:rFonts w:hint="eastAsia" w:ascii="Times New Roman" w:hAnsi="仿宋" w:eastAsia="宋体" w:cs="仿宋"/>
          <w:spacing w:val="4"/>
          <w:sz w:val="28"/>
          <w:szCs w:val="32"/>
          <w:lang w:val="en-US" w:eastAsia="zh-CN"/>
        </w:rPr>
        <w:t>20</w:t>
      </w:r>
      <w:r>
        <w:rPr>
          <w:rFonts w:hint="eastAsia" w:ascii="Times New Roman" w:hAnsi="仿宋" w:eastAsia="宋体" w:cs="仿宋"/>
          <w:spacing w:val="4"/>
          <w:sz w:val="28"/>
          <w:szCs w:val="32"/>
        </w:rPr>
        <w:t>分，主要体现部门整体支出项目</w:t>
      </w:r>
      <w:r>
        <w:rPr>
          <w:rFonts w:hint="eastAsia" w:ascii="Times New Roman" w:hAnsi="仿宋" w:eastAsia="宋体" w:cs="仿宋"/>
          <w:spacing w:val="4"/>
          <w:sz w:val="28"/>
          <w:szCs w:val="32"/>
          <w:lang w:val="en-US" w:eastAsia="zh-CN"/>
        </w:rPr>
        <w:t>设定</w:t>
      </w:r>
      <w:r>
        <w:rPr>
          <w:rFonts w:hint="eastAsia" w:ascii="Times New Roman" w:hAnsi="仿宋" w:eastAsia="宋体" w:cs="仿宋"/>
          <w:spacing w:val="4"/>
          <w:sz w:val="28"/>
          <w:szCs w:val="32"/>
        </w:rPr>
        <w:t>、预算配置情况；“过程”</w:t>
      </w:r>
      <w:r>
        <w:rPr>
          <w:rFonts w:hint="eastAsia" w:ascii="Times New Roman" w:hAnsi="仿宋" w:eastAsia="宋体" w:cs="仿宋"/>
          <w:spacing w:val="4"/>
          <w:sz w:val="28"/>
          <w:szCs w:val="32"/>
          <w:lang w:val="en-US" w:eastAsia="zh-CN"/>
        </w:rPr>
        <w:t>20</w:t>
      </w:r>
      <w:r>
        <w:rPr>
          <w:rFonts w:hint="eastAsia" w:ascii="Times New Roman" w:hAnsi="仿宋" w:eastAsia="宋体" w:cs="仿宋"/>
          <w:spacing w:val="4"/>
          <w:sz w:val="28"/>
          <w:szCs w:val="32"/>
        </w:rPr>
        <w:t>分，主要体现部门整体支出预算执行、预算管理方面的情况；“产出”40分，主要体现</w:t>
      </w:r>
      <w:r>
        <w:rPr>
          <w:rFonts w:hint="eastAsia" w:ascii="Times New Roman" w:hAnsi="仿宋" w:eastAsia="宋体" w:cs="仿宋"/>
          <w:spacing w:val="4"/>
          <w:sz w:val="28"/>
          <w:szCs w:val="32"/>
          <w:lang w:val="en-US" w:eastAsia="zh-CN"/>
        </w:rPr>
        <w:t>职责履行</w:t>
      </w:r>
      <w:r>
        <w:rPr>
          <w:rFonts w:hint="eastAsia" w:ascii="Times New Roman" w:hAnsi="仿宋" w:eastAsia="宋体" w:cs="仿宋"/>
          <w:spacing w:val="4"/>
          <w:sz w:val="28"/>
          <w:szCs w:val="32"/>
        </w:rPr>
        <w:t>、产出数量、产出质量、</w:t>
      </w:r>
      <w:r>
        <w:rPr>
          <w:rFonts w:hint="eastAsia" w:ascii="Times New Roman" w:hAnsi="仿宋" w:eastAsia="宋体" w:cs="仿宋"/>
          <w:spacing w:val="4"/>
          <w:sz w:val="28"/>
          <w:szCs w:val="32"/>
          <w:lang w:val="en-US" w:eastAsia="zh-CN"/>
        </w:rPr>
        <w:t>产出时效</w:t>
      </w:r>
      <w:r>
        <w:rPr>
          <w:rFonts w:hint="eastAsia" w:ascii="Times New Roman" w:hAnsi="仿宋" w:eastAsia="宋体" w:cs="仿宋"/>
          <w:spacing w:val="4"/>
          <w:sz w:val="28"/>
          <w:szCs w:val="32"/>
        </w:rPr>
        <w:t>、</w:t>
      </w:r>
      <w:r>
        <w:rPr>
          <w:rFonts w:hint="eastAsia" w:ascii="Times New Roman" w:hAnsi="仿宋" w:eastAsia="宋体" w:cs="仿宋"/>
          <w:spacing w:val="4"/>
          <w:sz w:val="28"/>
          <w:szCs w:val="32"/>
          <w:lang w:val="en-US" w:eastAsia="zh-CN"/>
        </w:rPr>
        <w:t>产出成本</w:t>
      </w:r>
      <w:r>
        <w:rPr>
          <w:rFonts w:hint="eastAsia" w:ascii="Times New Roman" w:hAnsi="仿宋" w:eastAsia="宋体" w:cs="仿宋"/>
          <w:spacing w:val="4"/>
          <w:sz w:val="28"/>
          <w:szCs w:val="32"/>
        </w:rPr>
        <w:t>；“效益”</w:t>
      </w:r>
      <w:r>
        <w:rPr>
          <w:rFonts w:hint="eastAsia" w:ascii="Times New Roman" w:hAnsi="仿宋" w:eastAsia="宋体" w:cs="仿宋"/>
          <w:spacing w:val="4"/>
          <w:sz w:val="28"/>
          <w:szCs w:val="32"/>
          <w:lang w:val="en-US" w:eastAsia="zh-CN"/>
        </w:rPr>
        <w:t>20</w:t>
      </w:r>
      <w:r>
        <w:rPr>
          <w:rFonts w:hint="eastAsia" w:ascii="Times New Roman" w:hAnsi="仿宋" w:eastAsia="宋体" w:cs="仿宋"/>
          <w:spacing w:val="4"/>
          <w:sz w:val="28"/>
          <w:szCs w:val="32"/>
        </w:rPr>
        <w:t>分，主要体现实施后的经济效益、社会效益、可持续效益和服务对象满意度等。指标体系设定满分100分，评分等级为总分大于90分（含90分）为“优”，90﹥总分≥80为“良”，80﹥总分≥60为“中”，低于60分为“差”</w:t>
      </w:r>
      <w:r>
        <w:rPr>
          <w:rFonts w:hint="eastAsia" w:ascii="Times New Roman" w:hAnsi="仿宋" w:eastAsia="宋体" w:cs="仿宋"/>
          <w:spacing w:val="4"/>
          <w:sz w:val="28"/>
          <w:szCs w:val="32"/>
          <w:lang w:eastAsia="zh-CN"/>
        </w:rPr>
        <w:t>。</w:t>
      </w:r>
    </w:p>
    <w:p>
      <w:pPr>
        <w:pStyle w:val="2"/>
        <w:rPr>
          <w:rFonts w:hint="eastAsia"/>
          <w:lang w:eastAsia="zh-CN"/>
        </w:rPr>
      </w:pPr>
    </w:p>
    <w:p>
      <w:pPr>
        <w:snapToGrid/>
        <w:spacing w:beforeAutospacing="0" w:afterAutospacing="0" w:line="360" w:lineRule="auto"/>
        <w:jc w:val="center"/>
        <w:rPr>
          <w:rFonts w:ascii="Times New Roman" w:hAnsi="宋体" w:eastAsia="宋体" w:cs="宋体"/>
          <w:b/>
          <w:bCs/>
          <w:spacing w:val="4"/>
          <w:sz w:val="24"/>
          <w:szCs w:val="24"/>
        </w:rPr>
      </w:pPr>
      <w:r>
        <w:rPr>
          <w:rFonts w:hint="eastAsia" w:ascii="Times New Roman" w:hAnsi="宋体" w:eastAsia="宋体" w:cs="宋体"/>
          <w:b/>
          <w:bCs/>
          <w:spacing w:val="4"/>
          <w:sz w:val="24"/>
          <w:szCs w:val="24"/>
        </w:rPr>
        <w:t>2022年度石狮市应急管理局部门整体支出绩效评价指标体系和评价标准</w:t>
      </w:r>
    </w:p>
    <w:tbl>
      <w:tblPr>
        <w:tblStyle w:val="1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062"/>
        <w:gridCol w:w="1233"/>
        <w:gridCol w:w="2590"/>
        <w:gridCol w:w="2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951" w:type="dxa"/>
            <w:shd w:val="clear" w:color="auto" w:fill="auto"/>
            <w:vAlign w:val="center"/>
          </w:tcPr>
          <w:p>
            <w:pPr>
              <w:widowControl/>
              <w:jc w:val="center"/>
              <w:textAlignment w:val="center"/>
              <w:rPr>
                <w:rFonts w:hint="eastAsia" w:ascii="宋体" w:hAnsi="宋体" w:eastAsia="宋体" w:cs="宋体"/>
                <w:b/>
                <w:bCs/>
                <w:color w:val="000000"/>
                <w:szCs w:val="21"/>
              </w:rPr>
            </w:pPr>
            <w:bookmarkStart w:id="107" w:name="_Toc8940"/>
            <w:bookmarkStart w:id="108" w:name="_Toc9432"/>
            <w:r>
              <w:rPr>
                <w:rFonts w:hint="eastAsia" w:ascii="宋体" w:hAnsi="宋体" w:eastAsia="宋体" w:cs="宋体"/>
                <w:color w:val="000000"/>
                <w:kern w:val="0"/>
                <w:sz w:val="18"/>
                <w:szCs w:val="18"/>
                <w:lang w:bidi="ar"/>
              </w:rPr>
              <w:t>一级指标</w:t>
            </w:r>
          </w:p>
        </w:tc>
        <w:tc>
          <w:tcPr>
            <w:tcW w:w="1062" w:type="dxa"/>
            <w:shd w:val="clear" w:color="auto" w:fill="auto"/>
            <w:vAlign w:val="center"/>
          </w:tcPr>
          <w:p>
            <w:pPr>
              <w:widowControl/>
              <w:jc w:val="center"/>
              <w:textAlignment w:val="center"/>
              <w:rPr>
                <w:rFonts w:hint="eastAsia" w:ascii="宋体" w:hAnsi="宋体" w:eastAsia="宋体" w:cs="宋体"/>
                <w:b/>
                <w:bCs/>
                <w:color w:val="000000"/>
                <w:szCs w:val="21"/>
              </w:rPr>
            </w:pPr>
            <w:r>
              <w:rPr>
                <w:rFonts w:hint="eastAsia" w:ascii="宋体" w:hAnsi="宋体" w:eastAsia="宋体" w:cs="宋体"/>
                <w:color w:val="000000"/>
                <w:kern w:val="0"/>
                <w:sz w:val="18"/>
                <w:szCs w:val="18"/>
                <w:lang w:bidi="ar"/>
              </w:rPr>
              <w:t>二级指标</w:t>
            </w:r>
          </w:p>
        </w:tc>
        <w:tc>
          <w:tcPr>
            <w:tcW w:w="1233" w:type="dxa"/>
            <w:shd w:val="clear" w:color="auto" w:fill="auto"/>
            <w:vAlign w:val="center"/>
          </w:tcPr>
          <w:p>
            <w:pPr>
              <w:widowControl/>
              <w:jc w:val="center"/>
              <w:textAlignment w:val="center"/>
              <w:rPr>
                <w:rFonts w:hint="eastAsia" w:ascii="宋体" w:hAnsi="宋体" w:eastAsia="宋体" w:cs="宋体"/>
                <w:b/>
                <w:bCs/>
                <w:color w:val="000000"/>
                <w:szCs w:val="21"/>
              </w:rPr>
            </w:pPr>
            <w:r>
              <w:rPr>
                <w:rFonts w:hint="eastAsia" w:ascii="宋体" w:hAnsi="宋体" w:eastAsia="宋体" w:cs="宋体"/>
                <w:color w:val="000000"/>
                <w:kern w:val="0"/>
                <w:sz w:val="18"/>
                <w:szCs w:val="18"/>
                <w:lang w:bidi="ar"/>
              </w:rPr>
              <w:t>三级指标</w:t>
            </w:r>
          </w:p>
        </w:tc>
        <w:tc>
          <w:tcPr>
            <w:tcW w:w="2590" w:type="dxa"/>
            <w:shd w:val="clear" w:color="auto" w:fill="auto"/>
            <w:vAlign w:val="center"/>
          </w:tcPr>
          <w:p>
            <w:pPr>
              <w:widowControl/>
              <w:jc w:val="center"/>
              <w:textAlignment w:val="center"/>
              <w:rPr>
                <w:rFonts w:hint="eastAsia" w:ascii="宋体" w:hAnsi="宋体" w:eastAsia="宋体" w:cs="宋体"/>
                <w:b/>
                <w:bCs/>
                <w:color w:val="000000"/>
                <w:szCs w:val="21"/>
              </w:rPr>
            </w:pPr>
            <w:r>
              <w:rPr>
                <w:rFonts w:hint="eastAsia" w:ascii="宋体" w:hAnsi="宋体" w:eastAsia="宋体" w:cs="宋体"/>
                <w:color w:val="000000"/>
                <w:kern w:val="0"/>
                <w:sz w:val="18"/>
                <w:szCs w:val="18"/>
                <w:lang w:bidi="ar"/>
              </w:rPr>
              <w:t>指标解释</w:t>
            </w:r>
          </w:p>
        </w:tc>
        <w:tc>
          <w:tcPr>
            <w:tcW w:w="2683" w:type="dxa"/>
            <w:shd w:val="clear" w:color="auto" w:fill="auto"/>
            <w:vAlign w:val="center"/>
          </w:tcPr>
          <w:p>
            <w:pPr>
              <w:widowControl/>
              <w:jc w:val="center"/>
              <w:textAlignment w:val="center"/>
              <w:rPr>
                <w:rFonts w:hint="eastAsia" w:ascii="宋体" w:hAnsi="宋体" w:eastAsia="宋体" w:cs="宋体"/>
                <w:b/>
                <w:bCs/>
                <w:color w:val="000000"/>
                <w:szCs w:val="21"/>
              </w:rPr>
            </w:pPr>
            <w:r>
              <w:rPr>
                <w:rFonts w:hint="eastAsia" w:ascii="宋体" w:hAnsi="宋体" w:eastAsia="宋体" w:cs="宋体"/>
                <w:color w:val="000000"/>
                <w:kern w:val="0"/>
                <w:sz w:val="18"/>
                <w:szCs w:val="18"/>
                <w:lang w:bidi="ar"/>
              </w:rPr>
              <w:t>评价标准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0" w:hRule="atLeast"/>
        </w:trPr>
        <w:tc>
          <w:tcPr>
            <w:tcW w:w="951" w:type="dxa"/>
            <w:vMerge w:val="restart"/>
            <w:shd w:val="clear" w:color="auto" w:fill="auto"/>
            <w:vAlign w:val="center"/>
          </w:tcPr>
          <w:p>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投入(20%)</w:t>
            </w:r>
          </w:p>
        </w:tc>
        <w:tc>
          <w:tcPr>
            <w:tcW w:w="1062" w:type="dxa"/>
            <w:vMerge w:val="restart"/>
            <w:shd w:val="clear" w:color="auto" w:fill="auto"/>
            <w:vAlign w:val="center"/>
          </w:tcPr>
          <w:p>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目标设定（8分）</w:t>
            </w:r>
          </w:p>
        </w:tc>
        <w:tc>
          <w:tcPr>
            <w:tcW w:w="1233" w:type="dxa"/>
            <w:shd w:val="clear" w:color="auto" w:fill="auto"/>
            <w:vAlign w:val="center"/>
          </w:tcPr>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绩效目标</w:t>
            </w:r>
          </w:p>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合理性</w:t>
            </w:r>
          </w:p>
          <w:p>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（4分）</w:t>
            </w:r>
          </w:p>
        </w:tc>
        <w:tc>
          <w:tcPr>
            <w:tcW w:w="2590" w:type="dxa"/>
            <w:shd w:val="clear" w:color="auto" w:fill="auto"/>
            <w:vAlign w:val="center"/>
          </w:tcPr>
          <w:p>
            <w:pPr>
              <w:widowControl/>
              <w:jc w:val="left"/>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部门所设立的整体绩效目标依据是否充分，是否符合客观实际，用于反映和考核部门整体绩效目标与部门履职、年度工作任务的相符性情况。</w:t>
            </w:r>
          </w:p>
        </w:tc>
        <w:tc>
          <w:tcPr>
            <w:tcW w:w="2683" w:type="dxa"/>
            <w:shd w:val="clear" w:color="auto" w:fill="auto"/>
            <w:vAlign w:val="center"/>
          </w:tcPr>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①是否符合国家法律法规；</w:t>
            </w:r>
          </w:p>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②是否符合国民经济和社会发展总体规划；</w:t>
            </w:r>
          </w:p>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③是否符合部门“三定”方案 确定的职责；</w:t>
            </w:r>
          </w:p>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④是否符合部门制定的中长期实施规划或年度工作计划。</w:t>
            </w:r>
          </w:p>
          <w:p>
            <w:pPr>
              <w:widowControl/>
              <w:jc w:val="left"/>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一项不符扣1分。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951" w:type="dxa"/>
            <w:vMerge w:val="continue"/>
            <w:shd w:val="clear" w:color="auto" w:fill="auto"/>
            <w:vAlign w:val="center"/>
          </w:tcPr>
          <w:p>
            <w:pPr>
              <w:jc w:val="center"/>
              <w:rPr>
                <w:rFonts w:hint="eastAsia" w:ascii="宋体" w:hAnsi="宋体" w:eastAsia="宋体" w:cs="宋体"/>
                <w:color w:val="000000"/>
                <w:szCs w:val="21"/>
              </w:rPr>
            </w:pPr>
          </w:p>
        </w:tc>
        <w:tc>
          <w:tcPr>
            <w:tcW w:w="1062" w:type="dxa"/>
            <w:vMerge w:val="continue"/>
            <w:shd w:val="clear" w:color="auto" w:fill="auto"/>
            <w:vAlign w:val="center"/>
          </w:tcPr>
          <w:p>
            <w:pPr>
              <w:jc w:val="center"/>
              <w:rPr>
                <w:rFonts w:hint="eastAsia" w:ascii="宋体" w:hAnsi="宋体" w:eastAsia="宋体" w:cs="宋体"/>
                <w:color w:val="000000"/>
                <w:szCs w:val="21"/>
              </w:rPr>
            </w:pPr>
          </w:p>
        </w:tc>
        <w:tc>
          <w:tcPr>
            <w:tcW w:w="1233" w:type="dxa"/>
            <w:shd w:val="clear" w:color="auto" w:fill="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bidi="ar"/>
              </w:rPr>
              <w:t>绩效</w:t>
            </w:r>
            <w:r>
              <w:rPr>
                <w:rFonts w:hint="eastAsia" w:ascii="宋体" w:hAnsi="宋体" w:eastAsia="宋体" w:cs="宋体"/>
                <w:color w:val="000000"/>
                <w:kern w:val="0"/>
                <w:sz w:val="18"/>
                <w:szCs w:val="18"/>
                <w:lang w:val="en-US" w:eastAsia="zh-CN" w:bidi="ar"/>
              </w:rPr>
              <w:t>目标</w:t>
            </w:r>
          </w:p>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明确性</w:t>
            </w:r>
          </w:p>
          <w:p>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（4分）</w:t>
            </w:r>
          </w:p>
        </w:tc>
        <w:tc>
          <w:tcPr>
            <w:tcW w:w="2590" w:type="dxa"/>
            <w:shd w:val="clear" w:color="auto" w:fill="auto"/>
            <w:vAlign w:val="center"/>
          </w:tcPr>
          <w:p>
            <w:pPr>
              <w:widowControl/>
              <w:jc w:val="left"/>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部门依据整体绩效目标所设定的绩效指标是否清晰、细化、可衡量，用于反映和考核部门整体绩效目标的明细化情况</w:t>
            </w:r>
          </w:p>
        </w:tc>
        <w:tc>
          <w:tcPr>
            <w:tcW w:w="2683" w:type="dxa"/>
            <w:shd w:val="clear" w:color="auto" w:fill="auto"/>
            <w:vAlign w:val="center"/>
          </w:tcPr>
          <w:p>
            <w:pPr>
              <w:widowControl/>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 xml:space="preserve">①是否将部门整体的绩效目标细化分解为具体的工作任务； </w:t>
            </w:r>
          </w:p>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②是否通过清晰、可衡量的指标予以体现；</w:t>
            </w:r>
          </w:p>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③是否与部门年度的任务数或计划数相对应；</w:t>
            </w:r>
          </w:p>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④是否以本年度部门预算资金相匹配。</w:t>
            </w:r>
          </w:p>
          <w:p>
            <w:pPr>
              <w:widowControl/>
              <w:jc w:val="left"/>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 w:val="18"/>
                <w:szCs w:val="18"/>
                <w:lang w:bidi="ar"/>
              </w:rPr>
              <w:t>一项不符扣1分。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trPr>
        <w:tc>
          <w:tcPr>
            <w:tcW w:w="951" w:type="dxa"/>
            <w:vMerge w:val="continue"/>
            <w:shd w:val="clear" w:color="auto" w:fill="auto"/>
            <w:vAlign w:val="center"/>
          </w:tcPr>
          <w:p>
            <w:pPr>
              <w:jc w:val="center"/>
              <w:rPr>
                <w:rFonts w:hint="eastAsia" w:ascii="宋体" w:hAnsi="宋体" w:eastAsia="宋体" w:cs="宋体"/>
                <w:color w:val="000000"/>
                <w:szCs w:val="21"/>
              </w:rPr>
            </w:pPr>
          </w:p>
        </w:tc>
        <w:tc>
          <w:tcPr>
            <w:tcW w:w="1062" w:type="dxa"/>
            <w:vMerge w:val="restart"/>
            <w:shd w:val="clear" w:color="auto" w:fill="auto"/>
            <w:vAlign w:val="center"/>
          </w:tcPr>
          <w:p>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预算配置（12分）</w:t>
            </w:r>
          </w:p>
        </w:tc>
        <w:tc>
          <w:tcPr>
            <w:tcW w:w="1233" w:type="dxa"/>
            <w:shd w:val="clear" w:color="auto" w:fill="auto"/>
            <w:vAlign w:val="center"/>
          </w:tcPr>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在职人员</w:t>
            </w:r>
          </w:p>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控制率</w:t>
            </w:r>
          </w:p>
          <w:p>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（4分）</w:t>
            </w:r>
          </w:p>
        </w:tc>
        <w:tc>
          <w:tcPr>
            <w:tcW w:w="2590" w:type="dxa"/>
            <w:shd w:val="clear" w:color="auto" w:fill="auto"/>
            <w:vAlign w:val="center"/>
          </w:tcPr>
          <w:p>
            <w:pPr>
              <w:widowControl/>
              <w:jc w:val="left"/>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部门（单位）本年度实际在职人员数与编制数的比率，用以反映和评价部门（单位）对人员成本的控制程度。在职人员控制率=（在职人员数/编制数）×100%</w:t>
            </w:r>
          </w:p>
        </w:tc>
        <w:tc>
          <w:tcPr>
            <w:tcW w:w="2683" w:type="dxa"/>
            <w:shd w:val="clear" w:color="auto" w:fill="auto"/>
            <w:vAlign w:val="center"/>
          </w:tcPr>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①在职人员控制率小</w:t>
            </w:r>
            <w:r>
              <w:rPr>
                <w:rFonts w:hint="eastAsia" w:ascii="宋体" w:hAnsi="宋体" w:eastAsia="宋体" w:cs="宋体"/>
                <w:color w:val="000000"/>
                <w:kern w:val="0"/>
                <w:sz w:val="18"/>
                <w:szCs w:val="18"/>
                <w:lang w:eastAsia="zh-CN" w:bidi="ar"/>
              </w:rPr>
              <w:t>于</w:t>
            </w:r>
            <w:r>
              <w:rPr>
                <w:rFonts w:hint="eastAsia" w:ascii="宋体" w:hAnsi="宋体" w:eastAsia="宋体" w:cs="宋体"/>
                <w:color w:val="000000"/>
                <w:kern w:val="0"/>
                <w:sz w:val="18"/>
                <w:szCs w:val="18"/>
                <w:lang w:bidi="ar"/>
              </w:rPr>
              <w:t>等于100%，得满分；</w:t>
            </w:r>
          </w:p>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②在职人员控制率大</w:t>
            </w:r>
            <w:r>
              <w:rPr>
                <w:rFonts w:hint="eastAsia" w:ascii="宋体" w:hAnsi="宋体" w:eastAsia="宋体" w:cs="宋体"/>
                <w:color w:val="000000"/>
                <w:kern w:val="0"/>
                <w:sz w:val="18"/>
                <w:szCs w:val="18"/>
                <w:lang w:eastAsia="zh-CN" w:bidi="ar"/>
              </w:rPr>
              <w:t>于</w:t>
            </w:r>
            <w:r>
              <w:rPr>
                <w:rFonts w:hint="eastAsia" w:ascii="宋体" w:hAnsi="宋体" w:eastAsia="宋体" w:cs="宋体"/>
                <w:color w:val="000000"/>
                <w:kern w:val="0"/>
                <w:sz w:val="18"/>
                <w:szCs w:val="18"/>
                <w:lang w:bidi="ar"/>
              </w:rPr>
              <w:t>等于115%，得0分；</w:t>
            </w:r>
          </w:p>
          <w:p>
            <w:pPr>
              <w:widowControl/>
              <w:jc w:val="left"/>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③在职人员控制率在100%-115%之间，得分=（115%－某部门在职人员控制率）/15%×指标分值。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951" w:type="dxa"/>
            <w:vMerge w:val="continue"/>
            <w:shd w:val="clear" w:color="auto" w:fill="auto"/>
            <w:vAlign w:val="center"/>
          </w:tcPr>
          <w:p>
            <w:pPr>
              <w:jc w:val="center"/>
              <w:rPr>
                <w:rFonts w:hint="eastAsia" w:ascii="宋体" w:hAnsi="宋体" w:eastAsia="宋体" w:cs="宋体"/>
                <w:color w:val="000000"/>
                <w:szCs w:val="21"/>
              </w:rPr>
            </w:pPr>
          </w:p>
        </w:tc>
        <w:tc>
          <w:tcPr>
            <w:tcW w:w="1062" w:type="dxa"/>
            <w:vMerge w:val="continue"/>
            <w:shd w:val="clear" w:color="auto" w:fill="auto"/>
            <w:vAlign w:val="center"/>
          </w:tcPr>
          <w:p>
            <w:pPr>
              <w:jc w:val="center"/>
              <w:rPr>
                <w:rFonts w:hint="eastAsia" w:ascii="宋体" w:hAnsi="宋体" w:eastAsia="宋体" w:cs="宋体"/>
                <w:color w:val="000000"/>
                <w:szCs w:val="21"/>
              </w:rPr>
            </w:pPr>
          </w:p>
        </w:tc>
        <w:tc>
          <w:tcPr>
            <w:tcW w:w="1233" w:type="dxa"/>
            <w:shd w:val="clear" w:color="auto" w:fill="auto"/>
            <w:vAlign w:val="center"/>
          </w:tcPr>
          <w:p>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“三公”经费变动率（4分）</w:t>
            </w:r>
          </w:p>
        </w:tc>
        <w:tc>
          <w:tcPr>
            <w:tcW w:w="2590" w:type="dxa"/>
            <w:shd w:val="clear" w:color="auto" w:fill="auto"/>
            <w:vAlign w:val="center"/>
          </w:tcPr>
          <w:p>
            <w:pPr>
              <w:widowControl/>
              <w:jc w:val="left"/>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部门本年度</w:t>
            </w:r>
            <w:r>
              <w:rPr>
                <w:rFonts w:hint="eastAsia" w:ascii="宋体" w:hAnsi="宋体" w:eastAsia="宋体" w:cs="宋体"/>
                <w:color w:val="000000"/>
                <w:kern w:val="0"/>
                <w:sz w:val="18"/>
                <w:szCs w:val="18"/>
                <w:lang w:eastAsia="zh-CN" w:bidi="ar"/>
              </w:rPr>
              <w:t>“三公”经费</w:t>
            </w:r>
            <w:r>
              <w:rPr>
                <w:rFonts w:hint="eastAsia" w:ascii="宋体" w:hAnsi="宋体" w:eastAsia="宋体" w:cs="宋体"/>
                <w:color w:val="000000"/>
                <w:kern w:val="0"/>
                <w:sz w:val="18"/>
                <w:szCs w:val="18"/>
                <w:lang w:bidi="ar"/>
              </w:rPr>
              <w:t>预算数与上年度</w:t>
            </w:r>
            <w:r>
              <w:rPr>
                <w:rFonts w:hint="eastAsia" w:ascii="宋体" w:hAnsi="宋体" w:eastAsia="宋体" w:cs="宋体"/>
                <w:color w:val="000000"/>
                <w:kern w:val="0"/>
                <w:sz w:val="18"/>
                <w:szCs w:val="18"/>
                <w:lang w:eastAsia="zh-CN" w:bidi="ar"/>
              </w:rPr>
              <w:t>“三公”经费</w:t>
            </w:r>
            <w:r>
              <w:rPr>
                <w:rFonts w:hint="eastAsia" w:ascii="宋体" w:hAnsi="宋体" w:eastAsia="宋体" w:cs="宋体"/>
                <w:color w:val="000000"/>
                <w:kern w:val="0"/>
                <w:sz w:val="18"/>
                <w:szCs w:val="18"/>
                <w:lang w:bidi="ar"/>
              </w:rPr>
              <w:t>预算数的变动比率，用以反映和考核部门对控制重点行政成本的努力程度。</w:t>
            </w:r>
          </w:p>
        </w:tc>
        <w:tc>
          <w:tcPr>
            <w:tcW w:w="2683" w:type="dxa"/>
            <w:shd w:val="clear" w:color="auto" w:fill="auto"/>
            <w:vAlign w:val="center"/>
          </w:tcPr>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三公经费变动率=[（本年度</w:t>
            </w:r>
            <w:r>
              <w:rPr>
                <w:rFonts w:hint="eastAsia" w:ascii="宋体" w:hAnsi="宋体" w:eastAsia="宋体" w:cs="宋体"/>
                <w:color w:val="000000"/>
                <w:kern w:val="0"/>
                <w:sz w:val="18"/>
                <w:szCs w:val="18"/>
                <w:lang w:eastAsia="zh-CN" w:bidi="ar"/>
              </w:rPr>
              <w:t>“三公”经费</w:t>
            </w:r>
            <w:r>
              <w:rPr>
                <w:rFonts w:hint="eastAsia" w:ascii="宋体" w:hAnsi="宋体" w:eastAsia="宋体" w:cs="宋体"/>
                <w:color w:val="000000"/>
                <w:kern w:val="0"/>
                <w:sz w:val="18"/>
                <w:szCs w:val="18"/>
                <w:lang w:bidi="ar"/>
              </w:rPr>
              <w:t>总额-上年度</w:t>
            </w:r>
            <w:r>
              <w:rPr>
                <w:rFonts w:hint="eastAsia" w:ascii="宋体" w:hAnsi="宋体" w:eastAsia="宋体" w:cs="宋体"/>
                <w:color w:val="000000"/>
                <w:kern w:val="0"/>
                <w:sz w:val="18"/>
                <w:szCs w:val="18"/>
                <w:lang w:eastAsia="zh-CN" w:bidi="ar"/>
              </w:rPr>
              <w:t>“三公”经费</w:t>
            </w:r>
            <w:r>
              <w:rPr>
                <w:rFonts w:hint="eastAsia" w:ascii="宋体" w:hAnsi="宋体" w:eastAsia="宋体" w:cs="宋体"/>
                <w:color w:val="000000"/>
                <w:kern w:val="0"/>
                <w:sz w:val="18"/>
                <w:szCs w:val="18"/>
                <w:lang w:bidi="ar"/>
              </w:rPr>
              <w:t>总额）/上年度</w:t>
            </w:r>
            <w:r>
              <w:rPr>
                <w:rFonts w:hint="eastAsia" w:ascii="宋体" w:hAnsi="宋体" w:eastAsia="宋体" w:cs="宋体"/>
                <w:color w:val="000000"/>
                <w:kern w:val="0"/>
                <w:sz w:val="18"/>
                <w:szCs w:val="18"/>
                <w:lang w:eastAsia="zh-CN" w:bidi="ar"/>
              </w:rPr>
              <w:t>“三公”经费</w:t>
            </w:r>
            <w:r>
              <w:rPr>
                <w:rFonts w:hint="eastAsia" w:ascii="宋体" w:hAnsi="宋体" w:eastAsia="宋体" w:cs="宋体"/>
                <w:color w:val="000000"/>
                <w:kern w:val="0"/>
                <w:sz w:val="18"/>
                <w:szCs w:val="18"/>
                <w:lang w:bidi="ar"/>
              </w:rPr>
              <w:t>总额]×100%。</w:t>
            </w:r>
          </w:p>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①变动率≤0%</w:t>
            </w:r>
            <w:r>
              <w:rPr>
                <w:rFonts w:hint="eastAsia" w:ascii="宋体" w:hAnsi="宋体" w:eastAsia="宋体" w:cs="宋体"/>
                <w:color w:val="000000"/>
                <w:kern w:val="0"/>
                <w:sz w:val="18"/>
                <w:szCs w:val="18"/>
                <w:lang w:eastAsia="zh-CN" w:bidi="ar"/>
              </w:rPr>
              <w:t>，</w:t>
            </w:r>
            <w:r>
              <w:rPr>
                <w:rFonts w:hint="eastAsia" w:ascii="宋体" w:hAnsi="宋体" w:eastAsia="宋体" w:cs="宋体"/>
                <w:color w:val="000000"/>
                <w:kern w:val="0"/>
                <w:sz w:val="18"/>
                <w:szCs w:val="18"/>
                <w:lang w:bidi="ar"/>
              </w:rPr>
              <w:t>得满分；</w:t>
            </w:r>
          </w:p>
          <w:p>
            <w:pPr>
              <w:widowControl/>
              <w:jc w:val="left"/>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②变动率每超过</w:t>
            </w:r>
            <w:r>
              <w:rPr>
                <w:rFonts w:hint="eastAsia" w:ascii="宋体" w:hAnsi="宋体" w:eastAsia="宋体" w:cs="宋体"/>
                <w:color w:val="000000"/>
                <w:kern w:val="0"/>
                <w:sz w:val="18"/>
                <w:szCs w:val="18"/>
                <w:lang w:val="en-US" w:eastAsia="zh-CN" w:bidi="ar"/>
              </w:rPr>
              <w:t>10</w:t>
            </w:r>
            <w:r>
              <w:rPr>
                <w:rFonts w:hint="eastAsia" w:ascii="宋体" w:hAnsi="宋体" w:eastAsia="宋体" w:cs="宋体"/>
                <w:color w:val="000000"/>
                <w:kern w:val="0"/>
                <w:sz w:val="18"/>
                <w:szCs w:val="18"/>
                <w:lang w:bidi="ar"/>
              </w:rPr>
              <w:t>个百分点扣0.5 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0" w:hRule="atLeast"/>
        </w:trPr>
        <w:tc>
          <w:tcPr>
            <w:tcW w:w="951" w:type="dxa"/>
            <w:vMerge w:val="continue"/>
            <w:shd w:val="clear" w:color="auto" w:fill="auto"/>
            <w:vAlign w:val="center"/>
          </w:tcPr>
          <w:p>
            <w:pPr>
              <w:jc w:val="center"/>
              <w:rPr>
                <w:rFonts w:hint="eastAsia" w:ascii="宋体" w:hAnsi="宋体" w:eastAsia="宋体" w:cs="宋体"/>
                <w:color w:val="000000"/>
                <w:szCs w:val="21"/>
              </w:rPr>
            </w:pPr>
          </w:p>
        </w:tc>
        <w:tc>
          <w:tcPr>
            <w:tcW w:w="1062" w:type="dxa"/>
            <w:vMerge w:val="continue"/>
            <w:shd w:val="clear" w:color="auto" w:fill="auto"/>
            <w:vAlign w:val="center"/>
          </w:tcPr>
          <w:p>
            <w:pPr>
              <w:jc w:val="center"/>
              <w:rPr>
                <w:rFonts w:hint="eastAsia" w:ascii="宋体" w:hAnsi="宋体" w:eastAsia="宋体" w:cs="宋体"/>
                <w:color w:val="000000"/>
                <w:szCs w:val="21"/>
              </w:rPr>
            </w:pPr>
          </w:p>
        </w:tc>
        <w:tc>
          <w:tcPr>
            <w:tcW w:w="1233" w:type="dxa"/>
            <w:shd w:val="clear" w:color="auto" w:fill="auto"/>
            <w:vAlign w:val="center"/>
          </w:tcPr>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重点支出</w:t>
            </w:r>
          </w:p>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安排率</w:t>
            </w:r>
          </w:p>
          <w:p>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（4分）</w:t>
            </w:r>
          </w:p>
        </w:tc>
        <w:tc>
          <w:tcPr>
            <w:tcW w:w="2590" w:type="dxa"/>
            <w:shd w:val="clear" w:color="auto" w:fill="auto"/>
            <w:vAlign w:val="center"/>
          </w:tcPr>
          <w:p>
            <w:pPr>
              <w:widowControl/>
              <w:jc w:val="left"/>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部门本年度预算安排的重点项目支出与部门项目总支出的比率，用以反映和考核部门对履行主要职责或完成重点任务的保障程度。重点支出安排率=（重点项目支出/项目总支出）×100%。</w:t>
            </w:r>
          </w:p>
        </w:tc>
        <w:tc>
          <w:tcPr>
            <w:tcW w:w="2683" w:type="dxa"/>
            <w:shd w:val="clear" w:color="auto" w:fill="auto"/>
            <w:vAlign w:val="center"/>
          </w:tcPr>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①重点支出安排率&gt;80%(4分)；</w:t>
            </w:r>
          </w:p>
          <w:p>
            <w:pPr>
              <w:widowControl/>
              <w:jc w:val="left"/>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②50%&lt;重点支出安排率 ≤80%(2分)；重点支出安排率≤50%(0分)。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1" w:hRule="atLeast"/>
        </w:trPr>
        <w:tc>
          <w:tcPr>
            <w:tcW w:w="951" w:type="dxa"/>
            <w:vMerge w:val="restart"/>
            <w:shd w:val="clear" w:color="auto" w:fill="auto"/>
            <w:vAlign w:val="center"/>
          </w:tcPr>
          <w:p>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过程（20%）</w:t>
            </w:r>
          </w:p>
        </w:tc>
        <w:tc>
          <w:tcPr>
            <w:tcW w:w="1062" w:type="dxa"/>
            <w:vMerge w:val="restart"/>
            <w:shd w:val="clear" w:color="auto" w:fill="auto"/>
            <w:vAlign w:val="center"/>
          </w:tcPr>
          <w:p>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预算执行（12分）</w:t>
            </w:r>
          </w:p>
        </w:tc>
        <w:tc>
          <w:tcPr>
            <w:tcW w:w="1233" w:type="dxa"/>
            <w:shd w:val="clear" w:color="auto" w:fill="auto"/>
            <w:vAlign w:val="center"/>
          </w:tcPr>
          <w:p>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预算完成率（2分）</w:t>
            </w:r>
          </w:p>
        </w:tc>
        <w:tc>
          <w:tcPr>
            <w:tcW w:w="2590" w:type="dxa"/>
            <w:shd w:val="clear" w:color="auto" w:fill="auto"/>
            <w:vAlign w:val="center"/>
          </w:tcPr>
          <w:p>
            <w:pPr>
              <w:widowControl/>
              <w:jc w:val="left"/>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通过对部门（单位）本年度支出预算完成数与支出预算数的比较，反映和评价部门（单位）支出预算的完成程度。支出预算完成率=（预算完成数/预算数）×100%。</w:t>
            </w:r>
          </w:p>
        </w:tc>
        <w:tc>
          <w:tcPr>
            <w:tcW w:w="2683" w:type="dxa"/>
            <w:shd w:val="clear" w:color="auto" w:fill="auto"/>
            <w:vAlign w:val="center"/>
          </w:tcPr>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①完成率大于等于95%的，得满分；</w:t>
            </w:r>
          </w:p>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②完成率小于</w:t>
            </w:r>
            <w:r>
              <w:rPr>
                <w:rFonts w:hint="eastAsia" w:ascii="宋体" w:hAnsi="宋体" w:eastAsia="宋体" w:cs="宋体"/>
                <w:color w:val="000000"/>
                <w:kern w:val="0"/>
                <w:sz w:val="18"/>
                <w:szCs w:val="18"/>
                <w:lang w:val="en-US" w:eastAsia="zh-CN" w:bidi="ar"/>
              </w:rPr>
              <w:t>9</w:t>
            </w:r>
            <w:r>
              <w:rPr>
                <w:rFonts w:hint="eastAsia" w:ascii="宋体" w:hAnsi="宋体" w:eastAsia="宋体" w:cs="宋体"/>
                <w:color w:val="000000"/>
                <w:kern w:val="0"/>
                <w:sz w:val="18"/>
                <w:szCs w:val="18"/>
                <w:lang w:bidi="ar"/>
              </w:rPr>
              <w:t>5%的，得0分；</w:t>
            </w:r>
          </w:p>
          <w:p>
            <w:pPr>
              <w:widowControl/>
              <w:jc w:val="left"/>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③完成率在85%-95%之间的，得分=（某部门预算完成率-85%）/10%×该指标分值。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0" w:hRule="atLeast"/>
        </w:trPr>
        <w:tc>
          <w:tcPr>
            <w:tcW w:w="951" w:type="dxa"/>
            <w:vMerge w:val="continue"/>
            <w:shd w:val="clear" w:color="auto" w:fill="auto"/>
            <w:vAlign w:val="center"/>
          </w:tcPr>
          <w:p>
            <w:pPr>
              <w:jc w:val="center"/>
              <w:rPr>
                <w:rFonts w:hint="eastAsia" w:ascii="宋体" w:hAnsi="宋体" w:eastAsia="宋体" w:cs="宋体"/>
                <w:color w:val="000000"/>
                <w:szCs w:val="21"/>
              </w:rPr>
            </w:pPr>
          </w:p>
        </w:tc>
        <w:tc>
          <w:tcPr>
            <w:tcW w:w="1062" w:type="dxa"/>
            <w:vMerge w:val="continue"/>
            <w:shd w:val="clear" w:color="auto" w:fill="auto"/>
            <w:vAlign w:val="center"/>
          </w:tcPr>
          <w:p>
            <w:pPr>
              <w:jc w:val="center"/>
              <w:rPr>
                <w:rFonts w:hint="eastAsia" w:ascii="宋体" w:hAnsi="宋体" w:eastAsia="宋体" w:cs="宋体"/>
                <w:color w:val="000000"/>
                <w:szCs w:val="21"/>
              </w:rPr>
            </w:pPr>
          </w:p>
        </w:tc>
        <w:tc>
          <w:tcPr>
            <w:tcW w:w="1233" w:type="dxa"/>
            <w:shd w:val="clear" w:color="auto" w:fill="auto"/>
            <w:vAlign w:val="center"/>
          </w:tcPr>
          <w:p>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预算调整率（2分）</w:t>
            </w:r>
          </w:p>
        </w:tc>
        <w:tc>
          <w:tcPr>
            <w:tcW w:w="2590" w:type="dxa"/>
            <w:shd w:val="clear" w:color="auto" w:fill="auto"/>
            <w:vAlign w:val="center"/>
          </w:tcPr>
          <w:p>
            <w:pPr>
              <w:widowControl/>
              <w:jc w:val="left"/>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部门（单位）本年度支出预算调整数与支出预算数的比率，用以反映和评价部门（单位）预算的调整程度。支出预算调整率=（支出预算调整数/支出预算数）×100%</w:t>
            </w:r>
          </w:p>
        </w:tc>
        <w:tc>
          <w:tcPr>
            <w:tcW w:w="2683" w:type="dxa"/>
            <w:shd w:val="clear" w:color="auto" w:fill="auto"/>
            <w:vAlign w:val="center"/>
          </w:tcPr>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①支出预算调整率等于0的，得满分；</w:t>
            </w:r>
          </w:p>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②调整率大于或等于10%的，得0分；</w:t>
            </w:r>
          </w:p>
          <w:p>
            <w:pPr>
              <w:widowControl/>
              <w:jc w:val="left"/>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③调整率在0-10%之间的，得分=（10%-某部门预算调整率）/10%×该指标分值；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trPr>
        <w:tc>
          <w:tcPr>
            <w:tcW w:w="951" w:type="dxa"/>
            <w:vMerge w:val="continue"/>
            <w:shd w:val="clear" w:color="auto" w:fill="auto"/>
            <w:vAlign w:val="center"/>
          </w:tcPr>
          <w:p>
            <w:pPr>
              <w:jc w:val="center"/>
              <w:rPr>
                <w:rFonts w:hint="eastAsia" w:ascii="宋体" w:hAnsi="宋体" w:eastAsia="宋体" w:cs="宋体"/>
                <w:color w:val="000000"/>
                <w:szCs w:val="21"/>
              </w:rPr>
            </w:pPr>
          </w:p>
        </w:tc>
        <w:tc>
          <w:tcPr>
            <w:tcW w:w="1062" w:type="dxa"/>
            <w:vMerge w:val="continue"/>
            <w:shd w:val="clear" w:color="auto" w:fill="auto"/>
            <w:vAlign w:val="center"/>
          </w:tcPr>
          <w:p>
            <w:pPr>
              <w:jc w:val="center"/>
              <w:rPr>
                <w:rFonts w:hint="eastAsia" w:ascii="宋体" w:hAnsi="宋体" w:eastAsia="宋体" w:cs="宋体"/>
                <w:color w:val="000000"/>
                <w:szCs w:val="21"/>
              </w:rPr>
            </w:pPr>
          </w:p>
        </w:tc>
        <w:tc>
          <w:tcPr>
            <w:tcW w:w="1233" w:type="dxa"/>
            <w:shd w:val="clear" w:color="auto" w:fill="auto"/>
            <w:vAlign w:val="center"/>
          </w:tcPr>
          <w:p>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结转结余率（2分）</w:t>
            </w:r>
          </w:p>
        </w:tc>
        <w:tc>
          <w:tcPr>
            <w:tcW w:w="2590" w:type="dxa"/>
            <w:shd w:val="clear" w:color="auto" w:fill="auto"/>
            <w:vAlign w:val="center"/>
          </w:tcPr>
          <w:p>
            <w:pPr>
              <w:widowControl/>
              <w:jc w:val="left"/>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部门（单位）本年度结转结余总额与支出预算数的比率，反映和评价部门（单位）对本年度结转结余资金的实际控制程度。</w:t>
            </w:r>
          </w:p>
        </w:tc>
        <w:tc>
          <w:tcPr>
            <w:tcW w:w="2683" w:type="dxa"/>
            <w:shd w:val="clear" w:color="auto" w:fill="auto"/>
            <w:vAlign w:val="center"/>
          </w:tcPr>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①结转结余率等于0的，得满分；</w:t>
            </w:r>
          </w:p>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②结转结余率大于或等于50%的，得0分；</w:t>
            </w:r>
          </w:p>
          <w:p>
            <w:pPr>
              <w:widowControl/>
              <w:jc w:val="left"/>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③结转结余率在0-50%之间的，得分=（50%-某部门结转结余率）/50%×该指标分值。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951" w:type="dxa"/>
            <w:vMerge w:val="continue"/>
            <w:shd w:val="clear" w:color="auto" w:fill="auto"/>
            <w:vAlign w:val="center"/>
          </w:tcPr>
          <w:p>
            <w:pPr>
              <w:jc w:val="center"/>
              <w:rPr>
                <w:rFonts w:hint="eastAsia" w:ascii="宋体" w:hAnsi="宋体" w:eastAsia="宋体" w:cs="宋体"/>
                <w:color w:val="000000"/>
                <w:szCs w:val="21"/>
              </w:rPr>
            </w:pPr>
          </w:p>
        </w:tc>
        <w:tc>
          <w:tcPr>
            <w:tcW w:w="1062" w:type="dxa"/>
            <w:vMerge w:val="continue"/>
            <w:shd w:val="clear" w:color="auto" w:fill="auto"/>
            <w:vAlign w:val="center"/>
          </w:tcPr>
          <w:p>
            <w:pPr>
              <w:jc w:val="center"/>
              <w:rPr>
                <w:rFonts w:hint="eastAsia" w:ascii="宋体" w:hAnsi="宋体" w:eastAsia="宋体" w:cs="宋体"/>
                <w:color w:val="000000"/>
                <w:szCs w:val="21"/>
              </w:rPr>
            </w:pPr>
          </w:p>
        </w:tc>
        <w:tc>
          <w:tcPr>
            <w:tcW w:w="1233" w:type="dxa"/>
            <w:shd w:val="clear" w:color="auto" w:fill="auto"/>
            <w:vAlign w:val="center"/>
          </w:tcPr>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公用经费</w:t>
            </w:r>
          </w:p>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控制率</w:t>
            </w:r>
          </w:p>
          <w:p>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（2分）</w:t>
            </w:r>
          </w:p>
        </w:tc>
        <w:tc>
          <w:tcPr>
            <w:tcW w:w="2590" w:type="dxa"/>
            <w:shd w:val="clear" w:color="auto" w:fill="auto"/>
            <w:vAlign w:val="center"/>
          </w:tcPr>
          <w:p>
            <w:pPr>
              <w:widowControl/>
              <w:jc w:val="left"/>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部门（单位）本年度实际支出的公用经费总额与预算安排的公用经费总额的比率，反映和评价部门（单位）对机构运转成本的实际控制程度。</w:t>
            </w:r>
          </w:p>
        </w:tc>
        <w:tc>
          <w:tcPr>
            <w:tcW w:w="2683" w:type="dxa"/>
            <w:shd w:val="clear" w:color="auto" w:fill="auto"/>
            <w:vAlign w:val="center"/>
          </w:tcPr>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①公用经费控制率≤100%(2分)；</w:t>
            </w:r>
          </w:p>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②公用经费控制率&gt;100%且≤120%(1分 )；</w:t>
            </w:r>
          </w:p>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③公用经费控制率&gt;120%且≤150% (0.5 分)；</w:t>
            </w:r>
          </w:p>
          <w:p>
            <w:pPr>
              <w:widowControl/>
              <w:jc w:val="left"/>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④公用经费控制率&gt;150% (0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trPr>
        <w:tc>
          <w:tcPr>
            <w:tcW w:w="951" w:type="dxa"/>
            <w:vMerge w:val="continue"/>
            <w:shd w:val="clear" w:color="auto" w:fill="auto"/>
            <w:vAlign w:val="center"/>
          </w:tcPr>
          <w:p>
            <w:pPr>
              <w:jc w:val="center"/>
              <w:rPr>
                <w:rFonts w:hint="eastAsia" w:ascii="宋体" w:hAnsi="宋体" w:eastAsia="宋体" w:cs="宋体"/>
                <w:color w:val="000000"/>
                <w:szCs w:val="21"/>
              </w:rPr>
            </w:pPr>
          </w:p>
        </w:tc>
        <w:tc>
          <w:tcPr>
            <w:tcW w:w="1062" w:type="dxa"/>
            <w:vMerge w:val="continue"/>
            <w:shd w:val="clear" w:color="auto" w:fill="auto"/>
            <w:vAlign w:val="center"/>
          </w:tcPr>
          <w:p>
            <w:pPr>
              <w:jc w:val="center"/>
              <w:rPr>
                <w:rFonts w:hint="eastAsia" w:ascii="宋体" w:hAnsi="宋体" w:eastAsia="宋体" w:cs="宋体"/>
                <w:color w:val="000000"/>
                <w:szCs w:val="21"/>
              </w:rPr>
            </w:pPr>
          </w:p>
        </w:tc>
        <w:tc>
          <w:tcPr>
            <w:tcW w:w="1233" w:type="dxa"/>
            <w:shd w:val="clear" w:color="auto" w:fill="auto"/>
            <w:vAlign w:val="center"/>
          </w:tcPr>
          <w:p>
            <w:pPr>
              <w:widowControl/>
              <w:jc w:val="center"/>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eastAsia="zh-CN" w:bidi="ar"/>
              </w:rPr>
              <w:t>“三公”经费</w:t>
            </w:r>
            <w:r>
              <w:rPr>
                <w:rFonts w:hint="eastAsia" w:ascii="宋体" w:hAnsi="宋体" w:eastAsia="宋体" w:cs="宋体"/>
                <w:color w:val="auto"/>
                <w:kern w:val="0"/>
                <w:sz w:val="18"/>
                <w:szCs w:val="18"/>
                <w:lang w:bidi="ar"/>
              </w:rPr>
              <w:t>控制率</w:t>
            </w:r>
          </w:p>
          <w:p>
            <w:pPr>
              <w:widowControl/>
              <w:jc w:val="center"/>
              <w:textAlignment w:val="center"/>
              <w:rPr>
                <w:rFonts w:hint="eastAsia" w:ascii="宋体" w:hAnsi="宋体" w:eastAsia="宋体" w:cs="宋体"/>
                <w:color w:val="auto"/>
                <w:szCs w:val="21"/>
              </w:rPr>
            </w:pPr>
            <w:r>
              <w:rPr>
                <w:rFonts w:hint="eastAsia" w:ascii="宋体" w:hAnsi="宋体" w:eastAsia="宋体" w:cs="宋体"/>
                <w:color w:val="auto"/>
                <w:kern w:val="0"/>
                <w:sz w:val="18"/>
                <w:szCs w:val="18"/>
                <w:lang w:bidi="ar"/>
              </w:rPr>
              <w:t>（2分）</w:t>
            </w:r>
          </w:p>
        </w:tc>
        <w:tc>
          <w:tcPr>
            <w:tcW w:w="2590" w:type="dxa"/>
            <w:shd w:val="clear" w:color="auto" w:fill="auto"/>
            <w:vAlign w:val="center"/>
          </w:tcPr>
          <w:p>
            <w:pPr>
              <w:widowControl/>
              <w:jc w:val="left"/>
              <w:textAlignment w:val="center"/>
              <w:rPr>
                <w:rFonts w:hint="eastAsia" w:ascii="宋体" w:hAnsi="宋体" w:eastAsia="宋体" w:cs="宋体"/>
                <w:color w:val="auto"/>
                <w:szCs w:val="21"/>
              </w:rPr>
            </w:pPr>
            <w:r>
              <w:rPr>
                <w:rFonts w:hint="eastAsia" w:ascii="宋体" w:hAnsi="宋体" w:eastAsia="宋体" w:cs="宋体"/>
                <w:color w:val="auto"/>
                <w:kern w:val="0"/>
                <w:sz w:val="18"/>
                <w:szCs w:val="18"/>
                <w:lang w:bidi="ar"/>
              </w:rPr>
              <w:t>部门（单位）本年度</w:t>
            </w:r>
            <w:r>
              <w:rPr>
                <w:rFonts w:hint="eastAsia" w:ascii="宋体" w:hAnsi="宋体" w:eastAsia="宋体" w:cs="宋体"/>
                <w:color w:val="auto"/>
                <w:kern w:val="0"/>
                <w:sz w:val="18"/>
                <w:szCs w:val="18"/>
                <w:lang w:eastAsia="zh-CN" w:bidi="ar"/>
              </w:rPr>
              <w:t>“三公”经费</w:t>
            </w:r>
            <w:r>
              <w:rPr>
                <w:rFonts w:hint="eastAsia" w:ascii="宋体" w:hAnsi="宋体" w:eastAsia="宋体" w:cs="宋体"/>
                <w:color w:val="auto"/>
                <w:kern w:val="0"/>
                <w:sz w:val="18"/>
                <w:szCs w:val="18"/>
                <w:lang w:bidi="ar"/>
              </w:rPr>
              <w:t>实际支出数与预算安排数的比率，用以反映和评价部门（单位）对“三公”经费的实际控制程度。</w:t>
            </w:r>
          </w:p>
        </w:tc>
        <w:tc>
          <w:tcPr>
            <w:tcW w:w="2683" w:type="dxa"/>
            <w:shd w:val="clear" w:color="auto" w:fill="auto"/>
            <w:vAlign w:val="center"/>
          </w:tcPr>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①</w:t>
            </w:r>
            <w:r>
              <w:rPr>
                <w:rFonts w:hint="eastAsia" w:ascii="宋体" w:hAnsi="宋体" w:eastAsia="宋体" w:cs="宋体"/>
                <w:color w:val="auto"/>
                <w:kern w:val="0"/>
                <w:sz w:val="18"/>
                <w:szCs w:val="18"/>
                <w:lang w:eastAsia="zh-CN" w:bidi="ar"/>
              </w:rPr>
              <w:t>“三公”经费</w:t>
            </w:r>
            <w:r>
              <w:rPr>
                <w:rFonts w:hint="eastAsia" w:ascii="宋体" w:hAnsi="宋体" w:eastAsia="宋体" w:cs="宋体"/>
                <w:color w:val="auto"/>
                <w:kern w:val="0"/>
                <w:sz w:val="18"/>
                <w:szCs w:val="18"/>
                <w:lang w:bidi="ar"/>
              </w:rPr>
              <w:t>控制率小于100%的，得满分；</w:t>
            </w:r>
          </w:p>
          <w:p>
            <w:pPr>
              <w:widowControl/>
              <w:jc w:val="left"/>
              <w:textAlignment w:val="center"/>
              <w:rPr>
                <w:rFonts w:hint="eastAsia" w:ascii="宋体" w:hAnsi="宋体" w:eastAsia="宋体" w:cs="宋体"/>
                <w:color w:val="auto"/>
                <w:szCs w:val="21"/>
              </w:rPr>
            </w:pPr>
            <w:r>
              <w:rPr>
                <w:rFonts w:hint="eastAsia" w:ascii="宋体" w:hAnsi="宋体" w:eastAsia="宋体" w:cs="宋体"/>
                <w:color w:val="auto"/>
                <w:kern w:val="0"/>
                <w:sz w:val="18"/>
                <w:szCs w:val="18"/>
                <w:lang w:bidi="ar"/>
              </w:rPr>
              <w:t>②</w:t>
            </w:r>
            <w:r>
              <w:rPr>
                <w:rFonts w:hint="eastAsia" w:ascii="宋体" w:hAnsi="宋体" w:eastAsia="宋体" w:cs="宋体"/>
                <w:color w:val="auto"/>
                <w:kern w:val="0"/>
                <w:sz w:val="18"/>
                <w:szCs w:val="18"/>
                <w:lang w:eastAsia="zh-CN" w:bidi="ar"/>
              </w:rPr>
              <w:t>“三公”经费</w:t>
            </w:r>
            <w:r>
              <w:rPr>
                <w:rFonts w:hint="eastAsia" w:ascii="宋体" w:hAnsi="宋体" w:eastAsia="宋体" w:cs="宋体"/>
                <w:color w:val="auto"/>
                <w:kern w:val="0"/>
                <w:sz w:val="18"/>
                <w:szCs w:val="18"/>
                <w:lang w:bidi="ar"/>
              </w:rPr>
              <w:t>大于等于100%的，得0分。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0" w:hRule="atLeast"/>
        </w:trPr>
        <w:tc>
          <w:tcPr>
            <w:tcW w:w="951" w:type="dxa"/>
            <w:vMerge w:val="continue"/>
            <w:shd w:val="clear" w:color="auto" w:fill="auto"/>
            <w:vAlign w:val="center"/>
          </w:tcPr>
          <w:p>
            <w:pPr>
              <w:jc w:val="center"/>
              <w:rPr>
                <w:rFonts w:hint="eastAsia" w:ascii="宋体" w:hAnsi="宋体" w:eastAsia="宋体" w:cs="宋体"/>
                <w:color w:val="000000"/>
                <w:szCs w:val="21"/>
              </w:rPr>
            </w:pPr>
          </w:p>
        </w:tc>
        <w:tc>
          <w:tcPr>
            <w:tcW w:w="1062" w:type="dxa"/>
            <w:vMerge w:val="continue"/>
            <w:shd w:val="clear" w:color="auto" w:fill="auto"/>
            <w:vAlign w:val="center"/>
          </w:tcPr>
          <w:p>
            <w:pPr>
              <w:jc w:val="center"/>
              <w:rPr>
                <w:rFonts w:hint="eastAsia" w:ascii="宋体" w:hAnsi="宋体" w:eastAsia="宋体" w:cs="宋体"/>
                <w:color w:val="000000"/>
                <w:szCs w:val="21"/>
              </w:rPr>
            </w:pPr>
          </w:p>
        </w:tc>
        <w:tc>
          <w:tcPr>
            <w:tcW w:w="1233" w:type="dxa"/>
            <w:shd w:val="clear" w:color="auto" w:fill="auto"/>
            <w:vAlign w:val="center"/>
          </w:tcPr>
          <w:p>
            <w:pPr>
              <w:widowControl/>
              <w:jc w:val="center"/>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政府采购</w:t>
            </w:r>
          </w:p>
          <w:p>
            <w:pPr>
              <w:widowControl/>
              <w:jc w:val="center"/>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 xml:space="preserve">执行率 </w:t>
            </w:r>
          </w:p>
          <w:p>
            <w:pPr>
              <w:widowControl/>
              <w:jc w:val="center"/>
              <w:textAlignment w:val="center"/>
              <w:rPr>
                <w:rFonts w:hint="eastAsia" w:ascii="宋体" w:hAnsi="宋体" w:eastAsia="宋体" w:cs="宋体"/>
                <w:color w:val="auto"/>
                <w:szCs w:val="21"/>
              </w:rPr>
            </w:pPr>
            <w:r>
              <w:rPr>
                <w:rFonts w:hint="eastAsia" w:ascii="宋体" w:hAnsi="宋体" w:eastAsia="宋体" w:cs="宋体"/>
                <w:color w:val="auto"/>
                <w:kern w:val="0"/>
                <w:sz w:val="18"/>
                <w:szCs w:val="18"/>
                <w:lang w:bidi="ar"/>
              </w:rPr>
              <w:t>（2分）</w:t>
            </w:r>
          </w:p>
        </w:tc>
        <w:tc>
          <w:tcPr>
            <w:tcW w:w="2590" w:type="dxa"/>
            <w:shd w:val="clear" w:color="auto" w:fill="auto"/>
            <w:vAlign w:val="center"/>
          </w:tcPr>
          <w:p>
            <w:pPr>
              <w:widowControl/>
              <w:jc w:val="left"/>
              <w:textAlignment w:val="center"/>
              <w:rPr>
                <w:rFonts w:hint="eastAsia" w:ascii="宋体" w:hAnsi="宋体" w:eastAsia="宋体" w:cs="宋体"/>
                <w:color w:val="auto"/>
                <w:szCs w:val="21"/>
              </w:rPr>
            </w:pPr>
            <w:r>
              <w:rPr>
                <w:rFonts w:hint="eastAsia" w:ascii="宋体" w:hAnsi="宋体" w:eastAsia="宋体" w:cs="宋体"/>
                <w:color w:val="auto"/>
                <w:kern w:val="0"/>
                <w:sz w:val="18"/>
                <w:szCs w:val="18"/>
                <w:lang w:bidi="ar"/>
              </w:rPr>
              <w:t>评价部门（单位）本年度政府采购是否执行政府采购相关规定和要求。</w:t>
            </w:r>
          </w:p>
        </w:tc>
        <w:tc>
          <w:tcPr>
            <w:tcW w:w="2683" w:type="dxa"/>
            <w:shd w:val="clear" w:color="auto" w:fill="auto"/>
            <w:vAlign w:val="center"/>
          </w:tcPr>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政府采购执行率=（实际政府采购支出资金/政府采购预算资金）×100%。</w:t>
            </w:r>
          </w:p>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①政府采购执行率</w:t>
            </w:r>
            <w:r>
              <w:rPr>
                <w:rFonts w:hint="eastAsia" w:ascii="宋体" w:hAnsi="宋体" w:eastAsia="宋体" w:cs="宋体"/>
                <w:color w:val="000000"/>
                <w:kern w:val="0"/>
                <w:sz w:val="18"/>
                <w:szCs w:val="18"/>
                <w:lang w:val="en-US" w:eastAsia="zh-CN" w:bidi="ar"/>
              </w:rPr>
              <w:t>90</w:t>
            </w:r>
            <w:r>
              <w:rPr>
                <w:rFonts w:hint="eastAsia" w:ascii="宋体" w:hAnsi="宋体" w:eastAsia="宋体" w:cs="宋体"/>
                <w:color w:val="000000"/>
                <w:kern w:val="0"/>
                <w:sz w:val="18"/>
                <w:szCs w:val="18"/>
                <w:lang w:bidi="ar"/>
              </w:rPr>
              <w:t>%≤政府采购执行率＜</w:t>
            </w:r>
            <w:r>
              <w:rPr>
                <w:rFonts w:hint="eastAsia" w:ascii="宋体" w:hAnsi="宋体" w:eastAsia="宋体" w:cs="宋体"/>
                <w:color w:val="000000"/>
                <w:kern w:val="0"/>
                <w:sz w:val="18"/>
                <w:szCs w:val="18"/>
                <w:lang w:val="en-US" w:eastAsia="zh-CN" w:bidi="ar"/>
              </w:rPr>
              <w:t>100</w:t>
            </w:r>
            <w:r>
              <w:rPr>
                <w:rFonts w:hint="eastAsia" w:ascii="宋体" w:hAnsi="宋体" w:eastAsia="宋体" w:cs="宋体"/>
                <w:color w:val="000000"/>
                <w:kern w:val="0"/>
                <w:sz w:val="18"/>
                <w:szCs w:val="18"/>
                <w:lang w:bidi="ar"/>
              </w:rPr>
              <w:t>%，得2分</w:t>
            </w:r>
            <w:r>
              <w:rPr>
                <w:rFonts w:hint="eastAsia" w:ascii="宋体" w:hAnsi="宋体" w:eastAsia="宋体" w:cs="宋体"/>
                <w:color w:val="000000"/>
                <w:kern w:val="0"/>
                <w:sz w:val="18"/>
                <w:szCs w:val="18"/>
                <w:lang w:eastAsia="zh-CN" w:bidi="ar"/>
              </w:rPr>
              <w:t>；</w:t>
            </w:r>
          </w:p>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②85%≤政府采购执行率≤90%，得</w:t>
            </w:r>
            <w:r>
              <w:rPr>
                <w:rFonts w:hint="eastAsia" w:ascii="宋体" w:hAnsi="宋体" w:eastAsia="宋体" w:cs="宋体"/>
                <w:color w:val="000000"/>
                <w:kern w:val="0"/>
                <w:sz w:val="18"/>
                <w:szCs w:val="18"/>
                <w:lang w:val="en-US" w:eastAsia="zh-CN" w:bidi="ar"/>
              </w:rPr>
              <w:t>1.5</w:t>
            </w:r>
            <w:r>
              <w:rPr>
                <w:rFonts w:hint="eastAsia" w:ascii="宋体" w:hAnsi="宋体" w:eastAsia="宋体" w:cs="宋体"/>
                <w:color w:val="000000"/>
                <w:kern w:val="0"/>
                <w:sz w:val="18"/>
                <w:szCs w:val="18"/>
                <w:lang w:bidi="ar"/>
              </w:rPr>
              <w:t>分；</w:t>
            </w:r>
          </w:p>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③80%≤政府采购执行率＜85%,得1分；</w:t>
            </w:r>
          </w:p>
          <w:p>
            <w:pPr>
              <w:widowControl/>
              <w:jc w:val="left"/>
              <w:textAlignment w:val="center"/>
              <w:rPr>
                <w:rFonts w:hint="eastAsia" w:ascii="宋体" w:hAnsi="宋体" w:eastAsia="宋体" w:cs="宋体"/>
                <w:color w:val="auto"/>
                <w:szCs w:val="21"/>
              </w:rPr>
            </w:pPr>
            <w:r>
              <w:rPr>
                <w:rFonts w:hint="eastAsia" w:ascii="宋体" w:hAnsi="宋体" w:eastAsia="宋体" w:cs="宋体"/>
                <w:color w:val="000000"/>
                <w:kern w:val="0"/>
                <w:sz w:val="18"/>
                <w:szCs w:val="18"/>
                <w:lang w:bidi="ar"/>
              </w:rPr>
              <w:t>④政府采购执行率低于80%</w:t>
            </w:r>
            <w:r>
              <w:rPr>
                <w:rFonts w:hint="eastAsia" w:ascii="宋体" w:hAnsi="宋体" w:eastAsia="宋体" w:cs="宋体"/>
                <w:color w:val="000000"/>
                <w:kern w:val="0"/>
                <w:sz w:val="18"/>
                <w:szCs w:val="18"/>
                <w:lang w:val="en-US" w:eastAsia="zh-CN" w:bidi="ar"/>
              </w:rPr>
              <w:t>或大于100%，</w:t>
            </w:r>
            <w:r>
              <w:rPr>
                <w:rFonts w:hint="eastAsia" w:ascii="宋体" w:hAnsi="宋体" w:eastAsia="宋体" w:cs="宋体"/>
                <w:color w:val="000000"/>
                <w:kern w:val="0"/>
                <w:sz w:val="18"/>
                <w:szCs w:val="18"/>
                <w:lang w:bidi="ar"/>
              </w:rPr>
              <w:t>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0" w:hRule="atLeast"/>
        </w:trPr>
        <w:tc>
          <w:tcPr>
            <w:tcW w:w="951" w:type="dxa"/>
            <w:vMerge w:val="continue"/>
            <w:shd w:val="clear" w:color="auto" w:fill="auto"/>
            <w:vAlign w:val="center"/>
          </w:tcPr>
          <w:p>
            <w:pPr>
              <w:jc w:val="center"/>
              <w:rPr>
                <w:rFonts w:hint="eastAsia" w:ascii="宋体" w:hAnsi="宋体" w:eastAsia="宋体" w:cs="宋体"/>
                <w:color w:val="000000"/>
                <w:szCs w:val="21"/>
              </w:rPr>
            </w:pPr>
          </w:p>
        </w:tc>
        <w:tc>
          <w:tcPr>
            <w:tcW w:w="1062" w:type="dxa"/>
            <w:vMerge w:val="restart"/>
            <w:shd w:val="clear" w:color="auto" w:fill="auto"/>
            <w:vAlign w:val="center"/>
          </w:tcPr>
          <w:p>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预算管理（8分）</w:t>
            </w:r>
          </w:p>
        </w:tc>
        <w:tc>
          <w:tcPr>
            <w:tcW w:w="1233" w:type="dxa"/>
            <w:shd w:val="clear" w:color="auto" w:fill="auto"/>
            <w:vAlign w:val="center"/>
          </w:tcPr>
          <w:p>
            <w:pPr>
              <w:widowControl/>
              <w:jc w:val="center"/>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管理制度</w:t>
            </w:r>
          </w:p>
          <w:p>
            <w:pPr>
              <w:widowControl/>
              <w:jc w:val="center"/>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健全性</w:t>
            </w:r>
          </w:p>
          <w:p>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（2分）</w:t>
            </w:r>
          </w:p>
        </w:tc>
        <w:tc>
          <w:tcPr>
            <w:tcW w:w="2590" w:type="dxa"/>
            <w:shd w:val="clear" w:color="auto" w:fill="auto"/>
            <w:vAlign w:val="center"/>
          </w:tcPr>
          <w:p>
            <w:pPr>
              <w:widowControl/>
              <w:jc w:val="left"/>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部门（单位）为加强预算管理、规范财务行为而制定的管理制度是否健全完整，用以反映和评价部门（单位）预算管理制度对完成主要职责或促进事业发展的保障情况。</w:t>
            </w:r>
          </w:p>
        </w:tc>
        <w:tc>
          <w:tcPr>
            <w:tcW w:w="2683" w:type="dxa"/>
            <w:shd w:val="clear" w:color="auto" w:fill="auto"/>
            <w:vAlign w:val="center"/>
          </w:tcPr>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①已制定预算资金管理办法、内部财务管理制度、会计核算制度等管理制度（1分）；</w:t>
            </w:r>
          </w:p>
          <w:p>
            <w:pPr>
              <w:widowControl/>
              <w:jc w:val="left"/>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②相关管理制度健全（1分）。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0" w:hRule="atLeast"/>
        </w:trPr>
        <w:tc>
          <w:tcPr>
            <w:tcW w:w="951" w:type="dxa"/>
            <w:vMerge w:val="continue"/>
            <w:shd w:val="clear" w:color="auto" w:fill="auto"/>
            <w:vAlign w:val="center"/>
          </w:tcPr>
          <w:p>
            <w:pPr>
              <w:jc w:val="center"/>
              <w:rPr>
                <w:rFonts w:hint="eastAsia" w:ascii="宋体" w:hAnsi="宋体" w:eastAsia="宋体" w:cs="宋体"/>
                <w:color w:val="000000"/>
                <w:szCs w:val="21"/>
              </w:rPr>
            </w:pPr>
          </w:p>
        </w:tc>
        <w:tc>
          <w:tcPr>
            <w:tcW w:w="1062" w:type="dxa"/>
            <w:vMerge w:val="continue"/>
            <w:shd w:val="clear" w:color="auto" w:fill="auto"/>
            <w:vAlign w:val="center"/>
          </w:tcPr>
          <w:p>
            <w:pPr>
              <w:jc w:val="center"/>
              <w:rPr>
                <w:rFonts w:hint="eastAsia" w:ascii="宋体" w:hAnsi="宋体" w:eastAsia="宋体" w:cs="宋体"/>
                <w:color w:val="000000"/>
                <w:szCs w:val="21"/>
              </w:rPr>
            </w:pPr>
          </w:p>
        </w:tc>
        <w:tc>
          <w:tcPr>
            <w:tcW w:w="1233" w:type="dxa"/>
            <w:shd w:val="clear" w:color="auto" w:fill="auto"/>
            <w:vAlign w:val="center"/>
          </w:tcPr>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资金使用</w:t>
            </w:r>
          </w:p>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合规性</w:t>
            </w:r>
          </w:p>
          <w:p>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（2分）</w:t>
            </w:r>
          </w:p>
        </w:tc>
        <w:tc>
          <w:tcPr>
            <w:tcW w:w="2590" w:type="dxa"/>
            <w:shd w:val="clear" w:color="auto" w:fill="auto"/>
            <w:vAlign w:val="center"/>
          </w:tcPr>
          <w:p>
            <w:pPr>
              <w:widowControl/>
              <w:jc w:val="left"/>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部门（单位）使用预算资金是否符合相关的预算财务管理制度的规定，反映和评价部门（单位）预算资金的规范运行情况。</w:t>
            </w:r>
          </w:p>
        </w:tc>
        <w:tc>
          <w:tcPr>
            <w:tcW w:w="2683" w:type="dxa"/>
            <w:shd w:val="clear" w:color="auto" w:fill="auto"/>
            <w:vAlign w:val="center"/>
          </w:tcPr>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①是否符合国家财经法规及有关部门资金管理办法的规定；</w:t>
            </w:r>
          </w:p>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②资金的拨付是否有完整的审批过程和手续；</w:t>
            </w:r>
          </w:p>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③对下补助资金是否有专门的资金分配办法或方案（包含测算过程）；</w:t>
            </w:r>
          </w:p>
          <w:p>
            <w:pPr>
              <w:widowControl/>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④项目的重大开支是否经过评估论证，是否存在截留、挤占、挪用、虚列支出的情况。</w:t>
            </w:r>
          </w:p>
          <w:p>
            <w:pPr>
              <w:widowControl/>
              <w:jc w:val="left"/>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一项不符扣0.5分，扣完为止。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51" w:type="dxa"/>
            <w:vMerge w:val="continue"/>
            <w:shd w:val="clear" w:color="auto" w:fill="auto"/>
            <w:vAlign w:val="center"/>
          </w:tcPr>
          <w:p>
            <w:pPr>
              <w:jc w:val="center"/>
              <w:rPr>
                <w:rFonts w:hint="eastAsia" w:ascii="宋体" w:hAnsi="宋体" w:eastAsia="宋体" w:cs="宋体"/>
                <w:color w:val="000000"/>
                <w:szCs w:val="21"/>
              </w:rPr>
            </w:pPr>
          </w:p>
        </w:tc>
        <w:tc>
          <w:tcPr>
            <w:tcW w:w="1062" w:type="dxa"/>
            <w:vMerge w:val="continue"/>
            <w:shd w:val="clear" w:color="auto" w:fill="auto"/>
            <w:vAlign w:val="center"/>
          </w:tcPr>
          <w:p>
            <w:pPr>
              <w:jc w:val="center"/>
              <w:rPr>
                <w:rFonts w:hint="eastAsia" w:ascii="宋体" w:hAnsi="宋体" w:eastAsia="宋体" w:cs="宋体"/>
                <w:color w:val="000000"/>
                <w:szCs w:val="21"/>
              </w:rPr>
            </w:pPr>
          </w:p>
        </w:tc>
        <w:tc>
          <w:tcPr>
            <w:tcW w:w="1233" w:type="dxa"/>
            <w:shd w:val="clear" w:color="auto" w:fill="auto"/>
            <w:vAlign w:val="center"/>
          </w:tcPr>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预决算信息公开性</w:t>
            </w:r>
          </w:p>
          <w:p>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（2分）</w:t>
            </w:r>
          </w:p>
        </w:tc>
        <w:tc>
          <w:tcPr>
            <w:tcW w:w="2590" w:type="dxa"/>
            <w:shd w:val="clear" w:color="auto" w:fill="auto"/>
            <w:vAlign w:val="center"/>
          </w:tcPr>
          <w:p>
            <w:pPr>
              <w:widowControl/>
              <w:jc w:val="left"/>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部门（单位）是否按照政府信息公开有关规定及预决算批复文件中要求的格式、时限公开相关预决算信息，用以反映和评价部门（单位）预决算管理的公开透明情况。</w:t>
            </w:r>
          </w:p>
        </w:tc>
        <w:tc>
          <w:tcPr>
            <w:tcW w:w="2683" w:type="dxa"/>
            <w:shd w:val="clear" w:color="auto" w:fill="auto"/>
            <w:vAlign w:val="center"/>
          </w:tcPr>
          <w:p>
            <w:pPr>
              <w:widowControl/>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①按规定格式公开预决算信息</w:t>
            </w:r>
          </w:p>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（1分）；</w:t>
            </w:r>
          </w:p>
          <w:p>
            <w:pPr>
              <w:widowControl/>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②按规定时限公开预决算信息</w:t>
            </w:r>
          </w:p>
          <w:p>
            <w:pPr>
              <w:widowControl/>
              <w:jc w:val="left"/>
              <w:textAlignment w:val="center"/>
              <w:rPr>
                <w:rFonts w:hint="eastAsia" w:ascii="宋体" w:hAnsi="宋体" w:eastAsia="宋体" w:cs="宋体"/>
                <w:color w:val="000000"/>
                <w:szCs w:val="21"/>
                <w:lang w:val="en-US" w:eastAsia="zh-CN"/>
              </w:rPr>
            </w:pPr>
            <w:r>
              <w:rPr>
                <w:rFonts w:hint="eastAsia" w:ascii="宋体" w:hAnsi="宋体" w:eastAsia="宋体" w:cs="宋体"/>
                <w:color w:val="000000"/>
                <w:kern w:val="0"/>
                <w:sz w:val="18"/>
                <w:szCs w:val="18"/>
                <w:lang w:bidi="ar"/>
              </w:rPr>
              <w:t>（1分）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0" w:hRule="atLeast"/>
        </w:trPr>
        <w:tc>
          <w:tcPr>
            <w:tcW w:w="951" w:type="dxa"/>
            <w:vMerge w:val="continue"/>
            <w:shd w:val="clear" w:color="auto" w:fill="auto"/>
            <w:vAlign w:val="center"/>
          </w:tcPr>
          <w:p>
            <w:pPr>
              <w:jc w:val="center"/>
              <w:rPr>
                <w:rFonts w:hint="eastAsia" w:ascii="宋体" w:hAnsi="宋体" w:eastAsia="宋体" w:cs="宋体"/>
                <w:color w:val="000000"/>
                <w:szCs w:val="21"/>
              </w:rPr>
            </w:pPr>
          </w:p>
        </w:tc>
        <w:tc>
          <w:tcPr>
            <w:tcW w:w="1062" w:type="dxa"/>
            <w:vMerge w:val="continue"/>
            <w:shd w:val="clear" w:color="auto" w:fill="auto"/>
            <w:vAlign w:val="center"/>
          </w:tcPr>
          <w:p>
            <w:pPr>
              <w:jc w:val="center"/>
              <w:rPr>
                <w:rFonts w:hint="eastAsia" w:ascii="宋体" w:hAnsi="宋体" w:eastAsia="宋体" w:cs="宋体"/>
                <w:color w:val="000000"/>
                <w:szCs w:val="21"/>
              </w:rPr>
            </w:pPr>
          </w:p>
        </w:tc>
        <w:tc>
          <w:tcPr>
            <w:tcW w:w="1233" w:type="dxa"/>
            <w:shd w:val="clear" w:color="auto" w:fill="auto"/>
            <w:vAlign w:val="center"/>
          </w:tcPr>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资产管理</w:t>
            </w:r>
          </w:p>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完整性</w:t>
            </w:r>
          </w:p>
          <w:p>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（2分）</w:t>
            </w:r>
          </w:p>
        </w:tc>
        <w:tc>
          <w:tcPr>
            <w:tcW w:w="2590" w:type="dxa"/>
            <w:shd w:val="clear" w:color="auto" w:fill="auto"/>
            <w:vAlign w:val="center"/>
          </w:tcPr>
          <w:p>
            <w:pPr>
              <w:widowControl/>
              <w:jc w:val="left"/>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部门（单位）的资产是否保存完整、使用合规、收入及时足额上缴，用以反映和评价部门（单位）资产运行情况。</w:t>
            </w:r>
          </w:p>
        </w:tc>
        <w:tc>
          <w:tcPr>
            <w:tcW w:w="2683" w:type="dxa"/>
            <w:shd w:val="clear" w:color="auto" w:fill="auto"/>
            <w:vAlign w:val="center"/>
          </w:tcPr>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①资产保存是否完整，有专人保管；</w:t>
            </w:r>
          </w:p>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②单位资产管理制度是否健全、完整、合法；</w:t>
            </w:r>
          </w:p>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③资产有偿使用及处置收入是否及时足额上缴；</w:t>
            </w:r>
          </w:p>
          <w:p>
            <w:pPr>
              <w:widowControl/>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④重大资产处置收入是否按照要求收支两条线管理和使用；</w:t>
            </w:r>
          </w:p>
          <w:p>
            <w:pPr>
              <w:widowControl/>
              <w:jc w:val="left"/>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一项不符扣0.5分，扣完为止。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trPr>
        <w:tc>
          <w:tcPr>
            <w:tcW w:w="951" w:type="dxa"/>
            <w:vMerge w:val="restart"/>
            <w:shd w:val="clear" w:color="auto" w:fill="auto"/>
            <w:vAlign w:val="center"/>
          </w:tcPr>
          <w:p>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产出（40%）</w:t>
            </w:r>
          </w:p>
        </w:tc>
        <w:tc>
          <w:tcPr>
            <w:tcW w:w="1062" w:type="dxa"/>
            <w:vMerge w:val="restart"/>
            <w:shd w:val="clear" w:color="auto" w:fill="auto"/>
            <w:vAlign w:val="center"/>
          </w:tcPr>
          <w:p>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职责履行（8分）</w:t>
            </w:r>
          </w:p>
        </w:tc>
        <w:tc>
          <w:tcPr>
            <w:tcW w:w="1233" w:type="dxa"/>
            <w:shd w:val="clear" w:color="auto" w:fill="auto"/>
            <w:vAlign w:val="center"/>
          </w:tcPr>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项目实际</w:t>
            </w:r>
          </w:p>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完成率</w:t>
            </w:r>
          </w:p>
          <w:p>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（2分）</w:t>
            </w:r>
          </w:p>
        </w:tc>
        <w:tc>
          <w:tcPr>
            <w:tcW w:w="2590" w:type="dxa"/>
            <w:shd w:val="clear" w:color="auto" w:fill="auto"/>
            <w:vAlign w:val="center"/>
          </w:tcPr>
          <w:p>
            <w:pPr>
              <w:widowControl/>
              <w:jc w:val="left"/>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抽查评价部门(单位)履行职责而实际完成的 项目数与计划完成的项目数的比率，用以反映 和评价部门(单位)履职任务目标的实现程度 项目实际完成率=(实际完成项目数/计划完 成项目数)×100%。</w:t>
            </w:r>
          </w:p>
        </w:tc>
        <w:tc>
          <w:tcPr>
            <w:tcW w:w="2683" w:type="dxa"/>
            <w:shd w:val="clear" w:color="auto" w:fill="auto"/>
            <w:vAlign w:val="center"/>
          </w:tcPr>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①项目实际完成率大等于95%的，得满分；项目实际完成率小等于80%的，得0分；</w:t>
            </w:r>
          </w:p>
          <w:p>
            <w:pPr>
              <w:widowControl/>
              <w:jc w:val="left"/>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项目实际完成率在80%-95%之间的，得分=(某部门项目实际完成率-80%)/10%×该指标分值。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951" w:type="dxa"/>
            <w:vMerge w:val="continue"/>
            <w:shd w:val="clear" w:color="auto" w:fill="auto"/>
            <w:vAlign w:val="center"/>
          </w:tcPr>
          <w:p>
            <w:pPr>
              <w:jc w:val="center"/>
              <w:rPr>
                <w:rFonts w:hint="eastAsia" w:ascii="宋体" w:hAnsi="宋体" w:eastAsia="宋体" w:cs="宋体"/>
                <w:color w:val="000000"/>
                <w:szCs w:val="21"/>
              </w:rPr>
            </w:pPr>
          </w:p>
        </w:tc>
        <w:tc>
          <w:tcPr>
            <w:tcW w:w="1062" w:type="dxa"/>
            <w:vMerge w:val="continue"/>
            <w:shd w:val="clear" w:color="auto" w:fill="auto"/>
            <w:vAlign w:val="center"/>
          </w:tcPr>
          <w:p>
            <w:pPr>
              <w:jc w:val="center"/>
              <w:rPr>
                <w:rFonts w:hint="eastAsia" w:ascii="宋体" w:hAnsi="宋体" w:eastAsia="宋体" w:cs="宋体"/>
                <w:color w:val="000000"/>
                <w:szCs w:val="21"/>
              </w:rPr>
            </w:pPr>
          </w:p>
        </w:tc>
        <w:tc>
          <w:tcPr>
            <w:tcW w:w="1233" w:type="dxa"/>
            <w:shd w:val="clear" w:color="auto" w:fill="auto"/>
            <w:vAlign w:val="center"/>
          </w:tcPr>
          <w:p>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sz w:val="18"/>
                <w:szCs w:val="18"/>
              </w:rPr>
              <w:t>重大安全生产问题整改</w:t>
            </w:r>
            <w:r>
              <w:rPr>
                <w:rFonts w:hint="eastAsia" w:ascii="宋体" w:hAnsi="宋体" w:eastAsia="宋体" w:cs="宋体"/>
                <w:color w:val="000000"/>
                <w:kern w:val="0"/>
                <w:sz w:val="18"/>
                <w:szCs w:val="18"/>
                <w:lang w:bidi="ar"/>
              </w:rPr>
              <w:t>（2分）</w:t>
            </w:r>
          </w:p>
        </w:tc>
        <w:tc>
          <w:tcPr>
            <w:tcW w:w="2590" w:type="dxa"/>
            <w:shd w:val="clear" w:color="auto" w:fill="auto"/>
            <w:vAlign w:val="center"/>
          </w:tcPr>
          <w:p>
            <w:pPr>
              <w:widowControl/>
              <w:jc w:val="left"/>
              <w:textAlignment w:val="center"/>
              <w:rPr>
                <w:rFonts w:hint="eastAsia" w:ascii="宋体" w:hAnsi="宋体" w:eastAsia="宋体" w:cs="宋体"/>
                <w:color w:val="000000"/>
                <w:szCs w:val="21"/>
              </w:rPr>
            </w:pPr>
            <w:r>
              <w:rPr>
                <w:rFonts w:hint="eastAsia" w:ascii="宋体" w:hAnsi="宋体" w:eastAsia="宋体" w:cs="宋体"/>
                <w:color w:val="000000"/>
                <w:sz w:val="18"/>
                <w:szCs w:val="18"/>
              </w:rPr>
              <w:t>重大安全生产问题整改指标通过考核的是部门重大安全生产问题整改及重视程度。</w:t>
            </w:r>
          </w:p>
        </w:tc>
        <w:tc>
          <w:tcPr>
            <w:tcW w:w="2683" w:type="dxa"/>
            <w:shd w:val="clear" w:color="auto" w:fill="auto"/>
            <w:vAlign w:val="center"/>
          </w:tcPr>
          <w:p>
            <w:pPr>
              <w:widowControl/>
              <w:jc w:val="left"/>
              <w:textAlignment w:val="center"/>
              <w:rPr>
                <w:rFonts w:hint="eastAsia" w:ascii="宋体" w:hAnsi="宋体" w:eastAsia="宋体" w:cs="宋体"/>
                <w:color w:val="000000"/>
                <w:szCs w:val="21"/>
              </w:rPr>
            </w:pPr>
            <w:r>
              <w:rPr>
                <w:rFonts w:hint="eastAsia" w:ascii="宋体" w:hAnsi="宋体" w:eastAsia="宋体" w:cs="宋体"/>
                <w:color w:val="000000"/>
                <w:sz w:val="18"/>
                <w:szCs w:val="18"/>
              </w:rPr>
              <w:t>评价标准为：是否建立重大安全生产问题挂钩督办制度；是否明确责任单位及整治措施、整治期限；是否对重大安全生产问题每月汇总汇报整改情况，统筹协调推动隐患整改到位。一项不符合扣0.5分。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 w:hRule="atLeast"/>
        </w:trPr>
        <w:tc>
          <w:tcPr>
            <w:tcW w:w="951" w:type="dxa"/>
            <w:vMerge w:val="continue"/>
            <w:shd w:val="clear" w:color="auto" w:fill="auto"/>
            <w:vAlign w:val="center"/>
          </w:tcPr>
          <w:p>
            <w:pPr>
              <w:jc w:val="center"/>
              <w:rPr>
                <w:rFonts w:hint="eastAsia" w:ascii="宋体" w:hAnsi="宋体" w:eastAsia="宋体" w:cs="宋体"/>
                <w:color w:val="000000"/>
                <w:szCs w:val="21"/>
              </w:rPr>
            </w:pPr>
          </w:p>
        </w:tc>
        <w:tc>
          <w:tcPr>
            <w:tcW w:w="1062" w:type="dxa"/>
            <w:vMerge w:val="continue"/>
            <w:shd w:val="clear" w:color="auto" w:fill="auto"/>
            <w:vAlign w:val="center"/>
          </w:tcPr>
          <w:p>
            <w:pPr>
              <w:jc w:val="center"/>
              <w:rPr>
                <w:rFonts w:hint="eastAsia" w:ascii="宋体" w:hAnsi="宋体" w:eastAsia="宋体" w:cs="宋体"/>
                <w:color w:val="000000"/>
                <w:szCs w:val="21"/>
              </w:rPr>
            </w:pPr>
          </w:p>
        </w:tc>
        <w:tc>
          <w:tcPr>
            <w:tcW w:w="1233" w:type="dxa"/>
            <w:shd w:val="clear" w:color="auto" w:fill="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bidi="ar"/>
              </w:rPr>
              <w:t>部门</w:t>
            </w:r>
            <w:r>
              <w:rPr>
                <w:rFonts w:hint="eastAsia" w:ascii="宋体" w:hAnsi="宋体" w:eastAsia="宋体" w:cs="宋体"/>
                <w:color w:val="000000"/>
                <w:kern w:val="0"/>
                <w:sz w:val="18"/>
                <w:szCs w:val="18"/>
                <w:lang w:val="en-US" w:eastAsia="zh-CN" w:bidi="ar"/>
              </w:rPr>
              <w:t>绩效</w:t>
            </w:r>
          </w:p>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自评项目</w:t>
            </w:r>
          </w:p>
          <w:p>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比率（2分）</w:t>
            </w:r>
          </w:p>
        </w:tc>
        <w:tc>
          <w:tcPr>
            <w:tcW w:w="2590" w:type="dxa"/>
            <w:shd w:val="clear" w:color="auto" w:fill="auto"/>
            <w:vAlign w:val="center"/>
          </w:tcPr>
          <w:p>
            <w:pPr>
              <w:widowControl/>
              <w:jc w:val="left"/>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部门自评项目在所有项目中所占的份额，反映和评价部门对项目自评的重视程度。部门支出 项目绩效自评范围：本年度列入本级财政预算安排的项目。</w:t>
            </w:r>
          </w:p>
        </w:tc>
        <w:tc>
          <w:tcPr>
            <w:tcW w:w="2683" w:type="dxa"/>
            <w:shd w:val="clear" w:color="auto" w:fill="auto"/>
            <w:vAlign w:val="center"/>
          </w:tcPr>
          <w:p>
            <w:pPr>
              <w:widowControl/>
              <w:jc w:val="left"/>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部门绩效自评项目占比率=(自评项目个数/所有项目个数)×100%。得分=占比率×该指标分值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trPr>
        <w:tc>
          <w:tcPr>
            <w:tcW w:w="951" w:type="dxa"/>
            <w:vMerge w:val="continue"/>
            <w:shd w:val="clear" w:color="auto" w:fill="auto"/>
            <w:vAlign w:val="center"/>
          </w:tcPr>
          <w:p>
            <w:pPr>
              <w:jc w:val="center"/>
              <w:rPr>
                <w:rFonts w:hint="eastAsia" w:ascii="宋体" w:hAnsi="宋体" w:eastAsia="宋体" w:cs="宋体"/>
                <w:color w:val="000000"/>
                <w:szCs w:val="21"/>
              </w:rPr>
            </w:pPr>
          </w:p>
        </w:tc>
        <w:tc>
          <w:tcPr>
            <w:tcW w:w="1062" w:type="dxa"/>
            <w:vMerge w:val="continue"/>
            <w:shd w:val="clear" w:color="auto" w:fill="auto"/>
            <w:vAlign w:val="center"/>
          </w:tcPr>
          <w:p>
            <w:pPr>
              <w:jc w:val="center"/>
              <w:rPr>
                <w:rFonts w:hint="eastAsia" w:ascii="宋体" w:hAnsi="宋体" w:eastAsia="宋体" w:cs="宋体"/>
                <w:color w:val="000000"/>
                <w:szCs w:val="21"/>
              </w:rPr>
            </w:pPr>
          </w:p>
        </w:tc>
        <w:tc>
          <w:tcPr>
            <w:tcW w:w="1233" w:type="dxa"/>
            <w:shd w:val="clear" w:color="auto" w:fill="auto"/>
            <w:vAlign w:val="center"/>
          </w:tcPr>
          <w:p>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部门预算绩效管理情况（2分）</w:t>
            </w:r>
          </w:p>
        </w:tc>
        <w:tc>
          <w:tcPr>
            <w:tcW w:w="2590" w:type="dxa"/>
            <w:shd w:val="clear" w:color="auto" w:fill="auto"/>
            <w:vAlign w:val="center"/>
          </w:tcPr>
          <w:p>
            <w:pPr>
              <w:widowControl/>
              <w:jc w:val="left"/>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对部门开展预算绩效管理工作的年度评价结果，用以反映部门对预算绩效管理工作的重视程度和取得的成效。</w:t>
            </w:r>
          </w:p>
        </w:tc>
        <w:tc>
          <w:tcPr>
            <w:tcW w:w="2683" w:type="dxa"/>
            <w:shd w:val="clear" w:color="auto" w:fill="auto"/>
            <w:vAlign w:val="center"/>
          </w:tcPr>
          <w:p>
            <w:pPr>
              <w:widowControl/>
              <w:jc w:val="left"/>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对部门绩效管理工作开展情况进行核查评价计算得分，包括绩效目标管理，绩效执行监控、绩效自评和评价结果应用等情况。以部门为单位进行综合计算，得出各部门绩效管理工作评价结果，资料数据来源不真实的不得分。未按规定报送绩效管理报表资料或未按时完成整改反馈的，每次扣1分。综合得分=(部门绩效管理工作评价结果/100) *5分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951" w:type="dxa"/>
            <w:vMerge w:val="continue"/>
            <w:shd w:val="clear" w:color="auto" w:fill="auto"/>
            <w:vAlign w:val="center"/>
          </w:tcPr>
          <w:p>
            <w:pPr>
              <w:jc w:val="center"/>
              <w:rPr>
                <w:rFonts w:hint="eastAsia" w:ascii="宋体" w:hAnsi="宋体" w:eastAsia="宋体" w:cs="宋体"/>
                <w:color w:val="000000"/>
                <w:szCs w:val="21"/>
              </w:rPr>
            </w:pPr>
          </w:p>
        </w:tc>
        <w:tc>
          <w:tcPr>
            <w:tcW w:w="1062" w:type="dxa"/>
            <w:vMerge w:val="restart"/>
            <w:shd w:val="clear" w:color="auto" w:fill="auto"/>
            <w:vAlign w:val="center"/>
          </w:tcPr>
          <w:p>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产出数量（12）</w:t>
            </w:r>
          </w:p>
        </w:tc>
        <w:tc>
          <w:tcPr>
            <w:tcW w:w="1233" w:type="dxa"/>
            <w:shd w:val="clear" w:color="auto" w:fill="auto"/>
            <w:vAlign w:val="center"/>
          </w:tcPr>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安全生产监督员检查</w:t>
            </w:r>
          </w:p>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活动次数</w:t>
            </w:r>
          </w:p>
          <w:p>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（2分）</w:t>
            </w:r>
          </w:p>
        </w:tc>
        <w:tc>
          <w:tcPr>
            <w:tcW w:w="2590" w:type="dxa"/>
            <w:shd w:val="clear" w:color="auto" w:fill="auto"/>
            <w:vAlign w:val="center"/>
          </w:tcPr>
          <w:p>
            <w:pPr>
              <w:widowControl/>
              <w:jc w:val="left"/>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安全生产监督员检查活动次数</w:t>
            </w:r>
          </w:p>
        </w:tc>
        <w:tc>
          <w:tcPr>
            <w:tcW w:w="2683" w:type="dxa"/>
            <w:shd w:val="clear" w:color="auto" w:fill="auto"/>
            <w:vAlign w:val="center"/>
          </w:tcPr>
          <w:p>
            <w:pPr>
              <w:widowControl/>
              <w:jc w:val="left"/>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eastAsia="zh-CN" w:bidi="ar"/>
              </w:rPr>
              <w:t>全年</w:t>
            </w:r>
            <w:r>
              <w:rPr>
                <w:rFonts w:hint="eastAsia" w:ascii="宋体" w:hAnsi="宋体" w:eastAsia="宋体" w:cs="宋体"/>
                <w:color w:val="000000"/>
                <w:kern w:val="0"/>
                <w:sz w:val="18"/>
                <w:szCs w:val="18"/>
                <w:lang w:bidi="ar"/>
              </w:rPr>
              <w:t>安全生产监督员检查活动次数≥12次得满分，每少1次扣0.5分，扣完为止。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951" w:type="dxa"/>
            <w:vMerge w:val="continue"/>
            <w:shd w:val="clear" w:color="auto" w:fill="auto"/>
            <w:vAlign w:val="center"/>
          </w:tcPr>
          <w:p>
            <w:pPr>
              <w:jc w:val="center"/>
              <w:rPr>
                <w:rFonts w:hint="eastAsia" w:ascii="宋体" w:hAnsi="宋体" w:eastAsia="宋体" w:cs="宋体"/>
                <w:color w:val="000000"/>
                <w:szCs w:val="21"/>
              </w:rPr>
            </w:pPr>
          </w:p>
        </w:tc>
        <w:tc>
          <w:tcPr>
            <w:tcW w:w="1062" w:type="dxa"/>
            <w:vMerge w:val="continue"/>
            <w:shd w:val="clear" w:color="auto" w:fill="auto"/>
            <w:vAlign w:val="center"/>
          </w:tcPr>
          <w:p>
            <w:pPr>
              <w:jc w:val="center"/>
              <w:rPr>
                <w:rFonts w:hint="eastAsia" w:ascii="宋体" w:hAnsi="宋体" w:eastAsia="宋体" w:cs="宋体"/>
                <w:color w:val="000000"/>
                <w:szCs w:val="21"/>
              </w:rPr>
            </w:pPr>
          </w:p>
        </w:tc>
        <w:tc>
          <w:tcPr>
            <w:tcW w:w="1233" w:type="dxa"/>
            <w:shd w:val="clear" w:color="auto" w:fill="auto"/>
            <w:vAlign w:val="center"/>
          </w:tcPr>
          <w:p>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地震应急救援演练次数（2分）</w:t>
            </w:r>
          </w:p>
        </w:tc>
        <w:tc>
          <w:tcPr>
            <w:tcW w:w="2590" w:type="dxa"/>
            <w:shd w:val="clear" w:color="auto" w:fill="auto"/>
            <w:vAlign w:val="center"/>
          </w:tcPr>
          <w:p>
            <w:pPr>
              <w:widowControl/>
              <w:jc w:val="left"/>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地震应急救援演练次数</w:t>
            </w:r>
          </w:p>
        </w:tc>
        <w:tc>
          <w:tcPr>
            <w:tcW w:w="2683" w:type="dxa"/>
            <w:shd w:val="clear" w:color="auto" w:fill="auto"/>
            <w:vAlign w:val="center"/>
          </w:tcPr>
          <w:p>
            <w:pPr>
              <w:widowControl/>
              <w:jc w:val="left"/>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地震应急救援演练次数</w:t>
            </w:r>
            <w:r>
              <w:rPr>
                <w:rFonts w:hint="eastAsia" w:ascii="宋体" w:hAnsi="宋体" w:eastAsia="宋体" w:cs="宋体"/>
                <w:color w:val="000000"/>
                <w:kern w:val="0"/>
                <w:sz w:val="18"/>
                <w:szCs w:val="18"/>
                <w:lang w:eastAsia="zh-CN" w:bidi="ar"/>
              </w:rPr>
              <w:t>达到</w:t>
            </w:r>
            <w:r>
              <w:rPr>
                <w:rFonts w:hint="eastAsia" w:ascii="宋体" w:hAnsi="宋体" w:eastAsia="宋体" w:cs="宋体"/>
                <w:color w:val="000000"/>
                <w:kern w:val="0"/>
                <w:sz w:val="18"/>
                <w:szCs w:val="18"/>
                <w:lang w:bidi="ar"/>
              </w:rPr>
              <w:t>2次及以上次得满分，每少1次扣0.5分，扣完为止。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951" w:type="dxa"/>
            <w:vMerge w:val="continue"/>
            <w:shd w:val="clear" w:color="auto" w:fill="auto"/>
            <w:vAlign w:val="center"/>
          </w:tcPr>
          <w:p>
            <w:pPr>
              <w:jc w:val="center"/>
              <w:rPr>
                <w:rFonts w:hint="eastAsia" w:ascii="宋体" w:hAnsi="宋体" w:eastAsia="宋体" w:cs="宋体"/>
                <w:color w:val="000000"/>
                <w:szCs w:val="21"/>
              </w:rPr>
            </w:pPr>
          </w:p>
        </w:tc>
        <w:tc>
          <w:tcPr>
            <w:tcW w:w="1062" w:type="dxa"/>
            <w:vMerge w:val="continue"/>
            <w:shd w:val="clear" w:color="auto" w:fill="auto"/>
            <w:vAlign w:val="center"/>
          </w:tcPr>
          <w:p>
            <w:pPr>
              <w:jc w:val="center"/>
              <w:rPr>
                <w:rFonts w:hint="eastAsia" w:ascii="宋体" w:hAnsi="宋体" w:eastAsia="宋体" w:cs="宋体"/>
                <w:color w:val="000000"/>
                <w:szCs w:val="21"/>
              </w:rPr>
            </w:pPr>
          </w:p>
        </w:tc>
        <w:tc>
          <w:tcPr>
            <w:tcW w:w="1233" w:type="dxa"/>
            <w:shd w:val="clear" w:color="auto" w:fill="auto"/>
            <w:vAlign w:val="center"/>
          </w:tcPr>
          <w:p>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防汛应急演练与培训次数（2分）</w:t>
            </w:r>
          </w:p>
        </w:tc>
        <w:tc>
          <w:tcPr>
            <w:tcW w:w="2590" w:type="dxa"/>
            <w:shd w:val="clear" w:color="auto" w:fill="auto"/>
            <w:vAlign w:val="center"/>
          </w:tcPr>
          <w:p>
            <w:pPr>
              <w:widowControl/>
              <w:jc w:val="left"/>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防汛应急演练与培训次数</w:t>
            </w:r>
          </w:p>
        </w:tc>
        <w:tc>
          <w:tcPr>
            <w:tcW w:w="2683" w:type="dxa"/>
            <w:shd w:val="clear" w:color="auto" w:fill="auto"/>
            <w:vAlign w:val="center"/>
          </w:tcPr>
          <w:p>
            <w:pPr>
              <w:widowControl/>
              <w:jc w:val="left"/>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防汛应急演练与培训次数2次及以上次得满分，每少1次扣0.5分，扣完为止。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951" w:type="dxa"/>
            <w:vMerge w:val="continue"/>
            <w:shd w:val="clear" w:color="auto" w:fill="auto"/>
            <w:vAlign w:val="center"/>
          </w:tcPr>
          <w:p>
            <w:pPr>
              <w:jc w:val="center"/>
              <w:rPr>
                <w:rFonts w:hint="eastAsia" w:ascii="宋体" w:hAnsi="宋体" w:eastAsia="宋体" w:cs="宋体"/>
                <w:color w:val="000000"/>
                <w:szCs w:val="21"/>
              </w:rPr>
            </w:pPr>
          </w:p>
        </w:tc>
        <w:tc>
          <w:tcPr>
            <w:tcW w:w="1062" w:type="dxa"/>
            <w:vMerge w:val="continue"/>
            <w:shd w:val="clear" w:color="auto" w:fill="auto"/>
            <w:vAlign w:val="center"/>
          </w:tcPr>
          <w:p>
            <w:pPr>
              <w:jc w:val="center"/>
              <w:rPr>
                <w:rFonts w:hint="eastAsia" w:ascii="宋体" w:hAnsi="宋体" w:eastAsia="宋体" w:cs="宋体"/>
                <w:color w:val="000000"/>
                <w:szCs w:val="21"/>
              </w:rPr>
            </w:pPr>
          </w:p>
        </w:tc>
        <w:tc>
          <w:tcPr>
            <w:tcW w:w="1233" w:type="dxa"/>
            <w:shd w:val="clear" w:color="auto" w:fill="auto"/>
            <w:vAlign w:val="center"/>
          </w:tcPr>
          <w:p>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应急救援避难场所管理（2分）</w:t>
            </w:r>
          </w:p>
        </w:tc>
        <w:tc>
          <w:tcPr>
            <w:tcW w:w="2590" w:type="dxa"/>
            <w:shd w:val="clear" w:color="auto" w:fill="auto"/>
            <w:vAlign w:val="center"/>
          </w:tcPr>
          <w:p>
            <w:pPr>
              <w:widowControl/>
              <w:jc w:val="left"/>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地震应急救援避难场所管理是否运行维护良好，达到巡查次数</w:t>
            </w:r>
          </w:p>
        </w:tc>
        <w:tc>
          <w:tcPr>
            <w:tcW w:w="2683" w:type="dxa"/>
            <w:shd w:val="clear" w:color="auto" w:fill="auto"/>
            <w:vAlign w:val="center"/>
          </w:tcPr>
          <w:p>
            <w:pPr>
              <w:widowControl/>
              <w:jc w:val="left"/>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避难场所管理运行维护良好，巡查4次以上得满分</w:t>
            </w:r>
            <w:r>
              <w:rPr>
                <w:rFonts w:hint="eastAsia" w:ascii="宋体" w:hAnsi="宋体" w:eastAsia="宋体" w:cs="宋体"/>
                <w:color w:val="000000"/>
                <w:kern w:val="0"/>
                <w:sz w:val="18"/>
                <w:szCs w:val="18"/>
                <w:lang w:eastAsia="zh-CN" w:bidi="ar"/>
              </w:rPr>
              <w:t>，否则每少</w:t>
            </w:r>
            <w:r>
              <w:rPr>
                <w:rFonts w:hint="eastAsia" w:ascii="宋体" w:hAnsi="宋体" w:eastAsia="宋体" w:cs="宋体"/>
                <w:color w:val="000000"/>
                <w:kern w:val="0"/>
                <w:sz w:val="18"/>
                <w:szCs w:val="18"/>
                <w:lang w:val="en-US" w:eastAsia="zh-CN" w:bidi="ar"/>
              </w:rPr>
              <w:t>1次扣0.5分。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951" w:type="dxa"/>
            <w:vMerge w:val="continue"/>
            <w:shd w:val="clear" w:color="auto" w:fill="auto"/>
            <w:vAlign w:val="center"/>
          </w:tcPr>
          <w:p>
            <w:pPr>
              <w:jc w:val="center"/>
              <w:rPr>
                <w:rFonts w:hint="eastAsia" w:ascii="宋体" w:hAnsi="宋体" w:eastAsia="宋体" w:cs="宋体"/>
                <w:color w:val="000000"/>
                <w:szCs w:val="21"/>
              </w:rPr>
            </w:pPr>
          </w:p>
        </w:tc>
        <w:tc>
          <w:tcPr>
            <w:tcW w:w="1062" w:type="dxa"/>
            <w:vMerge w:val="continue"/>
            <w:shd w:val="clear" w:color="auto" w:fill="auto"/>
            <w:vAlign w:val="center"/>
          </w:tcPr>
          <w:p>
            <w:pPr>
              <w:jc w:val="center"/>
              <w:rPr>
                <w:rFonts w:hint="eastAsia" w:ascii="宋体" w:hAnsi="宋体" w:eastAsia="宋体" w:cs="宋体"/>
                <w:color w:val="000000"/>
                <w:szCs w:val="21"/>
              </w:rPr>
            </w:pPr>
          </w:p>
        </w:tc>
        <w:tc>
          <w:tcPr>
            <w:tcW w:w="1233" w:type="dxa"/>
            <w:shd w:val="clear" w:color="auto" w:fill="auto"/>
            <w:vAlign w:val="center"/>
          </w:tcPr>
          <w:p>
            <w:pPr>
              <w:widowControl/>
              <w:jc w:val="center"/>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聘请临时工人数</w:t>
            </w:r>
          </w:p>
          <w:p>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（2分）</w:t>
            </w:r>
          </w:p>
        </w:tc>
        <w:tc>
          <w:tcPr>
            <w:tcW w:w="2590" w:type="dxa"/>
            <w:shd w:val="clear" w:color="auto" w:fill="auto"/>
            <w:vAlign w:val="center"/>
          </w:tcPr>
          <w:p>
            <w:pPr>
              <w:widowControl/>
              <w:jc w:val="left"/>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eastAsia="zh-CN" w:bidi="ar"/>
              </w:rPr>
              <w:t>考核</w:t>
            </w:r>
            <w:r>
              <w:rPr>
                <w:rFonts w:hint="eastAsia" w:ascii="宋体" w:hAnsi="宋体" w:eastAsia="宋体" w:cs="宋体"/>
                <w:color w:val="000000"/>
                <w:kern w:val="0"/>
                <w:sz w:val="18"/>
                <w:szCs w:val="18"/>
                <w:lang w:bidi="ar"/>
              </w:rPr>
              <w:t>聘请临时工人数</w:t>
            </w:r>
            <w:r>
              <w:rPr>
                <w:rFonts w:hint="eastAsia" w:ascii="宋体" w:hAnsi="宋体" w:eastAsia="宋体" w:cs="宋体"/>
                <w:color w:val="000000"/>
                <w:kern w:val="0"/>
                <w:sz w:val="18"/>
                <w:szCs w:val="18"/>
                <w:lang w:eastAsia="zh-CN" w:bidi="ar"/>
              </w:rPr>
              <w:t>是否符合要求</w:t>
            </w:r>
          </w:p>
        </w:tc>
        <w:tc>
          <w:tcPr>
            <w:tcW w:w="2683" w:type="dxa"/>
            <w:shd w:val="clear" w:color="auto" w:fill="auto"/>
            <w:noWrap/>
            <w:vAlign w:val="center"/>
          </w:tcPr>
          <w:p>
            <w:pPr>
              <w:widowControl/>
              <w:jc w:val="left"/>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eastAsia="zh-CN" w:bidi="ar"/>
              </w:rPr>
              <w:t>大于等于</w:t>
            </w:r>
            <w:r>
              <w:rPr>
                <w:rFonts w:hint="eastAsia" w:ascii="宋体" w:hAnsi="宋体" w:eastAsia="宋体" w:cs="宋体"/>
                <w:color w:val="000000"/>
                <w:kern w:val="0"/>
                <w:sz w:val="18"/>
                <w:szCs w:val="18"/>
                <w:lang w:bidi="ar"/>
              </w:rPr>
              <w:t>15人以上得满分，</w:t>
            </w:r>
            <w:r>
              <w:rPr>
                <w:rFonts w:hint="eastAsia" w:ascii="宋体" w:hAnsi="宋体" w:eastAsia="宋体" w:cs="宋体"/>
                <w:color w:val="000000"/>
                <w:kern w:val="0"/>
                <w:sz w:val="18"/>
                <w:szCs w:val="18"/>
                <w:lang w:eastAsia="zh-CN" w:bidi="ar"/>
              </w:rPr>
              <w:t>否则每少</w:t>
            </w:r>
            <w:r>
              <w:rPr>
                <w:rFonts w:hint="eastAsia" w:ascii="宋体" w:hAnsi="宋体" w:eastAsia="宋体" w:cs="宋体"/>
                <w:color w:val="000000"/>
                <w:kern w:val="0"/>
                <w:sz w:val="18"/>
                <w:szCs w:val="18"/>
                <w:lang w:val="en-US" w:eastAsia="zh-CN" w:bidi="ar"/>
              </w:rPr>
              <w:t>1人扣1分。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3" w:hRule="atLeast"/>
        </w:trPr>
        <w:tc>
          <w:tcPr>
            <w:tcW w:w="951" w:type="dxa"/>
            <w:vMerge w:val="continue"/>
            <w:shd w:val="clear" w:color="auto" w:fill="auto"/>
            <w:vAlign w:val="center"/>
          </w:tcPr>
          <w:p>
            <w:pPr>
              <w:jc w:val="center"/>
              <w:rPr>
                <w:rFonts w:hint="eastAsia" w:ascii="宋体" w:hAnsi="宋体" w:eastAsia="宋体" w:cs="宋体"/>
                <w:color w:val="000000"/>
                <w:szCs w:val="21"/>
              </w:rPr>
            </w:pPr>
          </w:p>
        </w:tc>
        <w:tc>
          <w:tcPr>
            <w:tcW w:w="1062" w:type="dxa"/>
            <w:vMerge w:val="continue"/>
            <w:shd w:val="clear" w:color="auto" w:fill="auto"/>
            <w:vAlign w:val="center"/>
          </w:tcPr>
          <w:p>
            <w:pPr>
              <w:jc w:val="center"/>
              <w:rPr>
                <w:rFonts w:hint="eastAsia" w:ascii="宋体" w:hAnsi="宋体" w:eastAsia="宋体" w:cs="宋体"/>
                <w:color w:val="000000"/>
                <w:szCs w:val="21"/>
              </w:rPr>
            </w:pPr>
          </w:p>
        </w:tc>
        <w:tc>
          <w:tcPr>
            <w:tcW w:w="1233" w:type="dxa"/>
            <w:shd w:val="clear" w:color="auto" w:fill="auto"/>
            <w:vAlign w:val="center"/>
          </w:tcPr>
          <w:p>
            <w:pPr>
              <w:widowControl/>
              <w:jc w:val="center"/>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宣传覆盖面</w:t>
            </w:r>
            <w:r>
              <w:rPr>
                <w:rFonts w:hint="eastAsia" w:ascii="宋体" w:hAnsi="宋体" w:eastAsia="宋体" w:cs="宋体"/>
                <w:color w:val="auto"/>
                <w:kern w:val="0"/>
                <w:sz w:val="18"/>
                <w:szCs w:val="18"/>
                <w:lang w:eastAsia="zh-CN" w:bidi="ar"/>
              </w:rPr>
              <w:t>人数</w:t>
            </w:r>
          </w:p>
          <w:p>
            <w:pPr>
              <w:widowControl/>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auto"/>
                <w:kern w:val="0"/>
                <w:sz w:val="18"/>
                <w:szCs w:val="18"/>
                <w:lang w:bidi="ar"/>
              </w:rPr>
              <w:t>（2分）</w:t>
            </w:r>
          </w:p>
        </w:tc>
        <w:tc>
          <w:tcPr>
            <w:tcW w:w="2590" w:type="dxa"/>
            <w:shd w:val="clear" w:color="auto" w:fill="auto"/>
            <w:vAlign w:val="center"/>
          </w:tcPr>
          <w:p>
            <w:pPr>
              <w:widowControl/>
              <w:jc w:val="left"/>
              <w:textAlignment w:val="center"/>
              <w:rPr>
                <w:rFonts w:hint="eastAsia" w:ascii="宋体" w:hAnsi="宋体" w:eastAsia="宋体" w:cs="宋体"/>
                <w:color w:val="000000"/>
                <w:kern w:val="0"/>
                <w:szCs w:val="21"/>
                <w:lang w:eastAsia="zh-CN" w:bidi="ar"/>
              </w:rPr>
            </w:pPr>
            <w:r>
              <w:rPr>
                <w:rFonts w:hint="eastAsia" w:ascii="宋体" w:hAnsi="宋体" w:eastAsia="宋体" w:cs="宋体"/>
                <w:color w:val="auto"/>
                <w:kern w:val="0"/>
                <w:sz w:val="18"/>
                <w:szCs w:val="18"/>
                <w:lang w:eastAsia="zh-CN" w:bidi="ar"/>
              </w:rPr>
              <w:t>考核</w:t>
            </w:r>
            <w:r>
              <w:rPr>
                <w:rFonts w:hint="eastAsia" w:ascii="宋体" w:hAnsi="宋体" w:eastAsia="宋体" w:cs="宋体"/>
                <w:color w:val="auto"/>
                <w:kern w:val="0"/>
                <w:sz w:val="18"/>
                <w:szCs w:val="18"/>
                <w:lang w:bidi="ar"/>
              </w:rPr>
              <w:t>宣传覆盖面</w:t>
            </w:r>
            <w:r>
              <w:rPr>
                <w:rFonts w:hint="eastAsia" w:ascii="宋体" w:hAnsi="宋体" w:eastAsia="宋体" w:cs="宋体"/>
                <w:color w:val="auto"/>
                <w:kern w:val="0"/>
                <w:sz w:val="18"/>
                <w:szCs w:val="18"/>
                <w:lang w:eastAsia="zh-CN" w:bidi="ar"/>
              </w:rPr>
              <w:t>人数</w:t>
            </w:r>
          </w:p>
        </w:tc>
        <w:tc>
          <w:tcPr>
            <w:tcW w:w="2683" w:type="dxa"/>
            <w:shd w:val="clear" w:color="auto" w:fill="auto"/>
            <w:vAlign w:val="center"/>
          </w:tcPr>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①宣传覆盖面人数≥</w:t>
            </w:r>
            <w:r>
              <w:rPr>
                <w:rFonts w:hint="eastAsia" w:ascii="宋体" w:hAnsi="宋体" w:eastAsia="宋体" w:cs="宋体"/>
                <w:color w:val="auto"/>
                <w:kern w:val="0"/>
                <w:sz w:val="18"/>
                <w:szCs w:val="18"/>
                <w:lang w:val="en-US" w:eastAsia="zh-CN" w:bidi="ar"/>
              </w:rPr>
              <w:t>7000</w:t>
            </w:r>
            <w:r>
              <w:rPr>
                <w:rFonts w:hint="eastAsia" w:ascii="宋体" w:hAnsi="宋体" w:eastAsia="宋体" w:cs="宋体"/>
                <w:color w:val="auto"/>
                <w:kern w:val="0"/>
                <w:sz w:val="18"/>
                <w:szCs w:val="18"/>
                <w:lang w:bidi="ar"/>
              </w:rPr>
              <w:t>人，得</w:t>
            </w:r>
            <w:r>
              <w:rPr>
                <w:rFonts w:hint="eastAsia" w:ascii="宋体" w:hAnsi="宋体" w:eastAsia="宋体" w:cs="宋体"/>
                <w:color w:val="auto"/>
                <w:kern w:val="0"/>
                <w:sz w:val="18"/>
                <w:szCs w:val="18"/>
                <w:lang w:val="en-US" w:eastAsia="zh-CN" w:bidi="ar"/>
              </w:rPr>
              <w:t>2</w:t>
            </w:r>
            <w:r>
              <w:rPr>
                <w:rFonts w:hint="eastAsia" w:ascii="宋体" w:hAnsi="宋体" w:eastAsia="宋体" w:cs="宋体"/>
                <w:color w:val="auto"/>
                <w:kern w:val="0"/>
                <w:sz w:val="18"/>
                <w:szCs w:val="18"/>
                <w:lang w:bidi="ar"/>
              </w:rPr>
              <w:t>分；</w:t>
            </w:r>
          </w:p>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②</w:t>
            </w:r>
            <w:r>
              <w:rPr>
                <w:rFonts w:hint="eastAsia" w:ascii="宋体" w:hAnsi="宋体" w:eastAsia="宋体" w:cs="宋体"/>
                <w:color w:val="auto"/>
                <w:kern w:val="0"/>
                <w:sz w:val="18"/>
                <w:szCs w:val="18"/>
                <w:lang w:val="en-US" w:eastAsia="zh-CN" w:bidi="ar"/>
              </w:rPr>
              <w:t>7000</w:t>
            </w:r>
            <w:r>
              <w:rPr>
                <w:rFonts w:hint="eastAsia" w:ascii="宋体" w:hAnsi="宋体" w:eastAsia="宋体" w:cs="宋体"/>
                <w:color w:val="auto"/>
                <w:kern w:val="0"/>
                <w:sz w:val="18"/>
                <w:szCs w:val="18"/>
                <w:lang w:bidi="ar"/>
              </w:rPr>
              <w:t>人≤宣传覆盖面人数＜</w:t>
            </w:r>
            <w:r>
              <w:rPr>
                <w:rFonts w:hint="eastAsia" w:ascii="宋体" w:hAnsi="宋体" w:eastAsia="宋体" w:cs="宋体"/>
                <w:color w:val="auto"/>
                <w:kern w:val="0"/>
                <w:sz w:val="18"/>
                <w:szCs w:val="18"/>
                <w:lang w:val="en-US" w:eastAsia="zh-CN" w:bidi="ar"/>
              </w:rPr>
              <w:t>6000</w:t>
            </w:r>
            <w:r>
              <w:rPr>
                <w:rFonts w:hint="eastAsia" w:ascii="宋体" w:hAnsi="宋体" w:eastAsia="宋体" w:cs="宋体"/>
                <w:color w:val="auto"/>
                <w:kern w:val="0"/>
                <w:sz w:val="18"/>
                <w:szCs w:val="18"/>
                <w:lang w:bidi="ar"/>
              </w:rPr>
              <w:t>人，得</w:t>
            </w:r>
            <w:r>
              <w:rPr>
                <w:rFonts w:hint="eastAsia" w:ascii="宋体" w:hAnsi="宋体" w:eastAsia="宋体" w:cs="宋体"/>
                <w:color w:val="auto"/>
                <w:kern w:val="0"/>
                <w:sz w:val="18"/>
                <w:szCs w:val="18"/>
                <w:lang w:val="en-US" w:eastAsia="zh-CN" w:bidi="ar"/>
              </w:rPr>
              <w:t>1</w:t>
            </w:r>
            <w:r>
              <w:rPr>
                <w:rFonts w:hint="eastAsia" w:ascii="宋体" w:hAnsi="宋体" w:eastAsia="宋体" w:cs="宋体"/>
                <w:color w:val="auto"/>
                <w:kern w:val="0"/>
                <w:sz w:val="18"/>
                <w:szCs w:val="18"/>
                <w:lang w:bidi="ar"/>
              </w:rPr>
              <w:t>分；</w:t>
            </w:r>
          </w:p>
          <w:p>
            <w:pPr>
              <w:widowControl/>
              <w:jc w:val="left"/>
              <w:textAlignment w:val="center"/>
              <w:rPr>
                <w:rFonts w:hint="eastAsia" w:ascii="宋体" w:hAnsi="宋体" w:eastAsia="宋体" w:cs="宋体"/>
                <w:color w:val="000000"/>
                <w:kern w:val="0"/>
                <w:szCs w:val="21"/>
                <w:lang w:bidi="ar"/>
              </w:rPr>
            </w:pPr>
            <w:r>
              <w:rPr>
                <w:rFonts w:hint="eastAsia" w:ascii="宋体" w:hAnsi="宋体" w:eastAsia="宋体" w:cs="宋体"/>
                <w:color w:val="auto"/>
                <w:kern w:val="0"/>
                <w:sz w:val="18"/>
                <w:szCs w:val="18"/>
                <w:lang w:bidi="ar"/>
              </w:rPr>
              <w:t>③宣传覆盖面人数低于</w:t>
            </w:r>
            <w:r>
              <w:rPr>
                <w:rFonts w:hint="eastAsia" w:ascii="宋体" w:hAnsi="宋体" w:eastAsia="宋体" w:cs="宋体"/>
                <w:color w:val="auto"/>
                <w:kern w:val="0"/>
                <w:sz w:val="18"/>
                <w:szCs w:val="18"/>
                <w:lang w:val="en-US" w:eastAsia="zh-CN" w:bidi="ar"/>
              </w:rPr>
              <w:t>6000</w:t>
            </w:r>
            <w:r>
              <w:rPr>
                <w:rFonts w:hint="eastAsia" w:ascii="宋体" w:hAnsi="宋体" w:eastAsia="宋体" w:cs="宋体"/>
                <w:color w:val="auto"/>
                <w:kern w:val="0"/>
                <w:sz w:val="18"/>
                <w:szCs w:val="18"/>
                <w:lang w:bidi="ar"/>
              </w:rPr>
              <w:t>人，不得分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951" w:type="dxa"/>
            <w:vMerge w:val="continue"/>
            <w:shd w:val="clear" w:color="auto" w:fill="auto"/>
            <w:vAlign w:val="center"/>
          </w:tcPr>
          <w:p>
            <w:pPr>
              <w:jc w:val="center"/>
              <w:rPr>
                <w:rFonts w:hint="eastAsia" w:ascii="宋体" w:hAnsi="宋体" w:eastAsia="宋体" w:cs="宋体"/>
                <w:color w:val="000000"/>
                <w:szCs w:val="21"/>
              </w:rPr>
            </w:pPr>
          </w:p>
        </w:tc>
        <w:tc>
          <w:tcPr>
            <w:tcW w:w="1062" w:type="dxa"/>
            <w:vMerge w:val="restart"/>
            <w:shd w:val="clear" w:color="auto" w:fill="auto"/>
            <w:vAlign w:val="center"/>
          </w:tcPr>
          <w:p>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产出质量（12</w:t>
            </w:r>
            <w:r>
              <w:rPr>
                <w:rFonts w:hint="eastAsia" w:ascii="宋体" w:hAnsi="宋体" w:eastAsia="宋体" w:cs="宋体"/>
                <w:color w:val="000000"/>
                <w:kern w:val="0"/>
                <w:sz w:val="18"/>
                <w:szCs w:val="18"/>
                <w:lang w:eastAsia="zh-CN" w:bidi="ar"/>
              </w:rPr>
              <w:t>分</w:t>
            </w:r>
            <w:r>
              <w:rPr>
                <w:rFonts w:hint="eastAsia" w:ascii="宋体" w:hAnsi="宋体" w:eastAsia="宋体" w:cs="宋体"/>
                <w:color w:val="000000"/>
                <w:kern w:val="0"/>
                <w:sz w:val="18"/>
                <w:szCs w:val="18"/>
                <w:lang w:bidi="ar"/>
              </w:rPr>
              <w:t>）</w:t>
            </w:r>
          </w:p>
        </w:tc>
        <w:tc>
          <w:tcPr>
            <w:tcW w:w="1233" w:type="dxa"/>
            <w:shd w:val="clear" w:color="auto" w:fill="auto"/>
            <w:vAlign w:val="center"/>
          </w:tcPr>
          <w:p>
            <w:pPr>
              <w:widowControl/>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 w:val="18"/>
                <w:szCs w:val="18"/>
                <w:lang w:bidi="ar"/>
              </w:rPr>
              <w:t>建立安全生产工作台账</w:t>
            </w:r>
            <w:r>
              <w:rPr>
                <w:rFonts w:hint="eastAsia" w:ascii="宋体" w:hAnsi="宋体" w:eastAsia="宋体" w:cs="宋体"/>
                <w:color w:val="000000"/>
                <w:kern w:val="0"/>
                <w:sz w:val="18"/>
                <w:szCs w:val="18"/>
                <w:lang w:eastAsia="zh-CN" w:bidi="ar"/>
              </w:rPr>
              <w:t>率</w:t>
            </w:r>
            <w:r>
              <w:rPr>
                <w:rFonts w:hint="eastAsia" w:ascii="宋体" w:hAnsi="宋体" w:eastAsia="宋体" w:cs="宋体"/>
                <w:color w:val="000000"/>
                <w:kern w:val="0"/>
                <w:sz w:val="18"/>
                <w:szCs w:val="18"/>
                <w:lang w:bidi="ar"/>
              </w:rPr>
              <w:t>（4分）</w:t>
            </w:r>
          </w:p>
        </w:tc>
        <w:tc>
          <w:tcPr>
            <w:tcW w:w="2590" w:type="dxa"/>
            <w:shd w:val="clear" w:color="auto" w:fill="auto"/>
            <w:vAlign w:val="center"/>
          </w:tcPr>
          <w:p>
            <w:pPr>
              <w:widowControl/>
              <w:jc w:val="left"/>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 w:val="18"/>
                <w:szCs w:val="18"/>
                <w:lang w:bidi="ar"/>
              </w:rPr>
              <w:t>建立安全生产工作台账</w:t>
            </w:r>
          </w:p>
        </w:tc>
        <w:tc>
          <w:tcPr>
            <w:tcW w:w="2683" w:type="dxa"/>
            <w:shd w:val="clear" w:color="auto" w:fill="auto"/>
            <w:vAlign w:val="center"/>
          </w:tcPr>
          <w:p>
            <w:pPr>
              <w:widowControl/>
              <w:jc w:val="left"/>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 w:val="18"/>
                <w:szCs w:val="18"/>
                <w:lang w:bidi="ar"/>
              </w:rPr>
              <w:t>建立安全生产工作台账</w:t>
            </w:r>
            <w:r>
              <w:rPr>
                <w:rFonts w:hint="eastAsia" w:ascii="宋体" w:hAnsi="宋体" w:eastAsia="宋体" w:cs="宋体"/>
                <w:color w:val="000000"/>
                <w:kern w:val="0"/>
                <w:sz w:val="18"/>
                <w:szCs w:val="18"/>
                <w:lang w:eastAsia="zh-CN" w:bidi="ar"/>
              </w:rPr>
              <w:t>率</w:t>
            </w:r>
            <w:r>
              <w:rPr>
                <w:rFonts w:hint="eastAsia" w:ascii="宋体" w:hAnsi="宋体" w:eastAsia="宋体" w:cs="宋体"/>
                <w:color w:val="000000"/>
                <w:kern w:val="0"/>
                <w:sz w:val="18"/>
                <w:szCs w:val="18"/>
                <w:lang w:bidi="ar"/>
              </w:rPr>
              <w:t>≥100%得满分，每少10%扣0.5分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951" w:type="dxa"/>
            <w:vMerge w:val="continue"/>
            <w:shd w:val="clear" w:color="auto" w:fill="auto"/>
            <w:vAlign w:val="center"/>
          </w:tcPr>
          <w:p>
            <w:pPr>
              <w:jc w:val="center"/>
              <w:rPr>
                <w:rFonts w:hint="eastAsia" w:ascii="宋体" w:hAnsi="宋体" w:eastAsia="宋体" w:cs="宋体"/>
                <w:color w:val="000000"/>
                <w:szCs w:val="21"/>
              </w:rPr>
            </w:pPr>
          </w:p>
        </w:tc>
        <w:tc>
          <w:tcPr>
            <w:tcW w:w="1062" w:type="dxa"/>
            <w:vMerge w:val="continue"/>
            <w:shd w:val="clear" w:color="auto" w:fill="auto"/>
            <w:vAlign w:val="center"/>
          </w:tcPr>
          <w:p>
            <w:pPr>
              <w:jc w:val="center"/>
              <w:rPr>
                <w:rFonts w:hint="eastAsia" w:ascii="宋体" w:hAnsi="宋体" w:eastAsia="宋体" w:cs="宋体"/>
                <w:color w:val="000000"/>
                <w:szCs w:val="21"/>
              </w:rPr>
            </w:pPr>
          </w:p>
        </w:tc>
        <w:tc>
          <w:tcPr>
            <w:tcW w:w="1233" w:type="dxa"/>
            <w:shd w:val="clear" w:color="auto" w:fill="auto"/>
            <w:vAlign w:val="center"/>
          </w:tcPr>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开展主题党日活动率</w:t>
            </w:r>
          </w:p>
          <w:p>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（4分）</w:t>
            </w:r>
          </w:p>
        </w:tc>
        <w:tc>
          <w:tcPr>
            <w:tcW w:w="2590" w:type="dxa"/>
            <w:shd w:val="clear" w:color="auto" w:fill="auto"/>
            <w:vAlign w:val="center"/>
          </w:tcPr>
          <w:p>
            <w:pPr>
              <w:widowControl/>
              <w:jc w:val="left"/>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eastAsia="zh-CN" w:bidi="ar"/>
              </w:rPr>
              <w:t>考核</w:t>
            </w:r>
            <w:r>
              <w:rPr>
                <w:rFonts w:hint="eastAsia" w:ascii="宋体" w:hAnsi="宋体" w:eastAsia="宋体" w:cs="宋体"/>
                <w:color w:val="000000"/>
                <w:kern w:val="0"/>
                <w:sz w:val="18"/>
                <w:szCs w:val="18"/>
                <w:lang w:bidi="ar"/>
              </w:rPr>
              <w:t>开展主题党日活动率</w:t>
            </w:r>
          </w:p>
        </w:tc>
        <w:tc>
          <w:tcPr>
            <w:tcW w:w="2683" w:type="dxa"/>
            <w:shd w:val="clear" w:color="auto" w:fill="auto"/>
            <w:vAlign w:val="center"/>
          </w:tcPr>
          <w:p>
            <w:pPr>
              <w:widowControl/>
              <w:jc w:val="left"/>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主题党日活动率≥100%得满分，每少10%扣0.5分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951" w:type="dxa"/>
            <w:vMerge w:val="continue"/>
            <w:shd w:val="clear" w:color="auto" w:fill="auto"/>
            <w:vAlign w:val="center"/>
          </w:tcPr>
          <w:p>
            <w:pPr>
              <w:jc w:val="center"/>
              <w:rPr>
                <w:rFonts w:hint="eastAsia" w:ascii="宋体" w:hAnsi="宋体" w:eastAsia="宋体" w:cs="宋体"/>
                <w:color w:val="000000"/>
                <w:szCs w:val="21"/>
              </w:rPr>
            </w:pPr>
          </w:p>
        </w:tc>
        <w:tc>
          <w:tcPr>
            <w:tcW w:w="1062" w:type="dxa"/>
            <w:vMerge w:val="continue"/>
            <w:shd w:val="clear" w:color="auto" w:fill="auto"/>
            <w:vAlign w:val="center"/>
          </w:tcPr>
          <w:p>
            <w:pPr>
              <w:jc w:val="center"/>
              <w:rPr>
                <w:rFonts w:hint="eastAsia" w:ascii="宋体" w:hAnsi="宋体" w:eastAsia="宋体" w:cs="宋体"/>
                <w:color w:val="000000"/>
                <w:szCs w:val="21"/>
              </w:rPr>
            </w:pPr>
          </w:p>
        </w:tc>
        <w:tc>
          <w:tcPr>
            <w:tcW w:w="1233" w:type="dxa"/>
            <w:shd w:val="clear" w:color="auto" w:fill="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安全生产标准化提升</w:t>
            </w:r>
          </w:p>
          <w:p>
            <w:pPr>
              <w:widowControl/>
              <w:jc w:val="center"/>
              <w:textAlignment w:val="center"/>
              <w:rPr>
                <w:rFonts w:hint="eastAsia" w:ascii="宋体" w:hAnsi="宋体" w:eastAsia="宋体" w:cs="宋体"/>
                <w:color w:val="000000"/>
                <w:szCs w:val="21"/>
                <w:highlight w:val="yellow"/>
              </w:rPr>
            </w:pPr>
            <w:r>
              <w:rPr>
                <w:rFonts w:hint="eastAsia" w:ascii="宋体" w:hAnsi="宋体" w:eastAsia="宋体" w:cs="宋体"/>
                <w:color w:val="000000"/>
                <w:kern w:val="0"/>
                <w:sz w:val="18"/>
                <w:szCs w:val="18"/>
                <w:lang w:bidi="ar"/>
              </w:rPr>
              <w:t>（4分）</w:t>
            </w:r>
          </w:p>
        </w:tc>
        <w:tc>
          <w:tcPr>
            <w:tcW w:w="2590" w:type="dxa"/>
            <w:shd w:val="clear" w:color="auto" w:fill="auto"/>
            <w:vAlign w:val="center"/>
          </w:tcPr>
          <w:p>
            <w:pPr>
              <w:widowControl/>
              <w:jc w:val="left"/>
              <w:textAlignment w:val="center"/>
              <w:rPr>
                <w:rFonts w:hint="eastAsia" w:ascii="宋体" w:hAnsi="宋体" w:eastAsia="宋体" w:cs="宋体"/>
                <w:color w:val="000000"/>
                <w:szCs w:val="21"/>
                <w:highlight w:val="yellow"/>
              </w:rPr>
            </w:pPr>
            <w:r>
              <w:rPr>
                <w:rFonts w:hint="eastAsia" w:ascii="宋体" w:hAnsi="宋体" w:eastAsia="宋体" w:cs="宋体"/>
                <w:color w:val="000000"/>
                <w:sz w:val="18"/>
                <w:szCs w:val="18"/>
                <w:lang w:val="en-US" w:eastAsia="zh-CN"/>
              </w:rPr>
              <w:t>评价安全生产单位的创建情况</w:t>
            </w:r>
          </w:p>
        </w:tc>
        <w:tc>
          <w:tcPr>
            <w:tcW w:w="2683" w:type="dxa"/>
            <w:shd w:val="clear" w:color="auto" w:fill="auto"/>
            <w:vAlign w:val="center"/>
          </w:tcPr>
          <w:p>
            <w:pPr>
              <w:widowControl/>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单位创建工作完成100%得满分，否则每少1个百分点扣1分。</w:t>
            </w:r>
          </w:p>
          <w:p>
            <w:pPr>
              <w:widowControl/>
              <w:jc w:val="left"/>
              <w:textAlignment w:val="center"/>
              <w:rPr>
                <w:rFonts w:hint="eastAsia" w:ascii="宋体" w:hAnsi="宋体" w:eastAsia="宋体" w:cs="宋体"/>
                <w:color w:val="000000"/>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51" w:type="dxa"/>
            <w:vMerge w:val="continue"/>
            <w:shd w:val="clear" w:color="auto" w:fill="auto"/>
            <w:vAlign w:val="center"/>
          </w:tcPr>
          <w:p>
            <w:pPr>
              <w:jc w:val="center"/>
              <w:rPr>
                <w:rFonts w:hint="eastAsia" w:ascii="宋体" w:hAnsi="宋体" w:eastAsia="宋体" w:cs="宋体"/>
                <w:color w:val="000000"/>
                <w:szCs w:val="21"/>
              </w:rPr>
            </w:pPr>
          </w:p>
        </w:tc>
        <w:tc>
          <w:tcPr>
            <w:tcW w:w="1062" w:type="dxa"/>
            <w:shd w:val="clear" w:color="auto" w:fill="auto"/>
            <w:vAlign w:val="center"/>
          </w:tcPr>
          <w:p>
            <w:pPr>
              <w:widowControl/>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产出时效（4分）</w:t>
            </w:r>
          </w:p>
        </w:tc>
        <w:tc>
          <w:tcPr>
            <w:tcW w:w="1233" w:type="dxa"/>
            <w:shd w:val="clear" w:color="auto" w:fill="auto"/>
            <w:vAlign w:val="center"/>
          </w:tcPr>
          <w:p>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项目进度</w:t>
            </w:r>
          </w:p>
          <w:p>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达成率</w:t>
            </w:r>
          </w:p>
          <w:p>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（4分）</w:t>
            </w:r>
          </w:p>
        </w:tc>
        <w:tc>
          <w:tcPr>
            <w:tcW w:w="2590" w:type="dxa"/>
            <w:shd w:val="clear" w:color="auto" w:fill="auto"/>
            <w:vAlign w:val="center"/>
          </w:tcPr>
          <w:p>
            <w:pPr>
              <w:widowControl/>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考核项目支出进度</w:t>
            </w:r>
          </w:p>
        </w:tc>
        <w:tc>
          <w:tcPr>
            <w:tcW w:w="2683" w:type="dxa"/>
            <w:shd w:val="clear" w:color="auto" w:fill="auto"/>
            <w:vAlign w:val="center"/>
          </w:tcPr>
          <w:p>
            <w:pPr>
              <w:widowControl/>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项目进度达成率100%（3分）；90%≤项目进度达成率＜100%（2.5分）；80%≤项目进度达成率＜90%（2分）；70%≤项目进度达成率＜80%（1分）；项目进度达成率＜70%（0分）”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0" w:hRule="atLeast"/>
        </w:trPr>
        <w:tc>
          <w:tcPr>
            <w:tcW w:w="951" w:type="dxa"/>
            <w:vMerge w:val="continue"/>
            <w:shd w:val="clear" w:color="auto" w:fill="auto"/>
            <w:vAlign w:val="center"/>
          </w:tcPr>
          <w:p>
            <w:pPr>
              <w:jc w:val="center"/>
              <w:rPr>
                <w:rFonts w:hint="eastAsia" w:ascii="宋体" w:hAnsi="宋体" w:eastAsia="宋体" w:cs="宋体"/>
                <w:color w:val="000000"/>
                <w:szCs w:val="21"/>
              </w:rPr>
            </w:pPr>
          </w:p>
        </w:tc>
        <w:tc>
          <w:tcPr>
            <w:tcW w:w="1062" w:type="dxa"/>
            <w:shd w:val="clear" w:color="auto" w:fill="auto"/>
            <w:vAlign w:val="center"/>
          </w:tcPr>
          <w:p>
            <w:pPr>
              <w:widowControl/>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产出成本（4分）</w:t>
            </w:r>
          </w:p>
        </w:tc>
        <w:tc>
          <w:tcPr>
            <w:tcW w:w="1233" w:type="dxa"/>
            <w:shd w:val="clear" w:color="auto" w:fill="auto"/>
            <w:vAlign w:val="center"/>
          </w:tcPr>
          <w:p>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成本控制率</w:t>
            </w:r>
          </w:p>
          <w:p>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（4分）</w:t>
            </w:r>
          </w:p>
        </w:tc>
        <w:tc>
          <w:tcPr>
            <w:tcW w:w="2590" w:type="dxa"/>
            <w:shd w:val="clear" w:color="auto" w:fill="auto"/>
            <w:vAlign w:val="center"/>
          </w:tcPr>
          <w:p>
            <w:pPr>
              <w:widowControl/>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成本控制率”指标用于衡量项目成本控制情况，产出成本指标考核当年度资金投入不高于全年预算资金。</w:t>
            </w:r>
          </w:p>
        </w:tc>
        <w:tc>
          <w:tcPr>
            <w:tcW w:w="2683" w:type="dxa"/>
            <w:shd w:val="clear" w:color="auto" w:fill="auto"/>
            <w:vAlign w:val="center"/>
          </w:tcPr>
          <w:p>
            <w:pPr>
              <w:widowControl/>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成本控制率=截至年末累计支出数/概算或当年度预算×100%。</w:t>
            </w:r>
          </w:p>
          <w:p>
            <w:pPr>
              <w:widowControl/>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成本控制率≦100得满分，每超10%扣1分，扣完为止。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51" w:type="dxa"/>
            <w:vMerge w:val="restart"/>
            <w:shd w:val="clear" w:color="auto" w:fill="auto"/>
            <w:vAlign w:val="center"/>
          </w:tcPr>
          <w:p>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效益（20%）</w:t>
            </w:r>
          </w:p>
        </w:tc>
        <w:tc>
          <w:tcPr>
            <w:tcW w:w="1062" w:type="dxa"/>
            <w:vMerge w:val="restart"/>
            <w:shd w:val="clear" w:color="auto" w:fill="auto"/>
            <w:vAlign w:val="center"/>
          </w:tcPr>
          <w:p>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社会效益（6分）</w:t>
            </w:r>
          </w:p>
        </w:tc>
        <w:tc>
          <w:tcPr>
            <w:tcW w:w="1233" w:type="dxa"/>
            <w:shd w:val="clear" w:color="auto" w:fill="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督促企业提质增效</w:t>
            </w:r>
          </w:p>
          <w:p>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（3分）</w:t>
            </w:r>
          </w:p>
        </w:tc>
        <w:tc>
          <w:tcPr>
            <w:tcW w:w="2590" w:type="dxa"/>
            <w:shd w:val="clear" w:color="auto" w:fill="auto"/>
            <w:vAlign w:val="center"/>
          </w:tcPr>
          <w:p>
            <w:pPr>
              <w:widowControl/>
              <w:jc w:val="left"/>
              <w:textAlignment w:val="center"/>
              <w:rPr>
                <w:rFonts w:hint="eastAsia" w:ascii="宋体" w:hAnsi="宋体" w:eastAsia="宋体" w:cs="宋体"/>
                <w:color w:val="000000"/>
                <w:szCs w:val="21"/>
              </w:rPr>
            </w:pPr>
            <w:r>
              <w:rPr>
                <w:rFonts w:hint="eastAsia" w:ascii="宋体" w:hAnsi="宋体" w:eastAsia="宋体" w:cs="宋体"/>
                <w:kern w:val="0"/>
                <w:sz w:val="18"/>
                <w:szCs w:val="18"/>
                <w:lang w:val="en-US" w:eastAsia="zh-CN"/>
              </w:rPr>
              <w:t>督促企业提质增效评价的是部门督导检查考核及企业的整改效果。</w:t>
            </w:r>
          </w:p>
        </w:tc>
        <w:tc>
          <w:tcPr>
            <w:tcW w:w="2683" w:type="dxa"/>
            <w:shd w:val="clear" w:color="auto" w:fill="auto"/>
            <w:vAlign w:val="center"/>
          </w:tcPr>
          <w:p>
            <w:pPr>
              <w:widowControl/>
              <w:jc w:val="left"/>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val="en-US" w:eastAsia="zh-CN" w:bidi="ar"/>
              </w:rPr>
              <w:t>督促企业提质增效</w:t>
            </w:r>
            <w:r>
              <w:rPr>
                <w:rFonts w:hint="eastAsia" w:ascii="宋体" w:hAnsi="宋体" w:eastAsia="宋体" w:cs="宋体"/>
                <w:kern w:val="0"/>
                <w:sz w:val="18"/>
                <w:szCs w:val="18"/>
                <w:lang w:eastAsia="zh-CN"/>
              </w:rPr>
              <w:t>，整改率达到</w:t>
            </w:r>
            <w:r>
              <w:rPr>
                <w:rFonts w:hint="eastAsia" w:ascii="宋体" w:hAnsi="宋体" w:eastAsia="宋体" w:cs="宋体"/>
                <w:kern w:val="0"/>
                <w:sz w:val="18"/>
                <w:szCs w:val="18"/>
                <w:lang w:val="en-US" w:eastAsia="zh-CN"/>
              </w:rPr>
              <w:t>100%</w:t>
            </w:r>
            <w:r>
              <w:rPr>
                <w:rFonts w:hint="eastAsia" w:ascii="宋体" w:hAnsi="宋体" w:eastAsia="宋体" w:cs="宋体"/>
                <w:kern w:val="0"/>
                <w:sz w:val="18"/>
                <w:szCs w:val="18"/>
                <w:lang w:eastAsia="zh-CN"/>
              </w:rPr>
              <w:t>得满分，否则酌情减分，扣完为止。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vMerge w:val="continue"/>
            <w:shd w:val="clear" w:color="auto" w:fill="auto"/>
            <w:vAlign w:val="center"/>
          </w:tcPr>
          <w:p>
            <w:pPr>
              <w:jc w:val="center"/>
              <w:rPr>
                <w:rFonts w:hint="eastAsia" w:ascii="宋体" w:hAnsi="宋体" w:eastAsia="宋体" w:cs="宋体"/>
                <w:color w:val="000000"/>
                <w:szCs w:val="21"/>
              </w:rPr>
            </w:pPr>
          </w:p>
        </w:tc>
        <w:tc>
          <w:tcPr>
            <w:tcW w:w="1062" w:type="dxa"/>
            <w:vMerge w:val="continue"/>
            <w:shd w:val="clear" w:color="auto" w:fill="auto"/>
            <w:vAlign w:val="center"/>
          </w:tcPr>
          <w:p>
            <w:pPr>
              <w:jc w:val="center"/>
              <w:rPr>
                <w:rFonts w:hint="eastAsia" w:ascii="宋体" w:hAnsi="宋体" w:eastAsia="宋体" w:cs="宋体"/>
                <w:color w:val="000000"/>
                <w:szCs w:val="21"/>
              </w:rPr>
            </w:pPr>
          </w:p>
        </w:tc>
        <w:tc>
          <w:tcPr>
            <w:tcW w:w="1233" w:type="dxa"/>
            <w:shd w:val="clear" w:color="auto" w:fill="auto"/>
            <w:vAlign w:val="center"/>
          </w:tcPr>
          <w:p>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val="en-US" w:eastAsia="zh-CN" w:bidi="ar"/>
              </w:rPr>
              <w:t>推动连片联合执法工作</w:t>
            </w:r>
            <w:r>
              <w:rPr>
                <w:rFonts w:hint="eastAsia" w:ascii="宋体" w:hAnsi="宋体" w:eastAsia="宋体" w:cs="宋体"/>
                <w:color w:val="000000"/>
                <w:kern w:val="0"/>
                <w:sz w:val="18"/>
                <w:szCs w:val="18"/>
                <w:lang w:bidi="ar"/>
              </w:rPr>
              <w:t>（3分）</w:t>
            </w:r>
          </w:p>
        </w:tc>
        <w:tc>
          <w:tcPr>
            <w:tcW w:w="2590" w:type="dxa"/>
            <w:shd w:val="clear" w:color="auto" w:fill="auto"/>
            <w:vAlign w:val="center"/>
          </w:tcPr>
          <w:p>
            <w:pPr>
              <w:widowControl/>
              <w:jc w:val="left"/>
              <w:textAlignment w:val="center"/>
              <w:rPr>
                <w:rFonts w:hint="eastAsia" w:ascii="宋体" w:hAnsi="宋体" w:eastAsia="宋体" w:cs="宋体"/>
                <w:color w:val="000000"/>
                <w:szCs w:val="21"/>
              </w:rPr>
            </w:pPr>
            <w:r>
              <w:rPr>
                <w:rFonts w:hint="eastAsia" w:ascii="宋体" w:hAnsi="宋体" w:eastAsia="宋体" w:cs="宋体"/>
                <w:color w:val="000000"/>
                <w:sz w:val="18"/>
                <w:szCs w:val="18"/>
                <w:lang w:val="en-US" w:eastAsia="zh-CN"/>
              </w:rPr>
              <w:t>评价推动连片联合执法工作成果</w:t>
            </w:r>
          </w:p>
        </w:tc>
        <w:tc>
          <w:tcPr>
            <w:tcW w:w="2683" w:type="dxa"/>
            <w:shd w:val="clear" w:color="auto" w:fill="auto"/>
            <w:vAlign w:val="center"/>
          </w:tcPr>
          <w:p>
            <w:pPr>
              <w:widowControl/>
              <w:jc w:val="left"/>
              <w:textAlignment w:val="center"/>
              <w:rPr>
                <w:rFonts w:hint="eastAsia" w:ascii="宋体" w:hAnsi="宋体" w:eastAsia="宋体" w:cs="宋体"/>
                <w:color w:val="000000"/>
                <w:szCs w:val="21"/>
              </w:rPr>
            </w:pPr>
            <w:r>
              <w:rPr>
                <w:rFonts w:hint="eastAsia" w:ascii="宋体" w:hAnsi="宋体" w:eastAsia="宋体" w:cs="宋体"/>
                <w:color w:val="000000"/>
                <w:sz w:val="18"/>
                <w:szCs w:val="18"/>
                <w:lang w:val="en-US" w:eastAsia="zh-CN"/>
              </w:rPr>
              <w:t>推动连片联合执法机制健全，工作效果明细的满分，</w:t>
            </w:r>
            <w:r>
              <w:rPr>
                <w:rFonts w:hint="eastAsia" w:ascii="宋体" w:hAnsi="宋体" w:eastAsia="宋体" w:cs="宋体"/>
                <w:kern w:val="0"/>
                <w:sz w:val="18"/>
                <w:szCs w:val="18"/>
                <w:lang w:eastAsia="zh-CN"/>
              </w:rPr>
              <w:t>否则酌情减分，扣完为止。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0" w:hRule="atLeast"/>
        </w:trPr>
        <w:tc>
          <w:tcPr>
            <w:tcW w:w="951" w:type="dxa"/>
            <w:vMerge w:val="continue"/>
            <w:shd w:val="clear" w:color="auto" w:fill="auto"/>
            <w:vAlign w:val="center"/>
          </w:tcPr>
          <w:p>
            <w:pPr>
              <w:jc w:val="center"/>
              <w:rPr>
                <w:rFonts w:hint="eastAsia" w:ascii="宋体" w:hAnsi="宋体" w:eastAsia="宋体" w:cs="宋体"/>
                <w:color w:val="000000"/>
                <w:szCs w:val="21"/>
              </w:rPr>
            </w:pPr>
          </w:p>
        </w:tc>
        <w:tc>
          <w:tcPr>
            <w:tcW w:w="1062" w:type="dxa"/>
            <w:shd w:val="clear" w:color="auto" w:fill="auto"/>
            <w:vAlign w:val="center"/>
          </w:tcPr>
          <w:p>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经济效益（4分）</w:t>
            </w:r>
          </w:p>
        </w:tc>
        <w:tc>
          <w:tcPr>
            <w:tcW w:w="1233" w:type="dxa"/>
            <w:shd w:val="clear" w:color="auto" w:fill="auto"/>
            <w:vAlign w:val="center"/>
          </w:tcPr>
          <w:p>
            <w:pPr>
              <w:widowControl/>
              <w:jc w:val="center"/>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经济损失同比下降率</w:t>
            </w:r>
          </w:p>
          <w:p>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（4分）</w:t>
            </w:r>
          </w:p>
        </w:tc>
        <w:tc>
          <w:tcPr>
            <w:tcW w:w="2590" w:type="dxa"/>
            <w:shd w:val="clear" w:color="auto" w:fill="auto"/>
            <w:vAlign w:val="center"/>
          </w:tcPr>
          <w:p>
            <w:pPr>
              <w:widowControl/>
              <w:jc w:val="left"/>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val="en-US" w:eastAsia="zh-CN" w:bidi="ar"/>
              </w:rPr>
              <w:t>考核2022年度</w:t>
            </w:r>
            <w:r>
              <w:rPr>
                <w:rFonts w:hint="eastAsia" w:ascii="宋体" w:hAnsi="宋体" w:eastAsia="宋体" w:cs="宋体"/>
                <w:color w:val="000000"/>
                <w:kern w:val="0"/>
                <w:sz w:val="18"/>
                <w:szCs w:val="18"/>
                <w:lang w:bidi="ar"/>
              </w:rPr>
              <w:t>经济损失同比</w:t>
            </w:r>
            <w:r>
              <w:rPr>
                <w:rFonts w:hint="eastAsia" w:ascii="宋体" w:hAnsi="宋体" w:eastAsia="宋体" w:cs="宋体"/>
                <w:color w:val="000000"/>
                <w:kern w:val="0"/>
                <w:sz w:val="18"/>
                <w:szCs w:val="18"/>
                <w:lang w:val="en-US" w:eastAsia="zh-CN" w:bidi="ar"/>
              </w:rPr>
              <w:t>上一年度的</w:t>
            </w:r>
            <w:r>
              <w:rPr>
                <w:rFonts w:hint="eastAsia" w:ascii="宋体" w:hAnsi="宋体" w:eastAsia="宋体" w:cs="宋体"/>
                <w:color w:val="000000"/>
                <w:kern w:val="0"/>
                <w:sz w:val="18"/>
                <w:szCs w:val="18"/>
                <w:lang w:bidi="ar"/>
              </w:rPr>
              <w:t>下降率</w:t>
            </w:r>
          </w:p>
        </w:tc>
        <w:tc>
          <w:tcPr>
            <w:tcW w:w="2683" w:type="dxa"/>
            <w:shd w:val="clear" w:color="auto" w:fill="auto"/>
            <w:vAlign w:val="center"/>
          </w:tcPr>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①经济损失同比下降20%以上，得4分；</w:t>
            </w:r>
          </w:p>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②10%＜经济损失同比下降≤20%，得3分；</w:t>
            </w:r>
          </w:p>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③5%＜经济损失同比下降≤10%，得2分；</w:t>
            </w:r>
          </w:p>
          <w:p>
            <w:pPr>
              <w:widowControl/>
              <w:jc w:val="left"/>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④经济损失同比下降低于5%，不得分。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vMerge w:val="continue"/>
            <w:shd w:val="clear" w:color="auto" w:fill="auto"/>
            <w:vAlign w:val="center"/>
          </w:tcPr>
          <w:p>
            <w:pPr>
              <w:jc w:val="center"/>
              <w:rPr>
                <w:rFonts w:hint="eastAsia" w:ascii="宋体" w:hAnsi="宋体" w:eastAsia="宋体" w:cs="宋体"/>
                <w:color w:val="000000"/>
                <w:szCs w:val="21"/>
              </w:rPr>
            </w:pPr>
          </w:p>
        </w:tc>
        <w:tc>
          <w:tcPr>
            <w:tcW w:w="1062" w:type="dxa"/>
            <w:vMerge w:val="restart"/>
            <w:shd w:val="clear" w:color="auto" w:fill="auto"/>
            <w:vAlign w:val="center"/>
          </w:tcPr>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可持续</w:t>
            </w:r>
          </w:p>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效益</w:t>
            </w:r>
          </w:p>
          <w:p>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（6分）</w:t>
            </w:r>
          </w:p>
        </w:tc>
        <w:tc>
          <w:tcPr>
            <w:tcW w:w="1233" w:type="dxa"/>
            <w:shd w:val="clear" w:color="auto" w:fill="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典型做法</w:t>
            </w:r>
          </w:p>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表彰</w:t>
            </w:r>
          </w:p>
          <w:p>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（3分）</w:t>
            </w:r>
          </w:p>
        </w:tc>
        <w:tc>
          <w:tcPr>
            <w:tcW w:w="2590" w:type="dxa"/>
            <w:shd w:val="clear" w:color="auto" w:fill="auto"/>
            <w:vAlign w:val="center"/>
          </w:tcPr>
          <w:p>
            <w:pPr>
              <w:widowControl/>
              <w:jc w:val="left"/>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val="en-US" w:eastAsia="zh-CN" w:bidi="ar"/>
              </w:rPr>
              <w:t>考核2022年度部门获得的典型做法表彰情况</w:t>
            </w:r>
          </w:p>
        </w:tc>
        <w:tc>
          <w:tcPr>
            <w:tcW w:w="2683" w:type="dxa"/>
            <w:shd w:val="clear" w:color="auto" w:fill="auto"/>
            <w:vAlign w:val="center"/>
          </w:tcPr>
          <w:p>
            <w:pPr>
              <w:widowControl/>
              <w:jc w:val="left"/>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val="en-US" w:eastAsia="zh-CN" w:bidi="ar"/>
              </w:rPr>
              <w:t>2022年度部门获得的典型做法表彰效果明显得满分，</w:t>
            </w:r>
            <w:r>
              <w:rPr>
                <w:rFonts w:hint="eastAsia" w:ascii="宋体" w:hAnsi="宋体" w:eastAsia="宋体" w:cs="宋体"/>
                <w:kern w:val="0"/>
                <w:sz w:val="18"/>
                <w:szCs w:val="18"/>
                <w:lang w:eastAsia="zh-CN"/>
              </w:rPr>
              <w:t>否则酌情减分，扣完为止。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951" w:type="dxa"/>
            <w:vMerge w:val="continue"/>
            <w:shd w:val="clear" w:color="auto" w:fill="auto"/>
            <w:vAlign w:val="center"/>
          </w:tcPr>
          <w:p>
            <w:pPr>
              <w:jc w:val="center"/>
              <w:rPr>
                <w:rFonts w:hint="eastAsia" w:ascii="宋体" w:hAnsi="宋体" w:eastAsia="宋体" w:cs="宋体"/>
                <w:color w:val="000000"/>
                <w:szCs w:val="21"/>
              </w:rPr>
            </w:pPr>
          </w:p>
        </w:tc>
        <w:tc>
          <w:tcPr>
            <w:tcW w:w="1062" w:type="dxa"/>
            <w:vMerge w:val="continue"/>
            <w:shd w:val="clear" w:color="auto" w:fill="auto"/>
            <w:vAlign w:val="center"/>
          </w:tcPr>
          <w:p>
            <w:pPr>
              <w:jc w:val="center"/>
              <w:rPr>
                <w:rFonts w:hint="eastAsia" w:ascii="宋体" w:hAnsi="宋体" w:eastAsia="宋体" w:cs="宋体"/>
                <w:color w:val="000000"/>
                <w:szCs w:val="21"/>
              </w:rPr>
            </w:pPr>
          </w:p>
        </w:tc>
        <w:tc>
          <w:tcPr>
            <w:tcW w:w="1233" w:type="dxa"/>
            <w:shd w:val="clear" w:color="auto" w:fill="auto"/>
            <w:vAlign w:val="center"/>
          </w:tcPr>
          <w:p>
            <w:pPr>
              <w:widowControl/>
              <w:jc w:val="center"/>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应急救援</w:t>
            </w:r>
          </w:p>
          <w:p>
            <w:pPr>
              <w:widowControl/>
              <w:jc w:val="center"/>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队伍建设</w:t>
            </w:r>
          </w:p>
          <w:p>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（3分）</w:t>
            </w:r>
          </w:p>
        </w:tc>
        <w:tc>
          <w:tcPr>
            <w:tcW w:w="2590" w:type="dxa"/>
            <w:shd w:val="clear" w:color="auto" w:fill="auto"/>
            <w:vAlign w:val="center"/>
          </w:tcPr>
          <w:p>
            <w:pPr>
              <w:widowControl/>
              <w:jc w:val="left"/>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eastAsia="zh-CN" w:bidi="ar"/>
              </w:rPr>
              <w:t>考核的是部门对应急救援力量的整合及建设情况</w:t>
            </w:r>
          </w:p>
        </w:tc>
        <w:tc>
          <w:tcPr>
            <w:tcW w:w="2683" w:type="dxa"/>
            <w:shd w:val="clear" w:color="auto" w:fill="auto"/>
            <w:vAlign w:val="center"/>
          </w:tcPr>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①是</w:t>
            </w:r>
            <w:r>
              <w:rPr>
                <w:rFonts w:hint="eastAsia" w:ascii="宋体" w:hAnsi="宋体" w:eastAsia="宋体" w:cs="宋体"/>
                <w:color w:val="000000"/>
                <w:kern w:val="0"/>
                <w:sz w:val="18"/>
                <w:szCs w:val="18"/>
                <w:lang w:eastAsia="zh-CN" w:bidi="ar"/>
              </w:rPr>
              <w:t>否</w:t>
            </w:r>
            <w:r>
              <w:rPr>
                <w:rFonts w:hint="eastAsia" w:ascii="宋体" w:hAnsi="宋体" w:eastAsia="宋体" w:cs="宋体"/>
                <w:color w:val="000000"/>
                <w:kern w:val="0"/>
                <w:sz w:val="18"/>
                <w:szCs w:val="18"/>
                <w:lang w:val="en-US" w:eastAsia="zh-CN" w:bidi="ar"/>
              </w:rPr>
              <w:t>对全市应急救援力量进行摸底、整合</w:t>
            </w:r>
            <w:r>
              <w:rPr>
                <w:rFonts w:hint="eastAsia" w:ascii="宋体" w:hAnsi="宋体" w:eastAsia="宋体" w:cs="宋体"/>
                <w:color w:val="000000"/>
                <w:kern w:val="0"/>
                <w:sz w:val="18"/>
                <w:szCs w:val="18"/>
                <w:lang w:bidi="ar"/>
              </w:rPr>
              <w:t>；</w:t>
            </w:r>
          </w:p>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②是否将应急预案编制修订情况纳入各乡镇年度绩效考评；</w:t>
            </w:r>
          </w:p>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③是否收集各级各部门自然灾害和事故灾难应急预案；</w:t>
            </w:r>
          </w:p>
          <w:p>
            <w:pPr>
              <w:widowControl/>
              <w:jc w:val="left"/>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一项不符扣</w:t>
            </w:r>
            <w:r>
              <w:rPr>
                <w:rFonts w:hint="eastAsia" w:ascii="宋体" w:hAnsi="宋体" w:eastAsia="宋体" w:cs="宋体"/>
                <w:color w:val="000000"/>
                <w:kern w:val="0"/>
                <w:sz w:val="18"/>
                <w:szCs w:val="18"/>
                <w:lang w:val="en-US" w:eastAsia="zh-CN" w:bidi="ar"/>
              </w:rPr>
              <w:t>1</w:t>
            </w:r>
            <w:r>
              <w:rPr>
                <w:rFonts w:hint="eastAsia" w:ascii="宋体" w:hAnsi="宋体" w:eastAsia="宋体" w:cs="宋体"/>
                <w:color w:val="000000"/>
                <w:kern w:val="0"/>
                <w:sz w:val="18"/>
                <w:szCs w:val="18"/>
                <w:lang w:bidi="ar"/>
              </w:rPr>
              <w:t>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vMerge w:val="continue"/>
            <w:shd w:val="clear" w:color="auto" w:fill="auto"/>
            <w:vAlign w:val="center"/>
          </w:tcPr>
          <w:p>
            <w:pPr>
              <w:jc w:val="center"/>
              <w:rPr>
                <w:rFonts w:hint="eastAsia" w:ascii="宋体" w:hAnsi="宋体" w:eastAsia="宋体" w:cs="宋体"/>
                <w:color w:val="000000"/>
                <w:szCs w:val="21"/>
              </w:rPr>
            </w:pPr>
          </w:p>
        </w:tc>
        <w:tc>
          <w:tcPr>
            <w:tcW w:w="1062" w:type="dxa"/>
            <w:shd w:val="clear" w:color="auto" w:fill="auto"/>
            <w:vAlign w:val="center"/>
          </w:tcPr>
          <w:p>
            <w:pPr>
              <w:widowControl/>
              <w:jc w:val="center"/>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服务对象满意度</w:t>
            </w:r>
          </w:p>
          <w:p>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（4分））</w:t>
            </w:r>
          </w:p>
        </w:tc>
        <w:tc>
          <w:tcPr>
            <w:tcW w:w="1233" w:type="dxa"/>
            <w:shd w:val="clear" w:color="auto" w:fill="auto"/>
            <w:vAlign w:val="center"/>
          </w:tcPr>
          <w:p>
            <w:pPr>
              <w:widowControl/>
              <w:jc w:val="center"/>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公众满意度</w:t>
            </w:r>
          </w:p>
        </w:tc>
        <w:tc>
          <w:tcPr>
            <w:tcW w:w="2590" w:type="dxa"/>
            <w:shd w:val="clear" w:color="auto" w:fill="auto"/>
            <w:vAlign w:val="center"/>
          </w:tcPr>
          <w:p>
            <w:pPr>
              <w:widowControl/>
              <w:jc w:val="left"/>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社会公众对部门履职效果的满意程度。</w:t>
            </w:r>
          </w:p>
        </w:tc>
        <w:tc>
          <w:tcPr>
            <w:tcW w:w="2683" w:type="dxa"/>
            <w:shd w:val="clear" w:color="auto" w:fill="auto"/>
            <w:vAlign w:val="center"/>
          </w:tcPr>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社会公众对部门履职效果的满意程度。</w:t>
            </w:r>
          </w:p>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①95%≤满意度＜100%，得</w:t>
            </w:r>
            <w:r>
              <w:rPr>
                <w:rFonts w:hint="eastAsia" w:ascii="宋体" w:hAnsi="宋体" w:eastAsia="宋体" w:cs="宋体"/>
                <w:color w:val="000000"/>
                <w:kern w:val="0"/>
                <w:sz w:val="18"/>
                <w:szCs w:val="18"/>
                <w:lang w:val="en-US" w:eastAsia="zh-CN" w:bidi="ar"/>
              </w:rPr>
              <w:t>4</w:t>
            </w:r>
            <w:r>
              <w:rPr>
                <w:rFonts w:hint="eastAsia" w:ascii="宋体" w:hAnsi="宋体" w:eastAsia="宋体" w:cs="宋体"/>
                <w:color w:val="000000"/>
                <w:kern w:val="0"/>
                <w:sz w:val="18"/>
                <w:szCs w:val="18"/>
                <w:lang w:bidi="ar"/>
              </w:rPr>
              <w:t>分；</w:t>
            </w:r>
          </w:p>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②90%≤满意度＜95%，得</w:t>
            </w:r>
            <w:r>
              <w:rPr>
                <w:rFonts w:hint="eastAsia" w:ascii="宋体" w:hAnsi="宋体" w:eastAsia="宋体" w:cs="宋体"/>
                <w:color w:val="000000"/>
                <w:kern w:val="0"/>
                <w:sz w:val="18"/>
                <w:szCs w:val="18"/>
                <w:lang w:val="en-US" w:eastAsia="zh-CN" w:bidi="ar"/>
              </w:rPr>
              <w:t>2</w:t>
            </w:r>
            <w:r>
              <w:rPr>
                <w:rFonts w:hint="eastAsia" w:ascii="宋体" w:hAnsi="宋体" w:eastAsia="宋体" w:cs="宋体"/>
                <w:color w:val="000000"/>
                <w:kern w:val="0"/>
                <w:sz w:val="18"/>
                <w:szCs w:val="18"/>
                <w:lang w:bidi="ar"/>
              </w:rPr>
              <w:t>分；</w:t>
            </w:r>
          </w:p>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③85%≤满意度＜90%得1分；</w:t>
            </w:r>
          </w:p>
          <w:p>
            <w:pPr>
              <w:widowControl/>
              <w:jc w:val="left"/>
              <w:textAlignment w:val="center"/>
              <w:rPr>
                <w:rFonts w:hint="eastAsia" w:ascii="宋体" w:hAnsi="宋体" w:eastAsia="宋体" w:cs="宋体"/>
                <w:color w:val="000000"/>
                <w:szCs w:val="21"/>
              </w:rPr>
            </w:pPr>
            <w:r>
              <w:rPr>
                <w:rFonts w:hint="eastAsia" w:ascii="宋体" w:hAnsi="宋体" w:eastAsia="宋体" w:cs="宋体"/>
                <w:color w:val="000000"/>
                <w:kern w:val="0"/>
                <w:sz w:val="18"/>
                <w:szCs w:val="18"/>
                <w:lang w:bidi="ar"/>
              </w:rPr>
              <w:t>④满意度低于85%，不得分。</w:t>
            </w:r>
          </w:p>
        </w:tc>
      </w:tr>
    </w:tbl>
    <w:p>
      <w:pPr>
        <w:pStyle w:val="25"/>
        <w:snapToGrid/>
        <w:spacing w:beforeAutospacing="0" w:afterAutospacing="0" w:line="360" w:lineRule="auto"/>
        <w:ind w:left="0" w:leftChars="0" w:firstLine="0" w:firstLineChars="0"/>
        <w:rPr>
          <w:rFonts w:ascii="Times New Roman" w:hAnsi="宋体" w:eastAsia="宋体" w:cs="宋体"/>
          <w:sz w:val="28"/>
          <w:szCs w:val="28"/>
        </w:rPr>
      </w:pPr>
    </w:p>
    <w:p>
      <w:pPr>
        <w:snapToGrid/>
        <w:spacing w:before="312" w:beforeLines="100" w:beforeAutospacing="0" w:after="156" w:afterLines="50" w:afterAutospacing="0" w:line="360" w:lineRule="auto"/>
        <w:ind w:left="0" w:leftChars="0" w:right="0" w:rightChars="0" w:firstLine="0" w:firstLineChars="0"/>
        <w:jc w:val="left"/>
        <w:outlineLvl w:val="0"/>
        <w:rPr>
          <w:rFonts w:ascii="Times New Roman" w:hAnsi="仿宋" w:eastAsia="宋体" w:cs="仿宋"/>
          <w:b/>
          <w:spacing w:val="4"/>
          <w:sz w:val="32"/>
          <w:szCs w:val="32"/>
        </w:rPr>
      </w:pPr>
      <w:bookmarkStart w:id="109" w:name="_Toc26431"/>
      <w:r>
        <w:rPr>
          <w:rFonts w:hint="eastAsia" w:ascii="Times New Roman" w:hAnsi="仿宋" w:eastAsia="宋体" w:cs="仿宋"/>
          <w:b/>
          <w:spacing w:val="4"/>
          <w:sz w:val="32"/>
          <w:szCs w:val="32"/>
        </w:rPr>
        <w:t>四、部门整体支出绩效评价指标分析</w:t>
      </w:r>
      <w:bookmarkEnd w:id="107"/>
      <w:bookmarkEnd w:id="109"/>
    </w:p>
    <w:p>
      <w:pPr>
        <w:snapToGrid/>
        <w:spacing w:before="156" w:beforeLines="50" w:beforeAutospacing="0" w:afterAutospacing="0" w:line="360" w:lineRule="auto"/>
        <w:ind w:left="0" w:leftChars="0" w:right="0" w:rightChars="0" w:firstLine="0" w:firstLineChars="0"/>
        <w:jc w:val="left"/>
        <w:outlineLvl w:val="1"/>
        <w:rPr>
          <w:rFonts w:ascii="Times New Roman" w:hAnsi="仿宋" w:eastAsia="宋体" w:cs="仿宋"/>
          <w:b/>
          <w:spacing w:val="4"/>
          <w:sz w:val="30"/>
          <w:szCs w:val="32"/>
        </w:rPr>
      </w:pPr>
      <w:bookmarkStart w:id="110" w:name="_Toc19210"/>
      <w:bookmarkStart w:id="111" w:name="_Toc15732"/>
      <w:r>
        <w:rPr>
          <w:rFonts w:hint="eastAsia" w:ascii="Times New Roman" w:hAnsi="仿宋" w:eastAsia="宋体" w:cs="仿宋"/>
          <w:b/>
          <w:spacing w:val="4"/>
          <w:sz w:val="30"/>
          <w:szCs w:val="32"/>
        </w:rPr>
        <w:t>（一）项目投入情况（权重为20%</w:t>
      </w:r>
      <w:bookmarkEnd w:id="108"/>
      <w:r>
        <w:rPr>
          <w:rFonts w:hint="eastAsia" w:ascii="Times New Roman" w:hAnsi="仿宋" w:eastAsia="宋体" w:cs="仿宋"/>
          <w:b/>
          <w:spacing w:val="4"/>
          <w:sz w:val="30"/>
          <w:szCs w:val="32"/>
        </w:rPr>
        <w:t>，得分17.5分）</w:t>
      </w:r>
      <w:bookmarkEnd w:id="110"/>
      <w:bookmarkEnd w:id="111"/>
    </w:p>
    <w:p>
      <w:pPr>
        <w:pStyle w:val="2"/>
        <w:snapToGrid/>
        <w:spacing w:beforeAutospacing="0" w:afterAutospacing="0" w:line="360" w:lineRule="auto"/>
        <w:ind w:left="0" w:leftChars="0" w:firstLine="576" w:firstLineChars="200"/>
        <w:rPr>
          <w:rFonts w:ascii="Times New Roman" w:hAnsi="仿宋" w:eastAsia="宋体" w:cs="仿宋"/>
          <w:bCs/>
          <w:sz w:val="28"/>
          <w:szCs w:val="32"/>
        </w:rPr>
      </w:pPr>
      <w:r>
        <w:rPr>
          <w:rFonts w:hint="eastAsia" w:ascii="Times New Roman" w:hAnsi="仿宋" w:eastAsia="宋体" w:cs="仿宋"/>
          <w:bCs/>
          <w:spacing w:val="4"/>
          <w:sz w:val="28"/>
          <w:szCs w:val="32"/>
        </w:rPr>
        <w:t>投入主要通过“目标设定”“预算配置”两个方面进行评价。</w:t>
      </w:r>
    </w:p>
    <w:p>
      <w:pPr>
        <w:snapToGrid/>
        <w:spacing w:beforeAutospacing="0" w:afterAutospacing="0" w:line="360" w:lineRule="auto"/>
        <w:ind w:left="0" w:leftChars="0" w:right="0" w:rightChars="0" w:firstLine="0" w:firstLineChars="0"/>
        <w:jc w:val="left"/>
        <w:outlineLvl w:val="2"/>
        <w:rPr>
          <w:rFonts w:ascii="Times New Roman" w:hAnsi="仿宋" w:eastAsia="宋体" w:cs="仿宋"/>
          <w:b/>
          <w:bCs/>
          <w:spacing w:val="4"/>
          <w:sz w:val="28"/>
          <w:szCs w:val="32"/>
        </w:rPr>
      </w:pPr>
      <w:bookmarkStart w:id="112" w:name="_Toc15554"/>
      <w:bookmarkStart w:id="113" w:name="_Toc21318"/>
      <w:bookmarkStart w:id="114" w:name="_Toc26517"/>
      <w:bookmarkStart w:id="115" w:name="_Toc27357"/>
      <w:bookmarkStart w:id="116" w:name="_Toc6801"/>
      <w:bookmarkStart w:id="117" w:name="_Toc15341"/>
      <w:bookmarkStart w:id="118" w:name="_Toc25455"/>
      <w:r>
        <w:rPr>
          <w:rFonts w:hint="eastAsia" w:ascii="Times New Roman" w:hAnsi="仿宋" w:eastAsia="宋体" w:cs="仿宋"/>
          <w:b/>
          <w:bCs/>
          <w:spacing w:val="4"/>
          <w:sz w:val="28"/>
          <w:szCs w:val="32"/>
        </w:rPr>
        <w:t>1.目标设定（分值为8分）</w:t>
      </w:r>
      <w:bookmarkEnd w:id="112"/>
      <w:bookmarkEnd w:id="113"/>
      <w:bookmarkEnd w:id="114"/>
      <w:bookmarkEnd w:id="115"/>
      <w:bookmarkEnd w:id="116"/>
      <w:bookmarkEnd w:id="117"/>
      <w:bookmarkEnd w:id="118"/>
    </w:p>
    <w:p>
      <w:pPr>
        <w:snapToGrid/>
        <w:spacing w:beforeAutospacing="0" w:afterAutospacing="0" w:line="360" w:lineRule="auto"/>
        <w:ind w:left="0" w:leftChars="0" w:firstLine="576" w:firstLineChars="200"/>
        <w:rPr>
          <w:rFonts w:ascii="Times New Roman" w:hAnsi="仿宋" w:eastAsia="宋体" w:cs="仿宋"/>
          <w:spacing w:val="4"/>
          <w:sz w:val="28"/>
          <w:szCs w:val="32"/>
        </w:rPr>
      </w:pPr>
      <w:r>
        <w:rPr>
          <w:rFonts w:hint="eastAsia" w:ascii="Times New Roman" w:hAnsi="仿宋" w:eastAsia="宋体" w:cs="仿宋"/>
          <w:bCs/>
          <w:spacing w:val="4"/>
          <w:sz w:val="28"/>
          <w:szCs w:val="32"/>
        </w:rPr>
        <w:t>目标设定</w:t>
      </w:r>
      <w:r>
        <w:rPr>
          <w:rFonts w:hint="eastAsia" w:ascii="Times New Roman" w:hAnsi="仿宋" w:eastAsia="宋体" w:cs="仿宋"/>
          <w:spacing w:val="4"/>
          <w:sz w:val="28"/>
          <w:szCs w:val="32"/>
        </w:rPr>
        <w:t>主要从绩效目标合理性和绩效指标明确性两个方面进行评价。</w:t>
      </w:r>
    </w:p>
    <w:p>
      <w:pPr>
        <w:snapToGrid/>
        <w:spacing w:beforeAutospacing="0" w:afterAutospacing="0" w:line="360" w:lineRule="auto"/>
        <w:ind w:left="0" w:leftChars="0" w:firstLine="576" w:firstLineChars="200"/>
        <w:outlineLvl w:val="3"/>
        <w:rPr>
          <w:rFonts w:ascii="Times New Roman" w:hAnsi="仿宋" w:eastAsia="宋体" w:cs="仿宋"/>
          <w:spacing w:val="4"/>
          <w:sz w:val="28"/>
          <w:szCs w:val="32"/>
        </w:rPr>
      </w:pPr>
      <w:r>
        <w:rPr>
          <w:rFonts w:hint="eastAsia" w:ascii="Times New Roman" w:hAnsi="仿宋" w:eastAsia="宋体" w:cs="仿宋"/>
          <w:spacing w:val="4"/>
          <w:sz w:val="28"/>
          <w:szCs w:val="32"/>
        </w:rPr>
        <w:t>（1）绩效目标合理性（分值4分）</w:t>
      </w:r>
    </w:p>
    <w:p>
      <w:pPr>
        <w:snapToGrid/>
        <w:spacing w:beforeAutospacing="0" w:afterAutospacing="0" w:line="360" w:lineRule="auto"/>
        <w:ind w:left="0" w:leftChars="0" w:firstLine="576" w:firstLineChars="200"/>
        <w:outlineLvl w:val="1"/>
        <w:rPr>
          <w:rFonts w:ascii="Times New Roman" w:hAnsi="仿宋" w:eastAsia="宋体" w:cs="仿宋"/>
          <w:spacing w:val="4"/>
          <w:sz w:val="28"/>
          <w:szCs w:val="32"/>
        </w:rPr>
      </w:pPr>
      <w:bookmarkStart w:id="119" w:name="_Toc4352"/>
      <w:bookmarkStart w:id="120" w:name="_Toc30509"/>
      <w:bookmarkStart w:id="121" w:name="_Toc24834"/>
      <w:bookmarkStart w:id="122" w:name="_Toc27437"/>
      <w:bookmarkStart w:id="123" w:name="_Toc18513"/>
      <w:bookmarkStart w:id="124" w:name="_Toc7248"/>
      <w:bookmarkStart w:id="125" w:name="_Toc27229"/>
      <w:bookmarkStart w:id="126" w:name="_Toc23004"/>
      <w:r>
        <w:rPr>
          <w:rFonts w:hint="eastAsia" w:ascii="Times New Roman" w:hAnsi="仿宋" w:eastAsia="宋体" w:cs="仿宋"/>
          <w:spacing w:val="4"/>
          <w:sz w:val="28"/>
          <w:szCs w:val="32"/>
        </w:rPr>
        <w:t>“绩效目标合理性”指标主要</w:t>
      </w:r>
      <w:bookmarkEnd w:id="119"/>
      <w:bookmarkEnd w:id="120"/>
      <w:bookmarkEnd w:id="121"/>
      <w:r>
        <w:rPr>
          <w:rFonts w:hint="eastAsia" w:ascii="Times New Roman" w:hAnsi="仿宋" w:eastAsia="宋体" w:cs="仿宋"/>
          <w:spacing w:val="4"/>
          <w:sz w:val="28"/>
          <w:szCs w:val="32"/>
        </w:rPr>
        <w:t>用于衡量部门所设立的整体绩效目标依据是否充分，是否符合客观实际，用于反映和考核部门整体绩效目标与部门履职、年度工作任务的相符性情况。</w:t>
      </w:r>
      <w:bookmarkEnd w:id="122"/>
      <w:bookmarkEnd w:id="123"/>
      <w:bookmarkEnd w:id="124"/>
      <w:bookmarkEnd w:id="125"/>
      <w:bookmarkEnd w:id="126"/>
    </w:p>
    <w:p>
      <w:pPr>
        <w:snapToGrid/>
        <w:spacing w:beforeAutospacing="0" w:afterAutospacing="0" w:line="360" w:lineRule="auto"/>
        <w:ind w:left="0" w:leftChars="0" w:firstLine="576" w:firstLineChars="200"/>
        <w:rPr>
          <w:rFonts w:ascii="Times New Roman" w:hAnsi="仿宋" w:eastAsia="宋体" w:cs="仿宋"/>
          <w:sz w:val="28"/>
          <w:szCs w:val="32"/>
        </w:rPr>
      </w:pPr>
      <w:r>
        <w:rPr>
          <w:rFonts w:hint="eastAsia" w:ascii="Times New Roman" w:hAnsi="仿宋" w:eastAsia="宋体" w:cs="仿宋"/>
          <w:spacing w:val="4"/>
          <w:sz w:val="28"/>
          <w:szCs w:val="32"/>
        </w:rPr>
        <w:t>评价小组查阅部门绩效目标申报表，石狮市应急管理局制定的整体支出绩效目标符合部门“三定” 方案确定的职责和部门年度工作计划。此项得4分。</w:t>
      </w:r>
    </w:p>
    <w:p>
      <w:pPr>
        <w:numPr>
          <w:ilvl w:val="0"/>
          <w:numId w:val="2"/>
        </w:numPr>
        <w:snapToGrid/>
        <w:spacing w:beforeAutospacing="0" w:afterAutospacing="0" w:line="360" w:lineRule="auto"/>
        <w:ind w:left="0" w:leftChars="0" w:firstLine="576" w:firstLineChars="200"/>
        <w:rPr>
          <w:rFonts w:ascii="Times New Roman" w:hAnsi="仿宋" w:eastAsia="宋体" w:cs="仿宋"/>
          <w:spacing w:val="4"/>
          <w:sz w:val="28"/>
          <w:szCs w:val="32"/>
        </w:rPr>
      </w:pPr>
      <w:r>
        <w:rPr>
          <w:rFonts w:hint="eastAsia" w:ascii="Times New Roman" w:hAnsi="仿宋" w:eastAsia="宋体" w:cs="仿宋"/>
          <w:spacing w:val="4"/>
          <w:sz w:val="28"/>
          <w:szCs w:val="32"/>
        </w:rPr>
        <w:t>绩效目标明确性（分值4分）</w:t>
      </w:r>
    </w:p>
    <w:p>
      <w:pPr>
        <w:snapToGrid/>
        <w:spacing w:beforeAutospacing="0" w:afterAutospacing="0" w:line="360" w:lineRule="auto"/>
        <w:ind w:left="0" w:leftChars="0" w:firstLine="576" w:firstLineChars="200"/>
        <w:rPr>
          <w:rFonts w:ascii="Times New Roman" w:hAnsi="仿宋" w:eastAsia="宋体" w:cs="仿宋"/>
          <w:spacing w:val="4"/>
          <w:sz w:val="28"/>
          <w:szCs w:val="32"/>
        </w:rPr>
      </w:pPr>
      <w:r>
        <w:rPr>
          <w:rFonts w:hint="eastAsia" w:ascii="Times New Roman" w:hAnsi="仿宋" w:eastAsia="宋体" w:cs="仿宋"/>
          <w:spacing w:val="4"/>
          <w:sz w:val="28"/>
          <w:szCs w:val="32"/>
        </w:rPr>
        <w:t>“绩效目标明确性”指标主要评价项目的绩效目标合理情况。评价标准为是否</w:t>
      </w:r>
      <w:bookmarkStart w:id="127" w:name="_Hlk120762567"/>
      <w:r>
        <w:rPr>
          <w:rFonts w:hint="eastAsia" w:ascii="Times New Roman" w:hAnsi="仿宋" w:eastAsia="宋体" w:cs="仿宋"/>
          <w:spacing w:val="4"/>
          <w:sz w:val="28"/>
          <w:szCs w:val="32"/>
        </w:rPr>
        <w:t>将部门整体的绩效目标细化分解为具体的工作任务</w:t>
      </w:r>
      <w:bookmarkEnd w:id="127"/>
      <w:r>
        <w:rPr>
          <w:rFonts w:hint="eastAsia" w:ascii="Times New Roman" w:hAnsi="仿宋" w:eastAsia="宋体" w:cs="仿宋"/>
          <w:spacing w:val="4"/>
          <w:sz w:val="28"/>
          <w:szCs w:val="32"/>
        </w:rPr>
        <w:t>；是否通过清晰、可衡量的指标予以体现。</w:t>
      </w:r>
    </w:p>
    <w:p>
      <w:pPr>
        <w:pStyle w:val="2"/>
        <w:snapToGrid/>
        <w:spacing w:beforeAutospacing="0" w:afterAutospacing="0" w:line="360" w:lineRule="auto"/>
        <w:ind w:left="0" w:leftChars="0" w:firstLine="576" w:firstLineChars="200"/>
        <w:rPr>
          <w:rFonts w:ascii="Times New Roman" w:hAnsi="仿宋" w:eastAsia="宋体" w:cs="仿宋"/>
          <w:sz w:val="28"/>
          <w:szCs w:val="32"/>
        </w:rPr>
      </w:pPr>
      <w:r>
        <w:rPr>
          <w:rFonts w:hint="eastAsia" w:ascii="Times New Roman" w:hAnsi="仿宋" w:eastAsia="宋体" w:cs="仿宋"/>
          <w:spacing w:val="4"/>
          <w:sz w:val="28"/>
          <w:szCs w:val="32"/>
        </w:rPr>
        <w:t>根据石狮市应急管理局设定绩效提供的《2022年度石狮市应急管理局部门整体支出绩效目标表》，查阅部门绩效目标申请表，石狮市应急管理局将部门整体的绩效目标细化分解为具体的工作任务，但出现绩效目标表成本指标设置相反，此项扣1分，得分3分。</w:t>
      </w:r>
    </w:p>
    <w:p>
      <w:pPr>
        <w:snapToGrid/>
        <w:spacing w:beforeAutospacing="0" w:afterAutospacing="0" w:line="360" w:lineRule="auto"/>
        <w:ind w:left="0" w:leftChars="0" w:firstLine="576" w:firstLineChars="200"/>
        <w:outlineLvl w:val="2"/>
        <w:rPr>
          <w:rFonts w:ascii="Times New Roman" w:hAnsi="仿宋" w:eastAsia="宋体" w:cs="仿宋"/>
          <w:sz w:val="28"/>
          <w:szCs w:val="32"/>
        </w:rPr>
      </w:pPr>
      <w:bookmarkStart w:id="128" w:name="_Toc1794"/>
      <w:bookmarkStart w:id="129" w:name="_Toc26282"/>
      <w:bookmarkStart w:id="130" w:name="_Toc25085"/>
      <w:bookmarkStart w:id="131" w:name="_Toc20011"/>
      <w:bookmarkStart w:id="132" w:name="_Toc18944"/>
      <w:bookmarkStart w:id="133" w:name="_Toc28501"/>
      <w:bookmarkStart w:id="134" w:name="_Toc13536"/>
      <w:bookmarkStart w:id="135" w:name="_Toc2118"/>
      <w:r>
        <w:rPr>
          <w:rFonts w:hint="eastAsia" w:ascii="Times New Roman" w:hAnsi="仿宋" w:eastAsia="宋体" w:cs="仿宋"/>
          <w:spacing w:val="4"/>
          <w:sz w:val="28"/>
          <w:szCs w:val="32"/>
        </w:rPr>
        <w:t>因此，绩效目标合计得7分。</w:t>
      </w:r>
      <w:bookmarkEnd w:id="128"/>
      <w:bookmarkEnd w:id="129"/>
      <w:bookmarkEnd w:id="130"/>
      <w:bookmarkEnd w:id="131"/>
      <w:bookmarkEnd w:id="132"/>
      <w:bookmarkEnd w:id="133"/>
      <w:bookmarkEnd w:id="134"/>
      <w:bookmarkEnd w:id="135"/>
    </w:p>
    <w:p>
      <w:pPr>
        <w:snapToGrid/>
        <w:spacing w:beforeAutospacing="0" w:afterAutospacing="0" w:line="360" w:lineRule="auto"/>
        <w:ind w:left="0" w:leftChars="0" w:right="0" w:rightChars="0" w:firstLine="0" w:firstLineChars="0"/>
        <w:jc w:val="left"/>
        <w:outlineLvl w:val="2"/>
        <w:rPr>
          <w:rFonts w:ascii="Times New Roman" w:hAnsi="仿宋" w:eastAsia="宋体" w:cs="仿宋"/>
          <w:b/>
          <w:bCs/>
          <w:spacing w:val="4"/>
          <w:sz w:val="28"/>
          <w:szCs w:val="32"/>
        </w:rPr>
      </w:pPr>
      <w:bookmarkStart w:id="136" w:name="_Toc25946"/>
      <w:bookmarkStart w:id="137" w:name="_Toc9782"/>
      <w:bookmarkStart w:id="138" w:name="_Toc27148"/>
      <w:bookmarkStart w:id="139" w:name="_Toc25089"/>
      <w:bookmarkStart w:id="140" w:name="_Toc13371"/>
      <w:bookmarkStart w:id="141" w:name="_Toc31434"/>
      <w:bookmarkStart w:id="142" w:name="_Toc138"/>
      <w:r>
        <w:rPr>
          <w:rFonts w:hint="eastAsia" w:ascii="Times New Roman" w:hAnsi="仿宋" w:eastAsia="宋体" w:cs="仿宋"/>
          <w:b/>
          <w:bCs/>
          <w:spacing w:val="4"/>
          <w:sz w:val="28"/>
          <w:szCs w:val="32"/>
        </w:rPr>
        <w:t>2.预算配置（分值为12分）</w:t>
      </w:r>
      <w:bookmarkEnd w:id="136"/>
      <w:bookmarkEnd w:id="137"/>
      <w:bookmarkEnd w:id="138"/>
      <w:bookmarkEnd w:id="139"/>
      <w:bookmarkEnd w:id="140"/>
      <w:bookmarkEnd w:id="141"/>
      <w:bookmarkEnd w:id="142"/>
    </w:p>
    <w:p>
      <w:pPr>
        <w:snapToGrid/>
        <w:spacing w:beforeAutospacing="0" w:afterAutospacing="0" w:line="360" w:lineRule="auto"/>
        <w:ind w:left="0" w:leftChars="0" w:firstLine="576" w:firstLineChars="200"/>
        <w:outlineLvl w:val="3"/>
        <w:rPr>
          <w:rFonts w:ascii="Times New Roman" w:hAnsi="仿宋" w:eastAsia="宋体" w:cs="仿宋"/>
          <w:spacing w:val="4"/>
          <w:sz w:val="28"/>
          <w:szCs w:val="32"/>
        </w:rPr>
      </w:pPr>
      <w:r>
        <w:rPr>
          <w:rFonts w:hint="eastAsia" w:ascii="Times New Roman" w:hAnsi="仿宋" w:eastAsia="宋体" w:cs="仿宋"/>
          <w:spacing w:val="4"/>
          <w:sz w:val="28"/>
          <w:szCs w:val="32"/>
        </w:rPr>
        <w:t>预算配置主要从“在职人员控制率”“三公经费变动率”和“重点支出安排率”两方面进行评价。</w:t>
      </w:r>
    </w:p>
    <w:p>
      <w:pPr>
        <w:snapToGrid/>
        <w:spacing w:beforeAutospacing="0" w:afterAutospacing="0" w:line="360" w:lineRule="auto"/>
        <w:ind w:left="0" w:leftChars="0" w:firstLine="576" w:firstLineChars="200"/>
        <w:outlineLvl w:val="3"/>
        <w:rPr>
          <w:rFonts w:ascii="Times New Roman" w:hAnsi="仿宋" w:eastAsia="宋体" w:cs="仿宋"/>
          <w:spacing w:val="4"/>
          <w:sz w:val="28"/>
          <w:szCs w:val="32"/>
        </w:rPr>
      </w:pPr>
      <w:r>
        <w:rPr>
          <w:rFonts w:hint="eastAsia" w:ascii="Times New Roman" w:hAnsi="仿宋" w:eastAsia="宋体" w:cs="仿宋"/>
          <w:spacing w:val="4"/>
          <w:sz w:val="28"/>
          <w:szCs w:val="32"/>
        </w:rPr>
        <w:t>（1）在职人员控制率（分值4分）</w:t>
      </w:r>
    </w:p>
    <w:p>
      <w:pPr>
        <w:snapToGrid/>
        <w:spacing w:beforeAutospacing="0" w:afterAutospacing="0" w:line="360" w:lineRule="auto"/>
        <w:ind w:left="0" w:leftChars="0" w:firstLine="576" w:firstLineChars="200"/>
        <w:outlineLvl w:val="3"/>
        <w:rPr>
          <w:rFonts w:ascii="Times New Roman" w:hAnsi="仿宋" w:eastAsia="宋体" w:cs="仿宋"/>
          <w:spacing w:val="4"/>
          <w:sz w:val="28"/>
          <w:szCs w:val="32"/>
        </w:rPr>
      </w:pPr>
      <w:r>
        <w:rPr>
          <w:rFonts w:hint="eastAsia" w:ascii="Times New Roman" w:hAnsi="仿宋" w:eastAsia="宋体" w:cs="仿宋"/>
          <w:spacing w:val="4"/>
          <w:sz w:val="28"/>
          <w:szCs w:val="32"/>
        </w:rPr>
        <w:t>在职人员控制率通过考察部门（单位）本年度实际在职人员数与编制数的比率，反映和评价部门（单位）对人员成本的控制程度。</w:t>
      </w:r>
      <w:r>
        <w:rPr>
          <w:rFonts w:hint="eastAsia" w:ascii="Times New Roman" w:hAnsi="仿宋" w:eastAsia="宋体" w:cs="仿宋"/>
          <w:spacing w:val="4"/>
          <w:sz w:val="28"/>
          <w:szCs w:val="32"/>
          <w:lang w:val="en-US" w:eastAsia="zh-CN"/>
        </w:rPr>
        <w:t>2022年度编制数36个，实际在职人员36人。</w:t>
      </w:r>
      <w:r>
        <w:rPr>
          <w:rFonts w:hint="eastAsia" w:ascii="Times New Roman" w:hAnsi="仿宋" w:eastAsia="宋体" w:cs="仿宋"/>
          <w:spacing w:val="4"/>
          <w:sz w:val="28"/>
          <w:szCs w:val="32"/>
        </w:rPr>
        <w:t>在职人员控制率=（在职人员数/编制数）×100%。当年度应急局在职人员控制率=（在职人员数/编制数）×100%=36/</w:t>
      </w:r>
      <w:r>
        <w:rPr>
          <w:rFonts w:hint="eastAsia" w:ascii="Times New Roman" w:hAnsi="仿宋" w:eastAsia="宋体" w:cs="仿宋"/>
          <w:spacing w:val="4"/>
          <w:sz w:val="28"/>
          <w:szCs w:val="32"/>
          <w:lang w:val="en-US" w:eastAsia="zh-CN"/>
        </w:rPr>
        <w:t>40</w:t>
      </w:r>
      <w:r>
        <w:rPr>
          <w:rFonts w:hint="eastAsia" w:ascii="Times New Roman" w:hAnsi="仿宋" w:eastAsia="宋体" w:cs="仿宋"/>
          <w:spacing w:val="4"/>
          <w:sz w:val="28"/>
          <w:szCs w:val="32"/>
        </w:rPr>
        <w:t>×100%=</w:t>
      </w:r>
      <w:r>
        <w:rPr>
          <w:rFonts w:hint="eastAsia" w:ascii="Times New Roman" w:hAnsi="仿宋" w:eastAsia="宋体" w:cs="仿宋"/>
          <w:spacing w:val="4"/>
          <w:sz w:val="28"/>
          <w:szCs w:val="32"/>
          <w:lang w:val="en-US" w:eastAsia="zh-CN"/>
        </w:rPr>
        <w:t>90</w:t>
      </w:r>
      <w:r>
        <w:rPr>
          <w:rFonts w:hint="eastAsia" w:ascii="Times New Roman" w:hAnsi="仿宋" w:eastAsia="宋体" w:cs="仿宋"/>
          <w:spacing w:val="4"/>
          <w:sz w:val="28"/>
          <w:szCs w:val="32"/>
        </w:rPr>
        <w:t>%，根据评分标准，此项得4分。</w:t>
      </w:r>
    </w:p>
    <w:p>
      <w:pPr>
        <w:snapToGrid/>
        <w:spacing w:beforeAutospacing="0" w:afterAutospacing="0" w:line="360" w:lineRule="auto"/>
        <w:ind w:left="0" w:leftChars="0" w:firstLine="576" w:firstLineChars="200"/>
        <w:outlineLvl w:val="3"/>
        <w:rPr>
          <w:rFonts w:ascii="Times New Roman" w:hAnsi="仿宋" w:eastAsia="宋体" w:cs="仿宋"/>
          <w:spacing w:val="4"/>
          <w:sz w:val="28"/>
          <w:szCs w:val="32"/>
        </w:rPr>
      </w:pPr>
      <w:r>
        <w:rPr>
          <w:rFonts w:hint="eastAsia" w:ascii="Times New Roman" w:hAnsi="仿宋" w:eastAsia="宋体" w:cs="仿宋"/>
          <w:spacing w:val="4"/>
          <w:sz w:val="28"/>
          <w:szCs w:val="32"/>
        </w:rPr>
        <w:t>（2）</w:t>
      </w:r>
      <w:r>
        <w:rPr>
          <w:rFonts w:hint="eastAsia" w:ascii="Times New Roman" w:hAnsi="仿宋" w:eastAsia="宋体" w:cs="仿宋"/>
          <w:spacing w:val="4"/>
          <w:sz w:val="28"/>
          <w:szCs w:val="32"/>
          <w:lang w:eastAsia="zh-CN"/>
        </w:rPr>
        <w:t>“三公”经费</w:t>
      </w:r>
      <w:r>
        <w:rPr>
          <w:rFonts w:hint="eastAsia" w:ascii="Times New Roman" w:hAnsi="仿宋" w:eastAsia="宋体" w:cs="仿宋"/>
          <w:spacing w:val="4"/>
          <w:sz w:val="28"/>
          <w:szCs w:val="32"/>
        </w:rPr>
        <w:t>变动率（分值4分）</w:t>
      </w:r>
    </w:p>
    <w:p>
      <w:pPr>
        <w:snapToGrid/>
        <w:spacing w:beforeAutospacing="0" w:afterAutospacing="0" w:line="360" w:lineRule="auto"/>
        <w:ind w:left="0" w:leftChars="0" w:firstLine="576" w:firstLineChars="200"/>
        <w:outlineLvl w:val="1"/>
        <w:rPr>
          <w:rFonts w:ascii="Times New Roman" w:hAnsi="仿宋" w:eastAsia="宋体" w:cs="仿宋"/>
          <w:spacing w:val="4"/>
          <w:sz w:val="28"/>
          <w:szCs w:val="32"/>
        </w:rPr>
      </w:pPr>
      <w:bookmarkStart w:id="143" w:name="_Toc5890"/>
      <w:bookmarkStart w:id="144" w:name="_Toc17195"/>
      <w:bookmarkStart w:id="145" w:name="_Toc13448"/>
      <w:bookmarkStart w:id="146" w:name="_Toc20755"/>
      <w:bookmarkStart w:id="147" w:name="_Toc28963"/>
      <w:bookmarkStart w:id="148" w:name="_Toc696"/>
      <w:bookmarkStart w:id="149" w:name="_Toc8284"/>
      <w:bookmarkStart w:id="150" w:name="_Toc19945"/>
      <w:r>
        <w:rPr>
          <w:rFonts w:hint="eastAsia" w:ascii="Times New Roman" w:hAnsi="仿宋" w:eastAsia="宋体" w:cs="仿宋"/>
          <w:spacing w:val="4"/>
          <w:sz w:val="28"/>
          <w:szCs w:val="32"/>
          <w:lang w:eastAsia="zh-CN"/>
        </w:rPr>
        <w:t>“三公”经费</w:t>
      </w:r>
      <w:r>
        <w:rPr>
          <w:rFonts w:hint="eastAsia" w:ascii="Times New Roman" w:hAnsi="仿宋" w:eastAsia="宋体" w:cs="仿宋"/>
          <w:spacing w:val="4"/>
          <w:sz w:val="28"/>
          <w:szCs w:val="32"/>
        </w:rPr>
        <w:t>变动率指标主要评价部门本年度</w:t>
      </w:r>
      <w:r>
        <w:rPr>
          <w:rFonts w:hint="eastAsia" w:ascii="Times New Roman" w:hAnsi="仿宋" w:eastAsia="宋体" w:cs="仿宋"/>
          <w:spacing w:val="4"/>
          <w:sz w:val="28"/>
          <w:szCs w:val="32"/>
          <w:lang w:eastAsia="zh-CN"/>
        </w:rPr>
        <w:t>“三公”经费</w:t>
      </w:r>
      <w:r>
        <w:rPr>
          <w:rFonts w:hint="eastAsia" w:ascii="Times New Roman" w:hAnsi="仿宋" w:eastAsia="宋体" w:cs="仿宋"/>
          <w:spacing w:val="4"/>
          <w:sz w:val="28"/>
          <w:szCs w:val="32"/>
        </w:rPr>
        <w:t>预算数与上年度</w:t>
      </w:r>
      <w:r>
        <w:rPr>
          <w:rFonts w:hint="eastAsia" w:ascii="Times New Roman" w:hAnsi="仿宋" w:eastAsia="宋体" w:cs="仿宋"/>
          <w:spacing w:val="4"/>
          <w:sz w:val="28"/>
          <w:szCs w:val="32"/>
          <w:lang w:eastAsia="zh-CN"/>
        </w:rPr>
        <w:t>“三公”经费</w:t>
      </w:r>
      <w:r>
        <w:rPr>
          <w:rFonts w:hint="eastAsia" w:ascii="Times New Roman" w:hAnsi="仿宋" w:eastAsia="宋体" w:cs="仿宋"/>
          <w:spacing w:val="4"/>
          <w:sz w:val="28"/>
          <w:szCs w:val="32"/>
        </w:rPr>
        <w:t>预算数的变动比率，用以反映和考核部门对控制重点行政成本的努力程度。评分标准</w:t>
      </w:r>
      <w:bookmarkEnd w:id="143"/>
      <w:bookmarkEnd w:id="144"/>
      <w:bookmarkEnd w:id="145"/>
      <w:r>
        <w:rPr>
          <w:rFonts w:hint="eastAsia" w:ascii="Times New Roman" w:hAnsi="仿宋" w:eastAsia="宋体" w:cs="仿宋"/>
          <w:spacing w:val="4"/>
          <w:sz w:val="28"/>
          <w:szCs w:val="32"/>
        </w:rPr>
        <w:t>为：</w:t>
      </w:r>
      <w:bookmarkEnd w:id="146"/>
      <w:bookmarkEnd w:id="147"/>
      <w:bookmarkStart w:id="151" w:name="_Toc21579"/>
      <w:bookmarkStart w:id="152" w:name="_Toc5513"/>
      <w:bookmarkStart w:id="153" w:name="_Toc10800"/>
      <w:bookmarkStart w:id="154" w:name="_Toc17547"/>
      <w:bookmarkStart w:id="155" w:name="_Toc11085"/>
      <w:r>
        <w:rPr>
          <w:rFonts w:hint="eastAsia" w:ascii="Times New Roman" w:hAnsi="仿宋" w:eastAsia="宋体" w:cs="仿宋"/>
          <w:spacing w:val="4"/>
          <w:sz w:val="28"/>
          <w:szCs w:val="32"/>
        </w:rPr>
        <w:t>三公经费变动率=[（本年度</w:t>
      </w:r>
      <w:r>
        <w:rPr>
          <w:rFonts w:hint="eastAsia" w:ascii="Times New Roman" w:hAnsi="仿宋" w:eastAsia="宋体" w:cs="仿宋"/>
          <w:spacing w:val="4"/>
          <w:sz w:val="28"/>
          <w:szCs w:val="32"/>
          <w:lang w:eastAsia="zh-CN"/>
        </w:rPr>
        <w:t>“三公”经费</w:t>
      </w:r>
      <w:r>
        <w:rPr>
          <w:rFonts w:hint="eastAsia" w:ascii="Times New Roman" w:hAnsi="仿宋" w:eastAsia="宋体" w:cs="仿宋"/>
          <w:spacing w:val="4"/>
          <w:sz w:val="28"/>
          <w:szCs w:val="32"/>
        </w:rPr>
        <w:t>总额-上年度</w:t>
      </w:r>
      <w:r>
        <w:rPr>
          <w:rFonts w:hint="eastAsia" w:ascii="Times New Roman" w:hAnsi="仿宋" w:eastAsia="宋体" w:cs="仿宋"/>
          <w:spacing w:val="4"/>
          <w:sz w:val="28"/>
          <w:szCs w:val="32"/>
          <w:lang w:eastAsia="zh-CN"/>
        </w:rPr>
        <w:t>“三公”经费</w:t>
      </w:r>
      <w:r>
        <w:rPr>
          <w:rFonts w:hint="eastAsia" w:ascii="Times New Roman" w:hAnsi="仿宋" w:eastAsia="宋体" w:cs="仿宋"/>
          <w:spacing w:val="4"/>
          <w:sz w:val="28"/>
          <w:szCs w:val="32"/>
        </w:rPr>
        <w:t>总额）/上年度</w:t>
      </w:r>
      <w:r>
        <w:rPr>
          <w:rFonts w:hint="eastAsia" w:ascii="Times New Roman" w:hAnsi="仿宋" w:eastAsia="宋体" w:cs="仿宋"/>
          <w:spacing w:val="4"/>
          <w:sz w:val="28"/>
          <w:szCs w:val="32"/>
          <w:lang w:eastAsia="zh-CN"/>
        </w:rPr>
        <w:t>“三公”经费</w:t>
      </w:r>
      <w:r>
        <w:rPr>
          <w:rFonts w:hint="eastAsia" w:ascii="Times New Roman" w:hAnsi="仿宋" w:eastAsia="宋体" w:cs="仿宋"/>
          <w:spacing w:val="4"/>
          <w:sz w:val="28"/>
          <w:szCs w:val="32"/>
        </w:rPr>
        <w:t>总额]×100%。评分标准为：①变动率≤0%得满分；②变动率每超过</w:t>
      </w:r>
      <w:r>
        <w:rPr>
          <w:rFonts w:hint="eastAsia" w:ascii="Times New Roman" w:hAnsi="仿宋" w:eastAsia="宋体" w:cs="仿宋"/>
          <w:spacing w:val="4"/>
          <w:sz w:val="28"/>
          <w:szCs w:val="32"/>
          <w:lang w:val="en-US" w:eastAsia="zh-CN"/>
        </w:rPr>
        <w:t>10</w:t>
      </w:r>
      <w:r>
        <w:rPr>
          <w:rFonts w:hint="eastAsia" w:ascii="Times New Roman" w:hAnsi="仿宋" w:eastAsia="宋体" w:cs="仿宋"/>
          <w:spacing w:val="4"/>
          <w:sz w:val="28"/>
          <w:szCs w:val="32"/>
        </w:rPr>
        <w:t>个百分点扣0.5 分，扣完为止。</w:t>
      </w:r>
      <w:bookmarkEnd w:id="148"/>
      <w:bookmarkEnd w:id="149"/>
      <w:bookmarkEnd w:id="150"/>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leftChars="0" w:firstLine="576" w:firstLineChars="200"/>
        <w:textAlignment w:val="auto"/>
        <w:rPr>
          <w:rFonts w:ascii="Times New Roman" w:hAnsi="仿宋" w:eastAsia="宋体" w:cs="仿宋"/>
          <w:color w:val="auto"/>
          <w:spacing w:val="4"/>
          <w:sz w:val="28"/>
          <w:szCs w:val="32"/>
        </w:rPr>
      </w:pPr>
      <w:r>
        <w:rPr>
          <w:rFonts w:hint="eastAsia" w:ascii="Times New Roman" w:hAnsi="仿宋" w:eastAsia="宋体" w:cs="仿宋"/>
          <w:b w:val="0"/>
          <w:color w:val="auto"/>
          <w:spacing w:val="4"/>
          <w:kern w:val="2"/>
          <w:sz w:val="28"/>
          <w:szCs w:val="32"/>
          <w:lang w:val="en-US" w:eastAsia="zh-CN" w:bidi="ar-SA"/>
        </w:rPr>
        <w:t>检查石狮市应急管理局2022年“三公”经费预算执行情况。2022年“三公”经费预算数10.4万元，2021年“三公”经费预算数8.4万元，比上年增加2万元,变动率30%。其中，2022 年因公出国（境）经费预算安排0万元，公务接待费预算安排2万元，与2021年持平；公务用车购置及运行费预算安排 8.4 万元，比2021年增加 2万元，“三公”经费变动率30%，较上年有较大幅度提升。</w:t>
      </w:r>
      <w:r>
        <w:rPr>
          <w:rFonts w:hint="eastAsia" w:ascii="Times New Roman" w:hAnsi="仿宋" w:eastAsia="宋体" w:cs="仿宋"/>
          <w:color w:val="auto"/>
          <w:spacing w:val="4"/>
          <w:sz w:val="28"/>
          <w:szCs w:val="32"/>
        </w:rPr>
        <w:t>此项</w:t>
      </w:r>
      <w:bookmarkEnd w:id="151"/>
      <w:bookmarkEnd w:id="152"/>
      <w:r>
        <w:rPr>
          <w:rFonts w:hint="eastAsia" w:ascii="Times New Roman" w:hAnsi="仿宋" w:eastAsia="宋体" w:cs="仿宋"/>
          <w:color w:val="auto"/>
          <w:spacing w:val="4"/>
          <w:sz w:val="28"/>
          <w:szCs w:val="32"/>
        </w:rPr>
        <w:t>扣1.5分，得2.5分。</w:t>
      </w:r>
      <w:bookmarkEnd w:id="153"/>
      <w:bookmarkEnd w:id="154"/>
      <w:bookmarkEnd w:id="155"/>
    </w:p>
    <w:p>
      <w:pPr>
        <w:widowControl/>
        <w:snapToGrid/>
        <w:spacing w:beforeAutospacing="0" w:afterAutospacing="0" w:line="360" w:lineRule="auto"/>
        <w:ind w:left="0" w:leftChars="0" w:firstLine="576" w:firstLineChars="200"/>
        <w:jc w:val="left"/>
        <w:outlineLvl w:val="3"/>
        <w:rPr>
          <w:rFonts w:ascii="Times New Roman" w:hAnsi="仿宋" w:eastAsia="宋体" w:cs="仿宋"/>
          <w:spacing w:val="4"/>
          <w:sz w:val="28"/>
          <w:szCs w:val="32"/>
          <w:highlight w:val="none"/>
        </w:rPr>
      </w:pPr>
      <w:r>
        <w:rPr>
          <w:rFonts w:hint="eastAsia" w:ascii="Times New Roman" w:hAnsi="仿宋" w:eastAsia="宋体" w:cs="仿宋"/>
          <w:spacing w:val="4"/>
          <w:sz w:val="28"/>
          <w:szCs w:val="32"/>
          <w:highlight w:val="none"/>
        </w:rPr>
        <w:t>（3）重点支出安排率（分值4分）</w:t>
      </w:r>
    </w:p>
    <w:p>
      <w:pPr>
        <w:widowControl/>
        <w:snapToGrid/>
        <w:spacing w:beforeAutospacing="0" w:afterAutospacing="0" w:line="360" w:lineRule="auto"/>
        <w:ind w:left="0" w:leftChars="0" w:firstLine="576" w:firstLineChars="200"/>
        <w:jc w:val="left"/>
        <w:rPr>
          <w:rFonts w:ascii="Times New Roman" w:hAnsi="仿宋" w:eastAsia="宋体" w:cs="仿宋"/>
          <w:spacing w:val="4"/>
          <w:sz w:val="28"/>
          <w:szCs w:val="32"/>
          <w:highlight w:val="none"/>
        </w:rPr>
      </w:pPr>
      <w:r>
        <w:rPr>
          <w:rFonts w:hint="eastAsia" w:ascii="Times New Roman" w:hAnsi="仿宋" w:eastAsia="宋体" w:cs="仿宋"/>
          <w:spacing w:val="4"/>
          <w:sz w:val="28"/>
          <w:szCs w:val="32"/>
          <w:highlight w:val="none"/>
        </w:rPr>
        <w:t>“重点支出安排率”考察部门本年度预算安排的重点项目支出与部门项目总支出的比率，用以反映和考核部门对履行主要职责或完成重点任务的保障程度。重点支出安排率=（重点项目支出/项目总支出）×100%。评分标准为：①重点支出安排率&gt;80%(4分)；②50%&lt;重点支出安排率 ≤80%(2分)；重点支出安排率≤50%(0分)。</w:t>
      </w:r>
    </w:p>
    <w:p>
      <w:pPr>
        <w:pStyle w:val="2"/>
        <w:snapToGrid/>
        <w:spacing w:beforeAutospacing="0" w:afterAutospacing="0" w:line="360" w:lineRule="auto"/>
        <w:ind w:left="0" w:leftChars="0" w:firstLine="576" w:firstLineChars="200"/>
        <w:rPr>
          <w:rFonts w:ascii="Times New Roman" w:hAnsi="仿宋" w:eastAsia="宋体" w:cs="仿宋"/>
          <w:spacing w:val="4"/>
          <w:sz w:val="28"/>
          <w:szCs w:val="32"/>
          <w:highlight w:val="none"/>
        </w:rPr>
      </w:pPr>
      <w:r>
        <w:rPr>
          <w:rFonts w:hint="eastAsia" w:ascii="Times New Roman" w:hAnsi="仿宋" w:eastAsia="宋体" w:cs="仿宋"/>
          <w:spacing w:val="4"/>
          <w:sz w:val="28"/>
          <w:szCs w:val="32"/>
          <w:highlight w:val="none"/>
        </w:rPr>
        <w:t>石狮市应急管理局2022年收入支出决算总表数据，项目支出</w:t>
      </w:r>
      <w:r>
        <w:rPr>
          <w:rFonts w:hint="eastAsia" w:ascii="Times New Roman" w:hAnsi="仿宋" w:eastAsia="宋体" w:cs="仿宋"/>
          <w:spacing w:val="4"/>
          <w:sz w:val="28"/>
          <w:szCs w:val="32"/>
          <w:highlight w:val="none"/>
          <w:lang w:eastAsia="zh-CN"/>
        </w:rPr>
        <w:t>为</w:t>
      </w:r>
      <w:r>
        <w:rPr>
          <w:rFonts w:hint="eastAsia" w:ascii="Times New Roman" w:hAnsi="仿宋" w:eastAsia="宋体" w:cs="仿宋"/>
          <w:spacing w:val="4"/>
          <w:sz w:val="28"/>
          <w:szCs w:val="32"/>
          <w:highlight w:val="none"/>
          <w:lang w:val="en-US" w:eastAsia="zh-CN"/>
        </w:rPr>
        <w:t>749.06</w:t>
      </w:r>
      <w:r>
        <w:rPr>
          <w:rFonts w:hint="eastAsia" w:ascii="Times New Roman" w:hAnsi="仿宋" w:eastAsia="宋体" w:cs="仿宋"/>
          <w:spacing w:val="4"/>
          <w:sz w:val="28"/>
          <w:szCs w:val="32"/>
          <w:highlight w:val="none"/>
        </w:rPr>
        <w:t>万元，安全生产监督员误工补贴经费支出32.04万元</w:t>
      </w:r>
      <w:r>
        <w:rPr>
          <w:rFonts w:hint="eastAsia" w:ascii="Times New Roman" w:hAnsi="仿宋" w:eastAsia="宋体" w:cs="仿宋"/>
          <w:spacing w:val="4"/>
          <w:sz w:val="28"/>
          <w:szCs w:val="32"/>
          <w:highlight w:val="none"/>
          <w:lang w:eastAsia="zh-CN"/>
        </w:rPr>
        <w:t>，</w:t>
      </w:r>
      <w:r>
        <w:rPr>
          <w:rFonts w:hint="eastAsia" w:ascii="Times New Roman" w:hAnsi="仿宋" w:eastAsia="宋体" w:cs="仿宋"/>
          <w:spacing w:val="4"/>
          <w:sz w:val="28"/>
          <w:szCs w:val="32"/>
          <w:highlight w:val="none"/>
        </w:rPr>
        <w:t>地震应急避难场所补助经费支出9.5万元，防汛抗旱经费支出20.93万元</w:t>
      </w:r>
      <w:r>
        <w:rPr>
          <w:rFonts w:hint="eastAsia" w:ascii="Times New Roman" w:hAnsi="仿宋" w:eastAsia="宋体" w:cs="仿宋"/>
          <w:spacing w:val="4"/>
          <w:sz w:val="28"/>
          <w:szCs w:val="32"/>
          <w:highlight w:val="none"/>
          <w:lang w:eastAsia="zh-CN"/>
        </w:rPr>
        <w:t>，</w:t>
      </w:r>
      <w:r>
        <w:rPr>
          <w:rFonts w:hint="eastAsia" w:ascii="Times New Roman" w:hAnsi="仿宋" w:eastAsia="宋体" w:cs="仿宋"/>
          <w:spacing w:val="4"/>
          <w:sz w:val="28"/>
          <w:szCs w:val="32"/>
          <w:highlight w:val="none"/>
        </w:rPr>
        <w:t>应急管理及安全生产工作经费支出91.67万元</w:t>
      </w:r>
      <w:r>
        <w:rPr>
          <w:rFonts w:hint="eastAsia" w:ascii="Times New Roman" w:hAnsi="仿宋" w:eastAsia="宋体" w:cs="仿宋"/>
          <w:spacing w:val="4"/>
          <w:sz w:val="28"/>
          <w:szCs w:val="32"/>
          <w:highlight w:val="none"/>
          <w:lang w:eastAsia="zh-CN"/>
        </w:rPr>
        <w:t>，其他</w:t>
      </w:r>
      <w:r>
        <w:rPr>
          <w:rFonts w:hint="eastAsia" w:ascii="Times New Roman" w:hAnsi="仿宋" w:eastAsia="宋体" w:cs="仿宋"/>
          <w:spacing w:val="4"/>
          <w:sz w:val="28"/>
          <w:szCs w:val="32"/>
          <w:highlight w:val="none"/>
        </w:rPr>
        <w:t>用于农林水支出</w:t>
      </w:r>
      <w:r>
        <w:rPr>
          <w:rFonts w:hint="eastAsia" w:ascii="Times New Roman" w:hAnsi="仿宋" w:eastAsia="宋体" w:cs="仿宋"/>
          <w:spacing w:val="4"/>
          <w:sz w:val="28"/>
          <w:szCs w:val="32"/>
          <w:highlight w:val="none"/>
          <w:lang w:val="en-US" w:eastAsia="zh-CN"/>
        </w:rPr>
        <w:t>594.92万元</w:t>
      </w:r>
      <w:r>
        <w:rPr>
          <w:rFonts w:hint="eastAsia" w:ascii="Times New Roman" w:hAnsi="仿宋" w:eastAsia="宋体" w:cs="仿宋"/>
          <w:spacing w:val="4"/>
          <w:sz w:val="28"/>
          <w:szCs w:val="32"/>
          <w:highlight w:val="none"/>
        </w:rPr>
        <w:t>，均为主要职责履行，重点支出安排率100%。</w:t>
      </w:r>
    </w:p>
    <w:p>
      <w:pPr>
        <w:widowControl/>
        <w:snapToGrid/>
        <w:spacing w:beforeAutospacing="0" w:afterAutospacing="0" w:line="360" w:lineRule="auto"/>
        <w:ind w:left="0" w:leftChars="0" w:firstLine="576" w:firstLineChars="200"/>
        <w:jc w:val="left"/>
        <w:rPr>
          <w:rFonts w:ascii="Times New Roman" w:hAnsi="仿宋" w:eastAsia="宋体" w:cs="仿宋"/>
          <w:spacing w:val="4"/>
          <w:sz w:val="28"/>
          <w:szCs w:val="32"/>
        </w:rPr>
      </w:pPr>
      <w:r>
        <w:rPr>
          <w:rFonts w:hint="eastAsia" w:ascii="Times New Roman" w:hAnsi="仿宋" w:eastAsia="宋体" w:cs="仿宋"/>
          <w:spacing w:val="4"/>
          <w:sz w:val="28"/>
          <w:szCs w:val="32"/>
        </w:rPr>
        <w:t>根据评分标准，此项得分4分。</w:t>
      </w:r>
    </w:p>
    <w:p>
      <w:pPr>
        <w:widowControl/>
        <w:snapToGrid/>
        <w:spacing w:beforeAutospacing="0" w:afterAutospacing="0" w:line="360" w:lineRule="auto"/>
        <w:ind w:left="0" w:leftChars="0" w:firstLine="576" w:firstLineChars="200"/>
        <w:jc w:val="left"/>
        <w:rPr>
          <w:rFonts w:ascii="Times New Roman" w:hAnsi="仿宋" w:eastAsia="宋体" w:cs="仿宋"/>
          <w:sz w:val="28"/>
          <w:szCs w:val="32"/>
        </w:rPr>
      </w:pPr>
      <w:r>
        <w:rPr>
          <w:rFonts w:hint="eastAsia" w:ascii="Times New Roman" w:hAnsi="仿宋" w:eastAsia="宋体" w:cs="仿宋"/>
          <w:spacing w:val="4"/>
          <w:sz w:val="28"/>
          <w:szCs w:val="32"/>
        </w:rPr>
        <w:t>因此，预算配置合计得分10.5分。</w:t>
      </w:r>
    </w:p>
    <w:p>
      <w:pPr>
        <w:widowControl/>
        <w:snapToGrid/>
        <w:spacing w:before="156" w:beforeLines="50" w:beforeAutospacing="0" w:afterAutospacing="0" w:line="360" w:lineRule="auto"/>
        <w:ind w:left="0" w:leftChars="0" w:right="0" w:rightChars="0" w:firstLine="0" w:firstLineChars="0"/>
        <w:jc w:val="left"/>
        <w:outlineLvl w:val="1"/>
        <w:rPr>
          <w:rFonts w:ascii="Times New Roman" w:hAnsi="仿宋" w:eastAsia="宋体" w:cs="仿宋"/>
          <w:b/>
          <w:bCs/>
          <w:spacing w:val="4"/>
          <w:sz w:val="30"/>
          <w:szCs w:val="32"/>
        </w:rPr>
      </w:pPr>
      <w:bookmarkStart w:id="156" w:name="_Toc18483"/>
      <w:r>
        <w:rPr>
          <w:rFonts w:hint="eastAsia" w:ascii="Times New Roman" w:hAnsi="仿宋" w:eastAsia="宋体" w:cs="仿宋"/>
          <w:b/>
          <w:bCs/>
          <w:spacing w:val="4"/>
          <w:sz w:val="30"/>
          <w:szCs w:val="32"/>
        </w:rPr>
        <w:t>（二）实施过程（权重为20%，得分1</w:t>
      </w:r>
      <w:r>
        <w:rPr>
          <w:rFonts w:hint="eastAsia" w:ascii="Times New Roman" w:hAnsi="仿宋" w:eastAsia="宋体" w:cs="仿宋"/>
          <w:b/>
          <w:bCs/>
          <w:spacing w:val="4"/>
          <w:sz w:val="30"/>
          <w:szCs w:val="32"/>
          <w:lang w:val="en-US" w:eastAsia="zh-CN"/>
        </w:rPr>
        <w:t>2</w:t>
      </w:r>
      <w:r>
        <w:rPr>
          <w:rFonts w:hint="eastAsia" w:ascii="Times New Roman" w:hAnsi="仿宋" w:eastAsia="宋体" w:cs="仿宋"/>
          <w:b/>
          <w:bCs/>
          <w:spacing w:val="4"/>
          <w:sz w:val="30"/>
          <w:szCs w:val="32"/>
        </w:rPr>
        <w:t>.04分）</w:t>
      </w:r>
      <w:bookmarkEnd w:id="156"/>
    </w:p>
    <w:p>
      <w:pPr>
        <w:widowControl/>
        <w:snapToGrid/>
        <w:spacing w:beforeAutospacing="0" w:afterAutospacing="0" w:line="360" w:lineRule="auto"/>
        <w:ind w:left="0" w:leftChars="0" w:firstLine="576" w:firstLineChars="200"/>
        <w:jc w:val="left"/>
        <w:rPr>
          <w:rFonts w:ascii="Times New Roman" w:hAnsi="仿宋" w:eastAsia="宋体" w:cs="仿宋"/>
          <w:spacing w:val="4"/>
          <w:sz w:val="28"/>
          <w:szCs w:val="32"/>
        </w:rPr>
      </w:pPr>
      <w:r>
        <w:rPr>
          <w:rFonts w:hint="eastAsia" w:ascii="Times New Roman" w:hAnsi="仿宋" w:eastAsia="宋体" w:cs="仿宋"/>
          <w:spacing w:val="4"/>
          <w:sz w:val="28"/>
          <w:szCs w:val="32"/>
        </w:rPr>
        <w:t>过程评价主要通过“预算执行”和“预算管理”两个方面进行。</w:t>
      </w:r>
    </w:p>
    <w:p>
      <w:pPr>
        <w:snapToGrid/>
        <w:spacing w:beforeAutospacing="0" w:afterAutospacing="0" w:line="360" w:lineRule="auto"/>
        <w:ind w:left="0" w:leftChars="0" w:right="0" w:rightChars="0" w:firstLine="0" w:firstLineChars="0"/>
        <w:jc w:val="left"/>
        <w:outlineLvl w:val="2"/>
        <w:rPr>
          <w:rFonts w:ascii="Times New Roman" w:hAnsi="仿宋" w:eastAsia="宋体" w:cs="仿宋"/>
          <w:b/>
          <w:bCs/>
          <w:spacing w:val="4"/>
          <w:sz w:val="28"/>
          <w:szCs w:val="32"/>
        </w:rPr>
      </w:pPr>
      <w:bookmarkStart w:id="157" w:name="_Toc10904"/>
      <w:bookmarkStart w:id="158" w:name="_Toc2925"/>
      <w:bookmarkStart w:id="159" w:name="_Toc25502"/>
      <w:bookmarkStart w:id="160" w:name="_Toc35"/>
      <w:bookmarkStart w:id="161" w:name="_Toc3868"/>
      <w:bookmarkStart w:id="162" w:name="_Toc14864"/>
      <w:r>
        <w:rPr>
          <w:rFonts w:hint="eastAsia" w:ascii="Times New Roman" w:hAnsi="仿宋" w:eastAsia="宋体" w:cs="仿宋"/>
          <w:b/>
          <w:bCs/>
          <w:spacing w:val="4"/>
          <w:sz w:val="28"/>
          <w:szCs w:val="32"/>
        </w:rPr>
        <w:t>1.预算执行（分值为12分）</w:t>
      </w:r>
      <w:bookmarkEnd w:id="157"/>
      <w:bookmarkEnd w:id="158"/>
      <w:bookmarkEnd w:id="159"/>
      <w:bookmarkEnd w:id="160"/>
      <w:bookmarkEnd w:id="161"/>
      <w:bookmarkEnd w:id="162"/>
    </w:p>
    <w:p>
      <w:pPr>
        <w:widowControl/>
        <w:snapToGrid/>
        <w:spacing w:beforeAutospacing="0" w:afterAutospacing="0" w:line="360" w:lineRule="auto"/>
        <w:ind w:left="0" w:leftChars="0" w:firstLine="576" w:firstLineChars="200"/>
        <w:jc w:val="left"/>
        <w:rPr>
          <w:rFonts w:ascii="Times New Roman" w:hAnsi="仿宋" w:eastAsia="宋体" w:cs="仿宋"/>
          <w:spacing w:val="4"/>
          <w:sz w:val="28"/>
          <w:szCs w:val="32"/>
        </w:rPr>
      </w:pPr>
      <w:r>
        <w:rPr>
          <w:rFonts w:hint="eastAsia" w:ascii="Times New Roman" w:hAnsi="仿宋" w:eastAsia="宋体" w:cs="仿宋"/>
          <w:spacing w:val="4"/>
          <w:sz w:val="28"/>
          <w:szCs w:val="32"/>
        </w:rPr>
        <w:t>预算执行主要从预算完成率、预算调整率、结转结余率、公用经费控制率、</w:t>
      </w:r>
      <w:r>
        <w:rPr>
          <w:rFonts w:hint="eastAsia" w:ascii="Times New Roman" w:hAnsi="仿宋" w:eastAsia="宋体" w:cs="仿宋"/>
          <w:spacing w:val="4"/>
          <w:sz w:val="28"/>
          <w:szCs w:val="32"/>
          <w:lang w:eastAsia="zh-CN"/>
        </w:rPr>
        <w:t>“三公”经费</w:t>
      </w:r>
      <w:r>
        <w:rPr>
          <w:rFonts w:hint="eastAsia" w:ascii="Times New Roman" w:hAnsi="仿宋" w:eastAsia="宋体" w:cs="仿宋"/>
          <w:spacing w:val="4"/>
          <w:sz w:val="28"/>
          <w:szCs w:val="32"/>
        </w:rPr>
        <w:t>控制率和政府采购执行率6个方面进行评价。</w:t>
      </w:r>
    </w:p>
    <w:p>
      <w:pPr>
        <w:widowControl/>
        <w:snapToGrid/>
        <w:spacing w:beforeAutospacing="0" w:afterAutospacing="0" w:line="360" w:lineRule="auto"/>
        <w:ind w:left="0" w:leftChars="0" w:firstLine="576" w:firstLineChars="200"/>
        <w:jc w:val="left"/>
        <w:outlineLvl w:val="3"/>
        <w:rPr>
          <w:rFonts w:ascii="Times New Roman" w:hAnsi="仿宋" w:eastAsia="宋体" w:cs="仿宋"/>
          <w:spacing w:val="4"/>
          <w:sz w:val="28"/>
          <w:szCs w:val="32"/>
        </w:rPr>
      </w:pPr>
      <w:r>
        <w:rPr>
          <w:rFonts w:hint="eastAsia" w:ascii="Times New Roman" w:hAnsi="仿宋" w:eastAsia="宋体" w:cs="仿宋"/>
          <w:spacing w:val="4"/>
          <w:sz w:val="28"/>
          <w:szCs w:val="32"/>
        </w:rPr>
        <w:t>（1）预算完成率（分值2分）</w:t>
      </w:r>
    </w:p>
    <w:p>
      <w:pPr>
        <w:widowControl/>
        <w:snapToGrid/>
        <w:spacing w:beforeAutospacing="0" w:afterAutospacing="0" w:line="360" w:lineRule="auto"/>
        <w:ind w:left="0" w:leftChars="0" w:firstLine="576" w:firstLineChars="200"/>
        <w:jc w:val="left"/>
        <w:outlineLvl w:val="3"/>
        <w:rPr>
          <w:rFonts w:ascii="Times New Roman" w:hAnsi="仿宋" w:eastAsia="宋体" w:cs="仿宋"/>
          <w:spacing w:val="4"/>
          <w:sz w:val="28"/>
          <w:szCs w:val="32"/>
        </w:rPr>
      </w:pPr>
      <w:r>
        <w:rPr>
          <w:rFonts w:hint="eastAsia" w:ascii="Times New Roman" w:hAnsi="仿宋" w:eastAsia="宋体" w:cs="仿宋"/>
          <w:spacing w:val="4"/>
          <w:sz w:val="28"/>
          <w:szCs w:val="32"/>
        </w:rPr>
        <w:t>预算完成率指标通过对部门（单位）本年度支出预算完成数与支出预算数的比较，反映和评价部门（单位）支出预算的完成程度。支出预算完成率=（预算完成数/预算数）×100%。评分标准为：①完成率大于或等于95%的，得满分；②完成率小于或等于85%的，得0分；③完成率在85%-95%之间的，得分=（某部门预算完成率-85%）/10%×该指标分值。</w:t>
      </w:r>
    </w:p>
    <w:p>
      <w:pPr>
        <w:widowControl/>
        <w:snapToGrid/>
        <w:spacing w:beforeAutospacing="0" w:afterAutospacing="0" w:line="360" w:lineRule="auto"/>
        <w:ind w:left="0" w:leftChars="0" w:firstLine="576" w:firstLineChars="200"/>
        <w:jc w:val="left"/>
        <w:outlineLvl w:val="3"/>
        <w:rPr>
          <w:rFonts w:ascii="Times New Roman" w:hAnsi="仿宋" w:eastAsia="宋体" w:cs="仿宋"/>
          <w:spacing w:val="4"/>
          <w:sz w:val="28"/>
          <w:szCs w:val="32"/>
        </w:rPr>
      </w:pPr>
      <w:r>
        <w:rPr>
          <w:rFonts w:hint="eastAsia" w:ascii="Times New Roman" w:hAnsi="仿宋" w:eastAsia="宋体" w:cs="仿宋"/>
          <w:spacing w:val="4"/>
          <w:sz w:val="28"/>
          <w:szCs w:val="32"/>
        </w:rPr>
        <w:t>2022年调整后预算数1647.2万元，本年度实际完成的预算数1606.95万元，预算完成率=（预算完成数/预算数）×100%=(1606.95/1647.2)万×100%=97.56%。完成率大于或等于95%的，根据评分标准，此项得2分。</w:t>
      </w:r>
    </w:p>
    <w:p>
      <w:pPr>
        <w:widowControl/>
        <w:snapToGrid/>
        <w:spacing w:beforeAutospacing="0" w:afterAutospacing="0" w:line="360" w:lineRule="auto"/>
        <w:ind w:left="0" w:leftChars="0" w:firstLine="576" w:firstLineChars="200"/>
        <w:jc w:val="left"/>
        <w:outlineLvl w:val="3"/>
        <w:rPr>
          <w:rFonts w:ascii="Times New Roman" w:hAnsi="仿宋" w:eastAsia="宋体" w:cs="仿宋"/>
          <w:spacing w:val="4"/>
          <w:sz w:val="28"/>
          <w:szCs w:val="32"/>
        </w:rPr>
      </w:pPr>
      <w:r>
        <w:rPr>
          <w:rFonts w:hint="eastAsia" w:ascii="Times New Roman" w:hAnsi="仿宋" w:eastAsia="宋体" w:cs="仿宋"/>
          <w:spacing w:val="4"/>
          <w:sz w:val="28"/>
          <w:szCs w:val="32"/>
        </w:rPr>
        <w:t>（2）预算调整率（分值2分）</w:t>
      </w:r>
    </w:p>
    <w:p>
      <w:pPr>
        <w:widowControl/>
        <w:snapToGrid/>
        <w:spacing w:beforeAutospacing="0" w:afterAutospacing="0" w:line="360" w:lineRule="auto"/>
        <w:ind w:left="0" w:leftChars="0" w:firstLine="576" w:firstLineChars="200"/>
        <w:jc w:val="left"/>
        <w:outlineLvl w:val="3"/>
        <w:rPr>
          <w:rFonts w:ascii="Times New Roman" w:hAnsi="仿宋" w:eastAsia="宋体" w:cs="仿宋"/>
          <w:spacing w:val="4"/>
          <w:sz w:val="28"/>
          <w:szCs w:val="32"/>
        </w:rPr>
      </w:pPr>
      <w:r>
        <w:rPr>
          <w:rFonts w:hint="eastAsia" w:ascii="Times New Roman" w:hAnsi="仿宋" w:eastAsia="宋体" w:cs="仿宋"/>
          <w:spacing w:val="4"/>
          <w:sz w:val="28"/>
          <w:szCs w:val="32"/>
        </w:rPr>
        <w:t>预算调整率指标考核部门（单位）本年度支出预算调整数与支出预算数的比率，用以反映和评价部门（单位）预算的调整程度。支出预算调整率=（支出预算调整数/支出预算数）×100%。评分标准为：①支出预算调整率等于0的，得满分；②调整率大于或等于10%的，得0分；③调整率在0-10%之间的，得分=（10%-某部门预算调整率）/10%×该指标分值；</w:t>
      </w:r>
    </w:p>
    <w:p>
      <w:pPr>
        <w:pStyle w:val="2"/>
        <w:snapToGrid/>
        <w:spacing w:beforeAutospacing="0" w:afterAutospacing="0" w:line="360" w:lineRule="auto"/>
        <w:ind w:left="0" w:leftChars="0" w:firstLine="576" w:firstLineChars="200"/>
        <w:jc w:val="left"/>
        <w:rPr>
          <w:rFonts w:ascii="Times New Roman" w:hAnsi="仿宋" w:eastAsia="宋体" w:cs="仿宋"/>
          <w:spacing w:val="4"/>
          <w:sz w:val="28"/>
          <w:szCs w:val="32"/>
        </w:rPr>
      </w:pPr>
      <w:r>
        <w:rPr>
          <w:rFonts w:hint="eastAsia" w:ascii="Times New Roman" w:hAnsi="仿宋" w:eastAsia="宋体" w:cs="仿宋"/>
          <w:spacing w:val="4"/>
          <w:sz w:val="28"/>
          <w:szCs w:val="32"/>
        </w:rPr>
        <w:t>根据2022年收入支出决算表数据，年中预算调整数为966.23万元，年初预算数为680.97万元，预算调整率=（预算调整数/预算数）×100%=（966.23/680.97)=141%。此项</w:t>
      </w:r>
      <w:r>
        <w:rPr>
          <w:rFonts w:hint="eastAsia" w:ascii="Times New Roman" w:hAnsi="仿宋" w:eastAsia="宋体" w:cs="仿宋"/>
          <w:spacing w:val="4"/>
          <w:sz w:val="28"/>
          <w:szCs w:val="32"/>
          <w:lang w:val="en-US" w:eastAsia="zh-CN"/>
        </w:rPr>
        <w:t>不得分</w:t>
      </w:r>
      <w:r>
        <w:rPr>
          <w:rFonts w:hint="eastAsia" w:ascii="Times New Roman" w:hAnsi="仿宋" w:eastAsia="宋体" w:cs="仿宋"/>
          <w:spacing w:val="4"/>
          <w:sz w:val="28"/>
          <w:szCs w:val="32"/>
        </w:rPr>
        <w:t>。</w:t>
      </w:r>
    </w:p>
    <w:p>
      <w:pPr>
        <w:widowControl/>
        <w:snapToGrid/>
        <w:spacing w:beforeAutospacing="0" w:afterAutospacing="0" w:line="360" w:lineRule="auto"/>
        <w:ind w:left="0" w:leftChars="0" w:firstLine="576" w:firstLineChars="200"/>
        <w:jc w:val="left"/>
        <w:outlineLvl w:val="3"/>
        <w:rPr>
          <w:rFonts w:ascii="Times New Roman" w:hAnsi="仿宋" w:eastAsia="宋体" w:cs="仿宋"/>
          <w:spacing w:val="4"/>
          <w:sz w:val="28"/>
          <w:szCs w:val="32"/>
        </w:rPr>
      </w:pPr>
      <w:r>
        <w:rPr>
          <w:rFonts w:hint="eastAsia" w:ascii="Times New Roman" w:hAnsi="仿宋" w:eastAsia="宋体" w:cs="仿宋"/>
          <w:spacing w:val="4"/>
          <w:sz w:val="28"/>
          <w:szCs w:val="32"/>
        </w:rPr>
        <w:t>（3）结转结余率（分值2分）</w:t>
      </w:r>
    </w:p>
    <w:p>
      <w:pPr>
        <w:widowControl/>
        <w:snapToGrid/>
        <w:spacing w:beforeAutospacing="0" w:afterAutospacing="0" w:line="360" w:lineRule="auto"/>
        <w:ind w:left="0" w:leftChars="0" w:firstLine="576" w:firstLineChars="200"/>
        <w:jc w:val="left"/>
        <w:rPr>
          <w:rFonts w:ascii="Times New Roman" w:hAnsi="仿宋" w:eastAsia="宋体" w:cs="仿宋"/>
          <w:spacing w:val="4"/>
          <w:sz w:val="28"/>
          <w:szCs w:val="32"/>
        </w:rPr>
      </w:pPr>
      <w:r>
        <w:rPr>
          <w:rFonts w:hint="eastAsia" w:ascii="Times New Roman" w:hAnsi="仿宋" w:eastAsia="宋体" w:cs="仿宋"/>
          <w:spacing w:val="4"/>
          <w:sz w:val="28"/>
          <w:szCs w:val="32"/>
        </w:rPr>
        <w:t>结转结余率考核部门（单位）本年度结转结余总额（含留在二级单位账上的资金）与支出预算数的比率，反映和评价部门（单位）对本年度结转结余资金的实际控制程度。评分标准为①结转结余率≤10%，得2分；②10%＜结转结余率≤50%，得1分；</w:t>
      </w:r>
      <w:r>
        <w:rPr>
          <w:rFonts w:hint="eastAsia" w:ascii="Times New Roman" w:hAnsi="仿宋" w:eastAsia="宋体" w:cs="仿宋"/>
          <w:spacing w:val="4"/>
          <w:sz w:val="28"/>
          <w:szCs w:val="32"/>
        </w:rPr>
        <w:fldChar w:fldCharType="begin"/>
      </w:r>
      <w:r>
        <w:rPr>
          <w:rFonts w:hint="eastAsia" w:ascii="Times New Roman" w:hAnsi="仿宋" w:eastAsia="宋体" w:cs="仿宋"/>
          <w:spacing w:val="4"/>
          <w:sz w:val="28"/>
          <w:szCs w:val="32"/>
        </w:rPr>
        <w:instrText xml:space="preserve"> = 3 \* GB3 </w:instrText>
      </w:r>
      <w:r>
        <w:rPr>
          <w:rFonts w:hint="eastAsia" w:ascii="Times New Roman" w:hAnsi="仿宋" w:eastAsia="宋体" w:cs="仿宋"/>
          <w:spacing w:val="4"/>
          <w:sz w:val="28"/>
          <w:szCs w:val="32"/>
        </w:rPr>
        <w:fldChar w:fldCharType="separate"/>
      </w:r>
      <w:r>
        <w:rPr>
          <w:rFonts w:hint="eastAsia" w:ascii="Times New Roman" w:hAnsi="仿宋" w:eastAsia="宋体" w:cs="仿宋"/>
          <w:spacing w:val="4"/>
          <w:sz w:val="28"/>
          <w:szCs w:val="32"/>
        </w:rPr>
        <w:t>③</w:t>
      </w:r>
      <w:r>
        <w:rPr>
          <w:rFonts w:hint="eastAsia" w:ascii="Times New Roman" w:hAnsi="仿宋" w:eastAsia="宋体" w:cs="仿宋"/>
          <w:spacing w:val="4"/>
          <w:sz w:val="28"/>
          <w:szCs w:val="32"/>
        </w:rPr>
        <w:fldChar w:fldCharType="end"/>
      </w:r>
      <w:r>
        <w:rPr>
          <w:rFonts w:hint="eastAsia" w:ascii="Times New Roman" w:hAnsi="仿宋" w:eastAsia="宋体" w:cs="仿宋"/>
          <w:spacing w:val="4"/>
          <w:sz w:val="28"/>
          <w:szCs w:val="32"/>
        </w:rPr>
        <w:t xml:space="preserve">结转结余率&gt;50%，不得分。 </w:t>
      </w:r>
    </w:p>
    <w:p>
      <w:pPr>
        <w:widowControl/>
        <w:snapToGrid/>
        <w:spacing w:beforeAutospacing="0" w:afterAutospacing="0" w:line="360" w:lineRule="auto"/>
        <w:ind w:left="0" w:leftChars="0" w:firstLine="576" w:firstLineChars="200"/>
        <w:jc w:val="left"/>
        <w:rPr>
          <w:rFonts w:ascii="Times New Roman" w:hAnsi="仿宋" w:eastAsia="宋体" w:cs="仿宋"/>
          <w:spacing w:val="4"/>
          <w:sz w:val="28"/>
          <w:szCs w:val="32"/>
        </w:rPr>
      </w:pPr>
      <w:r>
        <w:rPr>
          <w:rFonts w:hint="eastAsia" w:ascii="Times New Roman" w:hAnsi="仿宋" w:eastAsia="宋体" w:cs="仿宋"/>
          <w:spacing w:val="4"/>
          <w:sz w:val="28"/>
          <w:szCs w:val="32"/>
        </w:rPr>
        <w:t>根据石狮市应急管理局2022年收入支出决算表数据，年末财政拨款结转和结余40.25万元，支出预算数164.72万元，结转结余率=(40.25/164.72)×100%=24%。得分=（50%-24%）/50%×2=1.04根据评分标准，此项扣0.96分，得分1.04分。</w:t>
      </w:r>
    </w:p>
    <w:p>
      <w:pPr>
        <w:widowControl/>
        <w:snapToGrid/>
        <w:spacing w:beforeAutospacing="0" w:afterAutospacing="0" w:line="360" w:lineRule="auto"/>
        <w:ind w:left="0" w:leftChars="0" w:firstLine="576" w:firstLineChars="200"/>
        <w:jc w:val="left"/>
        <w:outlineLvl w:val="3"/>
        <w:rPr>
          <w:rFonts w:ascii="Times New Roman" w:hAnsi="仿宋" w:eastAsia="宋体" w:cs="仿宋"/>
          <w:spacing w:val="4"/>
          <w:sz w:val="28"/>
          <w:szCs w:val="32"/>
        </w:rPr>
      </w:pPr>
      <w:r>
        <w:rPr>
          <w:rFonts w:hint="eastAsia" w:ascii="Times New Roman" w:hAnsi="仿宋" w:eastAsia="宋体" w:cs="仿宋"/>
          <w:spacing w:val="4"/>
          <w:sz w:val="28"/>
          <w:szCs w:val="32"/>
        </w:rPr>
        <w:t>（4）公用经费控制率（分值2分）</w:t>
      </w:r>
    </w:p>
    <w:p>
      <w:pPr>
        <w:widowControl/>
        <w:snapToGrid/>
        <w:spacing w:beforeAutospacing="0" w:afterAutospacing="0" w:line="360" w:lineRule="auto"/>
        <w:ind w:left="0" w:leftChars="0" w:firstLine="576" w:firstLineChars="200"/>
        <w:jc w:val="left"/>
        <w:rPr>
          <w:rFonts w:ascii="Times New Roman" w:hAnsi="仿宋" w:eastAsia="宋体" w:cs="仿宋"/>
          <w:spacing w:val="4"/>
          <w:sz w:val="28"/>
          <w:szCs w:val="32"/>
        </w:rPr>
      </w:pPr>
      <w:r>
        <w:rPr>
          <w:rFonts w:hint="eastAsia" w:ascii="Times New Roman" w:hAnsi="仿宋" w:eastAsia="宋体" w:cs="仿宋"/>
          <w:spacing w:val="4"/>
          <w:sz w:val="28"/>
          <w:szCs w:val="32"/>
        </w:rPr>
        <w:t>“公用经费控制率”指标用于评价部门（单位）本年度实际支出的公用经费总额与预算安排的公用经费总额的比率，反映和评价部门（单位）对机构运转成本的实际控制程度。评分标准为：①公用经费控制率≤100%(2分)；②公用经费控制率&gt;100%且≤120%(1分)；③公用经费控制率&gt;120%且≤150% (0.5分)；④公用经费控制率&gt;150% (0 分)。</w:t>
      </w:r>
    </w:p>
    <w:p>
      <w:pPr>
        <w:widowControl/>
        <w:snapToGrid/>
        <w:spacing w:beforeAutospacing="0" w:afterAutospacing="0" w:line="360" w:lineRule="auto"/>
        <w:ind w:left="0" w:leftChars="0" w:firstLine="576" w:firstLineChars="200"/>
        <w:outlineLvl w:val="3"/>
        <w:rPr>
          <w:rFonts w:ascii="Times New Roman" w:hAnsi="仿宋" w:eastAsia="宋体" w:cs="仿宋"/>
          <w:spacing w:val="4"/>
          <w:sz w:val="28"/>
          <w:szCs w:val="32"/>
        </w:rPr>
      </w:pPr>
      <w:r>
        <w:rPr>
          <w:rFonts w:hint="eastAsia" w:ascii="Times New Roman" w:hAnsi="仿宋" w:eastAsia="宋体" w:cs="仿宋"/>
          <w:spacing w:val="4"/>
          <w:sz w:val="28"/>
          <w:szCs w:val="32"/>
        </w:rPr>
        <w:t>根据石狮市应急管理局2022年预算安排公用经费总额72.64万元，实际支出公用经费总额101.3万元，公用经费控制率=(实际支出公用经费总额/预算安排公用经费总额)*100%=101.3/72.64×100%=139.5%,公用经费控制率&gt;150% 此项</w:t>
      </w:r>
      <w:r>
        <w:rPr>
          <w:rFonts w:hint="eastAsia" w:ascii="Times New Roman" w:hAnsi="仿宋" w:eastAsia="宋体" w:cs="仿宋"/>
          <w:spacing w:val="4"/>
          <w:sz w:val="28"/>
          <w:szCs w:val="32"/>
          <w:lang w:val="en-US" w:eastAsia="zh-CN"/>
        </w:rPr>
        <w:t>不得</w:t>
      </w:r>
      <w:r>
        <w:rPr>
          <w:rFonts w:hint="eastAsia" w:ascii="Times New Roman" w:hAnsi="仿宋" w:eastAsia="宋体" w:cs="仿宋"/>
          <w:spacing w:val="4"/>
          <w:sz w:val="28"/>
          <w:szCs w:val="32"/>
        </w:rPr>
        <w:t>分。</w:t>
      </w:r>
    </w:p>
    <w:p>
      <w:pPr>
        <w:pStyle w:val="2"/>
        <w:snapToGrid/>
        <w:spacing w:beforeAutospacing="0" w:afterAutospacing="0" w:line="360" w:lineRule="auto"/>
        <w:ind w:left="0" w:leftChars="0" w:firstLine="576" w:firstLineChars="200"/>
        <w:rPr>
          <w:rFonts w:ascii="Times New Roman" w:hAnsi="仿宋" w:eastAsia="宋体" w:cs="仿宋"/>
          <w:sz w:val="28"/>
          <w:szCs w:val="32"/>
        </w:rPr>
      </w:pPr>
      <w:r>
        <w:rPr>
          <w:rFonts w:hint="eastAsia" w:ascii="Times New Roman" w:hAnsi="仿宋" w:eastAsia="宋体" w:cs="仿宋"/>
          <w:spacing w:val="4"/>
          <w:sz w:val="28"/>
          <w:szCs w:val="32"/>
        </w:rPr>
        <w:t>（5）三公经费控制率（分值为2分）</w:t>
      </w:r>
    </w:p>
    <w:p>
      <w:pPr>
        <w:widowControl/>
        <w:snapToGrid/>
        <w:spacing w:beforeAutospacing="0" w:afterAutospacing="0" w:line="360" w:lineRule="auto"/>
        <w:ind w:left="0" w:leftChars="0" w:firstLine="576" w:firstLineChars="200"/>
        <w:outlineLvl w:val="3"/>
        <w:rPr>
          <w:rFonts w:ascii="Times New Roman" w:hAnsi="仿宋" w:eastAsia="宋体" w:cs="仿宋"/>
          <w:spacing w:val="4"/>
          <w:sz w:val="28"/>
          <w:szCs w:val="32"/>
        </w:rPr>
      </w:pPr>
      <w:r>
        <w:rPr>
          <w:rFonts w:hint="eastAsia" w:ascii="Times New Roman" w:hAnsi="仿宋" w:eastAsia="宋体" w:cs="仿宋"/>
          <w:spacing w:val="4"/>
          <w:sz w:val="28"/>
          <w:szCs w:val="32"/>
        </w:rPr>
        <w:t>三公经费控制率指标考核部门（单位）本年度</w:t>
      </w:r>
      <w:r>
        <w:rPr>
          <w:rFonts w:hint="eastAsia" w:ascii="Times New Roman" w:hAnsi="仿宋" w:eastAsia="宋体" w:cs="仿宋"/>
          <w:spacing w:val="4"/>
          <w:sz w:val="28"/>
          <w:szCs w:val="32"/>
          <w:lang w:eastAsia="zh-CN"/>
        </w:rPr>
        <w:t>“三公”经费</w:t>
      </w:r>
      <w:r>
        <w:rPr>
          <w:rFonts w:hint="eastAsia" w:ascii="Times New Roman" w:hAnsi="仿宋" w:eastAsia="宋体" w:cs="仿宋"/>
          <w:spacing w:val="4"/>
          <w:sz w:val="28"/>
          <w:szCs w:val="32"/>
        </w:rPr>
        <w:t>实际支出数与预算安排数的比率，用以反映和评价部门（单位）对“三公”经费的实际控制程度。评分标准为：①</w:t>
      </w:r>
      <w:r>
        <w:rPr>
          <w:rFonts w:hint="eastAsia" w:ascii="Times New Roman" w:hAnsi="仿宋" w:eastAsia="宋体" w:cs="仿宋"/>
          <w:spacing w:val="4"/>
          <w:sz w:val="28"/>
          <w:szCs w:val="32"/>
          <w:lang w:eastAsia="zh-CN"/>
        </w:rPr>
        <w:t>“三公”经费</w:t>
      </w:r>
      <w:r>
        <w:rPr>
          <w:rFonts w:hint="eastAsia" w:ascii="Times New Roman" w:hAnsi="仿宋" w:eastAsia="宋体" w:cs="仿宋"/>
          <w:spacing w:val="4"/>
          <w:sz w:val="28"/>
          <w:szCs w:val="32"/>
        </w:rPr>
        <w:t>控制率小于100%的，得满分；②</w:t>
      </w:r>
      <w:r>
        <w:rPr>
          <w:rFonts w:hint="eastAsia" w:ascii="Times New Roman" w:hAnsi="仿宋" w:eastAsia="宋体" w:cs="仿宋"/>
          <w:spacing w:val="4"/>
          <w:sz w:val="28"/>
          <w:szCs w:val="32"/>
          <w:lang w:eastAsia="zh-CN"/>
        </w:rPr>
        <w:t>“三公”经费</w:t>
      </w:r>
      <w:r>
        <w:rPr>
          <w:rFonts w:hint="eastAsia" w:ascii="Times New Roman" w:hAnsi="仿宋" w:eastAsia="宋体" w:cs="仿宋"/>
          <w:spacing w:val="4"/>
          <w:sz w:val="28"/>
          <w:szCs w:val="32"/>
        </w:rPr>
        <w:t>大于等于100%的，得0分。</w:t>
      </w:r>
    </w:p>
    <w:p>
      <w:pPr>
        <w:widowControl/>
        <w:snapToGrid/>
        <w:spacing w:beforeAutospacing="0" w:afterAutospacing="0" w:line="360" w:lineRule="auto"/>
        <w:ind w:left="0" w:leftChars="0" w:firstLine="576" w:firstLineChars="200"/>
        <w:outlineLvl w:val="3"/>
        <w:rPr>
          <w:rFonts w:ascii="Times New Roman" w:hAnsi="仿宋" w:eastAsia="宋体" w:cs="仿宋"/>
          <w:sz w:val="28"/>
          <w:szCs w:val="32"/>
        </w:rPr>
      </w:pPr>
      <w:r>
        <w:rPr>
          <w:rFonts w:hint="eastAsia" w:ascii="Times New Roman" w:hAnsi="仿宋" w:eastAsia="宋体" w:cs="仿宋"/>
          <w:spacing w:val="4"/>
          <w:sz w:val="28"/>
          <w:szCs w:val="32"/>
        </w:rPr>
        <w:t>根据石狮市应急管理局2022年度</w:t>
      </w:r>
      <w:r>
        <w:rPr>
          <w:rFonts w:hint="eastAsia" w:ascii="Times New Roman" w:hAnsi="仿宋" w:eastAsia="宋体" w:cs="仿宋"/>
          <w:spacing w:val="4"/>
          <w:sz w:val="28"/>
          <w:szCs w:val="32"/>
          <w:lang w:eastAsia="zh-CN"/>
        </w:rPr>
        <w:t>“三公”经费</w:t>
      </w:r>
      <w:r>
        <w:rPr>
          <w:rFonts w:hint="eastAsia" w:ascii="Times New Roman" w:hAnsi="仿宋" w:eastAsia="宋体" w:cs="仿宋"/>
          <w:spacing w:val="4"/>
          <w:sz w:val="28"/>
          <w:szCs w:val="32"/>
        </w:rPr>
        <w:t>预算8.4万元，实际支出2.19万元。</w:t>
      </w:r>
      <w:r>
        <w:rPr>
          <w:rFonts w:hint="eastAsia" w:ascii="Times New Roman" w:hAnsi="仿宋" w:eastAsia="宋体" w:cs="仿宋"/>
          <w:spacing w:val="4"/>
          <w:sz w:val="28"/>
          <w:szCs w:val="32"/>
          <w:lang w:eastAsia="zh-CN"/>
        </w:rPr>
        <w:t>“三公”经费</w:t>
      </w:r>
      <w:r>
        <w:rPr>
          <w:rFonts w:hint="eastAsia" w:ascii="Times New Roman" w:hAnsi="仿宋" w:eastAsia="宋体" w:cs="仿宋"/>
          <w:spacing w:val="4"/>
          <w:sz w:val="28"/>
          <w:szCs w:val="32"/>
        </w:rPr>
        <w:t>控制率=2.19/8.4=26%，小于100%，此项得2分。</w:t>
      </w:r>
    </w:p>
    <w:p>
      <w:pPr>
        <w:widowControl/>
        <w:snapToGrid/>
        <w:spacing w:beforeAutospacing="0" w:afterAutospacing="0" w:line="360" w:lineRule="auto"/>
        <w:ind w:left="0" w:leftChars="0" w:firstLine="576" w:firstLineChars="200"/>
        <w:jc w:val="left"/>
        <w:outlineLvl w:val="3"/>
        <w:rPr>
          <w:rFonts w:ascii="Times New Roman" w:hAnsi="仿宋" w:eastAsia="宋体" w:cs="仿宋"/>
          <w:spacing w:val="4"/>
          <w:sz w:val="28"/>
          <w:szCs w:val="32"/>
        </w:rPr>
      </w:pPr>
      <w:r>
        <w:rPr>
          <w:rFonts w:hint="eastAsia" w:ascii="Times New Roman" w:hAnsi="仿宋" w:eastAsia="宋体" w:cs="仿宋"/>
          <w:spacing w:val="4"/>
          <w:sz w:val="28"/>
          <w:szCs w:val="32"/>
        </w:rPr>
        <w:t>（6）政府采购执行率（分值2分）</w:t>
      </w:r>
    </w:p>
    <w:p>
      <w:pPr>
        <w:widowControl/>
        <w:snapToGrid/>
        <w:spacing w:beforeAutospacing="0" w:afterAutospacing="0" w:line="360" w:lineRule="auto"/>
        <w:ind w:left="0" w:leftChars="0" w:firstLine="576" w:firstLineChars="200"/>
        <w:jc w:val="left"/>
        <w:rPr>
          <w:rFonts w:ascii="Times New Roman" w:hAnsi="仿宋" w:eastAsia="宋体" w:cs="仿宋"/>
          <w:spacing w:val="4"/>
          <w:sz w:val="28"/>
          <w:szCs w:val="32"/>
        </w:rPr>
      </w:pPr>
      <w:r>
        <w:rPr>
          <w:rFonts w:hint="eastAsia" w:ascii="Times New Roman" w:hAnsi="仿宋" w:eastAsia="宋体" w:cs="仿宋"/>
          <w:spacing w:val="4"/>
          <w:sz w:val="28"/>
          <w:szCs w:val="32"/>
        </w:rPr>
        <w:t>“政府采购执行率”指标用于衡量政府采购预算与实际完成的比例情况。评价部门（单位）本年度政府采购是否执行政府采购相关规定和要求。政府采购执行率=（</w:t>
      </w:r>
      <w:bookmarkStart w:id="163" w:name="_Hlk120768191"/>
      <w:r>
        <w:rPr>
          <w:rFonts w:hint="eastAsia" w:ascii="Times New Roman" w:hAnsi="仿宋" w:eastAsia="宋体" w:cs="仿宋"/>
          <w:spacing w:val="4"/>
          <w:sz w:val="28"/>
          <w:szCs w:val="32"/>
        </w:rPr>
        <w:t>政府采购实际支出资金/政府采购预算资金）×100%</w:t>
      </w:r>
      <w:bookmarkEnd w:id="163"/>
      <w:r>
        <w:rPr>
          <w:rFonts w:hint="eastAsia" w:ascii="Times New Roman" w:hAnsi="仿宋" w:eastAsia="宋体" w:cs="仿宋"/>
          <w:spacing w:val="4"/>
          <w:sz w:val="28"/>
          <w:szCs w:val="32"/>
        </w:rPr>
        <w:t>。评分标准为：政府采购执行率=（实际政府采购支出资金/政府采购预算资金）×100%。①政府采购执行率</w:t>
      </w:r>
      <w:r>
        <w:rPr>
          <w:rFonts w:hint="eastAsia" w:ascii="Times New Roman" w:hAnsi="仿宋" w:eastAsia="宋体" w:cs="仿宋"/>
          <w:spacing w:val="4"/>
          <w:sz w:val="28"/>
          <w:szCs w:val="32"/>
          <w:lang w:val="en-US" w:eastAsia="zh-CN"/>
        </w:rPr>
        <w:t>90</w:t>
      </w:r>
      <w:r>
        <w:rPr>
          <w:rFonts w:hint="eastAsia" w:ascii="Times New Roman" w:hAnsi="仿宋" w:eastAsia="宋体" w:cs="仿宋"/>
          <w:spacing w:val="4"/>
          <w:sz w:val="28"/>
          <w:szCs w:val="32"/>
        </w:rPr>
        <w:t>%≤政府采购执行率＜</w:t>
      </w:r>
      <w:r>
        <w:rPr>
          <w:rFonts w:hint="eastAsia" w:ascii="Times New Roman" w:hAnsi="仿宋" w:eastAsia="宋体" w:cs="仿宋"/>
          <w:spacing w:val="4"/>
          <w:sz w:val="28"/>
          <w:szCs w:val="32"/>
          <w:lang w:val="en-US" w:eastAsia="zh-CN"/>
        </w:rPr>
        <w:t>100</w:t>
      </w:r>
      <w:r>
        <w:rPr>
          <w:rFonts w:hint="eastAsia" w:ascii="Times New Roman" w:hAnsi="仿宋" w:eastAsia="宋体" w:cs="仿宋"/>
          <w:spacing w:val="4"/>
          <w:sz w:val="28"/>
          <w:szCs w:val="32"/>
        </w:rPr>
        <w:t>%，得2分</w:t>
      </w:r>
      <w:r>
        <w:rPr>
          <w:rFonts w:hint="eastAsia" w:ascii="Times New Roman" w:hAnsi="仿宋" w:eastAsia="宋体" w:cs="仿宋"/>
          <w:spacing w:val="4"/>
          <w:sz w:val="28"/>
          <w:szCs w:val="32"/>
          <w:lang w:eastAsia="zh-CN"/>
        </w:rPr>
        <w:t>；</w:t>
      </w:r>
      <w:r>
        <w:rPr>
          <w:rFonts w:hint="eastAsia" w:ascii="Times New Roman" w:hAnsi="仿宋" w:eastAsia="宋体" w:cs="仿宋"/>
          <w:spacing w:val="4"/>
          <w:sz w:val="28"/>
          <w:szCs w:val="32"/>
        </w:rPr>
        <w:t>②85%≤政府采购执行率≤90%，得</w:t>
      </w:r>
      <w:r>
        <w:rPr>
          <w:rFonts w:hint="eastAsia" w:ascii="Times New Roman" w:hAnsi="仿宋" w:eastAsia="宋体" w:cs="仿宋"/>
          <w:spacing w:val="4"/>
          <w:sz w:val="28"/>
          <w:szCs w:val="32"/>
          <w:lang w:val="en-US" w:eastAsia="zh-CN"/>
        </w:rPr>
        <w:t>1.5</w:t>
      </w:r>
      <w:r>
        <w:rPr>
          <w:rFonts w:hint="eastAsia" w:ascii="Times New Roman" w:hAnsi="仿宋" w:eastAsia="宋体" w:cs="仿宋"/>
          <w:spacing w:val="4"/>
          <w:sz w:val="28"/>
          <w:szCs w:val="32"/>
        </w:rPr>
        <w:t>分；③80%≤政府采购执行率＜85%,得1分；④政府采购执行率低于80%</w:t>
      </w:r>
      <w:r>
        <w:rPr>
          <w:rFonts w:hint="eastAsia" w:ascii="Times New Roman" w:hAnsi="仿宋" w:eastAsia="宋体" w:cs="仿宋"/>
          <w:spacing w:val="4"/>
          <w:sz w:val="28"/>
          <w:szCs w:val="32"/>
          <w:lang w:val="en-US" w:eastAsia="zh-CN"/>
        </w:rPr>
        <w:t>或大于100%，</w:t>
      </w:r>
      <w:r>
        <w:rPr>
          <w:rFonts w:hint="eastAsia" w:ascii="Times New Roman" w:hAnsi="仿宋" w:eastAsia="宋体" w:cs="仿宋"/>
          <w:spacing w:val="4"/>
          <w:sz w:val="28"/>
          <w:szCs w:val="32"/>
        </w:rPr>
        <w:t>不得分。</w:t>
      </w:r>
    </w:p>
    <w:p>
      <w:pPr>
        <w:widowControl/>
        <w:snapToGrid/>
        <w:spacing w:beforeAutospacing="0" w:afterAutospacing="0" w:line="360" w:lineRule="auto"/>
        <w:ind w:left="0" w:leftChars="0" w:firstLine="576" w:firstLineChars="200"/>
        <w:jc w:val="left"/>
        <w:rPr>
          <w:rFonts w:ascii="Times New Roman" w:hAnsi="仿宋" w:eastAsia="宋体" w:cs="仿宋"/>
          <w:sz w:val="28"/>
          <w:szCs w:val="32"/>
        </w:rPr>
      </w:pPr>
      <w:r>
        <w:rPr>
          <w:rFonts w:hint="eastAsia" w:ascii="Times New Roman" w:hAnsi="仿宋" w:eastAsia="宋体" w:cs="仿宋"/>
          <w:spacing w:val="4"/>
          <w:sz w:val="28"/>
          <w:szCs w:val="32"/>
        </w:rPr>
        <w:t>2022年石狮市应急管理局政府采购预算2万元，实际采购40.29万元专用设备，主要采购用于消防设备。根据评分标准，政府采购执行率=（40.29/2）×100%=2014%。根据评分标准，</w:t>
      </w:r>
      <w:r>
        <w:rPr>
          <w:rFonts w:hint="eastAsia" w:ascii="Times New Roman" w:hAnsi="仿宋" w:eastAsia="宋体" w:cs="仿宋"/>
          <w:spacing w:val="4"/>
          <w:sz w:val="28"/>
          <w:szCs w:val="32"/>
          <w:lang w:val="en-US" w:eastAsia="zh-CN"/>
        </w:rPr>
        <w:t>大</w:t>
      </w:r>
      <w:r>
        <w:rPr>
          <w:rFonts w:hint="eastAsia" w:ascii="Times New Roman" w:hAnsi="仿宋" w:eastAsia="宋体" w:cs="仿宋"/>
          <w:spacing w:val="4"/>
          <w:sz w:val="28"/>
          <w:szCs w:val="32"/>
        </w:rPr>
        <w:t>于</w:t>
      </w:r>
      <w:r>
        <w:rPr>
          <w:rFonts w:hint="eastAsia" w:ascii="Times New Roman" w:hAnsi="仿宋" w:eastAsia="宋体" w:cs="仿宋"/>
          <w:spacing w:val="4"/>
          <w:sz w:val="28"/>
          <w:szCs w:val="32"/>
          <w:lang w:val="en-US" w:eastAsia="zh-CN"/>
        </w:rPr>
        <w:t>100</w:t>
      </w:r>
      <w:r>
        <w:rPr>
          <w:rFonts w:hint="eastAsia" w:ascii="Times New Roman" w:hAnsi="仿宋" w:eastAsia="宋体" w:cs="仿宋"/>
          <w:spacing w:val="4"/>
          <w:sz w:val="28"/>
          <w:szCs w:val="32"/>
        </w:rPr>
        <w:t>%不得分。</w:t>
      </w:r>
    </w:p>
    <w:p>
      <w:pPr>
        <w:widowControl/>
        <w:snapToGrid/>
        <w:spacing w:beforeAutospacing="0" w:afterAutospacing="0" w:line="360" w:lineRule="auto"/>
        <w:ind w:left="0" w:leftChars="0" w:firstLine="576" w:firstLineChars="200"/>
        <w:jc w:val="left"/>
        <w:rPr>
          <w:rFonts w:ascii="Times New Roman" w:hAnsi="仿宋" w:eastAsia="宋体" w:cs="仿宋"/>
          <w:spacing w:val="4"/>
          <w:sz w:val="28"/>
          <w:szCs w:val="32"/>
        </w:rPr>
      </w:pPr>
      <w:r>
        <w:rPr>
          <w:rFonts w:hint="eastAsia" w:ascii="Times New Roman" w:hAnsi="仿宋" w:eastAsia="宋体" w:cs="仿宋"/>
          <w:spacing w:val="4"/>
          <w:sz w:val="28"/>
          <w:szCs w:val="32"/>
        </w:rPr>
        <w:t>因此，预算执行得分为5.04分。</w:t>
      </w:r>
    </w:p>
    <w:p>
      <w:pPr>
        <w:widowControl/>
        <w:snapToGrid/>
        <w:spacing w:beforeAutospacing="0" w:afterAutospacing="0" w:line="360" w:lineRule="auto"/>
        <w:ind w:left="0" w:leftChars="0" w:right="0" w:rightChars="0" w:firstLine="0" w:firstLineChars="0"/>
        <w:jc w:val="left"/>
        <w:outlineLvl w:val="2"/>
        <w:rPr>
          <w:rFonts w:ascii="Times New Roman" w:hAnsi="仿宋" w:eastAsia="宋体" w:cs="仿宋"/>
          <w:b/>
          <w:spacing w:val="4"/>
          <w:sz w:val="28"/>
          <w:szCs w:val="32"/>
        </w:rPr>
      </w:pPr>
      <w:bookmarkStart w:id="164" w:name="_Toc24126"/>
      <w:bookmarkStart w:id="165" w:name="_Toc1426"/>
      <w:bookmarkStart w:id="166" w:name="_Toc12796"/>
      <w:bookmarkStart w:id="167" w:name="_Toc3099"/>
      <w:bookmarkStart w:id="168" w:name="_Toc22699"/>
      <w:bookmarkStart w:id="169" w:name="_Toc16102"/>
      <w:r>
        <w:rPr>
          <w:rFonts w:hint="eastAsia" w:ascii="Times New Roman" w:hAnsi="仿宋" w:eastAsia="宋体" w:cs="仿宋"/>
          <w:b/>
          <w:spacing w:val="4"/>
          <w:sz w:val="28"/>
          <w:szCs w:val="32"/>
        </w:rPr>
        <w:t>2.预算管理（分值为8分）</w:t>
      </w:r>
      <w:bookmarkEnd w:id="164"/>
      <w:bookmarkEnd w:id="165"/>
      <w:bookmarkEnd w:id="166"/>
      <w:bookmarkEnd w:id="167"/>
      <w:bookmarkEnd w:id="168"/>
      <w:bookmarkEnd w:id="169"/>
    </w:p>
    <w:p>
      <w:pPr>
        <w:snapToGrid/>
        <w:spacing w:beforeAutospacing="0" w:afterAutospacing="0" w:line="360" w:lineRule="auto"/>
        <w:ind w:left="0" w:leftChars="0" w:firstLine="576" w:firstLineChars="200"/>
        <w:rPr>
          <w:rFonts w:ascii="Times New Roman" w:hAnsi="仿宋" w:eastAsia="宋体" w:cs="仿宋"/>
          <w:spacing w:val="4"/>
          <w:sz w:val="28"/>
          <w:szCs w:val="32"/>
        </w:rPr>
      </w:pPr>
      <w:r>
        <w:rPr>
          <w:rFonts w:hint="eastAsia" w:ascii="Times New Roman" w:hAnsi="仿宋" w:eastAsia="宋体" w:cs="仿宋"/>
          <w:spacing w:val="4"/>
          <w:sz w:val="28"/>
          <w:szCs w:val="32"/>
        </w:rPr>
        <w:t>预算管理主要从预算管理制度健全性、资金使用合规性、预决算信息公开性、</w:t>
      </w:r>
      <w:bookmarkStart w:id="170" w:name="_Hlk120764029"/>
      <w:r>
        <w:rPr>
          <w:rFonts w:hint="eastAsia" w:ascii="Times New Roman" w:hAnsi="仿宋" w:eastAsia="宋体" w:cs="仿宋"/>
          <w:spacing w:val="4"/>
          <w:sz w:val="28"/>
          <w:szCs w:val="32"/>
        </w:rPr>
        <w:t>固定资产管理完整性</w:t>
      </w:r>
      <w:bookmarkEnd w:id="170"/>
      <w:r>
        <w:rPr>
          <w:rFonts w:hint="eastAsia" w:ascii="Times New Roman" w:hAnsi="仿宋" w:eastAsia="宋体" w:cs="仿宋"/>
          <w:spacing w:val="4"/>
          <w:sz w:val="28"/>
          <w:szCs w:val="32"/>
        </w:rPr>
        <w:t>四方面进行评价。</w:t>
      </w:r>
    </w:p>
    <w:p>
      <w:pPr>
        <w:snapToGrid/>
        <w:spacing w:beforeAutospacing="0" w:afterAutospacing="0" w:line="360" w:lineRule="auto"/>
        <w:ind w:left="0" w:leftChars="0" w:firstLine="576" w:firstLineChars="200"/>
        <w:outlineLvl w:val="3"/>
        <w:rPr>
          <w:rFonts w:ascii="Times New Roman" w:hAnsi="仿宋" w:eastAsia="宋体" w:cs="仿宋"/>
          <w:spacing w:val="4"/>
          <w:sz w:val="28"/>
          <w:szCs w:val="32"/>
        </w:rPr>
      </w:pPr>
      <w:r>
        <w:rPr>
          <w:rFonts w:hint="eastAsia" w:ascii="Times New Roman" w:hAnsi="仿宋" w:eastAsia="宋体" w:cs="仿宋"/>
          <w:spacing w:val="4"/>
          <w:sz w:val="28"/>
          <w:szCs w:val="32"/>
        </w:rPr>
        <w:t>（1）预算管理制度健全性（分值2分）</w:t>
      </w:r>
    </w:p>
    <w:p>
      <w:pPr>
        <w:snapToGrid/>
        <w:spacing w:beforeAutospacing="0" w:afterAutospacing="0" w:line="360" w:lineRule="auto"/>
        <w:ind w:left="0" w:leftChars="0" w:firstLine="576" w:firstLineChars="200"/>
        <w:rPr>
          <w:rFonts w:ascii="Times New Roman" w:hAnsi="仿宋" w:eastAsia="宋体" w:cs="仿宋"/>
          <w:spacing w:val="4"/>
          <w:sz w:val="28"/>
          <w:szCs w:val="32"/>
        </w:rPr>
      </w:pPr>
      <w:r>
        <w:rPr>
          <w:rFonts w:hint="eastAsia" w:ascii="Times New Roman" w:hAnsi="仿宋" w:eastAsia="宋体" w:cs="仿宋"/>
          <w:spacing w:val="4"/>
          <w:sz w:val="28"/>
          <w:szCs w:val="32"/>
        </w:rPr>
        <w:t>“预算管理制度健全性”指标用于评价部门（单位）为加强预算管理、规范财务行为而制定的管理制度是否健全完整，用以反映和评价部门（单位）预算管理制度对完成主要职责或促进事业发展的保障情况。</w:t>
      </w:r>
    </w:p>
    <w:p>
      <w:pPr>
        <w:snapToGrid/>
        <w:spacing w:beforeAutospacing="0" w:afterAutospacing="0" w:line="360" w:lineRule="auto"/>
        <w:ind w:left="0" w:leftChars="0" w:firstLine="576" w:firstLineChars="200"/>
        <w:rPr>
          <w:rFonts w:ascii="Times New Roman" w:hAnsi="仿宋" w:eastAsia="宋体" w:cs="仿宋"/>
          <w:spacing w:val="4"/>
          <w:sz w:val="28"/>
          <w:szCs w:val="32"/>
        </w:rPr>
      </w:pPr>
      <w:r>
        <w:rPr>
          <w:rFonts w:hint="eastAsia" w:ascii="Times New Roman" w:hAnsi="仿宋" w:eastAsia="宋体" w:cs="仿宋"/>
          <w:spacing w:val="4"/>
          <w:sz w:val="28"/>
          <w:szCs w:val="32"/>
        </w:rPr>
        <w:t>石狮市应急管理局根据《中华人民共和国预算法》及其他有关法律、法规，制定《石狮市应急管理局专项资金管理（暂行）办法》，已制定《内部控制评价与监督制度》、《“三重一大”制度》、《收支管理制度》等相关财务制度健全。根据评分标准，此项得2分。</w:t>
      </w:r>
    </w:p>
    <w:p>
      <w:pPr>
        <w:snapToGrid/>
        <w:spacing w:beforeAutospacing="0" w:afterAutospacing="0" w:line="360" w:lineRule="auto"/>
        <w:ind w:left="0" w:leftChars="0" w:firstLine="576" w:firstLineChars="200"/>
        <w:outlineLvl w:val="3"/>
        <w:rPr>
          <w:rFonts w:ascii="Times New Roman" w:hAnsi="仿宋" w:eastAsia="宋体" w:cs="仿宋"/>
          <w:spacing w:val="4"/>
          <w:sz w:val="28"/>
          <w:szCs w:val="32"/>
        </w:rPr>
      </w:pPr>
      <w:r>
        <w:rPr>
          <w:rFonts w:hint="eastAsia" w:ascii="Times New Roman" w:hAnsi="仿宋" w:eastAsia="宋体" w:cs="仿宋"/>
          <w:spacing w:val="4"/>
          <w:sz w:val="28"/>
          <w:szCs w:val="32"/>
        </w:rPr>
        <w:t>（2）资金使用合规性（分值为2分）</w:t>
      </w:r>
    </w:p>
    <w:p>
      <w:pPr>
        <w:snapToGrid/>
        <w:spacing w:beforeAutospacing="0" w:afterAutospacing="0" w:line="360" w:lineRule="auto"/>
        <w:ind w:left="0" w:leftChars="0" w:firstLine="576" w:firstLineChars="200"/>
        <w:outlineLvl w:val="3"/>
        <w:rPr>
          <w:rFonts w:ascii="Times New Roman" w:hAnsi="仿宋" w:eastAsia="宋体" w:cs="仿宋"/>
          <w:spacing w:val="4"/>
          <w:sz w:val="28"/>
          <w:szCs w:val="32"/>
        </w:rPr>
      </w:pPr>
      <w:r>
        <w:rPr>
          <w:rFonts w:hint="eastAsia" w:ascii="Times New Roman" w:hAnsi="仿宋" w:eastAsia="宋体" w:cs="仿宋"/>
          <w:spacing w:val="4"/>
          <w:sz w:val="28"/>
          <w:szCs w:val="32"/>
        </w:rPr>
        <w:t>资金使用合规性指标考核部门（单位）使用预算资金是否符合相关的预算财务管理制度的规定，反映和评价部门（单位）预算资金的规范运行情况。</w:t>
      </w:r>
    </w:p>
    <w:p>
      <w:pPr>
        <w:snapToGrid/>
        <w:spacing w:beforeAutospacing="0" w:afterAutospacing="0" w:line="360" w:lineRule="auto"/>
        <w:ind w:left="0" w:leftChars="0" w:firstLine="576" w:firstLineChars="200"/>
        <w:rPr>
          <w:rFonts w:ascii="Times New Roman" w:hAnsi="仿宋" w:eastAsia="宋体" w:cs="仿宋"/>
          <w:spacing w:val="4"/>
          <w:sz w:val="28"/>
          <w:szCs w:val="32"/>
        </w:rPr>
      </w:pPr>
      <w:r>
        <w:rPr>
          <w:rFonts w:hint="eastAsia" w:ascii="Times New Roman" w:hAnsi="仿宋" w:eastAsia="宋体" w:cs="仿宋"/>
          <w:spacing w:val="4"/>
          <w:sz w:val="28"/>
          <w:szCs w:val="32"/>
        </w:rPr>
        <w:t>根据石狮市应急管理局支出明细，资金的拨付有完整的审批过程和手续，符合部门预算批复的用途，未发现截留、挤占、挪用、虚列支出的情况。此项</w:t>
      </w:r>
      <w:r>
        <w:rPr>
          <w:rFonts w:hint="eastAsia" w:ascii="Times New Roman" w:hAnsi="仿宋" w:eastAsia="宋体" w:cs="仿宋"/>
          <w:spacing w:val="4"/>
          <w:sz w:val="28"/>
          <w:szCs w:val="32"/>
          <w:lang w:val="en-US" w:eastAsia="zh-CN"/>
        </w:rPr>
        <w:t>得</w:t>
      </w:r>
      <w:r>
        <w:rPr>
          <w:rFonts w:hint="eastAsia" w:ascii="Times New Roman" w:hAnsi="仿宋" w:eastAsia="宋体" w:cs="仿宋"/>
          <w:spacing w:val="4"/>
          <w:sz w:val="28"/>
          <w:szCs w:val="32"/>
        </w:rPr>
        <w:t>2分。</w:t>
      </w:r>
    </w:p>
    <w:p>
      <w:pPr>
        <w:snapToGrid/>
        <w:spacing w:beforeAutospacing="0" w:afterAutospacing="0" w:line="360" w:lineRule="auto"/>
        <w:ind w:left="0" w:leftChars="0" w:firstLine="576" w:firstLineChars="200"/>
        <w:rPr>
          <w:rFonts w:ascii="Times New Roman" w:hAnsi="仿宋" w:eastAsia="宋体" w:cs="仿宋"/>
          <w:spacing w:val="4"/>
          <w:sz w:val="28"/>
          <w:szCs w:val="32"/>
        </w:rPr>
      </w:pPr>
      <w:r>
        <w:rPr>
          <w:rFonts w:hint="eastAsia" w:ascii="Times New Roman" w:hAnsi="仿宋" w:eastAsia="宋体" w:cs="仿宋"/>
          <w:spacing w:val="4"/>
          <w:sz w:val="28"/>
          <w:szCs w:val="32"/>
        </w:rPr>
        <w:t>（3）预决算信息公开性（分值2分）</w:t>
      </w:r>
    </w:p>
    <w:p>
      <w:pPr>
        <w:snapToGrid/>
        <w:spacing w:beforeAutospacing="0" w:afterAutospacing="0" w:line="360" w:lineRule="auto"/>
        <w:ind w:left="0" w:leftChars="0" w:firstLine="576" w:firstLineChars="200"/>
        <w:rPr>
          <w:rFonts w:ascii="Times New Roman" w:hAnsi="仿宋" w:eastAsia="宋体" w:cs="仿宋"/>
          <w:spacing w:val="4"/>
          <w:sz w:val="28"/>
          <w:szCs w:val="32"/>
        </w:rPr>
      </w:pPr>
      <w:r>
        <w:rPr>
          <w:rFonts w:hint="eastAsia" w:ascii="Times New Roman" w:hAnsi="仿宋" w:eastAsia="宋体" w:cs="仿宋"/>
          <w:spacing w:val="4"/>
          <w:sz w:val="28"/>
          <w:szCs w:val="32"/>
        </w:rPr>
        <w:t>“预决算信息公开性”指标用于评价部门（单位）是否按照政府信息公开有关规定及预决算批复文件中要求的格式、时限公开相关预决算信息，用以反映和评价部门（单位）预决算管理的公开透明情况。</w:t>
      </w:r>
    </w:p>
    <w:p>
      <w:pPr>
        <w:snapToGrid/>
        <w:spacing w:beforeAutospacing="0" w:afterAutospacing="0" w:line="360" w:lineRule="auto"/>
        <w:ind w:left="0" w:leftChars="0" w:firstLine="576" w:firstLineChars="200"/>
        <w:rPr>
          <w:rFonts w:ascii="Times New Roman" w:hAnsi="仿宋" w:eastAsia="宋体" w:cs="仿宋"/>
          <w:spacing w:val="4"/>
          <w:sz w:val="28"/>
          <w:szCs w:val="32"/>
        </w:rPr>
      </w:pPr>
      <w:r>
        <w:rPr>
          <w:rFonts w:hint="eastAsia" w:ascii="Times New Roman" w:hAnsi="仿宋" w:eastAsia="宋体" w:cs="仿宋"/>
          <w:spacing w:val="4"/>
          <w:sz w:val="28"/>
          <w:szCs w:val="32"/>
        </w:rPr>
        <w:t>评价工作组查阅石狮市应急管理局提供的预决算基础数据信息公开资料。2022年</w:t>
      </w:r>
      <w:r>
        <w:rPr>
          <w:rFonts w:hint="eastAsia" w:ascii="Times New Roman" w:hAnsi="仿宋" w:eastAsia="宋体" w:cs="仿宋"/>
          <w:spacing w:val="4"/>
          <w:sz w:val="28"/>
          <w:szCs w:val="32"/>
          <w:lang w:eastAsia="zh-CN"/>
        </w:rPr>
        <w:t>预算</w:t>
      </w:r>
      <w:r>
        <w:rPr>
          <w:rFonts w:hint="eastAsia" w:ascii="Times New Roman" w:hAnsi="仿宋" w:eastAsia="宋体" w:cs="仿宋"/>
          <w:spacing w:val="4"/>
          <w:sz w:val="28"/>
          <w:szCs w:val="32"/>
        </w:rPr>
        <w:t>按照政府信息公开有关规定及预算批复文件中要求的格式、时限公开预算信息</w:t>
      </w:r>
      <w:r>
        <w:rPr>
          <w:rFonts w:hint="eastAsia" w:ascii="Times New Roman" w:hAnsi="仿宋" w:eastAsia="宋体" w:cs="仿宋"/>
          <w:spacing w:val="4"/>
          <w:sz w:val="28"/>
          <w:szCs w:val="32"/>
          <w:lang w:eastAsia="zh-CN"/>
        </w:rPr>
        <w:t>，</w:t>
      </w:r>
      <w:r>
        <w:rPr>
          <w:rFonts w:hint="eastAsia" w:ascii="Times New Roman" w:hAnsi="仿宋" w:eastAsia="宋体" w:cs="仿宋"/>
          <w:spacing w:val="4"/>
          <w:sz w:val="28"/>
          <w:szCs w:val="32"/>
          <w:lang w:val="en-US" w:eastAsia="zh-CN"/>
        </w:rPr>
        <w:t>2022年决算未进行公开，此项扣1分，得分1分</w:t>
      </w:r>
      <w:r>
        <w:rPr>
          <w:rFonts w:hint="eastAsia" w:ascii="Times New Roman" w:hAnsi="仿宋" w:eastAsia="宋体" w:cs="仿宋"/>
          <w:spacing w:val="4"/>
          <w:sz w:val="28"/>
          <w:szCs w:val="32"/>
        </w:rPr>
        <w:t>。</w:t>
      </w:r>
    </w:p>
    <w:p>
      <w:pPr>
        <w:snapToGrid/>
        <w:spacing w:beforeAutospacing="0" w:afterAutospacing="0" w:line="360" w:lineRule="auto"/>
        <w:ind w:left="0" w:leftChars="0" w:firstLine="576" w:firstLineChars="200"/>
        <w:outlineLvl w:val="3"/>
        <w:rPr>
          <w:rFonts w:ascii="Times New Roman" w:hAnsi="仿宋" w:eastAsia="宋体" w:cs="仿宋"/>
          <w:spacing w:val="4"/>
          <w:sz w:val="28"/>
          <w:szCs w:val="32"/>
        </w:rPr>
      </w:pPr>
      <w:r>
        <w:rPr>
          <w:rFonts w:hint="eastAsia" w:ascii="Times New Roman" w:hAnsi="仿宋" w:eastAsia="宋体" w:cs="仿宋"/>
          <w:spacing w:val="4"/>
          <w:sz w:val="28"/>
          <w:szCs w:val="32"/>
        </w:rPr>
        <w:t>（4）</w:t>
      </w:r>
      <w:bookmarkStart w:id="171" w:name="_Hlk120764529"/>
      <w:r>
        <w:rPr>
          <w:rFonts w:hint="eastAsia" w:ascii="Times New Roman" w:hAnsi="仿宋" w:eastAsia="宋体" w:cs="仿宋"/>
          <w:spacing w:val="4"/>
          <w:sz w:val="28"/>
          <w:szCs w:val="32"/>
        </w:rPr>
        <w:t>资产管理完整性</w:t>
      </w:r>
      <w:bookmarkEnd w:id="171"/>
      <w:r>
        <w:rPr>
          <w:rFonts w:hint="eastAsia" w:ascii="Times New Roman" w:hAnsi="仿宋" w:eastAsia="宋体" w:cs="仿宋"/>
          <w:spacing w:val="4"/>
          <w:sz w:val="28"/>
          <w:szCs w:val="32"/>
        </w:rPr>
        <w:t>（分值2分）</w:t>
      </w:r>
    </w:p>
    <w:p>
      <w:pPr>
        <w:snapToGrid/>
        <w:spacing w:beforeAutospacing="0" w:afterAutospacing="0" w:line="360" w:lineRule="auto"/>
        <w:ind w:left="0" w:leftChars="0" w:firstLine="576" w:firstLineChars="200"/>
        <w:rPr>
          <w:rFonts w:ascii="Times New Roman" w:hAnsi="仿宋" w:eastAsia="宋体" w:cs="仿宋"/>
          <w:spacing w:val="4"/>
          <w:sz w:val="28"/>
          <w:szCs w:val="32"/>
        </w:rPr>
      </w:pPr>
      <w:r>
        <w:rPr>
          <w:rFonts w:hint="eastAsia" w:ascii="Times New Roman" w:hAnsi="仿宋" w:eastAsia="宋体" w:cs="仿宋"/>
          <w:spacing w:val="4"/>
          <w:sz w:val="28"/>
          <w:szCs w:val="32"/>
        </w:rPr>
        <w:t>“资产管理完整性”指标用于评价部门（单位）的资产是否保存完整、使用合规、收入及时足额上缴，用以反映和评价部门（单位）资产运行情况。</w:t>
      </w:r>
    </w:p>
    <w:p>
      <w:pPr>
        <w:snapToGrid/>
        <w:spacing w:beforeAutospacing="0" w:afterAutospacing="0" w:line="360" w:lineRule="auto"/>
        <w:ind w:left="0" w:leftChars="0" w:firstLine="576" w:firstLineChars="200"/>
        <w:rPr>
          <w:rFonts w:ascii="Times New Roman" w:hAnsi="仿宋" w:eastAsia="宋体" w:cs="仿宋"/>
          <w:spacing w:val="4"/>
          <w:sz w:val="28"/>
          <w:szCs w:val="32"/>
        </w:rPr>
      </w:pPr>
      <w:r>
        <w:rPr>
          <w:rFonts w:hint="eastAsia" w:ascii="Times New Roman" w:hAnsi="仿宋" w:eastAsia="宋体" w:cs="仿宋"/>
          <w:spacing w:val="4"/>
          <w:sz w:val="28"/>
          <w:szCs w:val="32"/>
        </w:rPr>
        <w:t>绩效评价工作小组现场走访石狮市应急管理局，办公电脑等资产按照固定资产管理制度建立固定资产卡片，单位资产管理制度健全、完整、合法。此项得2分。</w:t>
      </w:r>
    </w:p>
    <w:p>
      <w:pPr>
        <w:snapToGrid/>
        <w:spacing w:beforeAutospacing="0" w:afterAutospacing="0" w:line="360" w:lineRule="auto"/>
        <w:ind w:left="0" w:leftChars="0" w:firstLine="576" w:firstLineChars="200"/>
        <w:rPr>
          <w:rFonts w:ascii="Times New Roman" w:hAnsi="仿宋" w:eastAsia="宋体" w:cs="仿宋"/>
          <w:spacing w:val="4"/>
          <w:sz w:val="28"/>
          <w:szCs w:val="32"/>
        </w:rPr>
      </w:pPr>
      <w:r>
        <w:rPr>
          <w:rFonts w:hint="eastAsia" w:ascii="Times New Roman" w:hAnsi="仿宋" w:eastAsia="宋体" w:cs="仿宋"/>
          <w:spacing w:val="4"/>
          <w:sz w:val="28"/>
          <w:szCs w:val="32"/>
        </w:rPr>
        <w:t>因此，预算管理合计得</w:t>
      </w:r>
      <w:r>
        <w:rPr>
          <w:rFonts w:hint="eastAsia" w:ascii="Times New Roman" w:hAnsi="仿宋" w:eastAsia="宋体" w:cs="仿宋"/>
          <w:spacing w:val="4"/>
          <w:sz w:val="28"/>
          <w:szCs w:val="32"/>
          <w:lang w:val="en-US" w:eastAsia="zh-CN"/>
        </w:rPr>
        <w:t>7</w:t>
      </w:r>
      <w:r>
        <w:rPr>
          <w:rFonts w:hint="eastAsia" w:ascii="Times New Roman" w:hAnsi="仿宋" w:eastAsia="宋体" w:cs="仿宋"/>
          <w:spacing w:val="4"/>
          <w:sz w:val="28"/>
          <w:szCs w:val="32"/>
        </w:rPr>
        <w:t>分。</w:t>
      </w:r>
    </w:p>
    <w:p>
      <w:pPr>
        <w:numPr>
          <w:ilvl w:val="0"/>
          <w:numId w:val="0"/>
        </w:numPr>
        <w:snapToGrid/>
        <w:spacing w:before="156" w:beforeLines="50" w:beforeAutospacing="0" w:afterAutospacing="0" w:line="360" w:lineRule="auto"/>
        <w:ind w:left="0" w:leftChars="0" w:right="0" w:rightChars="0" w:firstLine="0" w:firstLineChars="0"/>
        <w:jc w:val="left"/>
        <w:outlineLvl w:val="1"/>
        <w:rPr>
          <w:rFonts w:ascii="Times New Roman" w:hAnsi="仿宋" w:eastAsia="宋体" w:cs="仿宋"/>
          <w:b/>
          <w:spacing w:val="4"/>
          <w:sz w:val="30"/>
          <w:szCs w:val="32"/>
        </w:rPr>
      </w:pPr>
      <w:bookmarkStart w:id="172" w:name="_Toc30300"/>
      <w:r>
        <w:rPr>
          <w:rFonts w:hint="eastAsia" w:ascii="Times New Roman" w:hAnsi="仿宋" w:eastAsia="宋体" w:cs="仿宋"/>
          <w:b/>
          <w:spacing w:val="4"/>
          <w:sz w:val="30"/>
          <w:szCs w:val="32"/>
          <w:lang w:eastAsia="zh-CN"/>
        </w:rPr>
        <w:t>（三）</w:t>
      </w:r>
      <w:r>
        <w:rPr>
          <w:rFonts w:hint="eastAsia" w:ascii="Times New Roman" w:hAnsi="仿宋" w:eastAsia="宋体" w:cs="仿宋"/>
          <w:b/>
          <w:spacing w:val="4"/>
          <w:sz w:val="30"/>
          <w:szCs w:val="32"/>
        </w:rPr>
        <w:t>项目产出（权重为40%，得分</w:t>
      </w:r>
      <w:r>
        <w:rPr>
          <w:rFonts w:hint="eastAsia" w:ascii="Times New Roman" w:hAnsi="仿宋" w:eastAsia="宋体" w:cs="仿宋"/>
          <w:b/>
          <w:spacing w:val="4"/>
          <w:sz w:val="30"/>
          <w:szCs w:val="32"/>
          <w:lang w:val="en-US" w:eastAsia="zh-CN"/>
        </w:rPr>
        <w:t>40</w:t>
      </w:r>
      <w:r>
        <w:rPr>
          <w:rFonts w:hint="eastAsia" w:ascii="Times New Roman" w:hAnsi="仿宋" w:eastAsia="宋体" w:cs="仿宋"/>
          <w:b/>
          <w:spacing w:val="4"/>
          <w:sz w:val="30"/>
          <w:szCs w:val="32"/>
        </w:rPr>
        <w:t>分）</w:t>
      </w:r>
      <w:bookmarkEnd w:id="172"/>
    </w:p>
    <w:p>
      <w:pPr>
        <w:snapToGrid/>
        <w:spacing w:beforeAutospacing="0" w:afterAutospacing="0" w:line="360" w:lineRule="auto"/>
        <w:ind w:left="0" w:leftChars="0" w:firstLine="576" w:firstLineChars="200"/>
        <w:rPr>
          <w:rFonts w:ascii="Times New Roman" w:hAnsi="仿宋" w:eastAsia="宋体" w:cs="仿宋"/>
          <w:spacing w:val="4"/>
          <w:sz w:val="28"/>
          <w:szCs w:val="32"/>
        </w:rPr>
      </w:pPr>
      <w:r>
        <w:rPr>
          <w:rFonts w:hint="eastAsia" w:ascii="Times New Roman" w:hAnsi="仿宋" w:eastAsia="宋体" w:cs="仿宋"/>
          <w:spacing w:val="4"/>
          <w:sz w:val="28"/>
          <w:szCs w:val="32"/>
        </w:rPr>
        <w:t>产出主要通过职责履行、产出数量、产出质量、产出时效、产出成本5个方面进行评价。</w:t>
      </w:r>
    </w:p>
    <w:p>
      <w:pPr>
        <w:snapToGrid/>
        <w:spacing w:beforeAutospacing="0" w:afterAutospacing="0" w:line="360" w:lineRule="auto"/>
        <w:ind w:left="0" w:leftChars="0" w:right="0" w:rightChars="0" w:firstLine="0" w:firstLineChars="0"/>
        <w:jc w:val="left"/>
        <w:outlineLvl w:val="2"/>
        <w:rPr>
          <w:rFonts w:ascii="Times New Roman" w:hAnsi="仿宋" w:eastAsia="宋体" w:cs="仿宋"/>
          <w:b/>
          <w:spacing w:val="4"/>
          <w:sz w:val="28"/>
          <w:szCs w:val="32"/>
        </w:rPr>
      </w:pPr>
      <w:bookmarkStart w:id="173" w:name="_Toc28664"/>
      <w:bookmarkStart w:id="174" w:name="_Toc13957"/>
      <w:bookmarkStart w:id="175" w:name="_Toc28285"/>
      <w:bookmarkStart w:id="176" w:name="_Toc14827"/>
      <w:bookmarkStart w:id="177" w:name="_Toc25808"/>
      <w:bookmarkStart w:id="178" w:name="_Toc10360"/>
      <w:r>
        <w:rPr>
          <w:rFonts w:hint="eastAsia" w:ascii="Times New Roman" w:hAnsi="仿宋" w:eastAsia="宋体" w:cs="仿宋"/>
          <w:b/>
          <w:spacing w:val="4"/>
          <w:sz w:val="28"/>
          <w:szCs w:val="32"/>
        </w:rPr>
        <w:t>1.职责履行（分值为8分）</w:t>
      </w:r>
      <w:bookmarkEnd w:id="173"/>
      <w:bookmarkEnd w:id="174"/>
      <w:bookmarkEnd w:id="175"/>
      <w:bookmarkEnd w:id="176"/>
      <w:bookmarkEnd w:id="177"/>
    </w:p>
    <w:p>
      <w:pPr>
        <w:snapToGrid/>
        <w:spacing w:beforeAutospacing="0" w:afterAutospacing="0" w:line="360" w:lineRule="auto"/>
        <w:ind w:left="0" w:leftChars="0" w:firstLine="576" w:firstLineChars="200"/>
        <w:outlineLvl w:val="3"/>
        <w:rPr>
          <w:rFonts w:ascii="Times New Roman" w:hAnsi="仿宋" w:eastAsia="宋体" w:cs="仿宋"/>
          <w:spacing w:val="4"/>
          <w:sz w:val="28"/>
          <w:szCs w:val="32"/>
        </w:rPr>
      </w:pPr>
      <w:r>
        <w:rPr>
          <w:rFonts w:hint="eastAsia" w:ascii="Times New Roman" w:hAnsi="仿宋" w:eastAsia="宋体" w:cs="仿宋"/>
          <w:spacing w:val="4"/>
          <w:sz w:val="28"/>
          <w:szCs w:val="32"/>
        </w:rPr>
        <w:t>（1）项目实际完成率（分值为2分）</w:t>
      </w:r>
    </w:p>
    <w:p>
      <w:pPr>
        <w:snapToGrid/>
        <w:spacing w:beforeAutospacing="0" w:afterAutospacing="0" w:line="360" w:lineRule="auto"/>
        <w:ind w:left="0" w:leftChars="0" w:firstLine="576" w:firstLineChars="200"/>
        <w:rPr>
          <w:rFonts w:hint="eastAsia" w:ascii="Times New Roman" w:hAnsi="仿宋" w:eastAsia="宋体" w:cs="仿宋"/>
          <w:spacing w:val="4"/>
          <w:sz w:val="28"/>
          <w:szCs w:val="32"/>
        </w:rPr>
      </w:pPr>
      <w:r>
        <w:rPr>
          <w:rFonts w:hint="eastAsia" w:ascii="Times New Roman" w:hAnsi="仿宋" w:eastAsia="宋体" w:cs="仿宋"/>
          <w:spacing w:val="4"/>
          <w:sz w:val="28"/>
          <w:szCs w:val="32"/>
        </w:rPr>
        <w:t>项目实际完成率指标通过抽查评价部门(单位)履行职责而实际完成的项目数与计划完成的项目数的比率，用以反映和评价部门(单位)履职任务目标的实现程度。项目实际完成率=(实际完成项目数/计划完成项目数)×100%。</w:t>
      </w:r>
    </w:p>
    <w:p>
      <w:pPr>
        <w:snapToGrid/>
        <w:spacing w:beforeAutospacing="0" w:afterAutospacing="0" w:line="360" w:lineRule="auto"/>
        <w:ind w:left="0" w:leftChars="0" w:firstLine="576" w:firstLineChars="200"/>
        <w:rPr>
          <w:rFonts w:ascii="Times New Roman" w:hAnsi="仿宋" w:eastAsia="宋体" w:cs="仿宋"/>
          <w:spacing w:val="4"/>
          <w:sz w:val="28"/>
          <w:szCs w:val="32"/>
        </w:rPr>
      </w:pPr>
      <w:r>
        <w:rPr>
          <w:rFonts w:hint="eastAsia" w:ascii="Times New Roman" w:hAnsi="仿宋" w:eastAsia="宋体" w:cs="仿宋"/>
          <w:spacing w:val="4"/>
          <w:sz w:val="28"/>
          <w:szCs w:val="32"/>
        </w:rPr>
        <w:t>根据2022年石狮市应急管理局安全生产监督员误工补贴经费、防汛抗旱经费、地震避难场所补助经费、应急管理及安全生产工作经费等4个项目</w:t>
      </w:r>
      <w:r>
        <w:rPr>
          <w:rFonts w:hint="eastAsia" w:ascii="Times New Roman" w:hAnsi="仿宋" w:eastAsia="宋体" w:cs="仿宋"/>
          <w:spacing w:val="4"/>
          <w:sz w:val="28"/>
          <w:szCs w:val="32"/>
          <w:lang w:eastAsia="zh-CN"/>
        </w:rPr>
        <w:t>。</w:t>
      </w:r>
      <w:r>
        <w:rPr>
          <w:rFonts w:hint="eastAsia" w:ascii="Times New Roman" w:hAnsi="仿宋" w:eastAsia="宋体" w:cs="仿宋"/>
          <w:spacing w:val="4"/>
          <w:sz w:val="28"/>
          <w:szCs w:val="32"/>
        </w:rPr>
        <w:t>实际完成率100%此项得2分。</w:t>
      </w:r>
    </w:p>
    <w:p>
      <w:pPr>
        <w:snapToGrid/>
        <w:spacing w:beforeAutospacing="0" w:afterAutospacing="0" w:line="360" w:lineRule="auto"/>
        <w:ind w:left="0" w:leftChars="0" w:firstLine="576" w:firstLineChars="200"/>
        <w:rPr>
          <w:rFonts w:ascii="Times New Roman" w:hAnsi="仿宋" w:eastAsia="宋体" w:cs="仿宋"/>
          <w:spacing w:val="4"/>
          <w:sz w:val="28"/>
          <w:szCs w:val="32"/>
        </w:rPr>
      </w:pPr>
      <w:r>
        <w:rPr>
          <w:rFonts w:hint="eastAsia" w:ascii="Times New Roman" w:hAnsi="仿宋" w:eastAsia="宋体" w:cs="仿宋"/>
          <w:spacing w:val="4"/>
          <w:sz w:val="28"/>
          <w:szCs w:val="32"/>
        </w:rPr>
        <w:t>（2）</w:t>
      </w:r>
      <w:r>
        <w:rPr>
          <w:rFonts w:hint="eastAsia" w:ascii="Times New Roman" w:hAnsi="仿宋" w:eastAsia="宋体" w:cs="仿宋"/>
          <w:spacing w:val="4"/>
          <w:sz w:val="28"/>
          <w:szCs w:val="32"/>
          <w:lang w:val="en-US" w:eastAsia="zh-CN"/>
        </w:rPr>
        <w:t>重大安全生产问题整改</w:t>
      </w:r>
      <w:r>
        <w:rPr>
          <w:rFonts w:hint="eastAsia" w:ascii="Times New Roman" w:hAnsi="仿宋" w:eastAsia="宋体" w:cs="仿宋"/>
          <w:spacing w:val="4"/>
          <w:sz w:val="28"/>
          <w:szCs w:val="32"/>
        </w:rPr>
        <w:t>（分值为2分）</w:t>
      </w:r>
    </w:p>
    <w:p>
      <w:pPr>
        <w:snapToGrid/>
        <w:spacing w:beforeAutospacing="0" w:afterAutospacing="0" w:line="360" w:lineRule="auto"/>
        <w:ind w:left="0" w:leftChars="0" w:firstLine="576" w:firstLineChars="200"/>
        <w:rPr>
          <w:rFonts w:hint="default" w:ascii="Times New Roman" w:hAnsi="仿宋" w:eastAsia="宋体" w:cs="仿宋"/>
          <w:spacing w:val="4"/>
          <w:sz w:val="28"/>
          <w:szCs w:val="32"/>
          <w:lang w:val="en-US" w:eastAsia="zh-CN"/>
        </w:rPr>
      </w:pPr>
      <w:r>
        <w:rPr>
          <w:rFonts w:hint="eastAsia" w:ascii="Times New Roman" w:hAnsi="仿宋" w:eastAsia="宋体" w:cs="仿宋"/>
          <w:spacing w:val="4"/>
          <w:sz w:val="28"/>
          <w:szCs w:val="32"/>
          <w:lang w:val="en-US" w:eastAsia="zh-CN"/>
        </w:rPr>
        <w:t>“重大安全生产问题整改”考核的是部门重大安全生产问题整改及重视程度。2022年石狮市应急管理局建立重大安全生产问题挂钩督办制度，对于整改难度较大的重大安全生产问题，由市领导逐个认领，明确责任单位及整治措施、整治期限，每月汇总汇报整改情况，统筹协调推动隐患整改到位。共梳理涉及重大风险、重大事故隐患和一些长期停滞不前的安全生产“疑难杂症”问题9个（4个被列为泉州市级），由市领导挂钩整治，督促各镇（街道）、各有关部门切实履行安全生产“属地监管”和“部门监管”责任，推动完成整治。期间，挂钩市领导多次带队深入实地指导，督促各镇（街道）、有关部门逐一制定整治方案，倒排时序，逐项开展整治。尤其是被列为泉州市级的4个重大安全生产问题，市委、市政府主要领导和分管领导多次作出批示并要求市委、市政府督查室每周汇总整治进展情况，分管市领导亲自带队开展督导，联合市委、市政府督查室、工信、消防等部门多次深入实地检查，推动问题整改。目前我市9个重大安全生产问题已全部整改并验收。根据评分标准，此项得分2分。</w:t>
      </w:r>
    </w:p>
    <w:p>
      <w:pPr>
        <w:snapToGrid/>
        <w:spacing w:beforeAutospacing="0" w:afterAutospacing="0" w:line="360" w:lineRule="auto"/>
        <w:ind w:left="0" w:leftChars="0" w:firstLine="576" w:firstLineChars="200"/>
        <w:rPr>
          <w:rFonts w:ascii="Times New Roman" w:hAnsi="仿宋" w:eastAsia="宋体" w:cs="仿宋"/>
          <w:spacing w:val="4"/>
          <w:sz w:val="28"/>
          <w:szCs w:val="32"/>
        </w:rPr>
      </w:pPr>
      <w:r>
        <w:rPr>
          <w:rFonts w:hint="eastAsia" w:ascii="Times New Roman" w:hAnsi="仿宋" w:eastAsia="宋体" w:cs="仿宋"/>
          <w:spacing w:val="4"/>
          <w:sz w:val="28"/>
          <w:szCs w:val="32"/>
        </w:rPr>
        <w:t>（3）部门绩效自评项目占比率（分值为2分）</w:t>
      </w:r>
    </w:p>
    <w:p>
      <w:pPr>
        <w:snapToGrid/>
        <w:spacing w:beforeAutospacing="0" w:afterAutospacing="0" w:line="360" w:lineRule="auto"/>
        <w:ind w:left="0" w:leftChars="0" w:firstLine="576" w:firstLineChars="200"/>
        <w:rPr>
          <w:rFonts w:hint="eastAsia" w:ascii="Times New Roman" w:hAnsi="仿宋" w:eastAsia="宋体" w:cs="仿宋"/>
          <w:spacing w:val="4"/>
          <w:sz w:val="28"/>
          <w:szCs w:val="32"/>
        </w:rPr>
      </w:pPr>
      <w:r>
        <w:rPr>
          <w:rFonts w:hint="eastAsia" w:ascii="Times New Roman" w:hAnsi="仿宋" w:eastAsia="宋体" w:cs="仿宋"/>
          <w:spacing w:val="4"/>
          <w:sz w:val="28"/>
          <w:szCs w:val="32"/>
        </w:rPr>
        <w:t>部门绩效自评项目占比率指标考核部门自评项目在所有项目中所占的份额，反映和评价部门对项目自评的重视程度。</w:t>
      </w:r>
    </w:p>
    <w:p>
      <w:pPr>
        <w:snapToGrid/>
        <w:spacing w:beforeAutospacing="0" w:afterAutospacing="0" w:line="360" w:lineRule="auto"/>
        <w:ind w:left="0" w:leftChars="0" w:firstLine="576" w:firstLineChars="200"/>
        <w:rPr>
          <w:rFonts w:ascii="Times New Roman" w:hAnsi="仿宋" w:eastAsia="宋体" w:cs="仿宋"/>
          <w:spacing w:val="4"/>
          <w:sz w:val="28"/>
          <w:szCs w:val="32"/>
        </w:rPr>
      </w:pPr>
      <w:r>
        <w:rPr>
          <w:rFonts w:hint="eastAsia" w:ascii="Times New Roman" w:hAnsi="仿宋" w:eastAsia="宋体" w:cs="仿宋"/>
          <w:spacing w:val="4"/>
          <w:sz w:val="28"/>
          <w:szCs w:val="32"/>
        </w:rPr>
        <w:t>2022年石狮市应急管理局项目个数为4个，分别是应急管理局有安全生产监督员误工补贴经费、防汛抗旱经费、地震避难场所补助经费、应急管理及安全生产工作经费，全部开展了绩效自评并撰写绩效自评报告。部门绩效自评项目占比率=4/4×100%=100%。此项得2分。</w:t>
      </w:r>
    </w:p>
    <w:p>
      <w:pPr>
        <w:snapToGrid/>
        <w:spacing w:beforeAutospacing="0" w:afterAutospacing="0" w:line="360" w:lineRule="auto"/>
        <w:ind w:left="0" w:leftChars="0" w:firstLine="576" w:firstLineChars="200"/>
        <w:rPr>
          <w:rFonts w:ascii="Times New Roman" w:hAnsi="仿宋" w:eastAsia="宋体" w:cs="仿宋"/>
          <w:spacing w:val="4"/>
          <w:sz w:val="28"/>
          <w:szCs w:val="32"/>
        </w:rPr>
      </w:pPr>
      <w:r>
        <w:rPr>
          <w:rFonts w:hint="eastAsia" w:ascii="Times New Roman" w:hAnsi="仿宋" w:eastAsia="宋体" w:cs="仿宋"/>
          <w:spacing w:val="4"/>
          <w:sz w:val="28"/>
          <w:szCs w:val="32"/>
        </w:rPr>
        <w:t>（4）部门预算绩效管理情况（分值为2分）</w:t>
      </w:r>
    </w:p>
    <w:p>
      <w:pPr>
        <w:snapToGrid/>
        <w:spacing w:beforeAutospacing="0" w:afterAutospacing="0" w:line="360" w:lineRule="auto"/>
        <w:ind w:left="0" w:leftChars="0" w:firstLine="576" w:firstLineChars="200"/>
        <w:rPr>
          <w:rFonts w:ascii="Times New Roman" w:hAnsi="仿宋" w:eastAsia="宋体" w:cs="仿宋"/>
          <w:spacing w:val="4"/>
          <w:sz w:val="28"/>
          <w:szCs w:val="32"/>
        </w:rPr>
      </w:pPr>
      <w:r>
        <w:rPr>
          <w:rFonts w:hint="eastAsia" w:ascii="Times New Roman" w:hAnsi="仿宋" w:eastAsia="宋体" w:cs="仿宋"/>
          <w:spacing w:val="4"/>
          <w:sz w:val="28"/>
          <w:szCs w:val="32"/>
        </w:rPr>
        <w:t>部门预算绩效管理情况通过对部门开展预算绩效管理工作的年度评价结果，用以反映部门对预算绩效管理工作的重视程度和取得的成效。</w:t>
      </w:r>
    </w:p>
    <w:p>
      <w:pPr>
        <w:snapToGrid/>
        <w:spacing w:beforeAutospacing="0" w:afterAutospacing="0" w:line="360" w:lineRule="auto"/>
        <w:ind w:left="0" w:leftChars="0" w:firstLine="576" w:firstLineChars="200"/>
        <w:rPr>
          <w:rFonts w:ascii="Times New Roman" w:hAnsi="仿宋" w:eastAsia="宋体" w:cs="仿宋"/>
          <w:spacing w:val="4"/>
          <w:sz w:val="28"/>
          <w:szCs w:val="32"/>
        </w:rPr>
      </w:pPr>
      <w:r>
        <w:rPr>
          <w:rFonts w:hint="eastAsia" w:ascii="Times New Roman" w:hAnsi="仿宋" w:eastAsia="宋体" w:cs="仿宋"/>
          <w:spacing w:val="4"/>
          <w:sz w:val="28"/>
          <w:szCs w:val="32"/>
        </w:rPr>
        <w:t>石狮市应急管理局积极配合绩效评价工作小组工作，及时提供目标申报表、绩效监控表、绩效自评表和自评报告。此项得2分。</w:t>
      </w:r>
    </w:p>
    <w:p>
      <w:pPr>
        <w:pStyle w:val="2"/>
        <w:snapToGrid/>
        <w:spacing w:beforeAutospacing="0" w:afterAutospacing="0" w:line="360" w:lineRule="auto"/>
        <w:ind w:left="0" w:leftChars="0" w:firstLine="576" w:firstLineChars="200"/>
        <w:rPr>
          <w:rFonts w:ascii="Times New Roman" w:hAnsi="仿宋" w:eastAsia="宋体" w:cs="仿宋"/>
          <w:sz w:val="28"/>
          <w:szCs w:val="32"/>
        </w:rPr>
      </w:pPr>
      <w:r>
        <w:rPr>
          <w:rFonts w:hint="eastAsia" w:ascii="Times New Roman" w:hAnsi="仿宋" w:eastAsia="宋体" w:cs="仿宋"/>
          <w:spacing w:val="4"/>
          <w:sz w:val="28"/>
          <w:szCs w:val="32"/>
        </w:rPr>
        <w:t>因此，职责履行得8分。</w:t>
      </w:r>
    </w:p>
    <w:p>
      <w:pPr>
        <w:snapToGrid/>
        <w:spacing w:beforeAutospacing="0" w:afterAutospacing="0" w:line="360" w:lineRule="auto"/>
        <w:ind w:left="0" w:leftChars="0" w:right="0" w:rightChars="0" w:firstLine="0" w:firstLineChars="0"/>
        <w:jc w:val="left"/>
        <w:outlineLvl w:val="2"/>
        <w:rPr>
          <w:rFonts w:ascii="Times New Roman" w:hAnsi="仿宋" w:eastAsia="宋体" w:cs="仿宋"/>
          <w:b/>
          <w:spacing w:val="4"/>
          <w:sz w:val="28"/>
          <w:szCs w:val="32"/>
        </w:rPr>
      </w:pPr>
      <w:bookmarkStart w:id="179" w:name="_Toc11823"/>
      <w:bookmarkStart w:id="180" w:name="_Toc27742"/>
      <w:bookmarkStart w:id="181" w:name="_Toc27353"/>
      <w:bookmarkStart w:id="182" w:name="_Toc8777"/>
      <w:bookmarkStart w:id="183" w:name="_Toc16567"/>
      <w:r>
        <w:rPr>
          <w:rFonts w:hint="eastAsia" w:ascii="Times New Roman" w:hAnsi="仿宋" w:eastAsia="宋体" w:cs="仿宋"/>
          <w:b/>
          <w:bCs/>
          <w:spacing w:val="4"/>
          <w:sz w:val="28"/>
          <w:szCs w:val="32"/>
        </w:rPr>
        <w:t>2.产出数量（分值为20分）</w:t>
      </w:r>
      <w:bookmarkEnd w:id="178"/>
      <w:bookmarkEnd w:id="179"/>
      <w:bookmarkEnd w:id="180"/>
      <w:bookmarkEnd w:id="181"/>
      <w:bookmarkEnd w:id="182"/>
      <w:bookmarkEnd w:id="183"/>
    </w:p>
    <w:p>
      <w:pPr>
        <w:snapToGrid/>
        <w:spacing w:beforeAutospacing="0" w:afterAutospacing="0" w:line="360" w:lineRule="auto"/>
        <w:ind w:left="0" w:leftChars="0" w:firstLine="576" w:firstLineChars="200"/>
        <w:rPr>
          <w:rFonts w:ascii="Times New Roman" w:hAnsi="仿宋" w:eastAsia="宋体" w:cs="仿宋"/>
          <w:spacing w:val="4"/>
          <w:sz w:val="28"/>
          <w:szCs w:val="32"/>
        </w:rPr>
      </w:pPr>
      <w:r>
        <w:rPr>
          <w:rFonts w:hint="eastAsia" w:ascii="Times New Roman" w:hAnsi="仿宋" w:eastAsia="宋体" w:cs="仿宋"/>
          <w:spacing w:val="4"/>
          <w:sz w:val="28"/>
          <w:szCs w:val="32"/>
        </w:rPr>
        <w:t>产出数量主要从安全生产监督员检查活动次数、地震应急救援次数、防汛应急演练与培训次数、</w:t>
      </w:r>
      <w:r>
        <w:rPr>
          <w:rFonts w:hint="eastAsia" w:ascii="Times New Roman" w:hAnsi="仿宋" w:eastAsia="宋体" w:cs="仿宋"/>
          <w:spacing w:val="4"/>
          <w:sz w:val="28"/>
          <w:szCs w:val="32"/>
          <w:lang w:val="en-US" w:eastAsia="zh-CN"/>
        </w:rPr>
        <w:t>应急救援</w:t>
      </w:r>
      <w:r>
        <w:rPr>
          <w:rFonts w:hint="eastAsia" w:ascii="Times New Roman" w:hAnsi="仿宋" w:eastAsia="宋体" w:cs="仿宋"/>
          <w:spacing w:val="4"/>
          <w:sz w:val="28"/>
          <w:szCs w:val="32"/>
        </w:rPr>
        <w:t>避难场所管理、聘请临时工人数、宣传覆盖面人数6方面进行评价。</w:t>
      </w:r>
    </w:p>
    <w:p>
      <w:pPr>
        <w:snapToGrid/>
        <w:spacing w:beforeAutospacing="0" w:afterAutospacing="0" w:line="360" w:lineRule="auto"/>
        <w:ind w:left="0" w:leftChars="0" w:firstLine="576" w:firstLineChars="200"/>
        <w:outlineLvl w:val="3"/>
        <w:rPr>
          <w:rFonts w:ascii="Times New Roman" w:hAnsi="仿宋" w:eastAsia="宋体" w:cs="仿宋"/>
          <w:spacing w:val="4"/>
          <w:sz w:val="28"/>
          <w:szCs w:val="32"/>
        </w:rPr>
      </w:pPr>
      <w:r>
        <w:rPr>
          <w:rFonts w:hint="eastAsia" w:ascii="Times New Roman" w:hAnsi="仿宋" w:eastAsia="宋体" w:cs="仿宋"/>
          <w:spacing w:val="4"/>
          <w:sz w:val="28"/>
          <w:szCs w:val="32"/>
        </w:rPr>
        <w:t>（1）安全生产监督员检查活动次数（分值</w:t>
      </w:r>
      <w:r>
        <w:rPr>
          <w:rFonts w:hint="eastAsia" w:ascii="Times New Roman" w:hAnsi="仿宋" w:eastAsia="宋体" w:cs="仿宋"/>
          <w:spacing w:val="4"/>
          <w:sz w:val="28"/>
          <w:szCs w:val="32"/>
          <w:lang w:val="en-US" w:eastAsia="zh-CN"/>
        </w:rPr>
        <w:t>2</w:t>
      </w:r>
      <w:r>
        <w:rPr>
          <w:rFonts w:hint="eastAsia" w:ascii="Times New Roman" w:hAnsi="仿宋" w:eastAsia="宋体" w:cs="仿宋"/>
          <w:spacing w:val="4"/>
          <w:sz w:val="28"/>
          <w:szCs w:val="32"/>
        </w:rPr>
        <w:t>分）</w:t>
      </w:r>
    </w:p>
    <w:p>
      <w:pPr>
        <w:snapToGrid/>
        <w:spacing w:beforeAutospacing="0" w:afterAutospacing="0" w:line="360" w:lineRule="auto"/>
        <w:ind w:left="0" w:leftChars="0" w:firstLine="576" w:firstLineChars="200"/>
        <w:rPr>
          <w:rFonts w:ascii="Times New Roman" w:hAnsi="仿宋" w:eastAsia="宋体" w:cs="仿宋"/>
          <w:spacing w:val="4"/>
          <w:sz w:val="28"/>
          <w:szCs w:val="32"/>
        </w:rPr>
      </w:pPr>
      <w:r>
        <w:rPr>
          <w:rFonts w:hint="eastAsia" w:ascii="Times New Roman" w:hAnsi="仿宋" w:eastAsia="宋体" w:cs="仿宋"/>
          <w:spacing w:val="4"/>
          <w:sz w:val="28"/>
          <w:szCs w:val="32"/>
        </w:rPr>
        <w:t>“安全生产监督员检查活动次数”指标考察当年度安全生产监督员检查活动的情况。根据石狮市应急管理局提供的材料，安全生产监督员参与、协助各镇（街道）和有关部门共检查企事业单位4871家次，排查、整改隐患3053条</w:t>
      </w:r>
      <w:r>
        <w:rPr>
          <w:rFonts w:hint="eastAsia" w:ascii="Times New Roman" w:hAnsi="仿宋" w:eastAsia="宋体" w:cs="仿宋"/>
          <w:spacing w:val="4"/>
          <w:sz w:val="28"/>
          <w:szCs w:val="32"/>
          <w:lang w:eastAsia="zh-CN"/>
        </w:rPr>
        <w:t>，</w:t>
      </w:r>
      <w:r>
        <w:rPr>
          <w:rFonts w:hint="eastAsia" w:ascii="Times New Roman" w:hAnsi="仿宋" w:eastAsia="宋体" w:cs="仿宋"/>
          <w:spacing w:val="4"/>
          <w:sz w:val="28"/>
          <w:szCs w:val="32"/>
        </w:rPr>
        <w:t>已完成绩效目标。此项得2分。</w:t>
      </w:r>
    </w:p>
    <w:p>
      <w:pPr>
        <w:snapToGrid/>
        <w:spacing w:beforeAutospacing="0" w:afterAutospacing="0" w:line="360" w:lineRule="auto"/>
        <w:ind w:left="0" w:leftChars="0" w:firstLine="576" w:firstLineChars="200"/>
        <w:rPr>
          <w:rFonts w:ascii="Times New Roman" w:hAnsi="仿宋" w:eastAsia="宋体" w:cs="仿宋"/>
          <w:spacing w:val="4"/>
          <w:sz w:val="28"/>
          <w:szCs w:val="32"/>
        </w:rPr>
      </w:pPr>
      <w:r>
        <w:rPr>
          <w:rFonts w:hint="eastAsia" w:ascii="Times New Roman" w:hAnsi="仿宋" w:eastAsia="宋体" w:cs="仿宋"/>
          <w:spacing w:val="4"/>
          <w:sz w:val="28"/>
          <w:szCs w:val="32"/>
        </w:rPr>
        <w:t>（2）地震应急救援演练活动次数（分值为2分）</w:t>
      </w:r>
    </w:p>
    <w:p>
      <w:pPr>
        <w:snapToGrid/>
        <w:spacing w:beforeAutospacing="0" w:afterAutospacing="0" w:line="360" w:lineRule="auto"/>
        <w:ind w:left="0" w:leftChars="0" w:firstLine="576" w:firstLineChars="200"/>
        <w:outlineLvl w:val="3"/>
        <w:rPr>
          <w:rFonts w:ascii="Times New Roman" w:hAnsi="仿宋" w:eastAsia="宋体" w:cs="仿宋"/>
          <w:sz w:val="28"/>
          <w:szCs w:val="32"/>
        </w:rPr>
      </w:pPr>
      <w:r>
        <w:rPr>
          <w:rFonts w:hint="eastAsia" w:ascii="Times New Roman" w:hAnsi="仿宋" w:eastAsia="宋体" w:cs="仿宋"/>
          <w:spacing w:val="4"/>
          <w:sz w:val="28"/>
          <w:szCs w:val="32"/>
        </w:rPr>
        <w:t>“地震应急救援演练活动次数”应急管理局是根据石狮市地震应急救援次数是否达到绩效目标值进行评价。</w:t>
      </w:r>
    </w:p>
    <w:p>
      <w:pPr>
        <w:pStyle w:val="2"/>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76" w:firstLineChars="200"/>
        <w:textAlignment w:val="auto"/>
        <w:rPr>
          <w:rFonts w:ascii="Times New Roman" w:hAnsi="仿宋" w:eastAsia="宋体" w:cs="仿宋"/>
          <w:spacing w:val="4"/>
          <w:sz w:val="28"/>
          <w:szCs w:val="32"/>
        </w:rPr>
      </w:pPr>
      <w:r>
        <w:rPr>
          <w:rFonts w:hint="eastAsia" w:ascii="Times New Roman" w:hAnsi="仿宋" w:eastAsia="宋体" w:cs="仿宋"/>
          <w:spacing w:val="4"/>
          <w:sz w:val="28"/>
          <w:szCs w:val="32"/>
        </w:rPr>
        <w:t>2022年石狮市开展地震自救互救演练，每所学校每学期至少组织一场演练活动</w:t>
      </w:r>
      <w:r>
        <w:rPr>
          <w:rFonts w:hint="eastAsia" w:ascii="Times New Roman" w:hAnsi="仿宋" w:eastAsia="宋体" w:cs="仿宋"/>
          <w:spacing w:val="4"/>
          <w:sz w:val="28"/>
          <w:szCs w:val="32"/>
          <w:lang w:eastAsia="zh-CN"/>
        </w:rPr>
        <w:t>，</w:t>
      </w:r>
      <w:r>
        <w:rPr>
          <w:rFonts w:hint="eastAsia" w:ascii="Times New Roman" w:hAnsi="仿宋" w:eastAsia="宋体" w:cs="仿宋"/>
          <w:spacing w:val="4"/>
          <w:sz w:val="28"/>
          <w:szCs w:val="32"/>
        </w:rPr>
        <w:t>已完成绩效目标，该项得2分。</w:t>
      </w:r>
    </w:p>
    <w:p>
      <w:pPr>
        <w:snapToGrid/>
        <w:spacing w:beforeAutospacing="0" w:afterAutospacing="0" w:line="360" w:lineRule="auto"/>
        <w:ind w:left="0" w:leftChars="0" w:firstLine="576" w:firstLineChars="200"/>
        <w:outlineLvl w:val="3"/>
        <w:rPr>
          <w:rFonts w:ascii="Times New Roman" w:hAnsi="仿宋" w:eastAsia="宋体" w:cs="仿宋"/>
          <w:spacing w:val="4"/>
          <w:sz w:val="28"/>
          <w:szCs w:val="32"/>
        </w:rPr>
      </w:pPr>
      <w:r>
        <w:rPr>
          <w:rFonts w:hint="eastAsia" w:ascii="Times New Roman" w:hAnsi="仿宋" w:eastAsia="宋体" w:cs="仿宋"/>
          <w:spacing w:val="4"/>
          <w:sz w:val="28"/>
          <w:szCs w:val="32"/>
        </w:rPr>
        <w:t>（3）防汛应急演练培训次数（分值2分）</w:t>
      </w:r>
    </w:p>
    <w:p>
      <w:pPr>
        <w:snapToGrid/>
        <w:spacing w:beforeAutospacing="0" w:afterAutospacing="0" w:line="360" w:lineRule="auto"/>
        <w:ind w:left="0" w:leftChars="0" w:firstLine="576" w:firstLineChars="200"/>
        <w:rPr>
          <w:rFonts w:hint="eastAsia" w:ascii="Times New Roman" w:hAnsi="仿宋" w:eastAsia="宋体" w:cs="仿宋"/>
          <w:spacing w:val="4"/>
          <w:sz w:val="28"/>
          <w:szCs w:val="32"/>
          <w:lang w:eastAsia="zh-CN"/>
        </w:rPr>
      </w:pPr>
      <w:r>
        <w:rPr>
          <w:rFonts w:hint="eastAsia" w:ascii="Times New Roman" w:hAnsi="仿宋" w:eastAsia="宋体" w:cs="仿宋"/>
          <w:spacing w:val="4"/>
          <w:sz w:val="28"/>
          <w:szCs w:val="32"/>
        </w:rPr>
        <w:t>“防汛应急演练培训次数”是根据石狮市应急管理局2022年度开展防汛应急演练培训次数的次数进行评价</w:t>
      </w:r>
      <w:r>
        <w:rPr>
          <w:rFonts w:hint="eastAsia" w:ascii="Times New Roman" w:hAnsi="仿宋" w:eastAsia="宋体" w:cs="仿宋"/>
          <w:spacing w:val="4"/>
          <w:sz w:val="28"/>
          <w:szCs w:val="32"/>
          <w:lang w:eastAsia="zh-CN"/>
        </w:rPr>
        <w:t>。</w:t>
      </w:r>
      <w:r>
        <w:rPr>
          <w:rFonts w:hint="eastAsia" w:ascii="Times New Roman" w:hAnsi="仿宋" w:eastAsia="宋体" w:cs="仿宋"/>
          <w:spacing w:val="4"/>
          <w:sz w:val="28"/>
          <w:szCs w:val="32"/>
          <w:lang w:val="en-US" w:eastAsia="zh-CN"/>
        </w:rPr>
        <w:t>评分标准为</w:t>
      </w:r>
      <w:r>
        <w:rPr>
          <w:rFonts w:hint="eastAsia" w:ascii="Times New Roman" w:hAnsi="仿宋" w:eastAsia="宋体" w:cs="仿宋"/>
          <w:spacing w:val="4"/>
          <w:sz w:val="28"/>
          <w:szCs w:val="32"/>
          <w:lang w:eastAsia="zh-CN"/>
        </w:rPr>
        <w:t>防汛应急演练培训次数2次及以上次得满分，每少1次扣0.5分，扣完为止。</w:t>
      </w:r>
    </w:p>
    <w:p>
      <w:pPr>
        <w:snapToGrid/>
        <w:spacing w:beforeAutospacing="0" w:afterAutospacing="0" w:line="360" w:lineRule="auto"/>
        <w:ind w:left="0" w:leftChars="0" w:firstLine="576" w:firstLineChars="200"/>
        <w:rPr>
          <w:rFonts w:ascii="Times New Roman" w:hAnsi="仿宋" w:eastAsia="宋体" w:cs="仿宋"/>
          <w:spacing w:val="4"/>
          <w:sz w:val="28"/>
          <w:szCs w:val="32"/>
        </w:rPr>
      </w:pPr>
      <w:r>
        <w:rPr>
          <w:rFonts w:hint="eastAsia" w:ascii="Times New Roman" w:hAnsi="仿宋" w:eastAsia="宋体" w:cs="仿宋"/>
          <w:spacing w:val="4"/>
          <w:sz w:val="28"/>
          <w:szCs w:val="32"/>
        </w:rPr>
        <w:t>根据石狮市应急管理局工作记录，</w:t>
      </w:r>
      <w:r>
        <w:rPr>
          <w:rFonts w:hint="eastAsia" w:ascii="Times New Roman" w:hAnsi="仿宋" w:eastAsia="宋体" w:cs="仿宋"/>
          <w:spacing w:val="4"/>
          <w:sz w:val="28"/>
          <w:szCs w:val="32"/>
          <w:lang w:val="en-US" w:eastAsia="zh-CN"/>
        </w:rPr>
        <w:t>2022年度</w:t>
      </w:r>
      <w:r>
        <w:rPr>
          <w:rFonts w:hint="eastAsia" w:ascii="Times New Roman" w:hAnsi="仿宋" w:eastAsia="宋体" w:cs="仿宋"/>
          <w:spacing w:val="4"/>
          <w:sz w:val="28"/>
          <w:szCs w:val="32"/>
        </w:rPr>
        <w:t>共开展了</w:t>
      </w:r>
      <w:r>
        <w:rPr>
          <w:rFonts w:hint="eastAsia" w:ascii="Times New Roman" w:hAnsi="仿宋" w:eastAsia="宋体" w:cs="仿宋"/>
          <w:spacing w:val="4"/>
          <w:sz w:val="28"/>
          <w:szCs w:val="32"/>
          <w:lang w:val="en-US" w:eastAsia="zh-CN"/>
        </w:rPr>
        <w:t>3次</w:t>
      </w:r>
      <w:r>
        <w:rPr>
          <w:rFonts w:hint="eastAsia" w:ascii="Times New Roman" w:hAnsi="仿宋" w:eastAsia="宋体" w:cs="仿宋"/>
          <w:spacing w:val="4"/>
          <w:sz w:val="28"/>
          <w:szCs w:val="32"/>
        </w:rPr>
        <w:t>防汛应急演练培训。根据评分标准，此项得2分。</w:t>
      </w:r>
    </w:p>
    <w:p>
      <w:pPr>
        <w:snapToGrid/>
        <w:spacing w:beforeAutospacing="0" w:afterAutospacing="0" w:line="360" w:lineRule="auto"/>
        <w:ind w:left="0" w:leftChars="0" w:firstLine="576" w:firstLineChars="200"/>
        <w:outlineLvl w:val="3"/>
        <w:rPr>
          <w:rFonts w:ascii="Times New Roman" w:hAnsi="仿宋" w:eastAsia="宋体" w:cs="仿宋"/>
          <w:spacing w:val="4"/>
          <w:sz w:val="28"/>
          <w:szCs w:val="32"/>
        </w:rPr>
      </w:pPr>
      <w:r>
        <w:rPr>
          <w:rFonts w:hint="eastAsia" w:ascii="Times New Roman" w:hAnsi="仿宋" w:eastAsia="宋体" w:cs="仿宋"/>
          <w:spacing w:val="4"/>
          <w:sz w:val="28"/>
          <w:szCs w:val="32"/>
        </w:rPr>
        <w:t>（4）应急救援避难场所管理（分值为2分）</w:t>
      </w:r>
    </w:p>
    <w:p>
      <w:pPr>
        <w:snapToGrid/>
        <w:spacing w:beforeAutospacing="0" w:afterAutospacing="0" w:line="360" w:lineRule="auto"/>
        <w:ind w:left="0" w:leftChars="0" w:firstLine="576" w:firstLineChars="200"/>
        <w:outlineLvl w:val="3"/>
        <w:rPr>
          <w:rFonts w:ascii="Times New Roman" w:hAnsi="仿宋" w:eastAsia="宋体" w:cs="仿宋"/>
          <w:spacing w:val="4"/>
          <w:sz w:val="28"/>
          <w:szCs w:val="32"/>
        </w:rPr>
      </w:pPr>
      <w:r>
        <w:rPr>
          <w:rFonts w:hint="eastAsia" w:ascii="Times New Roman" w:hAnsi="仿宋" w:eastAsia="宋体" w:cs="仿宋"/>
          <w:spacing w:val="4"/>
          <w:sz w:val="28"/>
          <w:szCs w:val="32"/>
        </w:rPr>
        <w:t>应急救援避难场所管理指标考察应急救援避难场所管理情况，是否定期巡查、维护。2022年度应急管理局对地震应急救援避难场所维护良好，共巡查4次。此项得2分。</w:t>
      </w:r>
    </w:p>
    <w:p>
      <w:pPr>
        <w:numPr>
          <w:ilvl w:val="0"/>
          <w:numId w:val="3"/>
        </w:numPr>
        <w:snapToGrid/>
        <w:spacing w:beforeAutospacing="0" w:afterAutospacing="0" w:line="360" w:lineRule="auto"/>
        <w:ind w:left="0" w:leftChars="0" w:firstLine="576" w:firstLineChars="200"/>
        <w:outlineLvl w:val="3"/>
        <w:rPr>
          <w:rFonts w:ascii="Times New Roman" w:hAnsi="仿宋" w:eastAsia="宋体" w:cs="仿宋"/>
          <w:spacing w:val="4"/>
          <w:sz w:val="28"/>
          <w:szCs w:val="32"/>
        </w:rPr>
      </w:pPr>
      <w:r>
        <w:rPr>
          <w:rFonts w:hint="eastAsia" w:ascii="Times New Roman" w:hAnsi="仿宋" w:eastAsia="宋体" w:cs="仿宋"/>
          <w:spacing w:val="4"/>
          <w:sz w:val="28"/>
          <w:szCs w:val="32"/>
        </w:rPr>
        <w:t>聘请临时工人数（分值为2分）</w:t>
      </w:r>
    </w:p>
    <w:p>
      <w:pPr>
        <w:snapToGrid/>
        <w:spacing w:beforeAutospacing="0" w:afterAutospacing="0" w:line="360" w:lineRule="auto"/>
        <w:ind w:left="0" w:leftChars="0" w:firstLine="576" w:firstLineChars="200"/>
        <w:outlineLvl w:val="3"/>
        <w:rPr>
          <w:rFonts w:ascii="Times New Roman" w:hAnsi="仿宋" w:eastAsia="宋体" w:cs="仿宋"/>
          <w:spacing w:val="4"/>
          <w:sz w:val="28"/>
          <w:szCs w:val="32"/>
        </w:rPr>
      </w:pPr>
      <w:r>
        <w:rPr>
          <w:rFonts w:hint="eastAsia" w:ascii="Times New Roman" w:hAnsi="仿宋" w:eastAsia="宋体" w:cs="仿宋"/>
          <w:spacing w:val="4"/>
          <w:sz w:val="28"/>
          <w:szCs w:val="32"/>
        </w:rPr>
        <w:t>“聘请临时工人数”用于考核2</w:t>
      </w:r>
      <w:r>
        <w:rPr>
          <w:rFonts w:ascii="Times New Roman" w:hAnsi="仿宋" w:eastAsia="宋体" w:cs="仿宋"/>
          <w:spacing w:val="4"/>
          <w:sz w:val="28"/>
          <w:szCs w:val="32"/>
        </w:rPr>
        <w:t>022</w:t>
      </w:r>
      <w:r>
        <w:rPr>
          <w:rFonts w:hint="eastAsia" w:ascii="Times New Roman" w:hAnsi="仿宋" w:eastAsia="宋体" w:cs="仿宋"/>
          <w:spacing w:val="4"/>
          <w:sz w:val="28"/>
          <w:szCs w:val="32"/>
        </w:rPr>
        <w:t>年度石狮市应急管理局聘请临时工的人数，是否达到年度目标。绩效目标为大于</w:t>
      </w:r>
      <w:r>
        <w:rPr>
          <w:rFonts w:hint="eastAsia" w:ascii="Times New Roman" w:hAnsi="仿宋" w:eastAsia="宋体" w:cs="仿宋"/>
          <w:spacing w:val="4"/>
          <w:sz w:val="28"/>
          <w:szCs w:val="32"/>
          <w:lang w:eastAsia="zh-CN"/>
        </w:rPr>
        <w:t>等于</w:t>
      </w:r>
      <w:r>
        <w:rPr>
          <w:rFonts w:hint="eastAsia" w:ascii="Times New Roman" w:hAnsi="仿宋" w:eastAsia="宋体" w:cs="仿宋"/>
          <w:spacing w:val="4"/>
          <w:sz w:val="28"/>
          <w:szCs w:val="32"/>
        </w:rPr>
        <w:t>15人，实际聘请15人。已完成目标。此项得2分。</w:t>
      </w:r>
    </w:p>
    <w:p>
      <w:pPr>
        <w:snapToGrid/>
        <w:spacing w:beforeAutospacing="0" w:afterAutospacing="0" w:line="360" w:lineRule="auto"/>
        <w:ind w:left="0" w:leftChars="0" w:firstLine="576" w:firstLineChars="200"/>
        <w:outlineLvl w:val="3"/>
        <w:rPr>
          <w:rFonts w:ascii="Times New Roman" w:hAnsi="仿宋" w:eastAsia="宋体" w:cs="仿宋"/>
          <w:spacing w:val="4"/>
          <w:sz w:val="28"/>
          <w:szCs w:val="32"/>
        </w:rPr>
      </w:pPr>
      <w:r>
        <w:rPr>
          <w:rFonts w:hint="eastAsia" w:ascii="Times New Roman" w:hAnsi="仿宋" w:eastAsia="宋体" w:cs="仿宋"/>
          <w:spacing w:val="4"/>
          <w:sz w:val="28"/>
          <w:szCs w:val="32"/>
        </w:rPr>
        <w:t>（6）宣传覆盖面</w:t>
      </w:r>
      <w:r>
        <w:rPr>
          <w:rFonts w:hint="eastAsia" w:ascii="Times New Roman" w:hAnsi="仿宋" w:eastAsia="宋体" w:cs="仿宋"/>
          <w:spacing w:val="4"/>
          <w:sz w:val="28"/>
          <w:szCs w:val="32"/>
          <w:lang w:eastAsia="zh-CN"/>
        </w:rPr>
        <w:t>人数</w:t>
      </w:r>
      <w:r>
        <w:rPr>
          <w:rFonts w:hint="eastAsia" w:ascii="Times New Roman" w:hAnsi="仿宋" w:eastAsia="宋体" w:cs="仿宋"/>
          <w:spacing w:val="4"/>
          <w:sz w:val="28"/>
          <w:szCs w:val="32"/>
        </w:rPr>
        <w:t>（分值2分）</w:t>
      </w:r>
    </w:p>
    <w:p>
      <w:pPr>
        <w:pStyle w:val="24"/>
        <w:snapToGrid/>
        <w:spacing w:beforeAutospacing="0" w:afterAutospacing="0" w:line="360" w:lineRule="auto"/>
        <w:ind w:left="0" w:leftChars="0" w:firstLine="576" w:firstLineChars="200"/>
        <w:jc w:val="left"/>
        <w:rPr>
          <w:rFonts w:ascii="Times New Roman" w:hAnsi="仿宋" w:eastAsia="宋体" w:cs="仿宋"/>
          <w:spacing w:val="4"/>
          <w:kern w:val="2"/>
          <w:sz w:val="28"/>
          <w:szCs w:val="32"/>
        </w:rPr>
      </w:pPr>
      <w:r>
        <w:rPr>
          <w:rFonts w:hint="eastAsia" w:ascii="Times New Roman" w:hAnsi="仿宋" w:eastAsia="宋体" w:cs="仿宋"/>
          <w:spacing w:val="4"/>
          <w:sz w:val="28"/>
          <w:szCs w:val="32"/>
        </w:rPr>
        <w:t>“宣传覆盖面</w:t>
      </w:r>
      <w:r>
        <w:rPr>
          <w:rFonts w:hint="eastAsia" w:ascii="Times New Roman" w:hAnsi="仿宋" w:eastAsia="宋体" w:cs="仿宋"/>
          <w:spacing w:val="4"/>
          <w:sz w:val="28"/>
          <w:szCs w:val="32"/>
          <w:lang w:eastAsia="zh-CN"/>
        </w:rPr>
        <w:t>人数</w:t>
      </w:r>
      <w:r>
        <w:rPr>
          <w:rFonts w:hint="eastAsia" w:ascii="Times New Roman" w:hAnsi="仿宋" w:eastAsia="宋体" w:cs="仿宋"/>
          <w:spacing w:val="4"/>
          <w:sz w:val="28"/>
          <w:szCs w:val="32"/>
        </w:rPr>
        <w:t>”指标用于评价石狮市应急管理局在安全生产月培训人数所达到的宣传氛围。</w:t>
      </w:r>
    </w:p>
    <w:p>
      <w:pPr>
        <w:snapToGrid/>
        <w:spacing w:beforeAutospacing="0" w:afterAutospacing="0" w:line="360" w:lineRule="auto"/>
        <w:ind w:left="0" w:leftChars="0" w:firstLine="576" w:firstLineChars="200"/>
        <w:outlineLvl w:val="3"/>
        <w:rPr>
          <w:rFonts w:hint="eastAsia" w:ascii="Times New Roman" w:hAnsi="仿宋" w:eastAsia="宋体" w:cs="仿宋"/>
          <w:spacing w:val="4"/>
          <w:sz w:val="28"/>
          <w:szCs w:val="32"/>
        </w:rPr>
      </w:pPr>
      <w:r>
        <w:rPr>
          <w:rFonts w:hint="eastAsia" w:ascii="Times New Roman" w:hAnsi="仿宋" w:eastAsia="宋体" w:cs="仿宋"/>
          <w:spacing w:val="4"/>
          <w:sz w:val="28"/>
          <w:szCs w:val="32"/>
          <w:lang w:val="en-US" w:eastAsia="zh-CN"/>
        </w:rPr>
        <w:t>以安全生产月、防灾减灾日等重要节点为契机，通过开展“5•12”防灾减灾日主题宣传咨询活动、“6•16安全宣传咨询日”活动、“安全生产法、防灾减灾知识知多少”网上有奖竞答、联合公共文明引导志愿者协会开展安全生产宣传使者“进门入户送安全”，石狮市应急管理局通过组织集中培训、观摩学习等形式，共开展培训70余期，累计7000余名安全员参加。进一步提高安全员发现问题、解决问题、应急处置的工作能力。根据评分标准，此项得2分。</w:t>
      </w:r>
      <w:r>
        <w:rPr>
          <w:rFonts w:hint="eastAsia" w:ascii="Times New Roman" w:hAnsi="仿宋" w:eastAsia="宋体" w:cs="仿宋"/>
          <w:spacing w:val="4"/>
          <w:sz w:val="28"/>
          <w:szCs w:val="32"/>
        </w:rPr>
        <w:t>此项得2分。</w:t>
      </w:r>
    </w:p>
    <w:p>
      <w:pPr>
        <w:snapToGrid/>
        <w:spacing w:beforeAutospacing="0" w:afterAutospacing="0" w:line="360" w:lineRule="auto"/>
        <w:ind w:left="0" w:leftChars="0" w:firstLine="576" w:firstLineChars="200"/>
        <w:outlineLvl w:val="2"/>
        <w:rPr>
          <w:rFonts w:ascii="Times New Roman" w:hAnsi="仿宋" w:eastAsia="宋体" w:cs="仿宋"/>
          <w:sz w:val="28"/>
          <w:szCs w:val="32"/>
        </w:rPr>
      </w:pPr>
      <w:bookmarkStart w:id="184" w:name="_Toc25543"/>
      <w:r>
        <w:rPr>
          <w:rFonts w:hint="eastAsia" w:ascii="Times New Roman" w:hAnsi="仿宋" w:eastAsia="宋体" w:cs="仿宋"/>
          <w:spacing w:val="4"/>
          <w:sz w:val="28"/>
          <w:szCs w:val="32"/>
        </w:rPr>
        <w:t>因此，产出数量得12分。</w:t>
      </w:r>
      <w:bookmarkEnd w:id="184"/>
    </w:p>
    <w:p>
      <w:pPr>
        <w:snapToGrid/>
        <w:spacing w:beforeAutospacing="0" w:afterAutospacing="0" w:line="360" w:lineRule="auto"/>
        <w:ind w:left="0" w:leftChars="0" w:right="0" w:rightChars="0" w:firstLine="0" w:firstLineChars="0"/>
        <w:jc w:val="left"/>
        <w:outlineLvl w:val="2"/>
        <w:rPr>
          <w:rFonts w:ascii="Times New Roman" w:hAnsi="仿宋" w:eastAsia="宋体" w:cs="仿宋"/>
          <w:b/>
          <w:spacing w:val="4"/>
          <w:sz w:val="28"/>
          <w:szCs w:val="32"/>
        </w:rPr>
      </w:pPr>
      <w:bookmarkStart w:id="185" w:name="_Toc24104"/>
      <w:bookmarkStart w:id="186" w:name="_Toc4315"/>
      <w:bookmarkStart w:id="187" w:name="_Toc6217"/>
      <w:bookmarkStart w:id="188" w:name="_Toc13862"/>
      <w:bookmarkStart w:id="189" w:name="_Toc11651"/>
      <w:bookmarkStart w:id="190" w:name="_Toc17534"/>
      <w:r>
        <w:rPr>
          <w:rFonts w:hint="eastAsia" w:ascii="Times New Roman" w:hAnsi="仿宋" w:eastAsia="宋体" w:cs="仿宋"/>
          <w:b/>
          <w:spacing w:val="4"/>
          <w:sz w:val="28"/>
          <w:szCs w:val="32"/>
        </w:rPr>
        <w:t>3.产出质量（分值为12分）</w:t>
      </w:r>
      <w:bookmarkEnd w:id="185"/>
      <w:bookmarkEnd w:id="186"/>
      <w:bookmarkEnd w:id="187"/>
      <w:bookmarkEnd w:id="188"/>
      <w:bookmarkEnd w:id="189"/>
      <w:bookmarkEnd w:id="190"/>
    </w:p>
    <w:p>
      <w:pPr>
        <w:snapToGrid/>
        <w:spacing w:beforeAutospacing="0" w:afterAutospacing="0" w:line="360" w:lineRule="auto"/>
        <w:ind w:left="0" w:leftChars="0" w:firstLine="576" w:firstLineChars="200"/>
        <w:rPr>
          <w:rFonts w:ascii="Times New Roman" w:hAnsi="仿宋" w:eastAsia="宋体" w:cs="仿宋"/>
          <w:spacing w:val="4"/>
          <w:sz w:val="28"/>
          <w:szCs w:val="32"/>
        </w:rPr>
      </w:pPr>
      <w:r>
        <w:rPr>
          <w:rFonts w:hint="eastAsia" w:ascii="Times New Roman" w:hAnsi="仿宋" w:eastAsia="宋体" w:cs="仿宋"/>
          <w:spacing w:val="4"/>
          <w:sz w:val="28"/>
          <w:szCs w:val="32"/>
        </w:rPr>
        <w:t>产出质量通过建立安全生产工作台账建立率、开展主题党日活动率、</w:t>
      </w:r>
      <w:r>
        <w:rPr>
          <w:rFonts w:hint="eastAsia" w:ascii="Times New Roman" w:hAnsi="仿宋" w:eastAsia="宋体" w:cs="仿宋"/>
          <w:spacing w:val="4"/>
          <w:sz w:val="28"/>
          <w:szCs w:val="32"/>
          <w:lang w:val="en-US" w:eastAsia="zh-CN"/>
        </w:rPr>
        <w:t>安全生产标准化提升</w:t>
      </w:r>
      <w:r>
        <w:rPr>
          <w:rFonts w:hint="eastAsia" w:ascii="Times New Roman" w:hAnsi="仿宋" w:eastAsia="宋体" w:cs="仿宋"/>
          <w:spacing w:val="4"/>
          <w:sz w:val="28"/>
          <w:szCs w:val="32"/>
        </w:rPr>
        <w:t>3个方面进行评价。</w:t>
      </w:r>
    </w:p>
    <w:p>
      <w:pPr>
        <w:snapToGrid/>
        <w:spacing w:beforeAutospacing="0" w:afterAutospacing="0" w:line="360" w:lineRule="auto"/>
        <w:ind w:left="0" w:leftChars="0" w:firstLine="576" w:firstLineChars="200"/>
        <w:rPr>
          <w:rFonts w:ascii="Times New Roman" w:hAnsi="仿宋" w:eastAsia="宋体" w:cs="仿宋"/>
          <w:spacing w:val="4"/>
          <w:sz w:val="28"/>
          <w:szCs w:val="32"/>
        </w:rPr>
      </w:pPr>
      <w:r>
        <w:rPr>
          <w:rFonts w:hint="eastAsia" w:ascii="Times New Roman" w:hAnsi="仿宋" w:eastAsia="宋体" w:cs="仿宋"/>
          <w:spacing w:val="4"/>
          <w:sz w:val="28"/>
          <w:szCs w:val="32"/>
        </w:rPr>
        <w:t>（1）建立安全生产工作台账建立率（分值4分）</w:t>
      </w:r>
    </w:p>
    <w:p>
      <w:pPr>
        <w:pStyle w:val="24"/>
        <w:snapToGrid/>
        <w:spacing w:beforeAutospacing="0" w:afterAutospacing="0" w:line="360" w:lineRule="auto"/>
        <w:ind w:left="0" w:leftChars="0" w:firstLine="576" w:firstLineChars="200"/>
        <w:jc w:val="left"/>
        <w:rPr>
          <w:rFonts w:ascii="Times New Roman" w:hAnsi="仿宋" w:eastAsia="宋体" w:cs="仿宋"/>
          <w:spacing w:val="4"/>
          <w:sz w:val="28"/>
          <w:szCs w:val="32"/>
        </w:rPr>
      </w:pPr>
      <w:r>
        <w:rPr>
          <w:rFonts w:hint="eastAsia" w:ascii="Times New Roman" w:hAnsi="仿宋" w:eastAsia="宋体" w:cs="仿宋"/>
          <w:spacing w:val="4"/>
          <w:kern w:val="2"/>
          <w:sz w:val="28"/>
          <w:szCs w:val="32"/>
        </w:rPr>
        <w:t>“建立安全生产工作台账”指标考核安全生产工作台账建立的比例。评价标准为：建立安全生产工作台账</w:t>
      </w:r>
      <w:r>
        <w:rPr>
          <w:rFonts w:hint="eastAsia" w:ascii="Times New Roman" w:hAnsi="仿宋" w:eastAsia="宋体" w:cs="仿宋"/>
          <w:spacing w:val="4"/>
          <w:kern w:val="2"/>
          <w:sz w:val="28"/>
          <w:szCs w:val="32"/>
          <w:lang w:eastAsia="zh-CN"/>
        </w:rPr>
        <w:t>率</w:t>
      </w:r>
      <w:r>
        <w:rPr>
          <w:rFonts w:hint="eastAsia" w:ascii="Times New Roman" w:hAnsi="仿宋" w:eastAsia="宋体" w:cs="仿宋"/>
          <w:spacing w:val="4"/>
          <w:kern w:val="2"/>
          <w:sz w:val="28"/>
          <w:szCs w:val="32"/>
        </w:rPr>
        <w:t>≥100%得满分，每少10%扣0.5分</w:t>
      </w:r>
    </w:p>
    <w:p>
      <w:pPr>
        <w:snapToGrid/>
        <w:spacing w:beforeAutospacing="0" w:afterAutospacing="0" w:line="360" w:lineRule="auto"/>
        <w:ind w:left="0" w:leftChars="0" w:firstLine="576" w:firstLineChars="200"/>
        <w:rPr>
          <w:rFonts w:ascii="Times New Roman" w:hAnsi="仿宋" w:eastAsia="宋体" w:cs="仿宋"/>
          <w:sz w:val="28"/>
          <w:szCs w:val="32"/>
        </w:rPr>
      </w:pPr>
      <w:r>
        <w:rPr>
          <w:rFonts w:hint="eastAsia" w:ascii="Times New Roman" w:hAnsi="仿宋" w:eastAsia="宋体" w:cs="仿宋"/>
          <w:spacing w:val="4"/>
          <w:sz w:val="28"/>
          <w:szCs w:val="32"/>
        </w:rPr>
        <w:t>经评价小组查阅材料，石狮市应急管理局安全生产工作台账建立率达到100%，根据评分标准，此项得分4分。</w:t>
      </w:r>
    </w:p>
    <w:p>
      <w:pPr>
        <w:snapToGrid/>
        <w:spacing w:beforeAutospacing="0" w:afterAutospacing="0" w:line="360" w:lineRule="auto"/>
        <w:ind w:left="0" w:leftChars="0" w:firstLine="576" w:firstLineChars="200"/>
        <w:rPr>
          <w:rFonts w:ascii="Times New Roman" w:hAnsi="仿宋" w:eastAsia="宋体" w:cs="仿宋"/>
          <w:spacing w:val="4"/>
          <w:sz w:val="28"/>
          <w:szCs w:val="32"/>
        </w:rPr>
      </w:pPr>
      <w:r>
        <w:rPr>
          <w:rFonts w:hint="eastAsia" w:ascii="Times New Roman" w:hAnsi="仿宋" w:eastAsia="宋体" w:cs="仿宋"/>
          <w:spacing w:val="4"/>
          <w:sz w:val="28"/>
          <w:szCs w:val="32"/>
        </w:rPr>
        <w:t>（2）开展主题党日活动率（分值4分）</w:t>
      </w:r>
    </w:p>
    <w:p>
      <w:pPr>
        <w:pStyle w:val="2"/>
        <w:snapToGrid/>
        <w:spacing w:beforeAutospacing="0" w:afterAutospacing="0" w:line="360" w:lineRule="auto"/>
        <w:ind w:left="0" w:leftChars="0" w:firstLine="576" w:firstLineChars="200"/>
        <w:rPr>
          <w:rFonts w:ascii="Times New Roman" w:hAnsi="仿宋" w:eastAsia="宋体" w:cs="仿宋"/>
          <w:spacing w:val="4"/>
          <w:sz w:val="28"/>
          <w:szCs w:val="32"/>
        </w:rPr>
      </w:pPr>
      <w:r>
        <w:rPr>
          <w:rFonts w:hint="eastAsia" w:ascii="Times New Roman" w:hAnsi="仿宋" w:eastAsia="宋体" w:cs="仿宋"/>
          <w:spacing w:val="4"/>
          <w:sz w:val="28"/>
          <w:szCs w:val="32"/>
        </w:rPr>
        <w:t>“开展主题党日活动率”</w:t>
      </w:r>
      <w:r>
        <w:rPr>
          <w:rFonts w:hint="eastAsia" w:ascii="Times New Roman" w:hAnsi="仿宋" w:eastAsia="宋体" w:cs="仿宋"/>
          <w:sz w:val="28"/>
          <w:szCs w:val="32"/>
        </w:rPr>
        <w:t>指标用于衡量主题党日活动开展的情况。</w:t>
      </w:r>
      <w:r>
        <w:rPr>
          <w:rFonts w:hint="eastAsia" w:ascii="Times New Roman" w:hAnsi="仿宋" w:eastAsia="宋体" w:cs="仿宋"/>
          <w:sz w:val="28"/>
          <w:szCs w:val="32"/>
          <w:lang w:eastAsia="zh-CN"/>
        </w:rPr>
        <w:t>石狮市应急管理局</w:t>
      </w:r>
      <w:r>
        <w:rPr>
          <w:rFonts w:ascii="Times New Roman" w:hAnsi="Times New Roman" w:eastAsia="宋体"/>
          <w:sz w:val="28"/>
          <w:szCs w:val="32"/>
        </w:rPr>
        <w:t>以习近平总书记关于安全生产、应急管理的重要论述作为做好工作的思想武器、行动指南、根本遵循，先后为党员干部订购党报党刊书籍300余册。组织集中观看党的二十大开幕会，专题学习党的二十大精神5次。2022年，组织党员干部开展集中学习22次，警示教育学习7次，专题研讨4次。</w:t>
      </w:r>
      <w:r>
        <w:rPr>
          <w:rFonts w:hint="eastAsia" w:ascii="Times New Roman" w:hAnsi="仿宋" w:eastAsia="宋体" w:cs="仿宋"/>
          <w:sz w:val="28"/>
          <w:szCs w:val="32"/>
        </w:rPr>
        <w:t>2</w:t>
      </w:r>
      <w:r>
        <w:rPr>
          <w:rFonts w:ascii="Times New Roman" w:hAnsi="仿宋" w:eastAsia="宋体" w:cs="仿宋"/>
          <w:sz w:val="28"/>
          <w:szCs w:val="32"/>
        </w:rPr>
        <w:t>022</w:t>
      </w:r>
      <w:r>
        <w:rPr>
          <w:rFonts w:hint="eastAsia" w:ascii="Times New Roman" w:hAnsi="仿宋" w:eastAsia="宋体" w:cs="仿宋"/>
          <w:sz w:val="28"/>
          <w:szCs w:val="32"/>
        </w:rPr>
        <w:t>年度组织党员外出学习、交流、观看教育片开展主题党日活动比例达到100%，</w:t>
      </w:r>
      <w:r>
        <w:rPr>
          <w:rFonts w:hint="eastAsia" w:ascii="Times New Roman" w:hAnsi="仿宋" w:eastAsia="宋体" w:cs="仿宋"/>
          <w:spacing w:val="4"/>
          <w:sz w:val="28"/>
          <w:szCs w:val="32"/>
        </w:rPr>
        <w:t>根据评分标准，此项得分4分。</w:t>
      </w:r>
    </w:p>
    <w:p>
      <w:pPr>
        <w:snapToGrid/>
        <w:spacing w:beforeAutospacing="0" w:afterAutospacing="0" w:line="360" w:lineRule="auto"/>
        <w:ind w:left="0" w:leftChars="0" w:firstLine="576" w:firstLineChars="200"/>
        <w:rPr>
          <w:rFonts w:ascii="Times New Roman" w:hAnsi="仿宋" w:eastAsia="宋体" w:cs="仿宋"/>
          <w:spacing w:val="4"/>
          <w:sz w:val="28"/>
          <w:szCs w:val="32"/>
        </w:rPr>
      </w:pPr>
      <w:r>
        <w:rPr>
          <w:rFonts w:hint="eastAsia" w:ascii="Times New Roman" w:hAnsi="仿宋" w:eastAsia="宋体" w:cs="仿宋"/>
          <w:spacing w:val="4"/>
          <w:sz w:val="28"/>
          <w:szCs w:val="32"/>
        </w:rPr>
        <w:t>（3）</w:t>
      </w:r>
      <w:r>
        <w:rPr>
          <w:rFonts w:hint="eastAsia" w:ascii="Times New Roman" w:hAnsi="仿宋" w:eastAsia="宋体" w:cs="仿宋"/>
          <w:spacing w:val="4"/>
          <w:sz w:val="28"/>
          <w:szCs w:val="32"/>
          <w:lang w:val="en-US" w:eastAsia="zh-CN"/>
        </w:rPr>
        <w:t>安全生产标准化提升</w:t>
      </w:r>
      <w:r>
        <w:rPr>
          <w:rFonts w:hint="eastAsia" w:ascii="Times New Roman" w:hAnsi="仿宋" w:eastAsia="宋体" w:cs="仿宋"/>
          <w:spacing w:val="4"/>
          <w:sz w:val="28"/>
          <w:szCs w:val="32"/>
        </w:rPr>
        <w:t>（分值4分）</w:t>
      </w:r>
    </w:p>
    <w:p>
      <w:pPr>
        <w:snapToGrid/>
        <w:spacing w:beforeAutospacing="0" w:afterAutospacing="0" w:line="360" w:lineRule="auto"/>
        <w:ind w:left="0" w:leftChars="0" w:firstLine="576" w:firstLineChars="200"/>
        <w:rPr>
          <w:rFonts w:hint="eastAsia" w:ascii="Times New Roman" w:hAnsi="仿宋" w:eastAsia="宋体" w:cs="仿宋"/>
          <w:spacing w:val="4"/>
          <w:sz w:val="28"/>
          <w:szCs w:val="32"/>
          <w:lang w:val="en-US" w:eastAsia="zh-CN"/>
        </w:rPr>
      </w:pPr>
      <w:r>
        <w:rPr>
          <w:rFonts w:hint="eastAsia" w:ascii="Times New Roman" w:hAnsi="仿宋" w:eastAsia="宋体" w:cs="仿宋"/>
          <w:spacing w:val="4"/>
          <w:sz w:val="28"/>
          <w:szCs w:val="32"/>
          <w:lang w:val="en-US" w:eastAsia="zh-CN"/>
        </w:rPr>
        <w:t>安全生产标准化提升评价安全生产单位的创建情况。评价标准为单位创建工作完成100%得满分，否则每少1个百分点扣1分。</w:t>
      </w:r>
    </w:p>
    <w:p>
      <w:pPr>
        <w:snapToGrid/>
        <w:spacing w:beforeAutospacing="0" w:afterAutospacing="0" w:line="360" w:lineRule="auto"/>
        <w:ind w:left="0" w:leftChars="0" w:firstLine="576" w:firstLineChars="200"/>
        <w:rPr>
          <w:rFonts w:ascii="Times New Roman" w:hAnsi="仿宋" w:eastAsia="宋体" w:cs="仿宋"/>
          <w:spacing w:val="4"/>
          <w:sz w:val="28"/>
          <w:szCs w:val="32"/>
        </w:rPr>
      </w:pPr>
      <w:r>
        <w:rPr>
          <w:rFonts w:hint="eastAsia" w:ascii="Times New Roman" w:hAnsi="仿宋" w:eastAsia="宋体" w:cs="仿宋"/>
          <w:spacing w:val="4"/>
          <w:sz w:val="28"/>
          <w:szCs w:val="32"/>
          <w:lang w:val="en-US" w:eastAsia="zh-CN"/>
        </w:rPr>
        <w:t>石狮市作为泉州市整体试点市，建立“五先五后”机制和33456工作模式，扎实推进标准化创建提升工作。5月下旬以来，市委、</w:t>
      </w:r>
      <w:bookmarkStart w:id="269" w:name="_GoBack"/>
      <w:bookmarkEnd w:id="269"/>
      <w:r>
        <w:rPr>
          <w:rFonts w:hint="eastAsia" w:ascii="Times New Roman" w:hAnsi="仿宋" w:eastAsia="宋体" w:cs="仿宋"/>
          <w:spacing w:val="4"/>
          <w:sz w:val="28"/>
          <w:szCs w:val="32"/>
          <w:lang w:val="en-US" w:eastAsia="zh-CN"/>
        </w:rPr>
        <w:t>市政府主要领导专门指示批示，分管市领导多次专题听取进展情况汇报，市政府主要领导、分管领导亲自召开6次推进会和3次约谈会，要求各行业主管部门、镇（街道）由主要领导挂帅部署推进。全市已完成2579家企事业单位创建工作，完成率100%，并按照创建总数的15%完成标杆企业提升任务320家、精品企业26家</w:t>
      </w:r>
      <w:r>
        <w:rPr>
          <w:rFonts w:hint="eastAsia" w:ascii="Times New Roman" w:hAnsi="仿宋" w:eastAsia="宋体" w:cs="仿宋"/>
          <w:spacing w:val="4"/>
          <w:sz w:val="28"/>
          <w:szCs w:val="32"/>
        </w:rPr>
        <w:t>。此项得4分。</w:t>
      </w:r>
    </w:p>
    <w:p>
      <w:pPr>
        <w:snapToGrid/>
        <w:spacing w:beforeAutospacing="0" w:afterAutospacing="0" w:line="360" w:lineRule="auto"/>
        <w:ind w:left="0" w:leftChars="0" w:right="0" w:rightChars="0" w:firstLine="0" w:firstLineChars="0"/>
        <w:jc w:val="left"/>
        <w:outlineLvl w:val="2"/>
        <w:rPr>
          <w:rFonts w:hint="eastAsia" w:ascii="Times New Roman" w:hAnsi="仿宋" w:eastAsia="宋体" w:cs="仿宋"/>
          <w:b/>
          <w:spacing w:val="3"/>
          <w:sz w:val="28"/>
          <w:szCs w:val="32"/>
        </w:rPr>
      </w:pPr>
      <w:bookmarkStart w:id="191" w:name="_Toc24718"/>
      <w:bookmarkStart w:id="192" w:name="_Toc16596"/>
      <w:bookmarkStart w:id="193" w:name="_Toc29176"/>
      <w:bookmarkStart w:id="194" w:name="_Toc31255"/>
      <w:bookmarkStart w:id="195" w:name="_Toc26631"/>
      <w:r>
        <w:rPr>
          <w:rFonts w:hint="eastAsia" w:ascii="Times New Roman" w:hAnsi="仿宋" w:eastAsia="宋体" w:cs="仿宋"/>
          <w:b/>
          <w:spacing w:val="3"/>
          <w:sz w:val="28"/>
          <w:szCs w:val="32"/>
        </w:rPr>
        <w:t>4.产出时效（分值为4分）</w:t>
      </w:r>
      <w:bookmarkEnd w:id="191"/>
      <w:bookmarkEnd w:id="192"/>
      <w:bookmarkEnd w:id="193"/>
      <w:bookmarkEnd w:id="194"/>
      <w:bookmarkEnd w:id="195"/>
    </w:p>
    <w:p>
      <w:pPr>
        <w:snapToGrid/>
        <w:spacing w:beforeAutospacing="0" w:afterAutospacing="0" w:line="360" w:lineRule="auto"/>
        <w:ind w:left="0" w:leftChars="0" w:firstLine="572" w:firstLineChars="200"/>
        <w:rPr>
          <w:rFonts w:hint="eastAsia" w:ascii="Times New Roman" w:hAnsi="仿宋" w:eastAsia="宋体" w:cs="仿宋"/>
          <w:spacing w:val="3"/>
          <w:sz w:val="28"/>
          <w:szCs w:val="32"/>
        </w:rPr>
      </w:pPr>
      <w:r>
        <w:rPr>
          <w:rFonts w:hint="eastAsia" w:ascii="Times New Roman" w:hAnsi="仿宋" w:eastAsia="宋体" w:cs="仿宋"/>
          <w:spacing w:val="3"/>
          <w:sz w:val="28"/>
          <w:szCs w:val="32"/>
        </w:rPr>
        <w:t>产出时效从“项目进度达成率”1个方面进行评价</w:t>
      </w:r>
    </w:p>
    <w:p>
      <w:pPr>
        <w:snapToGrid/>
        <w:spacing w:beforeAutospacing="0" w:afterAutospacing="0" w:line="360" w:lineRule="auto"/>
        <w:ind w:left="0" w:leftChars="0" w:firstLine="572" w:firstLineChars="200"/>
        <w:rPr>
          <w:rFonts w:hint="eastAsia" w:ascii="Times New Roman" w:hAnsi="仿宋" w:eastAsia="宋体" w:cs="仿宋"/>
          <w:spacing w:val="3"/>
          <w:sz w:val="28"/>
          <w:szCs w:val="32"/>
          <w:lang w:eastAsia="zh-CN"/>
        </w:rPr>
      </w:pPr>
      <w:r>
        <w:rPr>
          <w:rFonts w:hint="eastAsia" w:ascii="Times New Roman" w:hAnsi="仿宋" w:eastAsia="宋体" w:cs="仿宋"/>
          <w:spacing w:val="3"/>
          <w:sz w:val="28"/>
          <w:szCs w:val="32"/>
        </w:rPr>
        <w:t>“项目进度达成率”指标用于衡量石狮市</w:t>
      </w:r>
      <w:r>
        <w:rPr>
          <w:rFonts w:hint="eastAsia" w:ascii="Times New Roman" w:hAnsi="仿宋" w:eastAsia="宋体" w:cs="仿宋"/>
          <w:spacing w:val="3"/>
          <w:sz w:val="28"/>
          <w:szCs w:val="32"/>
          <w:lang w:eastAsia="zh-CN"/>
        </w:rPr>
        <w:t>应急管理局</w:t>
      </w:r>
      <w:r>
        <w:rPr>
          <w:rFonts w:hint="eastAsia" w:ascii="Times New Roman" w:hAnsi="仿宋" w:eastAsia="宋体" w:cs="仿宋"/>
          <w:spacing w:val="3"/>
          <w:sz w:val="28"/>
          <w:szCs w:val="32"/>
        </w:rPr>
        <w:t>项目完成进度情况，评分标准为“项目进度达成率100%（3分）；90%≤项目进度达成率＜100%（2.5分）；80%≤项目进度达成率＜90%（2分）；70%≤项目进度达成率＜80%（1分）；项目进度达成率＜70%（0分）”</w:t>
      </w:r>
      <w:r>
        <w:rPr>
          <w:rFonts w:hint="eastAsia" w:ascii="Times New Roman" w:hAnsi="仿宋" w:eastAsia="宋体" w:cs="仿宋"/>
          <w:spacing w:val="3"/>
          <w:sz w:val="28"/>
          <w:szCs w:val="32"/>
          <w:lang w:eastAsia="zh-CN"/>
        </w:rPr>
        <w:t>。</w:t>
      </w:r>
    </w:p>
    <w:p>
      <w:pPr>
        <w:snapToGrid/>
        <w:spacing w:beforeAutospacing="0" w:afterAutospacing="0" w:line="360" w:lineRule="auto"/>
        <w:ind w:left="0" w:leftChars="0" w:firstLine="572" w:firstLineChars="200"/>
        <w:rPr>
          <w:rFonts w:hint="eastAsia" w:ascii="Times New Roman" w:hAnsi="仿宋" w:eastAsia="宋体" w:cs="仿宋"/>
          <w:spacing w:val="3"/>
          <w:sz w:val="28"/>
          <w:szCs w:val="32"/>
        </w:rPr>
      </w:pPr>
      <w:r>
        <w:rPr>
          <w:rFonts w:hint="eastAsia" w:ascii="Times New Roman" w:hAnsi="仿宋" w:eastAsia="宋体" w:cs="仿宋"/>
          <w:spacing w:val="3"/>
          <w:sz w:val="28"/>
          <w:szCs w:val="32"/>
        </w:rPr>
        <w:t>抽查</w:t>
      </w:r>
      <w:r>
        <w:rPr>
          <w:rFonts w:hint="eastAsia" w:ascii="Times New Roman" w:hAnsi="仿宋" w:eastAsia="宋体" w:cs="仿宋"/>
          <w:spacing w:val="3"/>
          <w:sz w:val="28"/>
          <w:szCs w:val="32"/>
          <w:lang w:eastAsia="zh-CN"/>
        </w:rPr>
        <w:t>石狮市应急管理局</w:t>
      </w:r>
      <w:r>
        <w:rPr>
          <w:rFonts w:hint="eastAsia" w:ascii="Times New Roman" w:hAnsi="仿宋" w:eastAsia="宋体" w:cs="仿宋"/>
          <w:spacing w:val="3"/>
          <w:sz w:val="28"/>
          <w:szCs w:val="32"/>
          <w:lang w:val="en-US" w:eastAsia="zh-CN"/>
        </w:rPr>
        <w:t>防灾减灾</w:t>
      </w:r>
      <w:r>
        <w:rPr>
          <w:rFonts w:hint="eastAsia" w:ascii="Times New Roman" w:hAnsi="仿宋" w:eastAsia="宋体" w:cs="仿宋"/>
          <w:spacing w:val="3"/>
          <w:sz w:val="28"/>
          <w:szCs w:val="32"/>
        </w:rPr>
        <w:t>项目</w:t>
      </w:r>
      <w:r>
        <w:rPr>
          <w:rFonts w:hint="eastAsia" w:ascii="Times New Roman" w:hAnsi="仿宋" w:eastAsia="宋体" w:cs="仿宋"/>
          <w:spacing w:val="3"/>
          <w:sz w:val="28"/>
          <w:szCs w:val="32"/>
          <w:lang w:eastAsia="zh-CN"/>
        </w:rPr>
        <w:t>，目标是将</w:t>
      </w:r>
      <w:r>
        <w:rPr>
          <w:rFonts w:hint="eastAsia" w:ascii="Times New Roman" w:hAnsi="仿宋" w:eastAsia="宋体" w:cs="仿宋"/>
          <w:spacing w:val="3"/>
          <w:sz w:val="28"/>
          <w:szCs w:val="32"/>
          <w:lang w:val="en-US" w:eastAsia="zh-CN"/>
        </w:rPr>
        <w:t>7个建设较为薄弱的避灾点列入2022年为民办实事项目。根据项目进度，确定宝盖镇宝源社区、永宁镇梅林村、祥芝镇古浮村、鸿山镇伍堡村（第一）、鸿山镇西墩村、锦尚镇西港村及锦尚镇谢厝村避灾点等7个建设较为薄弱的避灾点，按照A类标准提升建设，做到避灾点标识醒目、健全预案和避灾安置制度、功能健全，配齐配全避灾物资和疫情防控物资，7个避灾点均已完成提升工作。</w:t>
      </w:r>
      <w:r>
        <w:rPr>
          <w:rFonts w:hint="eastAsia" w:ascii="Times New Roman" w:hAnsi="仿宋" w:eastAsia="宋体" w:cs="仿宋"/>
          <w:spacing w:val="3"/>
          <w:sz w:val="28"/>
          <w:szCs w:val="32"/>
        </w:rPr>
        <w:t>项目进度达成率100%。本项得分4分。</w:t>
      </w:r>
    </w:p>
    <w:p>
      <w:pPr>
        <w:snapToGrid/>
        <w:spacing w:beforeAutospacing="0" w:afterAutospacing="0" w:line="360" w:lineRule="auto"/>
        <w:ind w:left="0" w:leftChars="0" w:firstLine="572" w:firstLineChars="200"/>
        <w:rPr>
          <w:rFonts w:hint="eastAsia" w:ascii="Times New Roman" w:hAnsi="仿宋" w:eastAsia="宋体" w:cs="仿宋"/>
          <w:spacing w:val="3"/>
          <w:sz w:val="28"/>
          <w:szCs w:val="32"/>
        </w:rPr>
      </w:pPr>
      <w:r>
        <w:rPr>
          <w:rFonts w:hint="eastAsia" w:ascii="Times New Roman" w:hAnsi="仿宋" w:eastAsia="宋体" w:cs="仿宋"/>
          <w:spacing w:val="3"/>
          <w:sz w:val="28"/>
          <w:szCs w:val="32"/>
        </w:rPr>
        <w:t>因此，产出时效共计得4分。</w:t>
      </w:r>
    </w:p>
    <w:p>
      <w:pPr>
        <w:pStyle w:val="2"/>
        <w:numPr>
          <w:ilvl w:val="0"/>
          <w:numId w:val="4"/>
        </w:numPr>
        <w:snapToGrid/>
        <w:spacing w:beforeAutospacing="0" w:afterAutospacing="0" w:line="360" w:lineRule="auto"/>
        <w:ind w:left="0" w:leftChars="0" w:right="0" w:rightChars="0" w:firstLine="0" w:firstLineChars="0"/>
        <w:jc w:val="left"/>
        <w:outlineLvl w:val="2"/>
        <w:rPr>
          <w:rFonts w:hint="eastAsia" w:ascii="Times New Roman" w:hAnsi="仿宋" w:eastAsia="宋体" w:cs="仿宋"/>
          <w:b/>
          <w:spacing w:val="4"/>
          <w:sz w:val="28"/>
          <w:szCs w:val="32"/>
        </w:rPr>
      </w:pPr>
      <w:bookmarkStart w:id="196" w:name="_Toc16816"/>
      <w:bookmarkStart w:id="197" w:name="_Toc14240"/>
      <w:bookmarkStart w:id="198" w:name="_Toc28773"/>
      <w:bookmarkStart w:id="199" w:name="_Toc17933"/>
      <w:bookmarkStart w:id="200" w:name="_Toc24745"/>
      <w:r>
        <w:rPr>
          <w:rFonts w:hint="eastAsia" w:ascii="Times New Roman" w:hAnsi="仿宋" w:eastAsia="宋体" w:cs="仿宋"/>
          <w:b/>
          <w:spacing w:val="4"/>
          <w:sz w:val="28"/>
          <w:szCs w:val="32"/>
        </w:rPr>
        <w:t>产出成本（分值为4分）</w:t>
      </w:r>
      <w:bookmarkEnd w:id="196"/>
      <w:bookmarkEnd w:id="197"/>
      <w:bookmarkEnd w:id="198"/>
      <w:bookmarkEnd w:id="199"/>
      <w:bookmarkEnd w:id="200"/>
    </w:p>
    <w:p>
      <w:pPr>
        <w:snapToGrid/>
        <w:spacing w:beforeAutospacing="0" w:afterAutospacing="0" w:line="360" w:lineRule="auto"/>
        <w:ind w:left="0" w:leftChars="0" w:firstLine="572" w:firstLineChars="200"/>
      </w:pPr>
      <w:r>
        <w:rPr>
          <w:rFonts w:hint="eastAsia" w:ascii="Times New Roman" w:hAnsi="仿宋" w:eastAsia="宋体" w:cs="仿宋"/>
          <w:spacing w:val="3"/>
          <w:sz w:val="28"/>
          <w:szCs w:val="32"/>
        </w:rPr>
        <w:t>产出时效从“成本控制率”1个方面进行评价</w:t>
      </w:r>
    </w:p>
    <w:p>
      <w:pPr>
        <w:snapToGrid/>
        <w:spacing w:beforeAutospacing="0" w:afterAutospacing="0" w:line="360" w:lineRule="auto"/>
        <w:ind w:left="0" w:leftChars="0" w:firstLine="572" w:firstLineChars="200"/>
        <w:rPr>
          <w:rFonts w:hint="eastAsia" w:ascii="Times New Roman" w:hAnsi="仿宋" w:eastAsia="宋体" w:cs="仿宋"/>
          <w:spacing w:val="4"/>
          <w:sz w:val="28"/>
          <w:szCs w:val="32"/>
        </w:rPr>
      </w:pPr>
      <w:r>
        <w:rPr>
          <w:rFonts w:hint="eastAsia" w:ascii="Times New Roman" w:hAnsi="仿宋" w:eastAsia="宋体" w:cs="仿宋"/>
          <w:spacing w:val="3"/>
          <w:sz w:val="28"/>
          <w:szCs w:val="32"/>
        </w:rPr>
        <w:t>“成本控制率”指标用于衡量项目成本控制情况，评分标准为“成本控制率≦100得满分，每超10%扣1分，扣完为止”。成本控制率=截至年末累计支出数/概算或当年度预算×100%。</w:t>
      </w:r>
      <w:r>
        <w:rPr>
          <w:rFonts w:hint="eastAsia" w:ascii="Times New Roman" w:hAnsi="仿宋" w:eastAsia="宋体" w:cs="仿宋"/>
          <w:spacing w:val="4"/>
          <w:sz w:val="28"/>
          <w:szCs w:val="32"/>
        </w:rPr>
        <w:t>产出成本指标考核当年度资金投入不高于全年预算资金。</w:t>
      </w:r>
    </w:p>
    <w:p>
      <w:pPr>
        <w:snapToGrid/>
        <w:spacing w:beforeAutospacing="0" w:afterAutospacing="0" w:line="360" w:lineRule="auto"/>
        <w:ind w:left="0" w:leftChars="0" w:firstLine="576" w:firstLineChars="200"/>
        <w:rPr>
          <w:rFonts w:ascii="Times New Roman" w:hAnsi="仿宋" w:eastAsia="宋体" w:cs="仿宋"/>
          <w:sz w:val="28"/>
          <w:szCs w:val="32"/>
        </w:rPr>
      </w:pPr>
      <w:r>
        <w:rPr>
          <w:rFonts w:hint="eastAsia" w:ascii="Times New Roman" w:hAnsi="仿宋" w:eastAsia="宋体" w:cs="仿宋"/>
          <w:spacing w:val="4"/>
          <w:sz w:val="28"/>
          <w:szCs w:val="32"/>
        </w:rPr>
        <w:t>根据石狮市应急管理局提供的资料，当年度项目</w:t>
      </w:r>
      <w:r>
        <w:rPr>
          <w:rFonts w:hint="eastAsia" w:ascii="Times New Roman" w:hAnsi="仿宋" w:eastAsia="宋体" w:cs="仿宋"/>
          <w:spacing w:val="4"/>
          <w:sz w:val="28"/>
          <w:szCs w:val="32"/>
          <w:lang w:eastAsia="zh-CN"/>
        </w:rPr>
        <w:t>成本</w:t>
      </w:r>
      <w:r>
        <w:rPr>
          <w:rFonts w:hint="eastAsia" w:ascii="Times New Roman" w:hAnsi="仿宋" w:eastAsia="宋体" w:cs="仿宋"/>
          <w:spacing w:val="4"/>
          <w:sz w:val="28"/>
          <w:szCs w:val="32"/>
        </w:rPr>
        <w:t>投入小于1812.55</w:t>
      </w:r>
      <w:r>
        <w:rPr>
          <w:rFonts w:hint="eastAsia" w:ascii="Times New Roman" w:hAnsi="仿宋" w:eastAsia="宋体" w:cs="仿宋"/>
          <w:spacing w:val="4"/>
          <w:sz w:val="28"/>
          <w:szCs w:val="32"/>
          <w:lang w:eastAsia="zh-CN"/>
        </w:rPr>
        <w:t>万元</w:t>
      </w:r>
      <w:r>
        <w:rPr>
          <w:rFonts w:hint="eastAsia" w:ascii="Times New Roman" w:hAnsi="仿宋" w:eastAsia="宋体" w:cs="仿宋"/>
          <w:spacing w:val="4"/>
          <w:sz w:val="28"/>
          <w:szCs w:val="32"/>
        </w:rPr>
        <w:t>，符合绩效目标要求。此项得4分。</w:t>
      </w:r>
    </w:p>
    <w:p>
      <w:pPr>
        <w:numPr>
          <w:ilvl w:val="0"/>
          <w:numId w:val="0"/>
        </w:numPr>
        <w:snapToGrid/>
        <w:spacing w:before="156" w:beforeLines="50" w:beforeAutospacing="0" w:afterAutospacing="0" w:line="360" w:lineRule="auto"/>
        <w:ind w:left="0" w:leftChars="0" w:right="0" w:rightChars="0" w:firstLine="0" w:firstLineChars="0"/>
        <w:jc w:val="left"/>
        <w:outlineLvl w:val="1"/>
        <w:rPr>
          <w:rFonts w:ascii="Times New Roman" w:hAnsi="仿宋" w:eastAsia="宋体" w:cs="仿宋"/>
          <w:b/>
          <w:spacing w:val="4"/>
          <w:sz w:val="30"/>
          <w:szCs w:val="32"/>
        </w:rPr>
      </w:pPr>
      <w:bookmarkStart w:id="201" w:name="_Toc16245"/>
      <w:r>
        <w:rPr>
          <w:rFonts w:hint="eastAsia" w:ascii="Times New Roman" w:hAnsi="仿宋" w:eastAsia="宋体" w:cs="仿宋"/>
          <w:b/>
          <w:spacing w:val="4"/>
          <w:sz w:val="30"/>
          <w:szCs w:val="32"/>
          <w:lang w:eastAsia="zh-CN"/>
        </w:rPr>
        <w:t>（四）</w:t>
      </w:r>
      <w:r>
        <w:rPr>
          <w:rFonts w:hint="eastAsia" w:ascii="Times New Roman" w:hAnsi="仿宋" w:eastAsia="宋体" w:cs="仿宋"/>
          <w:b/>
          <w:spacing w:val="4"/>
          <w:sz w:val="30"/>
          <w:szCs w:val="32"/>
        </w:rPr>
        <w:t>项目效益（权重为</w:t>
      </w:r>
      <w:r>
        <w:rPr>
          <w:rFonts w:hint="eastAsia" w:ascii="Times New Roman" w:hAnsi="仿宋" w:eastAsia="宋体" w:cs="仿宋"/>
          <w:b/>
          <w:spacing w:val="4"/>
          <w:sz w:val="30"/>
          <w:szCs w:val="32"/>
          <w:lang w:val="en-US" w:eastAsia="zh-CN"/>
        </w:rPr>
        <w:t>20</w:t>
      </w:r>
      <w:r>
        <w:rPr>
          <w:rFonts w:hint="eastAsia" w:ascii="Times New Roman" w:hAnsi="仿宋" w:eastAsia="宋体" w:cs="仿宋"/>
          <w:b/>
          <w:spacing w:val="4"/>
          <w:sz w:val="30"/>
          <w:szCs w:val="32"/>
        </w:rPr>
        <w:t>%，得分</w:t>
      </w:r>
      <w:r>
        <w:rPr>
          <w:rFonts w:hint="eastAsia" w:ascii="Times New Roman" w:hAnsi="仿宋" w:eastAsia="宋体" w:cs="仿宋"/>
          <w:b/>
          <w:spacing w:val="4"/>
          <w:sz w:val="30"/>
          <w:szCs w:val="32"/>
          <w:lang w:val="en-US" w:eastAsia="zh-CN"/>
        </w:rPr>
        <w:t>19</w:t>
      </w:r>
      <w:r>
        <w:rPr>
          <w:rFonts w:hint="eastAsia" w:ascii="Times New Roman" w:hAnsi="仿宋" w:eastAsia="宋体" w:cs="仿宋"/>
          <w:b/>
          <w:spacing w:val="4"/>
          <w:sz w:val="30"/>
          <w:szCs w:val="32"/>
        </w:rPr>
        <w:t>分）</w:t>
      </w:r>
      <w:bookmarkEnd w:id="201"/>
    </w:p>
    <w:p>
      <w:pPr>
        <w:pStyle w:val="2"/>
        <w:snapToGrid/>
        <w:spacing w:beforeAutospacing="0" w:afterAutospacing="0" w:line="360" w:lineRule="auto"/>
        <w:ind w:left="0" w:leftChars="0" w:firstLine="576" w:firstLineChars="200"/>
        <w:rPr>
          <w:rFonts w:ascii="Times New Roman" w:hAnsi="仿宋" w:eastAsia="宋体" w:cs="仿宋"/>
          <w:spacing w:val="4"/>
          <w:sz w:val="28"/>
          <w:szCs w:val="32"/>
        </w:rPr>
      </w:pPr>
      <w:r>
        <w:rPr>
          <w:rFonts w:hint="eastAsia" w:ascii="Times New Roman" w:hAnsi="仿宋" w:eastAsia="宋体" w:cs="仿宋"/>
          <w:spacing w:val="4"/>
          <w:sz w:val="28"/>
          <w:szCs w:val="32"/>
        </w:rPr>
        <w:t>效益指标下设社会效益、经济效益、可持续效益、满意度四个二级指标。</w:t>
      </w:r>
    </w:p>
    <w:p>
      <w:pPr>
        <w:snapToGrid/>
        <w:spacing w:beforeAutospacing="0" w:afterAutospacing="0" w:line="360" w:lineRule="auto"/>
        <w:ind w:left="0" w:leftChars="0" w:right="0" w:rightChars="0" w:firstLine="0" w:firstLineChars="0"/>
        <w:jc w:val="left"/>
        <w:outlineLvl w:val="2"/>
        <w:rPr>
          <w:rFonts w:ascii="Times New Roman" w:hAnsi="仿宋" w:eastAsia="宋体" w:cs="仿宋"/>
          <w:b/>
          <w:bCs/>
          <w:spacing w:val="4"/>
          <w:sz w:val="28"/>
          <w:szCs w:val="32"/>
        </w:rPr>
      </w:pPr>
      <w:bookmarkStart w:id="202" w:name="_Toc7038"/>
      <w:bookmarkStart w:id="203" w:name="_Toc17623"/>
      <w:bookmarkStart w:id="204" w:name="_Toc12846"/>
      <w:bookmarkStart w:id="205" w:name="_Toc19307"/>
      <w:bookmarkStart w:id="206" w:name="_Toc4513"/>
      <w:bookmarkStart w:id="207" w:name="_Toc22714"/>
      <w:bookmarkStart w:id="208" w:name="_Toc453"/>
      <w:r>
        <w:rPr>
          <w:rFonts w:hint="eastAsia" w:ascii="Times New Roman" w:hAnsi="仿宋" w:eastAsia="宋体" w:cs="仿宋"/>
          <w:b/>
          <w:bCs/>
          <w:spacing w:val="4"/>
          <w:sz w:val="28"/>
          <w:szCs w:val="32"/>
        </w:rPr>
        <w:t>1.社会效益（分值为6分）</w:t>
      </w:r>
      <w:bookmarkEnd w:id="202"/>
      <w:bookmarkEnd w:id="203"/>
      <w:bookmarkEnd w:id="204"/>
      <w:bookmarkEnd w:id="205"/>
      <w:bookmarkEnd w:id="206"/>
      <w:bookmarkEnd w:id="207"/>
    </w:p>
    <w:p>
      <w:pPr>
        <w:snapToGrid/>
        <w:spacing w:beforeAutospacing="0" w:afterAutospacing="0" w:line="360" w:lineRule="auto"/>
        <w:ind w:left="0" w:leftChars="0" w:firstLine="576" w:firstLineChars="200"/>
        <w:rPr>
          <w:rFonts w:ascii="Times New Roman" w:hAnsi="仿宋" w:eastAsia="宋体" w:cs="仿宋"/>
          <w:spacing w:val="4"/>
          <w:sz w:val="28"/>
          <w:szCs w:val="32"/>
        </w:rPr>
      </w:pPr>
      <w:r>
        <w:rPr>
          <w:rFonts w:hint="eastAsia" w:ascii="Times New Roman" w:hAnsi="仿宋" w:eastAsia="宋体" w:cs="仿宋"/>
          <w:spacing w:val="4"/>
          <w:sz w:val="28"/>
          <w:szCs w:val="32"/>
        </w:rPr>
        <w:t>社会效益</w:t>
      </w:r>
      <w:r>
        <w:rPr>
          <w:rFonts w:hint="eastAsia" w:ascii="Times New Roman" w:hAnsi="仿宋" w:eastAsia="宋体" w:cs="仿宋"/>
          <w:spacing w:val="4"/>
          <w:sz w:val="28"/>
          <w:szCs w:val="32"/>
          <w:highlight w:val="none"/>
        </w:rPr>
        <w:t>主要通过</w:t>
      </w:r>
      <w:r>
        <w:rPr>
          <w:rFonts w:hint="eastAsia" w:ascii="Times New Roman" w:hAnsi="仿宋" w:eastAsia="宋体" w:cs="仿宋"/>
          <w:spacing w:val="4"/>
          <w:sz w:val="28"/>
          <w:szCs w:val="32"/>
          <w:lang w:val="en-US" w:eastAsia="zh-CN"/>
        </w:rPr>
        <w:t>督导检查增效</w:t>
      </w:r>
      <w:r>
        <w:rPr>
          <w:rFonts w:hint="eastAsia" w:ascii="Times New Roman" w:hAnsi="仿宋" w:eastAsia="宋体" w:cs="仿宋"/>
          <w:spacing w:val="4"/>
          <w:sz w:val="28"/>
          <w:szCs w:val="32"/>
          <w:highlight w:val="none"/>
        </w:rPr>
        <w:t>和协</w:t>
      </w:r>
      <w:r>
        <w:rPr>
          <w:rFonts w:hint="eastAsia" w:ascii="Times New Roman" w:hAnsi="仿宋" w:eastAsia="宋体" w:cs="仿宋"/>
          <w:spacing w:val="4"/>
          <w:sz w:val="28"/>
          <w:szCs w:val="32"/>
          <w:highlight w:val="none"/>
          <w:lang w:eastAsia="zh-CN"/>
        </w:rPr>
        <w:t>助</w:t>
      </w:r>
      <w:r>
        <w:rPr>
          <w:rFonts w:hint="eastAsia" w:ascii="Times New Roman" w:hAnsi="仿宋" w:eastAsia="宋体" w:cs="仿宋"/>
          <w:spacing w:val="4"/>
          <w:sz w:val="28"/>
          <w:szCs w:val="32"/>
          <w:lang w:val="en-US" w:eastAsia="zh-CN"/>
        </w:rPr>
        <w:t>推动连片联合执法工作</w:t>
      </w:r>
      <w:r>
        <w:rPr>
          <w:rFonts w:hint="eastAsia" w:ascii="Times New Roman" w:hAnsi="仿宋" w:eastAsia="宋体" w:cs="仿宋"/>
          <w:spacing w:val="4"/>
          <w:sz w:val="28"/>
          <w:szCs w:val="32"/>
        </w:rPr>
        <w:t>两方面进行评价。</w:t>
      </w:r>
    </w:p>
    <w:p>
      <w:pPr>
        <w:snapToGrid/>
        <w:spacing w:beforeAutospacing="0" w:afterAutospacing="0" w:line="360" w:lineRule="auto"/>
        <w:ind w:left="0" w:leftChars="0" w:firstLine="576" w:firstLineChars="200"/>
        <w:outlineLvl w:val="2"/>
        <w:rPr>
          <w:rFonts w:hint="eastAsia" w:ascii="Times New Roman" w:hAnsi="仿宋" w:eastAsia="宋体" w:cs="仿宋"/>
          <w:spacing w:val="4"/>
          <w:sz w:val="28"/>
          <w:szCs w:val="32"/>
        </w:rPr>
      </w:pPr>
      <w:bookmarkStart w:id="209" w:name="_Toc3050"/>
      <w:bookmarkStart w:id="210" w:name="_Toc29573"/>
      <w:bookmarkStart w:id="211" w:name="_Toc19670"/>
      <w:r>
        <w:rPr>
          <w:rFonts w:hint="eastAsia" w:ascii="Times New Roman" w:hAnsi="仿宋" w:eastAsia="宋体" w:cs="仿宋"/>
          <w:spacing w:val="4"/>
          <w:sz w:val="28"/>
          <w:szCs w:val="32"/>
        </w:rPr>
        <w:t>（1）</w:t>
      </w:r>
      <w:r>
        <w:rPr>
          <w:rFonts w:hint="eastAsia" w:ascii="Times New Roman" w:hAnsi="仿宋" w:eastAsia="宋体" w:cs="仿宋"/>
          <w:spacing w:val="4"/>
          <w:sz w:val="28"/>
          <w:szCs w:val="32"/>
          <w:lang w:val="en-US" w:eastAsia="zh-CN"/>
        </w:rPr>
        <w:t>督促企业提质增效</w:t>
      </w:r>
      <w:r>
        <w:rPr>
          <w:rFonts w:hint="eastAsia" w:ascii="Times New Roman" w:hAnsi="仿宋" w:eastAsia="宋体" w:cs="仿宋"/>
          <w:spacing w:val="4"/>
          <w:sz w:val="28"/>
          <w:szCs w:val="32"/>
        </w:rPr>
        <w:t>（分值3分）</w:t>
      </w:r>
      <w:bookmarkEnd w:id="209"/>
      <w:bookmarkEnd w:id="210"/>
      <w:bookmarkEnd w:id="211"/>
    </w:p>
    <w:p>
      <w:pPr>
        <w:snapToGrid/>
        <w:spacing w:beforeAutospacing="0" w:afterAutospacing="0" w:line="360" w:lineRule="auto"/>
        <w:ind w:left="0" w:leftChars="0" w:firstLine="576" w:firstLineChars="200"/>
        <w:outlineLvl w:val="3"/>
        <w:rPr>
          <w:rFonts w:hint="eastAsia" w:ascii="Times New Roman" w:hAnsi="仿宋" w:eastAsia="宋体" w:cs="仿宋"/>
          <w:spacing w:val="4"/>
          <w:sz w:val="28"/>
          <w:szCs w:val="32"/>
          <w:lang w:val="en-US" w:eastAsia="zh-CN"/>
        </w:rPr>
      </w:pPr>
      <w:r>
        <w:rPr>
          <w:rFonts w:hint="eastAsia" w:ascii="Times New Roman" w:hAnsi="仿宋" w:eastAsia="宋体" w:cs="仿宋"/>
          <w:spacing w:val="4"/>
          <w:sz w:val="28"/>
          <w:szCs w:val="32"/>
          <w:lang w:val="en-US" w:eastAsia="zh-CN"/>
        </w:rPr>
        <w:t>“督促企业提质增效”评价的是部门督导检查考核及企业的整改效果。</w:t>
      </w:r>
    </w:p>
    <w:p>
      <w:pPr>
        <w:snapToGrid/>
        <w:spacing w:beforeAutospacing="0" w:afterAutospacing="0" w:line="360" w:lineRule="auto"/>
        <w:ind w:left="0" w:leftChars="0" w:firstLine="576" w:firstLineChars="200"/>
        <w:outlineLvl w:val="3"/>
        <w:rPr>
          <w:rFonts w:hint="default" w:ascii="Times New Roman" w:hAnsi="仿宋" w:eastAsia="宋体" w:cs="仿宋"/>
          <w:spacing w:val="4"/>
          <w:sz w:val="28"/>
          <w:szCs w:val="32"/>
          <w:lang w:val="en-US" w:eastAsia="zh-CN"/>
        </w:rPr>
      </w:pPr>
      <w:r>
        <w:rPr>
          <w:rFonts w:hint="eastAsia" w:ascii="Times New Roman" w:hAnsi="仿宋" w:eastAsia="宋体" w:cs="仿宋"/>
          <w:spacing w:val="4"/>
          <w:sz w:val="28"/>
          <w:szCs w:val="32"/>
          <w:lang w:val="en-US" w:eastAsia="zh-CN"/>
        </w:rPr>
        <w:t>2022年度石狮市应急管理局联合市政府督查室与其他相关部门紧密合作，共同组成了9个督导检查组。对企业存在的“创而不标、标而不杆、杆而不立”等问题进行了系统优化的督导检查考核评分机制。开展了388次督导，并发布了6期通报。共发现了694个问题，整改了678个问题，整改率97.7%，显示出督导工作的成效。然而，仍然存在部分企业解决问题时只是表面化的现象，比如“纸面创建”和无效创建等，需要进一步加强对于表面化问题的解决，确保整改工作能够真正落实到位。根据评分标准，此项扣1分，得分2分。</w:t>
      </w:r>
    </w:p>
    <w:p>
      <w:pPr>
        <w:snapToGrid/>
        <w:spacing w:beforeAutospacing="0" w:afterAutospacing="0" w:line="360" w:lineRule="auto"/>
        <w:ind w:left="0" w:leftChars="0" w:firstLine="576" w:firstLineChars="200"/>
        <w:outlineLvl w:val="3"/>
        <w:rPr>
          <w:rFonts w:ascii="Times New Roman" w:hAnsi="仿宋" w:eastAsia="宋体" w:cs="仿宋"/>
          <w:spacing w:val="4"/>
          <w:sz w:val="28"/>
          <w:szCs w:val="32"/>
        </w:rPr>
      </w:pPr>
      <w:r>
        <w:rPr>
          <w:rFonts w:hint="eastAsia" w:ascii="Times New Roman" w:hAnsi="仿宋" w:eastAsia="宋体" w:cs="仿宋"/>
          <w:spacing w:val="4"/>
          <w:sz w:val="28"/>
          <w:szCs w:val="32"/>
        </w:rPr>
        <w:t>（2）</w:t>
      </w:r>
      <w:r>
        <w:rPr>
          <w:rFonts w:hint="eastAsia" w:ascii="Times New Roman" w:hAnsi="仿宋" w:eastAsia="宋体" w:cs="仿宋"/>
          <w:spacing w:val="4"/>
          <w:sz w:val="28"/>
          <w:szCs w:val="32"/>
          <w:lang w:val="en-US" w:eastAsia="zh-CN"/>
        </w:rPr>
        <w:t>推动连片联合执法工作</w:t>
      </w:r>
      <w:r>
        <w:rPr>
          <w:rFonts w:hint="eastAsia" w:ascii="Times New Roman" w:hAnsi="仿宋" w:eastAsia="宋体" w:cs="仿宋"/>
          <w:spacing w:val="4"/>
          <w:sz w:val="28"/>
          <w:szCs w:val="32"/>
        </w:rPr>
        <w:t>（分值3分）</w:t>
      </w:r>
    </w:p>
    <w:p>
      <w:pPr>
        <w:snapToGrid/>
        <w:spacing w:beforeAutospacing="0" w:afterAutospacing="0" w:line="360" w:lineRule="auto"/>
        <w:ind w:left="0" w:leftChars="0" w:firstLine="576" w:firstLineChars="200"/>
        <w:outlineLvl w:val="2"/>
        <w:rPr>
          <w:rFonts w:hint="default" w:ascii="Times New Roman" w:hAnsi="仿宋" w:eastAsia="宋体" w:cs="仿宋"/>
          <w:spacing w:val="4"/>
          <w:sz w:val="28"/>
          <w:szCs w:val="32"/>
          <w:lang w:val="en-US"/>
        </w:rPr>
      </w:pPr>
      <w:bookmarkStart w:id="212" w:name="_Toc12123"/>
      <w:bookmarkStart w:id="213" w:name="_Toc18534"/>
      <w:bookmarkStart w:id="214" w:name="_Toc12535"/>
      <w:r>
        <w:rPr>
          <w:rFonts w:hint="default" w:ascii="Times New Roman" w:hAnsi="仿宋" w:eastAsia="宋体" w:cs="仿宋"/>
          <w:spacing w:val="4"/>
          <w:sz w:val="28"/>
          <w:szCs w:val="32"/>
          <w:lang w:val="en-US" w:eastAsia="zh-CN"/>
        </w:rPr>
        <w:t>作为全省镇（街道）安全生产连片联合执法两个试点县之一，</w:t>
      </w:r>
      <w:r>
        <w:rPr>
          <w:rFonts w:hint="eastAsia" w:ascii="Times New Roman" w:hAnsi="仿宋" w:eastAsia="宋体" w:cs="仿宋"/>
          <w:spacing w:val="4"/>
          <w:sz w:val="28"/>
          <w:szCs w:val="32"/>
          <w:lang w:val="en-US" w:eastAsia="zh-CN"/>
        </w:rPr>
        <w:t>石狮市应急管理局</w:t>
      </w:r>
      <w:r>
        <w:rPr>
          <w:rFonts w:hint="default" w:ascii="Times New Roman" w:hAnsi="仿宋" w:eastAsia="宋体" w:cs="仿宋"/>
          <w:spacing w:val="4"/>
          <w:sz w:val="28"/>
          <w:szCs w:val="32"/>
          <w:lang w:val="en-US" w:eastAsia="zh-CN"/>
        </w:rPr>
        <w:t>出台了《石狮市应急管理综合行政执法改革实施方案》（狮委办发〔2022〕10号）、《石狮市推行镇（街道）安全生产连片联合执法试点工作方案》（狮政综〔2022〕89号）、《石狮市推行镇（街道）安全生产连片联合执法试点工作实施办法》（狮安办〔2022〕43号），配套了轮值负责工作制度、行政执法规范工作事项、案件线索移交规定、执法报表工作制度等制度，下放首批6项安全生产行政处罚赋权事项，组织专题执法培训，举行了授牌仪式和挂牌仪式，将执法力量开始有效地向镇（街道）延伸，解决了长期以来镇（街道）执法力量薄弱的问题，从根本上打通了安全生产“最后一公里”。工作成效得到各级党委政府的充分肯定，应急部及省厅《应急管理简报》、《中国应急管理报》进行刊登报道。</w:t>
      </w:r>
      <w:r>
        <w:rPr>
          <w:rFonts w:hint="eastAsia" w:ascii="Times New Roman" w:hAnsi="仿宋" w:eastAsia="宋体" w:cs="仿宋"/>
          <w:spacing w:val="4"/>
          <w:sz w:val="28"/>
          <w:szCs w:val="32"/>
          <w:lang w:val="en-US" w:eastAsia="zh-CN"/>
        </w:rPr>
        <w:t>此项得分3分。</w:t>
      </w:r>
      <w:bookmarkEnd w:id="212"/>
      <w:bookmarkEnd w:id="213"/>
      <w:bookmarkEnd w:id="214"/>
    </w:p>
    <w:p>
      <w:pPr>
        <w:snapToGrid/>
        <w:spacing w:beforeAutospacing="0" w:afterAutospacing="0" w:line="360" w:lineRule="auto"/>
        <w:ind w:left="0" w:leftChars="0" w:firstLine="576" w:firstLineChars="200"/>
        <w:outlineLvl w:val="2"/>
        <w:rPr>
          <w:rFonts w:ascii="Times New Roman" w:hAnsi="仿宋" w:eastAsia="宋体" w:cs="仿宋"/>
          <w:bCs/>
          <w:spacing w:val="4"/>
          <w:sz w:val="28"/>
          <w:szCs w:val="32"/>
        </w:rPr>
      </w:pPr>
      <w:bookmarkStart w:id="215" w:name="_Toc17651"/>
      <w:bookmarkStart w:id="216" w:name="_Toc19026"/>
      <w:bookmarkStart w:id="217" w:name="_Toc2937"/>
      <w:bookmarkStart w:id="218" w:name="_Toc9341"/>
      <w:bookmarkStart w:id="219" w:name="_Toc28555"/>
      <w:r>
        <w:rPr>
          <w:rFonts w:hint="eastAsia" w:ascii="Times New Roman" w:hAnsi="仿宋" w:eastAsia="宋体" w:cs="仿宋"/>
          <w:spacing w:val="4"/>
          <w:sz w:val="28"/>
          <w:szCs w:val="32"/>
        </w:rPr>
        <w:t>因此，社会效益得</w:t>
      </w:r>
      <w:r>
        <w:rPr>
          <w:rFonts w:hint="eastAsia" w:ascii="Times New Roman" w:hAnsi="仿宋" w:eastAsia="宋体" w:cs="仿宋"/>
          <w:spacing w:val="4"/>
          <w:sz w:val="28"/>
          <w:szCs w:val="32"/>
          <w:lang w:val="en-US" w:eastAsia="zh-CN"/>
        </w:rPr>
        <w:t>5</w:t>
      </w:r>
      <w:r>
        <w:rPr>
          <w:rFonts w:hint="eastAsia" w:ascii="Times New Roman" w:hAnsi="仿宋" w:eastAsia="宋体" w:cs="仿宋"/>
          <w:spacing w:val="4"/>
          <w:sz w:val="28"/>
          <w:szCs w:val="32"/>
        </w:rPr>
        <w:t>分。</w:t>
      </w:r>
      <w:bookmarkEnd w:id="215"/>
      <w:bookmarkEnd w:id="216"/>
      <w:bookmarkEnd w:id="217"/>
      <w:bookmarkEnd w:id="218"/>
      <w:bookmarkEnd w:id="219"/>
    </w:p>
    <w:p>
      <w:pPr>
        <w:snapToGrid/>
        <w:spacing w:beforeAutospacing="0" w:afterAutospacing="0" w:line="360" w:lineRule="auto"/>
        <w:ind w:left="0" w:leftChars="0" w:right="0" w:rightChars="0" w:firstLine="0" w:firstLineChars="0"/>
        <w:jc w:val="left"/>
        <w:outlineLvl w:val="2"/>
        <w:rPr>
          <w:rFonts w:ascii="Times New Roman" w:hAnsi="仿宋" w:eastAsia="宋体" w:cs="仿宋"/>
          <w:b/>
          <w:bCs/>
          <w:spacing w:val="4"/>
          <w:sz w:val="28"/>
          <w:szCs w:val="32"/>
        </w:rPr>
      </w:pPr>
      <w:bookmarkStart w:id="220" w:name="_Toc5248"/>
      <w:bookmarkStart w:id="221" w:name="_Toc24723"/>
      <w:bookmarkStart w:id="222" w:name="_Toc24111"/>
      <w:bookmarkStart w:id="223" w:name="_Toc14883"/>
      <w:bookmarkStart w:id="224" w:name="_Toc28769"/>
      <w:r>
        <w:rPr>
          <w:rFonts w:hint="eastAsia" w:ascii="Times New Roman" w:hAnsi="仿宋" w:eastAsia="宋体" w:cs="仿宋"/>
          <w:b/>
          <w:bCs/>
          <w:spacing w:val="4"/>
          <w:sz w:val="28"/>
          <w:szCs w:val="32"/>
        </w:rPr>
        <w:t>2.经济效益（分值4分）</w:t>
      </w:r>
      <w:bookmarkEnd w:id="208"/>
      <w:bookmarkEnd w:id="220"/>
      <w:bookmarkEnd w:id="221"/>
      <w:bookmarkEnd w:id="222"/>
      <w:bookmarkEnd w:id="223"/>
      <w:bookmarkEnd w:id="224"/>
    </w:p>
    <w:p>
      <w:pPr>
        <w:snapToGrid/>
        <w:spacing w:beforeAutospacing="0" w:afterAutospacing="0" w:line="360" w:lineRule="auto"/>
        <w:ind w:left="0" w:leftChars="0" w:firstLine="576" w:firstLineChars="200"/>
        <w:rPr>
          <w:rFonts w:ascii="Times New Roman" w:hAnsi="仿宋" w:eastAsia="宋体" w:cs="仿宋"/>
          <w:spacing w:val="4"/>
          <w:sz w:val="28"/>
          <w:szCs w:val="32"/>
        </w:rPr>
      </w:pPr>
      <w:r>
        <w:rPr>
          <w:rFonts w:hint="eastAsia" w:ascii="Times New Roman" w:hAnsi="仿宋" w:eastAsia="宋体" w:cs="仿宋"/>
          <w:spacing w:val="4"/>
          <w:sz w:val="28"/>
          <w:szCs w:val="32"/>
        </w:rPr>
        <w:t>经济效益指标主要评价2022年直接经济损失同比去年经济损失的下降率。评分标准为：①经济损失同比下降20%以上，得4分；②10%＜经济损失同比下降≤20%，得3分；③5%＜经济损失同比下降≤10%，得2分；经济损失同比下降低于5%，不得分。</w:t>
      </w:r>
    </w:p>
    <w:p>
      <w:pPr>
        <w:snapToGrid/>
        <w:spacing w:beforeAutospacing="0" w:afterAutospacing="0" w:line="360" w:lineRule="auto"/>
        <w:ind w:left="0" w:leftChars="0" w:firstLine="576" w:firstLineChars="200"/>
        <w:rPr>
          <w:rFonts w:ascii="Times New Roman" w:hAnsi="仿宋" w:eastAsia="宋体" w:cs="仿宋"/>
          <w:spacing w:val="4"/>
          <w:sz w:val="28"/>
          <w:szCs w:val="32"/>
        </w:rPr>
      </w:pPr>
      <w:r>
        <w:rPr>
          <w:rFonts w:hint="eastAsia" w:ascii="Times New Roman" w:hAnsi="仿宋" w:eastAsia="宋体" w:cs="仿宋"/>
          <w:spacing w:val="4"/>
          <w:sz w:val="28"/>
          <w:szCs w:val="32"/>
        </w:rPr>
        <w:t>根据石狮市应急管理局2022年1月至12月份数据统计，全市同比</w:t>
      </w:r>
      <w:r>
        <w:rPr>
          <w:rFonts w:hint="eastAsia" w:ascii="Times New Roman" w:hAnsi="仿宋" w:eastAsia="宋体" w:cs="仿宋"/>
          <w:spacing w:val="4"/>
          <w:sz w:val="28"/>
          <w:szCs w:val="32"/>
          <w:lang w:eastAsia="zh-CN"/>
        </w:rPr>
        <w:t>去年经济损失</w:t>
      </w:r>
      <w:r>
        <w:rPr>
          <w:rFonts w:hint="eastAsia" w:ascii="Times New Roman" w:hAnsi="仿宋" w:eastAsia="宋体" w:cs="仿宋"/>
          <w:spacing w:val="4"/>
          <w:sz w:val="28"/>
          <w:szCs w:val="32"/>
        </w:rPr>
        <w:t>下降25%。根据评分标准，此项得4分。</w:t>
      </w:r>
    </w:p>
    <w:p>
      <w:pPr>
        <w:pStyle w:val="2"/>
        <w:snapToGrid/>
        <w:spacing w:beforeAutospacing="0" w:afterAutospacing="0" w:line="360" w:lineRule="auto"/>
        <w:ind w:left="0" w:leftChars="0" w:firstLine="576" w:firstLineChars="200"/>
        <w:rPr>
          <w:rFonts w:ascii="Times New Roman" w:hAnsi="仿宋" w:eastAsia="宋体" w:cs="仿宋"/>
          <w:sz w:val="28"/>
          <w:szCs w:val="32"/>
        </w:rPr>
      </w:pPr>
      <w:r>
        <w:rPr>
          <w:rFonts w:hint="eastAsia" w:ascii="Times New Roman" w:hAnsi="仿宋" w:eastAsia="宋体" w:cs="仿宋"/>
          <w:spacing w:val="4"/>
          <w:sz w:val="28"/>
          <w:szCs w:val="32"/>
        </w:rPr>
        <w:t>因此，经济效益得4分。</w:t>
      </w:r>
    </w:p>
    <w:p>
      <w:pPr>
        <w:snapToGrid/>
        <w:spacing w:beforeAutospacing="0" w:afterAutospacing="0" w:line="360" w:lineRule="auto"/>
        <w:ind w:left="0" w:leftChars="0" w:right="0" w:rightChars="0" w:firstLine="0" w:firstLineChars="0"/>
        <w:jc w:val="left"/>
        <w:outlineLvl w:val="2"/>
        <w:rPr>
          <w:rFonts w:ascii="Times New Roman" w:hAnsi="仿宋" w:eastAsia="宋体" w:cs="仿宋"/>
          <w:b/>
          <w:bCs/>
          <w:spacing w:val="4"/>
          <w:sz w:val="28"/>
          <w:szCs w:val="32"/>
        </w:rPr>
      </w:pPr>
      <w:bookmarkStart w:id="225" w:name="_Toc26378"/>
      <w:bookmarkStart w:id="226" w:name="_Toc22741"/>
      <w:bookmarkStart w:id="227" w:name="_Toc28490"/>
      <w:bookmarkStart w:id="228" w:name="_Toc20829"/>
      <w:bookmarkStart w:id="229" w:name="_Toc17715"/>
      <w:bookmarkStart w:id="230" w:name="_Toc12868"/>
      <w:r>
        <w:rPr>
          <w:rFonts w:hint="eastAsia" w:ascii="Times New Roman" w:hAnsi="仿宋" w:eastAsia="宋体" w:cs="仿宋"/>
          <w:b/>
          <w:bCs/>
          <w:spacing w:val="4"/>
          <w:sz w:val="28"/>
          <w:szCs w:val="32"/>
        </w:rPr>
        <w:t>3.可持续发展效益（分值为6分）</w:t>
      </w:r>
      <w:bookmarkEnd w:id="225"/>
      <w:bookmarkEnd w:id="226"/>
      <w:bookmarkEnd w:id="227"/>
      <w:bookmarkEnd w:id="228"/>
      <w:bookmarkEnd w:id="229"/>
      <w:bookmarkEnd w:id="230"/>
    </w:p>
    <w:p>
      <w:pPr>
        <w:snapToGrid/>
        <w:spacing w:beforeAutospacing="0" w:afterAutospacing="0" w:line="360" w:lineRule="auto"/>
        <w:ind w:left="0" w:leftChars="0" w:firstLine="576" w:firstLineChars="200"/>
        <w:outlineLvl w:val="2"/>
        <w:rPr>
          <w:rFonts w:ascii="Times New Roman" w:hAnsi="仿宋" w:eastAsia="宋体" w:cs="仿宋"/>
          <w:spacing w:val="4"/>
          <w:sz w:val="28"/>
          <w:szCs w:val="32"/>
        </w:rPr>
      </w:pPr>
      <w:bookmarkStart w:id="231" w:name="_Toc28953"/>
      <w:bookmarkStart w:id="232" w:name="_Toc296"/>
      <w:bookmarkStart w:id="233" w:name="_Toc24959"/>
      <w:bookmarkStart w:id="234" w:name="_Toc21858"/>
      <w:bookmarkStart w:id="235" w:name="_Toc27713"/>
      <w:bookmarkStart w:id="236" w:name="_Toc28379"/>
      <w:bookmarkStart w:id="237" w:name="_Toc26560"/>
      <w:r>
        <w:rPr>
          <w:rFonts w:hint="eastAsia" w:ascii="Times New Roman" w:hAnsi="仿宋" w:eastAsia="宋体" w:cs="仿宋"/>
          <w:spacing w:val="4"/>
          <w:sz w:val="28"/>
          <w:szCs w:val="32"/>
        </w:rPr>
        <w:t>可持续发展效益指标设置主要通过</w:t>
      </w:r>
      <w:r>
        <w:rPr>
          <w:rFonts w:hint="eastAsia" w:ascii="Times New Roman" w:hAnsi="仿宋" w:eastAsia="宋体" w:cs="仿宋"/>
          <w:spacing w:val="4"/>
          <w:sz w:val="28"/>
          <w:szCs w:val="32"/>
          <w:lang w:val="en-US" w:eastAsia="zh-CN"/>
        </w:rPr>
        <w:t>典型做法表彰</w:t>
      </w:r>
      <w:r>
        <w:rPr>
          <w:rFonts w:hint="eastAsia" w:ascii="Times New Roman" w:hAnsi="仿宋" w:eastAsia="宋体" w:cs="仿宋"/>
          <w:spacing w:val="4"/>
          <w:sz w:val="28"/>
          <w:szCs w:val="32"/>
        </w:rPr>
        <w:t>和应急救援队伍建设来评价。</w:t>
      </w:r>
      <w:bookmarkEnd w:id="231"/>
      <w:bookmarkEnd w:id="232"/>
      <w:bookmarkEnd w:id="233"/>
      <w:bookmarkEnd w:id="234"/>
      <w:bookmarkEnd w:id="235"/>
      <w:bookmarkEnd w:id="236"/>
      <w:bookmarkEnd w:id="237"/>
    </w:p>
    <w:p>
      <w:pPr>
        <w:snapToGrid/>
        <w:spacing w:beforeAutospacing="0" w:afterAutospacing="0" w:line="360" w:lineRule="auto"/>
        <w:ind w:left="0" w:leftChars="0" w:firstLine="576" w:firstLineChars="200"/>
        <w:outlineLvl w:val="3"/>
        <w:rPr>
          <w:rFonts w:ascii="Times New Roman" w:hAnsi="仿宋" w:eastAsia="宋体" w:cs="仿宋"/>
          <w:spacing w:val="4"/>
          <w:sz w:val="28"/>
          <w:szCs w:val="32"/>
        </w:rPr>
      </w:pPr>
      <w:r>
        <w:rPr>
          <w:rFonts w:hint="eastAsia" w:ascii="Times New Roman" w:hAnsi="仿宋" w:eastAsia="宋体" w:cs="仿宋"/>
          <w:spacing w:val="4"/>
          <w:sz w:val="28"/>
          <w:szCs w:val="32"/>
        </w:rPr>
        <w:t>（1）</w:t>
      </w:r>
      <w:r>
        <w:rPr>
          <w:rFonts w:hint="eastAsia" w:ascii="Times New Roman" w:hAnsi="仿宋" w:eastAsia="宋体" w:cs="仿宋"/>
          <w:spacing w:val="4"/>
          <w:sz w:val="28"/>
          <w:szCs w:val="32"/>
          <w:lang w:val="en-US" w:eastAsia="zh-CN"/>
        </w:rPr>
        <w:t>典型做法表彰</w:t>
      </w:r>
      <w:r>
        <w:rPr>
          <w:rFonts w:hint="eastAsia" w:ascii="Times New Roman" w:hAnsi="仿宋" w:eastAsia="宋体" w:cs="仿宋"/>
          <w:spacing w:val="4"/>
          <w:sz w:val="28"/>
          <w:szCs w:val="32"/>
        </w:rPr>
        <w:t>（分值3分）</w:t>
      </w:r>
    </w:p>
    <w:p>
      <w:pPr>
        <w:snapToGrid/>
        <w:spacing w:beforeAutospacing="0" w:afterAutospacing="0" w:line="360" w:lineRule="auto"/>
        <w:ind w:left="0" w:leftChars="0" w:firstLine="576" w:firstLineChars="200"/>
        <w:rPr>
          <w:rFonts w:hint="eastAsia" w:ascii="Times New Roman" w:hAnsi="仿宋" w:eastAsia="宋体" w:cs="仿宋"/>
          <w:spacing w:val="4"/>
          <w:sz w:val="28"/>
          <w:szCs w:val="32"/>
          <w:lang w:val="en-US" w:eastAsia="zh-CN"/>
        </w:rPr>
      </w:pPr>
      <w:r>
        <w:rPr>
          <w:rFonts w:hint="eastAsia" w:ascii="Times New Roman" w:hAnsi="仿宋" w:eastAsia="宋体" w:cs="仿宋"/>
          <w:spacing w:val="4"/>
          <w:sz w:val="28"/>
          <w:szCs w:val="32"/>
          <w:lang w:val="en-US" w:eastAsia="zh-CN"/>
        </w:rPr>
        <w:t>石狮市应急管理局通过深入总结三年行动经验性做法、制度成果和工作机制等，形成一批可复制、可推广的典型经验做法，受到市委、市政府主要领导和分管领导的充分肯定，并被泉州市采用金点子3篇、制度成果3项、典型事故案例2篇、典型执法案例2篇和典型经验做法2篇。根据评分标准，此项得分3分。</w:t>
      </w:r>
    </w:p>
    <w:p>
      <w:pPr>
        <w:snapToGrid/>
        <w:spacing w:beforeAutospacing="0" w:afterAutospacing="0" w:line="360" w:lineRule="auto"/>
        <w:ind w:left="0" w:leftChars="0" w:firstLine="576" w:firstLineChars="200"/>
        <w:outlineLvl w:val="3"/>
        <w:rPr>
          <w:rFonts w:ascii="Times New Roman" w:hAnsi="仿宋" w:eastAsia="宋体" w:cs="仿宋"/>
          <w:spacing w:val="4"/>
          <w:sz w:val="28"/>
          <w:szCs w:val="32"/>
        </w:rPr>
      </w:pPr>
      <w:r>
        <w:rPr>
          <w:rFonts w:hint="eastAsia" w:ascii="Times New Roman" w:hAnsi="仿宋" w:eastAsia="宋体" w:cs="仿宋"/>
          <w:spacing w:val="4"/>
          <w:sz w:val="28"/>
          <w:szCs w:val="32"/>
        </w:rPr>
        <w:t>（2）应急救援队伍建设情况（分值3分）</w:t>
      </w:r>
    </w:p>
    <w:p>
      <w:pPr>
        <w:snapToGrid/>
        <w:spacing w:beforeAutospacing="0" w:afterAutospacing="0" w:line="360" w:lineRule="auto"/>
        <w:ind w:left="0" w:leftChars="0" w:firstLine="560" w:firstLineChars="200"/>
        <w:outlineLvl w:val="3"/>
        <w:rPr>
          <w:rFonts w:ascii="Times New Roman" w:hAnsi="仿宋" w:eastAsia="宋体" w:cs="仿宋"/>
          <w:color w:val="auto"/>
          <w:spacing w:val="4"/>
          <w:sz w:val="28"/>
          <w:szCs w:val="32"/>
        </w:rPr>
      </w:pPr>
      <w:r>
        <w:rPr>
          <w:rFonts w:hint="eastAsia" w:ascii="Times New Roman" w:hAnsi="Times New Roman" w:eastAsia="宋体"/>
          <w:color w:val="auto"/>
          <w:sz w:val="28"/>
          <w:szCs w:val="32"/>
          <w:lang w:eastAsia="zh-CN"/>
        </w:rPr>
        <w:t>应急救援队伍建设考核的是部门对应急救援力量的整合及建设情况。</w:t>
      </w:r>
      <w:r>
        <w:rPr>
          <w:rFonts w:hint="eastAsia" w:ascii="Times New Roman" w:hAnsi="Times New Roman" w:eastAsia="宋体"/>
          <w:color w:val="auto"/>
          <w:sz w:val="28"/>
          <w:szCs w:val="32"/>
          <w:lang w:val="en-US" w:eastAsia="zh-CN"/>
        </w:rPr>
        <w:t>2022年度</w:t>
      </w:r>
      <w:r>
        <w:rPr>
          <w:rFonts w:hint="eastAsia" w:ascii="Times New Roman" w:hAnsi="Times New Roman" w:eastAsia="宋体"/>
          <w:color w:val="auto"/>
          <w:sz w:val="28"/>
          <w:szCs w:val="32"/>
          <w:lang w:eastAsia="zh-CN"/>
        </w:rPr>
        <w:t>石狮市应急管理局</w:t>
      </w:r>
      <w:r>
        <w:rPr>
          <w:rFonts w:ascii="Times New Roman" w:hAnsi="Times New Roman" w:eastAsia="宋体"/>
          <w:color w:val="auto"/>
          <w:sz w:val="28"/>
          <w:szCs w:val="32"/>
        </w:rPr>
        <w:t>夯实应急救援力量，</w:t>
      </w:r>
      <w:r>
        <w:rPr>
          <w:rFonts w:hint="default" w:ascii="Times New Roman" w:hAnsi="Times New Roman" w:eastAsia="宋体"/>
          <w:color w:val="auto"/>
          <w:sz w:val="28"/>
          <w:szCs w:val="32"/>
          <w:lang w:val="en-US" w:eastAsia="zh-CN"/>
        </w:rPr>
        <w:t>对全市应急救援力量进行摸底、整合，形成以市消防救援大队为主力，各重点行业领域应急救援队（共54支1158人）辅助支撑的综合性应急救援力量。组织救援队伍开展涉及危化品、大型商超消防疏散、天然气泄漏、海上突发事件等专项演练271场次、参演人数12500余人次。梳理、汇总应急预案127份，其中总体预案1份、专项预案55份、部门预案71份，并选取灵秀镇作为镇级应急预案试点单位，建立镇级应急预案体系，全面修订镇级各类预案，以点带面、总结推广试点经验。</w:t>
      </w:r>
      <w:r>
        <w:rPr>
          <w:rFonts w:hint="eastAsia" w:ascii="Times New Roman" w:hAnsi="仿宋" w:eastAsia="宋体" w:cs="仿宋"/>
          <w:color w:val="auto"/>
          <w:spacing w:val="4"/>
          <w:sz w:val="28"/>
          <w:szCs w:val="32"/>
        </w:rPr>
        <w:t>根据评分标准，此项得分3分。</w:t>
      </w:r>
    </w:p>
    <w:p>
      <w:pPr>
        <w:pStyle w:val="2"/>
        <w:snapToGrid/>
        <w:spacing w:beforeAutospacing="0" w:afterAutospacing="0" w:line="360" w:lineRule="auto"/>
        <w:ind w:left="0" w:leftChars="0" w:firstLine="576" w:firstLineChars="200"/>
        <w:rPr>
          <w:rFonts w:ascii="Times New Roman" w:hAnsi="仿宋" w:eastAsia="宋体" w:cs="仿宋"/>
          <w:spacing w:val="4"/>
          <w:sz w:val="28"/>
          <w:szCs w:val="32"/>
        </w:rPr>
      </w:pPr>
      <w:r>
        <w:rPr>
          <w:rFonts w:hint="eastAsia" w:ascii="Times New Roman" w:hAnsi="仿宋" w:eastAsia="宋体" w:cs="仿宋"/>
          <w:spacing w:val="4"/>
          <w:sz w:val="28"/>
          <w:szCs w:val="32"/>
        </w:rPr>
        <w:t>因此，可持续发展效益得分6分。</w:t>
      </w:r>
    </w:p>
    <w:p>
      <w:pPr>
        <w:snapToGrid/>
        <w:spacing w:beforeAutospacing="0" w:afterAutospacing="0" w:line="360" w:lineRule="auto"/>
        <w:ind w:left="0" w:leftChars="0" w:right="0" w:rightChars="0" w:firstLine="0" w:firstLineChars="0"/>
        <w:jc w:val="left"/>
        <w:outlineLvl w:val="2"/>
        <w:rPr>
          <w:rFonts w:ascii="Times New Roman" w:hAnsi="仿宋" w:eastAsia="宋体" w:cs="仿宋"/>
          <w:b/>
          <w:bCs/>
          <w:spacing w:val="4"/>
          <w:sz w:val="28"/>
          <w:szCs w:val="32"/>
        </w:rPr>
      </w:pPr>
      <w:bookmarkStart w:id="238" w:name="_Toc14512"/>
      <w:bookmarkStart w:id="239" w:name="_Toc19815"/>
      <w:bookmarkStart w:id="240" w:name="_Toc17595"/>
      <w:bookmarkStart w:id="241" w:name="_Toc8729"/>
      <w:bookmarkStart w:id="242" w:name="_Toc1294"/>
      <w:bookmarkStart w:id="243" w:name="_Toc30992"/>
      <w:r>
        <w:rPr>
          <w:rFonts w:hint="eastAsia" w:ascii="Times New Roman" w:hAnsi="仿宋" w:eastAsia="宋体" w:cs="仿宋"/>
          <w:b/>
          <w:bCs/>
          <w:spacing w:val="4"/>
          <w:sz w:val="28"/>
          <w:szCs w:val="32"/>
        </w:rPr>
        <w:t>4.满意度</w:t>
      </w:r>
      <w:r>
        <w:rPr>
          <w:rFonts w:hint="eastAsia" w:ascii="Times New Roman" w:hAnsi="仿宋" w:eastAsia="宋体" w:cs="仿宋"/>
          <w:b/>
          <w:bCs/>
          <w:spacing w:val="4"/>
          <w:sz w:val="28"/>
          <w:szCs w:val="32"/>
          <w:lang w:val="en-US" w:eastAsia="zh-CN"/>
        </w:rPr>
        <w:t xml:space="preserve"> </w:t>
      </w:r>
      <w:r>
        <w:rPr>
          <w:rFonts w:hint="eastAsia" w:ascii="Times New Roman" w:hAnsi="仿宋" w:eastAsia="宋体" w:cs="仿宋"/>
          <w:b/>
          <w:bCs/>
          <w:spacing w:val="4"/>
          <w:sz w:val="28"/>
          <w:szCs w:val="32"/>
        </w:rPr>
        <w:t>(分值为4 分)</w:t>
      </w:r>
      <w:bookmarkEnd w:id="238"/>
      <w:bookmarkEnd w:id="239"/>
      <w:bookmarkEnd w:id="240"/>
      <w:bookmarkEnd w:id="241"/>
      <w:bookmarkEnd w:id="242"/>
      <w:bookmarkEnd w:id="243"/>
    </w:p>
    <w:p>
      <w:pPr>
        <w:snapToGrid/>
        <w:spacing w:beforeAutospacing="0" w:afterAutospacing="0" w:line="360" w:lineRule="auto"/>
        <w:ind w:left="0" w:leftChars="0" w:firstLine="576" w:firstLineChars="200"/>
        <w:rPr>
          <w:rFonts w:ascii="Times New Roman" w:hAnsi="仿宋" w:eastAsia="宋体" w:cs="仿宋"/>
          <w:spacing w:val="4"/>
          <w:sz w:val="28"/>
          <w:szCs w:val="32"/>
        </w:rPr>
      </w:pPr>
      <w:r>
        <w:rPr>
          <w:rFonts w:hint="eastAsia" w:ascii="Times New Roman" w:hAnsi="仿宋" w:eastAsia="宋体" w:cs="仿宋"/>
          <w:spacing w:val="4"/>
          <w:sz w:val="28"/>
          <w:szCs w:val="32"/>
        </w:rPr>
        <w:t>群众满意度主要评价群众对石狮市应急管理局工作的满意程度。评价标准通过向社会市民发放调查问卷，统计对部门履职效果的满意程度。评价标准为:① 95%≤满意度＜100%，得4分；② 90%≤满意度＜95%，得2分；③ 85%≤满意度＜90%，得1分；</w:t>
      </w:r>
      <w:r>
        <w:rPr>
          <w:rFonts w:hint="eastAsia" w:ascii="Times New Roman" w:hAnsi="仿宋" w:eastAsia="宋体" w:cs="仿宋"/>
          <w:spacing w:val="4"/>
          <w:sz w:val="28"/>
          <w:szCs w:val="32"/>
        </w:rPr>
        <w:fldChar w:fldCharType="begin"/>
      </w:r>
      <w:r>
        <w:rPr>
          <w:rFonts w:hint="eastAsia" w:ascii="Times New Roman" w:hAnsi="仿宋" w:eastAsia="宋体" w:cs="仿宋"/>
          <w:spacing w:val="4"/>
          <w:sz w:val="28"/>
          <w:szCs w:val="32"/>
        </w:rPr>
        <w:instrText xml:space="preserve"> = 4 \* GB3 </w:instrText>
      </w:r>
      <w:r>
        <w:rPr>
          <w:rFonts w:hint="eastAsia" w:ascii="Times New Roman" w:hAnsi="仿宋" w:eastAsia="宋体" w:cs="仿宋"/>
          <w:spacing w:val="4"/>
          <w:sz w:val="28"/>
          <w:szCs w:val="32"/>
        </w:rPr>
        <w:fldChar w:fldCharType="separate"/>
      </w:r>
      <w:r>
        <w:rPr>
          <w:rFonts w:hint="eastAsia" w:ascii="Times New Roman" w:hAnsi="仿宋" w:eastAsia="宋体" w:cs="仿宋"/>
          <w:spacing w:val="4"/>
          <w:sz w:val="28"/>
          <w:szCs w:val="32"/>
        </w:rPr>
        <w:t>④</w:t>
      </w:r>
      <w:r>
        <w:rPr>
          <w:rFonts w:hint="eastAsia" w:ascii="Times New Roman" w:hAnsi="仿宋" w:eastAsia="宋体" w:cs="仿宋"/>
          <w:spacing w:val="4"/>
          <w:sz w:val="28"/>
          <w:szCs w:val="32"/>
        </w:rPr>
        <w:fldChar w:fldCharType="end"/>
      </w:r>
      <w:r>
        <w:rPr>
          <w:rFonts w:hint="eastAsia" w:ascii="Times New Roman" w:hAnsi="仿宋" w:eastAsia="宋体" w:cs="仿宋"/>
          <w:spacing w:val="4"/>
          <w:sz w:val="28"/>
          <w:szCs w:val="32"/>
        </w:rPr>
        <w:t xml:space="preserve"> 满意度低于85%，不得分。</w:t>
      </w:r>
    </w:p>
    <w:p>
      <w:pPr>
        <w:snapToGrid/>
        <w:spacing w:beforeAutospacing="0" w:afterAutospacing="0" w:line="360" w:lineRule="auto"/>
        <w:ind w:left="0" w:leftChars="0" w:firstLine="576" w:firstLineChars="200"/>
        <w:rPr>
          <w:rFonts w:ascii="Times New Roman" w:hAnsi="仿宋" w:eastAsia="宋体" w:cs="仿宋"/>
          <w:spacing w:val="4"/>
          <w:sz w:val="28"/>
          <w:szCs w:val="32"/>
        </w:rPr>
      </w:pPr>
      <w:r>
        <w:rPr>
          <w:rFonts w:hint="eastAsia" w:ascii="Times New Roman" w:hAnsi="仿宋" w:eastAsia="宋体" w:cs="仿宋"/>
          <w:spacing w:val="4"/>
          <w:sz w:val="28"/>
          <w:szCs w:val="32"/>
        </w:rPr>
        <w:t>绩效评价工作小组发放问卷调查表50份，填写42份(问卷调查表见附件一), 问卷调查结果为群众满意度96%,根据评分标准，此项得分4分。</w:t>
      </w:r>
    </w:p>
    <w:p>
      <w:pPr>
        <w:snapToGrid/>
        <w:spacing w:beforeAutospacing="0" w:afterAutospacing="0" w:line="360" w:lineRule="auto"/>
        <w:ind w:left="0" w:leftChars="0" w:firstLine="576" w:firstLineChars="200"/>
        <w:rPr>
          <w:rFonts w:ascii="Times New Roman" w:hAnsi="仿宋" w:eastAsia="宋体" w:cs="仿宋"/>
          <w:sz w:val="28"/>
          <w:szCs w:val="32"/>
        </w:rPr>
      </w:pPr>
      <w:r>
        <w:rPr>
          <w:rFonts w:hint="eastAsia" w:ascii="Times New Roman" w:hAnsi="仿宋" w:eastAsia="宋体" w:cs="仿宋"/>
          <w:spacing w:val="4"/>
          <w:sz w:val="28"/>
          <w:szCs w:val="32"/>
        </w:rPr>
        <w:t>因此，项目效益共计得</w:t>
      </w:r>
      <w:r>
        <w:rPr>
          <w:rFonts w:hint="eastAsia" w:ascii="Times New Roman" w:hAnsi="仿宋" w:eastAsia="宋体" w:cs="仿宋"/>
          <w:spacing w:val="4"/>
          <w:sz w:val="28"/>
          <w:szCs w:val="32"/>
          <w:lang w:val="en-US" w:eastAsia="zh-CN"/>
        </w:rPr>
        <w:t>19</w:t>
      </w:r>
      <w:r>
        <w:rPr>
          <w:rFonts w:hint="eastAsia" w:ascii="Times New Roman" w:hAnsi="仿宋" w:eastAsia="宋体" w:cs="仿宋"/>
          <w:spacing w:val="4"/>
          <w:sz w:val="28"/>
          <w:szCs w:val="32"/>
        </w:rPr>
        <w:t>分。</w:t>
      </w:r>
    </w:p>
    <w:p>
      <w:pPr>
        <w:snapToGrid/>
        <w:spacing w:beforeAutospacing="0" w:afterAutospacing="0" w:line="360" w:lineRule="auto"/>
        <w:jc w:val="center"/>
        <w:rPr>
          <w:rFonts w:ascii="Times New Roman" w:hAnsi="宋体" w:eastAsia="宋体" w:cs="宋体"/>
          <w:sz w:val="28"/>
          <w:szCs w:val="28"/>
        </w:rPr>
      </w:pPr>
      <w:r>
        <w:rPr>
          <w:rFonts w:hint="eastAsia" w:ascii="Times New Roman" w:hAnsi="宋体" w:eastAsia="宋体" w:cs="宋体"/>
          <w:b/>
          <w:spacing w:val="4"/>
          <w:sz w:val="28"/>
          <w:szCs w:val="28"/>
        </w:rPr>
        <w:t>2022年度石狮市应急管理局部门整体支出绩效评价情况得分表</w:t>
      </w:r>
    </w:p>
    <w:tbl>
      <w:tblPr>
        <w:tblStyle w:val="1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5"/>
        <w:gridCol w:w="1027"/>
        <w:gridCol w:w="1177"/>
        <w:gridCol w:w="2076"/>
        <w:gridCol w:w="2728"/>
        <w:gridCol w:w="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845" w:type="dxa"/>
            <w:shd w:val="clear" w:color="auto" w:fill="auto"/>
            <w:vAlign w:val="center"/>
          </w:tcPr>
          <w:p>
            <w:pPr>
              <w:widowControl/>
              <w:jc w:val="center"/>
              <w:textAlignment w:val="center"/>
              <w:rPr>
                <w:rFonts w:hint="eastAsia" w:ascii="宋体" w:hAnsi="宋体" w:eastAsia="宋体" w:cs="宋体"/>
                <w:color w:val="000000"/>
                <w:sz w:val="18"/>
                <w:szCs w:val="18"/>
              </w:rPr>
            </w:pPr>
            <w:bookmarkStart w:id="244" w:name="_Toc2050"/>
            <w:bookmarkStart w:id="245" w:name="_Toc32678"/>
            <w:bookmarkStart w:id="246" w:name="_Toc1918"/>
            <w:bookmarkStart w:id="247" w:name="_Toc24543"/>
            <w:bookmarkStart w:id="248" w:name="_Toc4408"/>
            <w:r>
              <w:rPr>
                <w:rFonts w:hint="eastAsia" w:ascii="宋体" w:hAnsi="宋体" w:eastAsia="宋体" w:cs="宋体"/>
                <w:color w:val="000000"/>
                <w:kern w:val="0"/>
                <w:sz w:val="18"/>
                <w:szCs w:val="18"/>
                <w:lang w:bidi="ar"/>
              </w:rPr>
              <w:t>一级指标</w:t>
            </w:r>
          </w:p>
        </w:tc>
        <w:tc>
          <w:tcPr>
            <w:tcW w:w="1027" w:type="dxa"/>
            <w:shd w:val="clear" w:color="auto" w:fill="auto"/>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二级指标</w:t>
            </w:r>
          </w:p>
        </w:tc>
        <w:tc>
          <w:tcPr>
            <w:tcW w:w="1177" w:type="dxa"/>
            <w:shd w:val="clear" w:color="auto" w:fill="auto"/>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三级指标</w:t>
            </w:r>
          </w:p>
        </w:tc>
        <w:tc>
          <w:tcPr>
            <w:tcW w:w="2076" w:type="dxa"/>
            <w:shd w:val="clear" w:color="auto" w:fill="auto"/>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指标解释</w:t>
            </w:r>
          </w:p>
        </w:tc>
        <w:tc>
          <w:tcPr>
            <w:tcW w:w="2728" w:type="dxa"/>
            <w:shd w:val="clear" w:color="auto" w:fill="auto"/>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评价标准</w:t>
            </w:r>
          </w:p>
        </w:tc>
        <w:tc>
          <w:tcPr>
            <w:tcW w:w="390" w:type="pct"/>
            <w:shd w:val="clear" w:color="auto" w:fill="auto"/>
            <w:vAlign w:val="center"/>
          </w:tcPr>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0" w:hRule="atLeast"/>
        </w:trPr>
        <w:tc>
          <w:tcPr>
            <w:tcW w:w="845" w:type="dxa"/>
            <w:vMerge w:val="restart"/>
            <w:shd w:val="clear" w:color="auto" w:fill="auto"/>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投入(20%)</w:t>
            </w:r>
          </w:p>
        </w:tc>
        <w:tc>
          <w:tcPr>
            <w:tcW w:w="1027" w:type="dxa"/>
            <w:vMerge w:val="restart"/>
            <w:shd w:val="clear" w:color="auto" w:fill="auto"/>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目标设定（8分）</w:t>
            </w:r>
          </w:p>
        </w:tc>
        <w:tc>
          <w:tcPr>
            <w:tcW w:w="1177" w:type="dxa"/>
            <w:shd w:val="clear" w:color="auto" w:fill="auto"/>
            <w:vAlign w:val="center"/>
          </w:tcPr>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绩效目标</w:t>
            </w:r>
          </w:p>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合理性</w:t>
            </w:r>
          </w:p>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（4分）</w:t>
            </w:r>
          </w:p>
        </w:tc>
        <w:tc>
          <w:tcPr>
            <w:tcW w:w="2076" w:type="dxa"/>
            <w:shd w:val="clear" w:color="auto" w:fill="auto"/>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部门所设立的整体绩效目标依据是否充分，是否符合客观实际，用于反映和考核部门整体绩效目标与部门履职、年度工作任务的相符性情况。</w:t>
            </w:r>
          </w:p>
        </w:tc>
        <w:tc>
          <w:tcPr>
            <w:tcW w:w="2728" w:type="dxa"/>
            <w:shd w:val="clear" w:color="auto" w:fill="auto"/>
            <w:vAlign w:val="center"/>
          </w:tcPr>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①是否符合国家法律法规；</w:t>
            </w:r>
          </w:p>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②是否符合国民经济和社会发展总体规划；</w:t>
            </w:r>
          </w:p>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③是否符合部门“三定”方案 确定的职责；</w:t>
            </w:r>
          </w:p>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④是否符合部门制定的中长期实施规划或年度工作计划。</w:t>
            </w:r>
          </w:p>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一项不符扣1分。</w:t>
            </w:r>
          </w:p>
        </w:tc>
        <w:tc>
          <w:tcPr>
            <w:tcW w:w="390" w:type="pct"/>
            <w:shd w:val="clear" w:color="auto" w:fill="auto"/>
            <w:vAlign w:val="center"/>
          </w:tcPr>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845" w:type="dxa"/>
            <w:vMerge w:val="continue"/>
            <w:shd w:val="clear" w:color="auto" w:fill="auto"/>
            <w:vAlign w:val="center"/>
          </w:tcPr>
          <w:p>
            <w:pPr>
              <w:jc w:val="center"/>
              <w:rPr>
                <w:rFonts w:hint="eastAsia" w:ascii="宋体" w:hAnsi="宋体" w:eastAsia="宋体" w:cs="宋体"/>
                <w:color w:val="000000"/>
                <w:sz w:val="18"/>
                <w:szCs w:val="18"/>
              </w:rPr>
            </w:pPr>
          </w:p>
        </w:tc>
        <w:tc>
          <w:tcPr>
            <w:tcW w:w="1027" w:type="dxa"/>
            <w:vMerge w:val="continue"/>
            <w:shd w:val="clear" w:color="auto" w:fill="auto"/>
            <w:vAlign w:val="center"/>
          </w:tcPr>
          <w:p>
            <w:pPr>
              <w:jc w:val="center"/>
              <w:rPr>
                <w:rFonts w:hint="eastAsia" w:ascii="宋体" w:hAnsi="宋体" w:eastAsia="宋体" w:cs="宋体"/>
                <w:color w:val="000000"/>
                <w:sz w:val="18"/>
                <w:szCs w:val="18"/>
              </w:rPr>
            </w:pPr>
          </w:p>
        </w:tc>
        <w:tc>
          <w:tcPr>
            <w:tcW w:w="1177" w:type="dxa"/>
            <w:shd w:val="clear" w:color="auto" w:fill="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bidi="ar"/>
              </w:rPr>
              <w:t>绩效</w:t>
            </w:r>
            <w:r>
              <w:rPr>
                <w:rFonts w:hint="eastAsia" w:ascii="宋体" w:hAnsi="宋体" w:eastAsia="宋体" w:cs="宋体"/>
                <w:color w:val="000000"/>
                <w:kern w:val="0"/>
                <w:sz w:val="18"/>
                <w:szCs w:val="18"/>
                <w:lang w:val="en-US" w:eastAsia="zh-CN" w:bidi="ar"/>
              </w:rPr>
              <w:t>目标</w:t>
            </w:r>
          </w:p>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明确性</w:t>
            </w:r>
          </w:p>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（4分）</w:t>
            </w:r>
          </w:p>
        </w:tc>
        <w:tc>
          <w:tcPr>
            <w:tcW w:w="2076" w:type="dxa"/>
            <w:shd w:val="clear" w:color="auto" w:fill="auto"/>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部门依据整体绩效目标所设定的绩效指标是否清晰、细化、可衡量，用于反映和考核部门整体绩效目标的明细化情况</w:t>
            </w:r>
          </w:p>
        </w:tc>
        <w:tc>
          <w:tcPr>
            <w:tcW w:w="2728" w:type="dxa"/>
            <w:shd w:val="clear" w:color="auto" w:fill="auto"/>
            <w:vAlign w:val="center"/>
          </w:tcPr>
          <w:p>
            <w:pPr>
              <w:widowControl/>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 xml:space="preserve">①是否将部门整体的绩效目标细化分解为具体的工作任务； </w:t>
            </w:r>
          </w:p>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②是否通过清晰、可衡量的指标予以体现；</w:t>
            </w:r>
          </w:p>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③是否与部门年度的任务数或计划数相对应；</w:t>
            </w:r>
          </w:p>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④是否以本年度部门预算资金相匹配。</w:t>
            </w:r>
          </w:p>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一项不符扣1分。</w:t>
            </w:r>
          </w:p>
        </w:tc>
        <w:tc>
          <w:tcPr>
            <w:tcW w:w="390" w:type="pct"/>
            <w:shd w:val="clear" w:color="auto" w:fill="auto"/>
            <w:vAlign w:val="center"/>
          </w:tcPr>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trPr>
        <w:tc>
          <w:tcPr>
            <w:tcW w:w="845" w:type="dxa"/>
            <w:vMerge w:val="continue"/>
            <w:shd w:val="clear" w:color="auto" w:fill="auto"/>
            <w:vAlign w:val="center"/>
          </w:tcPr>
          <w:p>
            <w:pPr>
              <w:jc w:val="center"/>
              <w:rPr>
                <w:rFonts w:hint="eastAsia" w:ascii="宋体" w:hAnsi="宋体" w:eastAsia="宋体" w:cs="宋体"/>
                <w:color w:val="000000"/>
                <w:sz w:val="18"/>
                <w:szCs w:val="18"/>
              </w:rPr>
            </w:pPr>
          </w:p>
        </w:tc>
        <w:tc>
          <w:tcPr>
            <w:tcW w:w="1027" w:type="dxa"/>
            <w:vMerge w:val="restart"/>
            <w:shd w:val="clear" w:color="auto" w:fill="auto"/>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预算配置（12分）</w:t>
            </w:r>
          </w:p>
        </w:tc>
        <w:tc>
          <w:tcPr>
            <w:tcW w:w="1177" w:type="dxa"/>
            <w:shd w:val="clear" w:color="auto" w:fill="auto"/>
            <w:vAlign w:val="center"/>
          </w:tcPr>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在职人员</w:t>
            </w:r>
          </w:p>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控制率</w:t>
            </w:r>
          </w:p>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（4分）</w:t>
            </w:r>
          </w:p>
        </w:tc>
        <w:tc>
          <w:tcPr>
            <w:tcW w:w="2076" w:type="dxa"/>
            <w:shd w:val="clear" w:color="auto" w:fill="auto"/>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部门（单位）本年度实际在职人员数与编制数的比率，用以反映和评价部门（单位）对人员成本的控制程度。在职人员控制率=（在职人员数/编制数）×100%</w:t>
            </w:r>
          </w:p>
        </w:tc>
        <w:tc>
          <w:tcPr>
            <w:tcW w:w="2728" w:type="dxa"/>
            <w:shd w:val="clear" w:color="auto" w:fill="auto"/>
            <w:vAlign w:val="center"/>
          </w:tcPr>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①在职人员控制率小</w:t>
            </w:r>
            <w:r>
              <w:rPr>
                <w:rFonts w:hint="eastAsia" w:ascii="宋体" w:hAnsi="宋体" w:eastAsia="宋体" w:cs="宋体"/>
                <w:color w:val="000000"/>
                <w:kern w:val="0"/>
                <w:sz w:val="18"/>
                <w:szCs w:val="18"/>
                <w:lang w:eastAsia="zh-CN" w:bidi="ar"/>
              </w:rPr>
              <w:t>于</w:t>
            </w:r>
            <w:r>
              <w:rPr>
                <w:rFonts w:hint="eastAsia" w:ascii="宋体" w:hAnsi="宋体" w:eastAsia="宋体" w:cs="宋体"/>
                <w:color w:val="000000"/>
                <w:kern w:val="0"/>
                <w:sz w:val="18"/>
                <w:szCs w:val="18"/>
                <w:lang w:bidi="ar"/>
              </w:rPr>
              <w:t>等于100%，得满分；</w:t>
            </w:r>
          </w:p>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②在职人员控制率大</w:t>
            </w:r>
            <w:r>
              <w:rPr>
                <w:rFonts w:hint="eastAsia" w:ascii="宋体" w:hAnsi="宋体" w:eastAsia="宋体" w:cs="宋体"/>
                <w:color w:val="000000"/>
                <w:kern w:val="0"/>
                <w:sz w:val="18"/>
                <w:szCs w:val="18"/>
                <w:lang w:eastAsia="zh-CN" w:bidi="ar"/>
              </w:rPr>
              <w:t>于</w:t>
            </w:r>
            <w:r>
              <w:rPr>
                <w:rFonts w:hint="eastAsia" w:ascii="宋体" w:hAnsi="宋体" w:eastAsia="宋体" w:cs="宋体"/>
                <w:color w:val="000000"/>
                <w:kern w:val="0"/>
                <w:sz w:val="18"/>
                <w:szCs w:val="18"/>
                <w:lang w:bidi="ar"/>
              </w:rPr>
              <w:t>等于115%，得0分；</w:t>
            </w:r>
          </w:p>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③在职人员控制率在100%-115%之间，得分=（115%－某部门在职人员控制率）/15%×指标分值。</w:t>
            </w:r>
          </w:p>
        </w:tc>
        <w:tc>
          <w:tcPr>
            <w:tcW w:w="390" w:type="pct"/>
            <w:shd w:val="clear" w:color="auto" w:fill="auto"/>
            <w:vAlign w:val="center"/>
          </w:tcPr>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845" w:type="dxa"/>
            <w:vMerge w:val="continue"/>
            <w:shd w:val="clear" w:color="auto" w:fill="auto"/>
            <w:vAlign w:val="center"/>
          </w:tcPr>
          <w:p>
            <w:pPr>
              <w:jc w:val="center"/>
              <w:rPr>
                <w:rFonts w:hint="eastAsia" w:ascii="宋体" w:hAnsi="宋体" w:eastAsia="宋体" w:cs="宋体"/>
                <w:color w:val="000000"/>
                <w:sz w:val="18"/>
                <w:szCs w:val="18"/>
              </w:rPr>
            </w:pPr>
          </w:p>
        </w:tc>
        <w:tc>
          <w:tcPr>
            <w:tcW w:w="1027" w:type="dxa"/>
            <w:vMerge w:val="continue"/>
            <w:shd w:val="clear" w:color="auto" w:fill="auto"/>
            <w:vAlign w:val="center"/>
          </w:tcPr>
          <w:p>
            <w:pPr>
              <w:jc w:val="center"/>
              <w:rPr>
                <w:rFonts w:hint="eastAsia" w:ascii="宋体" w:hAnsi="宋体" w:eastAsia="宋体" w:cs="宋体"/>
                <w:color w:val="000000"/>
                <w:sz w:val="18"/>
                <w:szCs w:val="18"/>
              </w:rPr>
            </w:pPr>
          </w:p>
        </w:tc>
        <w:tc>
          <w:tcPr>
            <w:tcW w:w="1177" w:type="dxa"/>
            <w:shd w:val="clear" w:color="auto" w:fill="auto"/>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eastAsia="zh-CN" w:bidi="ar"/>
              </w:rPr>
              <w:t>“三公”经费</w:t>
            </w:r>
            <w:r>
              <w:rPr>
                <w:rFonts w:hint="eastAsia" w:ascii="宋体" w:hAnsi="宋体" w:eastAsia="宋体" w:cs="宋体"/>
                <w:color w:val="000000"/>
                <w:kern w:val="0"/>
                <w:sz w:val="18"/>
                <w:szCs w:val="18"/>
                <w:lang w:bidi="ar"/>
              </w:rPr>
              <w:t>变动率（4分）</w:t>
            </w:r>
          </w:p>
        </w:tc>
        <w:tc>
          <w:tcPr>
            <w:tcW w:w="2076" w:type="dxa"/>
            <w:shd w:val="clear" w:color="auto" w:fill="auto"/>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部门本年度</w:t>
            </w:r>
            <w:r>
              <w:rPr>
                <w:rFonts w:hint="eastAsia" w:ascii="宋体" w:hAnsi="宋体" w:eastAsia="宋体" w:cs="宋体"/>
                <w:color w:val="000000"/>
                <w:kern w:val="0"/>
                <w:sz w:val="18"/>
                <w:szCs w:val="18"/>
                <w:lang w:eastAsia="zh-CN" w:bidi="ar"/>
              </w:rPr>
              <w:t>“三公”经费</w:t>
            </w:r>
            <w:r>
              <w:rPr>
                <w:rFonts w:hint="eastAsia" w:ascii="宋体" w:hAnsi="宋体" w:eastAsia="宋体" w:cs="宋体"/>
                <w:color w:val="000000"/>
                <w:kern w:val="0"/>
                <w:sz w:val="18"/>
                <w:szCs w:val="18"/>
                <w:lang w:bidi="ar"/>
              </w:rPr>
              <w:t>预算数与上年度</w:t>
            </w:r>
            <w:r>
              <w:rPr>
                <w:rFonts w:hint="eastAsia" w:ascii="宋体" w:hAnsi="宋体" w:eastAsia="宋体" w:cs="宋体"/>
                <w:color w:val="000000"/>
                <w:kern w:val="0"/>
                <w:sz w:val="18"/>
                <w:szCs w:val="18"/>
                <w:lang w:eastAsia="zh-CN" w:bidi="ar"/>
              </w:rPr>
              <w:t>“三公”经费</w:t>
            </w:r>
            <w:r>
              <w:rPr>
                <w:rFonts w:hint="eastAsia" w:ascii="宋体" w:hAnsi="宋体" w:eastAsia="宋体" w:cs="宋体"/>
                <w:color w:val="000000"/>
                <w:kern w:val="0"/>
                <w:sz w:val="18"/>
                <w:szCs w:val="18"/>
                <w:lang w:bidi="ar"/>
              </w:rPr>
              <w:t>预算数的变动比率，用以反映和考核部门对控制重点行政成本的努力程度。</w:t>
            </w:r>
          </w:p>
        </w:tc>
        <w:tc>
          <w:tcPr>
            <w:tcW w:w="2728" w:type="dxa"/>
            <w:shd w:val="clear" w:color="auto" w:fill="auto"/>
            <w:vAlign w:val="center"/>
          </w:tcPr>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三公经费变动率=[（本年度</w:t>
            </w:r>
            <w:r>
              <w:rPr>
                <w:rFonts w:hint="eastAsia" w:ascii="宋体" w:hAnsi="宋体" w:eastAsia="宋体" w:cs="宋体"/>
                <w:color w:val="000000"/>
                <w:kern w:val="0"/>
                <w:sz w:val="18"/>
                <w:szCs w:val="18"/>
                <w:lang w:eastAsia="zh-CN" w:bidi="ar"/>
              </w:rPr>
              <w:t>“三公”经费</w:t>
            </w:r>
            <w:r>
              <w:rPr>
                <w:rFonts w:hint="eastAsia" w:ascii="宋体" w:hAnsi="宋体" w:eastAsia="宋体" w:cs="宋体"/>
                <w:color w:val="000000"/>
                <w:kern w:val="0"/>
                <w:sz w:val="18"/>
                <w:szCs w:val="18"/>
                <w:lang w:bidi="ar"/>
              </w:rPr>
              <w:t>总额-上年度</w:t>
            </w:r>
            <w:r>
              <w:rPr>
                <w:rFonts w:hint="eastAsia" w:ascii="宋体" w:hAnsi="宋体" w:eastAsia="宋体" w:cs="宋体"/>
                <w:color w:val="000000"/>
                <w:kern w:val="0"/>
                <w:sz w:val="18"/>
                <w:szCs w:val="18"/>
                <w:lang w:eastAsia="zh-CN" w:bidi="ar"/>
              </w:rPr>
              <w:t>“三公”经费</w:t>
            </w:r>
            <w:r>
              <w:rPr>
                <w:rFonts w:hint="eastAsia" w:ascii="宋体" w:hAnsi="宋体" w:eastAsia="宋体" w:cs="宋体"/>
                <w:color w:val="000000"/>
                <w:kern w:val="0"/>
                <w:sz w:val="18"/>
                <w:szCs w:val="18"/>
                <w:lang w:bidi="ar"/>
              </w:rPr>
              <w:t>总额）/上年度</w:t>
            </w:r>
            <w:r>
              <w:rPr>
                <w:rFonts w:hint="eastAsia" w:ascii="宋体" w:hAnsi="宋体" w:eastAsia="宋体" w:cs="宋体"/>
                <w:color w:val="000000"/>
                <w:kern w:val="0"/>
                <w:sz w:val="18"/>
                <w:szCs w:val="18"/>
                <w:lang w:eastAsia="zh-CN" w:bidi="ar"/>
              </w:rPr>
              <w:t>“三公”经费</w:t>
            </w:r>
            <w:r>
              <w:rPr>
                <w:rFonts w:hint="eastAsia" w:ascii="宋体" w:hAnsi="宋体" w:eastAsia="宋体" w:cs="宋体"/>
                <w:color w:val="000000"/>
                <w:kern w:val="0"/>
                <w:sz w:val="18"/>
                <w:szCs w:val="18"/>
                <w:lang w:bidi="ar"/>
              </w:rPr>
              <w:t>总额]×100%。</w:t>
            </w:r>
          </w:p>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①变动率≤0%</w:t>
            </w:r>
            <w:r>
              <w:rPr>
                <w:rFonts w:hint="eastAsia" w:ascii="宋体" w:hAnsi="宋体" w:eastAsia="宋体" w:cs="宋体"/>
                <w:color w:val="000000"/>
                <w:kern w:val="0"/>
                <w:sz w:val="18"/>
                <w:szCs w:val="18"/>
                <w:lang w:eastAsia="zh-CN" w:bidi="ar"/>
              </w:rPr>
              <w:t>，</w:t>
            </w:r>
            <w:r>
              <w:rPr>
                <w:rFonts w:hint="eastAsia" w:ascii="宋体" w:hAnsi="宋体" w:eastAsia="宋体" w:cs="宋体"/>
                <w:color w:val="000000"/>
                <w:kern w:val="0"/>
                <w:sz w:val="18"/>
                <w:szCs w:val="18"/>
                <w:lang w:bidi="ar"/>
              </w:rPr>
              <w:t>得满分；</w:t>
            </w:r>
          </w:p>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②变动率每超过</w:t>
            </w:r>
            <w:r>
              <w:rPr>
                <w:rFonts w:hint="eastAsia" w:ascii="宋体" w:hAnsi="宋体" w:eastAsia="宋体" w:cs="宋体"/>
                <w:color w:val="000000"/>
                <w:kern w:val="0"/>
                <w:sz w:val="18"/>
                <w:szCs w:val="18"/>
                <w:lang w:val="en-US" w:eastAsia="zh-CN" w:bidi="ar"/>
              </w:rPr>
              <w:t>10</w:t>
            </w:r>
            <w:r>
              <w:rPr>
                <w:rFonts w:hint="eastAsia" w:ascii="宋体" w:hAnsi="宋体" w:eastAsia="宋体" w:cs="宋体"/>
                <w:color w:val="000000"/>
                <w:kern w:val="0"/>
                <w:sz w:val="18"/>
                <w:szCs w:val="18"/>
                <w:lang w:bidi="ar"/>
              </w:rPr>
              <w:t>个百分点扣0.5 分，扣完为止。</w:t>
            </w:r>
          </w:p>
        </w:tc>
        <w:tc>
          <w:tcPr>
            <w:tcW w:w="390" w:type="pct"/>
            <w:shd w:val="clear" w:color="auto" w:fill="auto"/>
            <w:vAlign w:val="center"/>
          </w:tcPr>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0" w:hRule="atLeast"/>
        </w:trPr>
        <w:tc>
          <w:tcPr>
            <w:tcW w:w="845" w:type="dxa"/>
            <w:vMerge w:val="continue"/>
            <w:shd w:val="clear" w:color="auto" w:fill="auto"/>
            <w:vAlign w:val="center"/>
          </w:tcPr>
          <w:p>
            <w:pPr>
              <w:jc w:val="center"/>
              <w:rPr>
                <w:rFonts w:hint="eastAsia" w:ascii="宋体" w:hAnsi="宋体" w:eastAsia="宋体" w:cs="宋体"/>
                <w:color w:val="000000"/>
                <w:sz w:val="18"/>
                <w:szCs w:val="18"/>
              </w:rPr>
            </w:pPr>
          </w:p>
        </w:tc>
        <w:tc>
          <w:tcPr>
            <w:tcW w:w="1027" w:type="dxa"/>
            <w:vMerge w:val="continue"/>
            <w:shd w:val="clear" w:color="auto" w:fill="auto"/>
            <w:vAlign w:val="center"/>
          </w:tcPr>
          <w:p>
            <w:pPr>
              <w:jc w:val="center"/>
              <w:rPr>
                <w:rFonts w:hint="eastAsia" w:ascii="宋体" w:hAnsi="宋体" w:eastAsia="宋体" w:cs="宋体"/>
                <w:color w:val="000000"/>
                <w:sz w:val="18"/>
                <w:szCs w:val="18"/>
              </w:rPr>
            </w:pPr>
          </w:p>
        </w:tc>
        <w:tc>
          <w:tcPr>
            <w:tcW w:w="1177" w:type="dxa"/>
            <w:shd w:val="clear" w:color="auto" w:fill="auto"/>
            <w:vAlign w:val="center"/>
          </w:tcPr>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重点支出</w:t>
            </w:r>
          </w:p>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安排率</w:t>
            </w:r>
          </w:p>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（4分）</w:t>
            </w:r>
          </w:p>
        </w:tc>
        <w:tc>
          <w:tcPr>
            <w:tcW w:w="2076" w:type="dxa"/>
            <w:shd w:val="clear" w:color="auto" w:fill="auto"/>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部门本年度预算安排的重点项目支出与部门项目总支出的比率，用以反映和考核部门对履行主要职责或完成重点任务的保障程度。重点支出安排率=（重点项目支出/项目总支出）×100%。</w:t>
            </w:r>
          </w:p>
        </w:tc>
        <w:tc>
          <w:tcPr>
            <w:tcW w:w="2728" w:type="dxa"/>
            <w:shd w:val="clear" w:color="auto" w:fill="auto"/>
            <w:vAlign w:val="center"/>
          </w:tcPr>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①重点支出安排率&gt;80%(4分)；</w:t>
            </w:r>
          </w:p>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②50%&lt;重点支出安排率 ≤80%(2分)；重点支出安排率≤50%(0分)。</w:t>
            </w:r>
          </w:p>
        </w:tc>
        <w:tc>
          <w:tcPr>
            <w:tcW w:w="390" w:type="pct"/>
            <w:shd w:val="clear" w:color="auto" w:fill="auto"/>
            <w:vAlign w:val="center"/>
          </w:tcPr>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845" w:type="dxa"/>
            <w:vMerge w:val="restart"/>
            <w:shd w:val="clear" w:color="auto" w:fill="auto"/>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过程（20%）</w:t>
            </w:r>
          </w:p>
        </w:tc>
        <w:tc>
          <w:tcPr>
            <w:tcW w:w="1027" w:type="dxa"/>
            <w:vMerge w:val="restart"/>
            <w:shd w:val="clear" w:color="auto" w:fill="auto"/>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预算执行（12分）</w:t>
            </w:r>
          </w:p>
        </w:tc>
        <w:tc>
          <w:tcPr>
            <w:tcW w:w="1177" w:type="dxa"/>
            <w:shd w:val="clear" w:color="auto" w:fill="auto"/>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预算完成率（2分）</w:t>
            </w:r>
          </w:p>
        </w:tc>
        <w:tc>
          <w:tcPr>
            <w:tcW w:w="2076" w:type="dxa"/>
            <w:shd w:val="clear" w:color="auto" w:fill="auto"/>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通过对部门（单位）本年度支出预算完成数与支出预算数的比较，反映和评价部门（单位）支出预算的完成程度。支出预算完成率=（预算完成数/预算数）×100%。</w:t>
            </w:r>
          </w:p>
        </w:tc>
        <w:tc>
          <w:tcPr>
            <w:tcW w:w="2728" w:type="dxa"/>
            <w:shd w:val="clear" w:color="auto" w:fill="auto"/>
            <w:vAlign w:val="center"/>
          </w:tcPr>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①完成率大于等于95%的，得满分；</w:t>
            </w:r>
          </w:p>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②完成率小于</w:t>
            </w:r>
            <w:r>
              <w:rPr>
                <w:rFonts w:hint="eastAsia" w:ascii="宋体" w:hAnsi="宋体" w:eastAsia="宋体" w:cs="宋体"/>
                <w:color w:val="000000"/>
                <w:kern w:val="0"/>
                <w:sz w:val="18"/>
                <w:szCs w:val="18"/>
                <w:lang w:val="en-US" w:eastAsia="zh-CN" w:bidi="ar"/>
              </w:rPr>
              <w:t>9</w:t>
            </w:r>
            <w:r>
              <w:rPr>
                <w:rFonts w:hint="eastAsia" w:ascii="宋体" w:hAnsi="宋体" w:eastAsia="宋体" w:cs="宋体"/>
                <w:color w:val="000000"/>
                <w:kern w:val="0"/>
                <w:sz w:val="18"/>
                <w:szCs w:val="18"/>
                <w:lang w:bidi="ar"/>
              </w:rPr>
              <w:t>5%的，得0分；</w:t>
            </w:r>
          </w:p>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③完成率在85%-95%之间的，得分=（某部门预算完成率-85%）/10%×该指标分值。</w:t>
            </w:r>
          </w:p>
        </w:tc>
        <w:tc>
          <w:tcPr>
            <w:tcW w:w="390" w:type="pct"/>
            <w:shd w:val="clear" w:color="auto" w:fill="auto"/>
            <w:vAlign w:val="center"/>
          </w:tcPr>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0" w:hRule="atLeast"/>
        </w:trPr>
        <w:tc>
          <w:tcPr>
            <w:tcW w:w="845" w:type="dxa"/>
            <w:vMerge w:val="continue"/>
            <w:shd w:val="clear" w:color="auto" w:fill="auto"/>
            <w:vAlign w:val="center"/>
          </w:tcPr>
          <w:p>
            <w:pPr>
              <w:jc w:val="center"/>
              <w:rPr>
                <w:rFonts w:hint="eastAsia" w:ascii="宋体" w:hAnsi="宋体" w:eastAsia="宋体" w:cs="宋体"/>
                <w:color w:val="000000"/>
                <w:sz w:val="18"/>
                <w:szCs w:val="18"/>
              </w:rPr>
            </w:pPr>
          </w:p>
        </w:tc>
        <w:tc>
          <w:tcPr>
            <w:tcW w:w="1027" w:type="dxa"/>
            <w:vMerge w:val="continue"/>
            <w:shd w:val="clear" w:color="auto" w:fill="auto"/>
            <w:vAlign w:val="center"/>
          </w:tcPr>
          <w:p>
            <w:pPr>
              <w:jc w:val="center"/>
              <w:rPr>
                <w:rFonts w:hint="eastAsia" w:ascii="宋体" w:hAnsi="宋体" w:eastAsia="宋体" w:cs="宋体"/>
                <w:color w:val="000000"/>
                <w:sz w:val="18"/>
                <w:szCs w:val="18"/>
              </w:rPr>
            </w:pPr>
          </w:p>
        </w:tc>
        <w:tc>
          <w:tcPr>
            <w:tcW w:w="1177" w:type="dxa"/>
            <w:shd w:val="clear" w:color="auto" w:fill="auto"/>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预算调整率（2分）</w:t>
            </w:r>
          </w:p>
        </w:tc>
        <w:tc>
          <w:tcPr>
            <w:tcW w:w="2076" w:type="dxa"/>
            <w:shd w:val="clear" w:color="auto" w:fill="auto"/>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部门（单位）本年度支出预算调整数与支出预算数的比率，用以反映和评价部门（单位）预算的调整程度。支出预算调整率=（支出预算调整数/支出预算数）×100%</w:t>
            </w:r>
          </w:p>
        </w:tc>
        <w:tc>
          <w:tcPr>
            <w:tcW w:w="2728" w:type="dxa"/>
            <w:shd w:val="clear" w:color="auto" w:fill="auto"/>
            <w:vAlign w:val="center"/>
          </w:tcPr>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①支出预算调整率等于0的，得满分；</w:t>
            </w:r>
          </w:p>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②调整率大于或等于10%的，得0分；</w:t>
            </w:r>
          </w:p>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③调整率在0-10%之间的，得分=（10%-某部门预算调整率）/10%×该指标分值；</w:t>
            </w:r>
          </w:p>
        </w:tc>
        <w:tc>
          <w:tcPr>
            <w:tcW w:w="390" w:type="pct"/>
            <w:shd w:val="clear" w:color="auto" w:fill="auto"/>
            <w:vAlign w:val="center"/>
          </w:tcPr>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trPr>
        <w:tc>
          <w:tcPr>
            <w:tcW w:w="845" w:type="dxa"/>
            <w:vMerge w:val="continue"/>
            <w:shd w:val="clear" w:color="auto" w:fill="auto"/>
            <w:vAlign w:val="center"/>
          </w:tcPr>
          <w:p>
            <w:pPr>
              <w:jc w:val="center"/>
              <w:rPr>
                <w:rFonts w:hint="eastAsia" w:ascii="宋体" w:hAnsi="宋体" w:eastAsia="宋体" w:cs="宋体"/>
                <w:color w:val="000000"/>
                <w:sz w:val="18"/>
                <w:szCs w:val="18"/>
              </w:rPr>
            </w:pPr>
          </w:p>
        </w:tc>
        <w:tc>
          <w:tcPr>
            <w:tcW w:w="1027" w:type="dxa"/>
            <w:vMerge w:val="continue"/>
            <w:shd w:val="clear" w:color="auto" w:fill="auto"/>
            <w:vAlign w:val="center"/>
          </w:tcPr>
          <w:p>
            <w:pPr>
              <w:jc w:val="center"/>
              <w:rPr>
                <w:rFonts w:hint="eastAsia" w:ascii="宋体" w:hAnsi="宋体" w:eastAsia="宋体" w:cs="宋体"/>
                <w:color w:val="000000"/>
                <w:sz w:val="18"/>
                <w:szCs w:val="18"/>
              </w:rPr>
            </w:pPr>
          </w:p>
        </w:tc>
        <w:tc>
          <w:tcPr>
            <w:tcW w:w="1177" w:type="dxa"/>
            <w:shd w:val="clear" w:color="auto" w:fill="auto"/>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结转结余率（2分）</w:t>
            </w:r>
          </w:p>
        </w:tc>
        <w:tc>
          <w:tcPr>
            <w:tcW w:w="2076" w:type="dxa"/>
            <w:shd w:val="clear" w:color="auto" w:fill="auto"/>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部门（单位）本年度结转结余总额与支出预算数的比率，反映和评价部门（单位）对本年度结转结余资金的实际控制程度。</w:t>
            </w:r>
          </w:p>
        </w:tc>
        <w:tc>
          <w:tcPr>
            <w:tcW w:w="2728" w:type="dxa"/>
            <w:shd w:val="clear" w:color="auto" w:fill="auto"/>
            <w:vAlign w:val="center"/>
          </w:tcPr>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①结转结余率等于0的，得满分；</w:t>
            </w:r>
          </w:p>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②结转结余率大于或等于50%的，得0分；</w:t>
            </w:r>
          </w:p>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③结转结余率在0-50%之间的，得分=（50%-某部门结转结余率）/50%×该指标分值。</w:t>
            </w:r>
          </w:p>
        </w:tc>
        <w:tc>
          <w:tcPr>
            <w:tcW w:w="390" w:type="pct"/>
            <w:shd w:val="clear" w:color="auto" w:fill="auto"/>
            <w:vAlign w:val="center"/>
          </w:tcPr>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845" w:type="dxa"/>
            <w:vMerge w:val="continue"/>
            <w:shd w:val="clear" w:color="auto" w:fill="auto"/>
            <w:vAlign w:val="center"/>
          </w:tcPr>
          <w:p>
            <w:pPr>
              <w:jc w:val="center"/>
              <w:rPr>
                <w:rFonts w:hint="eastAsia" w:ascii="宋体" w:hAnsi="宋体" w:eastAsia="宋体" w:cs="宋体"/>
                <w:color w:val="000000"/>
                <w:sz w:val="18"/>
                <w:szCs w:val="18"/>
              </w:rPr>
            </w:pPr>
          </w:p>
        </w:tc>
        <w:tc>
          <w:tcPr>
            <w:tcW w:w="1027" w:type="dxa"/>
            <w:vMerge w:val="continue"/>
            <w:shd w:val="clear" w:color="auto" w:fill="auto"/>
            <w:vAlign w:val="center"/>
          </w:tcPr>
          <w:p>
            <w:pPr>
              <w:jc w:val="center"/>
              <w:rPr>
                <w:rFonts w:hint="eastAsia" w:ascii="宋体" w:hAnsi="宋体" w:eastAsia="宋体" w:cs="宋体"/>
                <w:color w:val="000000"/>
                <w:sz w:val="18"/>
                <w:szCs w:val="18"/>
              </w:rPr>
            </w:pPr>
          </w:p>
        </w:tc>
        <w:tc>
          <w:tcPr>
            <w:tcW w:w="1177" w:type="dxa"/>
            <w:shd w:val="clear" w:color="auto" w:fill="auto"/>
            <w:vAlign w:val="center"/>
          </w:tcPr>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公用经费</w:t>
            </w:r>
          </w:p>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控制率</w:t>
            </w:r>
          </w:p>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（2分）</w:t>
            </w:r>
          </w:p>
        </w:tc>
        <w:tc>
          <w:tcPr>
            <w:tcW w:w="2076" w:type="dxa"/>
            <w:shd w:val="clear" w:color="auto" w:fill="auto"/>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部门（单位）本年度实际支出的公用经费总额与预算安排的公用经费总额的比率，反映和评价部门（单位）对机构运转成本的实际控制程度。</w:t>
            </w:r>
          </w:p>
        </w:tc>
        <w:tc>
          <w:tcPr>
            <w:tcW w:w="2728" w:type="dxa"/>
            <w:shd w:val="clear" w:color="auto" w:fill="auto"/>
            <w:vAlign w:val="center"/>
          </w:tcPr>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①公用经费控制率≤100%(2分)；</w:t>
            </w:r>
          </w:p>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②公用经费控制率&gt;100%且≤120%(1分 )；</w:t>
            </w:r>
          </w:p>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③公用经费控制率&gt;120%且≤150% (0.5 分)；</w:t>
            </w:r>
          </w:p>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④公用经费控制率&gt;150% (0 分)”。</w:t>
            </w:r>
          </w:p>
        </w:tc>
        <w:tc>
          <w:tcPr>
            <w:tcW w:w="390" w:type="pct"/>
            <w:shd w:val="clear" w:color="auto" w:fill="auto"/>
            <w:vAlign w:val="center"/>
          </w:tcPr>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trPr>
        <w:tc>
          <w:tcPr>
            <w:tcW w:w="845" w:type="dxa"/>
            <w:vMerge w:val="continue"/>
            <w:shd w:val="clear" w:color="auto" w:fill="auto"/>
            <w:vAlign w:val="center"/>
          </w:tcPr>
          <w:p>
            <w:pPr>
              <w:jc w:val="center"/>
              <w:rPr>
                <w:rFonts w:hint="eastAsia" w:ascii="宋体" w:hAnsi="宋体" w:eastAsia="宋体" w:cs="宋体"/>
                <w:color w:val="000000"/>
                <w:sz w:val="18"/>
                <w:szCs w:val="18"/>
              </w:rPr>
            </w:pPr>
          </w:p>
        </w:tc>
        <w:tc>
          <w:tcPr>
            <w:tcW w:w="1027" w:type="dxa"/>
            <w:vMerge w:val="continue"/>
            <w:shd w:val="clear" w:color="auto" w:fill="auto"/>
            <w:vAlign w:val="center"/>
          </w:tcPr>
          <w:p>
            <w:pPr>
              <w:jc w:val="center"/>
              <w:rPr>
                <w:rFonts w:hint="eastAsia" w:ascii="宋体" w:hAnsi="宋体" w:eastAsia="宋体" w:cs="宋体"/>
                <w:color w:val="000000"/>
                <w:sz w:val="18"/>
                <w:szCs w:val="18"/>
              </w:rPr>
            </w:pPr>
          </w:p>
        </w:tc>
        <w:tc>
          <w:tcPr>
            <w:tcW w:w="1177" w:type="dxa"/>
            <w:shd w:val="clear" w:color="auto" w:fill="auto"/>
            <w:vAlign w:val="center"/>
          </w:tcPr>
          <w:p>
            <w:pPr>
              <w:widowControl/>
              <w:jc w:val="center"/>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eastAsia="zh-CN" w:bidi="ar"/>
              </w:rPr>
              <w:t>“三公”经费</w:t>
            </w:r>
            <w:r>
              <w:rPr>
                <w:rFonts w:hint="eastAsia" w:ascii="宋体" w:hAnsi="宋体" w:eastAsia="宋体" w:cs="宋体"/>
                <w:color w:val="auto"/>
                <w:kern w:val="0"/>
                <w:sz w:val="18"/>
                <w:szCs w:val="18"/>
                <w:lang w:bidi="ar"/>
              </w:rPr>
              <w:t>控制率</w:t>
            </w:r>
          </w:p>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auto"/>
                <w:kern w:val="0"/>
                <w:sz w:val="18"/>
                <w:szCs w:val="18"/>
                <w:lang w:bidi="ar"/>
              </w:rPr>
              <w:t>（2分）</w:t>
            </w:r>
          </w:p>
        </w:tc>
        <w:tc>
          <w:tcPr>
            <w:tcW w:w="2076" w:type="dxa"/>
            <w:shd w:val="clear" w:color="auto" w:fill="auto"/>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auto"/>
                <w:kern w:val="0"/>
                <w:sz w:val="18"/>
                <w:szCs w:val="18"/>
                <w:lang w:bidi="ar"/>
              </w:rPr>
              <w:t>部门（单位）本年度</w:t>
            </w:r>
            <w:r>
              <w:rPr>
                <w:rFonts w:hint="eastAsia" w:ascii="宋体" w:hAnsi="宋体" w:eastAsia="宋体" w:cs="宋体"/>
                <w:color w:val="auto"/>
                <w:kern w:val="0"/>
                <w:sz w:val="18"/>
                <w:szCs w:val="18"/>
                <w:lang w:eastAsia="zh-CN" w:bidi="ar"/>
              </w:rPr>
              <w:t>“三公”经费</w:t>
            </w:r>
            <w:r>
              <w:rPr>
                <w:rFonts w:hint="eastAsia" w:ascii="宋体" w:hAnsi="宋体" w:eastAsia="宋体" w:cs="宋体"/>
                <w:color w:val="auto"/>
                <w:kern w:val="0"/>
                <w:sz w:val="18"/>
                <w:szCs w:val="18"/>
                <w:lang w:bidi="ar"/>
              </w:rPr>
              <w:t>实际支出数与预算安排数的比率，用以反映和评价部门（单位）对“三公”经费的实际控制程度。</w:t>
            </w:r>
          </w:p>
        </w:tc>
        <w:tc>
          <w:tcPr>
            <w:tcW w:w="2728" w:type="dxa"/>
            <w:shd w:val="clear" w:color="auto" w:fill="auto"/>
            <w:vAlign w:val="center"/>
          </w:tcPr>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①</w:t>
            </w:r>
            <w:r>
              <w:rPr>
                <w:rFonts w:hint="eastAsia" w:ascii="宋体" w:hAnsi="宋体" w:eastAsia="宋体" w:cs="宋体"/>
                <w:color w:val="auto"/>
                <w:kern w:val="0"/>
                <w:sz w:val="18"/>
                <w:szCs w:val="18"/>
                <w:lang w:eastAsia="zh-CN" w:bidi="ar"/>
              </w:rPr>
              <w:t>“三公”经费</w:t>
            </w:r>
            <w:r>
              <w:rPr>
                <w:rFonts w:hint="eastAsia" w:ascii="宋体" w:hAnsi="宋体" w:eastAsia="宋体" w:cs="宋体"/>
                <w:color w:val="auto"/>
                <w:kern w:val="0"/>
                <w:sz w:val="18"/>
                <w:szCs w:val="18"/>
                <w:lang w:bidi="ar"/>
              </w:rPr>
              <w:t>控制率小于100%的，得满分；</w:t>
            </w:r>
          </w:p>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auto"/>
                <w:kern w:val="0"/>
                <w:sz w:val="18"/>
                <w:szCs w:val="18"/>
                <w:lang w:bidi="ar"/>
              </w:rPr>
              <w:t>②</w:t>
            </w:r>
            <w:r>
              <w:rPr>
                <w:rFonts w:hint="eastAsia" w:ascii="宋体" w:hAnsi="宋体" w:eastAsia="宋体" w:cs="宋体"/>
                <w:color w:val="auto"/>
                <w:kern w:val="0"/>
                <w:sz w:val="18"/>
                <w:szCs w:val="18"/>
                <w:lang w:eastAsia="zh-CN" w:bidi="ar"/>
              </w:rPr>
              <w:t>“三公”经费</w:t>
            </w:r>
            <w:r>
              <w:rPr>
                <w:rFonts w:hint="eastAsia" w:ascii="宋体" w:hAnsi="宋体" w:eastAsia="宋体" w:cs="宋体"/>
                <w:color w:val="auto"/>
                <w:kern w:val="0"/>
                <w:sz w:val="18"/>
                <w:szCs w:val="18"/>
                <w:lang w:bidi="ar"/>
              </w:rPr>
              <w:t>大于等于100%的，得0分。</w:t>
            </w:r>
          </w:p>
        </w:tc>
        <w:tc>
          <w:tcPr>
            <w:tcW w:w="390" w:type="pct"/>
            <w:shd w:val="clear" w:color="auto" w:fill="auto"/>
            <w:vAlign w:val="center"/>
          </w:tcPr>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0" w:hRule="atLeast"/>
        </w:trPr>
        <w:tc>
          <w:tcPr>
            <w:tcW w:w="845" w:type="dxa"/>
            <w:vMerge w:val="continue"/>
            <w:shd w:val="clear" w:color="auto" w:fill="auto"/>
            <w:vAlign w:val="center"/>
          </w:tcPr>
          <w:p>
            <w:pPr>
              <w:jc w:val="center"/>
              <w:rPr>
                <w:rFonts w:hint="eastAsia" w:ascii="宋体" w:hAnsi="宋体" w:eastAsia="宋体" w:cs="宋体"/>
                <w:color w:val="000000"/>
                <w:sz w:val="18"/>
                <w:szCs w:val="18"/>
              </w:rPr>
            </w:pPr>
          </w:p>
        </w:tc>
        <w:tc>
          <w:tcPr>
            <w:tcW w:w="1027" w:type="dxa"/>
            <w:vMerge w:val="continue"/>
            <w:shd w:val="clear" w:color="auto" w:fill="auto"/>
            <w:vAlign w:val="center"/>
          </w:tcPr>
          <w:p>
            <w:pPr>
              <w:jc w:val="center"/>
              <w:rPr>
                <w:rFonts w:hint="eastAsia" w:ascii="宋体" w:hAnsi="宋体" w:eastAsia="宋体" w:cs="宋体"/>
                <w:color w:val="000000"/>
                <w:sz w:val="18"/>
                <w:szCs w:val="18"/>
              </w:rPr>
            </w:pPr>
          </w:p>
        </w:tc>
        <w:tc>
          <w:tcPr>
            <w:tcW w:w="1177" w:type="dxa"/>
            <w:shd w:val="clear" w:color="auto" w:fill="auto"/>
            <w:vAlign w:val="center"/>
          </w:tcPr>
          <w:p>
            <w:pPr>
              <w:widowControl/>
              <w:jc w:val="center"/>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政府采购</w:t>
            </w:r>
          </w:p>
          <w:p>
            <w:pPr>
              <w:widowControl/>
              <w:jc w:val="center"/>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 xml:space="preserve">执行率 </w:t>
            </w:r>
          </w:p>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auto"/>
                <w:kern w:val="0"/>
                <w:sz w:val="18"/>
                <w:szCs w:val="18"/>
                <w:lang w:bidi="ar"/>
              </w:rPr>
              <w:t>（2分）</w:t>
            </w:r>
          </w:p>
        </w:tc>
        <w:tc>
          <w:tcPr>
            <w:tcW w:w="2076" w:type="dxa"/>
            <w:shd w:val="clear" w:color="auto" w:fill="auto"/>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auto"/>
                <w:kern w:val="0"/>
                <w:sz w:val="18"/>
                <w:szCs w:val="18"/>
                <w:lang w:bidi="ar"/>
              </w:rPr>
              <w:t>评价部门（单位）本年度政府采购是否执行政府采购相关规定和要求。</w:t>
            </w:r>
          </w:p>
        </w:tc>
        <w:tc>
          <w:tcPr>
            <w:tcW w:w="2728" w:type="dxa"/>
            <w:shd w:val="clear" w:color="auto" w:fill="auto"/>
            <w:vAlign w:val="center"/>
          </w:tcPr>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政府采购执行率=（实际政府采购支出资金/政府采购预算资金）×100%。</w:t>
            </w:r>
          </w:p>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①政府采购执行率</w:t>
            </w:r>
            <w:r>
              <w:rPr>
                <w:rFonts w:hint="eastAsia" w:ascii="宋体" w:hAnsi="宋体" w:eastAsia="宋体" w:cs="宋体"/>
                <w:color w:val="000000"/>
                <w:kern w:val="0"/>
                <w:sz w:val="18"/>
                <w:szCs w:val="18"/>
                <w:lang w:val="en-US" w:eastAsia="zh-CN" w:bidi="ar"/>
              </w:rPr>
              <w:t>90</w:t>
            </w:r>
            <w:r>
              <w:rPr>
                <w:rFonts w:hint="eastAsia" w:ascii="宋体" w:hAnsi="宋体" w:eastAsia="宋体" w:cs="宋体"/>
                <w:color w:val="000000"/>
                <w:kern w:val="0"/>
                <w:sz w:val="18"/>
                <w:szCs w:val="18"/>
                <w:lang w:bidi="ar"/>
              </w:rPr>
              <w:t>%≤政府采购执行率＜</w:t>
            </w:r>
            <w:r>
              <w:rPr>
                <w:rFonts w:hint="eastAsia" w:ascii="宋体" w:hAnsi="宋体" w:eastAsia="宋体" w:cs="宋体"/>
                <w:color w:val="000000"/>
                <w:kern w:val="0"/>
                <w:sz w:val="18"/>
                <w:szCs w:val="18"/>
                <w:lang w:val="en-US" w:eastAsia="zh-CN" w:bidi="ar"/>
              </w:rPr>
              <w:t>100</w:t>
            </w:r>
            <w:r>
              <w:rPr>
                <w:rFonts w:hint="eastAsia" w:ascii="宋体" w:hAnsi="宋体" w:eastAsia="宋体" w:cs="宋体"/>
                <w:color w:val="000000"/>
                <w:kern w:val="0"/>
                <w:sz w:val="18"/>
                <w:szCs w:val="18"/>
                <w:lang w:bidi="ar"/>
              </w:rPr>
              <w:t>%，得2分</w:t>
            </w:r>
            <w:r>
              <w:rPr>
                <w:rFonts w:hint="eastAsia" w:ascii="宋体" w:hAnsi="宋体" w:eastAsia="宋体" w:cs="宋体"/>
                <w:color w:val="000000"/>
                <w:kern w:val="0"/>
                <w:sz w:val="18"/>
                <w:szCs w:val="18"/>
                <w:lang w:eastAsia="zh-CN" w:bidi="ar"/>
              </w:rPr>
              <w:t>；</w:t>
            </w:r>
          </w:p>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②85%≤政府采购执行率≤90%，得</w:t>
            </w:r>
            <w:r>
              <w:rPr>
                <w:rFonts w:hint="eastAsia" w:ascii="宋体" w:hAnsi="宋体" w:eastAsia="宋体" w:cs="宋体"/>
                <w:color w:val="000000"/>
                <w:kern w:val="0"/>
                <w:sz w:val="18"/>
                <w:szCs w:val="18"/>
                <w:lang w:val="en-US" w:eastAsia="zh-CN" w:bidi="ar"/>
              </w:rPr>
              <w:t>1.5</w:t>
            </w:r>
            <w:r>
              <w:rPr>
                <w:rFonts w:hint="eastAsia" w:ascii="宋体" w:hAnsi="宋体" w:eastAsia="宋体" w:cs="宋体"/>
                <w:color w:val="000000"/>
                <w:kern w:val="0"/>
                <w:sz w:val="18"/>
                <w:szCs w:val="18"/>
                <w:lang w:bidi="ar"/>
              </w:rPr>
              <w:t>分；</w:t>
            </w:r>
          </w:p>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③80%≤政府采购执行率＜85%,得1分；</w:t>
            </w:r>
          </w:p>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④政府采购执行率低于80%</w:t>
            </w:r>
            <w:r>
              <w:rPr>
                <w:rFonts w:hint="eastAsia" w:ascii="宋体" w:hAnsi="宋体" w:eastAsia="宋体" w:cs="宋体"/>
                <w:color w:val="000000"/>
                <w:kern w:val="0"/>
                <w:sz w:val="18"/>
                <w:szCs w:val="18"/>
                <w:lang w:val="en-US" w:eastAsia="zh-CN" w:bidi="ar"/>
              </w:rPr>
              <w:t>或大于100%，</w:t>
            </w:r>
            <w:r>
              <w:rPr>
                <w:rFonts w:hint="eastAsia" w:ascii="宋体" w:hAnsi="宋体" w:eastAsia="宋体" w:cs="宋体"/>
                <w:color w:val="000000"/>
                <w:kern w:val="0"/>
                <w:sz w:val="18"/>
                <w:szCs w:val="18"/>
                <w:lang w:bidi="ar"/>
              </w:rPr>
              <w:t>不得分。</w:t>
            </w:r>
          </w:p>
        </w:tc>
        <w:tc>
          <w:tcPr>
            <w:tcW w:w="390" w:type="pct"/>
            <w:shd w:val="clear" w:color="auto" w:fill="auto"/>
            <w:vAlign w:val="center"/>
          </w:tcPr>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0" w:hRule="atLeast"/>
        </w:trPr>
        <w:tc>
          <w:tcPr>
            <w:tcW w:w="845" w:type="dxa"/>
            <w:vMerge w:val="continue"/>
            <w:shd w:val="clear" w:color="auto" w:fill="auto"/>
            <w:vAlign w:val="center"/>
          </w:tcPr>
          <w:p>
            <w:pPr>
              <w:jc w:val="center"/>
              <w:rPr>
                <w:rFonts w:hint="eastAsia" w:ascii="宋体" w:hAnsi="宋体" w:eastAsia="宋体" w:cs="宋体"/>
                <w:color w:val="000000"/>
                <w:sz w:val="18"/>
                <w:szCs w:val="18"/>
              </w:rPr>
            </w:pPr>
          </w:p>
        </w:tc>
        <w:tc>
          <w:tcPr>
            <w:tcW w:w="1027" w:type="dxa"/>
            <w:vMerge w:val="restart"/>
            <w:shd w:val="clear" w:color="auto" w:fill="auto"/>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预算管理（8分）</w:t>
            </w:r>
          </w:p>
        </w:tc>
        <w:tc>
          <w:tcPr>
            <w:tcW w:w="1177" w:type="dxa"/>
            <w:shd w:val="clear" w:color="auto" w:fill="auto"/>
            <w:vAlign w:val="center"/>
          </w:tcPr>
          <w:p>
            <w:pPr>
              <w:widowControl/>
              <w:jc w:val="center"/>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管理制度</w:t>
            </w:r>
          </w:p>
          <w:p>
            <w:pPr>
              <w:widowControl/>
              <w:jc w:val="center"/>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健全性</w:t>
            </w:r>
          </w:p>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（2分）</w:t>
            </w:r>
          </w:p>
        </w:tc>
        <w:tc>
          <w:tcPr>
            <w:tcW w:w="2076" w:type="dxa"/>
            <w:shd w:val="clear" w:color="auto" w:fill="auto"/>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部门（单位）为加强预算管理、规范财务行为而制定的管理制度是否健全完整，用以反映和评价部门（单位）预算管理制度对完成主要职责或促进事业发展的保障情况。</w:t>
            </w:r>
          </w:p>
        </w:tc>
        <w:tc>
          <w:tcPr>
            <w:tcW w:w="2728" w:type="dxa"/>
            <w:shd w:val="clear" w:color="auto" w:fill="auto"/>
            <w:vAlign w:val="center"/>
          </w:tcPr>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①已制定预算资金管理办法、内部财务管理制度、会计核算制度等管理制度（1分）；</w:t>
            </w:r>
          </w:p>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②相关管理制度健全（1分）。</w:t>
            </w:r>
          </w:p>
        </w:tc>
        <w:tc>
          <w:tcPr>
            <w:tcW w:w="390" w:type="pct"/>
            <w:shd w:val="clear" w:color="auto" w:fill="auto"/>
            <w:vAlign w:val="center"/>
          </w:tcPr>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0" w:hRule="atLeast"/>
        </w:trPr>
        <w:tc>
          <w:tcPr>
            <w:tcW w:w="845" w:type="dxa"/>
            <w:vMerge w:val="continue"/>
            <w:shd w:val="clear" w:color="auto" w:fill="auto"/>
            <w:vAlign w:val="center"/>
          </w:tcPr>
          <w:p>
            <w:pPr>
              <w:jc w:val="center"/>
              <w:rPr>
                <w:rFonts w:hint="eastAsia" w:ascii="宋体" w:hAnsi="宋体" w:eastAsia="宋体" w:cs="宋体"/>
                <w:color w:val="000000"/>
                <w:sz w:val="18"/>
                <w:szCs w:val="18"/>
              </w:rPr>
            </w:pPr>
          </w:p>
        </w:tc>
        <w:tc>
          <w:tcPr>
            <w:tcW w:w="1027" w:type="dxa"/>
            <w:vMerge w:val="continue"/>
            <w:shd w:val="clear" w:color="auto" w:fill="auto"/>
            <w:vAlign w:val="center"/>
          </w:tcPr>
          <w:p>
            <w:pPr>
              <w:jc w:val="center"/>
              <w:rPr>
                <w:rFonts w:hint="eastAsia" w:ascii="宋体" w:hAnsi="宋体" w:eastAsia="宋体" w:cs="宋体"/>
                <w:color w:val="000000"/>
                <w:sz w:val="18"/>
                <w:szCs w:val="18"/>
              </w:rPr>
            </w:pPr>
          </w:p>
        </w:tc>
        <w:tc>
          <w:tcPr>
            <w:tcW w:w="1177" w:type="dxa"/>
            <w:shd w:val="clear" w:color="auto" w:fill="auto"/>
            <w:vAlign w:val="center"/>
          </w:tcPr>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资金使用</w:t>
            </w:r>
          </w:p>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合规性</w:t>
            </w:r>
          </w:p>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（2分）</w:t>
            </w:r>
          </w:p>
        </w:tc>
        <w:tc>
          <w:tcPr>
            <w:tcW w:w="2076" w:type="dxa"/>
            <w:shd w:val="clear" w:color="auto" w:fill="auto"/>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部门（单位）使用预算资金是否符合相关的预算财务管理制度的规定，反映和评价部门（单位）预算资金的规范运行情况。</w:t>
            </w:r>
          </w:p>
        </w:tc>
        <w:tc>
          <w:tcPr>
            <w:tcW w:w="2728" w:type="dxa"/>
            <w:shd w:val="clear" w:color="auto" w:fill="auto"/>
            <w:vAlign w:val="center"/>
          </w:tcPr>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①是否符合国家财经法规及有关部门资金管理办法的规定；</w:t>
            </w:r>
          </w:p>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②资金的拨付是否有完整的审批过程和手续；</w:t>
            </w:r>
          </w:p>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③对下补助资金是否有专门的资金分配办法或方案（包含测算过程）；</w:t>
            </w:r>
          </w:p>
          <w:p>
            <w:pPr>
              <w:widowControl/>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④项目的重大开支是否经过评估论证，是否存在截留、挤占、挪用、虚列支出的情况。</w:t>
            </w:r>
          </w:p>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一项不符扣0.5分，扣完为止。</w:t>
            </w:r>
          </w:p>
        </w:tc>
        <w:tc>
          <w:tcPr>
            <w:tcW w:w="390" w:type="pct"/>
            <w:shd w:val="clear" w:color="auto" w:fill="auto"/>
            <w:vAlign w:val="center"/>
          </w:tcPr>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 w:hRule="atLeast"/>
        </w:trPr>
        <w:tc>
          <w:tcPr>
            <w:tcW w:w="845" w:type="dxa"/>
            <w:vMerge w:val="continue"/>
            <w:shd w:val="clear" w:color="auto" w:fill="auto"/>
            <w:vAlign w:val="center"/>
          </w:tcPr>
          <w:p>
            <w:pPr>
              <w:jc w:val="center"/>
              <w:rPr>
                <w:rFonts w:hint="eastAsia" w:ascii="宋体" w:hAnsi="宋体" w:eastAsia="宋体" w:cs="宋体"/>
                <w:color w:val="000000"/>
                <w:sz w:val="18"/>
                <w:szCs w:val="18"/>
              </w:rPr>
            </w:pPr>
          </w:p>
        </w:tc>
        <w:tc>
          <w:tcPr>
            <w:tcW w:w="1027" w:type="dxa"/>
            <w:vMerge w:val="continue"/>
            <w:shd w:val="clear" w:color="auto" w:fill="auto"/>
            <w:vAlign w:val="center"/>
          </w:tcPr>
          <w:p>
            <w:pPr>
              <w:jc w:val="center"/>
              <w:rPr>
                <w:rFonts w:hint="eastAsia" w:ascii="宋体" w:hAnsi="宋体" w:eastAsia="宋体" w:cs="宋体"/>
                <w:color w:val="000000"/>
                <w:sz w:val="18"/>
                <w:szCs w:val="18"/>
              </w:rPr>
            </w:pPr>
          </w:p>
        </w:tc>
        <w:tc>
          <w:tcPr>
            <w:tcW w:w="1177" w:type="dxa"/>
            <w:shd w:val="clear" w:color="auto" w:fill="auto"/>
            <w:vAlign w:val="center"/>
          </w:tcPr>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预决算信息公开性</w:t>
            </w:r>
          </w:p>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（2分）</w:t>
            </w:r>
          </w:p>
        </w:tc>
        <w:tc>
          <w:tcPr>
            <w:tcW w:w="2076" w:type="dxa"/>
            <w:shd w:val="clear" w:color="auto" w:fill="auto"/>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部门（单位）是否按照政府信息公开有关规定及预决算批复文件中要求的格式、时限公开相关预决算信息，用以反映和评价部门（单位）预决算管理的公开透明情况。</w:t>
            </w:r>
          </w:p>
        </w:tc>
        <w:tc>
          <w:tcPr>
            <w:tcW w:w="2728" w:type="dxa"/>
            <w:shd w:val="clear" w:color="auto" w:fill="auto"/>
            <w:vAlign w:val="center"/>
          </w:tcPr>
          <w:p>
            <w:pPr>
              <w:widowControl/>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①按规定格式公开预决算信息</w:t>
            </w:r>
          </w:p>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（1分）；</w:t>
            </w:r>
          </w:p>
          <w:p>
            <w:pPr>
              <w:widowControl/>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②按规定时限公开预决算信息</w:t>
            </w:r>
          </w:p>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（1分）</w:t>
            </w:r>
          </w:p>
        </w:tc>
        <w:tc>
          <w:tcPr>
            <w:tcW w:w="390" w:type="pct"/>
            <w:shd w:val="clear" w:color="auto" w:fill="auto"/>
            <w:vAlign w:val="center"/>
          </w:tcPr>
          <w:p>
            <w:pPr>
              <w:widowControl/>
              <w:jc w:val="center"/>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0" w:hRule="atLeast"/>
        </w:trPr>
        <w:tc>
          <w:tcPr>
            <w:tcW w:w="845" w:type="dxa"/>
            <w:vMerge w:val="continue"/>
            <w:shd w:val="clear" w:color="auto" w:fill="auto"/>
            <w:vAlign w:val="center"/>
          </w:tcPr>
          <w:p>
            <w:pPr>
              <w:jc w:val="center"/>
              <w:rPr>
                <w:rFonts w:hint="eastAsia" w:ascii="宋体" w:hAnsi="宋体" w:eastAsia="宋体" w:cs="宋体"/>
                <w:color w:val="000000"/>
                <w:sz w:val="18"/>
                <w:szCs w:val="18"/>
              </w:rPr>
            </w:pPr>
          </w:p>
        </w:tc>
        <w:tc>
          <w:tcPr>
            <w:tcW w:w="1027" w:type="dxa"/>
            <w:vMerge w:val="continue"/>
            <w:shd w:val="clear" w:color="auto" w:fill="auto"/>
            <w:vAlign w:val="center"/>
          </w:tcPr>
          <w:p>
            <w:pPr>
              <w:jc w:val="center"/>
              <w:rPr>
                <w:rFonts w:hint="eastAsia" w:ascii="宋体" w:hAnsi="宋体" w:eastAsia="宋体" w:cs="宋体"/>
                <w:color w:val="000000"/>
                <w:sz w:val="18"/>
                <w:szCs w:val="18"/>
              </w:rPr>
            </w:pPr>
          </w:p>
        </w:tc>
        <w:tc>
          <w:tcPr>
            <w:tcW w:w="1177" w:type="dxa"/>
            <w:shd w:val="clear" w:color="auto" w:fill="auto"/>
            <w:vAlign w:val="center"/>
          </w:tcPr>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资产管理</w:t>
            </w:r>
          </w:p>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完整性</w:t>
            </w:r>
          </w:p>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（2分）</w:t>
            </w:r>
          </w:p>
        </w:tc>
        <w:tc>
          <w:tcPr>
            <w:tcW w:w="2076" w:type="dxa"/>
            <w:shd w:val="clear" w:color="auto" w:fill="auto"/>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部门（单位）的资产是否保存完整、使用合规、收入及时足额上缴，用以反映和评价部门（单位）资产运行情况。</w:t>
            </w:r>
          </w:p>
        </w:tc>
        <w:tc>
          <w:tcPr>
            <w:tcW w:w="2728" w:type="dxa"/>
            <w:shd w:val="clear" w:color="auto" w:fill="auto"/>
            <w:vAlign w:val="center"/>
          </w:tcPr>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①资产保存是否完整，有专人保管；</w:t>
            </w:r>
          </w:p>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②单位资产管理制度是否健全、完整、合法；</w:t>
            </w:r>
          </w:p>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③资产有偿使用及处置收入是否及时足额上缴；</w:t>
            </w:r>
          </w:p>
          <w:p>
            <w:pPr>
              <w:widowControl/>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④重大资产处置收入是否按照要求收支两条线管理和使用；</w:t>
            </w:r>
          </w:p>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一项不符扣0.5分，扣完为止。</w:t>
            </w:r>
          </w:p>
        </w:tc>
        <w:tc>
          <w:tcPr>
            <w:tcW w:w="390" w:type="pct"/>
            <w:shd w:val="clear" w:color="auto" w:fill="auto"/>
            <w:vAlign w:val="center"/>
          </w:tcPr>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trPr>
        <w:tc>
          <w:tcPr>
            <w:tcW w:w="845" w:type="dxa"/>
            <w:vMerge w:val="restart"/>
            <w:shd w:val="clear" w:color="auto" w:fill="auto"/>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产出（40%）</w:t>
            </w:r>
          </w:p>
        </w:tc>
        <w:tc>
          <w:tcPr>
            <w:tcW w:w="1027" w:type="dxa"/>
            <w:vMerge w:val="restart"/>
            <w:shd w:val="clear" w:color="auto" w:fill="auto"/>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职责履行（8分）</w:t>
            </w:r>
          </w:p>
        </w:tc>
        <w:tc>
          <w:tcPr>
            <w:tcW w:w="1177" w:type="dxa"/>
            <w:shd w:val="clear" w:color="auto" w:fill="auto"/>
            <w:vAlign w:val="center"/>
          </w:tcPr>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项目实际</w:t>
            </w:r>
          </w:p>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完成率</w:t>
            </w:r>
          </w:p>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（2分）</w:t>
            </w:r>
          </w:p>
        </w:tc>
        <w:tc>
          <w:tcPr>
            <w:tcW w:w="2076" w:type="dxa"/>
            <w:shd w:val="clear" w:color="auto" w:fill="auto"/>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抽查评价部门(单位)履行职责而实际完成的 项目数与计划完成的项目数的比率，用以反映 和评价部门(单位)履职任务目标的实现程度 项目实际完成率=(实际完成项目数/计划完 成项目数)×100%。</w:t>
            </w:r>
          </w:p>
        </w:tc>
        <w:tc>
          <w:tcPr>
            <w:tcW w:w="2728" w:type="dxa"/>
            <w:shd w:val="clear" w:color="auto" w:fill="auto"/>
            <w:vAlign w:val="center"/>
          </w:tcPr>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①项目实际完成率大等于95%的，得满分；项目实际完成率小等于80%的，得0分；</w:t>
            </w:r>
          </w:p>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项目实际完成率在80%-95%之间的，得分=(某部门项目实际完成率-80%)/10%×该指标分值。</w:t>
            </w:r>
          </w:p>
        </w:tc>
        <w:tc>
          <w:tcPr>
            <w:tcW w:w="390" w:type="pct"/>
            <w:shd w:val="clear" w:color="auto" w:fill="auto"/>
            <w:vAlign w:val="center"/>
          </w:tcPr>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0" w:hRule="atLeast"/>
        </w:trPr>
        <w:tc>
          <w:tcPr>
            <w:tcW w:w="845" w:type="dxa"/>
            <w:vMerge w:val="continue"/>
            <w:shd w:val="clear" w:color="auto" w:fill="auto"/>
            <w:vAlign w:val="center"/>
          </w:tcPr>
          <w:p>
            <w:pPr>
              <w:jc w:val="center"/>
              <w:rPr>
                <w:rFonts w:hint="eastAsia" w:ascii="宋体" w:hAnsi="宋体" w:eastAsia="宋体" w:cs="宋体"/>
                <w:color w:val="000000"/>
                <w:sz w:val="18"/>
                <w:szCs w:val="18"/>
              </w:rPr>
            </w:pPr>
          </w:p>
        </w:tc>
        <w:tc>
          <w:tcPr>
            <w:tcW w:w="1027" w:type="dxa"/>
            <w:vMerge w:val="continue"/>
            <w:shd w:val="clear" w:color="auto" w:fill="auto"/>
            <w:vAlign w:val="center"/>
          </w:tcPr>
          <w:p>
            <w:pPr>
              <w:jc w:val="center"/>
              <w:rPr>
                <w:rFonts w:hint="eastAsia" w:ascii="宋体" w:hAnsi="宋体" w:eastAsia="宋体" w:cs="宋体"/>
                <w:color w:val="000000"/>
                <w:sz w:val="18"/>
                <w:szCs w:val="18"/>
              </w:rPr>
            </w:pPr>
          </w:p>
        </w:tc>
        <w:tc>
          <w:tcPr>
            <w:tcW w:w="1177" w:type="dxa"/>
            <w:shd w:val="clear" w:color="auto" w:fill="auto"/>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重大安全生产问题整改</w:t>
            </w:r>
            <w:r>
              <w:rPr>
                <w:rFonts w:hint="eastAsia" w:ascii="宋体" w:hAnsi="宋体" w:eastAsia="宋体" w:cs="宋体"/>
                <w:color w:val="000000"/>
                <w:kern w:val="0"/>
                <w:sz w:val="18"/>
                <w:szCs w:val="18"/>
                <w:lang w:bidi="ar"/>
              </w:rPr>
              <w:t>（2分）</w:t>
            </w:r>
          </w:p>
        </w:tc>
        <w:tc>
          <w:tcPr>
            <w:tcW w:w="2076" w:type="dxa"/>
            <w:shd w:val="clear" w:color="auto" w:fill="auto"/>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重大安全生产问题整改指标通过考核的是部门重大安全生产问题整改及重视程度。</w:t>
            </w:r>
          </w:p>
        </w:tc>
        <w:tc>
          <w:tcPr>
            <w:tcW w:w="2728" w:type="dxa"/>
            <w:shd w:val="clear" w:color="auto" w:fill="auto"/>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评价标准为：是否建立重大安全生产问题挂钩督办制度；是否明确责任单位及整治措施、整治期限；是否对重大安全生产问题每月汇总汇报整改情况，统筹协调推动隐患整改到位。一项不符合扣0.5分。</w:t>
            </w:r>
          </w:p>
        </w:tc>
        <w:tc>
          <w:tcPr>
            <w:tcW w:w="390" w:type="pct"/>
            <w:shd w:val="clear" w:color="auto" w:fill="auto"/>
            <w:vAlign w:val="center"/>
          </w:tcPr>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 w:hRule="atLeast"/>
        </w:trPr>
        <w:tc>
          <w:tcPr>
            <w:tcW w:w="845" w:type="dxa"/>
            <w:vMerge w:val="continue"/>
            <w:shd w:val="clear" w:color="auto" w:fill="auto"/>
            <w:vAlign w:val="center"/>
          </w:tcPr>
          <w:p>
            <w:pPr>
              <w:jc w:val="center"/>
              <w:rPr>
                <w:rFonts w:hint="eastAsia" w:ascii="宋体" w:hAnsi="宋体" w:eastAsia="宋体" w:cs="宋体"/>
                <w:color w:val="000000"/>
                <w:sz w:val="18"/>
                <w:szCs w:val="18"/>
              </w:rPr>
            </w:pPr>
          </w:p>
        </w:tc>
        <w:tc>
          <w:tcPr>
            <w:tcW w:w="1027" w:type="dxa"/>
            <w:vMerge w:val="continue"/>
            <w:shd w:val="clear" w:color="auto" w:fill="auto"/>
            <w:vAlign w:val="center"/>
          </w:tcPr>
          <w:p>
            <w:pPr>
              <w:jc w:val="center"/>
              <w:rPr>
                <w:rFonts w:hint="eastAsia" w:ascii="宋体" w:hAnsi="宋体" w:eastAsia="宋体" w:cs="宋体"/>
                <w:color w:val="000000"/>
                <w:sz w:val="18"/>
                <w:szCs w:val="18"/>
              </w:rPr>
            </w:pPr>
          </w:p>
        </w:tc>
        <w:tc>
          <w:tcPr>
            <w:tcW w:w="1177" w:type="dxa"/>
            <w:shd w:val="clear" w:color="auto" w:fill="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bidi="ar"/>
              </w:rPr>
              <w:t>部门</w:t>
            </w:r>
            <w:r>
              <w:rPr>
                <w:rFonts w:hint="eastAsia" w:ascii="宋体" w:hAnsi="宋体" w:eastAsia="宋体" w:cs="宋体"/>
                <w:color w:val="000000"/>
                <w:kern w:val="0"/>
                <w:sz w:val="18"/>
                <w:szCs w:val="18"/>
                <w:lang w:val="en-US" w:eastAsia="zh-CN" w:bidi="ar"/>
              </w:rPr>
              <w:t>绩效</w:t>
            </w:r>
          </w:p>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自评项目</w:t>
            </w:r>
          </w:p>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比率（2分）</w:t>
            </w:r>
          </w:p>
        </w:tc>
        <w:tc>
          <w:tcPr>
            <w:tcW w:w="2076" w:type="dxa"/>
            <w:shd w:val="clear" w:color="auto" w:fill="auto"/>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部门自评项目在所有项目中所占的份额，反映和评价部门对项目自评的重视程度。部门支出 项目绩效自评范围：本年度列入本级财政预算安排的项目。</w:t>
            </w:r>
          </w:p>
        </w:tc>
        <w:tc>
          <w:tcPr>
            <w:tcW w:w="2728" w:type="dxa"/>
            <w:shd w:val="clear" w:color="auto" w:fill="auto"/>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部门绩效自评项目占比率=(自评项目个数/所有项目个数)×100%。得分=占比率×该指标分值</w:t>
            </w:r>
          </w:p>
        </w:tc>
        <w:tc>
          <w:tcPr>
            <w:tcW w:w="390" w:type="pct"/>
            <w:shd w:val="clear" w:color="auto" w:fill="auto"/>
            <w:vAlign w:val="center"/>
          </w:tcPr>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trPr>
        <w:tc>
          <w:tcPr>
            <w:tcW w:w="845" w:type="dxa"/>
            <w:vMerge w:val="continue"/>
            <w:shd w:val="clear" w:color="auto" w:fill="auto"/>
            <w:vAlign w:val="center"/>
          </w:tcPr>
          <w:p>
            <w:pPr>
              <w:jc w:val="center"/>
              <w:rPr>
                <w:rFonts w:hint="eastAsia" w:ascii="宋体" w:hAnsi="宋体" w:eastAsia="宋体" w:cs="宋体"/>
                <w:color w:val="000000"/>
                <w:sz w:val="18"/>
                <w:szCs w:val="18"/>
              </w:rPr>
            </w:pPr>
          </w:p>
        </w:tc>
        <w:tc>
          <w:tcPr>
            <w:tcW w:w="1027" w:type="dxa"/>
            <w:vMerge w:val="continue"/>
            <w:shd w:val="clear" w:color="auto" w:fill="auto"/>
            <w:vAlign w:val="center"/>
          </w:tcPr>
          <w:p>
            <w:pPr>
              <w:jc w:val="center"/>
              <w:rPr>
                <w:rFonts w:hint="eastAsia" w:ascii="宋体" w:hAnsi="宋体" w:eastAsia="宋体" w:cs="宋体"/>
                <w:color w:val="000000"/>
                <w:sz w:val="18"/>
                <w:szCs w:val="18"/>
              </w:rPr>
            </w:pPr>
          </w:p>
        </w:tc>
        <w:tc>
          <w:tcPr>
            <w:tcW w:w="1177" w:type="dxa"/>
            <w:shd w:val="clear" w:color="auto" w:fill="auto"/>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部门预算绩效管理情况（2分）</w:t>
            </w:r>
          </w:p>
        </w:tc>
        <w:tc>
          <w:tcPr>
            <w:tcW w:w="2076" w:type="dxa"/>
            <w:shd w:val="clear" w:color="auto" w:fill="auto"/>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对部门开展预算绩效管理工作的年度评价结果，用以反映部门对预算绩效管理工作的重视程度和取得的成效。</w:t>
            </w:r>
          </w:p>
        </w:tc>
        <w:tc>
          <w:tcPr>
            <w:tcW w:w="2728" w:type="dxa"/>
            <w:shd w:val="clear" w:color="auto" w:fill="auto"/>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对部门绩效管理工作开展情况进行核查评价计算得分，包括绩效目标管理，绩效执行监控、绩效自评和评价结果应用等情况。以部门为单位进行综合计算，得出各部门绩效管理工作评价结果，资料数据来源不真实的不得分。未按规定报送绩效管理报表资料或未按时完成整改反馈的，每次扣1分。综合得分=(部门绩效管理工作评价结果/100) *5分</w:t>
            </w:r>
          </w:p>
        </w:tc>
        <w:tc>
          <w:tcPr>
            <w:tcW w:w="390" w:type="pct"/>
            <w:shd w:val="clear" w:color="auto" w:fill="auto"/>
            <w:vAlign w:val="center"/>
          </w:tcPr>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845" w:type="dxa"/>
            <w:vMerge w:val="continue"/>
            <w:shd w:val="clear" w:color="auto" w:fill="auto"/>
            <w:vAlign w:val="center"/>
          </w:tcPr>
          <w:p>
            <w:pPr>
              <w:jc w:val="center"/>
              <w:rPr>
                <w:rFonts w:hint="eastAsia" w:ascii="宋体" w:hAnsi="宋体" w:eastAsia="宋体" w:cs="宋体"/>
                <w:color w:val="000000"/>
                <w:sz w:val="18"/>
                <w:szCs w:val="18"/>
              </w:rPr>
            </w:pPr>
          </w:p>
        </w:tc>
        <w:tc>
          <w:tcPr>
            <w:tcW w:w="1027" w:type="dxa"/>
            <w:vMerge w:val="restart"/>
            <w:shd w:val="clear" w:color="auto" w:fill="auto"/>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产出数量（12）</w:t>
            </w:r>
          </w:p>
        </w:tc>
        <w:tc>
          <w:tcPr>
            <w:tcW w:w="1177" w:type="dxa"/>
            <w:shd w:val="clear" w:color="auto" w:fill="auto"/>
            <w:vAlign w:val="center"/>
          </w:tcPr>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安全生产监督员检查</w:t>
            </w:r>
          </w:p>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活动次数</w:t>
            </w:r>
          </w:p>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（2分）</w:t>
            </w:r>
          </w:p>
        </w:tc>
        <w:tc>
          <w:tcPr>
            <w:tcW w:w="2076" w:type="dxa"/>
            <w:shd w:val="clear" w:color="auto" w:fill="auto"/>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安全生产监督员检查活动次数</w:t>
            </w:r>
          </w:p>
        </w:tc>
        <w:tc>
          <w:tcPr>
            <w:tcW w:w="2728" w:type="dxa"/>
            <w:shd w:val="clear" w:color="auto" w:fill="auto"/>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eastAsia="zh-CN" w:bidi="ar"/>
              </w:rPr>
              <w:t>全年</w:t>
            </w:r>
            <w:r>
              <w:rPr>
                <w:rFonts w:hint="eastAsia" w:ascii="宋体" w:hAnsi="宋体" w:eastAsia="宋体" w:cs="宋体"/>
                <w:color w:val="000000"/>
                <w:kern w:val="0"/>
                <w:sz w:val="18"/>
                <w:szCs w:val="18"/>
                <w:lang w:bidi="ar"/>
              </w:rPr>
              <w:t>安全生产监督员检查活动次数≥12次得满分，每少1次扣0.5分，扣完为止。</w:t>
            </w:r>
          </w:p>
        </w:tc>
        <w:tc>
          <w:tcPr>
            <w:tcW w:w="390" w:type="pct"/>
            <w:shd w:val="clear" w:color="auto" w:fill="auto"/>
            <w:vAlign w:val="center"/>
          </w:tcPr>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845" w:type="dxa"/>
            <w:vMerge w:val="continue"/>
            <w:shd w:val="clear" w:color="auto" w:fill="auto"/>
            <w:vAlign w:val="center"/>
          </w:tcPr>
          <w:p>
            <w:pPr>
              <w:jc w:val="center"/>
              <w:rPr>
                <w:rFonts w:hint="eastAsia" w:ascii="宋体" w:hAnsi="宋体" w:eastAsia="宋体" w:cs="宋体"/>
                <w:color w:val="000000"/>
                <w:sz w:val="18"/>
                <w:szCs w:val="18"/>
              </w:rPr>
            </w:pPr>
          </w:p>
        </w:tc>
        <w:tc>
          <w:tcPr>
            <w:tcW w:w="1027" w:type="dxa"/>
            <w:vMerge w:val="continue"/>
            <w:shd w:val="clear" w:color="auto" w:fill="auto"/>
            <w:vAlign w:val="center"/>
          </w:tcPr>
          <w:p>
            <w:pPr>
              <w:jc w:val="center"/>
              <w:rPr>
                <w:rFonts w:hint="eastAsia" w:ascii="宋体" w:hAnsi="宋体" w:eastAsia="宋体" w:cs="宋体"/>
                <w:color w:val="000000"/>
                <w:sz w:val="18"/>
                <w:szCs w:val="18"/>
              </w:rPr>
            </w:pPr>
          </w:p>
        </w:tc>
        <w:tc>
          <w:tcPr>
            <w:tcW w:w="1177" w:type="dxa"/>
            <w:shd w:val="clear" w:color="auto" w:fill="auto"/>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地震应急救援演练次数（2分）</w:t>
            </w:r>
          </w:p>
        </w:tc>
        <w:tc>
          <w:tcPr>
            <w:tcW w:w="2076" w:type="dxa"/>
            <w:shd w:val="clear" w:color="auto" w:fill="auto"/>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地震应急救援演练次数</w:t>
            </w:r>
          </w:p>
        </w:tc>
        <w:tc>
          <w:tcPr>
            <w:tcW w:w="2728" w:type="dxa"/>
            <w:shd w:val="clear" w:color="auto" w:fill="auto"/>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地震应急救援演练次数</w:t>
            </w:r>
            <w:r>
              <w:rPr>
                <w:rFonts w:hint="eastAsia" w:ascii="宋体" w:hAnsi="宋体" w:eastAsia="宋体" w:cs="宋体"/>
                <w:color w:val="000000"/>
                <w:kern w:val="0"/>
                <w:sz w:val="18"/>
                <w:szCs w:val="18"/>
                <w:lang w:eastAsia="zh-CN" w:bidi="ar"/>
              </w:rPr>
              <w:t>达到</w:t>
            </w:r>
            <w:r>
              <w:rPr>
                <w:rFonts w:hint="eastAsia" w:ascii="宋体" w:hAnsi="宋体" w:eastAsia="宋体" w:cs="宋体"/>
                <w:color w:val="000000"/>
                <w:kern w:val="0"/>
                <w:sz w:val="18"/>
                <w:szCs w:val="18"/>
                <w:lang w:bidi="ar"/>
              </w:rPr>
              <w:t>2次及以上次得满分，每少1次扣0.5分，扣完为止。</w:t>
            </w:r>
          </w:p>
        </w:tc>
        <w:tc>
          <w:tcPr>
            <w:tcW w:w="390" w:type="pct"/>
            <w:shd w:val="clear" w:color="auto" w:fill="auto"/>
            <w:vAlign w:val="center"/>
          </w:tcPr>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845" w:type="dxa"/>
            <w:vMerge w:val="continue"/>
            <w:shd w:val="clear" w:color="auto" w:fill="auto"/>
            <w:vAlign w:val="center"/>
          </w:tcPr>
          <w:p>
            <w:pPr>
              <w:jc w:val="center"/>
              <w:rPr>
                <w:rFonts w:hint="eastAsia" w:ascii="宋体" w:hAnsi="宋体" w:eastAsia="宋体" w:cs="宋体"/>
                <w:color w:val="000000"/>
                <w:sz w:val="18"/>
                <w:szCs w:val="18"/>
              </w:rPr>
            </w:pPr>
          </w:p>
        </w:tc>
        <w:tc>
          <w:tcPr>
            <w:tcW w:w="1027" w:type="dxa"/>
            <w:vMerge w:val="continue"/>
            <w:shd w:val="clear" w:color="auto" w:fill="auto"/>
            <w:vAlign w:val="center"/>
          </w:tcPr>
          <w:p>
            <w:pPr>
              <w:jc w:val="center"/>
              <w:rPr>
                <w:rFonts w:hint="eastAsia" w:ascii="宋体" w:hAnsi="宋体" w:eastAsia="宋体" w:cs="宋体"/>
                <w:color w:val="000000"/>
                <w:sz w:val="18"/>
                <w:szCs w:val="18"/>
              </w:rPr>
            </w:pPr>
          </w:p>
        </w:tc>
        <w:tc>
          <w:tcPr>
            <w:tcW w:w="1177" w:type="dxa"/>
            <w:shd w:val="clear" w:color="auto" w:fill="auto"/>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防汛应急演练与培训次数（2分）</w:t>
            </w:r>
          </w:p>
        </w:tc>
        <w:tc>
          <w:tcPr>
            <w:tcW w:w="2076" w:type="dxa"/>
            <w:shd w:val="clear" w:color="auto" w:fill="auto"/>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防汛应急演练与培训次数</w:t>
            </w:r>
          </w:p>
        </w:tc>
        <w:tc>
          <w:tcPr>
            <w:tcW w:w="2728" w:type="dxa"/>
            <w:shd w:val="clear" w:color="auto" w:fill="auto"/>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防汛应急演练与培训次数2次及以上次得满分，每少1次扣0.5分，扣完为止。</w:t>
            </w:r>
          </w:p>
        </w:tc>
        <w:tc>
          <w:tcPr>
            <w:tcW w:w="390" w:type="pct"/>
            <w:shd w:val="clear" w:color="auto" w:fill="auto"/>
            <w:vAlign w:val="center"/>
          </w:tcPr>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845" w:type="dxa"/>
            <w:vMerge w:val="continue"/>
            <w:shd w:val="clear" w:color="auto" w:fill="auto"/>
            <w:vAlign w:val="center"/>
          </w:tcPr>
          <w:p>
            <w:pPr>
              <w:jc w:val="center"/>
              <w:rPr>
                <w:rFonts w:hint="eastAsia" w:ascii="宋体" w:hAnsi="宋体" w:eastAsia="宋体" w:cs="宋体"/>
                <w:color w:val="000000"/>
                <w:sz w:val="18"/>
                <w:szCs w:val="18"/>
              </w:rPr>
            </w:pPr>
          </w:p>
        </w:tc>
        <w:tc>
          <w:tcPr>
            <w:tcW w:w="1027" w:type="dxa"/>
            <w:vMerge w:val="continue"/>
            <w:shd w:val="clear" w:color="auto" w:fill="auto"/>
            <w:vAlign w:val="center"/>
          </w:tcPr>
          <w:p>
            <w:pPr>
              <w:jc w:val="center"/>
              <w:rPr>
                <w:rFonts w:hint="eastAsia" w:ascii="宋体" w:hAnsi="宋体" w:eastAsia="宋体" w:cs="宋体"/>
                <w:color w:val="000000"/>
                <w:sz w:val="18"/>
                <w:szCs w:val="18"/>
              </w:rPr>
            </w:pPr>
          </w:p>
        </w:tc>
        <w:tc>
          <w:tcPr>
            <w:tcW w:w="1177" w:type="dxa"/>
            <w:shd w:val="clear" w:color="auto" w:fill="auto"/>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应急救援避难场所管理（2分）</w:t>
            </w:r>
          </w:p>
        </w:tc>
        <w:tc>
          <w:tcPr>
            <w:tcW w:w="2076" w:type="dxa"/>
            <w:shd w:val="clear" w:color="auto" w:fill="auto"/>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地震应急救援避难场所管理是否运行维护良好，达到巡查次数</w:t>
            </w:r>
          </w:p>
        </w:tc>
        <w:tc>
          <w:tcPr>
            <w:tcW w:w="2728" w:type="dxa"/>
            <w:shd w:val="clear" w:color="auto" w:fill="auto"/>
            <w:vAlign w:val="center"/>
          </w:tcPr>
          <w:p>
            <w:pPr>
              <w:widowControl/>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kern w:val="0"/>
                <w:sz w:val="18"/>
                <w:szCs w:val="18"/>
                <w:lang w:bidi="ar"/>
              </w:rPr>
              <w:t>避难场所管理运行维护良好，巡查4次以上得满分</w:t>
            </w:r>
            <w:r>
              <w:rPr>
                <w:rFonts w:hint="eastAsia" w:ascii="宋体" w:hAnsi="宋体" w:eastAsia="宋体" w:cs="宋体"/>
                <w:color w:val="000000"/>
                <w:kern w:val="0"/>
                <w:sz w:val="18"/>
                <w:szCs w:val="18"/>
                <w:lang w:eastAsia="zh-CN" w:bidi="ar"/>
              </w:rPr>
              <w:t>，否则每少</w:t>
            </w:r>
            <w:r>
              <w:rPr>
                <w:rFonts w:hint="eastAsia" w:ascii="宋体" w:hAnsi="宋体" w:eastAsia="宋体" w:cs="宋体"/>
                <w:color w:val="000000"/>
                <w:kern w:val="0"/>
                <w:sz w:val="18"/>
                <w:szCs w:val="18"/>
                <w:lang w:val="en-US" w:eastAsia="zh-CN" w:bidi="ar"/>
              </w:rPr>
              <w:t>1次扣0.5分。</w:t>
            </w:r>
          </w:p>
        </w:tc>
        <w:tc>
          <w:tcPr>
            <w:tcW w:w="390" w:type="pct"/>
            <w:shd w:val="clear" w:color="auto" w:fill="auto"/>
            <w:vAlign w:val="center"/>
          </w:tcPr>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845" w:type="dxa"/>
            <w:vMerge w:val="continue"/>
            <w:shd w:val="clear" w:color="auto" w:fill="auto"/>
            <w:vAlign w:val="center"/>
          </w:tcPr>
          <w:p>
            <w:pPr>
              <w:jc w:val="center"/>
              <w:rPr>
                <w:rFonts w:hint="eastAsia" w:ascii="宋体" w:hAnsi="宋体" w:eastAsia="宋体" w:cs="宋体"/>
                <w:color w:val="000000"/>
                <w:sz w:val="18"/>
                <w:szCs w:val="18"/>
              </w:rPr>
            </w:pPr>
          </w:p>
        </w:tc>
        <w:tc>
          <w:tcPr>
            <w:tcW w:w="1027" w:type="dxa"/>
            <w:vMerge w:val="continue"/>
            <w:shd w:val="clear" w:color="auto" w:fill="auto"/>
            <w:vAlign w:val="center"/>
          </w:tcPr>
          <w:p>
            <w:pPr>
              <w:jc w:val="center"/>
              <w:rPr>
                <w:rFonts w:hint="eastAsia" w:ascii="宋体" w:hAnsi="宋体" w:eastAsia="宋体" w:cs="宋体"/>
                <w:color w:val="000000"/>
                <w:sz w:val="18"/>
                <w:szCs w:val="18"/>
              </w:rPr>
            </w:pPr>
          </w:p>
        </w:tc>
        <w:tc>
          <w:tcPr>
            <w:tcW w:w="1177" w:type="dxa"/>
            <w:shd w:val="clear" w:color="auto" w:fill="auto"/>
            <w:vAlign w:val="center"/>
          </w:tcPr>
          <w:p>
            <w:pPr>
              <w:widowControl/>
              <w:jc w:val="center"/>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聘请临时工人数</w:t>
            </w:r>
          </w:p>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（2分）</w:t>
            </w:r>
          </w:p>
        </w:tc>
        <w:tc>
          <w:tcPr>
            <w:tcW w:w="2076" w:type="dxa"/>
            <w:shd w:val="clear" w:color="auto" w:fill="auto"/>
            <w:vAlign w:val="center"/>
          </w:tcPr>
          <w:p>
            <w:pPr>
              <w:widowControl/>
              <w:jc w:val="left"/>
              <w:textAlignment w:val="center"/>
              <w:rPr>
                <w:rFonts w:hint="eastAsia" w:ascii="宋体" w:hAnsi="宋体" w:eastAsia="宋体" w:cs="宋体"/>
                <w:color w:val="000000"/>
                <w:sz w:val="18"/>
                <w:szCs w:val="18"/>
                <w:lang w:eastAsia="zh-CN"/>
              </w:rPr>
            </w:pPr>
            <w:r>
              <w:rPr>
                <w:rFonts w:hint="eastAsia" w:ascii="宋体" w:hAnsi="宋体" w:eastAsia="宋体" w:cs="宋体"/>
                <w:color w:val="000000"/>
                <w:kern w:val="0"/>
                <w:sz w:val="18"/>
                <w:szCs w:val="18"/>
                <w:lang w:eastAsia="zh-CN" w:bidi="ar"/>
              </w:rPr>
              <w:t>考核</w:t>
            </w:r>
            <w:r>
              <w:rPr>
                <w:rFonts w:hint="eastAsia" w:ascii="宋体" w:hAnsi="宋体" w:eastAsia="宋体" w:cs="宋体"/>
                <w:color w:val="000000"/>
                <w:kern w:val="0"/>
                <w:sz w:val="18"/>
                <w:szCs w:val="18"/>
                <w:lang w:bidi="ar"/>
              </w:rPr>
              <w:t>聘请临时工人数</w:t>
            </w:r>
            <w:r>
              <w:rPr>
                <w:rFonts w:hint="eastAsia" w:ascii="宋体" w:hAnsi="宋体" w:eastAsia="宋体" w:cs="宋体"/>
                <w:color w:val="000000"/>
                <w:kern w:val="0"/>
                <w:sz w:val="18"/>
                <w:szCs w:val="18"/>
                <w:lang w:eastAsia="zh-CN" w:bidi="ar"/>
              </w:rPr>
              <w:t>是否符合要求</w:t>
            </w:r>
          </w:p>
        </w:tc>
        <w:tc>
          <w:tcPr>
            <w:tcW w:w="2728" w:type="dxa"/>
            <w:shd w:val="clear" w:color="auto" w:fill="auto"/>
            <w:noWrap/>
            <w:vAlign w:val="center"/>
          </w:tcPr>
          <w:p>
            <w:pPr>
              <w:widowControl/>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kern w:val="0"/>
                <w:sz w:val="18"/>
                <w:szCs w:val="18"/>
                <w:lang w:eastAsia="zh-CN" w:bidi="ar"/>
              </w:rPr>
              <w:t>大于等于</w:t>
            </w:r>
            <w:r>
              <w:rPr>
                <w:rFonts w:hint="eastAsia" w:ascii="宋体" w:hAnsi="宋体" w:eastAsia="宋体" w:cs="宋体"/>
                <w:color w:val="000000"/>
                <w:kern w:val="0"/>
                <w:sz w:val="18"/>
                <w:szCs w:val="18"/>
                <w:lang w:bidi="ar"/>
              </w:rPr>
              <w:t>15人以上得满分，</w:t>
            </w:r>
            <w:r>
              <w:rPr>
                <w:rFonts w:hint="eastAsia" w:ascii="宋体" w:hAnsi="宋体" w:eastAsia="宋体" w:cs="宋体"/>
                <w:color w:val="000000"/>
                <w:kern w:val="0"/>
                <w:sz w:val="18"/>
                <w:szCs w:val="18"/>
                <w:lang w:eastAsia="zh-CN" w:bidi="ar"/>
              </w:rPr>
              <w:t>否则每少</w:t>
            </w:r>
            <w:r>
              <w:rPr>
                <w:rFonts w:hint="eastAsia" w:ascii="宋体" w:hAnsi="宋体" w:eastAsia="宋体" w:cs="宋体"/>
                <w:color w:val="000000"/>
                <w:kern w:val="0"/>
                <w:sz w:val="18"/>
                <w:szCs w:val="18"/>
                <w:lang w:val="en-US" w:eastAsia="zh-CN" w:bidi="ar"/>
              </w:rPr>
              <w:t>1人扣1分。</w:t>
            </w:r>
          </w:p>
        </w:tc>
        <w:tc>
          <w:tcPr>
            <w:tcW w:w="390" w:type="pct"/>
            <w:shd w:val="clear" w:color="auto" w:fill="auto"/>
            <w:noWrap/>
            <w:vAlign w:val="center"/>
          </w:tcPr>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845" w:type="dxa"/>
            <w:vMerge w:val="continue"/>
            <w:shd w:val="clear" w:color="auto" w:fill="auto"/>
            <w:vAlign w:val="center"/>
          </w:tcPr>
          <w:p>
            <w:pPr>
              <w:jc w:val="center"/>
              <w:rPr>
                <w:rFonts w:hint="eastAsia" w:ascii="宋体" w:hAnsi="宋体" w:eastAsia="宋体" w:cs="宋体"/>
                <w:color w:val="000000"/>
                <w:sz w:val="18"/>
                <w:szCs w:val="18"/>
              </w:rPr>
            </w:pPr>
          </w:p>
        </w:tc>
        <w:tc>
          <w:tcPr>
            <w:tcW w:w="1027" w:type="dxa"/>
            <w:vMerge w:val="continue"/>
            <w:shd w:val="clear" w:color="auto" w:fill="auto"/>
            <w:vAlign w:val="center"/>
          </w:tcPr>
          <w:p>
            <w:pPr>
              <w:jc w:val="center"/>
              <w:rPr>
                <w:rFonts w:hint="eastAsia" w:ascii="宋体" w:hAnsi="宋体" w:eastAsia="宋体" w:cs="宋体"/>
                <w:color w:val="000000"/>
                <w:sz w:val="18"/>
                <w:szCs w:val="18"/>
              </w:rPr>
            </w:pPr>
          </w:p>
        </w:tc>
        <w:tc>
          <w:tcPr>
            <w:tcW w:w="1177" w:type="dxa"/>
            <w:shd w:val="clear" w:color="auto" w:fill="auto"/>
            <w:vAlign w:val="center"/>
          </w:tcPr>
          <w:p>
            <w:pPr>
              <w:widowControl/>
              <w:jc w:val="center"/>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宣传覆盖面</w:t>
            </w:r>
            <w:r>
              <w:rPr>
                <w:rFonts w:hint="eastAsia" w:ascii="宋体" w:hAnsi="宋体" w:eastAsia="宋体" w:cs="宋体"/>
                <w:color w:val="auto"/>
                <w:kern w:val="0"/>
                <w:sz w:val="18"/>
                <w:szCs w:val="18"/>
                <w:lang w:eastAsia="zh-CN" w:bidi="ar"/>
              </w:rPr>
              <w:t>人数</w:t>
            </w:r>
          </w:p>
          <w:p>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（2分）</w:t>
            </w:r>
          </w:p>
        </w:tc>
        <w:tc>
          <w:tcPr>
            <w:tcW w:w="2076" w:type="dxa"/>
            <w:shd w:val="clear" w:color="auto" w:fill="auto"/>
            <w:vAlign w:val="center"/>
          </w:tcPr>
          <w:p>
            <w:pPr>
              <w:widowControl/>
              <w:jc w:val="left"/>
              <w:textAlignment w:val="center"/>
              <w:rPr>
                <w:rFonts w:hint="eastAsia" w:ascii="宋体" w:hAnsi="宋体" w:eastAsia="宋体" w:cs="宋体"/>
                <w:color w:val="auto"/>
                <w:sz w:val="18"/>
                <w:szCs w:val="18"/>
                <w:lang w:eastAsia="zh-CN"/>
              </w:rPr>
            </w:pPr>
            <w:r>
              <w:rPr>
                <w:rFonts w:hint="eastAsia" w:ascii="宋体" w:hAnsi="宋体" w:eastAsia="宋体" w:cs="宋体"/>
                <w:color w:val="auto"/>
                <w:kern w:val="0"/>
                <w:sz w:val="18"/>
                <w:szCs w:val="18"/>
                <w:lang w:eastAsia="zh-CN" w:bidi="ar"/>
              </w:rPr>
              <w:t>考核</w:t>
            </w:r>
            <w:r>
              <w:rPr>
                <w:rFonts w:hint="eastAsia" w:ascii="宋体" w:hAnsi="宋体" w:eastAsia="宋体" w:cs="宋体"/>
                <w:color w:val="auto"/>
                <w:kern w:val="0"/>
                <w:sz w:val="18"/>
                <w:szCs w:val="18"/>
                <w:lang w:bidi="ar"/>
              </w:rPr>
              <w:t>宣传覆盖面</w:t>
            </w:r>
            <w:r>
              <w:rPr>
                <w:rFonts w:hint="eastAsia" w:ascii="宋体" w:hAnsi="宋体" w:eastAsia="宋体" w:cs="宋体"/>
                <w:color w:val="auto"/>
                <w:kern w:val="0"/>
                <w:sz w:val="18"/>
                <w:szCs w:val="18"/>
                <w:lang w:eastAsia="zh-CN" w:bidi="ar"/>
              </w:rPr>
              <w:t>人数</w:t>
            </w:r>
          </w:p>
        </w:tc>
        <w:tc>
          <w:tcPr>
            <w:tcW w:w="2728" w:type="dxa"/>
            <w:shd w:val="clear" w:color="auto" w:fill="auto"/>
            <w:vAlign w:val="center"/>
          </w:tcPr>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①宣传覆盖面人数≥</w:t>
            </w:r>
            <w:r>
              <w:rPr>
                <w:rFonts w:hint="eastAsia" w:ascii="宋体" w:hAnsi="宋体" w:eastAsia="宋体" w:cs="宋体"/>
                <w:color w:val="auto"/>
                <w:kern w:val="0"/>
                <w:sz w:val="18"/>
                <w:szCs w:val="18"/>
                <w:lang w:val="en-US" w:eastAsia="zh-CN" w:bidi="ar"/>
              </w:rPr>
              <w:t>7000</w:t>
            </w:r>
            <w:r>
              <w:rPr>
                <w:rFonts w:hint="eastAsia" w:ascii="宋体" w:hAnsi="宋体" w:eastAsia="宋体" w:cs="宋体"/>
                <w:color w:val="auto"/>
                <w:kern w:val="0"/>
                <w:sz w:val="18"/>
                <w:szCs w:val="18"/>
                <w:lang w:bidi="ar"/>
              </w:rPr>
              <w:t>人，得</w:t>
            </w:r>
            <w:r>
              <w:rPr>
                <w:rFonts w:hint="eastAsia" w:ascii="宋体" w:hAnsi="宋体" w:eastAsia="宋体" w:cs="宋体"/>
                <w:color w:val="auto"/>
                <w:kern w:val="0"/>
                <w:sz w:val="18"/>
                <w:szCs w:val="18"/>
                <w:lang w:val="en-US" w:eastAsia="zh-CN" w:bidi="ar"/>
              </w:rPr>
              <w:t>2</w:t>
            </w:r>
            <w:r>
              <w:rPr>
                <w:rFonts w:hint="eastAsia" w:ascii="宋体" w:hAnsi="宋体" w:eastAsia="宋体" w:cs="宋体"/>
                <w:color w:val="auto"/>
                <w:kern w:val="0"/>
                <w:sz w:val="18"/>
                <w:szCs w:val="18"/>
                <w:lang w:bidi="ar"/>
              </w:rPr>
              <w:t>分；</w:t>
            </w:r>
          </w:p>
          <w:p>
            <w:pPr>
              <w:widowControl/>
              <w:jc w:val="left"/>
              <w:textAlignment w:val="center"/>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②</w:t>
            </w:r>
            <w:r>
              <w:rPr>
                <w:rFonts w:hint="eastAsia" w:ascii="宋体" w:hAnsi="宋体" w:eastAsia="宋体" w:cs="宋体"/>
                <w:color w:val="auto"/>
                <w:kern w:val="0"/>
                <w:sz w:val="18"/>
                <w:szCs w:val="18"/>
                <w:lang w:val="en-US" w:eastAsia="zh-CN" w:bidi="ar"/>
              </w:rPr>
              <w:t>7000</w:t>
            </w:r>
            <w:r>
              <w:rPr>
                <w:rFonts w:hint="eastAsia" w:ascii="宋体" w:hAnsi="宋体" w:eastAsia="宋体" w:cs="宋体"/>
                <w:color w:val="auto"/>
                <w:kern w:val="0"/>
                <w:sz w:val="18"/>
                <w:szCs w:val="18"/>
                <w:lang w:bidi="ar"/>
              </w:rPr>
              <w:t>人≤宣传覆盖面人数＜</w:t>
            </w:r>
            <w:r>
              <w:rPr>
                <w:rFonts w:hint="eastAsia" w:ascii="宋体" w:hAnsi="宋体" w:eastAsia="宋体" w:cs="宋体"/>
                <w:color w:val="auto"/>
                <w:kern w:val="0"/>
                <w:sz w:val="18"/>
                <w:szCs w:val="18"/>
                <w:lang w:val="en-US" w:eastAsia="zh-CN" w:bidi="ar"/>
              </w:rPr>
              <w:t>6000</w:t>
            </w:r>
            <w:r>
              <w:rPr>
                <w:rFonts w:hint="eastAsia" w:ascii="宋体" w:hAnsi="宋体" w:eastAsia="宋体" w:cs="宋体"/>
                <w:color w:val="auto"/>
                <w:kern w:val="0"/>
                <w:sz w:val="18"/>
                <w:szCs w:val="18"/>
                <w:lang w:bidi="ar"/>
              </w:rPr>
              <w:t>人，得</w:t>
            </w:r>
            <w:r>
              <w:rPr>
                <w:rFonts w:hint="eastAsia" w:ascii="宋体" w:hAnsi="宋体" w:eastAsia="宋体" w:cs="宋体"/>
                <w:color w:val="auto"/>
                <w:kern w:val="0"/>
                <w:sz w:val="18"/>
                <w:szCs w:val="18"/>
                <w:lang w:val="en-US" w:eastAsia="zh-CN" w:bidi="ar"/>
              </w:rPr>
              <w:t>1</w:t>
            </w:r>
            <w:r>
              <w:rPr>
                <w:rFonts w:hint="eastAsia" w:ascii="宋体" w:hAnsi="宋体" w:eastAsia="宋体" w:cs="宋体"/>
                <w:color w:val="auto"/>
                <w:kern w:val="0"/>
                <w:sz w:val="18"/>
                <w:szCs w:val="18"/>
                <w:lang w:bidi="ar"/>
              </w:rPr>
              <w:t>分；</w:t>
            </w:r>
          </w:p>
          <w:p>
            <w:pPr>
              <w:widowControl/>
              <w:jc w:val="left"/>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③宣传覆盖面人数低于</w:t>
            </w:r>
            <w:r>
              <w:rPr>
                <w:rFonts w:hint="eastAsia" w:ascii="宋体" w:hAnsi="宋体" w:eastAsia="宋体" w:cs="宋体"/>
                <w:color w:val="auto"/>
                <w:kern w:val="0"/>
                <w:sz w:val="18"/>
                <w:szCs w:val="18"/>
                <w:lang w:val="en-US" w:eastAsia="zh-CN" w:bidi="ar"/>
              </w:rPr>
              <w:t>6000</w:t>
            </w:r>
            <w:r>
              <w:rPr>
                <w:rFonts w:hint="eastAsia" w:ascii="宋体" w:hAnsi="宋体" w:eastAsia="宋体" w:cs="宋体"/>
                <w:color w:val="auto"/>
                <w:kern w:val="0"/>
                <w:sz w:val="18"/>
                <w:szCs w:val="18"/>
                <w:lang w:bidi="ar"/>
              </w:rPr>
              <w:t>人，不得分</w:t>
            </w:r>
          </w:p>
        </w:tc>
        <w:tc>
          <w:tcPr>
            <w:tcW w:w="390" w:type="pct"/>
            <w:shd w:val="clear" w:color="auto" w:fill="auto"/>
            <w:vAlign w:val="center"/>
          </w:tcPr>
          <w:p>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845" w:type="dxa"/>
            <w:vMerge w:val="continue"/>
            <w:shd w:val="clear" w:color="auto" w:fill="auto"/>
            <w:vAlign w:val="center"/>
          </w:tcPr>
          <w:p>
            <w:pPr>
              <w:jc w:val="center"/>
              <w:rPr>
                <w:rFonts w:hint="eastAsia" w:ascii="宋体" w:hAnsi="宋体" w:eastAsia="宋体" w:cs="宋体"/>
                <w:color w:val="000000"/>
                <w:sz w:val="18"/>
                <w:szCs w:val="18"/>
              </w:rPr>
            </w:pPr>
          </w:p>
        </w:tc>
        <w:tc>
          <w:tcPr>
            <w:tcW w:w="1027" w:type="dxa"/>
            <w:vMerge w:val="restart"/>
            <w:shd w:val="clear" w:color="auto" w:fill="auto"/>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产出质量（12</w:t>
            </w:r>
            <w:r>
              <w:rPr>
                <w:rFonts w:hint="eastAsia" w:ascii="宋体" w:hAnsi="宋体" w:eastAsia="宋体" w:cs="宋体"/>
                <w:color w:val="000000"/>
                <w:kern w:val="0"/>
                <w:sz w:val="18"/>
                <w:szCs w:val="18"/>
                <w:lang w:eastAsia="zh-CN" w:bidi="ar"/>
              </w:rPr>
              <w:t>分</w:t>
            </w:r>
            <w:r>
              <w:rPr>
                <w:rFonts w:hint="eastAsia" w:ascii="宋体" w:hAnsi="宋体" w:eastAsia="宋体" w:cs="宋体"/>
                <w:color w:val="000000"/>
                <w:kern w:val="0"/>
                <w:sz w:val="18"/>
                <w:szCs w:val="18"/>
                <w:lang w:bidi="ar"/>
              </w:rPr>
              <w:t>）</w:t>
            </w:r>
          </w:p>
        </w:tc>
        <w:tc>
          <w:tcPr>
            <w:tcW w:w="1177" w:type="dxa"/>
            <w:shd w:val="clear" w:color="auto" w:fill="auto"/>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建立安全生产工作台账</w:t>
            </w:r>
            <w:r>
              <w:rPr>
                <w:rFonts w:hint="eastAsia" w:ascii="宋体" w:hAnsi="宋体" w:eastAsia="宋体" w:cs="宋体"/>
                <w:color w:val="000000"/>
                <w:kern w:val="0"/>
                <w:sz w:val="18"/>
                <w:szCs w:val="18"/>
                <w:lang w:eastAsia="zh-CN" w:bidi="ar"/>
              </w:rPr>
              <w:t>率</w:t>
            </w:r>
            <w:r>
              <w:rPr>
                <w:rFonts w:hint="eastAsia" w:ascii="宋体" w:hAnsi="宋体" w:eastAsia="宋体" w:cs="宋体"/>
                <w:color w:val="000000"/>
                <w:kern w:val="0"/>
                <w:sz w:val="18"/>
                <w:szCs w:val="18"/>
                <w:lang w:bidi="ar"/>
              </w:rPr>
              <w:t>（4分）</w:t>
            </w:r>
          </w:p>
        </w:tc>
        <w:tc>
          <w:tcPr>
            <w:tcW w:w="2076" w:type="dxa"/>
            <w:shd w:val="clear" w:color="auto" w:fill="auto"/>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建立安全生产工作台账</w:t>
            </w:r>
          </w:p>
        </w:tc>
        <w:tc>
          <w:tcPr>
            <w:tcW w:w="2728" w:type="dxa"/>
            <w:shd w:val="clear" w:color="auto" w:fill="auto"/>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建立安全生产工作台账</w:t>
            </w:r>
            <w:r>
              <w:rPr>
                <w:rFonts w:hint="eastAsia" w:ascii="宋体" w:hAnsi="宋体" w:eastAsia="宋体" w:cs="宋体"/>
                <w:color w:val="000000"/>
                <w:kern w:val="0"/>
                <w:sz w:val="18"/>
                <w:szCs w:val="18"/>
                <w:lang w:eastAsia="zh-CN" w:bidi="ar"/>
              </w:rPr>
              <w:t>率</w:t>
            </w:r>
            <w:r>
              <w:rPr>
                <w:rFonts w:hint="eastAsia" w:ascii="宋体" w:hAnsi="宋体" w:eastAsia="宋体" w:cs="宋体"/>
                <w:color w:val="000000"/>
                <w:kern w:val="0"/>
                <w:sz w:val="18"/>
                <w:szCs w:val="18"/>
                <w:lang w:bidi="ar"/>
              </w:rPr>
              <w:t>≥100%得满分，每少10%扣0.5分</w:t>
            </w:r>
          </w:p>
        </w:tc>
        <w:tc>
          <w:tcPr>
            <w:tcW w:w="390" w:type="pct"/>
            <w:shd w:val="clear" w:color="auto" w:fill="auto"/>
            <w:vAlign w:val="center"/>
          </w:tcPr>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45" w:type="dxa"/>
            <w:vMerge w:val="continue"/>
            <w:shd w:val="clear" w:color="auto" w:fill="auto"/>
            <w:vAlign w:val="center"/>
          </w:tcPr>
          <w:p>
            <w:pPr>
              <w:jc w:val="center"/>
              <w:rPr>
                <w:rFonts w:hint="eastAsia" w:ascii="宋体" w:hAnsi="宋体" w:eastAsia="宋体" w:cs="宋体"/>
                <w:color w:val="000000"/>
                <w:sz w:val="18"/>
                <w:szCs w:val="18"/>
              </w:rPr>
            </w:pPr>
          </w:p>
        </w:tc>
        <w:tc>
          <w:tcPr>
            <w:tcW w:w="1027" w:type="dxa"/>
            <w:vMerge w:val="continue"/>
            <w:shd w:val="clear" w:color="auto" w:fill="auto"/>
            <w:vAlign w:val="center"/>
          </w:tcPr>
          <w:p>
            <w:pPr>
              <w:jc w:val="center"/>
              <w:rPr>
                <w:rFonts w:hint="eastAsia" w:ascii="宋体" w:hAnsi="宋体" w:eastAsia="宋体" w:cs="宋体"/>
                <w:color w:val="000000"/>
                <w:sz w:val="18"/>
                <w:szCs w:val="18"/>
              </w:rPr>
            </w:pPr>
          </w:p>
        </w:tc>
        <w:tc>
          <w:tcPr>
            <w:tcW w:w="1177" w:type="dxa"/>
            <w:shd w:val="clear" w:color="auto" w:fill="auto"/>
            <w:vAlign w:val="center"/>
          </w:tcPr>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开展主题党日活动率</w:t>
            </w:r>
          </w:p>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（4分）</w:t>
            </w:r>
          </w:p>
        </w:tc>
        <w:tc>
          <w:tcPr>
            <w:tcW w:w="2076" w:type="dxa"/>
            <w:shd w:val="clear" w:color="auto" w:fill="auto"/>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eastAsia="zh-CN" w:bidi="ar"/>
              </w:rPr>
              <w:t>考核</w:t>
            </w:r>
            <w:r>
              <w:rPr>
                <w:rFonts w:hint="eastAsia" w:ascii="宋体" w:hAnsi="宋体" w:eastAsia="宋体" w:cs="宋体"/>
                <w:color w:val="000000"/>
                <w:kern w:val="0"/>
                <w:sz w:val="18"/>
                <w:szCs w:val="18"/>
                <w:lang w:bidi="ar"/>
              </w:rPr>
              <w:t>开展主题党日活动率</w:t>
            </w:r>
          </w:p>
        </w:tc>
        <w:tc>
          <w:tcPr>
            <w:tcW w:w="2728" w:type="dxa"/>
            <w:shd w:val="clear" w:color="auto" w:fill="auto"/>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主题党日活动率≥100%得满分，每少10%扣0.5分</w:t>
            </w:r>
          </w:p>
        </w:tc>
        <w:tc>
          <w:tcPr>
            <w:tcW w:w="390" w:type="pct"/>
            <w:shd w:val="clear" w:color="auto" w:fill="auto"/>
            <w:vAlign w:val="center"/>
          </w:tcPr>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45" w:type="dxa"/>
            <w:vMerge w:val="continue"/>
            <w:shd w:val="clear" w:color="auto" w:fill="auto"/>
            <w:vAlign w:val="center"/>
          </w:tcPr>
          <w:p>
            <w:pPr>
              <w:jc w:val="center"/>
              <w:rPr>
                <w:rFonts w:hint="eastAsia" w:ascii="宋体" w:hAnsi="宋体" w:eastAsia="宋体" w:cs="宋体"/>
                <w:color w:val="000000"/>
                <w:sz w:val="18"/>
                <w:szCs w:val="18"/>
              </w:rPr>
            </w:pPr>
          </w:p>
        </w:tc>
        <w:tc>
          <w:tcPr>
            <w:tcW w:w="1027" w:type="dxa"/>
            <w:vMerge w:val="continue"/>
            <w:shd w:val="clear" w:color="auto" w:fill="auto"/>
            <w:vAlign w:val="center"/>
          </w:tcPr>
          <w:p>
            <w:pPr>
              <w:jc w:val="center"/>
              <w:rPr>
                <w:rFonts w:hint="eastAsia" w:ascii="宋体" w:hAnsi="宋体" w:eastAsia="宋体" w:cs="宋体"/>
                <w:color w:val="000000"/>
                <w:sz w:val="18"/>
                <w:szCs w:val="18"/>
              </w:rPr>
            </w:pPr>
          </w:p>
        </w:tc>
        <w:tc>
          <w:tcPr>
            <w:tcW w:w="1177" w:type="dxa"/>
            <w:shd w:val="clear" w:color="auto" w:fill="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安全生产标准化提升</w:t>
            </w:r>
          </w:p>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（4分）</w:t>
            </w:r>
          </w:p>
        </w:tc>
        <w:tc>
          <w:tcPr>
            <w:tcW w:w="2076" w:type="dxa"/>
            <w:shd w:val="clear" w:color="auto" w:fill="auto"/>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lang w:val="en-US" w:eastAsia="zh-CN"/>
              </w:rPr>
              <w:t>评价安全生产单位的创建情况</w:t>
            </w:r>
          </w:p>
        </w:tc>
        <w:tc>
          <w:tcPr>
            <w:tcW w:w="2728" w:type="dxa"/>
            <w:shd w:val="clear" w:color="auto" w:fill="auto"/>
            <w:vAlign w:val="center"/>
          </w:tcPr>
          <w:p>
            <w:pPr>
              <w:widowControl/>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单位创建工作完成100%得满分，否则每少1个百分点扣1分。</w:t>
            </w:r>
          </w:p>
          <w:p>
            <w:pPr>
              <w:widowControl/>
              <w:jc w:val="left"/>
              <w:textAlignment w:val="center"/>
              <w:rPr>
                <w:rFonts w:hint="eastAsia" w:ascii="宋体" w:hAnsi="宋体" w:eastAsia="宋体" w:cs="宋体"/>
                <w:b/>
                <w:bCs/>
                <w:color w:val="000000"/>
                <w:sz w:val="18"/>
                <w:szCs w:val="18"/>
              </w:rPr>
            </w:pPr>
          </w:p>
        </w:tc>
        <w:tc>
          <w:tcPr>
            <w:tcW w:w="390" w:type="pct"/>
            <w:shd w:val="clear" w:color="auto" w:fill="auto"/>
            <w:vAlign w:val="center"/>
          </w:tcPr>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rPr>
        <w:tc>
          <w:tcPr>
            <w:tcW w:w="845" w:type="dxa"/>
            <w:vMerge w:val="continue"/>
            <w:shd w:val="clear" w:color="auto" w:fill="auto"/>
            <w:vAlign w:val="center"/>
          </w:tcPr>
          <w:p>
            <w:pPr>
              <w:jc w:val="center"/>
              <w:rPr>
                <w:rFonts w:hint="eastAsia" w:ascii="宋体" w:hAnsi="宋体" w:eastAsia="宋体" w:cs="宋体"/>
                <w:color w:val="000000"/>
                <w:sz w:val="18"/>
                <w:szCs w:val="18"/>
              </w:rPr>
            </w:pPr>
          </w:p>
        </w:tc>
        <w:tc>
          <w:tcPr>
            <w:tcW w:w="1027" w:type="dxa"/>
            <w:shd w:val="clear" w:color="auto" w:fill="auto"/>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lang w:val="en-US" w:eastAsia="zh-CN"/>
              </w:rPr>
              <w:t>产出时效（4分）</w:t>
            </w:r>
          </w:p>
        </w:tc>
        <w:tc>
          <w:tcPr>
            <w:tcW w:w="1177" w:type="dxa"/>
            <w:shd w:val="clear" w:color="auto" w:fill="auto"/>
            <w:vAlign w:val="center"/>
          </w:tcPr>
          <w:p>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项目进度</w:t>
            </w:r>
          </w:p>
          <w:p>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达成率</w:t>
            </w:r>
          </w:p>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lang w:val="en-US" w:eastAsia="zh-CN"/>
              </w:rPr>
              <w:t>（4分）</w:t>
            </w:r>
          </w:p>
        </w:tc>
        <w:tc>
          <w:tcPr>
            <w:tcW w:w="2076" w:type="dxa"/>
            <w:shd w:val="clear" w:color="auto" w:fill="auto"/>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lang w:val="en-US" w:eastAsia="zh-CN"/>
              </w:rPr>
              <w:t>考核项目支出进度</w:t>
            </w:r>
          </w:p>
        </w:tc>
        <w:tc>
          <w:tcPr>
            <w:tcW w:w="2728" w:type="dxa"/>
            <w:shd w:val="clear" w:color="auto" w:fill="auto"/>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lang w:val="en-US" w:eastAsia="zh-CN"/>
              </w:rPr>
              <w:t>项目进度达成率100%（3分）；90%≤项目进度达成率＜100%（2.5分）；80%≤项目进度达成率＜90%（2分）；70%≤项目进度达成率＜80%（1分）；项目进度达成率＜70%（0分）”</w:t>
            </w:r>
          </w:p>
        </w:tc>
        <w:tc>
          <w:tcPr>
            <w:tcW w:w="390" w:type="pct"/>
            <w:shd w:val="clear" w:color="auto" w:fill="auto"/>
            <w:vAlign w:val="center"/>
          </w:tcPr>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rPr>
        <w:tc>
          <w:tcPr>
            <w:tcW w:w="845" w:type="dxa"/>
            <w:vMerge w:val="continue"/>
            <w:shd w:val="clear" w:color="auto" w:fill="auto"/>
            <w:vAlign w:val="center"/>
          </w:tcPr>
          <w:p>
            <w:pPr>
              <w:jc w:val="center"/>
              <w:rPr>
                <w:rFonts w:hint="eastAsia" w:ascii="宋体" w:hAnsi="宋体" w:eastAsia="宋体" w:cs="宋体"/>
                <w:color w:val="000000"/>
                <w:sz w:val="18"/>
                <w:szCs w:val="18"/>
              </w:rPr>
            </w:pPr>
          </w:p>
        </w:tc>
        <w:tc>
          <w:tcPr>
            <w:tcW w:w="1027" w:type="dxa"/>
            <w:shd w:val="clear" w:color="auto" w:fill="auto"/>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lang w:val="en-US" w:eastAsia="zh-CN"/>
              </w:rPr>
              <w:t>产出成本（4分）</w:t>
            </w:r>
          </w:p>
        </w:tc>
        <w:tc>
          <w:tcPr>
            <w:tcW w:w="1177" w:type="dxa"/>
            <w:shd w:val="clear" w:color="auto" w:fill="auto"/>
            <w:vAlign w:val="center"/>
          </w:tcPr>
          <w:p>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成本控制率</w:t>
            </w:r>
          </w:p>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lang w:val="en-US" w:eastAsia="zh-CN"/>
              </w:rPr>
              <w:t>（4分）</w:t>
            </w:r>
          </w:p>
        </w:tc>
        <w:tc>
          <w:tcPr>
            <w:tcW w:w="2076" w:type="dxa"/>
            <w:shd w:val="clear" w:color="auto" w:fill="auto"/>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lang w:val="en-US" w:eastAsia="zh-CN"/>
              </w:rPr>
              <w:t>成本控制率”指标用于衡量项目成本控制情况，产出成本指标考核当年度资金投入不高于全年预算资金。</w:t>
            </w:r>
          </w:p>
        </w:tc>
        <w:tc>
          <w:tcPr>
            <w:tcW w:w="2728" w:type="dxa"/>
            <w:shd w:val="clear" w:color="auto" w:fill="auto"/>
            <w:vAlign w:val="center"/>
          </w:tcPr>
          <w:p>
            <w:pPr>
              <w:widowControl/>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成本控制率=截至年末累计支出数/概算或当年度预算×100%。</w:t>
            </w:r>
          </w:p>
          <w:p>
            <w:pPr>
              <w:widowControl/>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成本控制率≦100得满分，每超10%扣1分，扣完为止。</w:t>
            </w:r>
          </w:p>
          <w:p>
            <w:pPr>
              <w:widowControl/>
              <w:jc w:val="left"/>
              <w:textAlignment w:val="center"/>
              <w:rPr>
                <w:rFonts w:hint="eastAsia" w:ascii="宋体" w:hAnsi="宋体" w:eastAsia="宋体" w:cs="宋体"/>
                <w:color w:val="000000"/>
                <w:sz w:val="18"/>
                <w:szCs w:val="18"/>
              </w:rPr>
            </w:pPr>
          </w:p>
        </w:tc>
        <w:tc>
          <w:tcPr>
            <w:tcW w:w="390" w:type="pct"/>
            <w:shd w:val="clear" w:color="auto" w:fill="auto"/>
            <w:vAlign w:val="center"/>
          </w:tcPr>
          <w:p>
            <w:pPr>
              <w:widowControl/>
              <w:ind w:firstLine="292"/>
              <w:jc w:val="both"/>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trPr>
        <w:tc>
          <w:tcPr>
            <w:tcW w:w="845" w:type="dxa"/>
            <w:vMerge w:val="restart"/>
            <w:shd w:val="clear" w:color="auto" w:fill="auto"/>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效益（20%）</w:t>
            </w:r>
          </w:p>
        </w:tc>
        <w:tc>
          <w:tcPr>
            <w:tcW w:w="1027" w:type="dxa"/>
            <w:vMerge w:val="restart"/>
            <w:shd w:val="clear" w:color="auto" w:fill="auto"/>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社会效益（6分）</w:t>
            </w:r>
          </w:p>
        </w:tc>
        <w:tc>
          <w:tcPr>
            <w:tcW w:w="1177" w:type="dxa"/>
            <w:shd w:val="clear" w:color="auto" w:fill="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督促企业提质增效</w:t>
            </w:r>
          </w:p>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（3分）</w:t>
            </w:r>
          </w:p>
        </w:tc>
        <w:tc>
          <w:tcPr>
            <w:tcW w:w="2076" w:type="dxa"/>
            <w:shd w:val="clear" w:color="auto" w:fill="auto"/>
            <w:vAlign w:val="center"/>
          </w:tcPr>
          <w:p>
            <w:pPr>
              <w:widowControl/>
              <w:jc w:val="left"/>
              <w:textAlignment w:val="center"/>
              <w:rPr>
                <w:rFonts w:hint="eastAsia" w:ascii="宋体" w:hAnsi="宋体" w:eastAsia="宋体" w:cs="宋体"/>
                <w:b/>
                <w:bCs/>
                <w:color w:val="000000"/>
                <w:sz w:val="18"/>
                <w:szCs w:val="18"/>
              </w:rPr>
            </w:pPr>
            <w:r>
              <w:rPr>
                <w:rFonts w:hint="eastAsia" w:ascii="宋体" w:hAnsi="宋体" w:eastAsia="宋体" w:cs="宋体"/>
                <w:kern w:val="0"/>
                <w:sz w:val="18"/>
                <w:szCs w:val="18"/>
                <w:lang w:val="en-US" w:eastAsia="zh-CN"/>
              </w:rPr>
              <w:t>督促企业提质增效评价的是部门督导检查考核及企业的整改效果。</w:t>
            </w:r>
          </w:p>
        </w:tc>
        <w:tc>
          <w:tcPr>
            <w:tcW w:w="2728" w:type="dxa"/>
            <w:shd w:val="clear" w:color="auto" w:fill="auto"/>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val="en-US" w:eastAsia="zh-CN" w:bidi="ar"/>
              </w:rPr>
              <w:t>督促企业提质增效</w:t>
            </w:r>
            <w:r>
              <w:rPr>
                <w:rFonts w:hint="eastAsia" w:ascii="宋体" w:hAnsi="宋体" w:eastAsia="宋体" w:cs="宋体"/>
                <w:kern w:val="0"/>
                <w:sz w:val="18"/>
                <w:szCs w:val="18"/>
                <w:lang w:eastAsia="zh-CN"/>
              </w:rPr>
              <w:t>，整改率达到</w:t>
            </w:r>
            <w:r>
              <w:rPr>
                <w:rFonts w:hint="eastAsia" w:ascii="宋体" w:hAnsi="宋体" w:eastAsia="宋体" w:cs="宋体"/>
                <w:kern w:val="0"/>
                <w:sz w:val="18"/>
                <w:szCs w:val="18"/>
                <w:lang w:val="en-US" w:eastAsia="zh-CN"/>
              </w:rPr>
              <w:t>100%</w:t>
            </w:r>
            <w:r>
              <w:rPr>
                <w:rFonts w:hint="eastAsia" w:ascii="宋体" w:hAnsi="宋体" w:eastAsia="宋体" w:cs="宋体"/>
                <w:kern w:val="0"/>
                <w:sz w:val="18"/>
                <w:szCs w:val="18"/>
                <w:lang w:eastAsia="zh-CN"/>
              </w:rPr>
              <w:t>得满分，否则酌情减分，扣完为止。</w:t>
            </w:r>
          </w:p>
        </w:tc>
        <w:tc>
          <w:tcPr>
            <w:tcW w:w="390" w:type="pct"/>
            <w:shd w:val="clear" w:color="auto" w:fill="auto"/>
            <w:vAlign w:val="center"/>
          </w:tcPr>
          <w:p>
            <w:pPr>
              <w:widowControl/>
              <w:jc w:val="center"/>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5" w:type="dxa"/>
            <w:vMerge w:val="continue"/>
            <w:shd w:val="clear" w:color="auto" w:fill="auto"/>
            <w:vAlign w:val="center"/>
          </w:tcPr>
          <w:p>
            <w:pPr>
              <w:jc w:val="center"/>
              <w:rPr>
                <w:rFonts w:hint="eastAsia" w:ascii="宋体" w:hAnsi="宋体" w:eastAsia="宋体" w:cs="宋体"/>
                <w:color w:val="000000"/>
                <w:sz w:val="18"/>
                <w:szCs w:val="18"/>
              </w:rPr>
            </w:pPr>
          </w:p>
        </w:tc>
        <w:tc>
          <w:tcPr>
            <w:tcW w:w="1027" w:type="dxa"/>
            <w:vMerge w:val="continue"/>
            <w:shd w:val="clear" w:color="auto" w:fill="auto"/>
            <w:vAlign w:val="center"/>
          </w:tcPr>
          <w:p>
            <w:pPr>
              <w:jc w:val="center"/>
              <w:rPr>
                <w:rFonts w:hint="eastAsia" w:ascii="宋体" w:hAnsi="宋体" w:eastAsia="宋体" w:cs="宋体"/>
                <w:color w:val="000000"/>
                <w:sz w:val="18"/>
                <w:szCs w:val="18"/>
              </w:rPr>
            </w:pPr>
          </w:p>
        </w:tc>
        <w:tc>
          <w:tcPr>
            <w:tcW w:w="1177" w:type="dxa"/>
            <w:shd w:val="clear" w:color="auto" w:fill="auto"/>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val="en-US" w:eastAsia="zh-CN" w:bidi="ar"/>
              </w:rPr>
              <w:t>推动连片联合执法工作</w:t>
            </w:r>
            <w:r>
              <w:rPr>
                <w:rFonts w:hint="eastAsia" w:ascii="宋体" w:hAnsi="宋体" w:eastAsia="宋体" w:cs="宋体"/>
                <w:color w:val="000000"/>
                <w:kern w:val="0"/>
                <w:sz w:val="18"/>
                <w:szCs w:val="18"/>
                <w:lang w:bidi="ar"/>
              </w:rPr>
              <w:t>（3分）</w:t>
            </w:r>
          </w:p>
        </w:tc>
        <w:tc>
          <w:tcPr>
            <w:tcW w:w="2076" w:type="dxa"/>
            <w:shd w:val="clear" w:color="auto" w:fill="auto"/>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lang w:val="en-US" w:eastAsia="zh-CN"/>
              </w:rPr>
              <w:t>评价推动连片联合执法工作成果</w:t>
            </w:r>
          </w:p>
        </w:tc>
        <w:tc>
          <w:tcPr>
            <w:tcW w:w="2728" w:type="dxa"/>
            <w:shd w:val="clear" w:color="auto" w:fill="auto"/>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lang w:val="en-US" w:eastAsia="zh-CN"/>
              </w:rPr>
              <w:t>推动连片联合执法机制健全，工作效果明细的满分，</w:t>
            </w:r>
            <w:r>
              <w:rPr>
                <w:rFonts w:hint="eastAsia" w:ascii="宋体" w:hAnsi="宋体" w:eastAsia="宋体" w:cs="宋体"/>
                <w:kern w:val="0"/>
                <w:sz w:val="18"/>
                <w:szCs w:val="18"/>
                <w:lang w:eastAsia="zh-CN"/>
              </w:rPr>
              <w:t>否则酌情减分，扣完为止。</w:t>
            </w:r>
          </w:p>
        </w:tc>
        <w:tc>
          <w:tcPr>
            <w:tcW w:w="390" w:type="pct"/>
            <w:shd w:val="clear" w:color="auto" w:fill="auto"/>
            <w:vAlign w:val="center"/>
          </w:tcPr>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0" w:hRule="atLeast"/>
        </w:trPr>
        <w:tc>
          <w:tcPr>
            <w:tcW w:w="845" w:type="dxa"/>
            <w:vMerge w:val="continue"/>
            <w:shd w:val="clear" w:color="auto" w:fill="auto"/>
            <w:vAlign w:val="center"/>
          </w:tcPr>
          <w:p>
            <w:pPr>
              <w:jc w:val="center"/>
              <w:rPr>
                <w:rFonts w:hint="eastAsia" w:ascii="宋体" w:hAnsi="宋体" w:eastAsia="宋体" w:cs="宋体"/>
                <w:color w:val="000000"/>
                <w:sz w:val="18"/>
                <w:szCs w:val="18"/>
              </w:rPr>
            </w:pPr>
          </w:p>
        </w:tc>
        <w:tc>
          <w:tcPr>
            <w:tcW w:w="1027" w:type="dxa"/>
            <w:shd w:val="clear" w:color="auto" w:fill="auto"/>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经济效益（4分）</w:t>
            </w:r>
          </w:p>
        </w:tc>
        <w:tc>
          <w:tcPr>
            <w:tcW w:w="1177" w:type="dxa"/>
            <w:shd w:val="clear" w:color="auto" w:fill="auto"/>
            <w:vAlign w:val="center"/>
          </w:tcPr>
          <w:p>
            <w:pPr>
              <w:widowControl/>
              <w:jc w:val="center"/>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经济损失同比下降率</w:t>
            </w:r>
          </w:p>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（4分）</w:t>
            </w:r>
          </w:p>
        </w:tc>
        <w:tc>
          <w:tcPr>
            <w:tcW w:w="2076" w:type="dxa"/>
            <w:shd w:val="clear" w:color="auto" w:fill="auto"/>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val="en-US" w:eastAsia="zh-CN" w:bidi="ar"/>
              </w:rPr>
              <w:t>考核2022年度</w:t>
            </w:r>
            <w:r>
              <w:rPr>
                <w:rFonts w:hint="eastAsia" w:ascii="宋体" w:hAnsi="宋体" w:eastAsia="宋体" w:cs="宋体"/>
                <w:color w:val="000000"/>
                <w:kern w:val="0"/>
                <w:sz w:val="18"/>
                <w:szCs w:val="18"/>
                <w:lang w:bidi="ar"/>
              </w:rPr>
              <w:t>经济损失同比</w:t>
            </w:r>
            <w:r>
              <w:rPr>
                <w:rFonts w:hint="eastAsia" w:ascii="宋体" w:hAnsi="宋体" w:eastAsia="宋体" w:cs="宋体"/>
                <w:color w:val="000000"/>
                <w:kern w:val="0"/>
                <w:sz w:val="18"/>
                <w:szCs w:val="18"/>
                <w:lang w:val="en-US" w:eastAsia="zh-CN" w:bidi="ar"/>
              </w:rPr>
              <w:t>上一年度的</w:t>
            </w:r>
            <w:r>
              <w:rPr>
                <w:rFonts w:hint="eastAsia" w:ascii="宋体" w:hAnsi="宋体" w:eastAsia="宋体" w:cs="宋体"/>
                <w:color w:val="000000"/>
                <w:kern w:val="0"/>
                <w:sz w:val="18"/>
                <w:szCs w:val="18"/>
                <w:lang w:bidi="ar"/>
              </w:rPr>
              <w:t>下降率</w:t>
            </w:r>
          </w:p>
        </w:tc>
        <w:tc>
          <w:tcPr>
            <w:tcW w:w="2728" w:type="dxa"/>
            <w:shd w:val="clear" w:color="auto" w:fill="auto"/>
            <w:vAlign w:val="center"/>
          </w:tcPr>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①经济损失同比下降20%以上，得4分；</w:t>
            </w:r>
          </w:p>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②10%＜经济损失同比下降≤20%，得3分；</w:t>
            </w:r>
          </w:p>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③5%＜经济损失同比下降≤10%，得2分；</w:t>
            </w:r>
          </w:p>
          <w:p>
            <w:pPr>
              <w:widowControl/>
              <w:jc w:val="left"/>
              <w:textAlignment w:val="center"/>
              <w:rPr>
                <w:rFonts w:hint="eastAsia" w:ascii="宋体" w:hAnsi="宋体" w:eastAsia="宋体" w:cs="宋体"/>
                <w:color w:val="000000"/>
                <w:sz w:val="18"/>
                <w:szCs w:val="18"/>
                <w:lang w:eastAsia="zh-CN"/>
              </w:rPr>
            </w:pPr>
            <w:r>
              <w:rPr>
                <w:rFonts w:hint="eastAsia" w:ascii="宋体" w:hAnsi="宋体" w:eastAsia="宋体" w:cs="宋体"/>
                <w:color w:val="000000"/>
                <w:kern w:val="0"/>
                <w:sz w:val="18"/>
                <w:szCs w:val="18"/>
                <w:lang w:bidi="ar"/>
              </w:rPr>
              <w:t>④经济损失同比下降低于5%，不得分。</w:t>
            </w:r>
          </w:p>
        </w:tc>
        <w:tc>
          <w:tcPr>
            <w:tcW w:w="390" w:type="pct"/>
            <w:shd w:val="clear" w:color="auto" w:fill="auto"/>
            <w:vAlign w:val="center"/>
          </w:tcPr>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5" w:type="dxa"/>
            <w:vMerge w:val="continue"/>
            <w:shd w:val="clear" w:color="auto" w:fill="auto"/>
            <w:vAlign w:val="center"/>
          </w:tcPr>
          <w:p>
            <w:pPr>
              <w:jc w:val="center"/>
              <w:rPr>
                <w:rFonts w:hint="eastAsia" w:ascii="宋体" w:hAnsi="宋体" w:eastAsia="宋体" w:cs="宋体"/>
                <w:color w:val="000000"/>
                <w:sz w:val="18"/>
                <w:szCs w:val="18"/>
              </w:rPr>
            </w:pPr>
          </w:p>
        </w:tc>
        <w:tc>
          <w:tcPr>
            <w:tcW w:w="1027" w:type="dxa"/>
            <w:vMerge w:val="restart"/>
            <w:shd w:val="clear" w:color="auto" w:fill="auto"/>
            <w:vAlign w:val="center"/>
          </w:tcPr>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可持续</w:t>
            </w:r>
          </w:p>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效益</w:t>
            </w:r>
          </w:p>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（6分）</w:t>
            </w:r>
          </w:p>
        </w:tc>
        <w:tc>
          <w:tcPr>
            <w:tcW w:w="1177" w:type="dxa"/>
            <w:shd w:val="clear" w:color="auto" w:fill="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典型做法</w:t>
            </w:r>
          </w:p>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表彰</w:t>
            </w:r>
          </w:p>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（3分）</w:t>
            </w:r>
          </w:p>
        </w:tc>
        <w:tc>
          <w:tcPr>
            <w:tcW w:w="2076" w:type="dxa"/>
            <w:shd w:val="clear" w:color="auto" w:fill="auto"/>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val="en-US" w:eastAsia="zh-CN" w:bidi="ar"/>
              </w:rPr>
              <w:t>考核2022年度部门获得的典型做法表彰情况</w:t>
            </w:r>
          </w:p>
        </w:tc>
        <w:tc>
          <w:tcPr>
            <w:tcW w:w="2728" w:type="dxa"/>
            <w:shd w:val="clear" w:color="auto" w:fill="auto"/>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val="en-US" w:eastAsia="zh-CN" w:bidi="ar"/>
              </w:rPr>
              <w:t>2022年度部门获得的典型做法表彰效果明显得满分，</w:t>
            </w:r>
            <w:r>
              <w:rPr>
                <w:rFonts w:hint="eastAsia" w:ascii="宋体" w:hAnsi="宋体" w:eastAsia="宋体" w:cs="宋体"/>
                <w:kern w:val="0"/>
                <w:sz w:val="18"/>
                <w:szCs w:val="18"/>
                <w:lang w:eastAsia="zh-CN"/>
              </w:rPr>
              <w:t>否则酌情减分，扣完为止。</w:t>
            </w:r>
          </w:p>
        </w:tc>
        <w:tc>
          <w:tcPr>
            <w:tcW w:w="390" w:type="pct"/>
            <w:shd w:val="clear" w:color="auto" w:fill="auto"/>
            <w:vAlign w:val="center"/>
          </w:tcPr>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0" w:hRule="atLeast"/>
        </w:trPr>
        <w:tc>
          <w:tcPr>
            <w:tcW w:w="845" w:type="dxa"/>
            <w:vMerge w:val="continue"/>
            <w:shd w:val="clear" w:color="auto" w:fill="auto"/>
            <w:vAlign w:val="center"/>
          </w:tcPr>
          <w:p>
            <w:pPr>
              <w:jc w:val="center"/>
              <w:rPr>
                <w:rFonts w:hint="eastAsia" w:ascii="宋体" w:hAnsi="宋体" w:eastAsia="宋体" w:cs="宋体"/>
                <w:color w:val="000000"/>
                <w:sz w:val="18"/>
                <w:szCs w:val="18"/>
              </w:rPr>
            </w:pPr>
          </w:p>
        </w:tc>
        <w:tc>
          <w:tcPr>
            <w:tcW w:w="1027" w:type="dxa"/>
            <w:vMerge w:val="continue"/>
            <w:shd w:val="clear" w:color="auto" w:fill="auto"/>
            <w:vAlign w:val="center"/>
          </w:tcPr>
          <w:p>
            <w:pPr>
              <w:jc w:val="center"/>
              <w:rPr>
                <w:rFonts w:hint="eastAsia" w:ascii="宋体" w:hAnsi="宋体" w:eastAsia="宋体" w:cs="宋体"/>
                <w:color w:val="000000"/>
                <w:sz w:val="18"/>
                <w:szCs w:val="18"/>
              </w:rPr>
            </w:pPr>
          </w:p>
        </w:tc>
        <w:tc>
          <w:tcPr>
            <w:tcW w:w="1177" w:type="dxa"/>
            <w:shd w:val="clear" w:color="auto" w:fill="auto"/>
            <w:vAlign w:val="center"/>
          </w:tcPr>
          <w:p>
            <w:pPr>
              <w:widowControl/>
              <w:jc w:val="center"/>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应急救援</w:t>
            </w:r>
          </w:p>
          <w:p>
            <w:pPr>
              <w:widowControl/>
              <w:jc w:val="center"/>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队伍建设</w:t>
            </w:r>
          </w:p>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（3分）</w:t>
            </w:r>
          </w:p>
        </w:tc>
        <w:tc>
          <w:tcPr>
            <w:tcW w:w="2076" w:type="dxa"/>
            <w:shd w:val="clear" w:color="auto" w:fill="auto"/>
            <w:vAlign w:val="center"/>
          </w:tcPr>
          <w:p>
            <w:pPr>
              <w:widowControl/>
              <w:jc w:val="left"/>
              <w:textAlignment w:val="center"/>
              <w:rPr>
                <w:rFonts w:hint="eastAsia" w:ascii="宋体" w:hAnsi="宋体" w:eastAsia="宋体" w:cs="宋体"/>
                <w:color w:val="000000"/>
                <w:sz w:val="18"/>
                <w:szCs w:val="18"/>
                <w:lang w:eastAsia="zh-CN"/>
              </w:rPr>
            </w:pPr>
            <w:r>
              <w:rPr>
                <w:rFonts w:hint="eastAsia" w:ascii="宋体" w:hAnsi="宋体" w:eastAsia="宋体" w:cs="宋体"/>
                <w:color w:val="000000"/>
                <w:kern w:val="0"/>
                <w:sz w:val="18"/>
                <w:szCs w:val="18"/>
                <w:lang w:eastAsia="zh-CN" w:bidi="ar"/>
              </w:rPr>
              <w:t>考核的是部门对应急救援力量的整合及建设情况</w:t>
            </w:r>
          </w:p>
        </w:tc>
        <w:tc>
          <w:tcPr>
            <w:tcW w:w="2728" w:type="dxa"/>
            <w:shd w:val="clear" w:color="auto" w:fill="auto"/>
            <w:vAlign w:val="center"/>
          </w:tcPr>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①是</w:t>
            </w:r>
            <w:r>
              <w:rPr>
                <w:rFonts w:hint="eastAsia" w:ascii="宋体" w:hAnsi="宋体" w:eastAsia="宋体" w:cs="宋体"/>
                <w:color w:val="000000"/>
                <w:kern w:val="0"/>
                <w:sz w:val="18"/>
                <w:szCs w:val="18"/>
                <w:lang w:eastAsia="zh-CN" w:bidi="ar"/>
              </w:rPr>
              <w:t>否</w:t>
            </w:r>
            <w:r>
              <w:rPr>
                <w:rFonts w:hint="eastAsia" w:ascii="宋体" w:hAnsi="宋体" w:eastAsia="宋体" w:cs="宋体"/>
                <w:color w:val="000000"/>
                <w:kern w:val="0"/>
                <w:sz w:val="18"/>
                <w:szCs w:val="18"/>
                <w:lang w:val="en-US" w:eastAsia="zh-CN" w:bidi="ar"/>
              </w:rPr>
              <w:t>对全市应急救援力量进行摸底、整合</w:t>
            </w:r>
            <w:r>
              <w:rPr>
                <w:rFonts w:hint="eastAsia" w:ascii="宋体" w:hAnsi="宋体" w:eastAsia="宋体" w:cs="宋体"/>
                <w:color w:val="000000"/>
                <w:kern w:val="0"/>
                <w:sz w:val="18"/>
                <w:szCs w:val="18"/>
                <w:lang w:bidi="ar"/>
              </w:rPr>
              <w:t>；</w:t>
            </w:r>
          </w:p>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②是否将应急预案编制修订情况纳入各乡镇年度绩效考评；</w:t>
            </w:r>
          </w:p>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③是否收集各级各部门自然灾害和事故灾难应急预案；</w:t>
            </w:r>
          </w:p>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一项不符扣</w:t>
            </w:r>
            <w:r>
              <w:rPr>
                <w:rFonts w:hint="eastAsia" w:ascii="宋体" w:hAnsi="宋体" w:eastAsia="宋体" w:cs="宋体"/>
                <w:color w:val="000000"/>
                <w:kern w:val="0"/>
                <w:sz w:val="18"/>
                <w:szCs w:val="18"/>
                <w:lang w:val="en-US" w:eastAsia="zh-CN" w:bidi="ar"/>
              </w:rPr>
              <w:t>1</w:t>
            </w:r>
            <w:r>
              <w:rPr>
                <w:rFonts w:hint="eastAsia" w:ascii="宋体" w:hAnsi="宋体" w:eastAsia="宋体" w:cs="宋体"/>
                <w:color w:val="000000"/>
                <w:kern w:val="0"/>
                <w:sz w:val="18"/>
                <w:szCs w:val="18"/>
                <w:lang w:bidi="ar"/>
              </w:rPr>
              <w:t>分，扣完为止。</w:t>
            </w:r>
          </w:p>
        </w:tc>
        <w:tc>
          <w:tcPr>
            <w:tcW w:w="390" w:type="pct"/>
            <w:shd w:val="clear" w:color="auto" w:fill="auto"/>
            <w:vAlign w:val="center"/>
          </w:tcPr>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5" w:type="dxa"/>
            <w:vMerge w:val="continue"/>
            <w:shd w:val="clear" w:color="auto" w:fill="auto"/>
            <w:vAlign w:val="center"/>
          </w:tcPr>
          <w:p>
            <w:pPr>
              <w:jc w:val="center"/>
              <w:rPr>
                <w:rFonts w:hint="eastAsia" w:ascii="宋体" w:hAnsi="宋体" w:eastAsia="宋体" w:cs="宋体"/>
                <w:color w:val="000000"/>
                <w:sz w:val="18"/>
                <w:szCs w:val="18"/>
              </w:rPr>
            </w:pPr>
          </w:p>
        </w:tc>
        <w:tc>
          <w:tcPr>
            <w:tcW w:w="1027" w:type="dxa"/>
            <w:shd w:val="clear" w:color="auto" w:fill="auto"/>
            <w:vAlign w:val="center"/>
          </w:tcPr>
          <w:p>
            <w:pPr>
              <w:widowControl/>
              <w:jc w:val="center"/>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服务对象满意度</w:t>
            </w:r>
          </w:p>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（4分））</w:t>
            </w:r>
          </w:p>
        </w:tc>
        <w:tc>
          <w:tcPr>
            <w:tcW w:w="1177" w:type="dxa"/>
            <w:shd w:val="clear" w:color="auto" w:fill="auto"/>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公众满意度</w:t>
            </w:r>
          </w:p>
        </w:tc>
        <w:tc>
          <w:tcPr>
            <w:tcW w:w="2076" w:type="dxa"/>
            <w:shd w:val="clear" w:color="auto" w:fill="auto"/>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社会公众对部门履职效果的满意程度。</w:t>
            </w:r>
          </w:p>
        </w:tc>
        <w:tc>
          <w:tcPr>
            <w:tcW w:w="2728" w:type="dxa"/>
            <w:shd w:val="clear" w:color="auto" w:fill="auto"/>
            <w:vAlign w:val="center"/>
          </w:tcPr>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社会公众对部门履职效果的满意程度。</w:t>
            </w:r>
          </w:p>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①95%≤满意度＜100%，得</w:t>
            </w:r>
            <w:r>
              <w:rPr>
                <w:rFonts w:hint="eastAsia" w:ascii="宋体" w:hAnsi="宋体" w:eastAsia="宋体" w:cs="宋体"/>
                <w:color w:val="000000"/>
                <w:kern w:val="0"/>
                <w:sz w:val="18"/>
                <w:szCs w:val="18"/>
                <w:lang w:val="en-US" w:eastAsia="zh-CN" w:bidi="ar"/>
              </w:rPr>
              <w:t>4</w:t>
            </w:r>
            <w:r>
              <w:rPr>
                <w:rFonts w:hint="eastAsia" w:ascii="宋体" w:hAnsi="宋体" w:eastAsia="宋体" w:cs="宋体"/>
                <w:color w:val="000000"/>
                <w:kern w:val="0"/>
                <w:sz w:val="18"/>
                <w:szCs w:val="18"/>
                <w:lang w:bidi="ar"/>
              </w:rPr>
              <w:t>分；</w:t>
            </w:r>
          </w:p>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②90%≤满意度＜95%，得</w:t>
            </w:r>
            <w:r>
              <w:rPr>
                <w:rFonts w:hint="eastAsia" w:ascii="宋体" w:hAnsi="宋体" w:eastAsia="宋体" w:cs="宋体"/>
                <w:color w:val="000000"/>
                <w:kern w:val="0"/>
                <w:sz w:val="18"/>
                <w:szCs w:val="18"/>
                <w:lang w:val="en-US" w:eastAsia="zh-CN" w:bidi="ar"/>
              </w:rPr>
              <w:t>2</w:t>
            </w:r>
            <w:r>
              <w:rPr>
                <w:rFonts w:hint="eastAsia" w:ascii="宋体" w:hAnsi="宋体" w:eastAsia="宋体" w:cs="宋体"/>
                <w:color w:val="000000"/>
                <w:kern w:val="0"/>
                <w:sz w:val="18"/>
                <w:szCs w:val="18"/>
                <w:lang w:bidi="ar"/>
              </w:rPr>
              <w:t>分；</w:t>
            </w:r>
          </w:p>
          <w:p>
            <w:pPr>
              <w:widowControl/>
              <w:jc w:val="left"/>
              <w:textAlignment w:val="center"/>
              <w:rPr>
                <w:rFonts w:hint="eastAsia" w:ascii="宋体" w:hAnsi="宋体" w:eastAsia="宋体" w:cs="宋体"/>
                <w:color w:val="000000"/>
                <w:kern w:val="0"/>
                <w:sz w:val="18"/>
                <w:szCs w:val="18"/>
                <w:lang w:eastAsia="zh-CN" w:bidi="ar"/>
              </w:rPr>
            </w:pPr>
            <w:r>
              <w:rPr>
                <w:rFonts w:hint="eastAsia" w:ascii="宋体" w:hAnsi="宋体" w:eastAsia="宋体" w:cs="宋体"/>
                <w:color w:val="000000"/>
                <w:kern w:val="0"/>
                <w:sz w:val="18"/>
                <w:szCs w:val="18"/>
                <w:lang w:bidi="ar"/>
              </w:rPr>
              <w:t>③85%≤满意度＜90%得1分；</w:t>
            </w:r>
          </w:p>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④满意度低于85%，不得分。</w:t>
            </w:r>
          </w:p>
        </w:tc>
        <w:tc>
          <w:tcPr>
            <w:tcW w:w="390" w:type="pct"/>
            <w:shd w:val="clear" w:color="auto" w:fill="auto"/>
            <w:vAlign w:val="center"/>
          </w:tcPr>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495" w:type="pct"/>
            <w:shd w:val="clear" w:color="auto" w:fill="auto"/>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合计</w:t>
            </w:r>
          </w:p>
        </w:tc>
        <w:tc>
          <w:tcPr>
            <w:tcW w:w="4113" w:type="pct"/>
            <w:gridSpan w:val="4"/>
            <w:shd w:val="clear" w:color="auto" w:fill="auto"/>
            <w:vAlign w:val="center"/>
          </w:tcPr>
          <w:p>
            <w:pPr>
              <w:widowControl/>
              <w:jc w:val="left"/>
              <w:textAlignment w:val="center"/>
              <w:rPr>
                <w:rFonts w:hint="eastAsia" w:ascii="宋体" w:hAnsi="宋体" w:eastAsia="宋体" w:cs="宋体"/>
                <w:color w:val="000000"/>
                <w:kern w:val="0"/>
                <w:sz w:val="18"/>
                <w:szCs w:val="18"/>
                <w:lang w:bidi="ar"/>
              </w:rPr>
            </w:pPr>
          </w:p>
        </w:tc>
        <w:tc>
          <w:tcPr>
            <w:tcW w:w="390" w:type="pct"/>
            <w:shd w:val="clear" w:color="auto" w:fill="auto"/>
            <w:vAlign w:val="center"/>
          </w:tcPr>
          <w:p>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val="en-US" w:eastAsia="zh-CN" w:bidi="ar"/>
              </w:rPr>
              <w:t>88</w:t>
            </w:r>
            <w:r>
              <w:rPr>
                <w:rFonts w:hint="eastAsia" w:ascii="宋体" w:hAnsi="宋体" w:eastAsia="宋体" w:cs="宋体"/>
                <w:color w:val="000000"/>
                <w:kern w:val="0"/>
                <w:sz w:val="18"/>
                <w:szCs w:val="18"/>
                <w:lang w:bidi="ar"/>
              </w:rPr>
              <w:t>.54</w:t>
            </w:r>
          </w:p>
        </w:tc>
      </w:tr>
      <w:bookmarkEnd w:id="244"/>
      <w:bookmarkEnd w:id="245"/>
      <w:bookmarkEnd w:id="246"/>
      <w:bookmarkEnd w:id="247"/>
      <w:bookmarkEnd w:id="248"/>
    </w:tbl>
    <w:p>
      <w:pPr>
        <w:keepNext w:val="0"/>
        <w:keepLines w:val="0"/>
        <w:pageBreakBefore w:val="0"/>
        <w:widowControl w:val="0"/>
        <w:numPr>
          <w:ilvl w:val="0"/>
          <w:numId w:val="0"/>
        </w:numPr>
        <w:kinsoku/>
        <w:wordWrap/>
        <w:overflowPunct/>
        <w:topLinePunct w:val="0"/>
        <w:autoSpaceDE/>
        <w:autoSpaceDN/>
        <w:bidi w:val="0"/>
        <w:adjustRightInd/>
        <w:snapToGrid/>
        <w:spacing w:before="312" w:beforeLines="100" w:beforeAutospacing="0" w:after="156" w:afterLines="50" w:afterAutospacing="0" w:line="360" w:lineRule="auto"/>
        <w:ind w:left="0" w:leftChars="0" w:right="0" w:rightChars="0" w:firstLine="0" w:firstLineChars="0"/>
        <w:jc w:val="left"/>
        <w:textAlignment w:val="auto"/>
        <w:outlineLvl w:val="0"/>
        <w:rPr>
          <w:rFonts w:hint="eastAsia" w:ascii="Times New Roman" w:hAnsi="仿宋" w:eastAsia="宋体" w:cs="仿宋"/>
          <w:b/>
          <w:bCs/>
          <w:color w:val="auto"/>
          <w:spacing w:val="4"/>
          <w:kern w:val="2"/>
          <w:sz w:val="32"/>
          <w:szCs w:val="32"/>
          <w:lang w:val="en-US" w:eastAsia="zh-CN" w:bidi="ar-SA"/>
        </w:rPr>
      </w:pPr>
      <w:bookmarkStart w:id="249" w:name="_Toc32260"/>
      <w:bookmarkStart w:id="250" w:name="_Toc29064"/>
      <w:bookmarkStart w:id="251" w:name="_Toc9830"/>
      <w:r>
        <w:rPr>
          <w:rFonts w:hint="eastAsia" w:ascii="Times New Roman" w:hAnsi="仿宋" w:eastAsia="宋体" w:cs="仿宋"/>
          <w:b/>
          <w:bCs/>
          <w:color w:val="auto"/>
          <w:spacing w:val="4"/>
          <w:kern w:val="2"/>
          <w:sz w:val="32"/>
          <w:szCs w:val="32"/>
          <w:lang w:val="en-US" w:eastAsia="zh-CN" w:bidi="ar-SA"/>
        </w:rPr>
        <w:t>五、绩效评价结论及成效</w:t>
      </w:r>
      <w:bookmarkEnd w:id="249"/>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leftChars="0" w:firstLine="576" w:firstLineChars="200"/>
        <w:textAlignment w:val="auto"/>
        <w:rPr>
          <w:rFonts w:hint="eastAsia" w:ascii="Times New Roman" w:hAnsi="仿宋" w:eastAsia="宋体" w:cs="仿宋"/>
          <w:b w:val="0"/>
          <w:color w:val="auto"/>
          <w:spacing w:val="4"/>
          <w:kern w:val="2"/>
          <w:sz w:val="28"/>
          <w:szCs w:val="32"/>
          <w:highlight w:val="none"/>
          <w:lang w:val="en-US" w:eastAsia="zh-CN" w:bidi="ar-SA"/>
        </w:rPr>
      </w:pPr>
      <w:r>
        <w:rPr>
          <w:rFonts w:hint="eastAsia" w:ascii="Times New Roman" w:hAnsi="仿宋" w:eastAsia="宋体" w:cs="仿宋"/>
          <w:b w:val="0"/>
          <w:color w:val="auto"/>
          <w:spacing w:val="4"/>
          <w:kern w:val="2"/>
          <w:sz w:val="28"/>
          <w:szCs w:val="32"/>
          <w:highlight w:val="none"/>
          <w:lang w:val="en-US" w:eastAsia="zh-CN" w:bidi="ar-SA"/>
        </w:rPr>
        <w:t>2022年度石狮市应急管理局整体支出绩效评价得分88.54 分，等级为“良”。扣分项目为：绩效目标明确性扣1分，“三公”经费变动率扣1.5分，预算调整率扣2分，结转结余率扣0.96分，公用经费控制率扣2分，政府采购执行率扣2分，预决算信息公开扣1分，督促企业提质增效扣1分。绩效目标共扣11.46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78" w:firstLineChars="200"/>
        <w:textAlignment w:val="auto"/>
        <w:outlineLvl w:val="2"/>
        <w:rPr>
          <w:rFonts w:hint="eastAsia" w:ascii="Times New Roman" w:hAnsi="仿宋" w:eastAsia="宋体" w:cs="仿宋"/>
          <w:color w:val="auto"/>
          <w:spacing w:val="4"/>
          <w:sz w:val="28"/>
          <w:szCs w:val="32"/>
          <w:lang w:val="en-US" w:eastAsia="zh-CN"/>
        </w:rPr>
      </w:pPr>
      <w:bookmarkStart w:id="252" w:name="_Toc32322"/>
      <w:bookmarkStart w:id="253" w:name="_Toc16914"/>
      <w:bookmarkStart w:id="254" w:name="_Toc16710"/>
      <w:r>
        <w:rPr>
          <w:rFonts w:hint="eastAsia" w:ascii="Times New Roman" w:hAnsi="仿宋" w:eastAsia="宋体" w:cs="仿宋"/>
          <w:b/>
          <w:bCs/>
          <w:color w:val="auto"/>
          <w:spacing w:val="4"/>
          <w:kern w:val="2"/>
          <w:sz w:val="28"/>
          <w:szCs w:val="32"/>
          <w:lang w:val="en-US" w:eastAsia="zh-CN" w:bidi="ar-SA"/>
        </w:rPr>
        <w:t>主要成效：</w:t>
      </w:r>
      <w:r>
        <w:rPr>
          <w:rFonts w:hint="eastAsia" w:ascii="Times New Roman" w:hAnsi="仿宋" w:eastAsia="宋体" w:cs="仿宋"/>
          <w:b w:val="0"/>
          <w:color w:val="auto"/>
          <w:spacing w:val="4"/>
          <w:kern w:val="2"/>
          <w:sz w:val="28"/>
          <w:szCs w:val="32"/>
          <w:lang w:val="en-US" w:eastAsia="zh-CN" w:bidi="ar-SA"/>
        </w:rPr>
        <w:t>决策方面，按照部门职责指导全市安全生产工作，制度得到有效执行；减灾救灾方面，开展自然灾害公众责任保险，减轻受灾群众的经济损失，地震监测预警终端在线率达到90%以上；安全宣传方面，积极抓好宣传教育培训工作，开展安全生产宣传工作，举办全国防灾减灾日宣传讲座；效益方面，经济损失同比去年下降了25%，积极部署应急演练，将社会应急力量纳入政府应急救援体系。</w:t>
      </w:r>
      <w:r>
        <w:rPr>
          <w:rFonts w:hint="eastAsia" w:ascii="Times New Roman" w:hAnsi="仿宋" w:eastAsia="宋体" w:cs="仿宋"/>
          <w:color w:val="auto"/>
          <w:spacing w:val="4"/>
          <w:sz w:val="28"/>
          <w:szCs w:val="32"/>
          <w:lang w:val="en-US" w:eastAsia="zh-CN"/>
        </w:rPr>
        <w:t>石狮市应急管理局通过深入总结三年行动经验性做法、制度成果和工作机制等，形成一批可复制、可推广的典型经验做法，受到市委、市政府主要领导和分管领导的充分肯定，并被泉州市采用金点子3篇、制度成果3项、典型事故案例2篇、典型执法案例2篇和典型经验做法2篇。</w:t>
      </w:r>
      <w:r>
        <w:rPr>
          <w:rFonts w:hint="default" w:ascii="Times New Roman" w:hAnsi="仿宋" w:eastAsia="宋体" w:cs="仿宋"/>
          <w:color w:val="auto"/>
          <w:spacing w:val="4"/>
          <w:sz w:val="28"/>
          <w:szCs w:val="32"/>
          <w:lang w:val="en-US" w:eastAsia="zh-CN"/>
        </w:rPr>
        <w:t>作为全省镇（街道）安全生产连片联合执法两个试点县之一，</w:t>
      </w:r>
      <w:r>
        <w:rPr>
          <w:rFonts w:hint="eastAsia" w:ascii="Times New Roman" w:hAnsi="仿宋" w:eastAsia="宋体" w:cs="仿宋"/>
          <w:color w:val="auto"/>
          <w:spacing w:val="4"/>
          <w:sz w:val="28"/>
          <w:szCs w:val="32"/>
          <w:lang w:val="en-US" w:eastAsia="zh-CN"/>
        </w:rPr>
        <w:t>石狮市应急管理局</w:t>
      </w:r>
      <w:r>
        <w:rPr>
          <w:rFonts w:hint="default" w:ascii="Times New Roman" w:hAnsi="仿宋" w:eastAsia="宋体" w:cs="仿宋"/>
          <w:color w:val="auto"/>
          <w:spacing w:val="4"/>
          <w:sz w:val="28"/>
          <w:szCs w:val="32"/>
          <w:lang w:val="en-US" w:eastAsia="zh-CN"/>
        </w:rPr>
        <w:t>出台了《石狮市应急管理综合行政执法改革实施方案》（狮委办发〔2022〕10号）、《石狮市推行镇（街道）安全生产连片联合执法试点工作方案》（狮政综〔2022〕89号）、《石狮市推行镇（街道）安全生产连片联合执法试点工作实施办法》（狮安办〔2022〕43号），配套了轮值负责工作制度、行政执法规范工作事项、案件线索移交规定、执法报表工作制度等制度，下放首批6项安全生产行政处罚赋权事项，组织专题执法培训，举行了授牌仪式和挂牌仪式，将执法力量开始有效地向镇（街道）延伸，解决了长期以来镇（街道）执法力量薄弱的问题，从根本上打通了安全生产“最后一公里”。工作成效得到各级党委政府的充分肯定。</w:t>
      </w:r>
      <w:bookmarkEnd w:id="252"/>
      <w:bookmarkEnd w:id="253"/>
      <w:bookmarkEnd w:id="254"/>
    </w:p>
    <w:p>
      <w:pPr>
        <w:keepNext w:val="0"/>
        <w:keepLines w:val="0"/>
        <w:pageBreakBefore w:val="0"/>
        <w:widowControl w:val="0"/>
        <w:numPr>
          <w:ilvl w:val="0"/>
          <w:numId w:val="0"/>
        </w:numPr>
        <w:kinsoku/>
        <w:wordWrap/>
        <w:overflowPunct/>
        <w:topLinePunct w:val="0"/>
        <w:autoSpaceDE/>
        <w:autoSpaceDN/>
        <w:bidi w:val="0"/>
        <w:adjustRightInd/>
        <w:snapToGrid/>
        <w:spacing w:before="312" w:beforeLines="100" w:beforeAutospacing="0" w:after="156" w:afterLines="50" w:afterAutospacing="0" w:line="360" w:lineRule="auto"/>
        <w:ind w:left="0" w:leftChars="0" w:right="0" w:rightChars="0" w:firstLine="0" w:firstLineChars="0"/>
        <w:jc w:val="left"/>
        <w:textAlignment w:val="auto"/>
        <w:outlineLvl w:val="0"/>
        <w:rPr>
          <w:rFonts w:hint="eastAsia" w:ascii="Times New Roman" w:hAnsi="仿宋" w:eastAsia="宋体" w:cs="仿宋"/>
          <w:b/>
          <w:bCs/>
          <w:color w:val="auto"/>
          <w:spacing w:val="4"/>
          <w:kern w:val="2"/>
          <w:sz w:val="32"/>
          <w:szCs w:val="32"/>
          <w:lang w:val="en-US" w:eastAsia="zh-CN" w:bidi="ar-SA"/>
        </w:rPr>
      </w:pPr>
      <w:bookmarkStart w:id="255" w:name="_Toc16579"/>
      <w:r>
        <w:rPr>
          <w:rFonts w:hint="eastAsia" w:ascii="Times New Roman" w:hAnsi="仿宋" w:eastAsia="宋体" w:cs="仿宋"/>
          <w:b/>
          <w:bCs/>
          <w:color w:val="auto"/>
          <w:spacing w:val="4"/>
          <w:kern w:val="2"/>
          <w:sz w:val="32"/>
          <w:szCs w:val="32"/>
          <w:lang w:val="en-US" w:eastAsia="zh-CN" w:bidi="ar-SA"/>
        </w:rPr>
        <w:t>六、存在问题</w:t>
      </w:r>
      <w:bookmarkEnd w:id="255"/>
    </w:p>
    <w:p>
      <w:pPr>
        <w:keepNext w:val="0"/>
        <w:keepLines w:val="0"/>
        <w:pageBreakBefore w:val="0"/>
        <w:widowControl w:val="0"/>
        <w:numPr>
          <w:ilvl w:val="0"/>
          <w:numId w:val="0"/>
        </w:numPr>
        <w:kinsoku/>
        <w:wordWrap/>
        <w:overflowPunct/>
        <w:topLinePunct w:val="0"/>
        <w:autoSpaceDE/>
        <w:autoSpaceDN/>
        <w:bidi w:val="0"/>
        <w:adjustRightInd/>
        <w:snapToGrid/>
        <w:spacing w:before="156" w:beforeLines="50" w:beforeAutospacing="0" w:afterAutospacing="0" w:line="360" w:lineRule="auto"/>
        <w:ind w:left="0" w:leftChars="0" w:right="0" w:rightChars="0" w:firstLine="0" w:firstLineChars="0"/>
        <w:jc w:val="left"/>
        <w:textAlignment w:val="auto"/>
        <w:outlineLvl w:val="1"/>
        <w:rPr>
          <w:rFonts w:hint="eastAsia" w:ascii="Times New Roman" w:hAnsi="仿宋" w:eastAsia="宋体" w:cs="仿宋"/>
          <w:b/>
          <w:bCs/>
          <w:color w:val="auto"/>
          <w:spacing w:val="4"/>
          <w:kern w:val="2"/>
          <w:sz w:val="30"/>
          <w:szCs w:val="32"/>
          <w:highlight w:val="none"/>
          <w:lang w:val="en-US" w:eastAsia="zh-CN" w:bidi="ar-SA"/>
        </w:rPr>
      </w:pPr>
      <w:bookmarkStart w:id="256" w:name="_Toc25527"/>
      <w:bookmarkStart w:id="257" w:name="_Toc7444"/>
      <w:r>
        <w:rPr>
          <w:rFonts w:hint="eastAsia" w:ascii="Times New Roman" w:hAnsi="仿宋" w:eastAsia="宋体" w:cs="仿宋"/>
          <w:b/>
          <w:bCs/>
          <w:color w:val="auto"/>
          <w:spacing w:val="4"/>
          <w:kern w:val="2"/>
          <w:sz w:val="30"/>
          <w:szCs w:val="32"/>
          <w:highlight w:val="none"/>
          <w:lang w:val="en-US" w:eastAsia="zh-CN" w:bidi="ar-SA"/>
        </w:rPr>
        <w:t>（一）</w:t>
      </w:r>
      <w:bookmarkEnd w:id="256"/>
      <w:bookmarkEnd w:id="257"/>
      <w:r>
        <w:rPr>
          <w:rFonts w:hint="eastAsia" w:ascii="Times New Roman" w:hAnsi="仿宋" w:eastAsia="宋体" w:cs="仿宋"/>
          <w:b/>
          <w:bCs/>
          <w:color w:val="auto"/>
          <w:spacing w:val="4"/>
          <w:kern w:val="2"/>
          <w:sz w:val="30"/>
          <w:szCs w:val="32"/>
          <w:highlight w:val="none"/>
          <w:lang w:val="en-US" w:eastAsia="zh-CN" w:bidi="ar-SA"/>
        </w:rPr>
        <w:t>年末结转结余率较高</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leftChars="0" w:firstLine="576" w:firstLineChars="200"/>
        <w:textAlignment w:val="auto"/>
        <w:rPr>
          <w:rFonts w:hint="eastAsia" w:ascii="Times New Roman" w:hAnsi="仿宋" w:eastAsia="宋体" w:cs="仿宋"/>
          <w:b w:val="0"/>
          <w:color w:val="auto"/>
          <w:spacing w:val="4"/>
          <w:kern w:val="2"/>
          <w:sz w:val="28"/>
          <w:szCs w:val="32"/>
          <w:lang w:val="en-US" w:eastAsia="zh-CN" w:bidi="ar-SA"/>
        </w:rPr>
      </w:pPr>
      <w:r>
        <w:rPr>
          <w:rFonts w:hint="eastAsia" w:ascii="Times New Roman" w:hAnsi="仿宋" w:eastAsia="宋体" w:cs="仿宋"/>
          <w:b w:val="0"/>
          <w:color w:val="auto"/>
          <w:spacing w:val="4"/>
          <w:kern w:val="2"/>
          <w:sz w:val="28"/>
          <w:szCs w:val="32"/>
          <w:lang w:val="en-US" w:eastAsia="zh-CN" w:bidi="ar-SA"/>
        </w:rPr>
        <w:t>石狮市应急管理局2022年末结转结余率较高，如，防汛抗旱经费25万元，实际支出20.93万元，年末结余4.07万元，“五个一百”安全应急保障提升工程经费82万元，实际支出38.2万元，计划支出25.8万元，指标结余18万元。整体资金支付进度较慢，预算执行力度有待进一步加强。</w:t>
      </w:r>
    </w:p>
    <w:p>
      <w:pPr>
        <w:keepNext w:val="0"/>
        <w:keepLines w:val="0"/>
        <w:pageBreakBefore w:val="0"/>
        <w:widowControl w:val="0"/>
        <w:numPr>
          <w:ilvl w:val="0"/>
          <w:numId w:val="0"/>
        </w:numPr>
        <w:kinsoku/>
        <w:wordWrap/>
        <w:overflowPunct/>
        <w:topLinePunct w:val="0"/>
        <w:autoSpaceDE/>
        <w:autoSpaceDN/>
        <w:bidi w:val="0"/>
        <w:adjustRightInd/>
        <w:snapToGrid/>
        <w:spacing w:before="156" w:beforeLines="50" w:beforeAutospacing="0" w:afterAutospacing="0" w:line="360" w:lineRule="auto"/>
        <w:ind w:left="0" w:leftChars="0" w:right="0" w:rightChars="0" w:firstLine="0" w:firstLineChars="0"/>
        <w:jc w:val="left"/>
        <w:textAlignment w:val="auto"/>
        <w:outlineLvl w:val="1"/>
        <w:rPr>
          <w:rFonts w:hint="eastAsia" w:ascii="Times New Roman" w:hAnsi="仿宋" w:eastAsia="宋体" w:cs="仿宋"/>
          <w:b/>
          <w:bCs/>
          <w:color w:val="auto"/>
          <w:spacing w:val="4"/>
          <w:kern w:val="2"/>
          <w:sz w:val="30"/>
          <w:szCs w:val="32"/>
          <w:lang w:val="en-US" w:eastAsia="zh-CN" w:bidi="ar-SA"/>
        </w:rPr>
      </w:pPr>
      <w:bookmarkStart w:id="258" w:name="_Toc2896"/>
      <w:r>
        <w:rPr>
          <w:rFonts w:hint="eastAsia" w:ascii="Times New Roman" w:hAnsi="仿宋" w:eastAsia="宋体" w:cs="仿宋"/>
          <w:b/>
          <w:bCs/>
          <w:color w:val="auto"/>
          <w:spacing w:val="4"/>
          <w:kern w:val="2"/>
          <w:sz w:val="30"/>
          <w:szCs w:val="32"/>
          <w:lang w:val="en-US" w:eastAsia="zh-CN" w:bidi="ar-SA"/>
        </w:rPr>
        <w:t>(二）</w:t>
      </w:r>
      <w:bookmarkStart w:id="259" w:name="_Toc831"/>
      <w:r>
        <w:rPr>
          <w:rFonts w:hint="eastAsia" w:ascii="Times New Roman" w:hAnsi="仿宋" w:eastAsia="宋体" w:cs="仿宋"/>
          <w:b/>
          <w:bCs/>
          <w:color w:val="auto"/>
          <w:spacing w:val="4"/>
          <w:kern w:val="2"/>
          <w:sz w:val="30"/>
          <w:szCs w:val="32"/>
          <w:lang w:val="en-US" w:eastAsia="zh-CN" w:bidi="ar-SA"/>
        </w:rPr>
        <w:t>采购预算编制</w:t>
      </w:r>
      <w:bookmarkEnd w:id="259"/>
      <w:r>
        <w:rPr>
          <w:rFonts w:hint="eastAsia" w:ascii="Times New Roman" w:hAnsi="仿宋" w:eastAsia="宋体" w:cs="仿宋"/>
          <w:b/>
          <w:bCs/>
          <w:color w:val="auto"/>
          <w:spacing w:val="4"/>
          <w:kern w:val="2"/>
          <w:sz w:val="30"/>
          <w:szCs w:val="32"/>
          <w:lang w:val="en-US" w:eastAsia="zh-CN" w:bidi="ar-SA"/>
        </w:rPr>
        <w:t>不合理</w:t>
      </w:r>
      <w:bookmarkEnd w:id="258"/>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leftChars="0" w:firstLine="576" w:firstLineChars="200"/>
        <w:textAlignment w:val="auto"/>
        <w:rPr>
          <w:rFonts w:hint="eastAsia" w:ascii="Times New Roman" w:hAnsi="仿宋" w:eastAsia="宋体" w:cs="仿宋"/>
          <w:b w:val="0"/>
          <w:color w:val="auto"/>
          <w:spacing w:val="4"/>
          <w:kern w:val="2"/>
          <w:sz w:val="28"/>
          <w:szCs w:val="32"/>
          <w:lang w:val="en-US" w:eastAsia="zh-CN" w:bidi="ar-SA"/>
        </w:rPr>
      </w:pPr>
      <w:r>
        <w:rPr>
          <w:rFonts w:hint="eastAsia" w:ascii="Times New Roman" w:hAnsi="仿宋" w:eastAsia="宋体" w:cs="仿宋"/>
          <w:b w:val="0"/>
          <w:color w:val="auto"/>
          <w:spacing w:val="4"/>
          <w:kern w:val="2"/>
          <w:sz w:val="28"/>
          <w:szCs w:val="32"/>
          <w:lang w:val="en-US" w:eastAsia="zh-CN" w:bidi="ar-SA"/>
        </w:rPr>
        <w:t>2022年石狮市应急管理局政府采购预算2万元，实际采购40.29万元专用设备，消防个人防护装备器材采购未纳入年初采购预算。</w:t>
      </w:r>
    </w:p>
    <w:p>
      <w:pPr>
        <w:keepNext w:val="0"/>
        <w:keepLines w:val="0"/>
        <w:pageBreakBefore w:val="0"/>
        <w:widowControl w:val="0"/>
        <w:numPr>
          <w:ilvl w:val="0"/>
          <w:numId w:val="0"/>
        </w:numPr>
        <w:kinsoku/>
        <w:wordWrap/>
        <w:overflowPunct/>
        <w:topLinePunct w:val="0"/>
        <w:autoSpaceDE/>
        <w:autoSpaceDN/>
        <w:bidi w:val="0"/>
        <w:adjustRightInd/>
        <w:snapToGrid/>
        <w:spacing w:before="156" w:beforeLines="50" w:beforeAutospacing="0" w:afterAutospacing="0" w:line="360" w:lineRule="auto"/>
        <w:ind w:left="0" w:leftChars="0" w:right="0" w:rightChars="0" w:firstLine="0" w:firstLineChars="0"/>
        <w:jc w:val="left"/>
        <w:textAlignment w:val="auto"/>
        <w:outlineLvl w:val="1"/>
        <w:rPr>
          <w:rFonts w:hint="default" w:ascii="Times New Roman" w:hAnsi="仿宋" w:eastAsia="宋体" w:cs="仿宋"/>
          <w:b/>
          <w:bCs/>
          <w:color w:val="auto"/>
          <w:spacing w:val="4"/>
          <w:kern w:val="2"/>
          <w:sz w:val="30"/>
          <w:szCs w:val="32"/>
          <w:lang w:val="en-US" w:eastAsia="zh-CN" w:bidi="ar-SA"/>
        </w:rPr>
      </w:pPr>
      <w:r>
        <w:rPr>
          <w:rFonts w:hint="eastAsia" w:ascii="Times New Roman" w:hAnsi="仿宋" w:eastAsia="宋体" w:cs="仿宋"/>
          <w:b/>
          <w:bCs/>
          <w:color w:val="auto"/>
          <w:spacing w:val="4"/>
          <w:kern w:val="2"/>
          <w:sz w:val="30"/>
          <w:szCs w:val="32"/>
          <w:lang w:val="en-US" w:eastAsia="zh-CN" w:bidi="ar-SA"/>
        </w:rPr>
        <w:t>（三）公用经费使用有待加强控制</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leftChars="0" w:firstLine="576" w:firstLineChars="200"/>
        <w:textAlignment w:val="auto"/>
        <w:rPr>
          <w:rFonts w:hint="eastAsia" w:ascii="Times New Roman" w:hAnsi="仿宋" w:eastAsia="宋体" w:cs="仿宋"/>
          <w:b w:val="0"/>
          <w:color w:val="auto"/>
          <w:spacing w:val="4"/>
          <w:kern w:val="2"/>
          <w:sz w:val="28"/>
          <w:szCs w:val="32"/>
          <w:lang w:val="en-US" w:eastAsia="zh-CN" w:bidi="ar-SA"/>
        </w:rPr>
      </w:pPr>
      <w:r>
        <w:rPr>
          <w:rFonts w:hint="eastAsia" w:ascii="Times New Roman" w:hAnsi="仿宋" w:eastAsia="宋体" w:cs="仿宋"/>
          <w:b w:val="0"/>
          <w:color w:val="auto"/>
          <w:spacing w:val="4"/>
          <w:kern w:val="2"/>
          <w:sz w:val="28"/>
          <w:szCs w:val="32"/>
          <w:lang w:val="en-US" w:eastAsia="zh-CN" w:bidi="ar-SA"/>
        </w:rPr>
        <w:t>石狮市应急管理局2022年预算安排公用经费总额为72.64万元，实际支出公用经费总额101.3万元。公用经费的控制率是衡量一个部门或机构对公共资源使用效率的一个关键指标。通过比较预算安排和实际支出来计算，公用经费的控制率为139.5%。该局在公用经费使用方面超出了预算的范围。</w:t>
      </w:r>
    </w:p>
    <w:p>
      <w:pPr>
        <w:keepNext w:val="0"/>
        <w:keepLines w:val="0"/>
        <w:pageBreakBefore w:val="0"/>
        <w:widowControl w:val="0"/>
        <w:kinsoku/>
        <w:wordWrap/>
        <w:overflowPunct/>
        <w:topLinePunct w:val="0"/>
        <w:autoSpaceDE/>
        <w:autoSpaceDN/>
        <w:bidi w:val="0"/>
        <w:adjustRightInd/>
        <w:snapToGrid/>
        <w:spacing w:before="156" w:beforeLines="50" w:beforeAutospacing="0" w:afterAutospacing="0" w:line="360" w:lineRule="auto"/>
        <w:ind w:left="0" w:leftChars="0" w:right="0" w:rightChars="0" w:firstLine="0" w:firstLineChars="0"/>
        <w:jc w:val="left"/>
        <w:textAlignment w:val="auto"/>
        <w:outlineLvl w:val="1"/>
        <w:rPr>
          <w:rFonts w:hint="eastAsia" w:ascii="Times New Roman" w:hAnsi="仿宋" w:eastAsia="宋体" w:cs="仿宋"/>
          <w:b/>
          <w:color w:val="auto"/>
          <w:spacing w:val="4"/>
          <w:sz w:val="30"/>
          <w:szCs w:val="32"/>
        </w:rPr>
      </w:pPr>
      <w:bookmarkStart w:id="260" w:name="_Toc20321"/>
      <w:bookmarkStart w:id="261" w:name="_Toc17711"/>
      <w:r>
        <w:rPr>
          <w:rFonts w:hint="eastAsia" w:ascii="Times New Roman" w:hAnsi="仿宋" w:eastAsia="宋体" w:cs="仿宋"/>
          <w:b/>
          <w:bCs/>
          <w:color w:val="auto"/>
          <w:spacing w:val="4"/>
          <w:kern w:val="2"/>
          <w:sz w:val="30"/>
          <w:szCs w:val="32"/>
          <w:lang w:val="en-US" w:eastAsia="zh-CN" w:bidi="ar-SA"/>
        </w:rPr>
        <w:t>（四）安全生产标准化创建质量还需提升</w:t>
      </w:r>
      <w:bookmarkEnd w:id="260"/>
      <w:bookmarkEnd w:id="261"/>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leftChars="0" w:firstLine="576" w:firstLineChars="200"/>
        <w:textAlignment w:val="auto"/>
        <w:rPr>
          <w:rFonts w:hint="eastAsia" w:ascii="Times New Roman" w:hAnsi="仿宋" w:eastAsia="宋体" w:cs="仿宋"/>
          <w:spacing w:val="4"/>
          <w:sz w:val="28"/>
          <w:szCs w:val="32"/>
          <w:lang w:val="en-US" w:eastAsia="zh-CN"/>
        </w:rPr>
      </w:pPr>
      <w:r>
        <w:rPr>
          <w:rFonts w:hint="eastAsia" w:ascii="Times New Roman" w:hAnsi="仿宋" w:eastAsia="宋体" w:cs="仿宋"/>
          <w:spacing w:val="4"/>
          <w:sz w:val="28"/>
          <w:szCs w:val="32"/>
          <w:lang w:val="en-US" w:eastAsia="zh-CN"/>
        </w:rPr>
        <w:t>检查应急管理及安全生产工作经费项目，发现虽然已实现2579家应创建单位标准化全覆盖，但仍然存在部分企业“创而不标、标而不杆、杆而不立”等问题。比如企业“纸面创建”和无效创建等，需要进一步加强安全生产标准化创建质量提升</w:t>
      </w:r>
    </w:p>
    <w:p>
      <w:pPr>
        <w:keepNext w:val="0"/>
        <w:keepLines w:val="0"/>
        <w:pageBreakBefore w:val="0"/>
        <w:widowControl w:val="0"/>
        <w:numPr>
          <w:ilvl w:val="0"/>
          <w:numId w:val="0"/>
        </w:numPr>
        <w:kinsoku/>
        <w:wordWrap/>
        <w:overflowPunct/>
        <w:topLinePunct w:val="0"/>
        <w:autoSpaceDE/>
        <w:autoSpaceDN/>
        <w:bidi w:val="0"/>
        <w:adjustRightInd/>
        <w:snapToGrid/>
        <w:spacing w:before="312" w:beforeLines="100" w:beforeAutospacing="0" w:after="156" w:afterLines="50" w:afterAutospacing="0" w:line="360" w:lineRule="auto"/>
        <w:ind w:left="0" w:leftChars="0" w:right="0" w:rightChars="0" w:firstLine="0" w:firstLineChars="0"/>
        <w:jc w:val="left"/>
        <w:textAlignment w:val="auto"/>
        <w:outlineLvl w:val="0"/>
        <w:rPr>
          <w:rFonts w:hint="eastAsia" w:ascii="Times New Roman" w:hAnsi="仿宋" w:eastAsia="宋体" w:cs="仿宋"/>
          <w:b/>
          <w:bCs/>
          <w:color w:val="auto"/>
          <w:spacing w:val="4"/>
          <w:kern w:val="2"/>
          <w:sz w:val="32"/>
          <w:szCs w:val="32"/>
          <w:lang w:val="en-US" w:eastAsia="zh-CN" w:bidi="ar-SA"/>
        </w:rPr>
      </w:pPr>
      <w:bookmarkStart w:id="262" w:name="_Toc2669"/>
      <w:r>
        <w:rPr>
          <w:rFonts w:hint="eastAsia" w:ascii="Times New Roman" w:hAnsi="仿宋" w:eastAsia="宋体" w:cs="仿宋"/>
          <w:b/>
          <w:bCs/>
          <w:color w:val="auto"/>
          <w:spacing w:val="4"/>
          <w:kern w:val="2"/>
          <w:sz w:val="32"/>
          <w:szCs w:val="32"/>
          <w:lang w:val="en-US" w:eastAsia="zh-CN" w:bidi="ar-SA"/>
        </w:rPr>
        <w:t>七、改进意见及建议</w:t>
      </w:r>
      <w:bookmarkEnd w:id="262"/>
    </w:p>
    <w:p>
      <w:pPr>
        <w:keepNext w:val="0"/>
        <w:keepLines w:val="0"/>
        <w:pageBreakBefore w:val="0"/>
        <w:widowControl w:val="0"/>
        <w:numPr>
          <w:ilvl w:val="0"/>
          <w:numId w:val="0"/>
        </w:numPr>
        <w:kinsoku/>
        <w:wordWrap/>
        <w:overflowPunct/>
        <w:topLinePunct w:val="0"/>
        <w:autoSpaceDE/>
        <w:autoSpaceDN/>
        <w:bidi w:val="0"/>
        <w:adjustRightInd/>
        <w:snapToGrid/>
        <w:spacing w:before="156" w:beforeLines="50" w:beforeAutospacing="0" w:afterAutospacing="0" w:line="360" w:lineRule="auto"/>
        <w:ind w:left="0" w:leftChars="0" w:right="0" w:rightChars="0" w:firstLine="0" w:firstLineChars="0"/>
        <w:jc w:val="left"/>
        <w:textAlignment w:val="auto"/>
        <w:outlineLvl w:val="1"/>
        <w:rPr>
          <w:rFonts w:hint="eastAsia" w:ascii="Times New Roman" w:hAnsi="仿宋" w:eastAsia="宋体" w:cs="仿宋"/>
          <w:b/>
          <w:bCs/>
          <w:color w:val="auto"/>
          <w:spacing w:val="4"/>
          <w:kern w:val="2"/>
          <w:sz w:val="30"/>
          <w:szCs w:val="32"/>
          <w:lang w:val="en-US" w:eastAsia="zh-CN" w:bidi="ar-SA"/>
        </w:rPr>
      </w:pPr>
      <w:bookmarkStart w:id="263" w:name="_Toc5372"/>
      <w:bookmarkStart w:id="264" w:name="_Toc2895"/>
      <w:bookmarkStart w:id="265" w:name="_Toc1439"/>
      <w:bookmarkStart w:id="266" w:name="_Toc30653"/>
      <w:r>
        <w:rPr>
          <w:rFonts w:hint="eastAsia" w:ascii="Times New Roman" w:hAnsi="仿宋" w:eastAsia="宋体" w:cs="仿宋"/>
          <w:b/>
          <w:bCs/>
          <w:color w:val="auto"/>
          <w:spacing w:val="4"/>
          <w:kern w:val="2"/>
          <w:sz w:val="30"/>
          <w:szCs w:val="32"/>
          <w:lang w:val="en-US" w:eastAsia="zh-CN" w:bidi="ar-SA"/>
        </w:rPr>
        <w:t>（一）及时梳理结转结余资金</w:t>
      </w:r>
      <w:bookmarkEnd w:id="263"/>
      <w:r>
        <w:rPr>
          <w:rFonts w:hint="eastAsia" w:ascii="Times New Roman" w:hAnsi="仿宋" w:eastAsia="宋体" w:cs="仿宋"/>
          <w:b/>
          <w:bCs/>
          <w:color w:val="auto"/>
          <w:spacing w:val="4"/>
          <w:kern w:val="2"/>
          <w:sz w:val="30"/>
          <w:szCs w:val="32"/>
          <w:lang w:val="en-US" w:eastAsia="zh-CN" w:bidi="ar-SA"/>
        </w:rPr>
        <w:t>，合理编制预算</w:t>
      </w:r>
      <w:bookmarkEnd w:id="264"/>
      <w:bookmarkEnd w:id="265"/>
      <w:bookmarkEnd w:id="266"/>
      <w:r>
        <w:rPr>
          <w:rFonts w:hint="eastAsia" w:ascii="Times New Roman" w:hAnsi="仿宋" w:eastAsia="宋体" w:cs="仿宋"/>
          <w:b/>
          <w:bCs/>
          <w:color w:val="auto"/>
          <w:spacing w:val="4"/>
          <w:kern w:val="2"/>
          <w:sz w:val="30"/>
          <w:szCs w:val="32"/>
          <w:lang w:val="en-US" w:eastAsia="zh-CN" w:bidi="ar-SA"/>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leftChars="0" w:firstLine="576" w:firstLineChars="200"/>
        <w:textAlignment w:val="auto"/>
        <w:rPr>
          <w:rFonts w:hint="eastAsia" w:ascii="Times New Roman" w:hAnsi="仿宋" w:eastAsia="宋体" w:cs="仿宋"/>
          <w:b w:val="0"/>
          <w:color w:val="auto"/>
          <w:spacing w:val="4"/>
          <w:kern w:val="2"/>
          <w:sz w:val="28"/>
          <w:szCs w:val="32"/>
          <w:lang w:val="en-US" w:eastAsia="zh-CN" w:bidi="ar-SA"/>
        </w:rPr>
      </w:pPr>
      <w:r>
        <w:rPr>
          <w:rFonts w:hint="eastAsia" w:ascii="Times New Roman" w:hAnsi="仿宋" w:eastAsia="宋体" w:cs="仿宋"/>
          <w:b w:val="0"/>
          <w:color w:val="auto"/>
          <w:spacing w:val="4"/>
          <w:kern w:val="2"/>
          <w:sz w:val="28"/>
          <w:szCs w:val="32"/>
          <w:lang w:val="en-US" w:eastAsia="zh-CN" w:bidi="ar-SA"/>
        </w:rPr>
        <w:t>为避免年末结转结余资金过多，石狮市应急管理局应合理编制年度预算，跟踪资金的使用进度，对结转结余资金情况进行及时梳理分析，理清结转结余资金的来去路径。针对薄弱环节，制定有针对性地解决办法和相应的财务管理规定，进一步规范财务收支管理，提高财政资金使用效率和效益。</w:t>
      </w:r>
    </w:p>
    <w:p>
      <w:pPr>
        <w:keepNext w:val="0"/>
        <w:keepLines w:val="0"/>
        <w:pageBreakBefore w:val="0"/>
        <w:widowControl w:val="0"/>
        <w:numPr>
          <w:ilvl w:val="0"/>
          <w:numId w:val="0"/>
        </w:numPr>
        <w:kinsoku/>
        <w:wordWrap/>
        <w:overflowPunct/>
        <w:topLinePunct w:val="0"/>
        <w:autoSpaceDE/>
        <w:autoSpaceDN/>
        <w:bidi w:val="0"/>
        <w:adjustRightInd/>
        <w:snapToGrid/>
        <w:spacing w:before="156" w:beforeLines="50" w:beforeAutospacing="0" w:afterAutospacing="0" w:line="360" w:lineRule="auto"/>
        <w:ind w:left="0" w:leftChars="0" w:right="0" w:rightChars="0" w:firstLine="0" w:firstLineChars="0"/>
        <w:jc w:val="left"/>
        <w:textAlignment w:val="auto"/>
        <w:outlineLvl w:val="1"/>
        <w:rPr>
          <w:rFonts w:hint="eastAsia" w:ascii="Times New Roman" w:hAnsi="仿宋" w:eastAsia="宋体" w:cs="仿宋"/>
          <w:b/>
          <w:bCs/>
          <w:color w:val="auto"/>
          <w:spacing w:val="4"/>
          <w:kern w:val="2"/>
          <w:sz w:val="30"/>
          <w:szCs w:val="32"/>
          <w:lang w:val="en-US" w:eastAsia="zh-CN" w:bidi="ar-SA"/>
        </w:rPr>
      </w:pPr>
      <w:bookmarkStart w:id="267" w:name="_Toc29901"/>
      <w:r>
        <w:rPr>
          <w:rFonts w:hint="eastAsia" w:ascii="Times New Roman" w:hAnsi="仿宋" w:eastAsia="宋体" w:cs="仿宋"/>
          <w:b/>
          <w:bCs/>
          <w:color w:val="auto"/>
          <w:spacing w:val="4"/>
          <w:kern w:val="2"/>
          <w:sz w:val="30"/>
          <w:szCs w:val="32"/>
          <w:lang w:val="en-US" w:eastAsia="zh-CN" w:bidi="ar-SA"/>
        </w:rPr>
        <w:t>（二）合理编制采购预算方案，做好采购预算规划</w:t>
      </w:r>
      <w:bookmarkEnd w:id="267"/>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leftChars="0" w:firstLine="576" w:firstLineChars="200"/>
        <w:textAlignment w:val="auto"/>
        <w:rPr>
          <w:rFonts w:hint="eastAsia" w:ascii="Times New Roman" w:hAnsi="仿宋" w:eastAsia="宋体" w:cs="仿宋"/>
          <w:b w:val="0"/>
          <w:color w:val="auto"/>
          <w:spacing w:val="4"/>
          <w:kern w:val="2"/>
          <w:sz w:val="28"/>
          <w:szCs w:val="32"/>
          <w:lang w:val="en-US" w:eastAsia="zh-CN" w:bidi="ar-SA"/>
        </w:rPr>
      </w:pPr>
      <w:r>
        <w:rPr>
          <w:rFonts w:hint="eastAsia" w:ascii="Times New Roman" w:hAnsi="仿宋" w:eastAsia="宋体" w:cs="仿宋"/>
          <w:b w:val="0"/>
          <w:color w:val="auto"/>
          <w:spacing w:val="4"/>
          <w:kern w:val="2"/>
          <w:sz w:val="28"/>
          <w:szCs w:val="32"/>
          <w:lang w:val="en-US" w:eastAsia="zh-CN" w:bidi="ar-SA"/>
        </w:rPr>
        <w:t>对涉及其他部门职能，要及时与部门进行沟通，根据货物的购买性支出预算金额和技术要求，做好采购预算规划，编制预算方案，并下发各部门依次执行，完善统一，提高政府采购预算管理的质量水平。</w:t>
      </w:r>
    </w:p>
    <w:p>
      <w:pPr>
        <w:keepNext w:val="0"/>
        <w:keepLines w:val="0"/>
        <w:pageBreakBefore w:val="0"/>
        <w:widowControl w:val="0"/>
        <w:numPr>
          <w:ilvl w:val="0"/>
          <w:numId w:val="0"/>
        </w:numPr>
        <w:kinsoku/>
        <w:wordWrap/>
        <w:overflowPunct/>
        <w:topLinePunct w:val="0"/>
        <w:autoSpaceDE/>
        <w:autoSpaceDN/>
        <w:bidi w:val="0"/>
        <w:adjustRightInd/>
        <w:snapToGrid/>
        <w:spacing w:before="156" w:beforeLines="50" w:beforeAutospacing="0" w:afterAutospacing="0" w:line="360" w:lineRule="auto"/>
        <w:ind w:left="0" w:leftChars="0" w:right="0" w:rightChars="0" w:firstLine="0" w:firstLineChars="0"/>
        <w:jc w:val="left"/>
        <w:textAlignment w:val="auto"/>
        <w:outlineLvl w:val="1"/>
        <w:rPr>
          <w:rFonts w:hint="eastAsia" w:ascii="Times New Roman" w:hAnsi="仿宋" w:eastAsia="宋体" w:cs="仿宋"/>
          <w:b/>
          <w:bCs/>
          <w:color w:val="auto"/>
          <w:spacing w:val="4"/>
          <w:kern w:val="2"/>
          <w:sz w:val="30"/>
          <w:szCs w:val="32"/>
          <w:lang w:val="en-US" w:eastAsia="zh-CN" w:bidi="ar-SA"/>
        </w:rPr>
      </w:pPr>
      <w:r>
        <w:rPr>
          <w:rFonts w:hint="eastAsia" w:ascii="Times New Roman" w:hAnsi="仿宋" w:eastAsia="宋体" w:cs="仿宋"/>
          <w:b/>
          <w:bCs/>
          <w:color w:val="auto"/>
          <w:spacing w:val="4"/>
          <w:kern w:val="2"/>
          <w:sz w:val="30"/>
          <w:szCs w:val="32"/>
          <w:lang w:val="en-US" w:eastAsia="zh-CN" w:bidi="ar-SA"/>
        </w:rPr>
        <w:t>（三）严格控制公用经费的合理使用</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leftChars="0" w:firstLine="576" w:firstLineChars="200"/>
        <w:textAlignment w:val="auto"/>
        <w:rPr>
          <w:rFonts w:hint="eastAsia" w:ascii="Times New Roman" w:hAnsi="仿宋" w:eastAsia="宋体" w:cs="仿宋"/>
          <w:b w:val="0"/>
          <w:color w:val="auto"/>
          <w:spacing w:val="4"/>
          <w:kern w:val="2"/>
          <w:sz w:val="28"/>
          <w:szCs w:val="32"/>
          <w:lang w:val="en-US" w:eastAsia="zh-CN" w:bidi="ar-SA"/>
        </w:rPr>
      </w:pPr>
      <w:r>
        <w:rPr>
          <w:rFonts w:hint="eastAsia" w:ascii="Times New Roman" w:hAnsi="仿宋" w:eastAsia="宋体" w:cs="仿宋"/>
          <w:b w:val="0"/>
          <w:color w:val="auto"/>
          <w:spacing w:val="4"/>
          <w:kern w:val="2"/>
          <w:sz w:val="28"/>
          <w:szCs w:val="32"/>
          <w:lang w:val="en-US" w:eastAsia="zh-CN" w:bidi="ar-SA"/>
        </w:rPr>
        <w:t>为了避免公用经费的浪费，石狮市应急管理局需要进行详细的预算编制和审计，确保所有的开支都符合预算要求，并加强内部控制，防止不必要的开支。如，需要建立完善的公共经费管理制度和流程，明确各项经费的使用范围和标准，并加强对经费使用的审核和审批工作，确保每一笔经费都得到合理、规范的运用。</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156" w:beforeLines="50" w:beforeAutospacing="0" w:afterAutospacing="0" w:line="360" w:lineRule="auto"/>
        <w:ind w:left="0" w:leftChars="0" w:right="0" w:rightChars="0" w:firstLine="0" w:firstLineChars="0"/>
        <w:jc w:val="left"/>
        <w:textAlignment w:val="auto"/>
        <w:outlineLvl w:val="1"/>
        <w:rPr>
          <w:rFonts w:hint="default" w:ascii="Times New Roman" w:hAnsi="仿宋" w:eastAsia="宋体" w:cs="仿宋"/>
          <w:b/>
          <w:bCs/>
          <w:color w:val="auto"/>
          <w:spacing w:val="4"/>
          <w:kern w:val="2"/>
          <w:sz w:val="30"/>
          <w:szCs w:val="32"/>
          <w:lang w:val="en-US" w:eastAsia="zh-CN" w:bidi="ar-SA"/>
        </w:rPr>
      </w:pPr>
      <w:bookmarkStart w:id="268" w:name="_Toc894"/>
      <w:r>
        <w:rPr>
          <w:rFonts w:hint="eastAsia" w:ascii="Times New Roman" w:hAnsi="仿宋" w:eastAsia="宋体" w:cs="仿宋"/>
          <w:b/>
          <w:bCs/>
          <w:color w:val="auto"/>
          <w:spacing w:val="4"/>
          <w:kern w:val="2"/>
          <w:sz w:val="30"/>
          <w:szCs w:val="32"/>
          <w:lang w:val="en-US" w:eastAsia="zh-CN" w:bidi="ar-SA"/>
        </w:rPr>
        <w:t>（四）</w:t>
      </w:r>
      <w:r>
        <w:rPr>
          <w:rFonts w:hint="default" w:ascii="Times New Roman" w:hAnsi="仿宋" w:eastAsia="宋体" w:cs="仿宋"/>
          <w:b/>
          <w:bCs/>
          <w:color w:val="auto"/>
          <w:spacing w:val="4"/>
          <w:kern w:val="2"/>
          <w:sz w:val="30"/>
          <w:szCs w:val="32"/>
          <w:lang w:val="en-US" w:eastAsia="zh-CN" w:bidi="ar-SA"/>
        </w:rPr>
        <w:t>巩固提升标准化创建工作</w:t>
      </w:r>
      <w:bookmarkEnd w:id="268"/>
    </w:p>
    <w:p>
      <w:pPr>
        <w:pStyle w:val="2"/>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76" w:firstLineChars="200"/>
        <w:textAlignment w:val="auto"/>
        <w:rPr>
          <w:rFonts w:hint="default" w:ascii="Times New Roman" w:hAnsi="仿宋" w:eastAsia="宋体" w:cs="仿宋"/>
          <w:b w:val="0"/>
          <w:color w:val="auto"/>
          <w:spacing w:val="4"/>
          <w:kern w:val="2"/>
          <w:sz w:val="28"/>
          <w:szCs w:val="32"/>
          <w:lang w:val="en-US" w:eastAsia="zh-CN" w:bidi="ar-SA"/>
        </w:rPr>
      </w:pPr>
      <w:r>
        <w:rPr>
          <w:rFonts w:hint="eastAsia" w:ascii="Times New Roman" w:hAnsi="仿宋" w:eastAsia="宋体" w:cs="仿宋"/>
          <w:b w:val="0"/>
          <w:color w:val="auto"/>
          <w:spacing w:val="4"/>
          <w:kern w:val="2"/>
          <w:sz w:val="28"/>
          <w:szCs w:val="32"/>
          <w:lang w:val="en-US" w:eastAsia="zh-CN" w:bidi="ar-SA"/>
        </w:rPr>
        <w:t>针对纸面创建现象严重的问题，建议</w:t>
      </w:r>
      <w:r>
        <w:rPr>
          <w:rFonts w:hint="default" w:ascii="Times New Roman" w:hAnsi="仿宋" w:eastAsia="宋体" w:cs="仿宋"/>
          <w:b w:val="0"/>
          <w:color w:val="auto"/>
          <w:spacing w:val="4"/>
          <w:kern w:val="2"/>
          <w:sz w:val="28"/>
          <w:szCs w:val="32"/>
          <w:lang w:val="en-US" w:eastAsia="zh-CN" w:bidi="ar-SA"/>
        </w:rPr>
        <w:t>扎实开展安全生产标准化提升专项行动，健全完善“1+5”标准化提升工作体系，并优化升级“33456”工作法。运用信息化系统对生产经营单位的标准化创建和运行进行动态管理，推动全行业的标准化与信息化有机融合。</w:t>
      </w:r>
    </w:p>
    <w:p>
      <w:pPr>
        <w:keepNext w:val="0"/>
        <w:keepLines w:val="0"/>
        <w:pageBreakBefore w:val="0"/>
        <w:widowControl w:val="0"/>
        <w:numPr>
          <w:ilvl w:val="0"/>
          <w:numId w:val="0"/>
        </w:numPr>
        <w:kinsoku/>
        <w:wordWrap/>
        <w:overflowPunct/>
        <w:topLinePunct w:val="0"/>
        <w:autoSpaceDE/>
        <w:autoSpaceDN/>
        <w:bidi w:val="0"/>
        <w:adjustRightInd/>
        <w:snapToGrid/>
        <w:spacing w:before="312" w:beforeLines="100" w:beforeAutospacing="0" w:after="156" w:afterLines="50" w:afterAutospacing="0" w:line="360" w:lineRule="auto"/>
        <w:ind w:left="0" w:leftChars="0" w:right="0" w:rightChars="0" w:firstLine="0" w:firstLineChars="0"/>
        <w:jc w:val="left"/>
        <w:textAlignment w:val="auto"/>
        <w:outlineLvl w:val="0"/>
        <w:rPr>
          <w:rFonts w:hint="default" w:ascii="Times New Roman" w:hAnsi="仿宋" w:eastAsia="宋体" w:cs="仿宋"/>
          <w:b/>
          <w:bCs/>
          <w:color w:val="auto"/>
          <w:spacing w:val="4"/>
          <w:kern w:val="2"/>
          <w:sz w:val="32"/>
          <w:szCs w:val="32"/>
          <w:lang w:val="en-US" w:eastAsia="zh-CN" w:bidi="ar-SA"/>
        </w:rPr>
      </w:pPr>
      <w:r>
        <w:rPr>
          <w:rFonts w:hint="eastAsia" w:ascii="Times New Roman" w:hAnsi="仿宋" w:eastAsia="宋体" w:cs="仿宋"/>
          <w:b/>
          <w:bCs/>
          <w:color w:val="auto"/>
          <w:spacing w:val="4"/>
          <w:kern w:val="2"/>
          <w:sz w:val="32"/>
          <w:szCs w:val="32"/>
          <w:lang w:val="en-US" w:eastAsia="zh-CN" w:bidi="ar-SA"/>
        </w:rPr>
        <w:t>八、其他需要说明的问题</w:t>
      </w:r>
      <w:bookmarkEnd w:id="250"/>
      <w:bookmarkEnd w:id="251"/>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leftChars="0" w:firstLine="576" w:firstLineChars="200"/>
        <w:textAlignment w:val="auto"/>
        <w:rPr>
          <w:rFonts w:hint="eastAsia" w:ascii="Times New Roman" w:hAnsi="仿宋" w:eastAsia="宋体" w:cs="仿宋"/>
          <w:b w:val="0"/>
          <w:color w:val="auto"/>
          <w:spacing w:val="4"/>
          <w:kern w:val="2"/>
          <w:sz w:val="28"/>
          <w:szCs w:val="32"/>
          <w:lang w:val="en-US" w:eastAsia="zh-CN" w:bidi="ar-SA"/>
        </w:rPr>
      </w:pPr>
      <w:r>
        <w:rPr>
          <w:rFonts w:hint="eastAsia" w:ascii="Times New Roman" w:hAnsi="仿宋" w:eastAsia="宋体" w:cs="仿宋"/>
          <w:b w:val="0"/>
          <w:color w:val="auto"/>
          <w:spacing w:val="4"/>
          <w:kern w:val="2"/>
          <w:sz w:val="28"/>
          <w:szCs w:val="32"/>
          <w:lang w:val="en-US" w:eastAsia="zh-CN" w:bidi="ar-SA"/>
        </w:rPr>
        <w:t>本报告中“2022年度石狮市应急管理局部门整体支出”相关数据，均以项目单位提供的项目支出明细账、财务报表为来源依据。</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leftChars="0" w:firstLine="576" w:firstLineChars="200"/>
        <w:textAlignment w:val="auto"/>
        <w:rPr>
          <w:rFonts w:hint="eastAsia" w:ascii="Times New Roman" w:hAnsi="仿宋" w:eastAsia="宋体" w:cs="仿宋"/>
          <w:b w:val="0"/>
          <w:color w:val="auto"/>
          <w:spacing w:val="4"/>
          <w:kern w:val="2"/>
          <w:sz w:val="28"/>
          <w:szCs w:val="32"/>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leftChars="0" w:firstLine="576" w:firstLineChars="200"/>
        <w:jc w:val="right"/>
        <w:textAlignment w:val="auto"/>
        <w:rPr>
          <w:rFonts w:hint="eastAsia" w:ascii="Times New Roman" w:hAnsi="仿宋" w:eastAsia="宋体" w:cs="仿宋"/>
          <w:b w:val="0"/>
          <w:color w:val="auto"/>
          <w:spacing w:val="4"/>
          <w:kern w:val="2"/>
          <w:sz w:val="28"/>
          <w:szCs w:val="32"/>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leftChars="0" w:firstLine="576" w:firstLineChars="200"/>
        <w:jc w:val="right"/>
        <w:textAlignment w:val="auto"/>
        <w:rPr>
          <w:rFonts w:hint="eastAsia" w:ascii="Times New Roman" w:hAnsi="仿宋" w:eastAsia="宋体" w:cs="仿宋"/>
          <w:b w:val="0"/>
          <w:color w:val="auto"/>
          <w:spacing w:val="4"/>
          <w:kern w:val="2"/>
          <w:sz w:val="28"/>
          <w:szCs w:val="32"/>
          <w:lang w:val="en-US" w:eastAsia="zh-CN" w:bidi="ar-SA"/>
        </w:rPr>
      </w:pPr>
      <w:r>
        <w:rPr>
          <w:rFonts w:hint="eastAsia" w:ascii="Times New Roman" w:hAnsi="仿宋" w:eastAsia="宋体" w:cs="仿宋"/>
          <w:b w:val="0"/>
          <w:color w:val="auto"/>
          <w:spacing w:val="4"/>
          <w:kern w:val="2"/>
          <w:sz w:val="28"/>
          <w:szCs w:val="32"/>
          <w:lang w:val="en-US" w:eastAsia="zh-CN" w:bidi="ar-SA"/>
        </w:rPr>
        <w:t>泉州市启程财务咨询有限公司</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leftChars="0" w:firstLine="576" w:firstLineChars="200"/>
        <w:jc w:val="center"/>
        <w:textAlignment w:val="auto"/>
        <w:rPr>
          <w:rFonts w:hint="eastAsia" w:ascii="Times New Roman" w:hAnsi="仿宋" w:eastAsia="宋体" w:cs="仿宋"/>
          <w:b w:val="0"/>
          <w:color w:val="auto"/>
          <w:spacing w:val="4"/>
          <w:kern w:val="2"/>
          <w:sz w:val="28"/>
          <w:szCs w:val="32"/>
          <w:lang w:val="en-US" w:eastAsia="zh-CN" w:bidi="ar-SA"/>
        </w:rPr>
      </w:pPr>
      <w:r>
        <w:rPr>
          <w:rFonts w:hint="eastAsia" w:ascii="Times New Roman" w:hAnsi="仿宋" w:eastAsia="宋体" w:cs="仿宋"/>
          <w:b w:val="0"/>
          <w:color w:val="auto"/>
          <w:spacing w:val="4"/>
          <w:kern w:val="2"/>
          <w:sz w:val="28"/>
          <w:szCs w:val="32"/>
          <w:lang w:val="en-US" w:eastAsia="zh-CN" w:bidi="ar-SA"/>
        </w:rPr>
        <w:t xml:space="preserve">                        2023年6月20日</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leftChars="0" w:firstLine="576" w:firstLineChars="200"/>
        <w:textAlignment w:val="auto"/>
        <w:rPr>
          <w:rFonts w:hint="eastAsia" w:ascii="Times New Roman" w:hAnsi="仿宋" w:eastAsia="宋体" w:cs="仿宋"/>
          <w:b w:val="0"/>
          <w:color w:val="auto"/>
          <w:spacing w:val="4"/>
          <w:kern w:val="2"/>
          <w:sz w:val="28"/>
          <w:szCs w:val="32"/>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leftChars="0" w:firstLine="576" w:firstLineChars="200"/>
        <w:textAlignment w:val="auto"/>
        <w:rPr>
          <w:rFonts w:hint="eastAsia" w:ascii="Times New Roman" w:hAnsi="仿宋" w:eastAsia="宋体" w:cs="仿宋"/>
          <w:b w:val="0"/>
          <w:color w:val="auto"/>
          <w:spacing w:val="4"/>
          <w:kern w:val="2"/>
          <w:sz w:val="28"/>
          <w:szCs w:val="32"/>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leftChars="0" w:firstLine="576" w:firstLineChars="200"/>
        <w:textAlignment w:val="auto"/>
        <w:rPr>
          <w:rFonts w:hint="eastAsia" w:ascii="Times New Roman" w:hAnsi="仿宋" w:eastAsia="宋体" w:cs="仿宋"/>
          <w:b w:val="0"/>
          <w:color w:val="auto"/>
          <w:spacing w:val="4"/>
          <w:kern w:val="2"/>
          <w:sz w:val="28"/>
          <w:szCs w:val="32"/>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leftChars="0" w:firstLine="576" w:firstLineChars="200"/>
        <w:textAlignment w:val="auto"/>
        <w:rPr>
          <w:rFonts w:hint="eastAsia" w:ascii="Times New Roman" w:hAnsi="仿宋" w:eastAsia="宋体" w:cs="仿宋"/>
          <w:b w:val="0"/>
          <w:color w:val="auto"/>
          <w:spacing w:val="4"/>
          <w:kern w:val="2"/>
          <w:sz w:val="28"/>
          <w:szCs w:val="32"/>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leftChars="0" w:firstLine="0"/>
        <w:textAlignment w:val="auto"/>
        <w:rPr>
          <w:rFonts w:hint="eastAsia" w:ascii="Times New Roman" w:hAnsi="仿宋" w:eastAsia="宋体" w:cs="仿宋"/>
          <w:b w:val="0"/>
          <w:color w:val="auto"/>
          <w:spacing w:val="4"/>
          <w:kern w:val="2"/>
          <w:sz w:val="28"/>
          <w:szCs w:val="32"/>
          <w:lang w:val="en-US" w:eastAsia="zh-CN" w:bidi="ar-SA"/>
        </w:rPr>
      </w:pPr>
    </w:p>
    <w:p>
      <w:pPr>
        <w:pStyle w:val="2"/>
        <w:snapToGrid/>
        <w:spacing w:beforeAutospacing="0" w:afterAutospacing="0" w:line="360" w:lineRule="auto"/>
        <w:ind w:left="0" w:leftChars="0" w:firstLine="0"/>
        <w:rPr>
          <w:rFonts w:hint="eastAsia" w:ascii="Times New Roman" w:hAnsi="仿宋" w:eastAsia="宋体" w:cs="仿宋"/>
          <w:b w:val="0"/>
          <w:color w:val="auto"/>
          <w:spacing w:val="4"/>
          <w:kern w:val="2"/>
          <w:sz w:val="28"/>
          <w:szCs w:val="32"/>
          <w:lang w:val="en-US" w:eastAsia="zh-CN" w:bidi="ar-SA"/>
        </w:rPr>
      </w:pPr>
    </w:p>
    <w:p>
      <w:pPr>
        <w:snapToGrid/>
        <w:spacing w:beforeAutospacing="0" w:afterAutospacing="0" w:line="360" w:lineRule="auto"/>
        <w:ind w:left="0" w:leftChars="0" w:firstLine="0"/>
        <w:rPr>
          <w:rFonts w:hint="eastAsia" w:ascii="Times New Roman" w:hAnsi="仿宋" w:eastAsia="宋体" w:cs="仿宋"/>
          <w:b w:val="0"/>
          <w:color w:val="auto"/>
          <w:spacing w:val="4"/>
          <w:kern w:val="2"/>
          <w:sz w:val="28"/>
          <w:szCs w:val="32"/>
          <w:lang w:val="en-US" w:eastAsia="zh-CN" w:bidi="ar-SA"/>
        </w:rPr>
      </w:pPr>
    </w:p>
    <w:p>
      <w:pPr>
        <w:pStyle w:val="2"/>
        <w:snapToGrid/>
        <w:spacing w:beforeAutospacing="0" w:afterAutospacing="0" w:line="360" w:lineRule="auto"/>
        <w:ind w:left="0" w:leftChars="0" w:firstLine="0"/>
        <w:rPr>
          <w:rFonts w:hint="eastAsia" w:ascii="Times New Roman" w:eastAsia="宋体"/>
          <w:sz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leftChars="0" w:firstLine="0"/>
        <w:textAlignment w:val="auto"/>
        <w:rPr>
          <w:rFonts w:hint="eastAsia" w:ascii="Times New Roman" w:hAnsi="仿宋" w:eastAsia="宋体" w:cs="仿宋"/>
          <w:b w:val="0"/>
          <w:color w:val="auto"/>
          <w:spacing w:val="4"/>
          <w:kern w:val="2"/>
          <w:sz w:val="28"/>
          <w:szCs w:val="32"/>
          <w:lang w:val="en-US" w:eastAsia="zh-CN" w:bidi="ar-SA"/>
        </w:rPr>
      </w:pPr>
      <w:r>
        <w:rPr>
          <w:rFonts w:hint="eastAsia" w:ascii="Times New Roman" w:hAnsi="仿宋" w:eastAsia="宋体" w:cs="仿宋"/>
          <w:b w:val="0"/>
          <w:color w:val="auto"/>
          <w:spacing w:val="4"/>
          <w:kern w:val="2"/>
          <w:sz w:val="28"/>
          <w:szCs w:val="32"/>
          <w:lang w:val="en-US" w:eastAsia="zh-CN" w:bidi="ar-SA"/>
        </w:rPr>
        <w:t>附件一：</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leftChars="0" w:firstLine="0"/>
        <w:jc w:val="center"/>
        <w:textAlignment w:val="auto"/>
        <w:rPr>
          <w:rFonts w:hint="eastAsia" w:ascii="Times New Roman" w:hAnsi="仿宋" w:eastAsia="宋体" w:cs="仿宋"/>
          <w:b/>
          <w:bCs/>
          <w:color w:val="auto"/>
          <w:spacing w:val="4"/>
          <w:kern w:val="2"/>
          <w:sz w:val="28"/>
          <w:szCs w:val="32"/>
          <w:lang w:val="en-US" w:eastAsia="zh-CN" w:bidi="ar-SA"/>
        </w:rPr>
      </w:pPr>
      <w:r>
        <w:rPr>
          <w:rFonts w:hint="eastAsia" w:ascii="Times New Roman" w:hAnsi="仿宋" w:eastAsia="宋体" w:cs="仿宋"/>
          <w:b/>
          <w:bCs/>
          <w:color w:val="auto"/>
          <w:spacing w:val="4"/>
          <w:kern w:val="2"/>
          <w:sz w:val="28"/>
          <w:szCs w:val="32"/>
          <w:lang w:val="en-US" w:eastAsia="zh-CN" w:bidi="ar-SA"/>
        </w:rPr>
        <w:t>2022年度石狮市应急管理局部门整体支出</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leftChars="0" w:firstLine="578" w:firstLineChars="200"/>
        <w:jc w:val="both"/>
        <w:textAlignment w:val="auto"/>
        <w:rPr>
          <w:rFonts w:hint="eastAsia" w:ascii="Times New Roman" w:hAnsi="仿宋" w:eastAsia="宋体" w:cs="仿宋"/>
          <w:b/>
          <w:bCs/>
          <w:color w:val="auto"/>
          <w:spacing w:val="4"/>
          <w:kern w:val="2"/>
          <w:sz w:val="28"/>
          <w:szCs w:val="32"/>
          <w:lang w:val="en-US" w:eastAsia="zh-CN" w:bidi="ar-SA"/>
        </w:rPr>
      </w:pPr>
      <w:r>
        <w:rPr>
          <w:rFonts w:hint="eastAsia" w:ascii="Times New Roman" w:hAnsi="仿宋" w:eastAsia="宋体" w:cs="仿宋"/>
          <w:b/>
          <w:bCs/>
          <w:color w:val="auto"/>
          <w:spacing w:val="4"/>
          <w:kern w:val="2"/>
          <w:sz w:val="28"/>
          <w:szCs w:val="32"/>
          <w:lang w:val="en-US" w:eastAsia="zh-CN" w:bidi="ar-SA"/>
        </w:rPr>
        <w:t>满意度调查问卷</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leftChars="0" w:firstLine="0"/>
        <w:textAlignment w:val="auto"/>
        <w:rPr>
          <w:rFonts w:hint="eastAsia" w:ascii="Times New Roman" w:hAnsi="仿宋" w:eastAsia="宋体" w:cs="仿宋"/>
          <w:b w:val="0"/>
          <w:color w:val="auto"/>
          <w:spacing w:val="4"/>
          <w:kern w:val="2"/>
          <w:sz w:val="28"/>
          <w:szCs w:val="32"/>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leftChars="0" w:firstLine="0"/>
        <w:textAlignment w:val="auto"/>
        <w:rPr>
          <w:rFonts w:hint="eastAsia" w:ascii="Times New Roman" w:hAnsi="仿宋" w:eastAsia="宋体" w:cs="仿宋"/>
          <w:b w:val="0"/>
          <w:color w:val="auto"/>
          <w:spacing w:val="4"/>
          <w:kern w:val="2"/>
          <w:sz w:val="28"/>
          <w:szCs w:val="32"/>
          <w:lang w:val="en-US" w:eastAsia="zh-CN" w:bidi="ar-SA"/>
        </w:rPr>
      </w:pPr>
      <w:r>
        <w:rPr>
          <w:rFonts w:hint="eastAsia" w:ascii="Times New Roman" w:hAnsi="仿宋" w:eastAsia="宋体" w:cs="仿宋"/>
          <w:b w:val="0"/>
          <w:color w:val="auto"/>
          <w:spacing w:val="4"/>
          <w:kern w:val="2"/>
          <w:sz w:val="28"/>
          <w:szCs w:val="32"/>
          <w:lang w:val="en-US" w:eastAsia="zh-CN" w:bidi="ar-SA"/>
        </w:rPr>
        <w:t>尊敬的填表人：</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leftChars="0" w:firstLine="576" w:firstLineChars="200"/>
        <w:textAlignment w:val="auto"/>
        <w:rPr>
          <w:rFonts w:hint="eastAsia" w:ascii="Times New Roman" w:hAnsi="仿宋" w:eastAsia="宋体" w:cs="仿宋"/>
          <w:b w:val="0"/>
          <w:color w:val="auto"/>
          <w:spacing w:val="4"/>
          <w:kern w:val="2"/>
          <w:sz w:val="28"/>
          <w:szCs w:val="32"/>
          <w:lang w:val="en-US" w:eastAsia="zh-CN" w:bidi="ar-SA"/>
        </w:rPr>
      </w:pPr>
      <w:r>
        <w:rPr>
          <w:rFonts w:hint="eastAsia" w:ascii="Times New Roman" w:hAnsi="仿宋" w:eastAsia="宋体" w:cs="仿宋"/>
          <w:b w:val="0"/>
          <w:color w:val="auto"/>
          <w:spacing w:val="4"/>
          <w:kern w:val="2"/>
          <w:sz w:val="28"/>
          <w:szCs w:val="32"/>
          <w:lang w:val="en-US" w:eastAsia="zh-CN" w:bidi="ar-SA"/>
        </w:rPr>
        <w:t>我们接受石狮市财政局委托，现对石狮市应急管理局部门整体支出进行绩效评价。为了充分了解该单位整体支出的产出效益，现需进行该项目满意度调查，敬请配合，不胜感谢！</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leftChars="0" w:firstLine="576" w:firstLineChars="200"/>
        <w:textAlignment w:val="auto"/>
        <w:rPr>
          <w:rFonts w:hint="eastAsia" w:ascii="Times New Roman" w:hAnsi="仿宋" w:eastAsia="宋体" w:cs="仿宋"/>
          <w:b w:val="0"/>
          <w:color w:val="auto"/>
          <w:spacing w:val="4"/>
          <w:kern w:val="2"/>
          <w:sz w:val="28"/>
          <w:szCs w:val="32"/>
          <w:lang w:val="en-US" w:eastAsia="zh-CN" w:bidi="ar-SA"/>
        </w:rPr>
      </w:pPr>
      <w:r>
        <w:rPr>
          <w:rFonts w:hint="eastAsia" w:ascii="Times New Roman" w:hAnsi="仿宋" w:eastAsia="宋体" w:cs="仿宋"/>
          <w:b w:val="0"/>
          <w:color w:val="auto"/>
          <w:spacing w:val="4"/>
          <w:kern w:val="2"/>
          <w:sz w:val="28"/>
          <w:szCs w:val="32"/>
          <w:lang w:val="en-US" w:eastAsia="zh-CN" w:bidi="ar-SA"/>
        </w:rPr>
        <w:t>此致！</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leftChars="0" w:firstLine="576" w:firstLineChars="200"/>
        <w:textAlignment w:val="auto"/>
        <w:rPr>
          <w:rFonts w:hint="eastAsia" w:ascii="Times New Roman" w:hAnsi="仿宋" w:eastAsia="宋体" w:cs="仿宋"/>
          <w:b w:val="0"/>
          <w:color w:val="auto"/>
          <w:spacing w:val="4"/>
          <w:kern w:val="2"/>
          <w:sz w:val="28"/>
          <w:szCs w:val="32"/>
          <w:lang w:val="en-US" w:eastAsia="zh-CN" w:bidi="ar-SA"/>
        </w:rPr>
      </w:pPr>
      <w:r>
        <w:rPr>
          <w:rFonts w:hint="eastAsia" w:ascii="Times New Roman" w:hAnsi="仿宋" w:eastAsia="宋体" w:cs="仿宋"/>
          <w:b w:val="0"/>
          <w:color w:val="auto"/>
          <w:spacing w:val="4"/>
          <w:kern w:val="2"/>
          <w:sz w:val="28"/>
          <w:szCs w:val="32"/>
          <w:lang w:val="en-US" w:eastAsia="zh-CN" w:bidi="ar-SA"/>
        </w:rPr>
        <w:t>请在所选答案的序号上划“√”，或将答案填写在相应的横线上</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leftChars="0" w:firstLine="576" w:firstLineChars="200"/>
        <w:textAlignment w:val="auto"/>
        <w:rPr>
          <w:rFonts w:hint="eastAsia" w:ascii="Times New Roman" w:hAnsi="仿宋" w:eastAsia="宋体" w:cs="仿宋"/>
          <w:b w:val="0"/>
          <w:color w:val="auto"/>
          <w:spacing w:val="4"/>
          <w:kern w:val="2"/>
          <w:sz w:val="28"/>
          <w:szCs w:val="32"/>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leftChars="0" w:firstLine="576" w:firstLineChars="200"/>
        <w:textAlignment w:val="auto"/>
        <w:rPr>
          <w:rFonts w:hint="eastAsia" w:ascii="Times New Roman" w:hAnsi="仿宋" w:eastAsia="宋体" w:cs="仿宋"/>
          <w:b w:val="0"/>
          <w:color w:val="auto"/>
          <w:spacing w:val="4"/>
          <w:kern w:val="2"/>
          <w:sz w:val="28"/>
          <w:szCs w:val="32"/>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leftChars="0" w:firstLine="576" w:firstLineChars="200"/>
        <w:jc w:val="right"/>
        <w:textAlignment w:val="auto"/>
        <w:rPr>
          <w:rFonts w:hint="eastAsia" w:ascii="Times New Roman" w:hAnsi="仿宋" w:eastAsia="宋体" w:cs="仿宋"/>
          <w:b w:val="0"/>
          <w:color w:val="auto"/>
          <w:spacing w:val="4"/>
          <w:kern w:val="2"/>
          <w:sz w:val="28"/>
          <w:szCs w:val="32"/>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leftChars="0" w:firstLine="576" w:firstLineChars="200"/>
        <w:jc w:val="right"/>
        <w:textAlignment w:val="auto"/>
        <w:rPr>
          <w:rFonts w:hint="eastAsia" w:ascii="Times New Roman" w:hAnsi="仿宋" w:eastAsia="宋体" w:cs="仿宋"/>
          <w:b w:val="0"/>
          <w:color w:val="auto"/>
          <w:spacing w:val="4"/>
          <w:kern w:val="2"/>
          <w:sz w:val="28"/>
          <w:szCs w:val="32"/>
          <w:lang w:val="en-US" w:eastAsia="zh-CN" w:bidi="ar-SA"/>
        </w:rPr>
      </w:pPr>
      <w:r>
        <w:rPr>
          <w:rFonts w:hint="eastAsia" w:ascii="Times New Roman" w:hAnsi="仿宋" w:eastAsia="宋体" w:cs="仿宋"/>
          <w:b w:val="0"/>
          <w:color w:val="auto"/>
          <w:spacing w:val="4"/>
          <w:kern w:val="2"/>
          <w:sz w:val="28"/>
          <w:szCs w:val="32"/>
          <w:lang w:val="en-US" w:eastAsia="zh-CN" w:bidi="ar-SA"/>
        </w:rPr>
        <w:t xml:space="preserve">泉州市启程财务咨询有限公司     </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0" w:leftChars="0" w:firstLine="576" w:firstLineChars="200"/>
        <w:jc w:val="center"/>
        <w:textAlignment w:val="auto"/>
        <w:rPr>
          <w:rFonts w:ascii="Times New Roman" w:hAnsi="仿宋" w:eastAsia="宋体" w:cs="仿宋"/>
          <w:color w:val="auto"/>
          <w:sz w:val="28"/>
          <w:szCs w:val="32"/>
        </w:rPr>
      </w:pPr>
      <w:r>
        <w:rPr>
          <w:rFonts w:hint="eastAsia" w:ascii="Times New Roman" w:hAnsi="仿宋" w:eastAsia="宋体" w:cs="仿宋"/>
          <w:b w:val="0"/>
          <w:color w:val="auto"/>
          <w:spacing w:val="4"/>
          <w:kern w:val="2"/>
          <w:sz w:val="28"/>
          <w:szCs w:val="32"/>
          <w:lang w:val="en-US" w:eastAsia="zh-CN" w:bidi="ar-SA"/>
        </w:rPr>
        <w:t xml:space="preserve">                         年    月    日 </w:t>
      </w:r>
      <w:r>
        <w:rPr>
          <w:rFonts w:hint="eastAsia" w:ascii="Times New Roman" w:hAnsi="仿宋" w:eastAsia="宋体" w:cs="仿宋"/>
          <w:color w:val="auto"/>
          <w:spacing w:val="4"/>
          <w:sz w:val="28"/>
          <w:szCs w:val="32"/>
        </w:rPr>
        <w:t xml:space="preserve">  </w:t>
      </w:r>
    </w:p>
    <w:p>
      <w:pPr>
        <w:pStyle w:val="24"/>
        <w:snapToGrid/>
        <w:spacing w:beforeAutospacing="0" w:afterAutospacing="0" w:line="360" w:lineRule="auto"/>
        <w:ind w:left="0" w:leftChars="0" w:firstLine="560" w:firstLineChars="200"/>
        <w:rPr>
          <w:rFonts w:ascii="Times New Roman" w:hAnsi="仿宋" w:eastAsia="宋体" w:cs="仿宋"/>
          <w:sz w:val="28"/>
          <w:szCs w:val="32"/>
        </w:rPr>
      </w:pPr>
    </w:p>
    <w:p>
      <w:pPr>
        <w:pStyle w:val="25"/>
        <w:snapToGrid/>
        <w:spacing w:beforeAutospacing="0" w:afterAutospacing="0" w:line="360" w:lineRule="auto"/>
        <w:ind w:left="0" w:leftChars="0" w:firstLine="560" w:firstLineChars="200"/>
        <w:rPr>
          <w:rFonts w:ascii="Times New Roman" w:eastAsia="宋体"/>
          <w:sz w:val="28"/>
          <w:szCs w:val="32"/>
        </w:rPr>
      </w:pPr>
    </w:p>
    <w:p>
      <w:pPr>
        <w:pStyle w:val="25"/>
        <w:snapToGrid/>
        <w:spacing w:beforeAutospacing="0" w:afterAutospacing="0" w:line="360" w:lineRule="auto"/>
        <w:ind w:left="0" w:leftChars="0" w:firstLine="560" w:firstLineChars="200"/>
        <w:rPr>
          <w:rFonts w:ascii="Times New Roman" w:eastAsia="宋体"/>
          <w:sz w:val="28"/>
          <w:szCs w:val="32"/>
        </w:rPr>
      </w:pPr>
    </w:p>
    <w:p>
      <w:pPr>
        <w:pStyle w:val="25"/>
        <w:snapToGrid/>
        <w:spacing w:beforeAutospacing="0" w:afterAutospacing="0" w:line="360" w:lineRule="auto"/>
        <w:ind w:left="0" w:leftChars="0" w:firstLine="560" w:firstLineChars="200"/>
        <w:rPr>
          <w:rFonts w:ascii="Times New Roman" w:eastAsia="宋体"/>
          <w:sz w:val="28"/>
        </w:rPr>
      </w:pPr>
    </w:p>
    <w:p>
      <w:pPr>
        <w:pStyle w:val="25"/>
        <w:snapToGrid/>
        <w:spacing w:beforeAutospacing="0" w:afterAutospacing="0" w:line="360" w:lineRule="auto"/>
        <w:ind w:left="0" w:leftChars="0" w:firstLine="560" w:firstLineChars="200"/>
        <w:rPr>
          <w:rFonts w:ascii="Times New Roman" w:eastAsia="宋体"/>
          <w:sz w:val="28"/>
        </w:rPr>
      </w:pPr>
    </w:p>
    <w:p>
      <w:pPr>
        <w:pStyle w:val="2"/>
        <w:snapToGrid/>
        <w:spacing w:beforeAutospacing="0" w:afterAutospacing="0" w:line="360" w:lineRule="auto"/>
        <w:ind w:left="0" w:leftChars="0" w:firstLine="0"/>
        <w:rPr>
          <w:rFonts w:ascii="Times New Roman" w:eastAsia="宋体"/>
          <w:sz w:val="28"/>
        </w:rPr>
      </w:pPr>
    </w:p>
    <w:p>
      <w:pPr>
        <w:snapToGrid/>
        <w:spacing w:beforeAutospacing="0" w:afterAutospacing="0" w:line="360" w:lineRule="auto"/>
        <w:ind w:left="0" w:leftChars="0" w:firstLine="0"/>
        <w:rPr>
          <w:rFonts w:ascii="Times New Roman" w:hAnsi="仿宋" w:eastAsia="宋体" w:cs="仿宋"/>
          <w:sz w:val="28"/>
          <w:szCs w:val="32"/>
        </w:rPr>
      </w:pPr>
      <w:r>
        <w:rPr>
          <w:rFonts w:hint="eastAsia" w:ascii="Times New Roman" w:hAnsi="宋体" w:eastAsia="宋体" w:cs="宋体"/>
          <w:b/>
          <w:spacing w:val="4"/>
          <w:sz w:val="28"/>
        </w:rPr>
        <w:t>姓名(可匿名):                    填写日期：   年   月   日</w:t>
      </w:r>
    </w:p>
    <w:tbl>
      <w:tblPr>
        <w:tblStyle w:val="30"/>
        <w:tblW w:w="5004"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813"/>
        <w:gridCol w:w="4910"/>
        <w:gridCol w:w="1084"/>
        <w:gridCol w:w="831"/>
        <w:gridCol w:w="6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6" w:hRule="atLeast"/>
          <w:jc w:val="center"/>
        </w:trPr>
        <w:tc>
          <w:tcPr>
            <w:tcW w:w="488" w:type="pct"/>
            <w:tcBorders>
              <w:top w:val="single" w:color="000000" w:sz="2" w:space="0"/>
              <w:bottom w:val="single" w:color="000000" w:sz="2" w:space="0"/>
            </w:tcBorders>
            <w:vAlign w:val="top"/>
          </w:tcPr>
          <w:p>
            <w:pPr>
              <w:spacing w:line="360" w:lineRule="auto"/>
              <w:jc w:val="center"/>
              <w:outlineLvl w:val="3"/>
              <w:rPr>
                <w:rFonts w:ascii="宋体" w:hAnsi="宋体" w:eastAsia="宋体" w:cs="宋体"/>
                <w:b/>
                <w:spacing w:val="4"/>
                <w:kern w:val="0"/>
                <w:szCs w:val="21"/>
              </w:rPr>
            </w:pPr>
            <w:r>
              <w:rPr>
                <w:rFonts w:hint="eastAsia" w:ascii="宋体" w:hAnsi="宋体" w:eastAsia="宋体" w:cs="宋体"/>
                <w:b/>
                <w:bCs/>
                <w:kern w:val="0"/>
                <w:szCs w:val="21"/>
              </w:rPr>
              <w:t>序号</w:t>
            </w:r>
          </w:p>
        </w:tc>
        <w:tc>
          <w:tcPr>
            <w:tcW w:w="2948" w:type="pct"/>
            <w:tcBorders>
              <w:top w:val="single" w:color="000000" w:sz="2" w:space="0"/>
              <w:bottom w:val="single" w:color="000000" w:sz="2" w:space="0"/>
            </w:tcBorders>
            <w:vAlign w:val="top"/>
          </w:tcPr>
          <w:p>
            <w:pPr>
              <w:spacing w:line="360" w:lineRule="auto"/>
              <w:jc w:val="center"/>
              <w:outlineLvl w:val="3"/>
              <w:rPr>
                <w:rFonts w:ascii="宋体" w:hAnsi="宋体" w:eastAsia="宋体" w:cs="宋体"/>
                <w:spacing w:val="4"/>
                <w:szCs w:val="21"/>
              </w:rPr>
            </w:pPr>
            <w:r>
              <w:rPr>
                <w:rFonts w:hint="eastAsia" w:ascii="宋体" w:hAnsi="宋体" w:eastAsia="宋体" w:cs="宋体"/>
                <w:b/>
                <w:bCs/>
                <w:kern w:val="0"/>
                <w:szCs w:val="21"/>
              </w:rPr>
              <w:t>调查项目</w:t>
            </w:r>
          </w:p>
        </w:tc>
        <w:tc>
          <w:tcPr>
            <w:tcW w:w="651" w:type="pct"/>
            <w:tcBorders>
              <w:top w:val="single" w:color="000000" w:sz="2" w:space="0"/>
              <w:bottom w:val="single" w:color="000000" w:sz="2" w:space="0"/>
            </w:tcBorders>
            <w:vAlign w:val="top"/>
          </w:tcPr>
          <w:p>
            <w:pPr>
              <w:spacing w:line="360" w:lineRule="auto"/>
              <w:jc w:val="center"/>
              <w:outlineLvl w:val="3"/>
              <w:rPr>
                <w:rFonts w:ascii="宋体" w:hAnsi="宋体" w:eastAsia="宋体" w:cs="宋体"/>
                <w:spacing w:val="4"/>
                <w:szCs w:val="21"/>
              </w:rPr>
            </w:pPr>
            <w:r>
              <w:rPr>
                <w:rFonts w:hint="eastAsia" w:ascii="宋体" w:hAnsi="宋体" w:eastAsia="宋体" w:cs="宋体"/>
                <w:b/>
                <w:bCs/>
                <w:kern w:val="0"/>
                <w:szCs w:val="21"/>
              </w:rPr>
              <w:t>标准分数</w:t>
            </w:r>
          </w:p>
        </w:tc>
        <w:tc>
          <w:tcPr>
            <w:tcW w:w="499" w:type="pct"/>
            <w:tcBorders>
              <w:top w:val="single" w:color="000000" w:sz="2" w:space="0"/>
              <w:bottom w:val="single" w:color="000000" w:sz="2" w:space="0"/>
            </w:tcBorders>
            <w:vAlign w:val="top"/>
          </w:tcPr>
          <w:p>
            <w:pPr>
              <w:spacing w:line="360" w:lineRule="auto"/>
              <w:jc w:val="center"/>
              <w:outlineLvl w:val="3"/>
              <w:rPr>
                <w:rFonts w:ascii="宋体" w:hAnsi="宋体" w:eastAsia="宋体" w:cs="宋体"/>
                <w:b/>
                <w:spacing w:val="4"/>
                <w:kern w:val="0"/>
                <w:szCs w:val="21"/>
              </w:rPr>
            </w:pPr>
            <w:r>
              <w:rPr>
                <w:rFonts w:hint="eastAsia" w:ascii="宋体" w:hAnsi="宋体" w:eastAsia="宋体" w:cs="宋体"/>
                <w:b/>
                <w:bCs/>
                <w:kern w:val="0"/>
                <w:szCs w:val="21"/>
              </w:rPr>
              <w:t>得分</w:t>
            </w:r>
          </w:p>
        </w:tc>
        <w:tc>
          <w:tcPr>
            <w:tcW w:w="411" w:type="pct"/>
            <w:tcBorders>
              <w:top w:val="single" w:color="000000" w:sz="2" w:space="0"/>
              <w:bottom w:val="single" w:color="000000" w:sz="2" w:space="0"/>
            </w:tcBorders>
            <w:vAlign w:val="top"/>
          </w:tcPr>
          <w:p>
            <w:pPr>
              <w:spacing w:line="360" w:lineRule="auto"/>
              <w:jc w:val="center"/>
              <w:outlineLvl w:val="3"/>
              <w:rPr>
                <w:rFonts w:ascii="宋体" w:hAnsi="宋体" w:eastAsia="宋体" w:cs="宋体"/>
                <w:b/>
                <w:spacing w:val="4"/>
                <w:kern w:val="0"/>
                <w:szCs w:val="21"/>
              </w:rPr>
            </w:pPr>
            <w:r>
              <w:rPr>
                <w:rFonts w:hint="eastAsia" w:ascii="宋体" w:hAnsi="宋体" w:eastAsia="宋体" w:cs="宋体"/>
                <w:b/>
                <w:bCs/>
                <w:kern w:val="0"/>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488" w:type="pct"/>
            <w:tcBorders>
              <w:top w:val="single" w:color="000000" w:sz="2" w:space="0"/>
              <w:bottom w:val="single" w:color="000000" w:sz="2" w:space="0"/>
            </w:tcBorders>
            <w:vAlign w:val="top"/>
          </w:tcPr>
          <w:p>
            <w:pPr>
              <w:spacing w:before="239" w:line="187" w:lineRule="auto"/>
              <w:ind w:left="195"/>
              <w:jc w:val="center"/>
              <w:rPr>
                <w:rFonts w:ascii="宋体" w:hAnsi="宋体" w:eastAsia="宋体" w:cs="宋体"/>
                <w:spacing w:val="4"/>
                <w:szCs w:val="21"/>
              </w:rPr>
            </w:pPr>
            <w:r>
              <w:rPr>
                <w:rFonts w:hint="eastAsia" w:ascii="宋体" w:hAnsi="宋体" w:eastAsia="宋体" w:cs="宋体"/>
                <w:spacing w:val="4"/>
                <w:szCs w:val="21"/>
              </w:rPr>
              <w:t>1</w:t>
            </w:r>
          </w:p>
          <w:p>
            <w:pPr>
              <w:pStyle w:val="2"/>
              <w:jc w:val="center"/>
              <w:rPr>
                <w:rFonts w:ascii="宋体" w:hAnsi="宋体" w:eastAsia="宋体" w:cs="宋体"/>
                <w:b/>
                <w:spacing w:val="4"/>
                <w:kern w:val="0"/>
                <w:sz w:val="21"/>
                <w:szCs w:val="21"/>
              </w:rPr>
            </w:pPr>
          </w:p>
        </w:tc>
        <w:tc>
          <w:tcPr>
            <w:tcW w:w="2948" w:type="pct"/>
            <w:tcBorders>
              <w:top w:val="single" w:color="000000" w:sz="2" w:space="0"/>
              <w:bottom w:val="single" w:color="000000" w:sz="2" w:space="0"/>
            </w:tcBorders>
            <w:vAlign w:val="top"/>
          </w:tcPr>
          <w:p>
            <w:pPr>
              <w:spacing w:before="29" w:line="230" w:lineRule="auto"/>
              <w:ind w:left="90" w:right="58"/>
              <w:rPr>
                <w:rFonts w:ascii="宋体" w:hAnsi="宋体" w:eastAsia="宋体" w:cs="宋体"/>
                <w:szCs w:val="21"/>
              </w:rPr>
            </w:pPr>
            <w:r>
              <w:rPr>
                <w:rFonts w:hint="eastAsia" w:ascii="宋体" w:hAnsi="宋体" w:eastAsia="宋体" w:cs="宋体"/>
                <w:spacing w:val="4"/>
                <w:szCs w:val="21"/>
              </w:rPr>
              <w:t>您认为石狮市应急管理局安全项目质量如何?</w:t>
            </w:r>
          </w:p>
          <w:p>
            <w:pPr>
              <w:spacing w:before="29" w:line="230" w:lineRule="auto"/>
              <w:ind w:left="90" w:right="58"/>
              <w:rPr>
                <w:rFonts w:ascii="宋体" w:hAnsi="宋体" w:eastAsia="宋体" w:cs="宋体"/>
                <w:b/>
                <w:spacing w:val="4"/>
                <w:kern w:val="0"/>
                <w:szCs w:val="21"/>
              </w:rPr>
            </w:pPr>
            <w:r>
              <w:rPr>
                <w:rFonts w:hint="eastAsia" w:ascii="宋体" w:hAnsi="宋体" w:eastAsia="宋体" w:cs="宋体"/>
                <w:spacing w:val="4"/>
                <w:szCs w:val="21"/>
              </w:rPr>
              <w:t>(质量好10分；较好 6-9分;一般1-5分;不好0分）</w:t>
            </w:r>
          </w:p>
        </w:tc>
        <w:tc>
          <w:tcPr>
            <w:tcW w:w="651" w:type="pct"/>
            <w:tcBorders>
              <w:top w:val="single" w:color="000000" w:sz="2" w:space="0"/>
              <w:bottom w:val="single" w:color="000000" w:sz="2" w:space="0"/>
            </w:tcBorders>
            <w:vAlign w:val="top"/>
          </w:tcPr>
          <w:p>
            <w:pPr>
              <w:spacing w:before="276" w:line="185" w:lineRule="auto"/>
              <w:ind w:left="267"/>
              <w:jc w:val="center"/>
              <w:rPr>
                <w:rFonts w:ascii="宋体" w:hAnsi="宋体" w:eastAsia="宋体" w:cs="宋体"/>
                <w:spacing w:val="4"/>
                <w:szCs w:val="21"/>
              </w:rPr>
            </w:pPr>
            <w:r>
              <w:rPr>
                <w:rFonts w:hint="eastAsia" w:ascii="宋体" w:hAnsi="宋体" w:eastAsia="宋体" w:cs="宋体"/>
                <w:spacing w:val="4"/>
                <w:szCs w:val="21"/>
              </w:rPr>
              <w:t>10</w:t>
            </w:r>
          </w:p>
        </w:tc>
        <w:tc>
          <w:tcPr>
            <w:tcW w:w="499" w:type="pct"/>
            <w:tcBorders>
              <w:top w:val="single" w:color="000000" w:sz="2" w:space="0"/>
              <w:bottom w:val="single" w:color="000000" w:sz="2" w:space="0"/>
            </w:tcBorders>
            <w:vAlign w:val="top"/>
          </w:tcPr>
          <w:p>
            <w:pPr>
              <w:rPr>
                <w:rFonts w:ascii="宋体" w:hAnsi="宋体" w:eastAsia="宋体" w:cs="宋体"/>
                <w:b/>
                <w:spacing w:val="4"/>
                <w:kern w:val="0"/>
                <w:szCs w:val="21"/>
              </w:rPr>
            </w:pPr>
          </w:p>
        </w:tc>
        <w:tc>
          <w:tcPr>
            <w:tcW w:w="411" w:type="pct"/>
            <w:tcBorders>
              <w:top w:val="single" w:color="000000" w:sz="2" w:space="0"/>
              <w:bottom w:val="single" w:color="000000" w:sz="2" w:space="0"/>
            </w:tcBorders>
            <w:vAlign w:val="top"/>
          </w:tcPr>
          <w:p>
            <w:pPr>
              <w:rPr>
                <w:rFonts w:ascii="宋体" w:hAnsi="宋体" w:eastAsia="宋体" w:cs="宋体"/>
                <w:b/>
                <w:spacing w:val="4"/>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10" w:hRule="atLeast"/>
          <w:jc w:val="center"/>
        </w:trPr>
        <w:tc>
          <w:tcPr>
            <w:tcW w:w="488" w:type="pct"/>
            <w:tcBorders>
              <w:top w:val="single" w:color="000000" w:sz="2" w:space="0"/>
              <w:bottom w:val="single" w:color="000000" w:sz="2" w:space="0"/>
            </w:tcBorders>
            <w:vAlign w:val="top"/>
          </w:tcPr>
          <w:p>
            <w:pPr>
              <w:spacing w:before="252" w:line="186" w:lineRule="auto"/>
              <w:ind w:left="195"/>
              <w:jc w:val="center"/>
              <w:rPr>
                <w:rFonts w:ascii="宋体" w:hAnsi="宋体" w:eastAsia="宋体" w:cs="宋体"/>
                <w:spacing w:val="4"/>
                <w:szCs w:val="21"/>
              </w:rPr>
            </w:pPr>
            <w:r>
              <w:rPr>
                <w:rFonts w:hint="eastAsia" w:ascii="宋体" w:hAnsi="宋体" w:eastAsia="宋体" w:cs="宋体"/>
                <w:spacing w:val="4"/>
                <w:szCs w:val="21"/>
              </w:rPr>
              <w:t>2</w:t>
            </w:r>
          </w:p>
          <w:p>
            <w:pPr>
              <w:pStyle w:val="2"/>
              <w:jc w:val="center"/>
              <w:rPr>
                <w:rFonts w:ascii="宋体" w:hAnsi="宋体" w:eastAsia="宋体" w:cs="宋体"/>
                <w:b/>
                <w:spacing w:val="4"/>
                <w:kern w:val="0"/>
                <w:sz w:val="21"/>
                <w:szCs w:val="21"/>
              </w:rPr>
            </w:pPr>
          </w:p>
        </w:tc>
        <w:tc>
          <w:tcPr>
            <w:tcW w:w="2948" w:type="pct"/>
            <w:tcBorders>
              <w:top w:val="single" w:color="000000" w:sz="2" w:space="0"/>
              <w:bottom w:val="single" w:color="000000" w:sz="2" w:space="0"/>
            </w:tcBorders>
            <w:vAlign w:val="top"/>
          </w:tcPr>
          <w:p>
            <w:pPr>
              <w:spacing w:before="62" w:line="229" w:lineRule="auto"/>
              <w:ind w:left="90" w:right="91"/>
              <w:rPr>
                <w:rFonts w:ascii="宋体" w:hAnsi="宋体" w:eastAsia="宋体" w:cs="宋体"/>
                <w:szCs w:val="21"/>
              </w:rPr>
            </w:pPr>
            <w:r>
              <w:rPr>
                <w:rFonts w:hint="eastAsia" w:ascii="宋体" w:hAnsi="宋体" w:eastAsia="宋体" w:cs="宋体"/>
                <w:spacing w:val="4"/>
                <w:szCs w:val="21"/>
              </w:rPr>
              <w:t xml:space="preserve">您认为石狮市应急管理局整体经济效益如何? </w:t>
            </w:r>
          </w:p>
          <w:p>
            <w:pPr>
              <w:spacing w:before="62" w:line="229" w:lineRule="auto"/>
              <w:ind w:left="90" w:right="91"/>
              <w:rPr>
                <w:rFonts w:ascii="宋体" w:hAnsi="宋体" w:eastAsia="宋体" w:cs="宋体"/>
                <w:b/>
                <w:spacing w:val="4"/>
                <w:kern w:val="0"/>
                <w:szCs w:val="21"/>
              </w:rPr>
            </w:pPr>
            <w:r>
              <w:rPr>
                <w:rFonts w:hint="eastAsia" w:ascii="宋体" w:hAnsi="宋体" w:eastAsia="宋体" w:cs="宋体"/>
                <w:spacing w:val="4"/>
                <w:szCs w:val="21"/>
              </w:rPr>
              <w:t>（效益明显10分；较明显6-9分；一般1-5分；效果不明显0分）</w:t>
            </w:r>
          </w:p>
        </w:tc>
        <w:tc>
          <w:tcPr>
            <w:tcW w:w="651" w:type="pct"/>
            <w:tcBorders>
              <w:top w:val="single" w:color="000000" w:sz="2" w:space="0"/>
              <w:bottom w:val="single" w:color="000000" w:sz="2" w:space="0"/>
            </w:tcBorders>
            <w:vAlign w:val="top"/>
          </w:tcPr>
          <w:p>
            <w:pPr>
              <w:spacing w:before="276" w:line="185" w:lineRule="auto"/>
              <w:ind w:left="267"/>
              <w:jc w:val="center"/>
              <w:rPr>
                <w:rFonts w:ascii="宋体" w:hAnsi="宋体" w:eastAsia="宋体" w:cs="宋体"/>
                <w:spacing w:val="4"/>
                <w:szCs w:val="21"/>
              </w:rPr>
            </w:pPr>
            <w:r>
              <w:rPr>
                <w:rFonts w:hint="eastAsia" w:ascii="宋体" w:hAnsi="宋体" w:eastAsia="宋体" w:cs="宋体"/>
                <w:spacing w:val="4"/>
                <w:szCs w:val="21"/>
              </w:rPr>
              <w:t>10</w:t>
            </w:r>
          </w:p>
        </w:tc>
        <w:tc>
          <w:tcPr>
            <w:tcW w:w="499" w:type="pct"/>
            <w:tcBorders>
              <w:top w:val="single" w:color="000000" w:sz="2" w:space="0"/>
              <w:bottom w:val="single" w:color="000000" w:sz="2" w:space="0"/>
            </w:tcBorders>
            <w:vAlign w:val="top"/>
          </w:tcPr>
          <w:p>
            <w:pPr>
              <w:rPr>
                <w:rFonts w:ascii="宋体" w:hAnsi="宋体" w:eastAsia="宋体" w:cs="宋体"/>
                <w:b/>
                <w:spacing w:val="4"/>
                <w:kern w:val="0"/>
                <w:szCs w:val="21"/>
              </w:rPr>
            </w:pPr>
          </w:p>
        </w:tc>
        <w:tc>
          <w:tcPr>
            <w:tcW w:w="411" w:type="pct"/>
            <w:tcBorders>
              <w:top w:val="single" w:color="000000" w:sz="2" w:space="0"/>
              <w:bottom w:val="single" w:color="000000" w:sz="2" w:space="0"/>
            </w:tcBorders>
            <w:vAlign w:val="top"/>
          </w:tcPr>
          <w:p>
            <w:pPr>
              <w:rPr>
                <w:rFonts w:ascii="宋体" w:hAnsi="宋体" w:eastAsia="宋体" w:cs="宋体"/>
                <w:b/>
                <w:spacing w:val="4"/>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10" w:hRule="atLeast"/>
          <w:jc w:val="center"/>
        </w:trPr>
        <w:tc>
          <w:tcPr>
            <w:tcW w:w="488" w:type="pct"/>
            <w:tcBorders>
              <w:top w:val="single" w:color="000000" w:sz="2" w:space="0"/>
              <w:bottom w:val="single" w:color="000000" w:sz="2" w:space="0"/>
            </w:tcBorders>
            <w:vAlign w:val="top"/>
          </w:tcPr>
          <w:p>
            <w:pPr>
              <w:spacing w:line="317" w:lineRule="auto"/>
              <w:jc w:val="center"/>
              <w:rPr>
                <w:rFonts w:ascii="宋体" w:hAnsi="宋体" w:eastAsia="宋体" w:cs="宋体"/>
                <w:spacing w:val="4"/>
                <w:szCs w:val="21"/>
              </w:rPr>
            </w:pPr>
          </w:p>
          <w:p>
            <w:pPr>
              <w:spacing w:before="74" w:line="185" w:lineRule="auto"/>
              <w:ind w:left="195"/>
              <w:jc w:val="center"/>
              <w:rPr>
                <w:rFonts w:ascii="宋体" w:hAnsi="宋体" w:eastAsia="宋体" w:cs="宋体"/>
                <w:spacing w:val="4"/>
                <w:szCs w:val="21"/>
              </w:rPr>
            </w:pPr>
            <w:r>
              <w:rPr>
                <w:rFonts w:hint="eastAsia" w:ascii="宋体" w:hAnsi="宋体" w:eastAsia="宋体" w:cs="宋体"/>
                <w:spacing w:val="4"/>
                <w:szCs w:val="21"/>
              </w:rPr>
              <w:t>3</w:t>
            </w:r>
          </w:p>
          <w:p>
            <w:pPr>
              <w:pStyle w:val="2"/>
              <w:jc w:val="center"/>
              <w:rPr>
                <w:rFonts w:ascii="宋体" w:hAnsi="宋体" w:eastAsia="宋体" w:cs="宋体"/>
                <w:b/>
                <w:spacing w:val="4"/>
                <w:kern w:val="0"/>
                <w:sz w:val="21"/>
                <w:szCs w:val="21"/>
              </w:rPr>
            </w:pPr>
          </w:p>
        </w:tc>
        <w:tc>
          <w:tcPr>
            <w:tcW w:w="2948" w:type="pct"/>
            <w:tcBorders>
              <w:top w:val="single" w:color="000000" w:sz="2" w:space="0"/>
              <w:bottom w:val="single" w:color="000000" w:sz="2" w:space="0"/>
            </w:tcBorders>
            <w:vAlign w:val="top"/>
          </w:tcPr>
          <w:p>
            <w:pPr>
              <w:spacing w:before="73" w:line="234" w:lineRule="auto"/>
              <w:ind w:left="90"/>
              <w:rPr>
                <w:rFonts w:ascii="宋体" w:hAnsi="宋体" w:eastAsia="宋体" w:cs="宋体"/>
                <w:szCs w:val="21"/>
              </w:rPr>
            </w:pPr>
            <w:r>
              <w:rPr>
                <w:rFonts w:hint="eastAsia" w:ascii="宋体" w:hAnsi="宋体" w:eastAsia="宋体" w:cs="宋体"/>
                <w:spacing w:val="4"/>
                <w:szCs w:val="21"/>
              </w:rPr>
              <w:t>您认为石狮市应急管理局整体项目可持续发展情况如何？</w:t>
            </w:r>
          </w:p>
          <w:p>
            <w:pPr>
              <w:spacing w:before="73" w:line="234" w:lineRule="auto"/>
              <w:ind w:left="90"/>
              <w:rPr>
                <w:rFonts w:ascii="宋体" w:hAnsi="宋体" w:eastAsia="宋体" w:cs="宋体"/>
                <w:b/>
                <w:spacing w:val="4"/>
                <w:kern w:val="0"/>
                <w:szCs w:val="21"/>
              </w:rPr>
            </w:pPr>
            <w:r>
              <w:rPr>
                <w:rFonts w:hint="eastAsia" w:ascii="宋体" w:hAnsi="宋体" w:eastAsia="宋体" w:cs="宋体"/>
                <w:spacing w:val="4"/>
                <w:szCs w:val="21"/>
              </w:rPr>
              <w:t>（持续发展效果明显10分；较明显6-9分；一般1-5分；效果不明显0分）</w:t>
            </w:r>
          </w:p>
        </w:tc>
        <w:tc>
          <w:tcPr>
            <w:tcW w:w="651" w:type="pct"/>
            <w:tcBorders>
              <w:top w:val="single" w:color="000000" w:sz="2" w:space="0"/>
              <w:bottom w:val="single" w:color="000000" w:sz="2" w:space="0"/>
            </w:tcBorders>
            <w:vAlign w:val="top"/>
          </w:tcPr>
          <w:p>
            <w:pPr>
              <w:spacing w:before="276" w:line="185" w:lineRule="auto"/>
              <w:ind w:left="267"/>
              <w:jc w:val="center"/>
              <w:rPr>
                <w:rFonts w:ascii="宋体" w:hAnsi="宋体" w:eastAsia="宋体" w:cs="宋体"/>
                <w:spacing w:val="4"/>
                <w:szCs w:val="21"/>
              </w:rPr>
            </w:pPr>
          </w:p>
          <w:p>
            <w:pPr>
              <w:spacing w:before="276" w:line="185" w:lineRule="auto"/>
              <w:ind w:left="267"/>
              <w:jc w:val="center"/>
              <w:rPr>
                <w:rFonts w:ascii="宋体" w:hAnsi="宋体" w:eastAsia="宋体" w:cs="宋体"/>
                <w:spacing w:val="4"/>
                <w:szCs w:val="21"/>
              </w:rPr>
            </w:pPr>
            <w:r>
              <w:rPr>
                <w:rFonts w:hint="eastAsia" w:ascii="宋体" w:hAnsi="宋体" w:eastAsia="宋体" w:cs="宋体"/>
                <w:spacing w:val="4"/>
                <w:szCs w:val="21"/>
              </w:rPr>
              <w:t>10</w:t>
            </w:r>
          </w:p>
        </w:tc>
        <w:tc>
          <w:tcPr>
            <w:tcW w:w="499" w:type="pct"/>
            <w:tcBorders>
              <w:top w:val="single" w:color="000000" w:sz="2" w:space="0"/>
              <w:bottom w:val="single" w:color="000000" w:sz="2" w:space="0"/>
            </w:tcBorders>
            <w:vAlign w:val="top"/>
          </w:tcPr>
          <w:p>
            <w:pPr>
              <w:rPr>
                <w:rFonts w:ascii="宋体" w:hAnsi="宋体" w:eastAsia="宋体" w:cs="宋体"/>
                <w:b/>
                <w:spacing w:val="4"/>
                <w:kern w:val="0"/>
                <w:szCs w:val="21"/>
              </w:rPr>
            </w:pPr>
          </w:p>
        </w:tc>
        <w:tc>
          <w:tcPr>
            <w:tcW w:w="411" w:type="pct"/>
            <w:tcBorders>
              <w:top w:val="single" w:color="000000" w:sz="2" w:space="0"/>
              <w:bottom w:val="single" w:color="000000" w:sz="2" w:space="0"/>
            </w:tcBorders>
            <w:vAlign w:val="top"/>
          </w:tcPr>
          <w:p>
            <w:pPr>
              <w:rPr>
                <w:rFonts w:ascii="宋体" w:hAnsi="宋体" w:eastAsia="宋体" w:cs="宋体"/>
                <w:b/>
                <w:spacing w:val="4"/>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10" w:hRule="atLeast"/>
          <w:jc w:val="center"/>
        </w:trPr>
        <w:tc>
          <w:tcPr>
            <w:tcW w:w="488" w:type="pct"/>
            <w:tcBorders>
              <w:top w:val="single" w:color="000000" w:sz="2" w:space="0"/>
              <w:bottom w:val="single" w:color="000000" w:sz="2" w:space="0"/>
            </w:tcBorders>
            <w:vAlign w:val="top"/>
          </w:tcPr>
          <w:p>
            <w:pPr>
              <w:spacing w:before="216" w:line="186" w:lineRule="auto"/>
              <w:ind w:left="195"/>
              <w:jc w:val="center"/>
              <w:rPr>
                <w:rFonts w:ascii="宋体" w:hAnsi="宋体" w:eastAsia="宋体" w:cs="宋体"/>
                <w:spacing w:val="4"/>
                <w:szCs w:val="21"/>
              </w:rPr>
            </w:pPr>
            <w:r>
              <w:rPr>
                <w:rFonts w:hint="eastAsia" w:ascii="宋体" w:hAnsi="宋体" w:eastAsia="宋体" w:cs="宋体"/>
                <w:spacing w:val="4"/>
                <w:szCs w:val="21"/>
              </w:rPr>
              <w:t>4</w:t>
            </w:r>
          </w:p>
          <w:p>
            <w:pPr>
              <w:pStyle w:val="2"/>
              <w:jc w:val="center"/>
              <w:rPr>
                <w:rFonts w:ascii="宋体" w:hAnsi="宋体" w:eastAsia="宋体" w:cs="宋体"/>
                <w:b/>
                <w:spacing w:val="4"/>
                <w:kern w:val="0"/>
                <w:sz w:val="21"/>
                <w:szCs w:val="21"/>
              </w:rPr>
            </w:pPr>
          </w:p>
        </w:tc>
        <w:tc>
          <w:tcPr>
            <w:tcW w:w="2948" w:type="pct"/>
            <w:tcBorders>
              <w:top w:val="single" w:color="000000" w:sz="2" w:space="0"/>
              <w:bottom w:val="single" w:color="000000" w:sz="2" w:space="0"/>
            </w:tcBorders>
            <w:vAlign w:val="top"/>
          </w:tcPr>
          <w:p>
            <w:pPr>
              <w:spacing w:before="17" w:line="215" w:lineRule="auto"/>
              <w:ind w:left="90" w:right="254"/>
              <w:rPr>
                <w:rFonts w:ascii="宋体" w:hAnsi="宋体" w:eastAsia="宋体" w:cs="宋体"/>
                <w:szCs w:val="21"/>
              </w:rPr>
            </w:pPr>
            <w:r>
              <w:rPr>
                <w:rFonts w:hint="eastAsia" w:ascii="宋体" w:hAnsi="宋体" w:eastAsia="宋体" w:cs="宋体"/>
                <w:spacing w:val="4"/>
                <w:szCs w:val="21"/>
              </w:rPr>
              <w:t>您认为石狮市应急管理局应急救援效果如何？</w:t>
            </w:r>
          </w:p>
          <w:p>
            <w:pPr>
              <w:spacing w:before="17" w:line="215" w:lineRule="auto"/>
              <w:ind w:left="90" w:right="254"/>
              <w:rPr>
                <w:rFonts w:ascii="宋体" w:hAnsi="宋体" w:eastAsia="宋体" w:cs="宋体"/>
                <w:spacing w:val="4"/>
                <w:szCs w:val="21"/>
              </w:rPr>
            </w:pPr>
            <w:r>
              <w:rPr>
                <w:rFonts w:hint="eastAsia" w:ascii="宋体" w:hAnsi="宋体" w:eastAsia="宋体" w:cs="宋体"/>
                <w:spacing w:val="4"/>
                <w:szCs w:val="21"/>
              </w:rPr>
              <w:t>（好10分;较好6-9分； 一般1-5分;</w:t>
            </w:r>
          </w:p>
          <w:p>
            <w:pPr>
              <w:spacing w:before="17" w:line="215" w:lineRule="auto"/>
              <w:ind w:left="90" w:right="254"/>
              <w:rPr>
                <w:rFonts w:ascii="宋体" w:hAnsi="宋体" w:eastAsia="宋体" w:cs="宋体"/>
                <w:b/>
                <w:spacing w:val="4"/>
                <w:kern w:val="0"/>
                <w:szCs w:val="21"/>
              </w:rPr>
            </w:pPr>
            <w:r>
              <w:rPr>
                <w:rFonts w:hint="eastAsia" w:ascii="宋体" w:hAnsi="宋体" w:eastAsia="宋体" w:cs="宋体"/>
                <w:spacing w:val="4"/>
                <w:szCs w:val="21"/>
              </w:rPr>
              <w:t>不好0分)</w:t>
            </w:r>
          </w:p>
        </w:tc>
        <w:tc>
          <w:tcPr>
            <w:tcW w:w="651" w:type="pct"/>
            <w:tcBorders>
              <w:top w:val="single" w:color="000000" w:sz="2" w:space="0"/>
              <w:bottom w:val="single" w:color="000000" w:sz="2" w:space="0"/>
            </w:tcBorders>
            <w:vAlign w:val="top"/>
          </w:tcPr>
          <w:p>
            <w:pPr>
              <w:spacing w:before="276" w:line="185" w:lineRule="auto"/>
              <w:ind w:left="267"/>
              <w:jc w:val="center"/>
              <w:rPr>
                <w:rFonts w:ascii="宋体" w:hAnsi="宋体" w:eastAsia="宋体" w:cs="宋体"/>
                <w:spacing w:val="4"/>
                <w:szCs w:val="21"/>
              </w:rPr>
            </w:pPr>
            <w:r>
              <w:rPr>
                <w:rFonts w:hint="eastAsia" w:ascii="宋体" w:hAnsi="宋体" w:eastAsia="宋体" w:cs="宋体"/>
                <w:spacing w:val="4"/>
                <w:szCs w:val="21"/>
              </w:rPr>
              <w:t>10</w:t>
            </w:r>
          </w:p>
        </w:tc>
        <w:tc>
          <w:tcPr>
            <w:tcW w:w="499" w:type="pct"/>
            <w:tcBorders>
              <w:top w:val="single" w:color="000000" w:sz="2" w:space="0"/>
              <w:bottom w:val="single" w:color="000000" w:sz="2" w:space="0"/>
            </w:tcBorders>
            <w:vAlign w:val="top"/>
          </w:tcPr>
          <w:p>
            <w:pPr>
              <w:rPr>
                <w:rFonts w:ascii="宋体" w:hAnsi="宋体" w:eastAsia="宋体" w:cs="宋体"/>
                <w:b/>
                <w:spacing w:val="4"/>
                <w:kern w:val="0"/>
                <w:szCs w:val="21"/>
              </w:rPr>
            </w:pPr>
          </w:p>
        </w:tc>
        <w:tc>
          <w:tcPr>
            <w:tcW w:w="411" w:type="pct"/>
            <w:tcBorders>
              <w:top w:val="single" w:color="000000" w:sz="2" w:space="0"/>
              <w:bottom w:val="single" w:color="000000" w:sz="2" w:space="0"/>
            </w:tcBorders>
            <w:vAlign w:val="top"/>
          </w:tcPr>
          <w:p>
            <w:pPr>
              <w:rPr>
                <w:rFonts w:ascii="宋体" w:hAnsi="宋体" w:eastAsia="宋体" w:cs="宋体"/>
                <w:b/>
                <w:spacing w:val="4"/>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10" w:hRule="atLeast"/>
          <w:jc w:val="center"/>
        </w:trPr>
        <w:tc>
          <w:tcPr>
            <w:tcW w:w="488" w:type="pct"/>
            <w:tcBorders>
              <w:top w:val="single" w:color="000000" w:sz="2" w:space="0"/>
              <w:bottom w:val="single" w:color="000000" w:sz="2" w:space="0"/>
            </w:tcBorders>
            <w:vAlign w:val="top"/>
          </w:tcPr>
          <w:p>
            <w:pPr>
              <w:spacing w:before="220" w:line="183" w:lineRule="auto"/>
              <w:ind w:left="195"/>
              <w:jc w:val="center"/>
              <w:rPr>
                <w:rFonts w:ascii="宋体" w:hAnsi="宋体" w:eastAsia="宋体" w:cs="宋体"/>
                <w:spacing w:val="4"/>
                <w:szCs w:val="21"/>
              </w:rPr>
            </w:pPr>
            <w:r>
              <w:rPr>
                <w:rFonts w:hint="eastAsia" w:ascii="宋体" w:hAnsi="宋体" w:eastAsia="宋体" w:cs="宋体"/>
                <w:spacing w:val="4"/>
                <w:szCs w:val="21"/>
              </w:rPr>
              <w:t>5</w:t>
            </w:r>
          </w:p>
          <w:p>
            <w:pPr>
              <w:pStyle w:val="2"/>
              <w:jc w:val="center"/>
              <w:rPr>
                <w:rFonts w:ascii="宋体" w:hAnsi="宋体" w:eastAsia="宋体" w:cs="宋体"/>
                <w:b/>
                <w:spacing w:val="4"/>
                <w:kern w:val="0"/>
                <w:sz w:val="21"/>
                <w:szCs w:val="21"/>
              </w:rPr>
            </w:pPr>
          </w:p>
        </w:tc>
        <w:tc>
          <w:tcPr>
            <w:tcW w:w="2948" w:type="pct"/>
            <w:tcBorders>
              <w:top w:val="single" w:color="000000" w:sz="2" w:space="0"/>
              <w:bottom w:val="single" w:color="000000" w:sz="2" w:space="0"/>
            </w:tcBorders>
            <w:vAlign w:val="top"/>
          </w:tcPr>
          <w:p>
            <w:pPr>
              <w:spacing w:before="28" w:line="207" w:lineRule="auto"/>
              <w:ind w:left="90" w:right="288"/>
              <w:rPr>
                <w:rFonts w:ascii="宋体" w:hAnsi="宋体" w:eastAsia="宋体" w:cs="宋体"/>
                <w:szCs w:val="21"/>
              </w:rPr>
            </w:pPr>
            <w:r>
              <w:rPr>
                <w:rFonts w:hint="eastAsia" w:ascii="宋体" w:hAnsi="宋体" w:eastAsia="宋体" w:cs="宋体"/>
                <w:spacing w:val="4"/>
                <w:szCs w:val="21"/>
              </w:rPr>
              <w:t>您对石狮市应急管理局工作职能是否了解?</w:t>
            </w:r>
          </w:p>
          <w:p>
            <w:pPr>
              <w:spacing w:before="28" w:line="207" w:lineRule="auto"/>
              <w:ind w:left="90" w:right="288"/>
              <w:rPr>
                <w:rFonts w:ascii="宋体" w:hAnsi="宋体" w:eastAsia="宋体" w:cs="宋体"/>
                <w:b/>
                <w:spacing w:val="4"/>
                <w:kern w:val="0"/>
                <w:szCs w:val="21"/>
              </w:rPr>
            </w:pPr>
            <w:r>
              <w:rPr>
                <w:rFonts w:hint="eastAsia" w:ascii="宋体" w:hAnsi="宋体" w:eastAsia="宋体" w:cs="宋体"/>
                <w:spacing w:val="4"/>
                <w:szCs w:val="21"/>
              </w:rPr>
              <w:t>(非常了解10分;了解6-9分; 一般1-5分;不了解0分)</w:t>
            </w:r>
          </w:p>
        </w:tc>
        <w:tc>
          <w:tcPr>
            <w:tcW w:w="651" w:type="pct"/>
            <w:tcBorders>
              <w:top w:val="single" w:color="000000" w:sz="2" w:space="0"/>
              <w:bottom w:val="single" w:color="000000" w:sz="2" w:space="0"/>
            </w:tcBorders>
            <w:vAlign w:val="top"/>
          </w:tcPr>
          <w:p>
            <w:pPr>
              <w:spacing w:before="276" w:line="185" w:lineRule="auto"/>
              <w:ind w:left="267"/>
              <w:jc w:val="center"/>
              <w:rPr>
                <w:rFonts w:ascii="宋体" w:hAnsi="宋体" w:eastAsia="宋体" w:cs="宋体"/>
                <w:spacing w:val="4"/>
                <w:szCs w:val="21"/>
              </w:rPr>
            </w:pPr>
            <w:r>
              <w:rPr>
                <w:rFonts w:hint="eastAsia" w:ascii="宋体" w:hAnsi="宋体" w:eastAsia="宋体" w:cs="宋体"/>
                <w:spacing w:val="4"/>
                <w:szCs w:val="21"/>
              </w:rPr>
              <w:t>10</w:t>
            </w:r>
          </w:p>
        </w:tc>
        <w:tc>
          <w:tcPr>
            <w:tcW w:w="499" w:type="pct"/>
            <w:tcBorders>
              <w:top w:val="single" w:color="000000" w:sz="2" w:space="0"/>
              <w:bottom w:val="single" w:color="000000" w:sz="2" w:space="0"/>
            </w:tcBorders>
            <w:vAlign w:val="top"/>
          </w:tcPr>
          <w:p>
            <w:pPr>
              <w:rPr>
                <w:rFonts w:ascii="宋体" w:hAnsi="宋体" w:eastAsia="宋体" w:cs="宋体"/>
                <w:b/>
                <w:spacing w:val="4"/>
                <w:kern w:val="0"/>
                <w:szCs w:val="21"/>
              </w:rPr>
            </w:pPr>
          </w:p>
        </w:tc>
        <w:tc>
          <w:tcPr>
            <w:tcW w:w="411" w:type="pct"/>
            <w:tcBorders>
              <w:top w:val="single" w:color="000000" w:sz="2" w:space="0"/>
              <w:bottom w:val="single" w:color="000000" w:sz="2" w:space="0"/>
            </w:tcBorders>
            <w:vAlign w:val="top"/>
          </w:tcPr>
          <w:p>
            <w:pPr>
              <w:rPr>
                <w:rFonts w:ascii="宋体" w:hAnsi="宋体" w:eastAsia="宋体" w:cs="宋体"/>
                <w:b/>
                <w:spacing w:val="4"/>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10" w:hRule="atLeast"/>
          <w:jc w:val="center"/>
        </w:trPr>
        <w:tc>
          <w:tcPr>
            <w:tcW w:w="488" w:type="pct"/>
            <w:tcBorders>
              <w:top w:val="single" w:color="000000" w:sz="2" w:space="0"/>
              <w:bottom w:val="single" w:color="000000" w:sz="2" w:space="0"/>
            </w:tcBorders>
            <w:vAlign w:val="top"/>
          </w:tcPr>
          <w:p>
            <w:pPr>
              <w:spacing w:before="218" w:line="185" w:lineRule="auto"/>
              <w:ind w:left="195"/>
              <w:jc w:val="center"/>
              <w:rPr>
                <w:rFonts w:ascii="宋体" w:hAnsi="宋体" w:eastAsia="宋体" w:cs="宋体"/>
                <w:spacing w:val="4"/>
                <w:szCs w:val="21"/>
              </w:rPr>
            </w:pPr>
            <w:r>
              <w:rPr>
                <w:rFonts w:hint="eastAsia" w:ascii="宋体" w:hAnsi="宋体" w:eastAsia="宋体" w:cs="宋体"/>
                <w:spacing w:val="4"/>
                <w:szCs w:val="21"/>
              </w:rPr>
              <w:t>6</w:t>
            </w:r>
          </w:p>
          <w:p>
            <w:pPr>
              <w:pStyle w:val="2"/>
              <w:jc w:val="center"/>
              <w:rPr>
                <w:rFonts w:ascii="宋体" w:hAnsi="宋体" w:eastAsia="宋体" w:cs="宋体"/>
                <w:b/>
                <w:spacing w:val="4"/>
                <w:kern w:val="0"/>
                <w:sz w:val="21"/>
                <w:szCs w:val="21"/>
              </w:rPr>
            </w:pPr>
          </w:p>
        </w:tc>
        <w:tc>
          <w:tcPr>
            <w:tcW w:w="2948" w:type="pct"/>
            <w:tcBorders>
              <w:top w:val="single" w:color="000000" w:sz="2" w:space="0"/>
              <w:bottom w:val="single" w:color="000000" w:sz="2" w:space="0"/>
            </w:tcBorders>
            <w:vAlign w:val="top"/>
          </w:tcPr>
          <w:p>
            <w:pPr>
              <w:spacing w:before="29" w:line="206" w:lineRule="auto"/>
              <w:ind w:left="90" w:right="288"/>
              <w:rPr>
                <w:rFonts w:ascii="宋体" w:hAnsi="宋体" w:eastAsia="宋体" w:cs="宋体"/>
                <w:szCs w:val="21"/>
              </w:rPr>
            </w:pPr>
            <w:r>
              <w:rPr>
                <w:rFonts w:hint="eastAsia" w:ascii="宋体" w:hAnsi="宋体" w:eastAsia="宋体" w:cs="宋体"/>
                <w:spacing w:val="4"/>
                <w:szCs w:val="21"/>
              </w:rPr>
              <w:t>您认为石狮市应急管理局自然性灾害保险如何?</w:t>
            </w:r>
          </w:p>
          <w:p>
            <w:pPr>
              <w:spacing w:before="29" w:line="206" w:lineRule="auto"/>
              <w:ind w:left="90" w:right="288"/>
              <w:rPr>
                <w:rFonts w:ascii="宋体" w:hAnsi="宋体" w:eastAsia="宋体" w:cs="宋体"/>
                <w:spacing w:val="4"/>
                <w:szCs w:val="21"/>
              </w:rPr>
            </w:pPr>
            <w:r>
              <w:rPr>
                <w:rFonts w:hint="eastAsia" w:ascii="宋体" w:hAnsi="宋体" w:eastAsia="宋体" w:cs="宋体"/>
                <w:spacing w:val="4"/>
                <w:szCs w:val="21"/>
              </w:rPr>
              <w:t>(好10分;较好6-9分; 一般1-5分;</w:t>
            </w:r>
          </w:p>
          <w:p>
            <w:pPr>
              <w:spacing w:before="29" w:line="206" w:lineRule="auto"/>
              <w:ind w:left="90" w:right="288"/>
              <w:rPr>
                <w:rFonts w:ascii="宋体" w:hAnsi="宋体" w:eastAsia="宋体" w:cs="宋体"/>
                <w:b/>
                <w:spacing w:val="4"/>
                <w:kern w:val="0"/>
                <w:szCs w:val="21"/>
              </w:rPr>
            </w:pPr>
            <w:r>
              <w:rPr>
                <w:rFonts w:hint="eastAsia" w:ascii="宋体" w:hAnsi="宋体" w:eastAsia="宋体" w:cs="宋体"/>
                <w:spacing w:val="4"/>
                <w:szCs w:val="21"/>
              </w:rPr>
              <w:t>不好0分)</w:t>
            </w:r>
          </w:p>
        </w:tc>
        <w:tc>
          <w:tcPr>
            <w:tcW w:w="651" w:type="pct"/>
            <w:tcBorders>
              <w:top w:val="single" w:color="000000" w:sz="2" w:space="0"/>
              <w:bottom w:val="single" w:color="000000" w:sz="2" w:space="0"/>
            </w:tcBorders>
            <w:vAlign w:val="top"/>
          </w:tcPr>
          <w:p>
            <w:pPr>
              <w:spacing w:before="276" w:line="185" w:lineRule="auto"/>
              <w:ind w:left="267"/>
              <w:jc w:val="center"/>
              <w:rPr>
                <w:rFonts w:ascii="宋体" w:hAnsi="宋体" w:eastAsia="宋体" w:cs="宋体"/>
                <w:spacing w:val="4"/>
                <w:szCs w:val="21"/>
              </w:rPr>
            </w:pPr>
            <w:r>
              <w:rPr>
                <w:rFonts w:hint="eastAsia" w:ascii="宋体" w:hAnsi="宋体" w:eastAsia="宋体" w:cs="宋体"/>
                <w:spacing w:val="4"/>
                <w:szCs w:val="21"/>
              </w:rPr>
              <w:t>10</w:t>
            </w:r>
          </w:p>
        </w:tc>
        <w:tc>
          <w:tcPr>
            <w:tcW w:w="499" w:type="pct"/>
            <w:tcBorders>
              <w:top w:val="single" w:color="000000" w:sz="2" w:space="0"/>
              <w:bottom w:val="single" w:color="000000" w:sz="2" w:space="0"/>
            </w:tcBorders>
            <w:vAlign w:val="top"/>
          </w:tcPr>
          <w:p>
            <w:pPr>
              <w:rPr>
                <w:rFonts w:ascii="宋体" w:hAnsi="宋体" w:eastAsia="宋体" w:cs="宋体"/>
                <w:b/>
                <w:spacing w:val="4"/>
                <w:kern w:val="0"/>
                <w:szCs w:val="21"/>
              </w:rPr>
            </w:pPr>
          </w:p>
        </w:tc>
        <w:tc>
          <w:tcPr>
            <w:tcW w:w="411" w:type="pct"/>
            <w:tcBorders>
              <w:top w:val="single" w:color="000000" w:sz="2" w:space="0"/>
              <w:bottom w:val="single" w:color="000000" w:sz="2" w:space="0"/>
            </w:tcBorders>
            <w:vAlign w:val="top"/>
          </w:tcPr>
          <w:p>
            <w:pPr>
              <w:rPr>
                <w:rFonts w:ascii="宋体" w:hAnsi="宋体" w:eastAsia="宋体" w:cs="宋体"/>
                <w:b/>
                <w:spacing w:val="4"/>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5" w:hRule="atLeast"/>
          <w:jc w:val="center"/>
        </w:trPr>
        <w:tc>
          <w:tcPr>
            <w:tcW w:w="488" w:type="pct"/>
            <w:tcBorders>
              <w:top w:val="single" w:color="000000" w:sz="2" w:space="0"/>
              <w:bottom w:val="single" w:color="000000" w:sz="2" w:space="0"/>
            </w:tcBorders>
            <w:vAlign w:val="top"/>
          </w:tcPr>
          <w:p>
            <w:pPr>
              <w:spacing w:before="263" w:line="183" w:lineRule="auto"/>
              <w:ind w:left="195"/>
              <w:jc w:val="center"/>
              <w:rPr>
                <w:rFonts w:ascii="宋体" w:hAnsi="宋体" w:eastAsia="宋体" w:cs="宋体"/>
                <w:spacing w:val="4"/>
                <w:szCs w:val="21"/>
              </w:rPr>
            </w:pPr>
            <w:r>
              <w:rPr>
                <w:rFonts w:hint="eastAsia" w:ascii="宋体" w:hAnsi="宋体" w:eastAsia="宋体" w:cs="宋体"/>
                <w:spacing w:val="4"/>
                <w:szCs w:val="21"/>
              </w:rPr>
              <w:t>7</w:t>
            </w:r>
          </w:p>
          <w:p>
            <w:pPr>
              <w:pStyle w:val="2"/>
              <w:jc w:val="center"/>
              <w:rPr>
                <w:rFonts w:ascii="宋体" w:hAnsi="宋体" w:eastAsia="宋体" w:cs="宋体"/>
                <w:b/>
                <w:spacing w:val="4"/>
                <w:kern w:val="0"/>
                <w:sz w:val="21"/>
                <w:szCs w:val="21"/>
              </w:rPr>
            </w:pPr>
          </w:p>
        </w:tc>
        <w:tc>
          <w:tcPr>
            <w:tcW w:w="2948" w:type="pct"/>
            <w:tcBorders>
              <w:top w:val="single" w:color="000000" w:sz="2" w:space="0"/>
              <w:bottom w:val="single" w:color="000000" w:sz="2" w:space="0"/>
            </w:tcBorders>
            <w:vAlign w:val="top"/>
          </w:tcPr>
          <w:p>
            <w:pPr>
              <w:spacing w:before="62" w:line="234" w:lineRule="auto"/>
              <w:ind w:left="90"/>
              <w:rPr>
                <w:rFonts w:ascii="宋体" w:hAnsi="宋体" w:eastAsia="宋体" w:cs="宋体"/>
                <w:szCs w:val="21"/>
              </w:rPr>
            </w:pPr>
            <w:r>
              <w:rPr>
                <w:rFonts w:hint="eastAsia" w:ascii="宋体" w:hAnsi="宋体" w:eastAsia="宋体" w:cs="宋体"/>
                <w:spacing w:val="4"/>
                <w:szCs w:val="21"/>
              </w:rPr>
              <w:t>您认为石狮市应急管理局办事效率如何?</w:t>
            </w:r>
          </w:p>
          <w:p>
            <w:pPr>
              <w:spacing w:before="62" w:line="234" w:lineRule="auto"/>
              <w:ind w:left="90"/>
              <w:rPr>
                <w:rFonts w:ascii="宋体" w:hAnsi="宋体" w:eastAsia="宋体" w:cs="宋体"/>
                <w:b/>
                <w:spacing w:val="4"/>
                <w:kern w:val="0"/>
                <w:szCs w:val="21"/>
              </w:rPr>
            </w:pPr>
            <w:r>
              <w:rPr>
                <w:rFonts w:hint="eastAsia" w:ascii="宋体" w:hAnsi="宋体" w:eastAsia="宋体" w:cs="宋体"/>
                <w:spacing w:val="4"/>
                <w:szCs w:val="21"/>
              </w:rPr>
              <w:t>(优10分，良8-9分， 合格1-7分，差0分)</w:t>
            </w:r>
          </w:p>
        </w:tc>
        <w:tc>
          <w:tcPr>
            <w:tcW w:w="651" w:type="pct"/>
            <w:tcBorders>
              <w:top w:val="single" w:color="000000" w:sz="2" w:space="0"/>
              <w:bottom w:val="single" w:color="000000" w:sz="2" w:space="0"/>
            </w:tcBorders>
            <w:vAlign w:val="top"/>
          </w:tcPr>
          <w:p>
            <w:pPr>
              <w:spacing w:before="276" w:line="185" w:lineRule="auto"/>
              <w:ind w:left="267"/>
              <w:jc w:val="center"/>
              <w:rPr>
                <w:rFonts w:ascii="宋体" w:hAnsi="宋体" w:eastAsia="宋体" w:cs="宋体"/>
                <w:spacing w:val="4"/>
                <w:szCs w:val="21"/>
              </w:rPr>
            </w:pPr>
            <w:r>
              <w:rPr>
                <w:rFonts w:hint="eastAsia" w:ascii="宋体" w:hAnsi="宋体" w:eastAsia="宋体" w:cs="宋体"/>
                <w:spacing w:val="4"/>
                <w:szCs w:val="21"/>
              </w:rPr>
              <w:t>10</w:t>
            </w:r>
          </w:p>
        </w:tc>
        <w:tc>
          <w:tcPr>
            <w:tcW w:w="499" w:type="pct"/>
            <w:tcBorders>
              <w:top w:val="single" w:color="000000" w:sz="2" w:space="0"/>
              <w:bottom w:val="single" w:color="000000" w:sz="2" w:space="0"/>
            </w:tcBorders>
            <w:vAlign w:val="top"/>
          </w:tcPr>
          <w:p>
            <w:pPr>
              <w:rPr>
                <w:rFonts w:ascii="宋体" w:hAnsi="宋体" w:eastAsia="宋体" w:cs="宋体"/>
                <w:b/>
                <w:spacing w:val="4"/>
                <w:kern w:val="0"/>
                <w:szCs w:val="21"/>
              </w:rPr>
            </w:pPr>
          </w:p>
        </w:tc>
        <w:tc>
          <w:tcPr>
            <w:tcW w:w="411" w:type="pct"/>
            <w:tcBorders>
              <w:top w:val="single" w:color="000000" w:sz="2" w:space="0"/>
              <w:bottom w:val="single" w:color="000000" w:sz="2" w:space="0"/>
            </w:tcBorders>
            <w:vAlign w:val="top"/>
          </w:tcPr>
          <w:p>
            <w:pPr>
              <w:rPr>
                <w:rFonts w:ascii="宋体" w:hAnsi="宋体" w:eastAsia="宋体" w:cs="宋体"/>
                <w:b/>
                <w:spacing w:val="4"/>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10" w:hRule="atLeast"/>
          <w:jc w:val="center"/>
        </w:trPr>
        <w:tc>
          <w:tcPr>
            <w:tcW w:w="488" w:type="pct"/>
            <w:tcBorders>
              <w:top w:val="single" w:color="000000" w:sz="2" w:space="0"/>
              <w:bottom w:val="single" w:color="000000" w:sz="2" w:space="0"/>
            </w:tcBorders>
            <w:vAlign w:val="top"/>
          </w:tcPr>
          <w:p>
            <w:pPr>
              <w:spacing w:line="296" w:lineRule="auto"/>
              <w:jc w:val="center"/>
              <w:rPr>
                <w:rFonts w:ascii="宋体" w:hAnsi="宋体" w:eastAsia="宋体" w:cs="宋体"/>
                <w:spacing w:val="4"/>
                <w:szCs w:val="21"/>
              </w:rPr>
            </w:pPr>
          </w:p>
          <w:p>
            <w:pPr>
              <w:spacing w:before="74" w:line="185" w:lineRule="auto"/>
              <w:ind w:left="195"/>
              <w:jc w:val="center"/>
              <w:rPr>
                <w:rFonts w:ascii="宋体" w:hAnsi="宋体" w:eastAsia="宋体" w:cs="宋体"/>
                <w:spacing w:val="4"/>
                <w:szCs w:val="21"/>
              </w:rPr>
            </w:pPr>
            <w:r>
              <w:rPr>
                <w:rFonts w:hint="eastAsia" w:ascii="宋体" w:hAnsi="宋体" w:eastAsia="宋体" w:cs="宋体"/>
                <w:spacing w:val="4"/>
                <w:szCs w:val="21"/>
              </w:rPr>
              <w:t>8</w:t>
            </w:r>
          </w:p>
          <w:p>
            <w:pPr>
              <w:pStyle w:val="2"/>
              <w:jc w:val="center"/>
              <w:rPr>
                <w:rFonts w:ascii="宋体" w:hAnsi="宋体" w:eastAsia="宋体" w:cs="宋体"/>
                <w:b/>
                <w:spacing w:val="4"/>
                <w:kern w:val="0"/>
                <w:sz w:val="21"/>
                <w:szCs w:val="21"/>
              </w:rPr>
            </w:pPr>
          </w:p>
        </w:tc>
        <w:tc>
          <w:tcPr>
            <w:tcW w:w="2948" w:type="pct"/>
            <w:tcBorders>
              <w:top w:val="single" w:color="000000" w:sz="2" w:space="0"/>
              <w:bottom w:val="single" w:color="000000" w:sz="2" w:space="0"/>
            </w:tcBorders>
            <w:vAlign w:val="top"/>
          </w:tcPr>
          <w:p>
            <w:pPr>
              <w:spacing w:before="184" w:line="230" w:lineRule="auto"/>
              <w:ind w:left="90"/>
              <w:rPr>
                <w:rFonts w:ascii="宋体" w:hAnsi="宋体" w:eastAsia="宋体" w:cs="宋体"/>
                <w:szCs w:val="21"/>
              </w:rPr>
            </w:pPr>
            <w:r>
              <w:rPr>
                <w:rFonts w:hint="eastAsia" w:ascii="宋体" w:hAnsi="宋体" w:eastAsia="宋体" w:cs="宋体"/>
                <w:spacing w:val="4"/>
                <w:szCs w:val="21"/>
              </w:rPr>
              <w:t>您认为石狮市应急管理局工作是否存在不足之处?</w:t>
            </w:r>
          </w:p>
          <w:p>
            <w:pPr>
              <w:spacing w:before="184" w:line="230" w:lineRule="auto"/>
              <w:ind w:left="90"/>
              <w:rPr>
                <w:rFonts w:ascii="宋体" w:hAnsi="宋体" w:eastAsia="宋体" w:cs="宋体"/>
                <w:b/>
                <w:spacing w:val="4"/>
                <w:kern w:val="0"/>
                <w:szCs w:val="21"/>
              </w:rPr>
            </w:pPr>
            <w:r>
              <w:rPr>
                <w:rFonts w:hint="eastAsia" w:ascii="宋体" w:hAnsi="宋体" w:eastAsia="宋体" w:cs="宋体"/>
                <w:spacing w:val="4"/>
                <w:szCs w:val="21"/>
              </w:rPr>
              <w:t>（存在3项及以上0分,存在1-2项1-9分，不存在 10分)</w:t>
            </w:r>
          </w:p>
        </w:tc>
        <w:tc>
          <w:tcPr>
            <w:tcW w:w="651" w:type="pct"/>
            <w:tcBorders>
              <w:top w:val="single" w:color="000000" w:sz="2" w:space="0"/>
              <w:bottom w:val="single" w:color="000000" w:sz="2" w:space="0"/>
            </w:tcBorders>
            <w:vAlign w:val="top"/>
          </w:tcPr>
          <w:p>
            <w:pPr>
              <w:spacing w:before="276" w:line="185" w:lineRule="auto"/>
              <w:ind w:left="267"/>
              <w:jc w:val="center"/>
              <w:rPr>
                <w:rFonts w:ascii="宋体" w:hAnsi="宋体" w:eastAsia="宋体" w:cs="宋体"/>
                <w:spacing w:val="4"/>
                <w:szCs w:val="21"/>
              </w:rPr>
            </w:pPr>
          </w:p>
          <w:p>
            <w:pPr>
              <w:spacing w:before="276" w:line="185" w:lineRule="auto"/>
              <w:ind w:left="267"/>
              <w:jc w:val="center"/>
              <w:rPr>
                <w:rFonts w:ascii="宋体" w:hAnsi="宋体" w:eastAsia="宋体" w:cs="宋体"/>
                <w:spacing w:val="4"/>
                <w:szCs w:val="21"/>
              </w:rPr>
            </w:pPr>
            <w:r>
              <w:rPr>
                <w:rFonts w:hint="eastAsia" w:ascii="宋体" w:hAnsi="宋体" w:eastAsia="宋体" w:cs="宋体"/>
                <w:spacing w:val="4"/>
                <w:szCs w:val="21"/>
              </w:rPr>
              <w:t>10</w:t>
            </w:r>
          </w:p>
        </w:tc>
        <w:tc>
          <w:tcPr>
            <w:tcW w:w="499" w:type="pct"/>
            <w:tcBorders>
              <w:top w:val="single" w:color="000000" w:sz="2" w:space="0"/>
              <w:bottom w:val="single" w:color="000000" w:sz="2" w:space="0"/>
            </w:tcBorders>
            <w:vAlign w:val="top"/>
          </w:tcPr>
          <w:p>
            <w:pPr>
              <w:rPr>
                <w:rFonts w:ascii="宋体" w:hAnsi="宋体" w:eastAsia="宋体" w:cs="宋体"/>
                <w:b/>
                <w:spacing w:val="4"/>
                <w:kern w:val="0"/>
                <w:szCs w:val="21"/>
              </w:rPr>
            </w:pPr>
          </w:p>
        </w:tc>
        <w:tc>
          <w:tcPr>
            <w:tcW w:w="411" w:type="pct"/>
            <w:tcBorders>
              <w:top w:val="single" w:color="000000" w:sz="2" w:space="0"/>
              <w:bottom w:val="single" w:color="000000" w:sz="2" w:space="0"/>
            </w:tcBorders>
            <w:vAlign w:val="top"/>
          </w:tcPr>
          <w:p>
            <w:pPr>
              <w:spacing w:before="184" w:line="233" w:lineRule="auto"/>
              <w:ind w:left="109"/>
              <w:rPr>
                <w:rFonts w:ascii="宋体" w:hAnsi="宋体" w:eastAsia="宋体" w:cs="宋体"/>
                <w:b/>
                <w:spacing w:val="4"/>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0" w:hRule="atLeast"/>
          <w:jc w:val="center"/>
        </w:trPr>
        <w:tc>
          <w:tcPr>
            <w:tcW w:w="488" w:type="pct"/>
            <w:tcBorders>
              <w:top w:val="single" w:color="000000" w:sz="2" w:space="0"/>
              <w:bottom w:val="single" w:color="000000" w:sz="2" w:space="0"/>
            </w:tcBorders>
            <w:vAlign w:val="top"/>
          </w:tcPr>
          <w:p>
            <w:pPr>
              <w:spacing w:before="294" w:line="185" w:lineRule="auto"/>
              <w:ind w:left="195"/>
              <w:jc w:val="center"/>
              <w:rPr>
                <w:rFonts w:ascii="宋体" w:hAnsi="宋体" w:eastAsia="宋体" w:cs="宋体"/>
                <w:spacing w:val="4"/>
                <w:szCs w:val="21"/>
              </w:rPr>
            </w:pPr>
            <w:r>
              <w:rPr>
                <w:rFonts w:hint="eastAsia" w:ascii="宋体" w:hAnsi="宋体" w:eastAsia="宋体" w:cs="宋体"/>
                <w:spacing w:val="4"/>
                <w:szCs w:val="21"/>
              </w:rPr>
              <w:t>9</w:t>
            </w:r>
          </w:p>
          <w:p>
            <w:pPr>
              <w:pStyle w:val="2"/>
              <w:jc w:val="center"/>
              <w:rPr>
                <w:rFonts w:ascii="宋体" w:hAnsi="宋体" w:eastAsia="宋体" w:cs="宋体"/>
                <w:b/>
                <w:spacing w:val="4"/>
                <w:kern w:val="0"/>
                <w:sz w:val="21"/>
                <w:szCs w:val="21"/>
              </w:rPr>
            </w:pPr>
          </w:p>
        </w:tc>
        <w:tc>
          <w:tcPr>
            <w:tcW w:w="2948" w:type="pct"/>
            <w:tcBorders>
              <w:top w:val="single" w:color="000000" w:sz="2" w:space="0"/>
              <w:bottom w:val="single" w:color="000000" w:sz="2" w:space="0"/>
            </w:tcBorders>
            <w:vAlign w:val="top"/>
          </w:tcPr>
          <w:p>
            <w:pPr>
              <w:spacing w:before="94" w:line="251" w:lineRule="auto"/>
              <w:ind w:left="90"/>
              <w:rPr>
                <w:rFonts w:ascii="宋体" w:hAnsi="宋体" w:eastAsia="宋体" w:cs="宋体"/>
                <w:szCs w:val="21"/>
              </w:rPr>
            </w:pPr>
            <w:r>
              <w:rPr>
                <w:rFonts w:hint="eastAsia" w:ascii="宋体" w:hAnsi="宋体" w:eastAsia="宋体" w:cs="宋体"/>
                <w:spacing w:val="4"/>
                <w:szCs w:val="21"/>
              </w:rPr>
              <w:t>您认为石狮市应急管理局工作产生社会效益如何?</w:t>
            </w:r>
          </w:p>
          <w:p>
            <w:pPr>
              <w:spacing w:before="94" w:line="251" w:lineRule="auto"/>
              <w:ind w:left="90"/>
              <w:rPr>
                <w:rFonts w:ascii="宋体" w:hAnsi="宋体" w:eastAsia="宋体" w:cs="宋体"/>
                <w:b/>
                <w:spacing w:val="4"/>
                <w:kern w:val="0"/>
                <w:szCs w:val="21"/>
              </w:rPr>
            </w:pPr>
            <w:r>
              <w:rPr>
                <w:rFonts w:hint="eastAsia" w:ascii="宋体" w:hAnsi="宋体" w:eastAsia="宋体" w:cs="宋体"/>
                <w:spacing w:val="4"/>
                <w:szCs w:val="21"/>
              </w:rPr>
              <w:t>(效果显著 10分，较显著6-9分，一般1-5分，效果不明显0分)</w:t>
            </w:r>
          </w:p>
        </w:tc>
        <w:tc>
          <w:tcPr>
            <w:tcW w:w="651" w:type="pct"/>
            <w:tcBorders>
              <w:top w:val="single" w:color="000000" w:sz="2" w:space="0"/>
              <w:bottom w:val="single" w:color="000000" w:sz="2" w:space="0"/>
            </w:tcBorders>
            <w:vAlign w:val="top"/>
          </w:tcPr>
          <w:p>
            <w:pPr>
              <w:spacing w:before="276" w:line="185" w:lineRule="auto"/>
              <w:ind w:left="267"/>
              <w:jc w:val="center"/>
              <w:rPr>
                <w:rFonts w:ascii="宋体" w:hAnsi="宋体" w:eastAsia="宋体" w:cs="宋体"/>
                <w:spacing w:val="4"/>
                <w:szCs w:val="21"/>
              </w:rPr>
            </w:pPr>
          </w:p>
          <w:p>
            <w:pPr>
              <w:spacing w:before="276" w:line="185" w:lineRule="auto"/>
              <w:ind w:left="267"/>
              <w:jc w:val="center"/>
              <w:rPr>
                <w:rFonts w:ascii="宋体" w:hAnsi="宋体" w:eastAsia="宋体" w:cs="宋体"/>
                <w:spacing w:val="4"/>
                <w:szCs w:val="21"/>
              </w:rPr>
            </w:pPr>
            <w:r>
              <w:rPr>
                <w:rFonts w:hint="eastAsia" w:ascii="宋体" w:hAnsi="宋体" w:eastAsia="宋体" w:cs="宋体"/>
                <w:spacing w:val="4"/>
                <w:szCs w:val="21"/>
              </w:rPr>
              <w:t>10</w:t>
            </w:r>
          </w:p>
        </w:tc>
        <w:tc>
          <w:tcPr>
            <w:tcW w:w="499" w:type="pct"/>
            <w:tcBorders>
              <w:top w:val="single" w:color="000000" w:sz="2" w:space="0"/>
              <w:bottom w:val="single" w:color="000000" w:sz="2" w:space="0"/>
            </w:tcBorders>
            <w:vAlign w:val="top"/>
          </w:tcPr>
          <w:p>
            <w:pPr>
              <w:rPr>
                <w:rFonts w:ascii="宋体" w:hAnsi="宋体" w:eastAsia="宋体" w:cs="宋体"/>
                <w:b/>
                <w:spacing w:val="4"/>
                <w:kern w:val="0"/>
                <w:szCs w:val="21"/>
              </w:rPr>
            </w:pPr>
          </w:p>
        </w:tc>
        <w:tc>
          <w:tcPr>
            <w:tcW w:w="411" w:type="pct"/>
            <w:tcBorders>
              <w:top w:val="single" w:color="000000" w:sz="2" w:space="0"/>
              <w:bottom w:val="single" w:color="000000" w:sz="2" w:space="0"/>
            </w:tcBorders>
            <w:vAlign w:val="top"/>
          </w:tcPr>
          <w:p>
            <w:pPr>
              <w:rPr>
                <w:rFonts w:ascii="宋体" w:hAnsi="宋体" w:eastAsia="宋体" w:cs="宋体"/>
                <w:b/>
                <w:spacing w:val="4"/>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8" w:hRule="atLeast"/>
          <w:jc w:val="center"/>
        </w:trPr>
        <w:tc>
          <w:tcPr>
            <w:tcW w:w="488" w:type="pct"/>
            <w:tcBorders>
              <w:top w:val="single" w:color="000000" w:sz="2" w:space="0"/>
              <w:bottom w:val="single" w:color="000000" w:sz="2" w:space="0"/>
            </w:tcBorders>
            <w:vAlign w:val="top"/>
          </w:tcPr>
          <w:p>
            <w:pPr>
              <w:spacing w:before="276" w:line="185" w:lineRule="auto"/>
              <w:ind w:left="134"/>
              <w:jc w:val="center"/>
              <w:rPr>
                <w:rFonts w:ascii="宋体" w:hAnsi="宋体" w:eastAsia="宋体" w:cs="宋体"/>
                <w:spacing w:val="4"/>
                <w:szCs w:val="21"/>
              </w:rPr>
            </w:pPr>
            <w:r>
              <w:rPr>
                <w:rFonts w:hint="eastAsia" w:ascii="宋体" w:hAnsi="宋体" w:eastAsia="宋体" w:cs="宋体"/>
                <w:spacing w:val="4"/>
                <w:szCs w:val="21"/>
              </w:rPr>
              <w:t>10</w:t>
            </w:r>
          </w:p>
          <w:p>
            <w:pPr>
              <w:pStyle w:val="2"/>
              <w:jc w:val="center"/>
              <w:rPr>
                <w:rFonts w:ascii="宋体" w:hAnsi="宋体" w:eastAsia="宋体" w:cs="宋体"/>
                <w:b/>
                <w:spacing w:val="4"/>
                <w:kern w:val="0"/>
                <w:sz w:val="21"/>
                <w:szCs w:val="21"/>
              </w:rPr>
            </w:pPr>
          </w:p>
        </w:tc>
        <w:tc>
          <w:tcPr>
            <w:tcW w:w="2948" w:type="pct"/>
            <w:tcBorders>
              <w:top w:val="single" w:color="000000" w:sz="2" w:space="0"/>
              <w:bottom w:val="single" w:color="000000" w:sz="2" w:space="0"/>
            </w:tcBorders>
            <w:vAlign w:val="top"/>
          </w:tcPr>
          <w:p>
            <w:pPr>
              <w:spacing w:before="77" w:line="235" w:lineRule="auto"/>
              <w:ind w:left="90"/>
              <w:rPr>
                <w:rFonts w:ascii="宋体" w:hAnsi="宋体" w:eastAsia="宋体" w:cs="宋体"/>
                <w:szCs w:val="21"/>
              </w:rPr>
            </w:pPr>
            <w:r>
              <w:rPr>
                <w:rFonts w:hint="eastAsia" w:ascii="宋体" w:hAnsi="宋体" w:eastAsia="宋体" w:cs="宋体"/>
                <w:spacing w:val="4"/>
                <w:szCs w:val="21"/>
              </w:rPr>
              <w:t>您对石狮市应急管理局开展工作是否满意?</w:t>
            </w:r>
          </w:p>
          <w:p>
            <w:pPr>
              <w:spacing w:before="77" w:line="235" w:lineRule="auto"/>
              <w:ind w:left="90"/>
              <w:rPr>
                <w:rFonts w:ascii="宋体" w:hAnsi="宋体" w:eastAsia="宋体" w:cs="宋体"/>
                <w:spacing w:val="4"/>
                <w:szCs w:val="21"/>
              </w:rPr>
            </w:pPr>
            <w:r>
              <w:rPr>
                <w:rFonts w:hint="eastAsia" w:ascii="宋体" w:hAnsi="宋体" w:eastAsia="宋体" w:cs="宋体"/>
                <w:spacing w:val="4"/>
                <w:szCs w:val="21"/>
              </w:rPr>
              <w:t>(很满意10分，满意7-9分，一般1-6分，</w:t>
            </w:r>
          </w:p>
          <w:p>
            <w:pPr>
              <w:spacing w:before="77" w:line="235" w:lineRule="auto"/>
              <w:ind w:left="90"/>
              <w:rPr>
                <w:rFonts w:ascii="宋体" w:hAnsi="宋体" w:eastAsia="宋体" w:cs="宋体"/>
                <w:b/>
                <w:spacing w:val="4"/>
                <w:kern w:val="0"/>
                <w:szCs w:val="21"/>
              </w:rPr>
            </w:pPr>
            <w:r>
              <w:rPr>
                <w:rFonts w:hint="eastAsia" w:ascii="宋体" w:hAnsi="宋体" w:eastAsia="宋体" w:cs="宋体"/>
                <w:spacing w:val="4"/>
                <w:szCs w:val="21"/>
              </w:rPr>
              <w:t>不满意0分)</w:t>
            </w:r>
          </w:p>
        </w:tc>
        <w:tc>
          <w:tcPr>
            <w:tcW w:w="651" w:type="pct"/>
            <w:tcBorders>
              <w:top w:val="single" w:color="000000" w:sz="2" w:space="0"/>
              <w:bottom w:val="single" w:color="000000" w:sz="2" w:space="0"/>
            </w:tcBorders>
            <w:vAlign w:val="top"/>
          </w:tcPr>
          <w:p>
            <w:pPr>
              <w:spacing w:before="276" w:line="185" w:lineRule="auto"/>
              <w:ind w:left="267"/>
              <w:jc w:val="center"/>
              <w:rPr>
                <w:rFonts w:ascii="宋体" w:hAnsi="宋体" w:eastAsia="宋体" w:cs="宋体"/>
                <w:spacing w:val="4"/>
                <w:szCs w:val="21"/>
              </w:rPr>
            </w:pPr>
          </w:p>
          <w:p>
            <w:pPr>
              <w:spacing w:before="276" w:line="185" w:lineRule="auto"/>
              <w:ind w:left="267"/>
              <w:jc w:val="center"/>
              <w:rPr>
                <w:rFonts w:ascii="宋体" w:hAnsi="宋体" w:eastAsia="宋体" w:cs="宋体"/>
                <w:spacing w:val="4"/>
                <w:szCs w:val="21"/>
              </w:rPr>
            </w:pPr>
            <w:r>
              <w:rPr>
                <w:rFonts w:hint="eastAsia" w:ascii="宋体" w:hAnsi="宋体" w:eastAsia="宋体" w:cs="宋体"/>
                <w:spacing w:val="4"/>
                <w:szCs w:val="21"/>
              </w:rPr>
              <w:t>10</w:t>
            </w:r>
          </w:p>
        </w:tc>
        <w:tc>
          <w:tcPr>
            <w:tcW w:w="499" w:type="pct"/>
            <w:tcBorders>
              <w:top w:val="single" w:color="000000" w:sz="2" w:space="0"/>
              <w:bottom w:val="single" w:color="000000" w:sz="2" w:space="0"/>
            </w:tcBorders>
            <w:vAlign w:val="top"/>
          </w:tcPr>
          <w:p>
            <w:pPr>
              <w:rPr>
                <w:rFonts w:ascii="宋体" w:hAnsi="宋体" w:eastAsia="宋体" w:cs="宋体"/>
                <w:b/>
                <w:spacing w:val="4"/>
                <w:kern w:val="0"/>
                <w:szCs w:val="21"/>
              </w:rPr>
            </w:pPr>
          </w:p>
        </w:tc>
        <w:tc>
          <w:tcPr>
            <w:tcW w:w="411" w:type="pct"/>
            <w:tcBorders>
              <w:top w:val="single" w:color="000000" w:sz="2" w:space="0"/>
              <w:bottom w:val="single" w:color="000000" w:sz="2" w:space="0"/>
            </w:tcBorders>
            <w:vAlign w:val="top"/>
          </w:tcPr>
          <w:p>
            <w:pPr>
              <w:rPr>
                <w:rFonts w:ascii="宋体" w:hAnsi="宋体" w:eastAsia="宋体" w:cs="宋体"/>
                <w:b/>
                <w:spacing w:val="4"/>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4" w:hRule="atLeast"/>
          <w:jc w:val="center"/>
        </w:trPr>
        <w:tc>
          <w:tcPr>
            <w:tcW w:w="488" w:type="pct"/>
            <w:tcBorders>
              <w:top w:val="single" w:color="000000" w:sz="2" w:space="0"/>
              <w:bottom w:val="single" w:color="000000" w:sz="2" w:space="0"/>
            </w:tcBorders>
            <w:vAlign w:val="top"/>
          </w:tcPr>
          <w:p>
            <w:pPr>
              <w:rPr>
                <w:rFonts w:ascii="宋体" w:hAnsi="宋体" w:eastAsia="宋体" w:cs="宋体"/>
                <w:b/>
                <w:spacing w:val="4"/>
                <w:kern w:val="0"/>
                <w:szCs w:val="21"/>
              </w:rPr>
            </w:pPr>
          </w:p>
        </w:tc>
        <w:tc>
          <w:tcPr>
            <w:tcW w:w="2948" w:type="pct"/>
            <w:tcBorders>
              <w:top w:val="single" w:color="000000" w:sz="2" w:space="0"/>
              <w:bottom w:val="single" w:color="000000" w:sz="2" w:space="0"/>
            </w:tcBorders>
            <w:vAlign w:val="top"/>
          </w:tcPr>
          <w:p>
            <w:pPr>
              <w:spacing w:before="276" w:line="185" w:lineRule="auto"/>
              <w:ind w:left="267"/>
              <w:jc w:val="center"/>
              <w:rPr>
                <w:rFonts w:ascii="宋体" w:hAnsi="宋体" w:eastAsia="宋体" w:cs="宋体"/>
                <w:b/>
                <w:bCs/>
                <w:spacing w:val="4"/>
                <w:szCs w:val="21"/>
              </w:rPr>
            </w:pPr>
            <w:r>
              <w:rPr>
                <w:rFonts w:hint="eastAsia" w:ascii="宋体" w:hAnsi="宋体" w:eastAsia="宋体" w:cs="宋体"/>
                <w:b/>
                <w:bCs/>
                <w:spacing w:val="4"/>
                <w:szCs w:val="21"/>
              </w:rPr>
              <w:t>合计</w:t>
            </w:r>
          </w:p>
        </w:tc>
        <w:tc>
          <w:tcPr>
            <w:tcW w:w="651" w:type="pct"/>
            <w:tcBorders>
              <w:top w:val="single" w:color="000000" w:sz="2" w:space="0"/>
              <w:bottom w:val="single" w:color="000000" w:sz="2" w:space="0"/>
            </w:tcBorders>
            <w:vAlign w:val="top"/>
          </w:tcPr>
          <w:p>
            <w:pPr>
              <w:spacing w:before="276" w:line="185" w:lineRule="auto"/>
              <w:ind w:firstLine="437" w:firstLineChars="200"/>
              <w:jc w:val="both"/>
              <w:rPr>
                <w:rFonts w:ascii="宋体" w:hAnsi="宋体" w:eastAsia="宋体" w:cs="宋体"/>
                <w:b/>
                <w:bCs/>
                <w:spacing w:val="4"/>
                <w:szCs w:val="21"/>
              </w:rPr>
            </w:pPr>
            <w:r>
              <w:rPr>
                <w:rFonts w:hint="eastAsia" w:ascii="宋体" w:hAnsi="宋体" w:eastAsia="宋体" w:cs="宋体"/>
                <w:b/>
                <w:bCs/>
                <w:spacing w:val="4"/>
                <w:szCs w:val="21"/>
              </w:rPr>
              <w:t>100</w:t>
            </w:r>
          </w:p>
        </w:tc>
        <w:tc>
          <w:tcPr>
            <w:tcW w:w="499" w:type="pct"/>
            <w:tcBorders>
              <w:top w:val="single" w:color="000000" w:sz="2" w:space="0"/>
              <w:bottom w:val="single" w:color="000000" w:sz="2" w:space="0"/>
            </w:tcBorders>
            <w:vAlign w:val="top"/>
          </w:tcPr>
          <w:p>
            <w:pPr>
              <w:rPr>
                <w:rFonts w:ascii="宋体" w:hAnsi="宋体" w:eastAsia="宋体" w:cs="宋体"/>
                <w:b/>
                <w:spacing w:val="4"/>
                <w:kern w:val="0"/>
                <w:szCs w:val="21"/>
              </w:rPr>
            </w:pPr>
          </w:p>
        </w:tc>
        <w:tc>
          <w:tcPr>
            <w:tcW w:w="411" w:type="pct"/>
            <w:tcBorders>
              <w:top w:val="single" w:color="000000" w:sz="2" w:space="0"/>
              <w:bottom w:val="single" w:color="000000" w:sz="2" w:space="0"/>
            </w:tcBorders>
            <w:vAlign w:val="top"/>
          </w:tcPr>
          <w:p>
            <w:pPr>
              <w:rPr>
                <w:rFonts w:ascii="宋体" w:hAnsi="宋体" w:eastAsia="宋体" w:cs="宋体"/>
                <w:b/>
                <w:spacing w:val="4"/>
                <w:kern w:val="0"/>
                <w:szCs w:val="21"/>
              </w:rPr>
            </w:pPr>
          </w:p>
        </w:tc>
      </w:tr>
    </w:tbl>
    <w:p>
      <w:pPr>
        <w:pStyle w:val="25"/>
        <w:ind w:firstLine="0" w:firstLineChars="0"/>
        <w:rPr>
          <w:rFonts w:ascii="黑体" w:hAnsi="黑体" w:eastAsia="黑体" w:cs="黑体"/>
          <w:bCs/>
          <w:kern w:val="44"/>
          <w:sz w:val="28"/>
          <w:szCs w:val="28"/>
        </w:rPr>
      </w:pPr>
    </w:p>
    <w:sectPr>
      <w:footerReference r:id="rId6" w:type="default"/>
      <w:pgSz w:w="11906" w:h="16838"/>
      <w:pgMar w:top="1440" w:right="1800" w:bottom="1440" w:left="1800" w:header="851" w:footer="992" w:gutter="0"/>
      <w:pgNumType w:fmt="decimalFullWidt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GWZT-EN"/>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GWZT-EN"/>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Cambria">
    <w:altName w:val="FreeSerif"/>
    <w:panose1 w:val="02040503050406030204"/>
    <w:charset w:val="00"/>
    <w:family w:val="roman"/>
    <w:pitch w:val="default"/>
    <w:sig w:usb0="00000000" w:usb1="00000000" w:usb2="00000000" w:usb3="00000000" w:csb0="2000019F" w:csb1="00000000"/>
  </w:font>
  <w:font w:name="FreeSerif">
    <w:panose1 w:val="02020603050405020304"/>
    <w:charset w:val="00"/>
    <w:family w:val="auto"/>
    <w:pitch w:val="default"/>
    <w:sig w:usb0="E59FAFFF" w:usb1="C200FDFF" w:usb2="43501B29" w:usb3="04000043" w:csb0="600101FF" w:csb1="FFFF0000"/>
  </w:font>
  <w:font w:name="Verdana">
    <w:altName w:val="Ubuntu Light"/>
    <w:panose1 w:val="020B0604030504040204"/>
    <w:charset w:val="00"/>
    <w:family w:val="swiss"/>
    <w:pitch w:val="default"/>
    <w:sig w:usb0="00000000" w:usb1="00000000" w:usb2="00000010" w:usb3="00000000" w:csb0="2000019F" w:csb1="00000000"/>
  </w:font>
  <w:font w:name="Ubuntu Light">
    <w:panose1 w:val="020B0604030602030204"/>
    <w:charset w:val="00"/>
    <w:family w:val="auto"/>
    <w:pitch w:val="default"/>
    <w:sig w:usb0="E00002FF" w:usb1="5000205B" w:usb2="00000000" w:usb3="00000000" w:csb0="2000009F" w:csb1="56010000"/>
  </w:font>
  <w:font w:name="仿宋">
    <w:altName w:val="仿宋_GB2312"/>
    <w:panose1 w:val="02010609060101010101"/>
    <w:charset w:val="86"/>
    <w:family w:val="auto"/>
    <w:pitch w:val="default"/>
    <w:sig w:usb0="00000000" w:usb1="00000000" w:usb2="00000016" w:usb3="00000000" w:csb0="00040001" w:csb1="00000000"/>
  </w:font>
  <w:font w:name="GWZT-EN">
    <w:panose1 w:val="020204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bP7xkTECAABjBAAADgAAAAAAAAABACAAAAA1&#10;AQAAZHJzL2Uyb0RvYy54bWxQSwUGAAAAAAYABgBZAQAA2A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FgAAAGRycy9QSwECFAAUAAAACACHTuJAs0lY7tAAAAAFAQAADwAAAAAAAAABACAAAAA4AAAA&#10;ZHJzL2Rvd25yZXYueG1sUEsBAhQAFAAAAAgAh07iQC5WZn4yAgAAYwQAAA4AAAAAAAAAAQAgAAAA&#10;NQEAAGRycy9lMm9Eb2MueG1sUEsFBgAAAAAGAAYAWQEAANkFA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FgAAAGRycy9QSwECFAAUAAAACACHTuJAs0lY7tAAAAAFAQAADwAAAAAAAAABACAAAAA4AAAA&#10;ZHJzL2Rvd25yZXYueG1sUEsBAhQAFAAAAAgAh07iQCMFE50yAgAAYwQAAA4AAAAAAAAAAQAgAAAA&#10;NQEAAGRycy9lMm9Eb2MueG1sUEsFBgAAAAAGAAYAWQEAANkFA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193CFF"/>
    <w:multiLevelType w:val="singleLevel"/>
    <w:tmpl w:val="89193CFF"/>
    <w:lvl w:ilvl="0" w:tentative="0">
      <w:start w:val="5"/>
      <w:numFmt w:val="decimal"/>
      <w:suff w:val="nothing"/>
      <w:lvlText w:val="（%1）"/>
      <w:lvlJc w:val="left"/>
      <w:pPr>
        <w:ind w:left="54"/>
      </w:pPr>
    </w:lvl>
  </w:abstractNum>
  <w:abstractNum w:abstractNumId="1">
    <w:nsid w:val="974A92A1"/>
    <w:multiLevelType w:val="singleLevel"/>
    <w:tmpl w:val="974A92A1"/>
    <w:lvl w:ilvl="0" w:tentative="0">
      <w:start w:val="2"/>
      <w:numFmt w:val="decimal"/>
      <w:suff w:val="nothing"/>
      <w:lvlText w:val="（%1）"/>
      <w:lvlJc w:val="left"/>
    </w:lvl>
  </w:abstractNum>
  <w:abstractNum w:abstractNumId="2">
    <w:nsid w:val="4529036C"/>
    <w:multiLevelType w:val="singleLevel"/>
    <w:tmpl w:val="4529036C"/>
    <w:lvl w:ilvl="0" w:tentative="0">
      <w:start w:val="2"/>
      <w:numFmt w:val="chineseCounting"/>
      <w:suff w:val="nothing"/>
      <w:lvlText w:val="（%1）"/>
      <w:lvlJc w:val="left"/>
      <w:rPr>
        <w:rFonts w:hint="eastAsia"/>
      </w:rPr>
    </w:lvl>
  </w:abstractNum>
  <w:abstractNum w:abstractNumId="3">
    <w:nsid w:val="585D02BD"/>
    <w:multiLevelType w:val="singleLevel"/>
    <w:tmpl w:val="585D02BD"/>
    <w:lvl w:ilvl="0" w:tentative="0">
      <w:start w:val="5"/>
      <w:numFmt w:val="decimal"/>
      <w:lvlText w:val="%1."/>
      <w:lvlJc w:val="left"/>
      <w:pPr>
        <w:tabs>
          <w:tab w:val="left" w:pos="312"/>
        </w:tabs>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U5YTE5ODdmYjI3NzA2NzYyYjIxY2E4ZWVjZjBhYWUifQ=="/>
  </w:docVars>
  <w:rsids>
    <w:rsidRoot w:val="004569F1"/>
    <w:rsid w:val="00000555"/>
    <w:rsid w:val="000139F1"/>
    <w:rsid w:val="000170C7"/>
    <w:rsid w:val="00021F5B"/>
    <w:rsid w:val="000238DA"/>
    <w:rsid w:val="000329F2"/>
    <w:rsid w:val="000409A3"/>
    <w:rsid w:val="000437DE"/>
    <w:rsid w:val="000851FF"/>
    <w:rsid w:val="0008548E"/>
    <w:rsid w:val="000B41C2"/>
    <w:rsid w:val="000B6332"/>
    <w:rsid w:val="000D3CF0"/>
    <w:rsid w:val="00134A07"/>
    <w:rsid w:val="00144519"/>
    <w:rsid w:val="00155D47"/>
    <w:rsid w:val="0017221F"/>
    <w:rsid w:val="0018091E"/>
    <w:rsid w:val="00185D87"/>
    <w:rsid w:val="001978A8"/>
    <w:rsid w:val="001B006A"/>
    <w:rsid w:val="001C3ABA"/>
    <w:rsid w:val="002024BC"/>
    <w:rsid w:val="00214A79"/>
    <w:rsid w:val="002225AB"/>
    <w:rsid w:val="00291C26"/>
    <w:rsid w:val="002A00E8"/>
    <w:rsid w:val="002B5921"/>
    <w:rsid w:val="002C0AAE"/>
    <w:rsid w:val="002C6D80"/>
    <w:rsid w:val="002D40AA"/>
    <w:rsid w:val="00323C72"/>
    <w:rsid w:val="0035030C"/>
    <w:rsid w:val="00356B70"/>
    <w:rsid w:val="0038312F"/>
    <w:rsid w:val="003B34E0"/>
    <w:rsid w:val="003D4E03"/>
    <w:rsid w:val="003D55F9"/>
    <w:rsid w:val="003E55B1"/>
    <w:rsid w:val="004179CC"/>
    <w:rsid w:val="0042630A"/>
    <w:rsid w:val="004569F1"/>
    <w:rsid w:val="00456A7F"/>
    <w:rsid w:val="00471C20"/>
    <w:rsid w:val="00491D15"/>
    <w:rsid w:val="004B37E7"/>
    <w:rsid w:val="004B7908"/>
    <w:rsid w:val="004F6F76"/>
    <w:rsid w:val="005043DB"/>
    <w:rsid w:val="00504FF1"/>
    <w:rsid w:val="00516B9D"/>
    <w:rsid w:val="00535F61"/>
    <w:rsid w:val="005558D9"/>
    <w:rsid w:val="005709DB"/>
    <w:rsid w:val="005709FF"/>
    <w:rsid w:val="00571C36"/>
    <w:rsid w:val="0058669E"/>
    <w:rsid w:val="005913E8"/>
    <w:rsid w:val="00592DCB"/>
    <w:rsid w:val="005A5736"/>
    <w:rsid w:val="005C19BC"/>
    <w:rsid w:val="005C679B"/>
    <w:rsid w:val="005F7D98"/>
    <w:rsid w:val="006224D4"/>
    <w:rsid w:val="00625330"/>
    <w:rsid w:val="00667C38"/>
    <w:rsid w:val="00672887"/>
    <w:rsid w:val="006834DE"/>
    <w:rsid w:val="00686CF1"/>
    <w:rsid w:val="0069072B"/>
    <w:rsid w:val="0069183F"/>
    <w:rsid w:val="0069536E"/>
    <w:rsid w:val="006B6627"/>
    <w:rsid w:val="006D4DE0"/>
    <w:rsid w:val="006F7CB4"/>
    <w:rsid w:val="00700433"/>
    <w:rsid w:val="00702AE0"/>
    <w:rsid w:val="007046A2"/>
    <w:rsid w:val="00710749"/>
    <w:rsid w:val="007117DC"/>
    <w:rsid w:val="00716029"/>
    <w:rsid w:val="00722EF2"/>
    <w:rsid w:val="00723B0F"/>
    <w:rsid w:val="007425ED"/>
    <w:rsid w:val="007666E2"/>
    <w:rsid w:val="0079595D"/>
    <w:rsid w:val="007A2232"/>
    <w:rsid w:val="007C4088"/>
    <w:rsid w:val="007E01C0"/>
    <w:rsid w:val="007E1FE8"/>
    <w:rsid w:val="00814ADD"/>
    <w:rsid w:val="00823CB9"/>
    <w:rsid w:val="00824973"/>
    <w:rsid w:val="008670E0"/>
    <w:rsid w:val="00870295"/>
    <w:rsid w:val="00874222"/>
    <w:rsid w:val="00887A2F"/>
    <w:rsid w:val="008D05D9"/>
    <w:rsid w:val="008E0FA2"/>
    <w:rsid w:val="008E2480"/>
    <w:rsid w:val="008E79CD"/>
    <w:rsid w:val="008F59A9"/>
    <w:rsid w:val="008F7F95"/>
    <w:rsid w:val="0090119B"/>
    <w:rsid w:val="00903ED3"/>
    <w:rsid w:val="009106BB"/>
    <w:rsid w:val="0091078F"/>
    <w:rsid w:val="0091423F"/>
    <w:rsid w:val="00950B9B"/>
    <w:rsid w:val="0095131E"/>
    <w:rsid w:val="00994436"/>
    <w:rsid w:val="009C39EB"/>
    <w:rsid w:val="009C77D7"/>
    <w:rsid w:val="009D2BFD"/>
    <w:rsid w:val="009D5E17"/>
    <w:rsid w:val="009E4436"/>
    <w:rsid w:val="009F7098"/>
    <w:rsid w:val="009F733B"/>
    <w:rsid w:val="00A26512"/>
    <w:rsid w:val="00A43DC3"/>
    <w:rsid w:val="00A53026"/>
    <w:rsid w:val="00A570FE"/>
    <w:rsid w:val="00A72245"/>
    <w:rsid w:val="00A72496"/>
    <w:rsid w:val="00A76974"/>
    <w:rsid w:val="00A83029"/>
    <w:rsid w:val="00A873A5"/>
    <w:rsid w:val="00AB604F"/>
    <w:rsid w:val="00B22419"/>
    <w:rsid w:val="00B26391"/>
    <w:rsid w:val="00B335F9"/>
    <w:rsid w:val="00B33F67"/>
    <w:rsid w:val="00B37E37"/>
    <w:rsid w:val="00B40BB9"/>
    <w:rsid w:val="00B6745A"/>
    <w:rsid w:val="00B772BD"/>
    <w:rsid w:val="00B94C34"/>
    <w:rsid w:val="00BB07C3"/>
    <w:rsid w:val="00BB3828"/>
    <w:rsid w:val="00BE6FDF"/>
    <w:rsid w:val="00C47F1C"/>
    <w:rsid w:val="00C80C5A"/>
    <w:rsid w:val="00C8339F"/>
    <w:rsid w:val="00CF13D8"/>
    <w:rsid w:val="00D040B1"/>
    <w:rsid w:val="00D160BA"/>
    <w:rsid w:val="00D16743"/>
    <w:rsid w:val="00D54BB4"/>
    <w:rsid w:val="00D57478"/>
    <w:rsid w:val="00D64059"/>
    <w:rsid w:val="00DD2A63"/>
    <w:rsid w:val="00DD5E19"/>
    <w:rsid w:val="00DE408F"/>
    <w:rsid w:val="00DF41AA"/>
    <w:rsid w:val="00E118DE"/>
    <w:rsid w:val="00E3171A"/>
    <w:rsid w:val="00E91ECE"/>
    <w:rsid w:val="00EC5A21"/>
    <w:rsid w:val="00EF5064"/>
    <w:rsid w:val="00F01EC6"/>
    <w:rsid w:val="00F04682"/>
    <w:rsid w:val="00F112EF"/>
    <w:rsid w:val="00F9337B"/>
    <w:rsid w:val="00FA61C8"/>
    <w:rsid w:val="00FA628F"/>
    <w:rsid w:val="00FB5154"/>
    <w:rsid w:val="00FE5F36"/>
    <w:rsid w:val="00FE778B"/>
    <w:rsid w:val="00FF7AD9"/>
    <w:rsid w:val="010B06CF"/>
    <w:rsid w:val="023300B2"/>
    <w:rsid w:val="02562D5C"/>
    <w:rsid w:val="025E74F4"/>
    <w:rsid w:val="02E84F90"/>
    <w:rsid w:val="030722EE"/>
    <w:rsid w:val="042D4B19"/>
    <w:rsid w:val="047C0C3F"/>
    <w:rsid w:val="047F1664"/>
    <w:rsid w:val="055758BE"/>
    <w:rsid w:val="06471FDD"/>
    <w:rsid w:val="06486916"/>
    <w:rsid w:val="06C712B1"/>
    <w:rsid w:val="06F0147F"/>
    <w:rsid w:val="070F54A3"/>
    <w:rsid w:val="088640F7"/>
    <w:rsid w:val="08D67F53"/>
    <w:rsid w:val="08E9202E"/>
    <w:rsid w:val="090D71AB"/>
    <w:rsid w:val="0A0D0F95"/>
    <w:rsid w:val="0A2254F5"/>
    <w:rsid w:val="0A2833C6"/>
    <w:rsid w:val="0AB2323C"/>
    <w:rsid w:val="0AF41BDB"/>
    <w:rsid w:val="0B4D3BF1"/>
    <w:rsid w:val="0B692BC4"/>
    <w:rsid w:val="0C2700D8"/>
    <w:rsid w:val="0D553231"/>
    <w:rsid w:val="0E590D2D"/>
    <w:rsid w:val="0EB23F3A"/>
    <w:rsid w:val="0EDD4374"/>
    <w:rsid w:val="0F245407"/>
    <w:rsid w:val="0F3F1C12"/>
    <w:rsid w:val="0F7B7575"/>
    <w:rsid w:val="0F831255"/>
    <w:rsid w:val="0F9D602C"/>
    <w:rsid w:val="10092657"/>
    <w:rsid w:val="103233B6"/>
    <w:rsid w:val="103307B8"/>
    <w:rsid w:val="1057106E"/>
    <w:rsid w:val="106E378B"/>
    <w:rsid w:val="10D248C2"/>
    <w:rsid w:val="1113485F"/>
    <w:rsid w:val="1131072A"/>
    <w:rsid w:val="11AD742D"/>
    <w:rsid w:val="11F13516"/>
    <w:rsid w:val="127050CB"/>
    <w:rsid w:val="1295437A"/>
    <w:rsid w:val="130E6CE2"/>
    <w:rsid w:val="137D5826"/>
    <w:rsid w:val="13B0225A"/>
    <w:rsid w:val="13D02DAA"/>
    <w:rsid w:val="13FF0DA5"/>
    <w:rsid w:val="1409111B"/>
    <w:rsid w:val="141F4EA5"/>
    <w:rsid w:val="142F63D8"/>
    <w:rsid w:val="14712CD7"/>
    <w:rsid w:val="149D49D0"/>
    <w:rsid w:val="14B236D8"/>
    <w:rsid w:val="152C0D1B"/>
    <w:rsid w:val="15433819"/>
    <w:rsid w:val="154E15F1"/>
    <w:rsid w:val="155A2F95"/>
    <w:rsid w:val="155D2253"/>
    <w:rsid w:val="164125A5"/>
    <w:rsid w:val="16693D46"/>
    <w:rsid w:val="166D119E"/>
    <w:rsid w:val="1684168B"/>
    <w:rsid w:val="16883DD2"/>
    <w:rsid w:val="16AD7759"/>
    <w:rsid w:val="172A43B4"/>
    <w:rsid w:val="176D1177"/>
    <w:rsid w:val="177F2867"/>
    <w:rsid w:val="17C074F9"/>
    <w:rsid w:val="17D64F6F"/>
    <w:rsid w:val="17D81F52"/>
    <w:rsid w:val="17D82359"/>
    <w:rsid w:val="180F5177"/>
    <w:rsid w:val="187D41DF"/>
    <w:rsid w:val="187F5606"/>
    <w:rsid w:val="18AE6A09"/>
    <w:rsid w:val="19071834"/>
    <w:rsid w:val="19597C05"/>
    <w:rsid w:val="197D694C"/>
    <w:rsid w:val="19BD34F1"/>
    <w:rsid w:val="1A7016AA"/>
    <w:rsid w:val="1A930EF5"/>
    <w:rsid w:val="1B524C1F"/>
    <w:rsid w:val="1C921E4A"/>
    <w:rsid w:val="1CAE64BA"/>
    <w:rsid w:val="1D5037CA"/>
    <w:rsid w:val="1D7B460B"/>
    <w:rsid w:val="1D9564A7"/>
    <w:rsid w:val="1E93401A"/>
    <w:rsid w:val="1F34016A"/>
    <w:rsid w:val="1FC30E7F"/>
    <w:rsid w:val="1FE14158"/>
    <w:rsid w:val="1FFE4926"/>
    <w:rsid w:val="20020FF7"/>
    <w:rsid w:val="208E7FC4"/>
    <w:rsid w:val="209154C8"/>
    <w:rsid w:val="20FC0D46"/>
    <w:rsid w:val="212328C1"/>
    <w:rsid w:val="21645F8B"/>
    <w:rsid w:val="221070D6"/>
    <w:rsid w:val="224E35FD"/>
    <w:rsid w:val="22E44DA0"/>
    <w:rsid w:val="22FD7B57"/>
    <w:rsid w:val="23703F94"/>
    <w:rsid w:val="24277F71"/>
    <w:rsid w:val="242D4844"/>
    <w:rsid w:val="24385274"/>
    <w:rsid w:val="25BC3A39"/>
    <w:rsid w:val="26B92423"/>
    <w:rsid w:val="274B3022"/>
    <w:rsid w:val="27DB4ACE"/>
    <w:rsid w:val="2859084F"/>
    <w:rsid w:val="28652DD3"/>
    <w:rsid w:val="28676281"/>
    <w:rsid w:val="28B91A62"/>
    <w:rsid w:val="290E37E8"/>
    <w:rsid w:val="29655DA2"/>
    <w:rsid w:val="299959A2"/>
    <w:rsid w:val="2A4C49BE"/>
    <w:rsid w:val="2A922F77"/>
    <w:rsid w:val="2A9860B3"/>
    <w:rsid w:val="2ACE562D"/>
    <w:rsid w:val="2AE47FDC"/>
    <w:rsid w:val="2B297FE5"/>
    <w:rsid w:val="2CBE3855"/>
    <w:rsid w:val="2CC906D1"/>
    <w:rsid w:val="2CC96439"/>
    <w:rsid w:val="2CD75567"/>
    <w:rsid w:val="2D0D4B37"/>
    <w:rsid w:val="2D387FC4"/>
    <w:rsid w:val="2D9F1682"/>
    <w:rsid w:val="2DD80BB4"/>
    <w:rsid w:val="2E23072F"/>
    <w:rsid w:val="2ED3143C"/>
    <w:rsid w:val="2ED81E78"/>
    <w:rsid w:val="2F806D27"/>
    <w:rsid w:val="30E20088"/>
    <w:rsid w:val="311E5564"/>
    <w:rsid w:val="31321B4D"/>
    <w:rsid w:val="316D68CA"/>
    <w:rsid w:val="31E438D6"/>
    <w:rsid w:val="31FE615D"/>
    <w:rsid w:val="321842D5"/>
    <w:rsid w:val="323D52C0"/>
    <w:rsid w:val="32DC190E"/>
    <w:rsid w:val="32FF6E6D"/>
    <w:rsid w:val="339B068A"/>
    <w:rsid w:val="342268CD"/>
    <w:rsid w:val="34560205"/>
    <w:rsid w:val="345A75C8"/>
    <w:rsid w:val="348426B1"/>
    <w:rsid w:val="35226EE4"/>
    <w:rsid w:val="352928A7"/>
    <w:rsid w:val="354809E2"/>
    <w:rsid w:val="35723839"/>
    <w:rsid w:val="358D68CC"/>
    <w:rsid w:val="359C5F6C"/>
    <w:rsid w:val="3604731B"/>
    <w:rsid w:val="366A60F6"/>
    <w:rsid w:val="366E2DC7"/>
    <w:rsid w:val="36A6683E"/>
    <w:rsid w:val="37182A56"/>
    <w:rsid w:val="37796733"/>
    <w:rsid w:val="38116232"/>
    <w:rsid w:val="38A5315F"/>
    <w:rsid w:val="38BA2482"/>
    <w:rsid w:val="39FE23D7"/>
    <w:rsid w:val="3A053765"/>
    <w:rsid w:val="3A113B23"/>
    <w:rsid w:val="3A2E2366"/>
    <w:rsid w:val="3ABA486F"/>
    <w:rsid w:val="3B385475"/>
    <w:rsid w:val="3D24301C"/>
    <w:rsid w:val="3D2B0D7F"/>
    <w:rsid w:val="3DC05C43"/>
    <w:rsid w:val="3DC40DFB"/>
    <w:rsid w:val="3E2804D6"/>
    <w:rsid w:val="3E353EED"/>
    <w:rsid w:val="3E846685"/>
    <w:rsid w:val="3E917176"/>
    <w:rsid w:val="3ECC27C2"/>
    <w:rsid w:val="3EF71358"/>
    <w:rsid w:val="3F0A7DDC"/>
    <w:rsid w:val="3F0B695A"/>
    <w:rsid w:val="3F2660E0"/>
    <w:rsid w:val="409B585E"/>
    <w:rsid w:val="40A53078"/>
    <w:rsid w:val="40B650B9"/>
    <w:rsid w:val="414B145E"/>
    <w:rsid w:val="418C2076"/>
    <w:rsid w:val="41B84899"/>
    <w:rsid w:val="41BF327F"/>
    <w:rsid w:val="422D74F8"/>
    <w:rsid w:val="423B2E57"/>
    <w:rsid w:val="42503636"/>
    <w:rsid w:val="4456340D"/>
    <w:rsid w:val="46892719"/>
    <w:rsid w:val="46C61C32"/>
    <w:rsid w:val="46DB235E"/>
    <w:rsid w:val="47224C12"/>
    <w:rsid w:val="486C0C85"/>
    <w:rsid w:val="48E07E4B"/>
    <w:rsid w:val="48FD64AB"/>
    <w:rsid w:val="49021AA0"/>
    <w:rsid w:val="4C0D2AAF"/>
    <w:rsid w:val="4CD601B1"/>
    <w:rsid w:val="4D07114B"/>
    <w:rsid w:val="4D6F7DC6"/>
    <w:rsid w:val="4D8B1A09"/>
    <w:rsid w:val="4DA52AA9"/>
    <w:rsid w:val="4E522508"/>
    <w:rsid w:val="4E555281"/>
    <w:rsid w:val="4E5C2352"/>
    <w:rsid w:val="4EC61CA6"/>
    <w:rsid w:val="4F4401EE"/>
    <w:rsid w:val="4F901E15"/>
    <w:rsid w:val="4F950C90"/>
    <w:rsid w:val="50D80D76"/>
    <w:rsid w:val="50F851C2"/>
    <w:rsid w:val="51383F5B"/>
    <w:rsid w:val="526130AB"/>
    <w:rsid w:val="53B03D82"/>
    <w:rsid w:val="54C600B0"/>
    <w:rsid w:val="55B20C33"/>
    <w:rsid w:val="573D6968"/>
    <w:rsid w:val="57E26CFD"/>
    <w:rsid w:val="584B5683"/>
    <w:rsid w:val="584F0C20"/>
    <w:rsid w:val="58BB5D56"/>
    <w:rsid w:val="58EE0267"/>
    <w:rsid w:val="591841CF"/>
    <w:rsid w:val="59374B66"/>
    <w:rsid w:val="59595331"/>
    <w:rsid w:val="5AC57105"/>
    <w:rsid w:val="5BAD3750"/>
    <w:rsid w:val="5BB12F2F"/>
    <w:rsid w:val="5BCA00F5"/>
    <w:rsid w:val="5D5C4DA2"/>
    <w:rsid w:val="5D7F0DD6"/>
    <w:rsid w:val="5E106C49"/>
    <w:rsid w:val="5E6C590B"/>
    <w:rsid w:val="5F2A622D"/>
    <w:rsid w:val="5F380FCF"/>
    <w:rsid w:val="5F7C66C9"/>
    <w:rsid w:val="5F8316BF"/>
    <w:rsid w:val="5F9B1910"/>
    <w:rsid w:val="600E7075"/>
    <w:rsid w:val="60544F40"/>
    <w:rsid w:val="60DB5CA7"/>
    <w:rsid w:val="614B791F"/>
    <w:rsid w:val="624F7008"/>
    <w:rsid w:val="62960F74"/>
    <w:rsid w:val="6364478F"/>
    <w:rsid w:val="64AA2690"/>
    <w:rsid w:val="654E2431"/>
    <w:rsid w:val="65931A51"/>
    <w:rsid w:val="65F65E25"/>
    <w:rsid w:val="66253E7F"/>
    <w:rsid w:val="66880AAA"/>
    <w:rsid w:val="67192989"/>
    <w:rsid w:val="67E87203"/>
    <w:rsid w:val="696A4915"/>
    <w:rsid w:val="697C0346"/>
    <w:rsid w:val="69BD10B7"/>
    <w:rsid w:val="6A4118B1"/>
    <w:rsid w:val="6A915B84"/>
    <w:rsid w:val="6AC377B1"/>
    <w:rsid w:val="6B1220F0"/>
    <w:rsid w:val="6B897BF1"/>
    <w:rsid w:val="6B8A4FC9"/>
    <w:rsid w:val="6D754569"/>
    <w:rsid w:val="6DC27BD3"/>
    <w:rsid w:val="6E0660CA"/>
    <w:rsid w:val="6E0F76C6"/>
    <w:rsid w:val="6E8B7240"/>
    <w:rsid w:val="6EDB5075"/>
    <w:rsid w:val="6F51070C"/>
    <w:rsid w:val="6F6E66AF"/>
    <w:rsid w:val="6F7704D0"/>
    <w:rsid w:val="6FC02B97"/>
    <w:rsid w:val="6FC25B68"/>
    <w:rsid w:val="6FC8794B"/>
    <w:rsid w:val="6FCA035E"/>
    <w:rsid w:val="6FEF16BE"/>
    <w:rsid w:val="70035569"/>
    <w:rsid w:val="700974FB"/>
    <w:rsid w:val="70420198"/>
    <w:rsid w:val="70634072"/>
    <w:rsid w:val="70E54D18"/>
    <w:rsid w:val="72C63391"/>
    <w:rsid w:val="72D300DA"/>
    <w:rsid w:val="741E637E"/>
    <w:rsid w:val="744E5F97"/>
    <w:rsid w:val="74A16B19"/>
    <w:rsid w:val="758F2A4E"/>
    <w:rsid w:val="759C7DD3"/>
    <w:rsid w:val="75AF23DB"/>
    <w:rsid w:val="75CF0849"/>
    <w:rsid w:val="760F2622"/>
    <w:rsid w:val="76815090"/>
    <w:rsid w:val="773774DD"/>
    <w:rsid w:val="775F5A05"/>
    <w:rsid w:val="78766AAE"/>
    <w:rsid w:val="78FC4A23"/>
    <w:rsid w:val="793C3C4D"/>
    <w:rsid w:val="7A4D1FE3"/>
    <w:rsid w:val="7BB075FB"/>
    <w:rsid w:val="7C4E248F"/>
    <w:rsid w:val="7C596A1E"/>
    <w:rsid w:val="7E2C5A01"/>
    <w:rsid w:val="7E4355E6"/>
    <w:rsid w:val="7E672ADC"/>
    <w:rsid w:val="7E7B2C53"/>
    <w:rsid w:val="7EBD0B32"/>
    <w:rsid w:val="7EC1181F"/>
    <w:rsid w:val="7F6E764D"/>
    <w:rsid w:val="7FB04986"/>
    <w:rsid w:val="7FD61453"/>
    <w:rsid w:val="7FF90280"/>
    <w:rsid w:val="B17E867A"/>
    <w:rsid w:val="FFECB7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39" w:semiHidden="0" w:name="toc 2"/>
    <w:lsdException w:qFormat="1" w:unhideWhenUsed="0" w:uiPriority="0" w:semiHidden="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27"/>
    <w:qFormat/>
    <w:uiPriority w:val="0"/>
    <w:pPr>
      <w:spacing w:beforeAutospacing="1" w:afterAutospacing="1"/>
      <w:jc w:val="left"/>
      <w:outlineLvl w:val="0"/>
    </w:pPr>
    <w:rPr>
      <w:rFonts w:hint="eastAsia" w:ascii="宋体" w:hAnsi="宋体" w:eastAsia="宋体" w:cs="Times New Roman"/>
      <w:b/>
      <w:kern w:val="44"/>
      <w:sz w:val="48"/>
      <w:szCs w:val="48"/>
    </w:rPr>
  </w:style>
  <w:style w:type="paragraph" w:styleId="4">
    <w:name w:val="heading 2"/>
    <w:basedOn w:val="1"/>
    <w:next w:val="1"/>
    <w:unhideWhenUsed/>
    <w:qFormat/>
    <w:uiPriority w:val="0"/>
    <w:pPr>
      <w:ind w:firstLine="482"/>
      <w:outlineLvl w:val="1"/>
    </w:pPr>
    <w:rPr>
      <w:b/>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alloon Text"/>
    <w:basedOn w:val="1"/>
    <w:next w:val="1"/>
    <w:link w:val="37"/>
    <w:qFormat/>
    <w:uiPriority w:val="0"/>
    <w:rPr>
      <w:sz w:val="18"/>
      <w:szCs w:val="18"/>
    </w:rPr>
  </w:style>
  <w:style w:type="paragraph" w:styleId="5">
    <w:name w:val="Normal Indent"/>
    <w:basedOn w:val="1"/>
    <w:qFormat/>
    <w:uiPriority w:val="0"/>
    <w:pPr>
      <w:ind w:firstLine="200" w:firstLineChars="200"/>
    </w:pPr>
    <w:rPr>
      <w:color w:val="0000FF"/>
      <w:sz w:val="28"/>
      <w:szCs w:val="28"/>
    </w:rPr>
  </w:style>
  <w:style w:type="paragraph" w:styleId="6">
    <w:name w:val="annotation text"/>
    <w:basedOn w:val="1"/>
    <w:link w:val="36"/>
    <w:unhideWhenUsed/>
    <w:qFormat/>
    <w:uiPriority w:val="0"/>
    <w:pPr>
      <w:jc w:val="left"/>
    </w:pPr>
  </w:style>
  <w:style w:type="paragraph" w:styleId="7">
    <w:name w:val="Body Text Indent"/>
    <w:basedOn w:val="1"/>
    <w:qFormat/>
    <w:uiPriority w:val="0"/>
    <w:pPr>
      <w:adjustRightInd w:val="0"/>
      <w:snapToGrid w:val="0"/>
      <w:spacing w:line="560" w:lineRule="atLeast"/>
      <w:ind w:firstLine="640" w:firstLineChars="200"/>
    </w:pPr>
    <w:rPr>
      <w:kern w:val="0"/>
      <w:szCs w:val="28"/>
    </w:rPr>
  </w:style>
  <w:style w:type="paragraph" w:styleId="8">
    <w:name w:val="toc 3"/>
    <w:basedOn w:val="1"/>
    <w:next w:val="1"/>
    <w:qFormat/>
    <w:uiPriority w:val="0"/>
    <w:pPr>
      <w:ind w:left="840" w:leftChars="400"/>
    </w:pPr>
  </w:style>
  <w:style w:type="paragraph" w:styleId="9">
    <w:name w:val="Date"/>
    <w:basedOn w:val="1"/>
    <w:next w:val="1"/>
    <w:link w:val="35"/>
    <w:qFormat/>
    <w:uiPriority w:val="0"/>
    <w:pPr>
      <w:ind w:left="100" w:leftChars="2500"/>
    </w:pPr>
  </w:style>
  <w:style w:type="paragraph" w:styleId="10">
    <w:name w:val="footer"/>
    <w:basedOn w:val="1"/>
    <w:qFormat/>
    <w:uiPriority w:val="99"/>
    <w:pPr>
      <w:tabs>
        <w:tab w:val="center" w:pos="4153"/>
        <w:tab w:val="right" w:pos="8306"/>
      </w:tabs>
      <w:snapToGrid w:val="0"/>
      <w:jc w:val="left"/>
    </w:pPr>
    <w:rPr>
      <w:sz w:val="18"/>
      <w:szCs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toc 1"/>
    <w:basedOn w:val="1"/>
    <w:next w:val="1"/>
    <w:qFormat/>
    <w:uiPriority w:val="0"/>
  </w:style>
  <w:style w:type="paragraph" w:styleId="13">
    <w:name w:val="toc 2"/>
    <w:basedOn w:val="1"/>
    <w:next w:val="14"/>
    <w:qFormat/>
    <w:uiPriority w:val="39"/>
    <w:pPr>
      <w:ind w:left="420" w:leftChars="200"/>
    </w:pPr>
  </w:style>
  <w:style w:type="paragraph" w:styleId="14">
    <w:name w:val="Title"/>
    <w:basedOn w:val="1"/>
    <w:qFormat/>
    <w:uiPriority w:val="0"/>
    <w:pPr>
      <w:jc w:val="center"/>
      <w:outlineLvl w:val="0"/>
    </w:pPr>
    <w:rPr>
      <w:rFonts w:ascii="Arial" w:hAnsi="Arial"/>
      <w:b/>
      <w:sz w:val="32"/>
    </w:rPr>
  </w:style>
  <w:style w:type="paragraph" w:styleId="15">
    <w:name w:val="Normal (Web)"/>
    <w:basedOn w:val="1"/>
    <w:qFormat/>
    <w:uiPriority w:val="0"/>
    <w:pPr>
      <w:spacing w:beforeAutospacing="1" w:afterAutospacing="1"/>
      <w:jc w:val="left"/>
    </w:pPr>
    <w:rPr>
      <w:rFonts w:cs="Times New Roman"/>
      <w:kern w:val="0"/>
      <w:sz w:val="24"/>
    </w:rPr>
  </w:style>
  <w:style w:type="paragraph" w:styleId="16">
    <w:name w:val="annotation subject"/>
    <w:basedOn w:val="6"/>
    <w:next w:val="6"/>
    <w:link w:val="40"/>
    <w:semiHidden/>
    <w:unhideWhenUsed/>
    <w:qFormat/>
    <w:uiPriority w:val="0"/>
    <w:rPr>
      <w:b/>
      <w:bCs/>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basedOn w:val="19"/>
    <w:qFormat/>
    <w:uiPriority w:val="0"/>
    <w:rPr>
      <w:b/>
    </w:rPr>
  </w:style>
  <w:style w:type="character" w:styleId="21">
    <w:name w:val="page number"/>
    <w:basedOn w:val="19"/>
    <w:qFormat/>
    <w:uiPriority w:val="0"/>
    <w:rPr>
      <w:rFonts w:hint="default"/>
      <w:sz w:val="24"/>
    </w:rPr>
  </w:style>
  <w:style w:type="character" w:styleId="22">
    <w:name w:val="Hyperlink"/>
    <w:basedOn w:val="19"/>
    <w:qFormat/>
    <w:uiPriority w:val="99"/>
    <w:rPr>
      <w:color w:val="0000FF"/>
      <w:u w:val="single"/>
    </w:rPr>
  </w:style>
  <w:style w:type="character" w:styleId="23">
    <w:name w:val="annotation reference"/>
    <w:basedOn w:val="19"/>
    <w:semiHidden/>
    <w:unhideWhenUsed/>
    <w:qFormat/>
    <w:uiPriority w:val="0"/>
    <w:rPr>
      <w:sz w:val="21"/>
      <w:szCs w:val="21"/>
    </w:rPr>
  </w:style>
  <w:style w:type="paragraph" w:customStyle="1" w:styleId="24">
    <w:name w:val="正文缩进311"/>
    <w:next w:val="1"/>
    <w:qFormat/>
    <w:uiPriority w:val="0"/>
    <w:pPr>
      <w:wordWrap w:val="0"/>
      <w:ind w:left="3400"/>
      <w:jc w:val="both"/>
    </w:pPr>
    <w:rPr>
      <w:rFonts w:ascii="Calibri" w:hAnsi="Calibri" w:eastAsia="宋体" w:cs="Times New Roman"/>
      <w:sz w:val="21"/>
      <w:szCs w:val="22"/>
      <w:lang w:val="en-US" w:eastAsia="zh-CN" w:bidi="ar-SA"/>
    </w:rPr>
  </w:style>
  <w:style w:type="paragraph" w:customStyle="1" w:styleId="25">
    <w:name w:val="正文文本首行缩进 21"/>
    <w:basedOn w:val="26"/>
    <w:qFormat/>
    <w:uiPriority w:val="0"/>
    <w:pPr>
      <w:ind w:firstLine="420"/>
    </w:pPr>
  </w:style>
  <w:style w:type="paragraph" w:customStyle="1" w:styleId="26">
    <w:name w:val="正文文本缩进1"/>
    <w:basedOn w:val="1"/>
    <w:qFormat/>
    <w:uiPriority w:val="0"/>
    <w:pPr>
      <w:spacing w:line="520" w:lineRule="exact"/>
      <w:ind w:firstLine="640" w:firstLineChars="200"/>
    </w:pPr>
    <w:rPr>
      <w:rFonts w:ascii="仿宋_GB2312" w:eastAsia="仿宋_GB2312"/>
      <w:sz w:val="32"/>
    </w:rPr>
  </w:style>
  <w:style w:type="character" w:customStyle="1" w:styleId="27">
    <w:name w:val="标题 1 字符"/>
    <w:link w:val="3"/>
    <w:qFormat/>
    <w:uiPriority w:val="0"/>
    <w:rPr>
      <w:rFonts w:hint="eastAsia" w:ascii="宋体" w:hAnsi="宋体" w:eastAsia="宋体" w:cs="Times New Roman"/>
      <w:b/>
      <w:kern w:val="44"/>
      <w:sz w:val="48"/>
      <w:szCs w:val="48"/>
    </w:rPr>
  </w:style>
  <w:style w:type="character" w:customStyle="1" w:styleId="28">
    <w:name w:val="标题 2 字符"/>
    <w:qFormat/>
    <w:uiPriority w:val="0"/>
    <w:rPr>
      <w:b/>
    </w:rPr>
  </w:style>
  <w:style w:type="paragraph" w:customStyle="1" w:styleId="29">
    <w:name w:val="_Style 2"/>
    <w:basedOn w:val="3"/>
    <w:next w:val="1"/>
    <w:qFormat/>
    <w:uiPriority w:val="39"/>
    <w:pPr>
      <w:widowControl/>
      <w:spacing w:before="480" w:line="276" w:lineRule="auto"/>
      <w:outlineLvl w:val="9"/>
    </w:pPr>
    <w:rPr>
      <w:rFonts w:ascii="Cambria" w:hAnsi="Cambria"/>
      <w:color w:val="365F91"/>
      <w:kern w:val="0"/>
      <w:sz w:val="28"/>
      <w:szCs w:val="28"/>
    </w:rPr>
  </w:style>
  <w:style w:type="table" w:customStyle="1" w:styleId="30">
    <w:name w:val="Table Normal"/>
    <w:semiHidden/>
    <w:unhideWhenUsed/>
    <w:qFormat/>
    <w:uiPriority w:val="0"/>
    <w:tblPr>
      <w:tblCellMar>
        <w:top w:w="0" w:type="dxa"/>
        <w:left w:w="0" w:type="dxa"/>
        <w:bottom w:w="0" w:type="dxa"/>
        <w:right w:w="0" w:type="dxa"/>
      </w:tblCellMar>
    </w:tblPr>
  </w:style>
  <w:style w:type="paragraph" w:styleId="31">
    <w:name w:val="List Paragraph"/>
    <w:basedOn w:val="1"/>
    <w:unhideWhenUsed/>
    <w:qFormat/>
    <w:uiPriority w:val="99"/>
    <w:pPr>
      <w:ind w:firstLine="420" w:firstLineChars="200"/>
    </w:pPr>
  </w:style>
  <w:style w:type="paragraph" w:customStyle="1" w:styleId="32">
    <w:name w:val="WPSOffice手动目录 1"/>
    <w:qFormat/>
    <w:uiPriority w:val="0"/>
    <w:rPr>
      <w:rFonts w:ascii="Times New Roman" w:hAnsi="Times New Roman" w:eastAsia="宋体" w:cs="Times New Roman"/>
      <w:lang w:val="en-US" w:eastAsia="zh-CN" w:bidi="ar-SA"/>
    </w:rPr>
  </w:style>
  <w:style w:type="paragraph" w:customStyle="1" w:styleId="3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4">
    <w:name w:val="WPSOffice手动目录 3"/>
    <w:qFormat/>
    <w:uiPriority w:val="0"/>
    <w:pPr>
      <w:ind w:left="400" w:leftChars="400"/>
    </w:pPr>
    <w:rPr>
      <w:rFonts w:ascii="Times New Roman" w:hAnsi="Times New Roman" w:eastAsia="宋体" w:cs="Times New Roman"/>
      <w:lang w:val="en-US" w:eastAsia="zh-CN" w:bidi="ar-SA"/>
    </w:rPr>
  </w:style>
  <w:style w:type="character" w:customStyle="1" w:styleId="35">
    <w:name w:val="日期 字符"/>
    <w:basedOn w:val="19"/>
    <w:link w:val="9"/>
    <w:qFormat/>
    <w:uiPriority w:val="0"/>
    <w:rPr>
      <w:rFonts w:asciiTheme="minorHAnsi" w:hAnsiTheme="minorHAnsi" w:eastAsiaTheme="minorEastAsia" w:cstheme="minorBidi"/>
      <w:kern w:val="2"/>
      <w:sz w:val="21"/>
      <w:szCs w:val="24"/>
    </w:rPr>
  </w:style>
  <w:style w:type="character" w:customStyle="1" w:styleId="36">
    <w:name w:val="批注文字 字符"/>
    <w:basedOn w:val="19"/>
    <w:link w:val="6"/>
    <w:qFormat/>
    <w:uiPriority w:val="0"/>
    <w:rPr>
      <w:rFonts w:asciiTheme="minorHAnsi" w:hAnsiTheme="minorHAnsi" w:eastAsiaTheme="minorEastAsia" w:cstheme="minorBidi"/>
      <w:kern w:val="2"/>
      <w:sz w:val="21"/>
      <w:szCs w:val="24"/>
    </w:rPr>
  </w:style>
  <w:style w:type="character" w:customStyle="1" w:styleId="37">
    <w:name w:val="批注框文本 字符"/>
    <w:basedOn w:val="19"/>
    <w:link w:val="2"/>
    <w:qFormat/>
    <w:uiPriority w:val="0"/>
    <w:rPr>
      <w:rFonts w:asciiTheme="minorHAnsi" w:hAnsiTheme="minorHAnsi" w:eastAsiaTheme="minorEastAsia" w:cstheme="minorBidi"/>
      <w:kern w:val="2"/>
      <w:sz w:val="18"/>
      <w:szCs w:val="18"/>
    </w:rPr>
  </w:style>
  <w:style w:type="character" w:customStyle="1" w:styleId="38">
    <w:name w:val="NormalCharacter"/>
    <w:link w:val="39"/>
    <w:qFormat/>
    <w:locked/>
    <w:uiPriority w:val="99"/>
    <w:rPr>
      <w:rFonts w:ascii="Verdana" w:hAnsi="Verdana"/>
      <w:kern w:val="0"/>
      <w:sz w:val="20"/>
      <w:szCs w:val="20"/>
      <w:lang w:eastAsia="en-US"/>
    </w:rPr>
  </w:style>
  <w:style w:type="paragraph" w:customStyle="1" w:styleId="39">
    <w:name w:val="UserStyle_3"/>
    <w:basedOn w:val="1"/>
    <w:link w:val="38"/>
    <w:qFormat/>
    <w:uiPriority w:val="99"/>
    <w:pPr>
      <w:spacing w:after="160" w:line="240" w:lineRule="exact"/>
      <w:ind w:firstLine="420" w:firstLineChars="200"/>
      <w:jc w:val="left"/>
    </w:pPr>
    <w:rPr>
      <w:rFonts w:ascii="Verdana" w:hAnsi="Verdana"/>
      <w:kern w:val="0"/>
      <w:sz w:val="20"/>
      <w:szCs w:val="20"/>
      <w:lang w:eastAsia="en-US"/>
    </w:rPr>
  </w:style>
  <w:style w:type="character" w:customStyle="1" w:styleId="40">
    <w:name w:val="批注主题 字符"/>
    <w:basedOn w:val="36"/>
    <w:link w:val="16"/>
    <w:semiHidden/>
    <w:qFormat/>
    <w:uiPriority w:val="0"/>
    <w:rPr>
      <w:rFonts w:asciiTheme="minorHAnsi" w:hAnsiTheme="minorHAnsi" w:eastAsiaTheme="minorEastAsia" w:cstheme="minorBidi"/>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StyleName="APA" SelectedStyle="\APA.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DF41C5-2C78-4EC6-9717-0116676C7ED6}">
  <ds:schemaRefs/>
</ds:datastoreItem>
</file>

<file path=docProps/app.xml><?xml version="1.0" encoding="utf-8"?>
<Properties xmlns="http://schemas.openxmlformats.org/officeDocument/2006/extended-properties" xmlns:vt="http://schemas.openxmlformats.org/officeDocument/2006/docPropsVTypes">
  <Template>Normal</Template>
  <Company>Micorosoft</Company>
  <Pages>45</Pages>
  <Words>23675</Words>
  <Characters>25745</Characters>
  <Lines>182</Lines>
  <Paragraphs>51</Paragraphs>
  <TotalTime>8</TotalTime>
  <ScaleCrop>false</ScaleCrop>
  <LinksUpToDate>false</LinksUpToDate>
  <CharactersWithSpaces>26132</CharactersWithSpaces>
  <Application>WPS Office_11.8.2.12185_F1E327BC-269C-435d-A152-05C5408002CA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2022-10-27T10:00:00Z</dcterms:created>
  <dc:creator>Administrator</dc:creator>
  <cp:lastModifiedBy>thtf</cp:lastModifiedBy>
  <cp:lastPrinted>2023-08-01T18:25:00Z</cp:lastPrinted>
  <dcterms:modified xsi:type="dcterms:W3CDTF">2024-12-09T19:14:30Z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2052-11.8.2.12185</vt:lpwstr>
  </property>
  <property fmtid="{D5CDD505-2E9C-101B-9397-08002B2CF9AE}" pid="3" name="ICV">
    <vt:lpwstr>A13C2C37B654478F84771D7FB31BC353</vt:lpwstr>
  </property>
</Properties>
</file>