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A8E5C7">
      <w:pPr>
        <w:spacing w:line="360" w:lineRule="auto"/>
        <w:ind w:firstLine="480"/>
        <w:rPr>
          <w:rFonts w:ascii="宋体" w:hAnsi="宋体" w:cs="宋体"/>
          <w:sz w:val="28"/>
          <w:szCs w:val="28"/>
        </w:rPr>
      </w:pPr>
    </w:p>
    <w:p w14:paraId="45B655F2">
      <w:pPr>
        <w:spacing w:line="360" w:lineRule="auto"/>
        <w:ind w:firstLine="480"/>
        <w:rPr>
          <w:rFonts w:ascii="宋体" w:hAnsi="宋体" w:cs="宋体"/>
          <w:sz w:val="28"/>
          <w:szCs w:val="28"/>
        </w:rPr>
      </w:pPr>
    </w:p>
    <w:p w14:paraId="6DA4D4D3">
      <w:pPr>
        <w:spacing w:line="360" w:lineRule="auto"/>
        <w:jc w:val="center"/>
        <w:rPr>
          <w:rFonts w:ascii="黑体" w:hAnsi="黑体" w:eastAsia="黑体" w:cs="黑体"/>
          <w:bCs/>
          <w:sz w:val="48"/>
          <w:szCs w:val="48"/>
        </w:rPr>
      </w:pPr>
      <w:r>
        <w:rPr>
          <w:rFonts w:hint="eastAsia" w:ascii="黑体" w:hAnsi="黑体" w:eastAsia="黑体" w:cs="黑体"/>
          <w:bCs/>
          <w:sz w:val="48"/>
          <w:szCs w:val="48"/>
        </w:rPr>
        <w:t>2022年度石狮市农业农村局部门</w:t>
      </w:r>
    </w:p>
    <w:p w14:paraId="653D524A">
      <w:pPr>
        <w:spacing w:line="360" w:lineRule="auto"/>
        <w:jc w:val="center"/>
        <w:outlineLvl w:val="0"/>
        <w:rPr>
          <w:rFonts w:ascii="黑体" w:hAnsi="黑体" w:eastAsia="黑体" w:cs="黑体"/>
          <w:bCs/>
          <w:sz w:val="48"/>
          <w:szCs w:val="48"/>
        </w:rPr>
      </w:pPr>
      <w:bookmarkStart w:id="0" w:name="_Toc7254"/>
      <w:bookmarkStart w:id="1" w:name="_Toc10396"/>
      <w:bookmarkStart w:id="2" w:name="_Toc6381"/>
      <w:bookmarkStart w:id="3" w:name="_Toc20993"/>
      <w:r>
        <w:rPr>
          <w:rFonts w:hint="eastAsia" w:ascii="黑体" w:hAnsi="黑体" w:eastAsia="黑体" w:cs="黑体"/>
          <w:bCs/>
          <w:sz w:val="48"/>
          <w:szCs w:val="48"/>
        </w:rPr>
        <w:t>整体支出绩效评价报告</w:t>
      </w:r>
      <w:bookmarkEnd w:id="0"/>
      <w:bookmarkEnd w:id="1"/>
      <w:bookmarkEnd w:id="2"/>
      <w:bookmarkEnd w:id="3"/>
    </w:p>
    <w:p w14:paraId="15858CA2">
      <w:pPr>
        <w:pStyle w:val="19"/>
        <w:spacing w:line="360" w:lineRule="auto"/>
        <w:ind w:firstLine="720"/>
        <w:rPr>
          <w:bCs/>
          <w:sz w:val="36"/>
          <w:szCs w:val="28"/>
        </w:rPr>
      </w:pPr>
    </w:p>
    <w:p w14:paraId="04E16DFD">
      <w:pPr>
        <w:pStyle w:val="19"/>
        <w:spacing w:line="360" w:lineRule="auto"/>
        <w:ind w:firstLine="720"/>
        <w:rPr>
          <w:bCs/>
          <w:sz w:val="36"/>
          <w:szCs w:val="28"/>
        </w:rPr>
      </w:pPr>
    </w:p>
    <w:p w14:paraId="009AB588">
      <w:pPr>
        <w:pStyle w:val="19"/>
        <w:spacing w:line="360" w:lineRule="auto"/>
        <w:ind w:firstLine="720"/>
        <w:rPr>
          <w:bCs/>
          <w:sz w:val="36"/>
          <w:szCs w:val="28"/>
        </w:rPr>
      </w:pPr>
    </w:p>
    <w:p w14:paraId="30D86C7D">
      <w:pPr>
        <w:pStyle w:val="19"/>
        <w:spacing w:line="360" w:lineRule="auto"/>
        <w:ind w:firstLine="720"/>
        <w:rPr>
          <w:bCs/>
          <w:sz w:val="36"/>
          <w:szCs w:val="28"/>
        </w:rPr>
      </w:pPr>
    </w:p>
    <w:p w14:paraId="386A7FEC">
      <w:pPr>
        <w:pStyle w:val="19"/>
        <w:spacing w:line="360" w:lineRule="auto"/>
        <w:ind w:firstLine="720"/>
        <w:rPr>
          <w:bCs/>
          <w:sz w:val="36"/>
          <w:szCs w:val="28"/>
        </w:rPr>
      </w:pPr>
    </w:p>
    <w:p w14:paraId="1426E938">
      <w:pPr>
        <w:pStyle w:val="19"/>
        <w:spacing w:line="360" w:lineRule="auto"/>
        <w:ind w:firstLine="720"/>
        <w:rPr>
          <w:rFonts w:ascii="黑体" w:hAnsi="黑体" w:eastAsia="黑体" w:cs="黑体"/>
          <w:bCs/>
          <w:sz w:val="36"/>
          <w:szCs w:val="36"/>
        </w:rPr>
      </w:pPr>
    </w:p>
    <w:p w14:paraId="5BAA3C37">
      <w:pPr>
        <w:spacing w:line="360" w:lineRule="auto"/>
        <w:ind w:left="720" w:hanging="720" w:hangingChars="200"/>
        <w:rPr>
          <w:rFonts w:ascii="黑体" w:hAnsi="黑体" w:eastAsia="黑体" w:cs="黑体"/>
          <w:bCs/>
          <w:sz w:val="36"/>
          <w:szCs w:val="36"/>
          <w:u w:val="single"/>
        </w:rPr>
      </w:pPr>
      <w:r>
        <w:rPr>
          <w:rFonts w:hint="eastAsia" w:ascii="黑体" w:hAnsi="黑体" w:eastAsia="黑体" w:cs="黑体"/>
          <w:bCs/>
          <w:sz w:val="36"/>
          <w:szCs w:val="36"/>
        </w:rPr>
        <w:t>项目单位：</w:t>
      </w:r>
      <w:r>
        <w:rPr>
          <w:rFonts w:hint="eastAsia" w:ascii="黑体" w:hAnsi="黑体" w:eastAsia="黑体" w:cs="黑体"/>
          <w:bCs/>
          <w:sz w:val="36"/>
          <w:szCs w:val="36"/>
          <w:u w:val="single"/>
        </w:rPr>
        <w:t xml:space="preserve">       石狮市农业农村局         </w:t>
      </w:r>
    </w:p>
    <w:p w14:paraId="51C0AC2B">
      <w:pPr>
        <w:spacing w:line="360" w:lineRule="auto"/>
        <w:ind w:left="1800" w:hanging="1800" w:hangingChars="500"/>
        <w:rPr>
          <w:rFonts w:ascii="黑体" w:hAnsi="黑体" w:eastAsia="黑体" w:cs="黑体"/>
          <w:bCs/>
          <w:sz w:val="36"/>
          <w:szCs w:val="36"/>
          <w:u w:val="single"/>
        </w:rPr>
      </w:pPr>
    </w:p>
    <w:p w14:paraId="1BFE0BF4">
      <w:pPr>
        <w:spacing w:line="360" w:lineRule="auto"/>
        <w:ind w:left="720" w:hanging="720" w:hangingChars="200"/>
        <w:rPr>
          <w:rFonts w:ascii="黑体" w:hAnsi="黑体" w:eastAsia="黑体" w:cs="黑体"/>
          <w:bCs/>
          <w:sz w:val="36"/>
          <w:szCs w:val="36"/>
          <w:u w:val="single"/>
        </w:rPr>
      </w:pPr>
      <w:r>
        <w:rPr>
          <w:rFonts w:hint="eastAsia" w:ascii="黑体" w:hAnsi="黑体" w:eastAsia="黑体" w:cs="黑体"/>
          <w:bCs/>
          <w:sz w:val="36"/>
          <w:szCs w:val="36"/>
        </w:rPr>
        <w:t>委托单位：</w:t>
      </w:r>
      <w:r>
        <w:rPr>
          <w:rFonts w:hint="eastAsia" w:ascii="黑体" w:hAnsi="黑体" w:eastAsia="黑体" w:cs="黑体"/>
          <w:bCs/>
          <w:sz w:val="36"/>
          <w:szCs w:val="36"/>
          <w:u w:val="single"/>
        </w:rPr>
        <w:t xml:space="preserve">         石狮市财政局           </w:t>
      </w:r>
    </w:p>
    <w:p w14:paraId="10B9E9C2">
      <w:pPr>
        <w:pStyle w:val="19"/>
        <w:spacing w:line="360" w:lineRule="auto"/>
        <w:ind w:firstLine="720"/>
        <w:rPr>
          <w:rFonts w:ascii="黑体" w:hAnsi="黑体" w:eastAsia="黑体" w:cs="黑体"/>
          <w:bCs/>
          <w:sz w:val="36"/>
          <w:szCs w:val="36"/>
        </w:rPr>
      </w:pPr>
    </w:p>
    <w:p w14:paraId="31FFB3CC">
      <w:pPr>
        <w:spacing w:line="360" w:lineRule="auto"/>
        <w:ind w:left="720" w:hanging="720" w:hangingChars="200"/>
        <w:rPr>
          <w:rFonts w:ascii="黑体" w:hAnsi="黑体" w:eastAsia="黑体" w:cs="黑体"/>
          <w:bCs/>
          <w:sz w:val="36"/>
          <w:szCs w:val="36"/>
          <w:u w:val="single"/>
        </w:rPr>
      </w:pPr>
      <w:r>
        <w:rPr>
          <w:rFonts w:hint="eastAsia" w:ascii="黑体" w:hAnsi="黑体" w:eastAsia="黑体" w:cs="黑体"/>
          <w:bCs/>
          <w:sz w:val="36"/>
          <w:szCs w:val="36"/>
        </w:rPr>
        <w:t>评价机构：</w:t>
      </w:r>
      <w:r>
        <w:rPr>
          <w:rFonts w:hint="eastAsia" w:ascii="黑体" w:hAnsi="黑体" w:eastAsia="黑体" w:cs="黑体"/>
          <w:bCs/>
          <w:sz w:val="36"/>
          <w:szCs w:val="36"/>
          <w:u w:val="single"/>
        </w:rPr>
        <w:t xml:space="preserve">   泉州市启程财务咨询有限公司   </w:t>
      </w:r>
    </w:p>
    <w:p w14:paraId="3ABD6725">
      <w:pPr>
        <w:pStyle w:val="19"/>
        <w:spacing w:line="360" w:lineRule="auto"/>
        <w:ind w:firstLine="720"/>
        <w:rPr>
          <w:rFonts w:ascii="黑体" w:hAnsi="黑体" w:eastAsia="黑体" w:cs="黑体"/>
          <w:bCs/>
          <w:sz w:val="36"/>
          <w:szCs w:val="36"/>
        </w:rPr>
      </w:pPr>
    </w:p>
    <w:p w14:paraId="1A2E863A">
      <w:pPr>
        <w:spacing w:line="360" w:lineRule="auto"/>
        <w:ind w:left="720" w:hanging="720" w:hangingChars="200"/>
        <w:rPr>
          <w:rFonts w:ascii="黑体" w:hAnsi="黑体" w:eastAsia="黑体" w:cs="黑体"/>
          <w:bCs/>
          <w:sz w:val="36"/>
          <w:szCs w:val="36"/>
          <w:u w:val="single"/>
        </w:rPr>
      </w:pPr>
      <w:r>
        <w:rPr>
          <w:rFonts w:hint="eastAsia" w:ascii="黑体" w:hAnsi="黑体" w:eastAsia="黑体" w:cs="黑体"/>
          <w:bCs/>
          <w:sz w:val="36"/>
          <w:szCs w:val="36"/>
        </w:rPr>
        <w:t>评价时间：</w:t>
      </w:r>
      <w:r>
        <w:rPr>
          <w:rFonts w:hint="eastAsia" w:ascii="黑体" w:hAnsi="黑体" w:eastAsia="黑体" w:cs="黑体"/>
          <w:bCs/>
          <w:sz w:val="36"/>
          <w:szCs w:val="36"/>
          <w:u w:val="single"/>
        </w:rPr>
        <w:t xml:space="preserve">        2023年5-6月           </w:t>
      </w:r>
    </w:p>
    <w:p w14:paraId="46B29950">
      <w:pPr>
        <w:spacing w:line="360" w:lineRule="auto"/>
        <w:ind w:left="1800" w:hanging="1800" w:hangingChars="500"/>
        <w:rPr>
          <w:rFonts w:ascii="黑体" w:hAnsi="黑体" w:eastAsia="黑体" w:cs="黑体"/>
          <w:bCs/>
          <w:sz w:val="36"/>
          <w:szCs w:val="36"/>
          <w:u w:val="single"/>
        </w:rPr>
      </w:pPr>
    </w:p>
    <w:p w14:paraId="168EE21A">
      <w:pPr>
        <w:spacing w:line="360" w:lineRule="auto"/>
        <w:ind w:left="1800" w:hanging="1800" w:hangingChars="500"/>
        <w:rPr>
          <w:rFonts w:ascii="黑体" w:hAnsi="黑体" w:eastAsia="黑体" w:cs="黑体"/>
          <w:bCs/>
          <w:sz w:val="36"/>
          <w:szCs w:val="36"/>
          <w:u w:val="single"/>
        </w:rPr>
      </w:pPr>
    </w:p>
    <w:p w14:paraId="40BDE64E">
      <w:pPr>
        <w:pStyle w:val="19"/>
        <w:spacing w:line="360" w:lineRule="auto"/>
        <w:ind w:firstLine="720"/>
        <w:rPr>
          <w:rFonts w:ascii="黑体" w:hAnsi="黑体" w:eastAsia="黑体" w:cs="黑体"/>
          <w:bCs/>
          <w:sz w:val="36"/>
          <w:szCs w:val="36"/>
        </w:rPr>
      </w:pPr>
    </w:p>
    <w:p w14:paraId="6C7936FB">
      <w:pPr>
        <w:pStyle w:val="2"/>
        <w:spacing w:line="360" w:lineRule="auto"/>
        <w:rPr>
          <w:bCs/>
          <w:sz w:val="20"/>
          <w:szCs w:val="20"/>
        </w:rPr>
      </w:pPr>
    </w:p>
    <w:p w14:paraId="23533B73">
      <w:pPr>
        <w:spacing w:line="360" w:lineRule="auto"/>
        <w:jc w:val="center"/>
        <w:rPr>
          <w:rFonts w:ascii="黑体" w:hAnsi="黑体" w:eastAsia="黑体" w:cs="黑体"/>
          <w:bCs/>
          <w:sz w:val="36"/>
          <w:szCs w:val="36"/>
        </w:rPr>
      </w:pPr>
      <w:r>
        <w:rPr>
          <w:rFonts w:hint="eastAsia" w:ascii="黑体" w:hAnsi="黑体" w:eastAsia="黑体" w:cs="黑体"/>
          <w:bCs/>
          <w:sz w:val="36"/>
          <w:szCs w:val="36"/>
        </w:rPr>
        <w:t>2023年6月20日</w:t>
      </w:r>
    </w:p>
    <w:p w14:paraId="671572D5">
      <w:pPr>
        <w:spacing w:line="360" w:lineRule="auto"/>
        <w:jc w:val="center"/>
        <w:rPr>
          <w:rFonts w:ascii="黑体" w:eastAsia="黑体"/>
          <w:b/>
          <w:sz w:val="36"/>
          <w:szCs w:val="36"/>
        </w:rPr>
      </w:pPr>
    </w:p>
    <w:p w14:paraId="5B7719C9">
      <w:pPr>
        <w:spacing w:line="360" w:lineRule="auto"/>
        <w:jc w:val="center"/>
        <w:outlineLvl w:val="0"/>
        <w:rPr>
          <w:rFonts w:ascii="黑体" w:hAnsi="黑体" w:eastAsia="黑体" w:cs="黑体"/>
          <w:bCs/>
          <w:spacing w:val="4"/>
          <w:sz w:val="40"/>
          <w:szCs w:val="40"/>
        </w:rPr>
      </w:pPr>
      <w:bookmarkStart w:id="4" w:name="_Toc5786"/>
      <w:bookmarkStart w:id="5" w:name="_Toc10615"/>
      <w:bookmarkStart w:id="6" w:name="_Toc26626"/>
      <w:bookmarkStart w:id="7" w:name="_Toc2829"/>
      <w:bookmarkStart w:id="8" w:name="_Toc24616"/>
      <w:bookmarkStart w:id="9" w:name="_Toc2704"/>
      <w:bookmarkStart w:id="10" w:name="_Toc9706"/>
      <w:bookmarkStart w:id="11" w:name="_Toc28391"/>
      <w:bookmarkStart w:id="12" w:name="_Toc12820"/>
      <w:r>
        <w:rPr>
          <w:rFonts w:hint="eastAsia" w:ascii="黑体" w:hAnsi="黑体" w:eastAsia="黑体" w:cs="黑体"/>
          <w:bCs/>
          <w:spacing w:val="4"/>
          <w:sz w:val="40"/>
          <w:szCs w:val="40"/>
        </w:rPr>
        <w:t>绩效评价工作组人员名单</w:t>
      </w:r>
      <w:bookmarkEnd w:id="4"/>
      <w:bookmarkEnd w:id="5"/>
      <w:bookmarkEnd w:id="6"/>
      <w:bookmarkEnd w:id="7"/>
      <w:bookmarkEnd w:id="8"/>
      <w:bookmarkEnd w:id="9"/>
      <w:bookmarkEnd w:id="10"/>
      <w:bookmarkEnd w:id="11"/>
      <w:bookmarkEnd w:id="12"/>
    </w:p>
    <w:p w14:paraId="5C259A0C">
      <w:pPr>
        <w:pStyle w:val="2"/>
        <w:spacing w:line="360" w:lineRule="auto"/>
        <w:rPr>
          <w:sz w:val="20"/>
          <w:szCs w:val="20"/>
        </w:rPr>
      </w:pPr>
    </w:p>
    <w:tbl>
      <w:tblPr>
        <w:tblStyle w:val="14"/>
        <w:tblW w:w="85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2128"/>
        <w:gridCol w:w="2359"/>
        <w:gridCol w:w="2686"/>
      </w:tblGrid>
      <w:tr w14:paraId="22928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12366DD6">
            <w:pPr>
              <w:spacing w:line="360" w:lineRule="auto"/>
              <w:jc w:val="center"/>
              <w:rPr>
                <w:rFonts w:ascii="仿宋" w:hAnsi="仿宋" w:eastAsia="仿宋" w:cs="仿宋"/>
                <w:b/>
                <w:bCs/>
                <w:spacing w:val="4"/>
                <w:sz w:val="36"/>
                <w:szCs w:val="36"/>
              </w:rPr>
            </w:pPr>
            <w:r>
              <w:rPr>
                <w:rFonts w:hint="eastAsia" w:ascii="仿宋" w:hAnsi="仿宋" w:eastAsia="仿宋" w:cs="仿宋"/>
                <w:b/>
                <w:bCs/>
                <w:spacing w:val="4"/>
                <w:sz w:val="36"/>
                <w:szCs w:val="36"/>
              </w:rPr>
              <w:t>序号</w:t>
            </w:r>
          </w:p>
        </w:tc>
        <w:tc>
          <w:tcPr>
            <w:tcW w:w="2128" w:type="dxa"/>
          </w:tcPr>
          <w:p w14:paraId="500DC486">
            <w:pPr>
              <w:spacing w:line="360" w:lineRule="auto"/>
              <w:jc w:val="center"/>
              <w:rPr>
                <w:rFonts w:ascii="仿宋" w:hAnsi="仿宋" w:eastAsia="仿宋" w:cs="仿宋"/>
                <w:b/>
                <w:bCs/>
                <w:spacing w:val="4"/>
                <w:sz w:val="36"/>
                <w:szCs w:val="36"/>
              </w:rPr>
            </w:pPr>
            <w:r>
              <w:rPr>
                <w:rFonts w:hint="eastAsia" w:ascii="仿宋" w:hAnsi="仿宋" w:eastAsia="仿宋" w:cs="仿宋"/>
                <w:b/>
                <w:bCs/>
                <w:spacing w:val="4"/>
                <w:sz w:val="36"/>
                <w:szCs w:val="36"/>
              </w:rPr>
              <w:t>职务</w:t>
            </w:r>
          </w:p>
        </w:tc>
        <w:tc>
          <w:tcPr>
            <w:tcW w:w="2359" w:type="dxa"/>
          </w:tcPr>
          <w:p w14:paraId="70BFE4DA">
            <w:pPr>
              <w:spacing w:line="360" w:lineRule="auto"/>
              <w:jc w:val="center"/>
              <w:rPr>
                <w:rFonts w:ascii="仿宋" w:hAnsi="仿宋" w:eastAsia="仿宋" w:cs="仿宋"/>
                <w:b/>
                <w:bCs/>
                <w:spacing w:val="4"/>
                <w:sz w:val="36"/>
                <w:szCs w:val="36"/>
              </w:rPr>
            </w:pPr>
            <w:r>
              <w:rPr>
                <w:rFonts w:hint="eastAsia" w:ascii="仿宋" w:hAnsi="仿宋" w:eastAsia="仿宋" w:cs="仿宋"/>
                <w:b/>
                <w:bCs/>
                <w:spacing w:val="4"/>
                <w:sz w:val="36"/>
                <w:szCs w:val="36"/>
              </w:rPr>
              <w:t>姓名</w:t>
            </w:r>
          </w:p>
        </w:tc>
        <w:tc>
          <w:tcPr>
            <w:tcW w:w="2686" w:type="dxa"/>
          </w:tcPr>
          <w:p w14:paraId="3971EAA4">
            <w:pPr>
              <w:spacing w:line="360" w:lineRule="auto"/>
              <w:jc w:val="center"/>
              <w:rPr>
                <w:rFonts w:ascii="仿宋" w:hAnsi="仿宋" w:eastAsia="仿宋" w:cs="仿宋"/>
                <w:b/>
                <w:bCs/>
                <w:spacing w:val="4"/>
                <w:sz w:val="36"/>
                <w:szCs w:val="36"/>
              </w:rPr>
            </w:pPr>
            <w:r>
              <w:rPr>
                <w:rFonts w:hint="eastAsia" w:ascii="仿宋" w:hAnsi="仿宋" w:eastAsia="仿宋" w:cs="仿宋"/>
                <w:b/>
                <w:bCs/>
                <w:spacing w:val="4"/>
                <w:sz w:val="36"/>
                <w:szCs w:val="36"/>
              </w:rPr>
              <w:t>联系方式</w:t>
            </w:r>
          </w:p>
        </w:tc>
      </w:tr>
      <w:tr w14:paraId="3E23A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417" w:type="dxa"/>
          </w:tcPr>
          <w:p w14:paraId="6BBD39D7">
            <w:pPr>
              <w:spacing w:line="360" w:lineRule="auto"/>
              <w:jc w:val="center"/>
              <w:rPr>
                <w:rFonts w:ascii="仿宋" w:hAnsi="仿宋" w:eastAsia="仿宋" w:cs="仿宋"/>
                <w:spacing w:val="4"/>
                <w:sz w:val="36"/>
                <w:szCs w:val="36"/>
              </w:rPr>
            </w:pPr>
            <w:r>
              <w:rPr>
                <w:rFonts w:hint="eastAsia" w:ascii="仿宋" w:hAnsi="仿宋" w:eastAsia="仿宋" w:cs="仿宋"/>
                <w:spacing w:val="4"/>
                <w:sz w:val="36"/>
                <w:szCs w:val="36"/>
              </w:rPr>
              <w:t>1</w:t>
            </w:r>
          </w:p>
        </w:tc>
        <w:tc>
          <w:tcPr>
            <w:tcW w:w="2128" w:type="dxa"/>
          </w:tcPr>
          <w:p w14:paraId="1177B8A0">
            <w:pPr>
              <w:spacing w:line="360" w:lineRule="auto"/>
              <w:jc w:val="center"/>
              <w:rPr>
                <w:rFonts w:ascii="仿宋" w:hAnsi="仿宋" w:eastAsia="仿宋" w:cs="仿宋"/>
                <w:spacing w:val="4"/>
                <w:sz w:val="36"/>
                <w:szCs w:val="36"/>
              </w:rPr>
            </w:pPr>
            <w:r>
              <w:rPr>
                <w:rFonts w:hint="eastAsia" w:ascii="仿宋" w:hAnsi="仿宋" w:eastAsia="仿宋" w:cs="仿宋"/>
                <w:spacing w:val="4"/>
                <w:sz w:val="36"/>
                <w:szCs w:val="36"/>
              </w:rPr>
              <w:t>组长</w:t>
            </w:r>
          </w:p>
        </w:tc>
        <w:tc>
          <w:tcPr>
            <w:tcW w:w="2359" w:type="dxa"/>
          </w:tcPr>
          <w:p w14:paraId="2C59C45A">
            <w:pPr>
              <w:spacing w:line="360" w:lineRule="auto"/>
              <w:jc w:val="center"/>
              <w:rPr>
                <w:rFonts w:ascii="仿宋" w:hAnsi="仿宋" w:eastAsia="仿宋" w:cs="仿宋"/>
                <w:spacing w:val="4"/>
                <w:sz w:val="36"/>
                <w:szCs w:val="36"/>
              </w:rPr>
            </w:pPr>
            <w:r>
              <w:rPr>
                <w:rFonts w:hint="eastAsia" w:ascii="仿宋" w:hAnsi="仿宋" w:eastAsia="仿宋" w:cs="仿宋"/>
                <w:spacing w:val="4"/>
                <w:sz w:val="36"/>
                <w:szCs w:val="36"/>
              </w:rPr>
              <w:t>徐本玉</w:t>
            </w:r>
          </w:p>
        </w:tc>
        <w:tc>
          <w:tcPr>
            <w:tcW w:w="2686" w:type="dxa"/>
          </w:tcPr>
          <w:p w14:paraId="2C2B6ED9">
            <w:pPr>
              <w:spacing w:line="360" w:lineRule="auto"/>
              <w:jc w:val="center"/>
              <w:rPr>
                <w:rFonts w:ascii="仿宋" w:hAnsi="仿宋" w:eastAsia="仿宋" w:cs="仿宋"/>
                <w:spacing w:val="4"/>
                <w:sz w:val="36"/>
                <w:szCs w:val="36"/>
              </w:rPr>
            </w:pPr>
            <w:r>
              <w:rPr>
                <w:rFonts w:hint="eastAsia" w:ascii="仿宋" w:hAnsi="仿宋" w:eastAsia="仿宋" w:cs="仿宋"/>
                <w:spacing w:val="4"/>
                <w:sz w:val="36"/>
                <w:szCs w:val="36"/>
              </w:rPr>
              <w:t>18606955277</w:t>
            </w:r>
          </w:p>
        </w:tc>
      </w:tr>
      <w:tr w14:paraId="124BC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60134569">
            <w:pPr>
              <w:spacing w:line="360" w:lineRule="auto"/>
              <w:jc w:val="center"/>
              <w:rPr>
                <w:rFonts w:ascii="仿宋" w:hAnsi="仿宋" w:eastAsia="仿宋" w:cs="仿宋"/>
                <w:spacing w:val="4"/>
                <w:sz w:val="36"/>
                <w:szCs w:val="36"/>
              </w:rPr>
            </w:pPr>
            <w:r>
              <w:rPr>
                <w:rFonts w:hint="eastAsia" w:ascii="仿宋" w:hAnsi="仿宋" w:eastAsia="仿宋" w:cs="仿宋"/>
                <w:spacing w:val="4"/>
                <w:sz w:val="36"/>
                <w:szCs w:val="36"/>
              </w:rPr>
              <w:t>2</w:t>
            </w:r>
          </w:p>
        </w:tc>
        <w:tc>
          <w:tcPr>
            <w:tcW w:w="2128" w:type="dxa"/>
          </w:tcPr>
          <w:p w14:paraId="1E62B921">
            <w:pPr>
              <w:spacing w:line="360" w:lineRule="auto"/>
              <w:jc w:val="center"/>
              <w:rPr>
                <w:rFonts w:ascii="仿宋" w:hAnsi="仿宋" w:eastAsia="仿宋" w:cs="仿宋"/>
                <w:spacing w:val="4"/>
                <w:sz w:val="36"/>
                <w:szCs w:val="36"/>
              </w:rPr>
            </w:pPr>
            <w:r>
              <w:rPr>
                <w:rFonts w:hint="eastAsia" w:ascii="仿宋" w:hAnsi="仿宋" w:eastAsia="仿宋" w:cs="仿宋"/>
                <w:spacing w:val="4"/>
                <w:sz w:val="36"/>
                <w:szCs w:val="36"/>
              </w:rPr>
              <w:t>副组长</w:t>
            </w:r>
          </w:p>
        </w:tc>
        <w:tc>
          <w:tcPr>
            <w:tcW w:w="2359" w:type="dxa"/>
          </w:tcPr>
          <w:p w14:paraId="0AFBBBD5">
            <w:pPr>
              <w:spacing w:line="360" w:lineRule="auto"/>
              <w:jc w:val="center"/>
              <w:rPr>
                <w:rFonts w:ascii="仿宋" w:hAnsi="仿宋" w:eastAsia="仿宋" w:cs="仿宋"/>
                <w:spacing w:val="4"/>
                <w:sz w:val="36"/>
                <w:szCs w:val="36"/>
              </w:rPr>
            </w:pPr>
            <w:r>
              <w:rPr>
                <w:rFonts w:hint="eastAsia" w:ascii="仿宋" w:hAnsi="仿宋" w:eastAsia="仿宋" w:cs="仿宋"/>
                <w:spacing w:val="4"/>
                <w:sz w:val="36"/>
                <w:szCs w:val="36"/>
              </w:rPr>
              <w:t>卢婉芳</w:t>
            </w:r>
          </w:p>
        </w:tc>
        <w:tc>
          <w:tcPr>
            <w:tcW w:w="2686" w:type="dxa"/>
          </w:tcPr>
          <w:p w14:paraId="2EBF532D">
            <w:pPr>
              <w:spacing w:line="360" w:lineRule="auto"/>
              <w:jc w:val="center"/>
              <w:rPr>
                <w:rFonts w:ascii="仿宋" w:hAnsi="仿宋" w:eastAsia="仿宋" w:cs="仿宋"/>
                <w:spacing w:val="4"/>
                <w:sz w:val="36"/>
                <w:szCs w:val="36"/>
              </w:rPr>
            </w:pPr>
            <w:r>
              <w:rPr>
                <w:rFonts w:hint="eastAsia" w:ascii="仿宋" w:hAnsi="仿宋" w:eastAsia="仿宋" w:cs="仿宋"/>
                <w:spacing w:val="4"/>
                <w:sz w:val="36"/>
                <w:szCs w:val="36"/>
              </w:rPr>
              <w:t>15060965456</w:t>
            </w:r>
          </w:p>
        </w:tc>
      </w:tr>
      <w:tr w14:paraId="7C2B9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2EA440B7">
            <w:pPr>
              <w:spacing w:line="360" w:lineRule="auto"/>
              <w:jc w:val="center"/>
              <w:rPr>
                <w:rFonts w:ascii="仿宋" w:hAnsi="仿宋" w:eastAsia="仿宋" w:cs="仿宋"/>
                <w:spacing w:val="4"/>
                <w:sz w:val="36"/>
                <w:szCs w:val="36"/>
              </w:rPr>
            </w:pPr>
            <w:r>
              <w:rPr>
                <w:rFonts w:hint="eastAsia" w:ascii="仿宋" w:hAnsi="仿宋" w:eastAsia="仿宋" w:cs="仿宋"/>
                <w:spacing w:val="4"/>
                <w:sz w:val="36"/>
                <w:szCs w:val="36"/>
              </w:rPr>
              <w:t>3</w:t>
            </w:r>
          </w:p>
        </w:tc>
        <w:tc>
          <w:tcPr>
            <w:tcW w:w="2128" w:type="dxa"/>
          </w:tcPr>
          <w:p w14:paraId="0B033F43">
            <w:pPr>
              <w:spacing w:line="360" w:lineRule="auto"/>
              <w:jc w:val="center"/>
              <w:rPr>
                <w:rFonts w:ascii="仿宋" w:hAnsi="仿宋" w:eastAsia="仿宋" w:cs="仿宋"/>
                <w:spacing w:val="4"/>
                <w:sz w:val="36"/>
                <w:szCs w:val="36"/>
              </w:rPr>
            </w:pPr>
            <w:r>
              <w:rPr>
                <w:rFonts w:hint="eastAsia" w:ascii="仿宋" w:hAnsi="仿宋" w:eastAsia="仿宋" w:cs="仿宋"/>
                <w:spacing w:val="4"/>
                <w:sz w:val="36"/>
                <w:szCs w:val="36"/>
              </w:rPr>
              <w:t>组员</w:t>
            </w:r>
          </w:p>
        </w:tc>
        <w:tc>
          <w:tcPr>
            <w:tcW w:w="2359" w:type="dxa"/>
          </w:tcPr>
          <w:p w14:paraId="3187304E">
            <w:pPr>
              <w:spacing w:line="360" w:lineRule="auto"/>
              <w:jc w:val="center"/>
              <w:rPr>
                <w:rFonts w:ascii="仿宋" w:hAnsi="仿宋" w:eastAsia="仿宋" w:cs="仿宋"/>
                <w:spacing w:val="4"/>
                <w:sz w:val="36"/>
                <w:szCs w:val="36"/>
              </w:rPr>
            </w:pPr>
            <w:r>
              <w:rPr>
                <w:rFonts w:hint="eastAsia" w:ascii="仿宋" w:hAnsi="仿宋" w:eastAsia="仿宋" w:cs="仿宋"/>
                <w:spacing w:val="4"/>
                <w:sz w:val="36"/>
                <w:szCs w:val="36"/>
              </w:rPr>
              <w:t>陈晓彬</w:t>
            </w:r>
          </w:p>
        </w:tc>
        <w:tc>
          <w:tcPr>
            <w:tcW w:w="2686" w:type="dxa"/>
          </w:tcPr>
          <w:p w14:paraId="45F02827">
            <w:pPr>
              <w:spacing w:line="360" w:lineRule="auto"/>
              <w:jc w:val="center"/>
              <w:rPr>
                <w:rFonts w:ascii="仿宋" w:hAnsi="仿宋" w:eastAsia="仿宋" w:cs="仿宋"/>
                <w:spacing w:val="4"/>
                <w:sz w:val="36"/>
                <w:szCs w:val="36"/>
              </w:rPr>
            </w:pPr>
            <w:r>
              <w:rPr>
                <w:rFonts w:hint="eastAsia" w:ascii="仿宋" w:hAnsi="仿宋" w:eastAsia="仿宋" w:cs="仿宋"/>
                <w:spacing w:val="4"/>
                <w:sz w:val="36"/>
                <w:szCs w:val="36"/>
              </w:rPr>
              <w:t>15960567231</w:t>
            </w:r>
          </w:p>
        </w:tc>
      </w:tr>
      <w:tr w14:paraId="76BF2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028E05D1">
            <w:pPr>
              <w:spacing w:line="360" w:lineRule="auto"/>
              <w:jc w:val="center"/>
              <w:rPr>
                <w:rFonts w:ascii="仿宋" w:hAnsi="仿宋" w:eastAsia="仿宋" w:cs="仿宋"/>
                <w:spacing w:val="4"/>
                <w:sz w:val="36"/>
                <w:szCs w:val="36"/>
              </w:rPr>
            </w:pPr>
            <w:r>
              <w:rPr>
                <w:rFonts w:hint="eastAsia" w:ascii="仿宋" w:hAnsi="仿宋" w:eastAsia="仿宋" w:cs="仿宋"/>
                <w:spacing w:val="4"/>
                <w:sz w:val="36"/>
                <w:szCs w:val="36"/>
              </w:rPr>
              <w:t>4</w:t>
            </w:r>
          </w:p>
        </w:tc>
        <w:tc>
          <w:tcPr>
            <w:tcW w:w="2128" w:type="dxa"/>
          </w:tcPr>
          <w:p w14:paraId="48F8AB2A">
            <w:pPr>
              <w:spacing w:line="360" w:lineRule="auto"/>
              <w:jc w:val="center"/>
              <w:rPr>
                <w:rFonts w:ascii="仿宋" w:hAnsi="仿宋" w:eastAsia="仿宋" w:cs="仿宋"/>
                <w:spacing w:val="4"/>
                <w:sz w:val="36"/>
                <w:szCs w:val="36"/>
              </w:rPr>
            </w:pPr>
            <w:r>
              <w:rPr>
                <w:rFonts w:hint="eastAsia" w:ascii="仿宋" w:hAnsi="仿宋" w:eastAsia="仿宋" w:cs="仿宋"/>
                <w:spacing w:val="4"/>
                <w:sz w:val="36"/>
                <w:szCs w:val="36"/>
              </w:rPr>
              <w:t>组员</w:t>
            </w:r>
          </w:p>
        </w:tc>
        <w:tc>
          <w:tcPr>
            <w:tcW w:w="2359" w:type="dxa"/>
          </w:tcPr>
          <w:p w14:paraId="7EB34857">
            <w:pPr>
              <w:spacing w:line="360" w:lineRule="auto"/>
              <w:jc w:val="center"/>
              <w:rPr>
                <w:rFonts w:ascii="仿宋" w:hAnsi="仿宋" w:eastAsia="仿宋" w:cs="仿宋"/>
                <w:spacing w:val="4"/>
                <w:sz w:val="36"/>
                <w:szCs w:val="36"/>
              </w:rPr>
            </w:pPr>
            <w:r>
              <w:rPr>
                <w:rFonts w:hint="eastAsia" w:ascii="仿宋" w:hAnsi="仿宋" w:eastAsia="仿宋" w:cs="仿宋"/>
                <w:spacing w:val="4"/>
                <w:sz w:val="36"/>
                <w:szCs w:val="36"/>
              </w:rPr>
              <w:t>刘凤阳</w:t>
            </w:r>
          </w:p>
        </w:tc>
        <w:tc>
          <w:tcPr>
            <w:tcW w:w="2686" w:type="dxa"/>
          </w:tcPr>
          <w:p w14:paraId="55F4D2BF">
            <w:pPr>
              <w:spacing w:line="360" w:lineRule="auto"/>
              <w:jc w:val="center"/>
              <w:rPr>
                <w:rFonts w:ascii="仿宋" w:hAnsi="仿宋" w:eastAsia="仿宋" w:cs="仿宋"/>
                <w:spacing w:val="4"/>
                <w:sz w:val="36"/>
                <w:szCs w:val="36"/>
              </w:rPr>
            </w:pPr>
            <w:r>
              <w:rPr>
                <w:rFonts w:hint="eastAsia" w:ascii="仿宋" w:hAnsi="仿宋" w:eastAsia="仿宋" w:cs="仿宋"/>
                <w:spacing w:val="4"/>
                <w:sz w:val="36"/>
                <w:szCs w:val="36"/>
              </w:rPr>
              <w:t>13348313607</w:t>
            </w:r>
          </w:p>
        </w:tc>
      </w:tr>
      <w:tr w14:paraId="05900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26AAE1CA">
            <w:pPr>
              <w:spacing w:line="360" w:lineRule="auto"/>
              <w:jc w:val="center"/>
              <w:rPr>
                <w:rFonts w:ascii="仿宋" w:hAnsi="仿宋" w:eastAsia="仿宋" w:cs="仿宋"/>
                <w:spacing w:val="4"/>
                <w:sz w:val="36"/>
                <w:szCs w:val="36"/>
              </w:rPr>
            </w:pPr>
            <w:r>
              <w:rPr>
                <w:rFonts w:hint="eastAsia" w:ascii="仿宋" w:hAnsi="仿宋" w:eastAsia="仿宋" w:cs="仿宋"/>
                <w:spacing w:val="4"/>
                <w:sz w:val="36"/>
                <w:szCs w:val="36"/>
              </w:rPr>
              <w:t>5</w:t>
            </w:r>
          </w:p>
        </w:tc>
        <w:tc>
          <w:tcPr>
            <w:tcW w:w="2128" w:type="dxa"/>
          </w:tcPr>
          <w:p w14:paraId="24ABE440">
            <w:pPr>
              <w:spacing w:line="360" w:lineRule="auto"/>
              <w:jc w:val="center"/>
              <w:rPr>
                <w:rFonts w:ascii="仿宋" w:hAnsi="仿宋" w:eastAsia="仿宋" w:cs="仿宋"/>
                <w:spacing w:val="4"/>
                <w:sz w:val="36"/>
                <w:szCs w:val="36"/>
              </w:rPr>
            </w:pPr>
            <w:r>
              <w:rPr>
                <w:rFonts w:hint="eastAsia" w:ascii="仿宋" w:hAnsi="仿宋" w:eastAsia="仿宋" w:cs="仿宋"/>
                <w:spacing w:val="4"/>
                <w:sz w:val="36"/>
                <w:szCs w:val="36"/>
              </w:rPr>
              <w:t>组员</w:t>
            </w:r>
          </w:p>
        </w:tc>
        <w:tc>
          <w:tcPr>
            <w:tcW w:w="2359" w:type="dxa"/>
          </w:tcPr>
          <w:p w14:paraId="4FCCBF6A">
            <w:pPr>
              <w:spacing w:line="360" w:lineRule="auto"/>
              <w:jc w:val="center"/>
              <w:rPr>
                <w:rFonts w:ascii="仿宋" w:hAnsi="仿宋" w:eastAsia="仿宋" w:cs="仿宋"/>
                <w:spacing w:val="4"/>
                <w:sz w:val="36"/>
                <w:szCs w:val="36"/>
              </w:rPr>
            </w:pPr>
            <w:r>
              <w:rPr>
                <w:rFonts w:hint="eastAsia" w:ascii="仿宋" w:hAnsi="仿宋" w:eastAsia="仿宋" w:cs="仿宋"/>
                <w:spacing w:val="4"/>
                <w:sz w:val="36"/>
                <w:szCs w:val="36"/>
              </w:rPr>
              <w:t>李英</w:t>
            </w:r>
          </w:p>
        </w:tc>
        <w:tc>
          <w:tcPr>
            <w:tcW w:w="2686" w:type="dxa"/>
          </w:tcPr>
          <w:p w14:paraId="2BC3D371">
            <w:pPr>
              <w:spacing w:line="360" w:lineRule="auto"/>
              <w:jc w:val="center"/>
              <w:rPr>
                <w:rFonts w:ascii="仿宋" w:hAnsi="仿宋" w:eastAsia="仿宋" w:cs="仿宋"/>
                <w:spacing w:val="4"/>
                <w:sz w:val="36"/>
                <w:szCs w:val="36"/>
              </w:rPr>
            </w:pPr>
            <w:r>
              <w:rPr>
                <w:rFonts w:hint="eastAsia" w:ascii="仿宋" w:hAnsi="仿宋" w:eastAsia="仿宋" w:cs="仿宋"/>
                <w:spacing w:val="4"/>
                <w:sz w:val="36"/>
                <w:szCs w:val="36"/>
              </w:rPr>
              <w:t>19959520670</w:t>
            </w:r>
          </w:p>
        </w:tc>
      </w:tr>
    </w:tbl>
    <w:p w14:paraId="745A286C">
      <w:pPr>
        <w:spacing w:line="360" w:lineRule="auto"/>
        <w:jc w:val="center"/>
        <w:rPr>
          <w:rFonts w:ascii="黑体" w:hAnsi="黑体" w:eastAsia="黑体"/>
          <w:sz w:val="48"/>
          <w:szCs w:val="48"/>
        </w:rPr>
      </w:pPr>
    </w:p>
    <w:p w14:paraId="6B91A6A3">
      <w:pPr>
        <w:pStyle w:val="2"/>
        <w:spacing w:line="360" w:lineRule="auto"/>
        <w:rPr>
          <w:rFonts w:ascii="黑体" w:hAnsi="黑体" w:eastAsia="黑体"/>
          <w:sz w:val="48"/>
          <w:szCs w:val="48"/>
        </w:rPr>
      </w:pPr>
    </w:p>
    <w:p w14:paraId="69751A7B">
      <w:pPr>
        <w:pStyle w:val="18"/>
        <w:spacing w:line="360" w:lineRule="auto"/>
        <w:ind w:left="0"/>
        <w:rPr>
          <w:rFonts w:ascii="黑体" w:hAnsi="黑体" w:eastAsia="黑体"/>
          <w:sz w:val="48"/>
          <w:szCs w:val="48"/>
        </w:rPr>
      </w:pPr>
    </w:p>
    <w:p w14:paraId="13C54AD3">
      <w:pPr>
        <w:spacing w:line="360" w:lineRule="auto"/>
        <w:rPr>
          <w:rFonts w:ascii="黑体" w:hAnsi="黑体" w:eastAsia="黑体"/>
          <w:sz w:val="48"/>
          <w:szCs w:val="48"/>
        </w:rPr>
      </w:pPr>
    </w:p>
    <w:p w14:paraId="500B9EF0">
      <w:pPr>
        <w:pStyle w:val="2"/>
        <w:spacing w:line="360" w:lineRule="auto"/>
        <w:rPr>
          <w:rFonts w:ascii="黑体" w:hAnsi="黑体" w:eastAsia="黑体"/>
          <w:sz w:val="48"/>
          <w:szCs w:val="48"/>
        </w:rPr>
      </w:pPr>
    </w:p>
    <w:p w14:paraId="38FE71B8">
      <w:pPr>
        <w:pStyle w:val="18"/>
        <w:spacing w:line="360" w:lineRule="auto"/>
        <w:ind w:left="0"/>
        <w:rPr>
          <w:rFonts w:ascii="黑体" w:hAnsi="黑体" w:eastAsia="黑体"/>
          <w:sz w:val="48"/>
          <w:szCs w:val="48"/>
        </w:rPr>
      </w:pPr>
    </w:p>
    <w:p w14:paraId="3D073721">
      <w:pPr>
        <w:spacing w:line="360" w:lineRule="auto"/>
        <w:rPr>
          <w:rFonts w:ascii="黑体" w:hAnsi="黑体" w:eastAsia="黑体"/>
          <w:sz w:val="48"/>
          <w:szCs w:val="48"/>
        </w:rPr>
      </w:pPr>
    </w:p>
    <w:p w14:paraId="3FB8CF80">
      <w:pPr>
        <w:pStyle w:val="2"/>
        <w:spacing w:line="360" w:lineRule="auto"/>
        <w:rPr>
          <w:sz w:val="20"/>
          <w:szCs w:val="20"/>
        </w:rPr>
      </w:pPr>
    </w:p>
    <w:p w14:paraId="41EBE2C9">
      <w:pPr>
        <w:spacing w:line="360" w:lineRule="auto"/>
        <w:jc w:val="center"/>
        <w:rPr>
          <w:rFonts w:ascii="黑体" w:hAnsi="黑体" w:eastAsia="黑体"/>
          <w:sz w:val="48"/>
          <w:szCs w:val="48"/>
        </w:rPr>
      </w:pPr>
    </w:p>
    <w:p w14:paraId="0A496040">
      <w:pPr>
        <w:spacing w:line="360" w:lineRule="auto"/>
        <w:jc w:val="center"/>
        <w:rPr>
          <w:rFonts w:ascii="黑体" w:hAnsi="黑体" w:eastAsia="黑体"/>
          <w:sz w:val="48"/>
          <w:szCs w:val="48"/>
        </w:rPr>
      </w:pPr>
    </w:p>
    <w:p w14:paraId="0F0759ED">
      <w:pPr>
        <w:spacing w:line="360" w:lineRule="auto"/>
        <w:jc w:val="center"/>
        <w:rPr>
          <w:rFonts w:ascii="黑体" w:hAnsi="黑体" w:eastAsia="黑体"/>
          <w:sz w:val="48"/>
          <w:szCs w:val="48"/>
        </w:rPr>
      </w:pPr>
    </w:p>
    <w:p w14:paraId="6C1A04E1">
      <w:pPr>
        <w:spacing w:line="360" w:lineRule="auto"/>
        <w:jc w:val="center"/>
        <w:rPr>
          <w:rFonts w:ascii="黑体" w:hAnsi="黑体" w:eastAsia="黑体"/>
          <w:sz w:val="48"/>
          <w:szCs w:val="48"/>
        </w:rPr>
      </w:pPr>
    </w:p>
    <w:p w14:paraId="09271B6F">
      <w:pPr>
        <w:spacing w:line="360" w:lineRule="auto"/>
        <w:jc w:val="center"/>
        <w:rPr>
          <w:rFonts w:ascii="黑体" w:hAnsi="黑体" w:eastAsia="黑体"/>
          <w:sz w:val="48"/>
          <w:szCs w:val="48"/>
        </w:rPr>
      </w:pPr>
    </w:p>
    <w:p w14:paraId="700A48AE">
      <w:pPr>
        <w:snapToGrid/>
        <w:spacing w:before="480" w:beforeAutospacing="0" w:after="120" w:afterAutospacing="0" w:line="240" w:lineRule="auto"/>
        <w:ind w:left="0" w:leftChars="0" w:right="0" w:rightChars="0" w:firstLine="0" w:firstLineChars="0"/>
        <w:jc w:val="center"/>
        <w:rPr>
          <w:rFonts w:ascii="黑体" w:eastAsia="宋体"/>
          <w:b w:val="0"/>
          <w:sz w:val="40"/>
          <w:szCs w:val="32"/>
        </w:rPr>
      </w:pPr>
      <w:r>
        <w:rPr>
          <w:rFonts w:hint="eastAsia" w:ascii="黑体" w:eastAsia="宋体"/>
          <w:b w:val="0"/>
          <w:sz w:val="40"/>
          <w:szCs w:val="32"/>
        </w:rPr>
        <w:t>目  录</w:t>
      </w:r>
    </w:p>
    <w:sdt>
      <w:sdtPr>
        <w:rPr>
          <w:rFonts w:ascii="宋体" w:hAnsi="宋体" w:cs="宋体"/>
          <w:szCs w:val="28"/>
        </w:rPr>
        <w:id w:val="147476291"/>
        <w:docPartObj>
          <w:docPartGallery w:val="Table of Contents"/>
          <w:docPartUnique/>
        </w:docPartObj>
      </w:sdtPr>
      <w:sdtEndPr>
        <w:rPr>
          <w:rFonts w:hint="eastAsia" w:ascii="黑体" w:hAnsi="Calibri" w:eastAsia="黑体" w:cs="Times New Roman"/>
          <w:szCs w:val="32"/>
        </w:rPr>
      </w:sdtEndPr>
      <w:sdtContent>
        <w:p w14:paraId="2E41F94E">
          <w:pPr>
            <w:spacing w:line="360" w:lineRule="auto"/>
            <w:jc w:val="center"/>
            <w:rPr>
              <w:rFonts w:cs="宋体"/>
              <w:szCs w:val="28"/>
            </w:rPr>
          </w:pPr>
        </w:p>
        <w:p w14:paraId="573627E8">
          <w:pPr>
            <w:pStyle w:val="9"/>
            <w:tabs>
              <w:tab w:val="right" w:leader="dot" w:pos="8788"/>
              <w:tab w:val="clear" w:pos="8777"/>
            </w:tabs>
          </w:pPr>
          <w:r>
            <w:rPr>
              <w:rFonts w:hint="eastAsia" w:ascii="Times New Roman" w:hAnsi="宋体" w:eastAsia="宋体" w:cs="宋体"/>
              <w:b w:val="0"/>
              <w:sz w:val="24"/>
              <w:szCs w:val="28"/>
            </w:rPr>
            <w:fldChar w:fldCharType="begin"/>
          </w:r>
          <w:r>
            <w:rPr>
              <w:rFonts w:hint="eastAsia" w:ascii="Times New Roman" w:hAnsi="宋体" w:eastAsia="宋体" w:cs="宋体"/>
              <w:b w:val="0"/>
              <w:sz w:val="24"/>
              <w:szCs w:val="28"/>
            </w:rPr>
            <w:instrText xml:space="preserve">TOC \o "1-3" \h \u </w:instrText>
          </w:r>
          <w:r>
            <w:rPr>
              <w:rFonts w:hint="eastAsia" w:ascii="Times New Roman" w:hAnsi="宋体" w:eastAsia="宋体" w:cs="宋体"/>
              <w:b w:val="0"/>
              <w:sz w:val="24"/>
              <w:szCs w:val="28"/>
            </w:rPr>
            <w:fldChar w:fldCharType="separate"/>
          </w:r>
          <w:r>
            <w:rPr>
              <w:rFonts w:hint="eastAsia" w:ascii="宋体" w:hAnsi="宋体" w:cs="宋体"/>
              <w:szCs w:val="28"/>
            </w:rPr>
            <w:fldChar w:fldCharType="begin"/>
          </w:r>
          <w:r>
            <w:rPr>
              <w:rFonts w:hint="eastAsia" w:ascii="宋体" w:hAnsi="宋体" w:cs="宋体"/>
              <w:szCs w:val="28"/>
            </w:rPr>
            <w:instrText xml:space="preserve"> HYPERLINK \l _Toc1203 </w:instrText>
          </w:r>
          <w:r>
            <w:rPr>
              <w:rFonts w:hint="eastAsia" w:ascii="宋体" w:hAnsi="宋体" w:cs="宋体"/>
              <w:szCs w:val="28"/>
            </w:rPr>
            <w:fldChar w:fldCharType="separate"/>
          </w:r>
          <w:r>
            <w:rPr>
              <w:rFonts w:hint="eastAsia" w:ascii="Times New Roman" w:hAnsi="仿宋" w:eastAsia="宋体" w:cs="宋体"/>
              <w:bCs/>
              <w:kern w:val="0"/>
              <w:szCs w:val="32"/>
            </w:rPr>
            <w:t>一、部门概况</w:t>
          </w:r>
          <w:r>
            <w:tab/>
          </w:r>
          <w:r>
            <w:fldChar w:fldCharType="begin"/>
          </w:r>
          <w:r>
            <w:instrText xml:space="preserve"> PAGEREF _Toc1203 \h </w:instrText>
          </w:r>
          <w:r>
            <w:fldChar w:fldCharType="separate"/>
          </w:r>
          <w:r>
            <w:t>6</w:t>
          </w:r>
          <w:r>
            <w:fldChar w:fldCharType="end"/>
          </w:r>
          <w:r>
            <w:rPr>
              <w:rFonts w:hint="eastAsia" w:ascii="宋体" w:hAnsi="宋体" w:cs="宋体"/>
              <w:szCs w:val="28"/>
            </w:rPr>
            <w:fldChar w:fldCharType="end"/>
          </w:r>
        </w:p>
        <w:p w14:paraId="3DF4C621">
          <w:pPr>
            <w:pStyle w:val="10"/>
            <w:tabs>
              <w:tab w:val="right" w:leader="dot" w:pos="8788"/>
            </w:tabs>
          </w:pPr>
          <w:r>
            <w:rPr>
              <w:rFonts w:hint="eastAsia" w:ascii="宋体" w:hAnsi="宋体" w:cs="宋体"/>
              <w:szCs w:val="28"/>
            </w:rPr>
            <w:fldChar w:fldCharType="begin"/>
          </w:r>
          <w:r>
            <w:rPr>
              <w:rFonts w:hint="eastAsia" w:ascii="宋体" w:hAnsi="宋体" w:cs="宋体"/>
              <w:szCs w:val="28"/>
            </w:rPr>
            <w:instrText xml:space="preserve"> HYPERLINK \l _Toc25477 </w:instrText>
          </w:r>
          <w:r>
            <w:rPr>
              <w:rFonts w:hint="eastAsia" w:ascii="宋体" w:hAnsi="宋体" w:cs="宋体"/>
              <w:szCs w:val="28"/>
            </w:rPr>
            <w:fldChar w:fldCharType="separate"/>
          </w:r>
          <w:r>
            <w:rPr>
              <w:rFonts w:hint="eastAsia" w:ascii="Times New Roman" w:hAnsi="仿宋" w:eastAsia="宋体" w:cs="宋体"/>
              <w:bCs/>
              <w:kern w:val="0"/>
              <w:szCs w:val="32"/>
            </w:rPr>
            <w:t>（一）机构职能及组成</w:t>
          </w:r>
          <w:r>
            <w:tab/>
          </w:r>
          <w:r>
            <w:fldChar w:fldCharType="begin"/>
          </w:r>
          <w:r>
            <w:instrText xml:space="preserve"> PAGEREF _Toc25477 \h </w:instrText>
          </w:r>
          <w:r>
            <w:fldChar w:fldCharType="separate"/>
          </w:r>
          <w:r>
            <w:t>6</w:t>
          </w:r>
          <w:r>
            <w:fldChar w:fldCharType="end"/>
          </w:r>
          <w:r>
            <w:rPr>
              <w:rFonts w:hint="eastAsia" w:ascii="宋体" w:hAnsi="宋体" w:cs="宋体"/>
              <w:szCs w:val="28"/>
            </w:rPr>
            <w:fldChar w:fldCharType="end"/>
          </w:r>
        </w:p>
        <w:p w14:paraId="38977FAD">
          <w:pPr>
            <w:pStyle w:val="10"/>
            <w:tabs>
              <w:tab w:val="right" w:leader="dot" w:pos="8788"/>
            </w:tabs>
          </w:pPr>
          <w:r>
            <w:rPr>
              <w:rFonts w:hint="eastAsia" w:ascii="宋体" w:hAnsi="宋体" w:cs="宋体"/>
              <w:szCs w:val="28"/>
            </w:rPr>
            <w:fldChar w:fldCharType="begin"/>
          </w:r>
          <w:r>
            <w:rPr>
              <w:rFonts w:hint="eastAsia" w:ascii="宋体" w:hAnsi="宋体" w:cs="宋体"/>
              <w:szCs w:val="28"/>
            </w:rPr>
            <w:instrText xml:space="preserve"> HYPERLINK \l _Toc15676 </w:instrText>
          </w:r>
          <w:r>
            <w:rPr>
              <w:rFonts w:hint="eastAsia" w:ascii="宋体" w:hAnsi="宋体" w:cs="宋体"/>
              <w:szCs w:val="28"/>
            </w:rPr>
            <w:fldChar w:fldCharType="separate"/>
          </w:r>
          <w:r>
            <w:rPr>
              <w:rFonts w:hint="eastAsia" w:ascii="Times New Roman" w:hAnsi="仿宋" w:eastAsia="宋体" w:cs="宋体"/>
              <w:bCs/>
              <w:kern w:val="0"/>
              <w:szCs w:val="32"/>
            </w:rPr>
            <w:t>（二）人员结构</w:t>
          </w:r>
          <w:r>
            <w:tab/>
          </w:r>
          <w:r>
            <w:fldChar w:fldCharType="begin"/>
          </w:r>
          <w:r>
            <w:instrText xml:space="preserve"> PAGEREF _Toc15676 \h </w:instrText>
          </w:r>
          <w:r>
            <w:fldChar w:fldCharType="separate"/>
          </w:r>
          <w:r>
            <w:t>8</w:t>
          </w:r>
          <w:r>
            <w:fldChar w:fldCharType="end"/>
          </w:r>
          <w:r>
            <w:rPr>
              <w:rFonts w:hint="eastAsia" w:ascii="宋体" w:hAnsi="宋体" w:cs="宋体"/>
              <w:szCs w:val="28"/>
            </w:rPr>
            <w:fldChar w:fldCharType="end"/>
          </w:r>
        </w:p>
        <w:p w14:paraId="13CEC82D">
          <w:pPr>
            <w:pStyle w:val="10"/>
            <w:tabs>
              <w:tab w:val="right" w:leader="dot" w:pos="8788"/>
            </w:tabs>
          </w:pPr>
          <w:r>
            <w:rPr>
              <w:rFonts w:hint="eastAsia" w:ascii="宋体" w:hAnsi="宋体" w:cs="宋体"/>
              <w:szCs w:val="28"/>
            </w:rPr>
            <w:fldChar w:fldCharType="begin"/>
          </w:r>
          <w:r>
            <w:rPr>
              <w:rFonts w:hint="eastAsia" w:ascii="宋体" w:hAnsi="宋体" w:cs="宋体"/>
              <w:szCs w:val="28"/>
            </w:rPr>
            <w:instrText xml:space="preserve"> HYPERLINK \l _Toc16943 </w:instrText>
          </w:r>
          <w:r>
            <w:rPr>
              <w:rFonts w:hint="eastAsia" w:ascii="宋体" w:hAnsi="宋体" w:cs="宋体"/>
              <w:szCs w:val="28"/>
            </w:rPr>
            <w:fldChar w:fldCharType="separate"/>
          </w:r>
          <w:r>
            <w:rPr>
              <w:rFonts w:hint="eastAsia" w:ascii="Times New Roman" w:hAnsi="仿宋" w:eastAsia="宋体" w:cs="仿宋"/>
              <w:bCs/>
              <w:kern w:val="0"/>
              <w:szCs w:val="32"/>
            </w:rPr>
            <w:t>（三）收支情况</w:t>
          </w:r>
          <w:r>
            <w:tab/>
          </w:r>
          <w:r>
            <w:fldChar w:fldCharType="begin"/>
          </w:r>
          <w:r>
            <w:instrText xml:space="preserve"> PAGEREF _Toc16943 \h </w:instrText>
          </w:r>
          <w:r>
            <w:fldChar w:fldCharType="separate"/>
          </w:r>
          <w:r>
            <w:t>9</w:t>
          </w:r>
          <w:r>
            <w:fldChar w:fldCharType="end"/>
          </w:r>
          <w:r>
            <w:rPr>
              <w:rFonts w:hint="eastAsia" w:ascii="宋体" w:hAnsi="宋体" w:cs="宋体"/>
              <w:szCs w:val="28"/>
            </w:rPr>
            <w:fldChar w:fldCharType="end"/>
          </w:r>
        </w:p>
        <w:p w14:paraId="3A035531">
          <w:pPr>
            <w:pStyle w:val="10"/>
            <w:tabs>
              <w:tab w:val="right" w:leader="dot" w:pos="8788"/>
            </w:tabs>
          </w:pPr>
          <w:r>
            <w:rPr>
              <w:rFonts w:hint="eastAsia" w:ascii="宋体" w:hAnsi="宋体" w:cs="宋体"/>
              <w:szCs w:val="28"/>
            </w:rPr>
            <w:fldChar w:fldCharType="begin"/>
          </w:r>
          <w:r>
            <w:rPr>
              <w:rFonts w:hint="eastAsia" w:ascii="宋体" w:hAnsi="宋体" w:cs="宋体"/>
              <w:szCs w:val="28"/>
            </w:rPr>
            <w:instrText xml:space="preserve"> HYPERLINK \l _Toc12712 </w:instrText>
          </w:r>
          <w:r>
            <w:rPr>
              <w:rFonts w:hint="eastAsia" w:ascii="宋体" w:hAnsi="宋体" w:cs="宋体"/>
              <w:szCs w:val="28"/>
            </w:rPr>
            <w:fldChar w:fldCharType="separate"/>
          </w:r>
          <w:r>
            <w:rPr>
              <w:rFonts w:hint="eastAsia" w:ascii="Times New Roman" w:hAnsi="仿宋" w:eastAsia="宋体" w:cs="仿宋"/>
              <w:bCs/>
              <w:kern w:val="0"/>
              <w:szCs w:val="32"/>
            </w:rPr>
            <w:t>（四）绩效评价目标</w:t>
          </w:r>
          <w:r>
            <w:tab/>
          </w:r>
          <w:r>
            <w:fldChar w:fldCharType="begin"/>
          </w:r>
          <w:r>
            <w:instrText xml:space="preserve"> PAGEREF _Toc12712 \h </w:instrText>
          </w:r>
          <w:r>
            <w:fldChar w:fldCharType="separate"/>
          </w:r>
          <w:r>
            <w:t>9</w:t>
          </w:r>
          <w:r>
            <w:fldChar w:fldCharType="end"/>
          </w:r>
          <w:r>
            <w:rPr>
              <w:rFonts w:hint="eastAsia" w:ascii="宋体" w:hAnsi="宋体" w:cs="宋体"/>
              <w:szCs w:val="28"/>
            </w:rPr>
            <w:fldChar w:fldCharType="end"/>
          </w:r>
        </w:p>
        <w:p w14:paraId="321DE558">
          <w:pPr>
            <w:pStyle w:val="9"/>
            <w:tabs>
              <w:tab w:val="right" w:leader="dot" w:pos="8788"/>
              <w:tab w:val="clear" w:pos="8777"/>
            </w:tabs>
          </w:pPr>
          <w:r>
            <w:rPr>
              <w:rFonts w:hint="eastAsia" w:ascii="宋体" w:hAnsi="宋体" w:cs="宋体"/>
              <w:szCs w:val="28"/>
            </w:rPr>
            <w:fldChar w:fldCharType="begin"/>
          </w:r>
          <w:r>
            <w:rPr>
              <w:rFonts w:hint="eastAsia" w:ascii="宋体" w:hAnsi="宋体" w:cs="宋体"/>
              <w:szCs w:val="28"/>
            </w:rPr>
            <w:instrText xml:space="preserve"> HYPERLINK \l _Toc26401 </w:instrText>
          </w:r>
          <w:r>
            <w:rPr>
              <w:rFonts w:hint="eastAsia" w:ascii="宋体" w:hAnsi="宋体" w:cs="宋体"/>
              <w:szCs w:val="28"/>
            </w:rPr>
            <w:fldChar w:fldCharType="separate"/>
          </w:r>
          <w:r>
            <w:rPr>
              <w:rFonts w:hint="eastAsia" w:ascii="Times New Roman" w:hAnsi="仿宋" w:eastAsia="宋体" w:cs="仿宋"/>
              <w:bCs/>
              <w:kern w:val="0"/>
              <w:szCs w:val="32"/>
            </w:rPr>
            <w:t>二、绩效评价工作开展情况</w:t>
          </w:r>
          <w:r>
            <w:tab/>
          </w:r>
          <w:r>
            <w:fldChar w:fldCharType="begin"/>
          </w:r>
          <w:r>
            <w:instrText xml:space="preserve"> PAGEREF _Toc26401 \h </w:instrText>
          </w:r>
          <w:r>
            <w:fldChar w:fldCharType="separate"/>
          </w:r>
          <w:r>
            <w:t>9</w:t>
          </w:r>
          <w:r>
            <w:fldChar w:fldCharType="end"/>
          </w:r>
          <w:r>
            <w:rPr>
              <w:rFonts w:hint="eastAsia" w:ascii="宋体" w:hAnsi="宋体" w:cs="宋体"/>
              <w:szCs w:val="28"/>
            </w:rPr>
            <w:fldChar w:fldCharType="end"/>
          </w:r>
        </w:p>
        <w:p w14:paraId="31AAFC1D">
          <w:pPr>
            <w:pStyle w:val="10"/>
            <w:tabs>
              <w:tab w:val="right" w:leader="dot" w:pos="8788"/>
            </w:tabs>
          </w:pPr>
          <w:r>
            <w:rPr>
              <w:rFonts w:hint="eastAsia" w:ascii="宋体" w:hAnsi="宋体" w:cs="宋体"/>
              <w:szCs w:val="28"/>
            </w:rPr>
            <w:fldChar w:fldCharType="begin"/>
          </w:r>
          <w:r>
            <w:rPr>
              <w:rFonts w:hint="eastAsia" w:ascii="宋体" w:hAnsi="宋体" w:cs="宋体"/>
              <w:szCs w:val="28"/>
            </w:rPr>
            <w:instrText xml:space="preserve"> HYPERLINK \l _Toc24470 </w:instrText>
          </w:r>
          <w:r>
            <w:rPr>
              <w:rFonts w:hint="eastAsia" w:ascii="宋体" w:hAnsi="宋体" w:cs="宋体"/>
              <w:szCs w:val="28"/>
            </w:rPr>
            <w:fldChar w:fldCharType="separate"/>
          </w:r>
          <w:r>
            <w:rPr>
              <w:rFonts w:hint="eastAsia" w:ascii="Times New Roman" w:hAnsi="仿宋" w:eastAsia="宋体" w:cs="仿宋"/>
              <w:bCs/>
              <w:kern w:val="0"/>
              <w:szCs w:val="32"/>
            </w:rPr>
            <w:t>（一）前期准备</w:t>
          </w:r>
          <w:r>
            <w:tab/>
          </w:r>
          <w:r>
            <w:fldChar w:fldCharType="begin"/>
          </w:r>
          <w:r>
            <w:instrText xml:space="preserve"> PAGEREF _Toc24470 \h </w:instrText>
          </w:r>
          <w:r>
            <w:fldChar w:fldCharType="separate"/>
          </w:r>
          <w:r>
            <w:t>10</w:t>
          </w:r>
          <w:r>
            <w:fldChar w:fldCharType="end"/>
          </w:r>
          <w:r>
            <w:rPr>
              <w:rFonts w:hint="eastAsia" w:ascii="宋体" w:hAnsi="宋体" w:cs="宋体"/>
              <w:szCs w:val="28"/>
            </w:rPr>
            <w:fldChar w:fldCharType="end"/>
          </w:r>
        </w:p>
        <w:p w14:paraId="25DE81C2">
          <w:pPr>
            <w:pStyle w:val="10"/>
            <w:tabs>
              <w:tab w:val="right" w:leader="dot" w:pos="8788"/>
            </w:tabs>
          </w:pPr>
          <w:r>
            <w:rPr>
              <w:rFonts w:hint="eastAsia" w:ascii="宋体" w:hAnsi="宋体" w:cs="宋体"/>
              <w:szCs w:val="28"/>
            </w:rPr>
            <w:fldChar w:fldCharType="begin"/>
          </w:r>
          <w:r>
            <w:rPr>
              <w:rFonts w:hint="eastAsia" w:ascii="宋体" w:hAnsi="宋体" w:cs="宋体"/>
              <w:szCs w:val="28"/>
            </w:rPr>
            <w:instrText xml:space="preserve"> HYPERLINK \l _Toc27852 </w:instrText>
          </w:r>
          <w:r>
            <w:rPr>
              <w:rFonts w:hint="eastAsia" w:ascii="宋体" w:hAnsi="宋体" w:cs="宋体"/>
              <w:szCs w:val="28"/>
            </w:rPr>
            <w:fldChar w:fldCharType="separate"/>
          </w:r>
          <w:r>
            <w:rPr>
              <w:rFonts w:hint="eastAsia" w:ascii="Times New Roman" w:hAnsi="仿宋" w:eastAsia="宋体" w:cs="仿宋"/>
              <w:bCs/>
              <w:kern w:val="0"/>
              <w:szCs w:val="32"/>
            </w:rPr>
            <w:t>（二）绩效评价的目的</w:t>
          </w:r>
          <w:r>
            <w:tab/>
          </w:r>
          <w:r>
            <w:fldChar w:fldCharType="begin"/>
          </w:r>
          <w:r>
            <w:instrText xml:space="preserve"> PAGEREF _Toc27852 \h </w:instrText>
          </w:r>
          <w:r>
            <w:fldChar w:fldCharType="separate"/>
          </w:r>
          <w:r>
            <w:t>10</w:t>
          </w:r>
          <w:r>
            <w:fldChar w:fldCharType="end"/>
          </w:r>
          <w:r>
            <w:rPr>
              <w:rFonts w:hint="eastAsia" w:ascii="宋体" w:hAnsi="宋体" w:cs="宋体"/>
              <w:szCs w:val="28"/>
            </w:rPr>
            <w:fldChar w:fldCharType="end"/>
          </w:r>
        </w:p>
        <w:p w14:paraId="62B77908">
          <w:pPr>
            <w:pStyle w:val="10"/>
            <w:tabs>
              <w:tab w:val="right" w:leader="dot" w:pos="8788"/>
            </w:tabs>
          </w:pPr>
          <w:r>
            <w:rPr>
              <w:rFonts w:hint="eastAsia" w:ascii="宋体" w:hAnsi="宋体" w:cs="宋体"/>
              <w:szCs w:val="28"/>
            </w:rPr>
            <w:fldChar w:fldCharType="begin"/>
          </w:r>
          <w:r>
            <w:rPr>
              <w:rFonts w:hint="eastAsia" w:ascii="宋体" w:hAnsi="宋体" w:cs="宋体"/>
              <w:szCs w:val="28"/>
            </w:rPr>
            <w:instrText xml:space="preserve"> HYPERLINK \l _Toc24027 </w:instrText>
          </w:r>
          <w:r>
            <w:rPr>
              <w:rFonts w:hint="eastAsia" w:ascii="宋体" w:hAnsi="宋体" w:cs="宋体"/>
              <w:szCs w:val="28"/>
            </w:rPr>
            <w:fldChar w:fldCharType="separate"/>
          </w:r>
          <w:r>
            <w:rPr>
              <w:rFonts w:hint="eastAsia" w:ascii="Times New Roman" w:hAnsi="仿宋" w:eastAsia="宋体" w:cs="仿宋"/>
              <w:kern w:val="0"/>
              <w:szCs w:val="32"/>
            </w:rPr>
            <w:t>（三）绩效评价的依据</w:t>
          </w:r>
          <w:r>
            <w:tab/>
          </w:r>
          <w:r>
            <w:fldChar w:fldCharType="begin"/>
          </w:r>
          <w:r>
            <w:instrText xml:space="preserve"> PAGEREF _Toc24027 \h </w:instrText>
          </w:r>
          <w:r>
            <w:fldChar w:fldCharType="separate"/>
          </w:r>
          <w:r>
            <w:t>10</w:t>
          </w:r>
          <w:r>
            <w:fldChar w:fldCharType="end"/>
          </w:r>
          <w:r>
            <w:rPr>
              <w:rFonts w:hint="eastAsia" w:ascii="宋体" w:hAnsi="宋体" w:cs="宋体"/>
              <w:szCs w:val="28"/>
            </w:rPr>
            <w:fldChar w:fldCharType="end"/>
          </w:r>
        </w:p>
        <w:p w14:paraId="2DD565A8">
          <w:pPr>
            <w:pStyle w:val="10"/>
            <w:tabs>
              <w:tab w:val="right" w:leader="dot" w:pos="8788"/>
            </w:tabs>
          </w:pPr>
          <w:r>
            <w:rPr>
              <w:rFonts w:hint="eastAsia" w:ascii="宋体" w:hAnsi="宋体" w:cs="宋体"/>
              <w:szCs w:val="28"/>
            </w:rPr>
            <w:fldChar w:fldCharType="begin"/>
          </w:r>
          <w:r>
            <w:rPr>
              <w:rFonts w:hint="eastAsia" w:ascii="宋体" w:hAnsi="宋体" w:cs="宋体"/>
              <w:szCs w:val="28"/>
            </w:rPr>
            <w:instrText xml:space="preserve"> HYPERLINK \l _Toc32701 </w:instrText>
          </w:r>
          <w:r>
            <w:rPr>
              <w:rFonts w:hint="eastAsia" w:ascii="宋体" w:hAnsi="宋体" w:cs="宋体"/>
              <w:szCs w:val="28"/>
            </w:rPr>
            <w:fldChar w:fldCharType="separate"/>
          </w:r>
          <w:r>
            <w:rPr>
              <w:rFonts w:hint="eastAsia" w:ascii="Times New Roman" w:hAnsi="仿宋" w:eastAsia="宋体" w:cs="仿宋"/>
              <w:bCs/>
              <w:szCs w:val="32"/>
            </w:rPr>
            <w:t>（四）绩效评价工作的开展情况</w:t>
          </w:r>
          <w:r>
            <w:tab/>
          </w:r>
          <w:r>
            <w:fldChar w:fldCharType="begin"/>
          </w:r>
          <w:r>
            <w:instrText xml:space="preserve"> PAGEREF _Toc32701 \h </w:instrText>
          </w:r>
          <w:r>
            <w:fldChar w:fldCharType="separate"/>
          </w:r>
          <w:r>
            <w:t>10</w:t>
          </w:r>
          <w:r>
            <w:fldChar w:fldCharType="end"/>
          </w:r>
          <w:r>
            <w:rPr>
              <w:rFonts w:hint="eastAsia" w:ascii="宋体" w:hAnsi="宋体" w:cs="宋体"/>
              <w:szCs w:val="28"/>
            </w:rPr>
            <w:fldChar w:fldCharType="end"/>
          </w:r>
        </w:p>
        <w:p w14:paraId="33823777">
          <w:pPr>
            <w:pStyle w:val="10"/>
            <w:tabs>
              <w:tab w:val="right" w:leader="dot" w:pos="8788"/>
            </w:tabs>
          </w:pPr>
          <w:r>
            <w:rPr>
              <w:rFonts w:hint="eastAsia" w:ascii="宋体" w:hAnsi="宋体" w:cs="宋体"/>
              <w:szCs w:val="28"/>
            </w:rPr>
            <w:fldChar w:fldCharType="begin"/>
          </w:r>
          <w:r>
            <w:rPr>
              <w:rFonts w:hint="eastAsia" w:ascii="宋体" w:hAnsi="宋体" w:cs="宋体"/>
              <w:szCs w:val="28"/>
            </w:rPr>
            <w:instrText xml:space="preserve"> HYPERLINK \l _Toc20317 </w:instrText>
          </w:r>
          <w:r>
            <w:rPr>
              <w:rFonts w:hint="eastAsia" w:ascii="宋体" w:hAnsi="宋体" w:cs="宋体"/>
              <w:szCs w:val="28"/>
            </w:rPr>
            <w:fldChar w:fldCharType="separate"/>
          </w:r>
          <w:r>
            <w:rPr>
              <w:rFonts w:hint="eastAsia" w:ascii="Times New Roman" w:hAnsi="仿宋" w:eastAsia="宋体" w:cs="仿宋"/>
              <w:kern w:val="2"/>
              <w:szCs w:val="32"/>
            </w:rPr>
            <w:t>（五）绩效评价方法</w:t>
          </w:r>
          <w:r>
            <w:tab/>
          </w:r>
          <w:r>
            <w:fldChar w:fldCharType="begin"/>
          </w:r>
          <w:r>
            <w:instrText xml:space="preserve"> PAGEREF _Toc20317 \h </w:instrText>
          </w:r>
          <w:r>
            <w:fldChar w:fldCharType="separate"/>
          </w:r>
          <w:r>
            <w:t>11</w:t>
          </w:r>
          <w:r>
            <w:fldChar w:fldCharType="end"/>
          </w:r>
          <w:r>
            <w:rPr>
              <w:rFonts w:hint="eastAsia" w:ascii="宋体" w:hAnsi="宋体" w:cs="宋体"/>
              <w:szCs w:val="28"/>
            </w:rPr>
            <w:fldChar w:fldCharType="end"/>
          </w:r>
        </w:p>
        <w:p w14:paraId="2AE1DD88">
          <w:pPr>
            <w:pStyle w:val="9"/>
            <w:tabs>
              <w:tab w:val="right" w:leader="dot" w:pos="8788"/>
              <w:tab w:val="clear" w:pos="8777"/>
            </w:tabs>
          </w:pPr>
          <w:r>
            <w:rPr>
              <w:rFonts w:hint="eastAsia" w:ascii="宋体" w:hAnsi="宋体" w:cs="宋体"/>
              <w:szCs w:val="28"/>
            </w:rPr>
            <w:fldChar w:fldCharType="begin"/>
          </w:r>
          <w:r>
            <w:rPr>
              <w:rFonts w:hint="eastAsia" w:ascii="宋体" w:hAnsi="宋体" w:cs="宋体"/>
              <w:szCs w:val="28"/>
            </w:rPr>
            <w:instrText xml:space="preserve"> HYPERLINK \l _Toc29737 </w:instrText>
          </w:r>
          <w:r>
            <w:rPr>
              <w:rFonts w:hint="eastAsia" w:ascii="宋体" w:hAnsi="宋体" w:cs="宋体"/>
              <w:szCs w:val="28"/>
            </w:rPr>
            <w:fldChar w:fldCharType="separate"/>
          </w:r>
          <w:r>
            <w:rPr>
              <w:rFonts w:hint="eastAsia" w:ascii="Times New Roman" w:hAnsi="仿宋" w:eastAsia="宋体" w:cs="仿宋"/>
              <w:kern w:val="2"/>
              <w:szCs w:val="32"/>
            </w:rPr>
            <w:t>三、绩效评价指标体系及评价标准</w:t>
          </w:r>
          <w:r>
            <w:tab/>
          </w:r>
          <w:r>
            <w:fldChar w:fldCharType="begin"/>
          </w:r>
          <w:r>
            <w:instrText xml:space="preserve"> PAGEREF _Toc29737 \h </w:instrText>
          </w:r>
          <w:r>
            <w:fldChar w:fldCharType="separate"/>
          </w:r>
          <w:r>
            <w:t>12</w:t>
          </w:r>
          <w:r>
            <w:fldChar w:fldCharType="end"/>
          </w:r>
          <w:r>
            <w:rPr>
              <w:rFonts w:hint="eastAsia" w:ascii="宋体" w:hAnsi="宋体" w:cs="宋体"/>
              <w:szCs w:val="28"/>
            </w:rPr>
            <w:fldChar w:fldCharType="end"/>
          </w:r>
        </w:p>
        <w:p w14:paraId="7A55F9F2">
          <w:pPr>
            <w:pStyle w:val="10"/>
            <w:tabs>
              <w:tab w:val="right" w:leader="dot" w:pos="8788"/>
            </w:tabs>
          </w:pPr>
          <w:r>
            <w:rPr>
              <w:rFonts w:hint="eastAsia" w:ascii="宋体" w:hAnsi="宋体" w:cs="宋体"/>
              <w:szCs w:val="28"/>
            </w:rPr>
            <w:fldChar w:fldCharType="begin"/>
          </w:r>
          <w:r>
            <w:rPr>
              <w:rFonts w:hint="eastAsia" w:ascii="宋体" w:hAnsi="宋体" w:cs="宋体"/>
              <w:szCs w:val="28"/>
            </w:rPr>
            <w:instrText xml:space="preserve"> HYPERLINK \l _Toc19549 </w:instrText>
          </w:r>
          <w:r>
            <w:rPr>
              <w:rFonts w:hint="eastAsia" w:ascii="宋体" w:hAnsi="宋体" w:cs="宋体"/>
              <w:szCs w:val="28"/>
            </w:rPr>
            <w:fldChar w:fldCharType="separate"/>
          </w:r>
          <w:r>
            <w:rPr>
              <w:rFonts w:hint="eastAsia" w:ascii="Times New Roman" w:eastAsia="宋体"/>
              <w:bCs/>
              <w:szCs w:val="28"/>
            </w:rPr>
            <w:t>石狮市农业农村局部门整体支出绩效评价指标体系</w:t>
          </w:r>
          <w:r>
            <w:rPr>
              <w:rFonts w:hint="eastAsia" w:ascii="Times New Roman" w:eastAsia="宋体"/>
              <w:bCs/>
              <w:szCs w:val="28"/>
              <w:lang w:val="en-US" w:eastAsia="zh-CN"/>
            </w:rPr>
            <w:t>及评分标准</w:t>
          </w:r>
          <w:r>
            <w:tab/>
          </w:r>
          <w:r>
            <w:fldChar w:fldCharType="begin"/>
          </w:r>
          <w:r>
            <w:instrText xml:space="preserve"> PAGEREF _Toc19549 \h </w:instrText>
          </w:r>
          <w:r>
            <w:fldChar w:fldCharType="separate"/>
          </w:r>
          <w:r>
            <w:t>12</w:t>
          </w:r>
          <w:r>
            <w:fldChar w:fldCharType="end"/>
          </w:r>
          <w:r>
            <w:rPr>
              <w:rFonts w:hint="eastAsia" w:ascii="宋体" w:hAnsi="宋体" w:cs="宋体"/>
              <w:szCs w:val="28"/>
            </w:rPr>
            <w:fldChar w:fldCharType="end"/>
          </w:r>
        </w:p>
        <w:p w14:paraId="4C9C0699">
          <w:pPr>
            <w:pStyle w:val="9"/>
            <w:keepNext w:val="0"/>
            <w:keepLines w:val="0"/>
            <w:pageBreakBefore w:val="0"/>
            <w:widowControl w:val="0"/>
            <w:tabs>
              <w:tab w:val="right" w:leader="dot" w:pos="8788"/>
              <w:tab w:val="clear" w:pos="8777"/>
            </w:tabs>
            <w:kinsoku/>
            <w:wordWrap/>
            <w:overflowPunct/>
            <w:topLinePunct w:val="0"/>
            <w:autoSpaceDE/>
            <w:autoSpaceDN/>
            <w:bidi w:val="0"/>
            <w:adjustRightInd/>
            <w:snapToGrid/>
            <w:spacing w:line="480" w:lineRule="auto"/>
            <w:textAlignment w:val="auto"/>
            <w:rPr>
              <w:highlight w:val="none"/>
            </w:rPr>
          </w:pPr>
          <w:r>
            <w:rPr>
              <w:rFonts w:hint="eastAsia" w:ascii="宋体" w:hAnsi="宋体" w:cs="宋体"/>
              <w:szCs w:val="28"/>
              <w:highlight w:val="none"/>
            </w:rPr>
            <w:fldChar w:fldCharType="begin"/>
          </w:r>
          <w:r>
            <w:rPr>
              <w:rFonts w:hint="eastAsia" w:ascii="宋体" w:hAnsi="宋体" w:cs="宋体"/>
              <w:szCs w:val="28"/>
              <w:highlight w:val="none"/>
            </w:rPr>
            <w:instrText xml:space="preserve"> HYPERLINK \l _Toc8630 </w:instrText>
          </w:r>
          <w:r>
            <w:rPr>
              <w:rFonts w:hint="eastAsia" w:ascii="宋体" w:hAnsi="宋体" w:cs="宋体"/>
              <w:szCs w:val="28"/>
              <w:highlight w:val="none"/>
            </w:rPr>
            <w:fldChar w:fldCharType="separate"/>
          </w:r>
          <w:r>
            <w:rPr>
              <w:rFonts w:hint="eastAsia" w:ascii="Times New Roman" w:hAnsi="仿宋" w:eastAsia="宋体" w:cs="仿宋"/>
              <w:kern w:val="0"/>
              <w:szCs w:val="32"/>
              <w:highlight w:val="none"/>
            </w:rPr>
            <w:t>四、部门整体支出绩效评价分析</w:t>
          </w:r>
          <w:r>
            <w:rPr>
              <w:highlight w:val="none"/>
            </w:rPr>
            <w:tab/>
          </w:r>
          <w:r>
            <w:rPr>
              <w:highlight w:val="none"/>
            </w:rPr>
            <w:fldChar w:fldCharType="begin"/>
          </w:r>
          <w:r>
            <w:rPr>
              <w:highlight w:val="none"/>
            </w:rPr>
            <w:instrText xml:space="preserve"> PAGEREF _Toc8630 \h </w:instrText>
          </w:r>
          <w:r>
            <w:rPr>
              <w:highlight w:val="none"/>
            </w:rPr>
            <w:fldChar w:fldCharType="separate"/>
          </w:r>
          <w:r>
            <w:rPr>
              <w:highlight w:val="none"/>
            </w:rPr>
            <w:t>17</w:t>
          </w:r>
          <w:r>
            <w:rPr>
              <w:highlight w:val="none"/>
            </w:rPr>
            <w:fldChar w:fldCharType="end"/>
          </w:r>
          <w:r>
            <w:rPr>
              <w:rFonts w:hint="eastAsia" w:ascii="宋体" w:hAnsi="宋体" w:cs="宋体"/>
              <w:szCs w:val="28"/>
              <w:highlight w:val="none"/>
            </w:rPr>
            <w:fldChar w:fldCharType="end"/>
          </w:r>
        </w:p>
        <w:p w14:paraId="3A81AEC8">
          <w:pPr>
            <w:pStyle w:val="10"/>
            <w:tabs>
              <w:tab w:val="right" w:leader="dot" w:pos="8788"/>
            </w:tabs>
            <w:rPr>
              <w:highlight w:val="none"/>
            </w:rPr>
          </w:pPr>
          <w:r>
            <w:rPr>
              <w:rFonts w:hint="eastAsia" w:ascii="宋体" w:hAnsi="宋体" w:cs="宋体"/>
              <w:szCs w:val="28"/>
              <w:highlight w:val="none"/>
            </w:rPr>
            <w:fldChar w:fldCharType="begin"/>
          </w:r>
          <w:r>
            <w:rPr>
              <w:rFonts w:hint="eastAsia" w:ascii="宋体" w:hAnsi="宋体" w:cs="宋体"/>
              <w:szCs w:val="28"/>
              <w:highlight w:val="none"/>
            </w:rPr>
            <w:instrText xml:space="preserve"> HYPERLINK \l _Toc10433 </w:instrText>
          </w:r>
          <w:r>
            <w:rPr>
              <w:rFonts w:hint="eastAsia" w:ascii="宋体" w:hAnsi="宋体" w:cs="宋体"/>
              <w:szCs w:val="28"/>
              <w:highlight w:val="none"/>
            </w:rPr>
            <w:fldChar w:fldCharType="separate"/>
          </w:r>
          <w:r>
            <w:rPr>
              <w:rFonts w:hint="eastAsia" w:ascii="Times New Roman" w:hAnsi="仿宋" w:eastAsia="宋体" w:cs="仿宋"/>
              <w:kern w:val="0"/>
              <w:szCs w:val="32"/>
              <w:highlight w:val="none"/>
              <w:lang w:bidi="ar"/>
            </w:rPr>
            <w:t>（一）投入（分值20分，得分</w:t>
          </w:r>
          <w:r>
            <w:rPr>
              <w:rFonts w:hint="eastAsia" w:ascii="Times New Roman" w:hAnsi="仿宋" w:cs="仿宋"/>
              <w:kern w:val="0"/>
              <w:szCs w:val="32"/>
              <w:highlight w:val="none"/>
              <w:lang w:val="en-US" w:eastAsia="zh-CN" w:bidi="ar"/>
            </w:rPr>
            <w:t>17.65</w:t>
          </w:r>
          <w:r>
            <w:rPr>
              <w:rFonts w:hint="eastAsia" w:ascii="Times New Roman" w:hAnsi="仿宋" w:eastAsia="宋体" w:cs="仿宋"/>
              <w:kern w:val="0"/>
              <w:szCs w:val="32"/>
              <w:highlight w:val="none"/>
              <w:lang w:bidi="ar"/>
            </w:rPr>
            <w:t>分）</w:t>
          </w:r>
          <w:r>
            <w:rPr>
              <w:highlight w:val="none"/>
            </w:rPr>
            <w:tab/>
          </w:r>
          <w:r>
            <w:rPr>
              <w:highlight w:val="none"/>
            </w:rPr>
            <w:fldChar w:fldCharType="begin"/>
          </w:r>
          <w:r>
            <w:rPr>
              <w:highlight w:val="none"/>
            </w:rPr>
            <w:instrText xml:space="preserve"> PAGEREF _Toc10433 \h </w:instrText>
          </w:r>
          <w:r>
            <w:rPr>
              <w:highlight w:val="none"/>
            </w:rPr>
            <w:fldChar w:fldCharType="separate"/>
          </w:r>
          <w:r>
            <w:rPr>
              <w:highlight w:val="none"/>
            </w:rPr>
            <w:t>17</w:t>
          </w:r>
          <w:r>
            <w:rPr>
              <w:highlight w:val="none"/>
            </w:rPr>
            <w:fldChar w:fldCharType="end"/>
          </w:r>
          <w:r>
            <w:rPr>
              <w:rFonts w:hint="eastAsia" w:ascii="宋体" w:hAnsi="宋体" w:cs="宋体"/>
              <w:szCs w:val="28"/>
              <w:highlight w:val="none"/>
            </w:rPr>
            <w:fldChar w:fldCharType="end"/>
          </w:r>
        </w:p>
        <w:p w14:paraId="5C8281D6">
          <w:pPr>
            <w:pStyle w:val="10"/>
            <w:tabs>
              <w:tab w:val="right" w:leader="dot" w:pos="8788"/>
            </w:tabs>
            <w:rPr>
              <w:highlight w:val="none"/>
            </w:rPr>
          </w:pPr>
          <w:r>
            <w:rPr>
              <w:rFonts w:hint="eastAsia" w:ascii="宋体" w:hAnsi="宋体" w:cs="宋体"/>
              <w:szCs w:val="28"/>
              <w:highlight w:val="none"/>
            </w:rPr>
            <w:fldChar w:fldCharType="begin"/>
          </w:r>
          <w:r>
            <w:rPr>
              <w:rFonts w:hint="eastAsia" w:ascii="宋体" w:hAnsi="宋体" w:cs="宋体"/>
              <w:szCs w:val="28"/>
              <w:highlight w:val="none"/>
            </w:rPr>
            <w:instrText xml:space="preserve"> HYPERLINK \l _Toc23006 </w:instrText>
          </w:r>
          <w:r>
            <w:rPr>
              <w:rFonts w:hint="eastAsia" w:ascii="宋体" w:hAnsi="宋体" w:cs="宋体"/>
              <w:szCs w:val="28"/>
              <w:highlight w:val="none"/>
            </w:rPr>
            <w:fldChar w:fldCharType="separate"/>
          </w:r>
          <w:r>
            <w:rPr>
              <w:rFonts w:hint="eastAsia" w:ascii="Times New Roman" w:hAnsi="仿宋" w:eastAsia="宋体" w:cs="仿宋"/>
              <w:kern w:val="0"/>
              <w:szCs w:val="32"/>
              <w:highlight w:val="none"/>
              <w:lang w:bidi="ar"/>
            </w:rPr>
            <w:t>（二）过程</w:t>
          </w:r>
          <w:r>
            <w:rPr>
              <w:rFonts w:hint="eastAsia" w:ascii="Times New Roman" w:hAnsi="仿宋" w:cs="仿宋"/>
              <w:kern w:val="0"/>
              <w:szCs w:val="32"/>
              <w:highlight w:val="none"/>
              <w:lang w:val="en-US" w:eastAsia="zh-CN" w:bidi="ar"/>
            </w:rPr>
            <w:t xml:space="preserve"> </w:t>
          </w:r>
          <w:r>
            <w:rPr>
              <w:rFonts w:hint="eastAsia" w:ascii="Times New Roman" w:hAnsi="仿宋" w:eastAsia="宋体" w:cs="仿宋"/>
              <w:kern w:val="0"/>
              <w:szCs w:val="32"/>
              <w:highlight w:val="none"/>
              <w:lang w:bidi="ar"/>
            </w:rPr>
            <w:t>(分值20分，得分</w:t>
          </w:r>
          <w:r>
            <w:rPr>
              <w:rFonts w:hint="eastAsia" w:ascii="Times New Roman" w:hAnsi="仿宋" w:cs="仿宋"/>
              <w:kern w:val="0"/>
              <w:szCs w:val="32"/>
              <w:highlight w:val="none"/>
              <w:lang w:val="en-US" w:eastAsia="zh-CN" w:bidi="ar"/>
            </w:rPr>
            <w:t>14.39</w:t>
          </w:r>
          <w:r>
            <w:rPr>
              <w:rFonts w:hint="eastAsia" w:ascii="Times New Roman" w:hAnsi="仿宋" w:eastAsia="宋体" w:cs="仿宋"/>
              <w:kern w:val="0"/>
              <w:szCs w:val="32"/>
              <w:highlight w:val="none"/>
              <w:lang w:bidi="ar"/>
            </w:rPr>
            <w:t>分)</w:t>
          </w:r>
          <w:r>
            <w:rPr>
              <w:highlight w:val="none"/>
            </w:rPr>
            <w:tab/>
          </w:r>
          <w:r>
            <w:rPr>
              <w:highlight w:val="none"/>
            </w:rPr>
            <w:fldChar w:fldCharType="begin"/>
          </w:r>
          <w:r>
            <w:rPr>
              <w:highlight w:val="none"/>
            </w:rPr>
            <w:instrText xml:space="preserve"> PAGEREF _Toc23006 \h </w:instrText>
          </w:r>
          <w:r>
            <w:rPr>
              <w:highlight w:val="none"/>
            </w:rPr>
            <w:fldChar w:fldCharType="separate"/>
          </w:r>
          <w:r>
            <w:rPr>
              <w:highlight w:val="none"/>
            </w:rPr>
            <w:t>20</w:t>
          </w:r>
          <w:r>
            <w:rPr>
              <w:highlight w:val="none"/>
            </w:rPr>
            <w:fldChar w:fldCharType="end"/>
          </w:r>
          <w:r>
            <w:rPr>
              <w:rFonts w:hint="eastAsia" w:ascii="宋体" w:hAnsi="宋体" w:cs="宋体"/>
              <w:szCs w:val="28"/>
              <w:highlight w:val="none"/>
            </w:rPr>
            <w:fldChar w:fldCharType="end"/>
          </w:r>
        </w:p>
        <w:p w14:paraId="29AEBFD0">
          <w:pPr>
            <w:pStyle w:val="10"/>
            <w:tabs>
              <w:tab w:val="right" w:leader="dot" w:pos="8788"/>
            </w:tabs>
            <w:rPr>
              <w:highlight w:val="none"/>
            </w:rPr>
          </w:pPr>
          <w:r>
            <w:rPr>
              <w:rFonts w:hint="eastAsia" w:ascii="宋体" w:hAnsi="宋体" w:cs="宋体"/>
              <w:szCs w:val="28"/>
              <w:highlight w:val="none"/>
            </w:rPr>
            <w:fldChar w:fldCharType="begin"/>
          </w:r>
          <w:r>
            <w:rPr>
              <w:rFonts w:hint="eastAsia" w:ascii="宋体" w:hAnsi="宋体" w:cs="宋体"/>
              <w:szCs w:val="28"/>
              <w:highlight w:val="none"/>
            </w:rPr>
            <w:instrText xml:space="preserve"> HYPERLINK \l _Toc14037 </w:instrText>
          </w:r>
          <w:r>
            <w:rPr>
              <w:rFonts w:hint="eastAsia" w:ascii="宋体" w:hAnsi="宋体" w:cs="宋体"/>
              <w:szCs w:val="28"/>
              <w:highlight w:val="none"/>
            </w:rPr>
            <w:fldChar w:fldCharType="separate"/>
          </w:r>
          <w:r>
            <w:rPr>
              <w:rFonts w:hint="eastAsia" w:ascii="Times New Roman" w:hAnsi="仿宋" w:eastAsia="宋体" w:cs="仿宋"/>
              <w:kern w:val="0"/>
              <w:szCs w:val="32"/>
              <w:highlight w:val="none"/>
              <w:lang w:bidi="ar"/>
            </w:rPr>
            <w:t>（三）</w:t>
          </w:r>
          <w:r>
            <w:rPr>
              <w:rFonts w:hint="eastAsia" w:ascii="Times New Roman" w:hAnsi="仿宋" w:cs="仿宋"/>
              <w:kern w:val="0"/>
              <w:szCs w:val="32"/>
              <w:highlight w:val="none"/>
              <w:lang w:val="en-US" w:eastAsia="zh-CN" w:bidi="ar"/>
            </w:rPr>
            <w:t>产出</w:t>
          </w:r>
          <w:r>
            <w:rPr>
              <w:rFonts w:hint="eastAsia" w:ascii="Times New Roman" w:hAnsi="仿宋" w:eastAsia="宋体" w:cs="仿宋"/>
              <w:kern w:val="0"/>
              <w:szCs w:val="32"/>
              <w:highlight w:val="none"/>
              <w:lang w:bidi="ar"/>
            </w:rPr>
            <w:t>（权重为40%</w:t>
          </w:r>
          <w:r>
            <w:rPr>
              <w:rFonts w:hint="eastAsia" w:ascii="Times New Roman" w:hAnsi="仿宋" w:eastAsia="宋体" w:cs="仿宋"/>
              <w:kern w:val="0"/>
              <w:szCs w:val="32"/>
              <w:highlight w:val="none"/>
              <w:lang w:eastAsia="zh-CN" w:bidi="ar"/>
            </w:rPr>
            <w:t>，</w:t>
          </w:r>
          <w:r>
            <w:rPr>
              <w:rFonts w:hint="eastAsia" w:ascii="Times New Roman" w:hAnsi="仿宋" w:eastAsia="宋体" w:cs="仿宋"/>
              <w:kern w:val="0"/>
              <w:szCs w:val="32"/>
              <w:highlight w:val="none"/>
              <w:lang w:val="en-US" w:eastAsia="zh-CN" w:bidi="ar"/>
            </w:rPr>
            <w:t>得分</w:t>
          </w:r>
          <w:r>
            <w:rPr>
              <w:rFonts w:hint="eastAsia" w:ascii="Times New Roman" w:hAnsi="仿宋" w:cs="仿宋"/>
              <w:kern w:val="0"/>
              <w:szCs w:val="32"/>
              <w:highlight w:val="none"/>
              <w:lang w:val="en-US" w:eastAsia="zh-CN" w:bidi="ar"/>
            </w:rPr>
            <w:t>38</w:t>
          </w:r>
          <w:r>
            <w:rPr>
              <w:rFonts w:hint="eastAsia" w:ascii="Times New Roman" w:hAnsi="仿宋" w:eastAsia="宋体" w:cs="仿宋"/>
              <w:kern w:val="0"/>
              <w:szCs w:val="32"/>
              <w:highlight w:val="none"/>
              <w:lang w:val="en-US" w:eastAsia="zh-CN" w:bidi="ar"/>
            </w:rPr>
            <w:t>分</w:t>
          </w:r>
          <w:r>
            <w:rPr>
              <w:rFonts w:hint="eastAsia" w:ascii="Times New Roman" w:hAnsi="仿宋" w:eastAsia="宋体" w:cs="仿宋"/>
              <w:kern w:val="0"/>
              <w:szCs w:val="32"/>
              <w:highlight w:val="none"/>
              <w:lang w:bidi="ar"/>
            </w:rPr>
            <w:t>）</w:t>
          </w:r>
          <w:r>
            <w:rPr>
              <w:highlight w:val="none"/>
            </w:rPr>
            <w:tab/>
          </w:r>
          <w:r>
            <w:rPr>
              <w:highlight w:val="none"/>
            </w:rPr>
            <w:fldChar w:fldCharType="begin"/>
          </w:r>
          <w:r>
            <w:rPr>
              <w:highlight w:val="none"/>
            </w:rPr>
            <w:instrText xml:space="preserve"> PAGEREF _Toc14037 \h </w:instrText>
          </w:r>
          <w:r>
            <w:rPr>
              <w:highlight w:val="none"/>
            </w:rPr>
            <w:fldChar w:fldCharType="separate"/>
          </w:r>
          <w:r>
            <w:rPr>
              <w:highlight w:val="none"/>
            </w:rPr>
            <w:t>24</w:t>
          </w:r>
          <w:r>
            <w:rPr>
              <w:highlight w:val="none"/>
            </w:rPr>
            <w:fldChar w:fldCharType="end"/>
          </w:r>
          <w:r>
            <w:rPr>
              <w:rFonts w:hint="eastAsia" w:ascii="宋体" w:hAnsi="宋体" w:cs="宋体"/>
              <w:szCs w:val="28"/>
              <w:highlight w:val="none"/>
            </w:rPr>
            <w:fldChar w:fldCharType="end"/>
          </w:r>
        </w:p>
        <w:p w14:paraId="6C182B3A">
          <w:pPr>
            <w:pStyle w:val="10"/>
            <w:tabs>
              <w:tab w:val="right" w:leader="dot" w:pos="8788"/>
            </w:tabs>
          </w:pPr>
          <w:r>
            <w:rPr>
              <w:rFonts w:hint="eastAsia" w:ascii="宋体" w:hAnsi="宋体" w:cs="宋体"/>
              <w:szCs w:val="28"/>
              <w:highlight w:val="none"/>
            </w:rPr>
            <w:fldChar w:fldCharType="begin"/>
          </w:r>
          <w:r>
            <w:rPr>
              <w:rFonts w:hint="eastAsia" w:ascii="宋体" w:hAnsi="宋体" w:cs="宋体"/>
              <w:szCs w:val="28"/>
              <w:highlight w:val="none"/>
            </w:rPr>
            <w:instrText xml:space="preserve"> HYPERLINK \l _Toc7923 </w:instrText>
          </w:r>
          <w:r>
            <w:rPr>
              <w:rFonts w:hint="eastAsia" w:ascii="宋体" w:hAnsi="宋体" w:cs="宋体"/>
              <w:szCs w:val="28"/>
              <w:highlight w:val="none"/>
            </w:rPr>
            <w:fldChar w:fldCharType="separate"/>
          </w:r>
          <w:r>
            <w:rPr>
              <w:rFonts w:hint="eastAsia" w:ascii="Times New Roman" w:hAnsi="仿宋" w:eastAsia="宋体" w:cs="仿宋"/>
              <w:kern w:val="0"/>
              <w:szCs w:val="32"/>
              <w:highlight w:val="none"/>
              <w:lang w:bidi="ar"/>
            </w:rPr>
            <w:t>（四）效益(分值20分，得分</w:t>
          </w:r>
          <w:r>
            <w:rPr>
              <w:rFonts w:hint="eastAsia" w:ascii="Times New Roman" w:hAnsi="仿宋" w:eastAsia="宋体" w:cs="仿宋"/>
              <w:kern w:val="0"/>
              <w:szCs w:val="32"/>
              <w:highlight w:val="none"/>
              <w:lang w:val="en-US" w:eastAsia="zh-CN" w:bidi="ar"/>
            </w:rPr>
            <w:t>17</w:t>
          </w:r>
          <w:r>
            <w:rPr>
              <w:rFonts w:hint="eastAsia" w:ascii="Times New Roman" w:hAnsi="仿宋" w:eastAsia="宋体" w:cs="仿宋"/>
              <w:kern w:val="0"/>
              <w:szCs w:val="32"/>
              <w:highlight w:val="none"/>
              <w:lang w:bidi="ar"/>
            </w:rPr>
            <w:t>分)</w:t>
          </w:r>
          <w:r>
            <w:rPr>
              <w:highlight w:val="none"/>
            </w:rPr>
            <w:tab/>
          </w:r>
          <w:r>
            <w:rPr>
              <w:highlight w:val="none"/>
            </w:rPr>
            <w:fldChar w:fldCharType="begin"/>
          </w:r>
          <w:r>
            <w:rPr>
              <w:highlight w:val="none"/>
            </w:rPr>
            <w:instrText xml:space="preserve"> PAGEREF _Toc7923 \h </w:instrText>
          </w:r>
          <w:r>
            <w:rPr>
              <w:highlight w:val="none"/>
            </w:rPr>
            <w:fldChar w:fldCharType="separate"/>
          </w:r>
          <w:r>
            <w:rPr>
              <w:highlight w:val="none"/>
            </w:rPr>
            <w:t>30</w:t>
          </w:r>
          <w:r>
            <w:rPr>
              <w:highlight w:val="none"/>
            </w:rPr>
            <w:fldChar w:fldCharType="end"/>
          </w:r>
          <w:r>
            <w:rPr>
              <w:rFonts w:hint="eastAsia" w:ascii="宋体" w:hAnsi="宋体" w:cs="宋体"/>
              <w:szCs w:val="28"/>
              <w:highlight w:val="none"/>
            </w:rPr>
            <w:fldChar w:fldCharType="end"/>
          </w:r>
        </w:p>
        <w:p w14:paraId="3557E2FA">
          <w:pPr>
            <w:pStyle w:val="9"/>
            <w:tabs>
              <w:tab w:val="right" w:leader="dot" w:pos="8788"/>
              <w:tab w:val="clear" w:pos="8777"/>
            </w:tabs>
          </w:pPr>
          <w:r>
            <w:rPr>
              <w:rFonts w:hint="eastAsia" w:ascii="宋体" w:hAnsi="宋体" w:cs="宋体"/>
              <w:szCs w:val="28"/>
            </w:rPr>
            <w:fldChar w:fldCharType="begin"/>
          </w:r>
          <w:r>
            <w:rPr>
              <w:rFonts w:hint="eastAsia" w:ascii="宋体" w:hAnsi="宋体" w:cs="宋体"/>
              <w:szCs w:val="28"/>
            </w:rPr>
            <w:instrText xml:space="preserve"> HYPERLINK \l _Toc10188 </w:instrText>
          </w:r>
          <w:r>
            <w:rPr>
              <w:rFonts w:hint="eastAsia" w:ascii="宋体" w:hAnsi="宋体" w:cs="宋体"/>
              <w:szCs w:val="28"/>
            </w:rPr>
            <w:fldChar w:fldCharType="separate"/>
          </w:r>
          <w:r>
            <w:rPr>
              <w:rFonts w:hint="eastAsia" w:ascii="Times New Roman" w:hAnsi="仿宋" w:eastAsia="宋体" w:cs="仿宋"/>
              <w:bCs/>
              <w:spacing w:val="17"/>
              <w:szCs w:val="32"/>
            </w:rPr>
            <w:t>五、评价结论及成效</w:t>
          </w:r>
          <w:r>
            <w:tab/>
          </w:r>
          <w:r>
            <w:fldChar w:fldCharType="begin"/>
          </w:r>
          <w:r>
            <w:instrText xml:space="preserve"> PAGEREF _Toc10188 \h </w:instrText>
          </w:r>
          <w:r>
            <w:fldChar w:fldCharType="separate"/>
          </w:r>
          <w:r>
            <w:t>39</w:t>
          </w:r>
          <w:r>
            <w:fldChar w:fldCharType="end"/>
          </w:r>
          <w:r>
            <w:rPr>
              <w:rFonts w:hint="eastAsia" w:ascii="宋体" w:hAnsi="宋体" w:cs="宋体"/>
              <w:szCs w:val="28"/>
            </w:rPr>
            <w:fldChar w:fldCharType="end"/>
          </w:r>
        </w:p>
        <w:p w14:paraId="07CA2E5D">
          <w:pPr>
            <w:pStyle w:val="9"/>
            <w:tabs>
              <w:tab w:val="right" w:leader="dot" w:pos="8788"/>
              <w:tab w:val="clear" w:pos="8777"/>
            </w:tabs>
          </w:pPr>
          <w:r>
            <w:rPr>
              <w:rFonts w:hint="eastAsia" w:ascii="宋体" w:hAnsi="宋体" w:cs="宋体"/>
              <w:szCs w:val="28"/>
            </w:rPr>
            <w:fldChar w:fldCharType="begin"/>
          </w:r>
          <w:r>
            <w:rPr>
              <w:rFonts w:hint="eastAsia" w:ascii="宋体" w:hAnsi="宋体" w:cs="宋体"/>
              <w:szCs w:val="28"/>
            </w:rPr>
            <w:instrText xml:space="preserve"> HYPERLINK \l _Toc28519 </w:instrText>
          </w:r>
          <w:r>
            <w:rPr>
              <w:rFonts w:hint="eastAsia" w:ascii="宋体" w:hAnsi="宋体" w:cs="宋体"/>
              <w:szCs w:val="28"/>
            </w:rPr>
            <w:fldChar w:fldCharType="separate"/>
          </w:r>
          <w:r>
            <w:rPr>
              <w:rFonts w:hint="eastAsia" w:ascii="Times New Roman" w:hAnsi="仿宋" w:eastAsia="宋体" w:cs="仿宋"/>
              <w:spacing w:val="17"/>
              <w:szCs w:val="32"/>
            </w:rPr>
            <w:t>六、存在问题</w:t>
          </w:r>
          <w:r>
            <w:tab/>
          </w:r>
          <w:r>
            <w:fldChar w:fldCharType="begin"/>
          </w:r>
          <w:r>
            <w:instrText xml:space="preserve"> PAGEREF _Toc28519 \h </w:instrText>
          </w:r>
          <w:r>
            <w:fldChar w:fldCharType="separate"/>
          </w:r>
          <w:r>
            <w:t>40</w:t>
          </w:r>
          <w:r>
            <w:fldChar w:fldCharType="end"/>
          </w:r>
          <w:r>
            <w:rPr>
              <w:rFonts w:hint="eastAsia" w:ascii="宋体" w:hAnsi="宋体" w:cs="宋体"/>
              <w:szCs w:val="28"/>
            </w:rPr>
            <w:fldChar w:fldCharType="end"/>
          </w:r>
        </w:p>
        <w:p w14:paraId="1CC2779B">
          <w:pPr>
            <w:pStyle w:val="10"/>
            <w:tabs>
              <w:tab w:val="right" w:leader="dot" w:pos="8788"/>
            </w:tabs>
          </w:pPr>
          <w:r>
            <w:rPr>
              <w:rFonts w:hint="eastAsia" w:ascii="宋体" w:hAnsi="宋体" w:cs="宋体"/>
              <w:szCs w:val="28"/>
            </w:rPr>
            <w:fldChar w:fldCharType="begin"/>
          </w:r>
          <w:r>
            <w:rPr>
              <w:rFonts w:hint="eastAsia" w:ascii="宋体" w:hAnsi="宋体" w:cs="宋体"/>
              <w:szCs w:val="28"/>
            </w:rPr>
            <w:instrText xml:space="preserve"> HYPERLINK \l _Toc10070 </w:instrText>
          </w:r>
          <w:r>
            <w:rPr>
              <w:rFonts w:hint="eastAsia" w:ascii="宋体" w:hAnsi="宋体" w:cs="宋体"/>
              <w:szCs w:val="28"/>
            </w:rPr>
            <w:fldChar w:fldCharType="separate"/>
          </w:r>
          <w:r>
            <w:rPr>
              <w:rFonts w:hint="eastAsia" w:ascii="Times New Roman" w:hAnsi="仿宋" w:eastAsia="宋体" w:cs="仿宋"/>
              <w:bCs w:val="0"/>
              <w:szCs w:val="32"/>
              <w:lang w:val="en-US" w:eastAsia="zh-CN" w:bidi="zh-TW"/>
            </w:rPr>
            <w:t>（一）</w:t>
          </w:r>
          <w:r>
            <w:rPr>
              <w:rFonts w:hint="eastAsia" w:ascii="Times New Roman" w:hAnsi="仿宋" w:eastAsia="宋体" w:cs="仿宋"/>
              <w:bCs w:val="0"/>
              <w:szCs w:val="32"/>
              <w:highlight w:val="none"/>
              <w:lang w:val="en-US" w:eastAsia="zh-CN" w:bidi="zh-TW"/>
            </w:rPr>
            <w:t>专项资金管理制度不健全</w:t>
          </w:r>
          <w:r>
            <w:tab/>
          </w:r>
          <w:r>
            <w:fldChar w:fldCharType="begin"/>
          </w:r>
          <w:r>
            <w:instrText xml:space="preserve"> PAGEREF _Toc10070 \h </w:instrText>
          </w:r>
          <w:r>
            <w:fldChar w:fldCharType="separate"/>
          </w:r>
          <w:r>
            <w:t>40</w:t>
          </w:r>
          <w:r>
            <w:fldChar w:fldCharType="end"/>
          </w:r>
          <w:r>
            <w:rPr>
              <w:rFonts w:hint="eastAsia" w:ascii="宋体" w:hAnsi="宋体" w:cs="宋体"/>
              <w:szCs w:val="28"/>
            </w:rPr>
            <w:fldChar w:fldCharType="end"/>
          </w:r>
        </w:p>
        <w:p w14:paraId="4D8852C2">
          <w:pPr>
            <w:pStyle w:val="10"/>
            <w:tabs>
              <w:tab w:val="right" w:leader="dot" w:pos="8788"/>
            </w:tabs>
          </w:pPr>
          <w:r>
            <w:rPr>
              <w:rFonts w:hint="eastAsia" w:ascii="宋体" w:hAnsi="宋体" w:cs="宋体"/>
              <w:szCs w:val="28"/>
            </w:rPr>
            <w:fldChar w:fldCharType="begin"/>
          </w:r>
          <w:r>
            <w:rPr>
              <w:rFonts w:hint="eastAsia" w:ascii="宋体" w:hAnsi="宋体" w:cs="宋体"/>
              <w:szCs w:val="28"/>
            </w:rPr>
            <w:instrText xml:space="preserve"> HYPERLINK \l _Toc4601 </w:instrText>
          </w:r>
          <w:r>
            <w:rPr>
              <w:rFonts w:hint="eastAsia" w:ascii="宋体" w:hAnsi="宋体" w:cs="宋体"/>
              <w:szCs w:val="28"/>
            </w:rPr>
            <w:fldChar w:fldCharType="separate"/>
          </w:r>
          <w:r>
            <w:rPr>
              <w:rFonts w:hint="eastAsia" w:ascii="Times New Roman" w:hAnsi="仿宋" w:eastAsia="宋体" w:cs="仿宋"/>
              <w:bCs w:val="0"/>
              <w:szCs w:val="32"/>
              <w:lang w:bidi="zh-TW"/>
            </w:rPr>
            <w:t>（</w:t>
          </w:r>
          <w:r>
            <w:rPr>
              <w:rFonts w:hint="eastAsia" w:ascii="Times New Roman" w:hAnsi="仿宋" w:eastAsia="宋体" w:cs="仿宋"/>
              <w:bCs w:val="0"/>
              <w:szCs w:val="32"/>
              <w:lang w:val="en-US" w:eastAsia="zh-CN" w:bidi="zh-TW"/>
            </w:rPr>
            <w:t>二</w:t>
          </w:r>
          <w:r>
            <w:rPr>
              <w:rFonts w:hint="eastAsia" w:ascii="Times New Roman" w:hAnsi="仿宋" w:eastAsia="宋体" w:cs="仿宋"/>
              <w:bCs w:val="0"/>
              <w:szCs w:val="32"/>
              <w:lang w:bidi="zh-TW"/>
            </w:rPr>
            <w:t>）</w:t>
          </w:r>
          <w:r>
            <w:rPr>
              <w:rFonts w:hint="eastAsia" w:ascii="Times New Roman" w:hAnsi="仿宋" w:eastAsia="宋体" w:cs="仿宋"/>
              <w:bCs w:val="0"/>
              <w:szCs w:val="32"/>
              <w:lang w:val="en-US" w:eastAsia="zh-CN" w:bidi="zh-TW"/>
            </w:rPr>
            <w:t>对企业农产品附加值引导还需进一步提升</w:t>
          </w:r>
          <w:r>
            <w:tab/>
          </w:r>
          <w:r>
            <w:fldChar w:fldCharType="begin"/>
          </w:r>
          <w:r>
            <w:instrText xml:space="preserve"> PAGEREF _Toc4601 \h </w:instrText>
          </w:r>
          <w:r>
            <w:fldChar w:fldCharType="separate"/>
          </w:r>
          <w:r>
            <w:t>40</w:t>
          </w:r>
          <w:r>
            <w:fldChar w:fldCharType="end"/>
          </w:r>
          <w:r>
            <w:rPr>
              <w:rFonts w:hint="eastAsia" w:ascii="宋体" w:hAnsi="宋体" w:cs="宋体"/>
              <w:szCs w:val="28"/>
            </w:rPr>
            <w:fldChar w:fldCharType="end"/>
          </w:r>
        </w:p>
        <w:p w14:paraId="1C3F2F6D">
          <w:pPr>
            <w:pStyle w:val="10"/>
            <w:tabs>
              <w:tab w:val="right" w:leader="dot" w:pos="8788"/>
            </w:tabs>
          </w:pPr>
          <w:r>
            <w:rPr>
              <w:rFonts w:hint="eastAsia" w:ascii="宋体" w:hAnsi="宋体" w:cs="宋体"/>
              <w:szCs w:val="28"/>
            </w:rPr>
            <w:fldChar w:fldCharType="begin"/>
          </w:r>
          <w:r>
            <w:rPr>
              <w:rFonts w:hint="eastAsia" w:ascii="宋体" w:hAnsi="宋体" w:cs="宋体"/>
              <w:szCs w:val="28"/>
            </w:rPr>
            <w:instrText xml:space="preserve"> HYPERLINK \l _Toc7855 </w:instrText>
          </w:r>
          <w:r>
            <w:rPr>
              <w:rFonts w:hint="eastAsia" w:ascii="宋体" w:hAnsi="宋体" w:cs="宋体"/>
              <w:szCs w:val="28"/>
            </w:rPr>
            <w:fldChar w:fldCharType="separate"/>
          </w:r>
          <w:r>
            <w:rPr>
              <w:rFonts w:hint="eastAsia" w:ascii="Times New Roman" w:hAnsi="仿宋" w:eastAsia="宋体" w:cs="仿宋"/>
              <w:spacing w:val="4"/>
              <w:szCs w:val="32"/>
              <w:lang w:val="en-US" w:eastAsia="zh-CN"/>
            </w:rPr>
            <w:t>（三）</w:t>
          </w:r>
          <w:r>
            <w:rPr>
              <w:rFonts w:hint="eastAsia" w:ascii="Times New Roman" w:hAnsi="仿宋" w:eastAsia="宋体" w:cs="仿宋"/>
              <w:bCs w:val="0"/>
              <w:kern w:val="2"/>
              <w:szCs w:val="32"/>
              <w:lang w:val="zh-TW" w:eastAsia="zh-TW" w:bidi="zh-TW"/>
            </w:rPr>
            <w:t>投保程序和手续有待</w:t>
          </w:r>
          <w:r>
            <w:rPr>
              <w:rFonts w:hint="eastAsia" w:ascii="Times New Roman" w:hAnsi="仿宋" w:eastAsia="宋体" w:cs="仿宋"/>
              <w:bCs w:val="0"/>
              <w:kern w:val="2"/>
              <w:szCs w:val="32"/>
              <w:lang w:val="en-US" w:eastAsia="zh-CN" w:bidi="zh-TW"/>
            </w:rPr>
            <w:t>进行</w:t>
          </w:r>
          <w:r>
            <w:rPr>
              <w:rFonts w:hint="eastAsia" w:ascii="Times New Roman" w:hAnsi="仿宋" w:eastAsia="宋体" w:cs="仿宋"/>
              <w:bCs w:val="0"/>
              <w:kern w:val="2"/>
              <w:szCs w:val="32"/>
              <w:lang w:val="zh-TW" w:eastAsia="zh-TW" w:bidi="zh-TW"/>
            </w:rPr>
            <w:t>简化</w:t>
          </w:r>
          <w:r>
            <w:tab/>
          </w:r>
          <w:r>
            <w:fldChar w:fldCharType="begin"/>
          </w:r>
          <w:r>
            <w:instrText xml:space="preserve"> PAGEREF _Toc7855 \h </w:instrText>
          </w:r>
          <w:r>
            <w:fldChar w:fldCharType="separate"/>
          </w:r>
          <w:r>
            <w:t>41</w:t>
          </w:r>
          <w:r>
            <w:fldChar w:fldCharType="end"/>
          </w:r>
          <w:r>
            <w:rPr>
              <w:rFonts w:hint="eastAsia" w:ascii="宋体" w:hAnsi="宋体" w:cs="宋体"/>
              <w:szCs w:val="28"/>
            </w:rPr>
            <w:fldChar w:fldCharType="end"/>
          </w:r>
        </w:p>
        <w:p w14:paraId="385FBC38">
          <w:pPr>
            <w:pStyle w:val="10"/>
            <w:tabs>
              <w:tab w:val="right" w:leader="dot" w:pos="8788"/>
            </w:tabs>
          </w:pPr>
          <w:r>
            <w:rPr>
              <w:rFonts w:hint="eastAsia" w:ascii="宋体" w:hAnsi="宋体" w:cs="宋体"/>
              <w:szCs w:val="28"/>
            </w:rPr>
            <w:fldChar w:fldCharType="begin"/>
          </w:r>
          <w:r>
            <w:rPr>
              <w:rFonts w:hint="eastAsia" w:ascii="宋体" w:hAnsi="宋体" w:cs="宋体"/>
              <w:szCs w:val="28"/>
            </w:rPr>
            <w:instrText xml:space="preserve"> HYPERLINK \l _Toc18143 </w:instrText>
          </w:r>
          <w:r>
            <w:rPr>
              <w:rFonts w:hint="eastAsia" w:ascii="宋体" w:hAnsi="宋体" w:cs="宋体"/>
              <w:szCs w:val="28"/>
            </w:rPr>
            <w:fldChar w:fldCharType="separate"/>
          </w:r>
          <w:r>
            <w:rPr>
              <w:rFonts w:hint="eastAsia" w:ascii="Times New Roman" w:hAnsi="仿宋" w:eastAsia="宋体" w:cs="仿宋"/>
              <w:spacing w:val="4"/>
              <w:szCs w:val="32"/>
              <w:lang w:val="en-US" w:eastAsia="zh-CN"/>
            </w:rPr>
            <w:t>（四）</w:t>
          </w:r>
          <w:r>
            <w:rPr>
              <w:rFonts w:hint="eastAsia" w:ascii="Times New Roman" w:hAnsi="仿宋" w:eastAsia="宋体" w:cs="仿宋"/>
              <w:spacing w:val="4"/>
              <w:szCs w:val="32"/>
            </w:rPr>
            <w:t>土地资源紧张和农地租金</w:t>
          </w:r>
          <w:r>
            <w:rPr>
              <w:rFonts w:hint="eastAsia" w:ascii="Times New Roman" w:hAnsi="仿宋" w:eastAsia="宋体" w:cs="仿宋"/>
              <w:spacing w:val="4"/>
              <w:szCs w:val="32"/>
              <w:lang w:val="en-US" w:eastAsia="zh-CN"/>
            </w:rPr>
            <w:t>高的</w:t>
          </w:r>
          <w:r>
            <w:rPr>
              <w:rFonts w:hint="eastAsia" w:ascii="Times New Roman" w:hAnsi="仿宋" w:eastAsia="宋体" w:cs="仿宋"/>
              <w:spacing w:val="4"/>
              <w:szCs w:val="32"/>
            </w:rPr>
            <w:t>问题亟待解决</w:t>
          </w:r>
          <w:r>
            <w:tab/>
          </w:r>
          <w:r>
            <w:fldChar w:fldCharType="begin"/>
          </w:r>
          <w:r>
            <w:instrText xml:space="preserve"> PAGEREF _Toc18143 \h </w:instrText>
          </w:r>
          <w:r>
            <w:fldChar w:fldCharType="separate"/>
          </w:r>
          <w:r>
            <w:t>41</w:t>
          </w:r>
          <w:r>
            <w:fldChar w:fldCharType="end"/>
          </w:r>
          <w:r>
            <w:rPr>
              <w:rFonts w:hint="eastAsia" w:ascii="宋体" w:hAnsi="宋体" w:cs="宋体"/>
              <w:szCs w:val="28"/>
            </w:rPr>
            <w:fldChar w:fldCharType="end"/>
          </w:r>
        </w:p>
        <w:p w14:paraId="6ABFBC8A">
          <w:pPr>
            <w:pStyle w:val="9"/>
            <w:tabs>
              <w:tab w:val="right" w:leader="dot" w:pos="8788"/>
              <w:tab w:val="clear" w:pos="8777"/>
            </w:tabs>
          </w:pPr>
          <w:r>
            <w:rPr>
              <w:rFonts w:hint="eastAsia" w:ascii="宋体" w:hAnsi="宋体" w:cs="宋体"/>
              <w:szCs w:val="28"/>
            </w:rPr>
            <w:fldChar w:fldCharType="begin"/>
          </w:r>
          <w:r>
            <w:rPr>
              <w:rFonts w:hint="eastAsia" w:ascii="宋体" w:hAnsi="宋体" w:cs="宋体"/>
              <w:szCs w:val="28"/>
            </w:rPr>
            <w:instrText xml:space="preserve"> HYPERLINK \l _Toc29523 </w:instrText>
          </w:r>
          <w:r>
            <w:rPr>
              <w:rFonts w:hint="eastAsia" w:ascii="宋体" w:hAnsi="宋体" w:cs="宋体"/>
              <w:szCs w:val="28"/>
            </w:rPr>
            <w:fldChar w:fldCharType="separate"/>
          </w:r>
          <w:r>
            <w:rPr>
              <w:rFonts w:hint="eastAsia" w:ascii="Times New Roman" w:hAnsi="仿宋" w:eastAsia="宋体" w:cs="仿宋"/>
              <w:bCs/>
              <w:szCs w:val="32"/>
              <w:lang w:val="zh-TW" w:bidi="zh-TW"/>
            </w:rPr>
            <w:t>七、提出</w:t>
          </w:r>
          <w:r>
            <w:rPr>
              <w:rFonts w:hint="eastAsia" w:ascii="Times New Roman" w:hAnsi="仿宋" w:eastAsia="宋体" w:cs="仿宋"/>
              <w:bCs/>
              <w:szCs w:val="32"/>
              <w:lang w:val="zh-TW" w:eastAsia="zh-TW" w:bidi="zh-TW"/>
            </w:rPr>
            <w:t>建议</w:t>
          </w:r>
          <w:r>
            <w:tab/>
          </w:r>
          <w:r>
            <w:fldChar w:fldCharType="begin"/>
          </w:r>
          <w:r>
            <w:instrText xml:space="preserve"> PAGEREF _Toc29523 \h </w:instrText>
          </w:r>
          <w:r>
            <w:fldChar w:fldCharType="separate"/>
          </w:r>
          <w:r>
            <w:t>41</w:t>
          </w:r>
          <w:r>
            <w:fldChar w:fldCharType="end"/>
          </w:r>
          <w:r>
            <w:rPr>
              <w:rFonts w:hint="eastAsia" w:ascii="宋体" w:hAnsi="宋体" w:cs="宋体"/>
              <w:szCs w:val="28"/>
            </w:rPr>
            <w:fldChar w:fldCharType="end"/>
          </w:r>
        </w:p>
        <w:p w14:paraId="1BF93B43">
          <w:pPr>
            <w:pStyle w:val="10"/>
            <w:tabs>
              <w:tab w:val="right" w:leader="dot" w:pos="8788"/>
            </w:tabs>
          </w:pPr>
          <w:r>
            <w:rPr>
              <w:rFonts w:hint="eastAsia" w:ascii="宋体" w:hAnsi="宋体" w:cs="宋体"/>
              <w:szCs w:val="28"/>
            </w:rPr>
            <w:fldChar w:fldCharType="begin"/>
          </w:r>
          <w:r>
            <w:rPr>
              <w:rFonts w:hint="eastAsia" w:ascii="宋体" w:hAnsi="宋体" w:cs="宋体"/>
              <w:szCs w:val="28"/>
            </w:rPr>
            <w:instrText xml:space="preserve"> HYPERLINK \l _Toc26583 </w:instrText>
          </w:r>
          <w:r>
            <w:rPr>
              <w:rFonts w:hint="eastAsia" w:ascii="宋体" w:hAnsi="宋体" w:cs="宋体"/>
              <w:szCs w:val="28"/>
            </w:rPr>
            <w:fldChar w:fldCharType="separate"/>
          </w:r>
          <w:r>
            <w:rPr>
              <w:rFonts w:hint="eastAsia" w:ascii="Times New Roman" w:hAnsi="仿宋" w:eastAsia="宋体" w:cs="仿宋"/>
              <w:szCs w:val="32"/>
              <w:lang w:bidi="zh-TW"/>
            </w:rPr>
            <w:t>（</w:t>
          </w:r>
          <w:r>
            <w:rPr>
              <w:rFonts w:hint="eastAsia" w:ascii="Times New Roman" w:hAnsi="仿宋" w:eastAsia="宋体" w:cs="仿宋"/>
              <w:szCs w:val="32"/>
              <w:lang w:val="en-US" w:eastAsia="zh-CN" w:bidi="zh-TW"/>
            </w:rPr>
            <w:t>一</w:t>
          </w:r>
          <w:r>
            <w:rPr>
              <w:rFonts w:hint="eastAsia" w:ascii="Times New Roman" w:hAnsi="仿宋" w:eastAsia="宋体" w:cs="仿宋"/>
              <w:szCs w:val="32"/>
              <w:lang w:bidi="zh-TW"/>
            </w:rPr>
            <w:t>）</w:t>
          </w:r>
          <w:r>
            <w:rPr>
              <w:rFonts w:hint="eastAsia" w:ascii="Times New Roman" w:hAnsi="仿宋" w:eastAsia="宋体" w:cs="仿宋"/>
              <w:szCs w:val="32"/>
              <w:lang w:val="en-US" w:eastAsia="zh-CN" w:bidi="zh-TW"/>
            </w:rPr>
            <w:t>建立健全专项资金管理制度</w:t>
          </w:r>
          <w:r>
            <w:tab/>
          </w:r>
          <w:r>
            <w:fldChar w:fldCharType="begin"/>
          </w:r>
          <w:r>
            <w:instrText xml:space="preserve"> PAGEREF _Toc26583 \h </w:instrText>
          </w:r>
          <w:r>
            <w:fldChar w:fldCharType="separate"/>
          </w:r>
          <w:r>
            <w:t>41</w:t>
          </w:r>
          <w:r>
            <w:fldChar w:fldCharType="end"/>
          </w:r>
          <w:r>
            <w:rPr>
              <w:rFonts w:hint="eastAsia" w:ascii="宋体" w:hAnsi="宋体" w:cs="宋体"/>
              <w:szCs w:val="28"/>
            </w:rPr>
            <w:fldChar w:fldCharType="end"/>
          </w:r>
        </w:p>
        <w:p w14:paraId="1977B4E1">
          <w:pPr>
            <w:pStyle w:val="10"/>
            <w:tabs>
              <w:tab w:val="right" w:leader="dot" w:pos="8788"/>
            </w:tabs>
          </w:pPr>
          <w:r>
            <w:rPr>
              <w:rFonts w:hint="eastAsia" w:ascii="宋体" w:hAnsi="宋体" w:cs="宋体"/>
              <w:szCs w:val="28"/>
            </w:rPr>
            <w:fldChar w:fldCharType="begin"/>
          </w:r>
          <w:r>
            <w:rPr>
              <w:rFonts w:hint="eastAsia" w:ascii="宋体" w:hAnsi="宋体" w:cs="宋体"/>
              <w:szCs w:val="28"/>
            </w:rPr>
            <w:instrText xml:space="preserve"> HYPERLINK \l _Toc12734 </w:instrText>
          </w:r>
          <w:r>
            <w:rPr>
              <w:rFonts w:hint="eastAsia" w:ascii="宋体" w:hAnsi="宋体" w:cs="宋体"/>
              <w:szCs w:val="28"/>
            </w:rPr>
            <w:fldChar w:fldCharType="separate"/>
          </w:r>
          <w:r>
            <w:rPr>
              <w:rFonts w:hint="eastAsia" w:ascii="Times New Roman" w:hAnsi="仿宋" w:eastAsia="宋体" w:cs="仿宋"/>
              <w:bCs/>
              <w:kern w:val="2"/>
              <w:szCs w:val="32"/>
              <w:lang w:val="en-US" w:eastAsia="zh-CN" w:bidi="zh-TW"/>
            </w:rPr>
            <w:t>（二）</w:t>
          </w:r>
          <w:r>
            <w:rPr>
              <w:rFonts w:hint="eastAsia" w:ascii="Times New Roman" w:hAnsi="仿宋" w:eastAsia="宋体" w:cs="仿宋"/>
              <w:szCs w:val="32"/>
              <w:lang w:bidi="zh-TW"/>
            </w:rPr>
            <w:t>强化政策支持，提高整个农产品产业的附加值</w:t>
          </w:r>
          <w:r>
            <w:tab/>
          </w:r>
          <w:r>
            <w:fldChar w:fldCharType="begin"/>
          </w:r>
          <w:r>
            <w:instrText xml:space="preserve"> PAGEREF _Toc12734 \h </w:instrText>
          </w:r>
          <w:r>
            <w:fldChar w:fldCharType="separate"/>
          </w:r>
          <w:r>
            <w:t>42</w:t>
          </w:r>
          <w:r>
            <w:fldChar w:fldCharType="end"/>
          </w:r>
          <w:r>
            <w:rPr>
              <w:rFonts w:hint="eastAsia" w:ascii="宋体" w:hAnsi="宋体" w:cs="宋体"/>
              <w:szCs w:val="28"/>
            </w:rPr>
            <w:fldChar w:fldCharType="end"/>
          </w:r>
        </w:p>
        <w:p w14:paraId="520BD8D1">
          <w:pPr>
            <w:pStyle w:val="10"/>
            <w:tabs>
              <w:tab w:val="right" w:leader="dot" w:pos="8788"/>
            </w:tabs>
          </w:pPr>
          <w:r>
            <w:rPr>
              <w:rFonts w:hint="eastAsia" w:ascii="宋体" w:hAnsi="宋体" w:cs="宋体"/>
              <w:szCs w:val="28"/>
            </w:rPr>
            <w:fldChar w:fldCharType="begin"/>
          </w:r>
          <w:r>
            <w:rPr>
              <w:rFonts w:hint="eastAsia" w:ascii="宋体" w:hAnsi="宋体" w:cs="宋体"/>
              <w:szCs w:val="28"/>
            </w:rPr>
            <w:instrText xml:space="preserve"> HYPERLINK \l _Toc18516 </w:instrText>
          </w:r>
          <w:r>
            <w:rPr>
              <w:rFonts w:hint="eastAsia" w:ascii="宋体" w:hAnsi="宋体" w:cs="宋体"/>
              <w:szCs w:val="28"/>
            </w:rPr>
            <w:fldChar w:fldCharType="separate"/>
          </w:r>
          <w:r>
            <w:rPr>
              <w:rFonts w:hint="eastAsia" w:ascii="Times New Roman" w:hAnsi="仿宋" w:eastAsia="宋体" w:cs="仿宋"/>
              <w:bCs/>
              <w:kern w:val="2"/>
              <w:szCs w:val="32"/>
              <w:lang w:val="en-US" w:eastAsia="zh-CN" w:bidi="zh-TW"/>
            </w:rPr>
            <w:t>（三）简化投保程序和手续</w:t>
          </w:r>
          <w:r>
            <w:tab/>
          </w:r>
          <w:r>
            <w:fldChar w:fldCharType="begin"/>
          </w:r>
          <w:r>
            <w:instrText xml:space="preserve"> PAGEREF _Toc18516 \h </w:instrText>
          </w:r>
          <w:r>
            <w:fldChar w:fldCharType="separate"/>
          </w:r>
          <w:r>
            <w:t>42</w:t>
          </w:r>
          <w:r>
            <w:fldChar w:fldCharType="end"/>
          </w:r>
          <w:r>
            <w:rPr>
              <w:rFonts w:hint="eastAsia" w:ascii="宋体" w:hAnsi="宋体" w:cs="宋体"/>
              <w:szCs w:val="28"/>
            </w:rPr>
            <w:fldChar w:fldCharType="end"/>
          </w:r>
        </w:p>
        <w:p w14:paraId="44019919">
          <w:pPr>
            <w:pStyle w:val="9"/>
            <w:tabs>
              <w:tab w:val="right" w:leader="dot" w:pos="8788"/>
              <w:tab w:val="clear" w:pos="8777"/>
            </w:tabs>
          </w:pPr>
          <w:r>
            <w:rPr>
              <w:rFonts w:hint="eastAsia" w:ascii="宋体" w:hAnsi="宋体" w:cs="宋体"/>
              <w:szCs w:val="28"/>
            </w:rPr>
            <w:fldChar w:fldCharType="begin"/>
          </w:r>
          <w:r>
            <w:rPr>
              <w:rFonts w:hint="eastAsia" w:ascii="宋体" w:hAnsi="宋体" w:cs="宋体"/>
              <w:szCs w:val="28"/>
            </w:rPr>
            <w:instrText xml:space="preserve"> HYPERLINK \l _Toc7933 </w:instrText>
          </w:r>
          <w:r>
            <w:rPr>
              <w:rFonts w:hint="eastAsia" w:ascii="宋体" w:hAnsi="宋体" w:cs="宋体"/>
              <w:szCs w:val="28"/>
            </w:rPr>
            <w:fldChar w:fldCharType="separate"/>
          </w:r>
          <w:r>
            <w:rPr>
              <w:rFonts w:hint="eastAsia" w:ascii="Times New Roman" w:hAnsi="仿宋" w:eastAsia="宋体" w:cs="仿宋"/>
              <w:spacing w:val="4"/>
              <w:szCs w:val="32"/>
            </w:rPr>
            <w:t>八、其他需要说明的问题</w:t>
          </w:r>
          <w:r>
            <w:tab/>
          </w:r>
          <w:r>
            <w:fldChar w:fldCharType="begin"/>
          </w:r>
          <w:r>
            <w:instrText xml:space="preserve"> PAGEREF _Toc7933 \h </w:instrText>
          </w:r>
          <w:r>
            <w:fldChar w:fldCharType="separate"/>
          </w:r>
          <w:r>
            <w:t>42</w:t>
          </w:r>
          <w:r>
            <w:fldChar w:fldCharType="end"/>
          </w:r>
          <w:r>
            <w:rPr>
              <w:rFonts w:hint="eastAsia" w:ascii="宋体" w:hAnsi="宋体" w:cs="宋体"/>
              <w:szCs w:val="28"/>
            </w:rPr>
            <w:fldChar w:fldCharType="end"/>
          </w:r>
        </w:p>
        <w:p w14:paraId="4F55530E">
          <w:pPr>
            <w:spacing w:line="312" w:lineRule="auto"/>
            <w:rPr>
              <w:rFonts w:hint="eastAsia" w:ascii="Times New Roman" w:hAnsi="宋体" w:eastAsia="宋体" w:cs="宋体"/>
              <w:b/>
              <w:sz w:val="28"/>
              <w:szCs w:val="32"/>
            </w:rPr>
          </w:pPr>
          <w:r>
            <w:rPr>
              <w:rFonts w:hint="eastAsia" w:ascii="宋体" w:hAnsi="宋体" w:cs="宋体"/>
              <w:szCs w:val="28"/>
            </w:rPr>
            <w:fldChar w:fldCharType="end"/>
          </w:r>
          <w:bookmarkStart w:id="13" w:name="_Toc8937"/>
        </w:p>
      </w:sdtContent>
    </w:sdt>
    <w:p w14:paraId="6C264A76">
      <w:pPr>
        <w:snapToGrid/>
        <w:spacing w:beforeAutospacing="0" w:afterAutospacing="0" w:line="240" w:lineRule="auto"/>
        <w:ind w:left="0" w:leftChars="0" w:firstLine="0"/>
        <w:jc w:val="both"/>
        <w:rPr>
          <w:rFonts w:hint="eastAsia" w:ascii="Times New Roman" w:hAnsi="宋体" w:eastAsia="宋体" w:cs="宋体"/>
          <w:b/>
          <w:sz w:val="28"/>
          <w:szCs w:val="32"/>
        </w:rPr>
      </w:pPr>
    </w:p>
    <w:p w14:paraId="2E793167">
      <w:pPr>
        <w:pStyle w:val="2"/>
        <w:rPr>
          <w:rFonts w:hint="eastAsia" w:ascii="Times New Roman" w:hAnsi="宋体" w:eastAsia="宋体" w:cs="宋体"/>
          <w:b/>
          <w:sz w:val="28"/>
          <w:szCs w:val="32"/>
        </w:rPr>
      </w:pPr>
    </w:p>
    <w:p w14:paraId="1BF5BE68">
      <w:pPr>
        <w:pStyle w:val="3"/>
        <w:rPr>
          <w:rFonts w:hint="eastAsia" w:ascii="Times New Roman" w:hAnsi="宋体" w:eastAsia="宋体" w:cs="宋体"/>
          <w:b/>
          <w:sz w:val="28"/>
          <w:szCs w:val="32"/>
        </w:rPr>
      </w:pPr>
    </w:p>
    <w:p w14:paraId="2B4B306B">
      <w:pPr>
        <w:pStyle w:val="3"/>
        <w:rPr>
          <w:rFonts w:hint="eastAsia" w:ascii="Times New Roman" w:hAnsi="宋体" w:eastAsia="宋体" w:cs="宋体"/>
          <w:b/>
          <w:sz w:val="28"/>
          <w:szCs w:val="32"/>
        </w:rPr>
      </w:pPr>
    </w:p>
    <w:p w14:paraId="1382D04C">
      <w:pPr>
        <w:snapToGrid/>
        <w:spacing w:beforeAutospacing="0" w:afterAutospacing="0" w:line="360" w:lineRule="auto"/>
        <w:ind w:left="0" w:leftChars="0" w:firstLine="0"/>
        <w:jc w:val="center"/>
        <w:rPr>
          <w:rFonts w:ascii="Times New Roman" w:hAnsi="宋体" w:eastAsia="宋体" w:cs="宋体"/>
          <w:kern w:val="0"/>
          <w:sz w:val="28"/>
          <w:szCs w:val="32"/>
        </w:rPr>
      </w:pPr>
      <w:r>
        <w:rPr>
          <w:rFonts w:hint="eastAsia" w:ascii="Times New Roman" w:hAnsi="宋体" w:eastAsia="宋体" w:cs="宋体"/>
          <w:b/>
          <w:sz w:val="28"/>
          <w:szCs w:val="32"/>
        </w:rPr>
        <w:t>2022年度石狮市农业农村局部门整体支出绩效评价报告</w:t>
      </w:r>
      <w:bookmarkEnd w:id="13"/>
    </w:p>
    <w:p w14:paraId="576A827A">
      <w:pPr>
        <w:snapToGrid/>
        <w:spacing w:beforeAutospacing="0" w:afterAutospacing="0" w:line="360" w:lineRule="auto"/>
        <w:ind w:left="0" w:leftChars="0" w:firstLine="560" w:firstLineChars="200"/>
        <w:rPr>
          <w:rFonts w:ascii="Times New Roman" w:hAnsi="仿宋" w:eastAsia="宋体" w:cs="宋体"/>
          <w:kern w:val="0"/>
          <w:sz w:val="28"/>
          <w:szCs w:val="32"/>
        </w:rPr>
      </w:pPr>
      <w:r>
        <w:rPr>
          <w:rFonts w:hint="eastAsia" w:ascii="Times New Roman" w:hAnsi="仿宋" w:eastAsia="宋体" w:cs="宋体"/>
          <w:kern w:val="0"/>
          <w:sz w:val="28"/>
          <w:szCs w:val="32"/>
        </w:rPr>
        <w:t>为全面实施预算绩效管理，提高财政资金使用效益，建立科学、合理的财政支出绩效评价管理体系，</w:t>
      </w:r>
      <w:r>
        <w:rPr>
          <w:rFonts w:hint="eastAsia" w:ascii="Times New Roman" w:hAnsi="仿宋" w:eastAsia="宋体" w:cs="宋体"/>
          <w:sz w:val="28"/>
          <w:szCs w:val="32"/>
        </w:rPr>
        <w:t>根据《石狮市财政局关于开展2023年财政预算绩效重点评价工作的通知》（狮财绩〔2023〕5号）及文件有关规定，泉州市启程财务咨询有限公司接受石狮市财政局委托，对石狮市农业农村局部门整体资金</w:t>
      </w:r>
      <w:r>
        <w:rPr>
          <w:rFonts w:hint="eastAsia" w:ascii="Times New Roman" w:hAnsi="仿宋" w:eastAsia="宋体" w:cs="宋体"/>
          <w:sz w:val="28"/>
          <w:szCs w:val="32"/>
          <w:lang w:val="en-US" w:eastAsia="zh-CN"/>
        </w:rPr>
        <w:t>40045.96万元</w:t>
      </w:r>
      <w:r>
        <w:rPr>
          <w:rFonts w:hint="eastAsia" w:ascii="Times New Roman" w:hAnsi="仿宋" w:eastAsia="宋体" w:cs="宋体"/>
          <w:sz w:val="28"/>
          <w:szCs w:val="32"/>
        </w:rPr>
        <w:t>开展绩效评价工作。</w:t>
      </w:r>
      <w:r>
        <w:rPr>
          <w:rFonts w:hint="eastAsia" w:ascii="Times New Roman" w:hAnsi="仿宋" w:eastAsia="宋体" w:cs="宋体"/>
          <w:kern w:val="0"/>
          <w:sz w:val="28"/>
          <w:szCs w:val="32"/>
        </w:rPr>
        <w:t>绩效评价工作小组在收集、整理、汇总、分析相关绩效评价资料的基础上，通过查账、实地调查等方式进行了解核实，对照评价指标和标准进行评议与打分，形成《2022年度石狮市农业农村局部门整体支出绩效评价报告》。</w:t>
      </w:r>
    </w:p>
    <w:p w14:paraId="708599E4">
      <w:pPr>
        <w:pStyle w:val="2"/>
        <w:snapToGrid/>
        <w:spacing w:before="312" w:beforeLines="100" w:beforeAutospacing="0" w:after="156" w:afterLines="50" w:afterAutospacing="0" w:line="360" w:lineRule="auto"/>
        <w:ind w:left="0" w:leftChars="0" w:right="0" w:rightChars="0" w:firstLine="0" w:firstLineChars="0"/>
        <w:jc w:val="left"/>
        <w:outlineLvl w:val="0"/>
        <w:rPr>
          <w:rFonts w:ascii="Times New Roman" w:hAnsi="仿宋" w:eastAsia="宋体" w:cs="宋体"/>
          <w:b/>
          <w:bCs/>
          <w:kern w:val="0"/>
          <w:sz w:val="32"/>
          <w:szCs w:val="32"/>
        </w:rPr>
      </w:pPr>
      <w:bookmarkStart w:id="14" w:name="_Toc9731"/>
      <w:bookmarkStart w:id="15" w:name="_Toc1203"/>
      <w:r>
        <w:rPr>
          <w:rFonts w:hint="eastAsia" w:ascii="Times New Roman" w:hAnsi="仿宋" w:eastAsia="宋体" w:cs="宋体"/>
          <w:b/>
          <w:bCs/>
          <w:kern w:val="0"/>
          <w:sz w:val="32"/>
          <w:szCs w:val="32"/>
        </w:rPr>
        <w:t>一、部门概况</w:t>
      </w:r>
      <w:bookmarkEnd w:id="14"/>
      <w:bookmarkEnd w:id="15"/>
    </w:p>
    <w:p w14:paraId="222DA716">
      <w:pPr>
        <w:pStyle w:val="2"/>
        <w:snapToGrid/>
        <w:spacing w:before="156" w:beforeLines="50" w:beforeAutospacing="0" w:afterAutospacing="0" w:line="360" w:lineRule="auto"/>
        <w:ind w:left="0" w:leftChars="0" w:right="0" w:rightChars="0" w:firstLine="0" w:firstLineChars="0"/>
        <w:jc w:val="left"/>
        <w:outlineLvl w:val="1"/>
        <w:rPr>
          <w:rFonts w:ascii="Times New Roman" w:hAnsi="仿宋" w:eastAsia="宋体" w:cs="宋体"/>
          <w:b/>
          <w:bCs/>
          <w:kern w:val="0"/>
          <w:sz w:val="30"/>
          <w:szCs w:val="32"/>
        </w:rPr>
      </w:pPr>
      <w:bookmarkStart w:id="16" w:name="_Toc25477"/>
      <w:bookmarkStart w:id="17" w:name="_Toc29402"/>
      <w:r>
        <w:rPr>
          <w:rFonts w:hint="eastAsia" w:ascii="Times New Roman" w:hAnsi="仿宋" w:eastAsia="宋体" w:cs="宋体"/>
          <w:b/>
          <w:bCs/>
          <w:kern w:val="0"/>
          <w:sz w:val="30"/>
          <w:szCs w:val="32"/>
        </w:rPr>
        <w:t>（一）机构职能及组成</w:t>
      </w:r>
      <w:bookmarkEnd w:id="16"/>
      <w:bookmarkEnd w:id="17"/>
    </w:p>
    <w:p w14:paraId="14B4E97A">
      <w:pPr>
        <w:snapToGrid/>
        <w:spacing w:beforeAutospacing="0" w:afterAutospacing="0" w:line="360" w:lineRule="auto"/>
        <w:ind w:left="0" w:leftChars="0" w:firstLine="560" w:firstLineChars="200"/>
        <w:rPr>
          <w:rFonts w:ascii="Times New Roman" w:hAnsi="仿宋" w:eastAsia="宋体" w:cs="宋体"/>
          <w:sz w:val="28"/>
          <w:szCs w:val="32"/>
        </w:rPr>
      </w:pPr>
      <w:r>
        <w:rPr>
          <w:rFonts w:hint="eastAsia" w:ascii="Times New Roman" w:hAnsi="仿宋" w:eastAsia="宋体" w:cs="宋体"/>
          <w:sz w:val="28"/>
          <w:szCs w:val="32"/>
        </w:rPr>
        <w:t>石狮市农业农村局是石狮市人民政府工作部门，为正科级单位，设综合股、</w:t>
      </w:r>
      <w:r>
        <w:rPr>
          <w:rFonts w:hint="eastAsia" w:ascii="Times New Roman" w:hAnsi="仿宋" w:eastAsia="宋体" w:cs="宋体"/>
          <w:kern w:val="0"/>
          <w:sz w:val="28"/>
          <w:szCs w:val="32"/>
        </w:rPr>
        <w:t>乡村振兴股</w:t>
      </w:r>
      <w:r>
        <w:rPr>
          <w:rFonts w:hint="eastAsia" w:ascii="Times New Roman" w:hAnsi="仿宋" w:eastAsia="宋体" w:cs="宋体"/>
          <w:sz w:val="28"/>
          <w:szCs w:val="32"/>
        </w:rPr>
        <w:t>、农业股和</w:t>
      </w:r>
      <w:r>
        <w:rPr>
          <w:rFonts w:hint="eastAsia" w:ascii="Times New Roman" w:hAnsi="仿宋" w:eastAsia="宋体" w:cs="宋体"/>
          <w:kern w:val="0"/>
          <w:sz w:val="28"/>
          <w:szCs w:val="32"/>
        </w:rPr>
        <w:t>政策法规股(行政审核审批股)</w:t>
      </w:r>
      <w:r>
        <w:rPr>
          <w:rFonts w:ascii="Times New Roman" w:hAnsi="仿宋" w:eastAsia="宋体" w:cs="宋体"/>
          <w:kern w:val="0"/>
          <w:sz w:val="28"/>
          <w:szCs w:val="32"/>
        </w:rPr>
        <w:t xml:space="preserve"> </w:t>
      </w:r>
      <w:r>
        <w:rPr>
          <w:rFonts w:hint="eastAsia" w:ascii="Times New Roman" w:hAnsi="仿宋" w:eastAsia="宋体" w:cs="宋体"/>
          <w:sz w:val="28"/>
          <w:szCs w:val="32"/>
        </w:rPr>
        <w:t>四个内设机构，下属事业单位有市种业发展中心、市农村经济服务中心、市农业综合服务中心、市动植物疫病预防控制中心、市农产品质量安全检测中心、市农业综合执法大队等。</w:t>
      </w:r>
    </w:p>
    <w:p w14:paraId="3C4B23A3">
      <w:pPr>
        <w:pStyle w:val="2"/>
        <w:snapToGrid/>
        <w:spacing w:beforeAutospacing="0" w:afterAutospacing="0" w:line="360" w:lineRule="auto"/>
        <w:ind w:left="0" w:leftChars="0" w:right="0" w:rightChars="0" w:firstLine="0" w:firstLineChars="0"/>
        <w:jc w:val="left"/>
        <w:outlineLvl w:val="2"/>
        <w:rPr>
          <w:rFonts w:ascii="Times New Roman" w:hAnsi="仿宋" w:eastAsia="宋体" w:cs="宋体"/>
          <w:b/>
          <w:kern w:val="0"/>
          <w:sz w:val="28"/>
          <w:szCs w:val="32"/>
        </w:rPr>
      </w:pPr>
      <w:bookmarkStart w:id="18" w:name="_Toc32527"/>
      <w:bookmarkStart w:id="19" w:name="_Toc16603"/>
      <w:bookmarkStart w:id="20" w:name="_Toc30042"/>
      <w:r>
        <w:rPr>
          <w:rFonts w:hint="eastAsia" w:ascii="Times New Roman" w:hAnsi="仿宋" w:eastAsia="宋体" w:cs="宋体"/>
          <w:b/>
          <w:kern w:val="0"/>
          <w:sz w:val="28"/>
          <w:szCs w:val="32"/>
        </w:rPr>
        <w:t>1.</w:t>
      </w:r>
      <w:r>
        <w:rPr>
          <w:rFonts w:hint="eastAsia" w:ascii="Times New Roman" w:hAnsi="仿宋" w:eastAsia="宋体" w:cs="宋体"/>
          <w:b/>
          <w:bCs/>
          <w:kern w:val="0"/>
          <w:sz w:val="28"/>
          <w:szCs w:val="32"/>
        </w:rPr>
        <w:t>内设机构</w:t>
      </w:r>
      <w:bookmarkEnd w:id="18"/>
      <w:bookmarkEnd w:id="19"/>
      <w:bookmarkEnd w:id="20"/>
    </w:p>
    <w:p w14:paraId="6F0893EE">
      <w:pPr>
        <w:pStyle w:val="2"/>
        <w:snapToGrid/>
        <w:spacing w:beforeAutospacing="0" w:afterAutospacing="0" w:line="360" w:lineRule="auto"/>
        <w:ind w:left="0" w:leftChars="0" w:firstLine="560" w:firstLineChars="200"/>
        <w:rPr>
          <w:rFonts w:ascii="Times New Roman" w:hAnsi="仿宋" w:eastAsia="宋体" w:cs="宋体"/>
          <w:b w:val="0"/>
          <w:bCs/>
          <w:kern w:val="0"/>
          <w:sz w:val="28"/>
          <w:szCs w:val="32"/>
        </w:rPr>
      </w:pPr>
      <w:r>
        <w:rPr>
          <w:rFonts w:hint="eastAsia" w:ascii="Times New Roman" w:hAnsi="仿宋" w:eastAsia="宋体" w:cs="宋体"/>
          <w:b w:val="0"/>
          <w:bCs/>
          <w:kern w:val="0"/>
          <w:sz w:val="28"/>
          <w:szCs w:val="32"/>
        </w:rPr>
        <w:t>（1）综合股</w:t>
      </w:r>
    </w:p>
    <w:p w14:paraId="437EDDA6">
      <w:pPr>
        <w:pStyle w:val="2"/>
        <w:snapToGrid/>
        <w:spacing w:beforeAutospacing="0" w:afterAutospacing="0" w:line="360" w:lineRule="auto"/>
        <w:ind w:left="0" w:leftChars="0" w:firstLine="560" w:firstLineChars="200"/>
        <w:rPr>
          <w:rFonts w:ascii="Times New Roman" w:hAnsi="仿宋" w:eastAsia="宋体" w:cs="宋体"/>
          <w:kern w:val="0"/>
          <w:sz w:val="28"/>
          <w:szCs w:val="32"/>
        </w:rPr>
      </w:pPr>
      <w:r>
        <w:rPr>
          <w:rFonts w:hint="eastAsia" w:ascii="Times New Roman" w:hAnsi="仿宋" w:eastAsia="宋体" w:cs="宋体"/>
          <w:kern w:val="0"/>
          <w:sz w:val="28"/>
          <w:szCs w:val="32"/>
        </w:rPr>
        <w:t>职责：综合协调机关和所属事业单位工作，督促重大事项的落实。承担机关文电、会务、机要、档案、保密、效能、政务公开、安全保卫和信访等工作。承担机关内部财务、应急管理、行政后勤等工作。</w:t>
      </w:r>
    </w:p>
    <w:p w14:paraId="0A9EE860">
      <w:pPr>
        <w:pStyle w:val="2"/>
        <w:snapToGrid/>
        <w:spacing w:beforeAutospacing="0" w:afterAutospacing="0" w:line="360" w:lineRule="auto"/>
        <w:ind w:left="0" w:leftChars="0" w:firstLine="560" w:firstLineChars="200"/>
        <w:rPr>
          <w:rFonts w:ascii="Times New Roman" w:hAnsi="仿宋" w:eastAsia="宋体" w:cs="宋体"/>
          <w:kern w:val="0"/>
          <w:sz w:val="28"/>
          <w:szCs w:val="32"/>
        </w:rPr>
      </w:pPr>
      <w:r>
        <w:rPr>
          <w:rFonts w:hint="eastAsia" w:ascii="Times New Roman" w:hAnsi="仿宋" w:eastAsia="宋体" w:cs="宋体"/>
          <w:kern w:val="0"/>
          <w:sz w:val="28"/>
          <w:szCs w:val="32"/>
        </w:rPr>
        <w:t>（2）农业股</w:t>
      </w:r>
    </w:p>
    <w:p w14:paraId="4905E9AB">
      <w:pPr>
        <w:pStyle w:val="2"/>
        <w:snapToGrid/>
        <w:spacing w:beforeAutospacing="0" w:afterAutospacing="0" w:line="360" w:lineRule="auto"/>
        <w:ind w:left="0" w:leftChars="0" w:firstLine="560" w:firstLineChars="200"/>
        <w:rPr>
          <w:rFonts w:ascii="Times New Roman" w:hAnsi="仿宋" w:eastAsia="宋体" w:cs="宋体"/>
          <w:kern w:val="0"/>
          <w:sz w:val="28"/>
          <w:szCs w:val="32"/>
        </w:rPr>
      </w:pPr>
      <w:r>
        <w:rPr>
          <w:rFonts w:hint="eastAsia" w:ascii="Times New Roman" w:hAnsi="仿宋" w:eastAsia="宋体" w:cs="宋体"/>
          <w:kern w:val="0"/>
          <w:sz w:val="28"/>
          <w:szCs w:val="32"/>
        </w:rPr>
        <w:t>职责：负责起草农业农村经济发展战略规划。承担推动农业绿色发展有关工作。组织农业资源区划工作，指导农业区域协调发展。</w:t>
      </w:r>
    </w:p>
    <w:p w14:paraId="6C98B9B5">
      <w:pPr>
        <w:pStyle w:val="2"/>
        <w:snapToGrid/>
        <w:spacing w:beforeAutospacing="0" w:afterAutospacing="0" w:line="360" w:lineRule="auto"/>
        <w:ind w:left="0" w:leftChars="0" w:firstLine="560" w:firstLineChars="200"/>
        <w:rPr>
          <w:rFonts w:ascii="Times New Roman" w:hAnsi="仿宋" w:eastAsia="宋体" w:cs="宋体"/>
          <w:kern w:val="0"/>
          <w:sz w:val="28"/>
          <w:szCs w:val="32"/>
        </w:rPr>
      </w:pPr>
      <w:r>
        <w:rPr>
          <w:rFonts w:hint="eastAsia" w:ascii="Times New Roman" w:hAnsi="仿宋" w:eastAsia="宋体" w:cs="宋体"/>
          <w:kern w:val="0"/>
          <w:sz w:val="28"/>
          <w:szCs w:val="32"/>
        </w:rPr>
        <w:t>（3）乡村振兴股</w:t>
      </w:r>
    </w:p>
    <w:p w14:paraId="30C20DD1">
      <w:pPr>
        <w:pStyle w:val="2"/>
        <w:snapToGrid/>
        <w:spacing w:beforeAutospacing="0" w:afterAutospacing="0" w:line="360" w:lineRule="auto"/>
        <w:ind w:left="0" w:leftChars="0" w:firstLine="560" w:firstLineChars="200"/>
        <w:rPr>
          <w:rFonts w:ascii="Times New Roman" w:hAnsi="仿宋" w:eastAsia="宋体" w:cs="宋体"/>
          <w:kern w:val="0"/>
          <w:sz w:val="28"/>
          <w:szCs w:val="32"/>
        </w:rPr>
      </w:pPr>
      <w:r>
        <w:rPr>
          <w:rFonts w:hint="eastAsia" w:ascii="Times New Roman" w:hAnsi="仿宋" w:eastAsia="宋体" w:cs="宋体"/>
          <w:kern w:val="0"/>
          <w:sz w:val="28"/>
          <w:szCs w:val="32"/>
        </w:rPr>
        <w:t>职责：提出实施乡村振兴战略的政策建议。牵头组织改善农村人居环境，统筹指导村庄整治、村容村貌提升。协调推动农村社会事业发展、公共服务体系建设和基础设施建设。指导农村“六大员”工作。配合有关部门开展乡村干部培训工作。指导农村精神文明和优秀农耕文化建设。</w:t>
      </w:r>
    </w:p>
    <w:p w14:paraId="0F58F4B3">
      <w:pPr>
        <w:pStyle w:val="2"/>
        <w:snapToGrid/>
        <w:spacing w:beforeAutospacing="0" w:afterAutospacing="0" w:line="360" w:lineRule="auto"/>
        <w:ind w:left="0" w:leftChars="0" w:firstLine="560" w:firstLineChars="200"/>
        <w:rPr>
          <w:rFonts w:ascii="Times New Roman" w:hAnsi="仿宋" w:eastAsia="宋体" w:cs="宋体"/>
          <w:kern w:val="0"/>
          <w:sz w:val="28"/>
          <w:szCs w:val="32"/>
        </w:rPr>
      </w:pPr>
      <w:r>
        <w:rPr>
          <w:rFonts w:hint="eastAsia" w:ascii="Times New Roman" w:hAnsi="仿宋" w:eastAsia="宋体" w:cs="宋体"/>
          <w:kern w:val="0"/>
          <w:sz w:val="28"/>
          <w:szCs w:val="32"/>
        </w:rPr>
        <w:t>（4）政策法规股(行政审核审批股)</w:t>
      </w:r>
      <w:r>
        <w:rPr>
          <w:rFonts w:ascii="Times New Roman" w:hAnsi="仿宋" w:eastAsia="宋体" w:cs="宋体"/>
          <w:kern w:val="0"/>
          <w:sz w:val="28"/>
          <w:szCs w:val="32"/>
        </w:rPr>
        <w:t xml:space="preserve"> </w:t>
      </w:r>
    </w:p>
    <w:p w14:paraId="25C25292">
      <w:pPr>
        <w:pStyle w:val="2"/>
        <w:snapToGrid/>
        <w:spacing w:beforeAutospacing="0" w:afterAutospacing="0" w:line="360" w:lineRule="auto"/>
        <w:ind w:left="0" w:leftChars="0" w:firstLine="560" w:firstLineChars="200"/>
        <w:rPr>
          <w:rFonts w:ascii="Times New Roman" w:hAnsi="仿宋" w:eastAsia="宋体" w:cs="宋体"/>
          <w:kern w:val="0"/>
          <w:sz w:val="28"/>
          <w:szCs w:val="32"/>
        </w:rPr>
      </w:pPr>
      <w:r>
        <w:rPr>
          <w:rFonts w:hint="eastAsia" w:ascii="Times New Roman" w:hAnsi="仿宋" w:eastAsia="宋体" w:cs="宋体"/>
          <w:kern w:val="0"/>
          <w:sz w:val="28"/>
          <w:szCs w:val="32"/>
        </w:rPr>
        <w:t>职责：研究提出农业农村改革发展及巩固</w:t>
      </w:r>
      <w:r>
        <w:rPr>
          <w:rFonts w:hint="eastAsia" w:ascii="Times New Roman" w:hAnsi="仿宋" w:cs="宋体"/>
          <w:kern w:val="0"/>
          <w:sz w:val="28"/>
          <w:szCs w:val="32"/>
          <w:lang w:eastAsia="zh-CN"/>
        </w:rPr>
        <w:t>和</w:t>
      </w:r>
      <w:r>
        <w:rPr>
          <w:rFonts w:hint="eastAsia" w:ascii="Times New Roman" w:hAnsi="仿宋" w:eastAsia="宋体" w:cs="宋体"/>
          <w:kern w:val="0"/>
          <w:sz w:val="28"/>
          <w:szCs w:val="32"/>
        </w:rPr>
        <w:t>完善农村基本经营制度等相关政策建议。指导发展农村新型农业经营主体和多种形式适度规模经营。起草农村宅基地管理和使用有关政策。承担农民承包地改革和管理、农村宅基地和农村集体产权制度等改革工作。负责牵头推进渔业经营体制改革与建设。负责政策法规咨询和宣传教育工作。</w:t>
      </w:r>
    </w:p>
    <w:p w14:paraId="71010D43">
      <w:pPr>
        <w:pStyle w:val="2"/>
        <w:snapToGrid/>
        <w:spacing w:beforeAutospacing="0" w:afterAutospacing="0" w:line="360" w:lineRule="auto"/>
        <w:ind w:left="0" w:leftChars="0" w:right="0" w:rightChars="0" w:firstLine="0" w:firstLineChars="0"/>
        <w:jc w:val="left"/>
        <w:outlineLvl w:val="2"/>
        <w:rPr>
          <w:rFonts w:ascii="Times New Roman" w:hAnsi="仿宋" w:eastAsia="宋体" w:cs="宋体"/>
          <w:b/>
          <w:kern w:val="0"/>
          <w:sz w:val="28"/>
          <w:szCs w:val="32"/>
        </w:rPr>
      </w:pPr>
      <w:bookmarkStart w:id="21" w:name="_Toc1156"/>
      <w:bookmarkStart w:id="22" w:name="_Toc3398"/>
      <w:bookmarkStart w:id="23" w:name="_Toc18475"/>
      <w:r>
        <w:rPr>
          <w:rFonts w:hint="eastAsia" w:ascii="Times New Roman" w:hAnsi="仿宋" w:eastAsia="宋体" w:cs="宋体"/>
          <w:b/>
          <w:kern w:val="0"/>
          <w:sz w:val="28"/>
          <w:szCs w:val="32"/>
        </w:rPr>
        <w:t>2.下属单位</w:t>
      </w:r>
      <w:bookmarkEnd w:id="21"/>
      <w:bookmarkEnd w:id="22"/>
      <w:bookmarkEnd w:id="23"/>
    </w:p>
    <w:p w14:paraId="5125FDEF">
      <w:pPr>
        <w:pStyle w:val="2"/>
        <w:snapToGrid/>
        <w:spacing w:beforeAutospacing="0" w:afterAutospacing="0" w:line="360" w:lineRule="auto"/>
        <w:ind w:left="0" w:leftChars="0" w:firstLine="560" w:firstLineChars="200"/>
        <w:rPr>
          <w:rFonts w:ascii="Times New Roman" w:hAnsi="仿宋" w:eastAsia="宋体" w:cs="宋体"/>
          <w:kern w:val="0"/>
          <w:sz w:val="28"/>
          <w:szCs w:val="32"/>
        </w:rPr>
      </w:pPr>
      <w:r>
        <w:rPr>
          <w:rFonts w:hint="eastAsia" w:ascii="Times New Roman" w:hAnsi="仿宋" w:eastAsia="宋体" w:cs="宋体"/>
          <w:kern w:val="0"/>
          <w:sz w:val="28"/>
          <w:szCs w:val="32"/>
        </w:rPr>
        <w:t>（1）石狮市种业发展中心</w:t>
      </w:r>
    </w:p>
    <w:p w14:paraId="3CE4E21A">
      <w:pPr>
        <w:pStyle w:val="2"/>
        <w:snapToGrid/>
        <w:spacing w:beforeAutospacing="0" w:afterAutospacing="0" w:line="360" w:lineRule="auto"/>
        <w:ind w:left="0" w:leftChars="0" w:firstLine="560" w:firstLineChars="200"/>
        <w:rPr>
          <w:rFonts w:ascii="Times New Roman" w:hAnsi="仿宋" w:eastAsia="宋体" w:cs="宋体"/>
          <w:kern w:val="0"/>
          <w:sz w:val="28"/>
          <w:szCs w:val="32"/>
        </w:rPr>
      </w:pPr>
      <w:r>
        <w:rPr>
          <w:rFonts w:hint="eastAsia" w:ascii="Times New Roman" w:hAnsi="仿宋" w:eastAsia="宋体" w:cs="宋体"/>
          <w:kern w:val="0"/>
          <w:sz w:val="28"/>
          <w:szCs w:val="32"/>
        </w:rPr>
        <w:t>职责：主要负责承担种子站、水禽遗传资源保护研究中心牌子，主要负责种子、水禽遗传资源保护研究等行政辅助性、技术性、事务性工作。</w:t>
      </w:r>
    </w:p>
    <w:p w14:paraId="73E799CB">
      <w:pPr>
        <w:pStyle w:val="2"/>
        <w:snapToGrid/>
        <w:spacing w:beforeAutospacing="0" w:afterAutospacing="0" w:line="360" w:lineRule="auto"/>
        <w:ind w:left="0" w:leftChars="0" w:firstLine="560" w:firstLineChars="200"/>
        <w:rPr>
          <w:rFonts w:ascii="Times New Roman" w:hAnsi="仿宋" w:eastAsia="宋体" w:cs="宋体"/>
          <w:kern w:val="0"/>
          <w:sz w:val="28"/>
          <w:szCs w:val="32"/>
        </w:rPr>
      </w:pPr>
      <w:r>
        <w:rPr>
          <w:rFonts w:hint="eastAsia" w:ascii="Times New Roman" w:hAnsi="仿宋" w:eastAsia="宋体" w:cs="宋体"/>
          <w:kern w:val="0"/>
          <w:sz w:val="28"/>
          <w:szCs w:val="32"/>
        </w:rPr>
        <w:t>（2）石狮市农村经济服务中心</w:t>
      </w:r>
    </w:p>
    <w:p w14:paraId="696337F5">
      <w:pPr>
        <w:pStyle w:val="2"/>
        <w:snapToGrid/>
        <w:spacing w:beforeAutospacing="0" w:afterAutospacing="0" w:line="360" w:lineRule="auto"/>
        <w:ind w:left="0" w:leftChars="0" w:firstLine="560" w:firstLineChars="200"/>
        <w:rPr>
          <w:rFonts w:ascii="Times New Roman" w:hAnsi="仿宋" w:eastAsia="宋体" w:cs="宋体"/>
          <w:kern w:val="0"/>
          <w:sz w:val="28"/>
          <w:szCs w:val="32"/>
        </w:rPr>
      </w:pPr>
      <w:r>
        <w:rPr>
          <w:rFonts w:hint="eastAsia" w:ascii="Times New Roman" w:hAnsi="仿宋" w:eastAsia="宋体" w:cs="宋体"/>
          <w:kern w:val="0"/>
          <w:sz w:val="28"/>
          <w:szCs w:val="32"/>
        </w:rPr>
        <w:t>职责：主要负责承担农村经济管理、三资监管、产权改革、集体土地确权等行政辅助性、事务性工作。</w:t>
      </w:r>
    </w:p>
    <w:p w14:paraId="1F4EFE91">
      <w:pPr>
        <w:pStyle w:val="2"/>
        <w:snapToGrid/>
        <w:spacing w:beforeAutospacing="0" w:afterAutospacing="0" w:line="360" w:lineRule="auto"/>
        <w:ind w:left="0" w:leftChars="0" w:firstLine="560" w:firstLineChars="200"/>
        <w:rPr>
          <w:rFonts w:ascii="Times New Roman" w:hAnsi="仿宋" w:eastAsia="宋体" w:cs="宋体"/>
          <w:kern w:val="0"/>
          <w:sz w:val="28"/>
          <w:szCs w:val="32"/>
        </w:rPr>
      </w:pPr>
      <w:r>
        <w:rPr>
          <w:rFonts w:hint="eastAsia" w:ascii="Times New Roman" w:hAnsi="仿宋" w:eastAsia="宋体" w:cs="宋体"/>
          <w:kern w:val="0"/>
          <w:sz w:val="28"/>
          <w:szCs w:val="32"/>
        </w:rPr>
        <w:t>（3）石狮市农业综合服务中心</w:t>
      </w:r>
    </w:p>
    <w:p w14:paraId="5CB2B2D1">
      <w:pPr>
        <w:pStyle w:val="2"/>
        <w:snapToGrid/>
        <w:spacing w:beforeAutospacing="0" w:afterAutospacing="0" w:line="360" w:lineRule="auto"/>
        <w:ind w:left="0" w:leftChars="0" w:firstLine="560" w:firstLineChars="200"/>
        <w:rPr>
          <w:rFonts w:ascii="Times New Roman" w:hAnsi="仿宋" w:eastAsia="宋体" w:cs="宋体"/>
          <w:kern w:val="0"/>
          <w:sz w:val="28"/>
          <w:szCs w:val="32"/>
        </w:rPr>
      </w:pPr>
      <w:r>
        <w:rPr>
          <w:rFonts w:hint="eastAsia" w:ascii="Times New Roman" w:hAnsi="仿宋" w:eastAsia="宋体" w:cs="宋体"/>
          <w:kern w:val="0"/>
          <w:sz w:val="28"/>
          <w:szCs w:val="32"/>
        </w:rPr>
        <w:t>职责：主要负责承担农业技术推广服务，水产技术推广服务以及农业机械服务等行政辅助性、事务性工作。</w:t>
      </w:r>
    </w:p>
    <w:p w14:paraId="1D31161A">
      <w:pPr>
        <w:pStyle w:val="2"/>
        <w:snapToGrid/>
        <w:spacing w:beforeAutospacing="0" w:afterAutospacing="0" w:line="360" w:lineRule="auto"/>
        <w:ind w:left="0" w:leftChars="0" w:firstLine="560" w:firstLineChars="200"/>
        <w:rPr>
          <w:rFonts w:ascii="Times New Roman" w:hAnsi="仿宋" w:eastAsia="宋体" w:cs="宋体"/>
          <w:kern w:val="0"/>
          <w:sz w:val="28"/>
          <w:szCs w:val="32"/>
        </w:rPr>
      </w:pPr>
      <w:r>
        <w:rPr>
          <w:rFonts w:hint="eastAsia" w:ascii="Times New Roman" w:hAnsi="仿宋" w:eastAsia="宋体" w:cs="宋体"/>
          <w:kern w:val="0"/>
          <w:sz w:val="28"/>
          <w:szCs w:val="32"/>
        </w:rPr>
        <w:t>（4）石狮市动植物疫病预防控制中心</w:t>
      </w:r>
    </w:p>
    <w:p w14:paraId="18E168E8">
      <w:pPr>
        <w:pStyle w:val="2"/>
        <w:snapToGrid/>
        <w:spacing w:beforeAutospacing="0" w:afterAutospacing="0" w:line="360" w:lineRule="auto"/>
        <w:ind w:left="0" w:leftChars="0" w:firstLine="560" w:firstLineChars="200"/>
        <w:rPr>
          <w:rFonts w:ascii="Times New Roman" w:hAnsi="仿宋" w:eastAsia="宋体" w:cs="宋体"/>
          <w:kern w:val="0"/>
          <w:sz w:val="28"/>
          <w:szCs w:val="32"/>
        </w:rPr>
      </w:pPr>
      <w:r>
        <w:rPr>
          <w:rFonts w:hint="eastAsia" w:ascii="Times New Roman" w:hAnsi="仿宋" w:eastAsia="宋体" w:cs="宋体"/>
          <w:kern w:val="0"/>
          <w:sz w:val="28"/>
          <w:szCs w:val="32"/>
        </w:rPr>
        <w:t>职责：主要负责承担动物疫病预防控制、动植物产品检疫等行政辅助性、技术性、事务性工作。</w:t>
      </w:r>
    </w:p>
    <w:p w14:paraId="55060CC2">
      <w:pPr>
        <w:pStyle w:val="2"/>
        <w:snapToGrid/>
        <w:spacing w:beforeAutospacing="0" w:afterAutospacing="0" w:line="360" w:lineRule="auto"/>
        <w:ind w:left="0" w:leftChars="0" w:firstLine="560" w:firstLineChars="200"/>
        <w:rPr>
          <w:rFonts w:ascii="Times New Roman" w:hAnsi="仿宋" w:eastAsia="宋体" w:cs="宋体"/>
          <w:kern w:val="0"/>
          <w:sz w:val="28"/>
          <w:szCs w:val="32"/>
        </w:rPr>
      </w:pPr>
      <w:r>
        <w:rPr>
          <w:rFonts w:hint="eastAsia" w:ascii="Times New Roman" w:hAnsi="仿宋" w:eastAsia="宋体" w:cs="宋体"/>
          <w:kern w:val="0"/>
          <w:sz w:val="28"/>
          <w:szCs w:val="32"/>
        </w:rPr>
        <w:t>（5）石狮市农产品质量安全检测中心</w:t>
      </w:r>
    </w:p>
    <w:p w14:paraId="6D3CEBFF">
      <w:pPr>
        <w:pStyle w:val="2"/>
        <w:snapToGrid/>
        <w:spacing w:beforeAutospacing="0" w:afterAutospacing="0" w:line="360" w:lineRule="auto"/>
        <w:ind w:left="0" w:leftChars="0" w:firstLine="560" w:firstLineChars="200"/>
        <w:rPr>
          <w:rFonts w:ascii="Times New Roman" w:hAnsi="仿宋" w:eastAsia="宋体" w:cs="宋体"/>
          <w:kern w:val="0"/>
          <w:sz w:val="28"/>
          <w:szCs w:val="32"/>
        </w:rPr>
      </w:pPr>
      <w:r>
        <w:rPr>
          <w:rFonts w:hint="eastAsia" w:ascii="Times New Roman" w:hAnsi="仿宋" w:eastAsia="宋体" w:cs="宋体"/>
          <w:kern w:val="0"/>
          <w:sz w:val="28"/>
          <w:szCs w:val="32"/>
        </w:rPr>
        <w:t>职责：主要负责承担农产品水产品检测、动物产品（畜产品）动物疫病检测行政辅助性、技术性、事务性工作。</w:t>
      </w:r>
    </w:p>
    <w:p w14:paraId="323CCE44">
      <w:pPr>
        <w:pStyle w:val="2"/>
        <w:snapToGrid/>
        <w:spacing w:beforeAutospacing="0" w:afterAutospacing="0" w:line="360" w:lineRule="auto"/>
        <w:ind w:left="0" w:leftChars="0" w:firstLine="560" w:firstLineChars="200"/>
        <w:rPr>
          <w:rFonts w:ascii="Times New Roman" w:hAnsi="仿宋" w:eastAsia="宋体" w:cs="宋体"/>
          <w:kern w:val="0"/>
          <w:sz w:val="28"/>
          <w:szCs w:val="32"/>
        </w:rPr>
      </w:pPr>
      <w:r>
        <w:rPr>
          <w:rFonts w:hint="eastAsia" w:ascii="Times New Roman" w:hAnsi="仿宋" w:eastAsia="宋体" w:cs="宋体"/>
          <w:kern w:val="0"/>
          <w:sz w:val="28"/>
          <w:szCs w:val="32"/>
        </w:rPr>
        <w:t>（6）石狮市农业综合执法大队</w:t>
      </w:r>
    </w:p>
    <w:p w14:paraId="101EC09A">
      <w:pPr>
        <w:pStyle w:val="2"/>
        <w:snapToGrid/>
        <w:spacing w:beforeAutospacing="0" w:afterAutospacing="0" w:line="360" w:lineRule="auto"/>
        <w:ind w:left="0" w:leftChars="0" w:firstLine="560" w:firstLineChars="200"/>
        <w:rPr>
          <w:rFonts w:ascii="Times New Roman" w:hAnsi="仿宋" w:eastAsia="宋体" w:cs="宋体"/>
          <w:kern w:val="0"/>
          <w:sz w:val="28"/>
          <w:szCs w:val="32"/>
        </w:rPr>
      </w:pPr>
      <w:r>
        <w:rPr>
          <w:rFonts w:hint="eastAsia" w:ascii="Times New Roman" w:hAnsi="仿宋" w:eastAsia="宋体" w:cs="宋体"/>
          <w:kern w:val="0"/>
          <w:sz w:val="28"/>
          <w:szCs w:val="32"/>
        </w:rPr>
        <w:t>职责：依法行使兽医兽药、饲料及其添加剂、生猪屠宰、种子、化肥、农药、农机、农产品质量、动物防疫检疫、植物检验检疫、渔政管理、渔港监督和农村（社区）集体“三资”等方面的行政处罚权以及与行政处罚权相关的行政检查、行政强制权等执法职能；以市农业农村局的名义执法。</w:t>
      </w:r>
      <w:bookmarkStart w:id="24" w:name="_Hlk490408397"/>
    </w:p>
    <w:p w14:paraId="60BC0237">
      <w:pPr>
        <w:pStyle w:val="2"/>
        <w:snapToGrid/>
        <w:spacing w:before="156" w:beforeLines="50" w:beforeAutospacing="0" w:afterAutospacing="0" w:line="360" w:lineRule="auto"/>
        <w:ind w:left="0" w:leftChars="0" w:right="0" w:rightChars="0" w:firstLine="0" w:firstLineChars="0"/>
        <w:jc w:val="left"/>
        <w:outlineLvl w:val="1"/>
        <w:rPr>
          <w:rFonts w:ascii="Times New Roman" w:hAnsi="仿宋" w:eastAsia="宋体" w:cs="宋体"/>
          <w:b/>
          <w:bCs/>
          <w:kern w:val="0"/>
          <w:sz w:val="30"/>
          <w:szCs w:val="32"/>
        </w:rPr>
      </w:pPr>
      <w:bookmarkStart w:id="25" w:name="_Toc15676"/>
      <w:r>
        <w:rPr>
          <w:rFonts w:hint="eastAsia" w:ascii="Times New Roman" w:hAnsi="仿宋" w:eastAsia="宋体" w:cs="宋体"/>
          <w:b/>
          <w:bCs/>
          <w:kern w:val="0"/>
          <w:sz w:val="30"/>
          <w:szCs w:val="32"/>
        </w:rPr>
        <w:t>（二）人员结构</w:t>
      </w:r>
      <w:bookmarkEnd w:id="25"/>
    </w:p>
    <w:p w14:paraId="408A11C0">
      <w:pPr>
        <w:snapToGrid/>
        <w:spacing w:beforeAutospacing="0" w:afterAutospacing="0" w:line="360" w:lineRule="auto"/>
        <w:ind w:left="0" w:leftChars="0" w:firstLine="560" w:firstLineChars="200"/>
        <w:rPr>
          <w:rFonts w:hint="eastAsia" w:ascii="Times New Roman" w:hAnsi="仿宋" w:cs="宋体"/>
          <w:kern w:val="0"/>
          <w:sz w:val="28"/>
          <w:szCs w:val="32"/>
          <w:lang w:val="en-US" w:eastAsia="zh-CN"/>
        </w:rPr>
      </w:pPr>
      <w:r>
        <w:rPr>
          <w:rFonts w:hint="eastAsia" w:ascii="Times New Roman" w:hAnsi="仿宋" w:eastAsia="宋体" w:cs="宋体"/>
          <w:kern w:val="0"/>
          <w:sz w:val="28"/>
          <w:szCs w:val="32"/>
        </w:rPr>
        <w:t>石狮市农业农村局及财务合并下属事业单位本部门系行政机关单位，经费性质系财政全额拨款单位 （含财务合并的农安检测中心及农村经济服务中心），人员总编制数</w:t>
      </w:r>
      <w:r>
        <w:rPr>
          <w:rFonts w:hint="eastAsia" w:ascii="Times New Roman" w:hAnsi="仿宋" w:eastAsia="宋体" w:cs="宋体"/>
          <w:kern w:val="0"/>
          <w:sz w:val="28"/>
          <w:szCs w:val="32"/>
          <w:lang w:val="en-US" w:eastAsia="zh-CN"/>
        </w:rPr>
        <w:t>75</w:t>
      </w:r>
      <w:r>
        <w:rPr>
          <w:rFonts w:hint="eastAsia" w:ascii="Times New Roman" w:hAnsi="仿宋" w:eastAsia="宋体" w:cs="宋体"/>
          <w:kern w:val="0"/>
          <w:sz w:val="28"/>
          <w:szCs w:val="32"/>
        </w:rPr>
        <w:t>人，在职人数</w:t>
      </w:r>
      <w:r>
        <w:rPr>
          <w:rFonts w:hint="eastAsia" w:ascii="Times New Roman" w:hAnsi="仿宋" w:eastAsia="宋体" w:cs="宋体"/>
          <w:kern w:val="0"/>
          <w:sz w:val="28"/>
          <w:szCs w:val="32"/>
          <w:lang w:val="en-US" w:eastAsia="zh-CN"/>
        </w:rPr>
        <w:t>76</w:t>
      </w:r>
      <w:r>
        <w:rPr>
          <w:rFonts w:hint="eastAsia" w:ascii="Times New Roman" w:hAnsi="仿宋" w:eastAsia="宋体" w:cs="宋体"/>
          <w:kern w:val="0"/>
          <w:sz w:val="28"/>
          <w:szCs w:val="32"/>
        </w:rPr>
        <w:t>人</w:t>
      </w:r>
      <w:r>
        <w:rPr>
          <w:rFonts w:hint="eastAsia" w:ascii="Times New Roman" w:hAnsi="仿宋" w:eastAsia="宋体" w:cs="宋体"/>
          <w:kern w:val="0"/>
          <w:sz w:val="28"/>
          <w:szCs w:val="32"/>
          <w:lang w:eastAsia="zh-CN"/>
        </w:rPr>
        <w:t>。</w:t>
      </w:r>
      <w:r>
        <w:rPr>
          <w:rFonts w:hint="eastAsia" w:ascii="Times New Roman" w:hAnsi="仿宋" w:eastAsia="宋体" w:cs="宋体"/>
          <w:kern w:val="0"/>
          <w:sz w:val="28"/>
          <w:szCs w:val="32"/>
        </w:rPr>
        <w:t>其中，</w:t>
      </w:r>
      <w:r>
        <w:rPr>
          <w:rFonts w:hint="eastAsia" w:ascii="Times New Roman" w:hAnsi="仿宋" w:eastAsia="宋体" w:cs="宋体"/>
          <w:kern w:val="0"/>
          <w:sz w:val="28"/>
          <w:szCs w:val="32"/>
          <w:lang w:val="en-US" w:eastAsia="zh-CN"/>
        </w:rPr>
        <w:t>局机关</w:t>
      </w:r>
      <w:r>
        <w:rPr>
          <w:rFonts w:hint="eastAsia" w:ascii="Times New Roman" w:hAnsi="仿宋" w:eastAsia="宋体" w:cs="宋体"/>
          <w:kern w:val="0"/>
          <w:sz w:val="28"/>
          <w:szCs w:val="32"/>
        </w:rPr>
        <w:t>在职23人</w:t>
      </w:r>
      <w:r>
        <w:rPr>
          <w:rFonts w:hint="eastAsia" w:ascii="Times New Roman" w:hAnsi="仿宋" w:eastAsia="宋体" w:cs="宋体"/>
          <w:kern w:val="0"/>
          <w:sz w:val="28"/>
          <w:szCs w:val="32"/>
          <w:lang w:eastAsia="zh-CN"/>
        </w:rPr>
        <w:t>（</w:t>
      </w:r>
      <w:r>
        <w:rPr>
          <w:rFonts w:hint="eastAsia" w:ascii="Times New Roman" w:hAnsi="仿宋" w:eastAsia="宋体" w:cs="宋体"/>
          <w:kern w:val="0"/>
          <w:sz w:val="28"/>
          <w:szCs w:val="32"/>
        </w:rPr>
        <w:t>行政编制8名</w:t>
      </w:r>
      <w:r>
        <w:rPr>
          <w:rFonts w:hint="eastAsia" w:ascii="Times New Roman" w:hAnsi="仿宋" w:eastAsia="宋体" w:cs="宋体"/>
          <w:kern w:val="0"/>
          <w:sz w:val="28"/>
          <w:szCs w:val="32"/>
          <w:lang w:eastAsia="zh-CN"/>
        </w:rPr>
        <w:t>，</w:t>
      </w:r>
      <w:r>
        <w:rPr>
          <w:rFonts w:hint="eastAsia" w:ascii="Times New Roman" w:hAnsi="仿宋" w:eastAsia="宋体" w:cs="宋体"/>
          <w:kern w:val="0"/>
          <w:sz w:val="28"/>
          <w:szCs w:val="32"/>
        </w:rPr>
        <w:t>非参公事业人员编制15名</w:t>
      </w:r>
      <w:r>
        <w:rPr>
          <w:rFonts w:hint="eastAsia" w:ascii="Times New Roman" w:hAnsi="仿宋" w:eastAsia="宋体" w:cs="宋体"/>
          <w:kern w:val="0"/>
          <w:sz w:val="28"/>
          <w:szCs w:val="32"/>
          <w:lang w:eastAsia="zh-CN"/>
        </w:rPr>
        <w:t>），</w:t>
      </w:r>
      <w:r>
        <w:rPr>
          <w:rFonts w:hint="eastAsia" w:ascii="Times New Roman" w:hAnsi="仿宋" w:eastAsia="宋体" w:cs="宋体"/>
          <w:kern w:val="0"/>
          <w:sz w:val="28"/>
          <w:szCs w:val="32"/>
          <w:lang w:val="en-US" w:eastAsia="zh-CN"/>
        </w:rPr>
        <w:t>行政</w:t>
      </w:r>
      <w:r>
        <w:rPr>
          <w:rFonts w:hint="eastAsia" w:ascii="Times New Roman" w:hAnsi="仿宋" w:eastAsia="宋体" w:cs="宋体"/>
          <w:kern w:val="0"/>
          <w:sz w:val="28"/>
          <w:szCs w:val="32"/>
        </w:rPr>
        <w:t>在职</w:t>
      </w:r>
      <w:r>
        <w:rPr>
          <w:rFonts w:hint="eastAsia" w:ascii="Times New Roman" w:hAnsi="仿宋" w:eastAsia="宋体" w:cs="宋体"/>
          <w:kern w:val="0"/>
          <w:sz w:val="28"/>
          <w:szCs w:val="32"/>
          <w:lang w:val="en-US" w:eastAsia="zh-CN"/>
        </w:rPr>
        <w:t>人数</w:t>
      </w:r>
      <w:r>
        <w:rPr>
          <w:rFonts w:hint="eastAsia" w:ascii="Times New Roman" w:hAnsi="仿宋" w:eastAsia="宋体" w:cs="宋体"/>
          <w:kern w:val="0"/>
          <w:sz w:val="28"/>
          <w:szCs w:val="32"/>
        </w:rPr>
        <w:t>10人；非参公事业人员在职14人)</w:t>
      </w:r>
      <w:r>
        <w:rPr>
          <w:rFonts w:hint="eastAsia" w:ascii="Times New Roman" w:hAnsi="仿宋" w:eastAsia="宋体" w:cs="宋体"/>
          <w:kern w:val="0"/>
          <w:sz w:val="28"/>
          <w:szCs w:val="32"/>
          <w:lang w:eastAsia="zh-CN"/>
        </w:rPr>
        <w:t>；</w:t>
      </w:r>
      <w:r>
        <w:rPr>
          <w:rFonts w:hint="eastAsia" w:ascii="Times New Roman" w:hAnsi="仿宋" w:eastAsia="宋体" w:cs="宋体"/>
          <w:kern w:val="0"/>
          <w:sz w:val="28"/>
          <w:szCs w:val="32"/>
          <w:lang w:val="en-US" w:eastAsia="zh-CN"/>
        </w:rPr>
        <w:t>下属事业单位</w:t>
      </w:r>
      <w:r>
        <w:rPr>
          <w:rFonts w:hint="eastAsia" w:ascii="Times New Roman" w:hAnsi="仿宋" w:eastAsia="宋体" w:cs="宋体"/>
          <w:kern w:val="0"/>
          <w:sz w:val="28"/>
          <w:szCs w:val="32"/>
        </w:rPr>
        <w:t>石狮市农业综合服务中心</w:t>
      </w:r>
      <w:r>
        <w:rPr>
          <w:rFonts w:hint="eastAsia" w:ascii="Times New Roman" w:hAnsi="仿宋" w:eastAsia="宋体" w:cs="宋体"/>
          <w:kern w:val="0"/>
          <w:sz w:val="28"/>
          <w:szCs w:val="32"/>
          <w:lang w:val="en-US" w:eastAsia="zh-CN"/>
        </w:rPr>
        <w:t>编制数4人，在职人数4人；石狮市动植物疫病预防控制中心编制数7人，在职人数7人；</w:t>
      </w:r>
      <w:r>
        <w:rPr>
          <w:rFonts w:hint="eastAsia" w:ascii="Times New Roman" w:hAnsi="仿宋" w:eastAsia="宋体" w:cs="宋体"/>
          <w:kern w:val="0"/>
          <w:sz w:val="28"/>
          <w:szCs w:val="32"/>
        </w:rPr>
        <w:t>石狮市种业发展中心</w:t>
      </w:r>
      <w:r>
        <w:rPr>
          <w:rFonts w:hint="eastAsia" w:ascii="Times New Roman" w:hAnsi="仿宋" w:eastAsia="宋体" w:cs="宋体"/>
          <w:kern w:val="0"/>
          <w:sz w:val="28"/>
          <w:szCs w:val="32"/>
          <w:lang w:val="en-US" w:eastAsia="zh-CN"/>
        </w:rPr>
        <w:t>编制人数6人，实际在职人数6人；</w:t>
      </w:r>
      <w:r>
        <w:rPr>
          <w:rFonts w:hint="eastAsia" w:ascii="Times New Roman" w:hAnsi="仿宋" w:eastAsia="宋体" w:cs="宋体"/>
          <w:kern w:val="0"/>
          <w:sz w:val="28"/>
          <w:szCs w:val="32"/>
        </w:rPr>
        <w:t>石狮市农业综合执法大队</w:t>
      </w:r>
      <w:r>
        <w:rPr>
          <w:rFonts w:hint="eastAsia" w:ascii="Times New Roman" w:hAnsi="仿宋" w:eastAsia="宋体" w:cs="宋体"/>
          <w:kern w:val="0"/>
          <w:sz w:val="28"/>
          <w:szCs w:val="32"/>
          <w:lang w:val="en-US" w:eastAsia="zh-CN"/>
        </w:rPr>
        <w:t>编制数35人，实际在职人数35人。</w:t>
      </w:r>
      <w:r>
        <w:rPr>
          <w:rFonts w:hint="eastAsia" w:ascii="Times New Roman" w:hAnsi="仿宋" w:cs="宋体"/>
          <w:kern w:val="0"/>
          <w:sz w:val="28"/>
          <w:szCs w:val="32"/>
          <w:lang w:val="en-US" w:eastAsia="zh-CN"/>
        </w:rPr>
        <w:t>人员机构如表1所示：</w:t>
      </w:r>
    </w:p>
    <w:p w14:paraId="34717DA3">
      <w:pPr>
        <w:pStyle w:val="2"/>
        <w:rPr>
          <w:rFonts w:hint="default"/>
          <w:lang w:val="en-US" w:eastAsia="zh-CN"/>
        </w:rPr>
      </w:pPr>
      <w:r>
        <w:rPr>
          <w:rFonts w:hint="eastAsia" w:ascii="Times New Roman" w:hAnsi="仿宋" w:cs="宋体"/>
          <w:kern w:val="0"/>
          <w:sz w:val="28"/>
          <w:szCs w:val="32"/>
          <w:lang w:val="en-US" w:eastAsia="zh-CN"/>
        </w:rPr>
        <w:t>表1 ：</w:t>
      </w:r>
    </w:p>
    <w:tbl>
      <w:tblPr>
        <w:tblStyle w:val="14"/>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96"/>
        <w:gridCol w:w="1861"/>
        <w:gridCol w:w="1842"/>
      </w:tblGrid>
      <w:tr w14:paraId="68EF3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942" w:type="pct"/>
          </w:tcPr>
          <w:p w14:paraId="3D226D50">
            <w:pPr>
              <w:pStyle w:val="2"/>
              <w:jc w:val="center"/>
              <w:rPr>
                <w:rFonts w:hint="default" w:ascii="Times New Roman" w:hAnsi="仿宋" w:eastAsia="宋体" w:cs="宋体"/>
                <w:kern w:val="0"/>
                <w:sz w:val="28"/>
                <w:szCs w:val="32"/>
                <w:lang w:val="en-US" w:eastAsia="zh-CN" w:bidi="ar-SA"/>
              </w:rPr>
            </w:pPr>
            <w:r>
              <w:rPr>
                <w:rFonts w:hint="eastAsia" w:ascii="Times New Roman" w:hAnsi="仿宋" w:eastAsia="宋体" w:cs="宋体"/>
                <w:kern w:val="0"/>
                <w:sz w:val="28"/>
                <w:szCs w:val="32"/>
                <w:lang w:val="en-US" w:eastAsia="zh-CN" w:bidi="ar-SA"/>
              </w:rPr>
              <w:t>单位</w:t>
            </w:r>
          </w:p>
        </w:tc>
        <w:tc>
          <w:tcPr>
            <w:tcW w:w="1034" w:type="pct"/>
          </w:tcPr>
          <w:p w14:paraId="03FC6018">
            <w:pPr>
              <w:pStyle w:val="2"/>
              <w:jc w:val="center"/>
              <w:rPr>
                <w:rFonts w:hint="default" w:ascii="Times New Roman" w:hAnsi="仿宋" w:eastAsia="宋体" w:cs="宋体"/>
                <w:kern w:val="0"/>
                <w:sz w:val="28"/>
                <w:szCs w:val="32"/>
                <w:lang w:val="en-US" w:eastAsia="zh-CN" w:bidi="ar-SA"/>
              </w:rPr>
            </w:pPr>
            <w:r>
              <w:rPr>
                <w:rFonts w:hint="eastAsia" w:ascii="Times New Roman" w:hAnsi="仿宋" w:eastAsia="宋体" w:cs="宋体"/>
                <w:kern w:val="0"/>
                <w:sz w:val="28"/>
                <w:szCs w:val="32"/>
                <w:lang w:val="en-US" w:eastAsia="zh-CN" w:bidi="ar-SA"/>
              </w:rPr>
              <w:t>编制数</w:t>
            </w:r>
          </w:p>
        </w:tc>
        <w:tc>
          <w:tcPr>
            <w:tcW w:w="1023" w:type="pct"/>
          </w:tcPr>
          <w:p w14:paraId="3F016434">
            <w:pPr>
              <w:pStyle w:val="2"/>
              <w:jc w:val="center"/>
              <w:rPr>
                <w:rFonts w:hint="default" w:ascii="Times New Roman" w:hAnsi="仿宋" w:eastAsia="宋体" w:cs="宋体"/>
                <w:kern w:val="0"/>
                <w:sz w:val="28"/>
                <w:szCs w:val="32"/>
                <w:lang w:val="en-US" w:eastAsia="zh-CN" w:bidi="ar-SA"/>
              </w:rPr>
            </w:pPr>
            <w:r>
              <w:rPr>
                <w:rFonts w:hint="eastAsia" w:ascii="Times New Roman" w:hAnsi="仿宋" w:eastAsia="宋体" w:cs="宋体"/>
                <w:kern w:val="0"/>
                <w:sz w:val="28"/>
                <w:szCs w:val="32"/>
                <w:lang w:val="en-US" w:eastAsia="zh-CN" w:bidi="ar-SA"/>
              </w:rPr>
              <w:t>在职人数</w:t>
            </w:r>
          </w:p>
        </w:tc>
      </w:tr>
      <w:tr w14:paraId="6779A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942" w:type="pct"/>
            <w:vAlign w:val="top"/>
          </w:tcPr>
          <w:p w14:paraId="57AED2BB">
            <w:pPr>
              <w:pStyle w:val="2"/>
              <w:jc w:val="center"/>
              <w:rPr>
                <w:rFonts w:hint="default" w:ascii="Times New Roman" w:hAnsi="仿宋" w:eastAsia="宋体" w:cs="宋体"/>
                <w:kern w:val="0"/>
                <w:sz w:val="28"/>
                <w:szCs w:val="32"/>
                <w:lang w:val="en-US" w:eastAsia="zh-CN" w:bidi="ar-SA"/>
              </w:rPr>
            </w:pPr>
            <w:r>
              <w:rPr>
                <w:rFonts w:hint="eastAsia" w:ascii="Times New Roman" w:hAnsi="仿宋" w:eastAsia="宋体" w:cs="宋体"/>
                <w:kern w:val="0"/>
                <w:sz w:val="28"/>
                <w:szCs w:val="32"/>
                <w:lang w:val="en-US" w:eastAsia="zh-CN" w:bidi="ar-SA"/>
              </w:rPr>
              <w:t>石狮市农业农村局机关</w:t>
            </w:r>
          </w:p>
        </w:tc>
        <w:tc>
          <w:tcPr>
            <w:tcW w:w="1034" w:type="pct"/>
          </w:tcPr>
          <w:p w14:paraId="5D071C6E">
            <w:pPr>
              <w:pStyle w:val="2"/>
              <w:jc w:val="center"/>
              <w:rPr>
                <w:rFonts w:hint="default" w:ascii="Times New Roman" w:hAnsi="仿宋" w:eastAsia="宋体" w:cs="宋体"/>
                <w:kern w:val="0"/>
                <w:sz w:val="28"/>
                <w:szCs w:val="32"/>
                <w:lang w:val="en-US" w:eastAsia="zh-CN" w:bidi="ar-SA"/>
              </w:rPr>
            </w:pPr>
            <w:r>
              <w:rPr>
                <w:rFonts w:hint="eastAsia" w:ascii="Times New Roman" w:hAnsi="仿宋" w:eastAsia="宋体" w:cs="宋体"/>
                <w:kern w:val="0"/>
                <w:sz w:val="28"/>
                <w:szCs w:val="32"/>
                <w:lang w:val="en-US" w:eastAsia="zh-CN" w:bidi="ar-SA"/>
              </w:rPr>
              <w:t>23</w:t>
            </w:r>
          </w:p>
        </w:tc>
        <w:tc>
          <w:tcPr>
            <w:tcW w:w="1023" w:type="pct"/>
          </w:tcPr>
          <w:p w14:paraId="117D1E5D">
            <w:pPr>
              <w:pStyle w:val="2"/>
              <w:jc w:val="center"/>
              <w:rPr>
                <w:rFonts w:hint="default" w:ascii="Times New Roman" w:hAnsi="仿宋" w:eastAsia="宋体" w:cs="宋体"/>
                <w:kern w:val="0"/>
                <w:sz w:val="28"/>
                <w:szCs w:val="32"/>
                <w:lang w:val="en-US" w:eastAsia="zh-CN" w:bidi="ar-SA"/>
              </w:rPr>
            </w:pPr>
            <w:r>
              <w:rPr>
                <w:rFonts w:hint="eastAsia" w:ascii="Times New Roman" w:hAnsi="仿宋" w:eastAsia="宋体" w:cs="宋体"/>
                <w:kern w:val="0"/>
                <w:sz w:val="28"/>
                <w:szCs w:val="32"/>
                <w:lang w:val="en-US" w:eastAsia="zh-CN" w:bidi="ar-SA"/>
              </w:rPr>
              <w:t>24</w:t>
            </w:r>
          </w:p>
        </w:tc>
      </w:tr>
      <w:tr w14:paraId="5F62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942" w:type="pct"/>
            <w:vAlign w:val="top"/>
          </w:tcPr>
          <w:p w14:paraId="4E9E7E3D">
            <w:pPr>
              <w:pStyle w:val="2"/>
              <w:jc w:val="center"/>
              <w:rPr>
                <w:rFonts w:hint="eastAsia" w:ascii="Times New Roman" w:hAnsi="仿宋" w:eastAsia="宋体" w:cs="宋体"/>
                <w:kern w:val="0"/>
                <w:sz w:val="28"/>
                <w:szCs w:val="32"/>
                <w:lang w:val="en-US" w:eastAsia="zh-CN" w:bidi="ar-SA"/>
              </w:rPr>
            </w:pPr>
            <w:r>
              <w:rPr>
                <w:rFonts w:hint="eastAsia" w:ascii="Times New Roman" w:hAnsi="仿宋" w:eastAsia="宋体" w:cs="宋体"/>
                <w:kern w:val="0"/>
                <w:sz w:val="28"/>
                <w:szCs w:val="32"/>
                <w:lang w:val="en-US" w:eastAsia="zh-CN" w:bidi="ar-SA"/>
              </w:rPr>
              <w:t>石狮市农业综合服务中心</w:t>
            </w:r>
          </w:p>
        </w:tc>
        <w:tc>
          <w:tcPr>
            <w:tcW w:w="1034" w:type="pct"/>
          </w:tcPr>
          <w:p w14:paraId="573780B8">
            <w:pPr>
              <w:pStyle w:val="2"/>
              <w:jc w:val="center"/>
              <w:rPr>
                <w:rFonts w:hint="eastAsia" w:ascii="Times New Roman" w:hAnsi="仿宋" w:eastAsia="宋体" w:cs="宋体"/>
                <w:kern w:val="0"/>
                <w:sz w:val="28"/>
                <w:szCs w:val="32"/>
                <w:lang w:val="en-US" w:eastAsia="zh-CN" w:bidi="ar-SA"/>
              </w:rPr>
            </w:pPr>
            <w:r>
              <w:rPr>
                <w:rFonts w:hint="eastAsia" w:ascii="Times New Roman" w:hAnsi="仿宋" w:eastAsia="宋体" w:cs="宋体"/>
                <w:kern w:val="0"/>
                <w:sz w:val="28"/>
                <w:szCs w:val="32"/>
                <w:lang w:val="en-US" w:eastAsia="zh-CN" w:bidi="ar-SA"/>
              </w:rPr>
              <w:t>4</w:t>
            </w:r>
          </w:p>
        </w:tc>
        <w:tc>
          <w:tcPr>
            <w:tcW w:w="1023" w:type="pct"/>
          </w:tcPr>
          <w:p w14:paraId="583A2CD9">
            <w:pPr>
              <w:pStyle w:val="2"/>
              <w:jc w:val="center"/>
              <w:rPr>
                <w:rFonts w:hint="eastAsia" w:ascii="Times New Roman" w:hAnsi="仿宋" w:eastAsia="宋体" w:cs="宋体"/>
                <w:kern w:val="0"/>
                <w:sz w:val="28"/>
                <w:szCs w:val="32"/>
                <w:lang w:val="en-US" w:eastAsia="zh-CN" w:bidi="ar-SA"/>
              </w:rPr>
            </w:pPr>
            <w:r>
              <w:rPr>
                <w:rFonts w:hint="eastAsia" w:ascii="Times New Roman" w:hAnsi="仿宋" w:eastAsia="宋体" w:cs="宋体"/>
                <w:kern w:val="0"/>
                <w:sz w:val="28"/>
                <w:szCs w:val="32"/>
                <w:lang w:val="en-US" w:eastAsia="zh-CN" w:bidi="ar-SA"/>
              </w:rPr>
              <w:t>4</w:t>
            </w:r>
          </w:p>
        </w:tc>
      </w:tr>
      <w:tr w14:paraId="0524B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942" w:type="pct"/>
          </w:tcPr>
          <w:p w14:paraId="4879427D">
            <w:pPr>
              <w:pStyle w:val="2"/>
              <w:jc w:val="center"/>
              <w:rPr>
                <w:rFonts w:hint="eastAsia" w:ascii="Times New Roman" w:hAnsi="仿宋" w:eastAsia="宋体" w:cs="宋体"/>
                <w:kern w:val="0"/>
                <w:sz w:val="28"/>
                <w:szCs w:val="32"/>
                <w:lang w:val="en-US" w:eastAsia="zh-CN" w:bidi="ar-SA"/>
              </w:rPr>
            </w:pPr>
            <w:r>
              <w:rPr>
                <w:rFonts w:hint="eastAsia" w:ascii="Times New Roman" w:hAnsi="仿宋" w:eastAsia="宋体" w:cs="宋体"/>
                <w:kern w:val="0"/>
                <w:sz w:val="28"/>
                <w:szCs w:val="32"/>
                <w:lang w:val="en-US" w:eastAsia="zh-CN" w:bidi="ar-SA"/>
              </w:rPr>
              <w:t>石狮市动植物疫病预防控制中心</w:t>
            </w:r>
          </w:p>
        </w:tc>
        <w:tc>
          <w:tcPr>
            <w:tcW w:w="1034" w:type="pct"/>
          </w:tcPr>
          <w:p w14:paraId="6589AFA6">
            <w:pPr>
              <w:pStyle w:val="2"/>
              <w:jc w:val="center"/>
              <w:rPr>
                <w:rFonts w:hint="eastAsia" w:ascii="Times New Roman" w:hAnsi="仿宋" w:eastAsia="宋体" w:cs="宋体"/>
                <w:kern w:val="0"/>
                <w:sz w:val="28"/>
                <w:szCs w:val="32"/>
                <w:lang w:val="en-US" w:eastAsia="zh-CN" w:bidi="ar-SA"/>
              </w:rPr>
            </w:pPr>
            <w:r>
              <w:rPr>
                <w:rFonts w:hint="eastAsia" w:ascii="Times New Roman" w:hAnsi="仿宋" w:eastAsia="宋体" w:cs="宋体"/>
                <w:kern w:val="0"/>
                <w:sz w:val="28"/>
                <w:szCs w:val="32"/>
                <w:lang w:val="en-US" w:eastAsia="zh-CN" w:bidi="ar-SA"/>
              </w:rPr>
              <w:t>7</w:t>
            </w:r>
          </w:p>
        </w:tc>
        <w:tc>
          <w:tcPr>
            <w:tcW w:w="1023" w:type="pct"/>
          </w:tcPr>
          <w:p w14:paraId="3D6805A4">
            <w:pPr>
              <w:pStyle w:val="2"/>
              <w:jc w:val="center"/>
              <w:rPr>
                <w:rFonts w:hint="eastAsia" w:ascii="Times New Roman" w:hAnsi="仿宋" w:eastAsia="宋体" w:cs="宋体"/>
                <w:kern w:val="0"/>
                <w:sz w:val="28"/>
                <w:szCs w:val="32"/>
                <w:lang w:val="en-US" w:eastAsia="zh-CN" w:bidi="ar-SA"/>
              </w:rPr>
            </w:pPr>
            <w:r>
              <w:rPr>
                <w:rFonts w:hint="eastAsia" w:ascii="Times New Roman" w:hAnsi="仿宋" w:eastAsia="宋体" w:cs="宋体"/>
                <w:kern w:val="0"/>
                <w:sz w:val="28"/>
                <w:szCs w:val="32"/>
                <w:lang w:val="en-US" w:eastAsia="zh-CN" w:bidi="ar-SA"/>
              </w:rPr>
              <w:t>7</w:t>
            </w:r>
          </w:p>
        </w:tc>
      </w:tr>
      <w:tr w14:paraId="3C4BC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942" w:type="pct"/>
          </w:tcPr>
          <w:p w14:paraId="6C7EE2DE">
            <w:pPr>
              <w:pStyle w:val="2"/>
              <w:jc w:val="center"/>
              <w:rPr>
                <w:rFonts w:hint="eastAsia" w:ascii="Times New Roman" w:hAnsi="仿宋" w:eastAsia="宋体" w:cs="宋体"/>
                <w:kern w:val="0"/>
                <w:sz w:val="28"/>
                <w:szCs w:val="32"/>
                <w:lang w:val="en-US" w:eastAsia="zh-CN" w:bidi="ar-SA"/>
              </w:rPr>
            </w:pPr>
            <w:r>
              <w:rPr>
                <w:rFonts w:hint="eastAsia" w:ascii="Times New Roman" w:hAnsi="仿宋" w:eastAsia="宋体" w:cs="宋体"/>
                <w:kern w:val="0"/>
                <w:sz w:val="28"/>
                <w:szCs w:val="32"/>
                <w:lang w:val="en-US" w:eastAsia="zh-CN" w:bidi="ar-SA"/>
              </w:rPr>
              <w:t>石狮市种业发展中心</w:t>
            </w:r>
          </w:p>
        </w:tc>
        <w:tc>
          <w:tcPr>
            <w:tcW w:w="1034" w:type="pct"/>
          </w:tcPr>
          <w:p w14:paraId="54E2828C">
            <w:pPr>
              <w:pStyle w:val="2"/>
              <w:jc w:val="center"/>
              <w:rPr>
                <w:rFonts w:hint="eastAsia" w:ascii="Times New Roman" w:hAnsi="仿宋" w:eastAsia="宋体" w:cs="宋体"/>
                <w:kern w:val="0"/>
                <w:sz w:val="28"/>
                <w:szCs w:val="32"/>
                <w:lang w:val="en-US" w:eastAsia="zh-CN" w:bidi="ar-SA"/>
              </w:rPr>
            </w:pPr>
            <w:r>
              <w:rPr>
                <w:rFonts w:hint="eastAsia" w:ascii="Times New Roman" w:hAnsi="仿宋" w:eastAsia="宋体" w:cs="宋体"/>
                <w:kern w:val="0"/>
                <w:sz w:val="28"/>
                <w:szCs w:val="32"/>
                <w:lang w:val="en-US" w:eastAsia="zh-CN" w:bidi="ar-SA"/>
              </w:rPr>
              <w:t>6</w:t>
            </w:r>
          </w:p>
        </w:tc>
        <w:tc>
          <w:tcPr>
            <w:tcW w:w="1023" w:type="pct"/>
          </w:tcPr>
          <w:p w14:paraId="3B41BC29">
            <w:pPr>
              <w:pStyle w:val="2"/>
              <w:jc w:val="center"/>
              <w:rPr>
                <w:rFonts w:hint="eastAsia" w:ascii="Times New Roman" w:hAnsi="仿宋" w:eastAsia="宋体" w:cs="宋体"/>
                <w:kern w:val="0"/>
                <w:sz w:val="28"/>
                <w:szCs w:val="32"/>
                <w:lang w:val="en-US" w:eastAsia="zh-CN" w:bidi="ar-SA"/>
              </w:rPr>
            </w:pPr>
            <w:r>
              <w:rPr>
                <w:rFonts w:hint="eastAsia" w:ascii="Times New Roman" w:hAnsi="仿宋" w:eastAsia="宋体" w:cs="宋体"/>
                <w:kern w:val="0"/>
                <w:sz w:val="28"/>
                <w:szCs w:val="32"/>
                <w:lang w:val="en-US" w:eastAsia="zh-CN" w:bidi="ar-SA"/>
              </w:rPr>
              <w:t>6</w:t>
            </w:r>
          </w:p>
        </w:tc>
      </w:tr>
      <w:tr w14:paraId="6B22D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942" w:type="pct"/>
          </w:tcPr>
          <w:p w14:paraId="31DF9FAF">
            <w:pPr>
              <w:pStyle w:val="2"/>
              <w:jc w:val="center"/>
              <w:rPr>
                <w:rFonts w:hint="eastAsia" w:ascii="Times New Roman" w:hAnsi="仿宋" w:eastAsia="宋体" w:cs="宋体"/>
                <w:kern w:val="0"/>
                <w:sz w:val="28"/>
                <w:szCs w:val="32"/>
                <w:lang w:val="en-US" w:eastAsia="zh-CN" w:bidi="ar-SA"/>
              </w:rPr>
            </w:pPr>
            <w:r>
              <w:rPr>
                <w:rFonts w:hint="eastAsia" w:ascii="Times New Roman" w:hAnsi="仿宋" w:eastAsia="宋体" w:cs="宋体"/>
                <w:kern w:val="0"/>
                <w:sz w:val="28"/>
                <w:szCs w:val="32"/>
                <w:lang w:val="en-US" w:eastAsia="zh-CN" w:bidi="ar-SA"/>
              </w:rPr>
              <w:t>石狮市农业综合执法大队</w:t>
            </w:r>
          </w:p>
        </w:tc>
        <w:tc>
          <w:tcPr>
            <w:tcW w:w="1034" w:type="pct"/>
          </w:tcPr>
          <w:p w14:paraId="33085A45">
            <w:pPr>
              <w:pStyle w:val="2"/>
              <w:jc w:val="center"/>
              <w:rPr>
                <w:rFonts w:hint="default" w:ascii="Times New Roman" w:hAnsi="仿宋" w:eastAsia="宋体" w:cs="宋体"/>
                <w:kern w:val="0"/>
                <w:sz w:val="28"/>
                <w:szCs w:val="32"/>
                <w:lang w:val="en-US" w:eastAsia="zh-CN" w:bidi="ar-SA"/>
              </w:rPr>
            </w:pPr>
            <w:r>
              <w:rPr>
                <w:rFonts w:hint="eastAsia" w:ascii="Times New Roman" w:hAnsi="仿宋" w:eastAsia="宋体" w:cs="宋体"/>
                <w:kern w:val="0"/>
                <w:sz w:val="28"/>
                <w:szCs w:val="32"/>
                <w:lang w:val="en-US" w:eastAsia="zh-CN" w:bidi="ar-SA"/>
              </w:rPr>
              <w:t>35</w:t>
            </w:r>
          </w:p>
        </w:tc>
        <w:tc>
          <w:tcPr>
            <w:tcW w:w="1023" w:type="pct"/>
          </w:tcPr>
          <w:p w14:paraId="38BBC7DC">
            <w:pPr>
              <w:pStyle w:val="2"/>
              <w:jc w:val="center"/>
              <w:rPr>
                <w:rFonts w:hint="default" w:ascii="Times New Roman" w:hAnsi="仿宋" w:eastAsia="宋体" w:cs="宋体"/>
                <w:kern w:val="0"/>
                <w:sz w:val="28"/>
                <w:szCs w:val="32"/>
                <w:lang w:val="en-US" w:eastAsia="zh-CN" w:bidi="ar-SA"/>
              </w:rPr>
            </w:pPr>
            <w:r>
              <w:rPr>
                <w:rFonts w:hint="eastAsia" w:ascii="Times New Roman" w:hAnsi="仿宋" w:eastAsia="宋体" w:cs="宋体"/>
                <w:kern w:val="0"/>
                <w:sz w:val="28"/>
                <w:szCs w:val="32"/>
                <w:lang w:val="en-US" w:eastAsia="zh-CN" w:bidi="ar-SA"/>
              </w:rPr>
              <w:t>35</w:t>
            </w:r>
          </w:p>
        </w:tc>
      </w:tr>
      <w:tr w14:paraId="03013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942" w:type="pct"/>
          </w:tcPr>
          <w:p w14:paraId="30159192">
            <w:pPr>
              <w:pStyle w:val="2"/>
              <w:jc w:val="center"/>
              <w:rPr>
                <w:rFonts w:hint="eastAsia" w:ascii="Times New Roman" w:hAnsi="仿宋" w:eastAsia="宋体" w:cs="宋体"/>
                <w:kern w:val="0"/>
                <w:sz w:val="28"/>
                <w:szCs w:val="32"/>
                <w:lang w:val="en-US" w:eastAsia="zh-CN" w:bidi="ar-SA"/>
              </w:rPr>
            </w:pPr>
            <w:r>
              <w:rPr>
                <w:rFonts w:hint="eastAsia" w:ascii="Times New Roman" w:hAnsi="仿宋" w:eastAsia="宋体" w:cs="宋体"/>
                <w:kern w:val="0"/>
                <w:sz w:val="28"/>
                <w:szCs w:val="32"/>
                <w:lang w:val="en-US" w:eastAsia="zh-CN" w:bidi="ar-SA"/>
              </w:rPr>
              <w:t>合计</w:t>
            </w:r>
          </w:p>
        </w:tc>
        <w:tc>
          <w:tcPr>
            <w:tcW w:w="1034" w:type="pct"/>
          </w:tcPr>
          <w:p w14:paraId="3578986F">
            <w:pPr>
              <w:pStyle w:val="2"/>
              <w:jc w:val="center"/>
              <w:rPr>
                <w:rFonts w:hint="default" w:ascii="Times New Roman" w:hAnsi="仿宋" w:eastAsia="宋体" w:cs="宋体"/>
                <w:kern w:val="0"/>
                <w:sz w:val="28"/>
                <w:szCs w:val="32"/>
                <w:lang w:val="en-US" w:eastAsia="zh-CN" w:bidi="ar-SA"/>
              </w:rPr>
            </w:pPr>
            <w:r>
              <w:rPr>
                <w:rFonts w:hint="eastAsia" w:ascii="Times New Roman" w:hAnsi="仿宋" w:eastAsia="宋体" w:cs="宋体"/>
                <w:kern w:val="0"/>
                <w:sz w:val="28"/>
                <w:szCs w:val="32"/>
                <w:lang w:val="en-US" w:eastAsia="zh-CN" w:bidi="ar-SA"/>
              </w:rPr>
              <w:t>75</w:t>
            </w:r>
          </w:p>
        </w:tc>
        <w:tc>
          <w:tcPr>
            <w:tcW w:w="1023" w:type="pct"/>
          </w:tcPr>
          <w:p w14:paraId="29E82CD3">
            <w:pPr>
              <w:pStyle w:val="2"/>
              <w:jc w:val="center"/>
              <w:rPr>
                <w:rFonts w:hint="default" w:ascii="Times New Roman" w:hAnsi="仿宋" w:eastAsia="宋体" w:cs="宋体"/>
                <w:kern w:val="0"/>
                <w:sz w:val="28"/>
                <w:szCs w:val="32"/>
                <w:lang w:val="en-US" w:eastAsia="zh-CN" w:bidi="ar-SA"/>
              </w:rPr>
            </w:pPr>
            <w:r>
              <w:rPr>
                <w:rFonts w:hint="eastAsia" w:ascii="Times New Roman" w:hAnsi="仿宋" w:eastAsia="宋体" w:cs="宋体"/>
                <w:kern w:val="0"/>
                <w:sz w:val="28"/>
                <w:szCs w:val="32"/>
                <w:lang w:val="en-US" w:eastAsia="zh-CN" w:bidi="ar-SA"/>
              </w:rPr>
              <w:t>76</w:t>
            </w:r>
          </w:p>
        </w:tc>
      </w:tr>
    </w:tbl>
    <w:p w14:paraId="6157B40A">
      <w:pPr>
        <w:pStyle w:val="2"/>
        <w:keepNext w:val="0"/>
        <w:keepLines w:val="0"/>
        <w:pageBreakBefore w:val="0"/>
        <w:kinsoku/>
        <w:wordWrap/>
        <w:overflowPunct/>
        <w:topLinePunct w:val="0"/>
        <w:autoSpaceDE/>
        <w:autoSpaceDN/>
        <w:bidi w:val="0"/>
        <w:snapToGrid/>
        <w:spacing w:before="156" w:beforeLines="50" w:beforeAutospacing="0" w:afterAutospacing="0" w:line="360" w:lineRule="auto"/>
        <w:ind w:left="0" w:leftChars="0" w:right="0" w:rightChars="0" w:firstLine="0" w:firstLineChars="0"/>
        <w:jc w:val="left"/>
        <w:textAlignment w:val="auto"/>
        <w:outlineLvl w:val="1"/>
        <w:rPr>
          <w:rFonts w:hint="eastAsia" w:ascii="Times New Roman" w:hAnsi="仿宋" w:eastAsia="宋体" w:cs="仿宋"/>
          <w:b/>
          <w:bCs/>
          <w:kern w:val="0"/>
          <w:sz w:val="30"/>
          <w:szCs w:val="32"/>
        </w:rPr>
      </w:pPr>
      <w:bookmarkStart w:id="26" w:name="_Toc16943"/>
      <w:r>
        <w:rPr>
          <w:rFonts w:hint="eastAsia" w:ascii="Times New Roman" w:hAnsi="仿宋" w:eastAsia="宋体" w:cs="仿宋"/>
          <w:b/>
          <w:bCs/>
          <w:kern w:val="0"/>
          <w:sz w:val="30"/>
          <w:szCs w:val="32"/>
        </w:rPr>
        <w:t>（三）收支情况</w:t>
      </w:r>
      <w:bookmarkEnd w:id="26"/>
    </w:p>
    <w:bookmarkEnd w:id="24"/>
    <w:p w14:paraId="52D24A15">
      <w:pPr>
        <w:keepNext w:val="0"/>
        <w:keepLines w:val="0"/>
        <w:pageBreakBefore w:val="0"/>
        <w:kinsoku/>
        <w:wordWrap/>
        <w:overflowPunct/>
        <w:topLinePunct w:val="0"/>
        <w:autoSpaceDE/>
        <w:autoSpaceDN/>
        <w:bidi w:val="0"/>
        <w:snapToGrid/>
        <w:spacing w:beforeAutospacing="0" w:afterAutospacing="0" w:line="360" w:lineRule="auto"/>
        <w:ind w:left="0" w:leftChars="0" w:right="0" w:rightChars="0" w:firstLine="0" w:firstLineChars="0"/>
        <w:jc w:val="left"/>
        <w:textAlignment w:val="auto"/>
        <w:outlineLvl w:val="2"/>
        <w:rPr>
          <w:rFonts w:hint="eastAsia" w:ascii="Times New Roman" w:hAnsi="仿宋" w:eastAsia="宋体" w:cs="仿宋"/>
          <w:b/>
          <w:bCs/>
          <w:sz w:val="28"/>
          <w:szCs w:val="32"/>
          <w:lang w:val="en-US" w:eastAsia="zh-CN"/>
        </w:rPr>
      </w:pPr>
      <w:bookmarkStart w:id="27" w:name="_Toc16597"/>
      <w:r>
        <w:rPr>
          <w:rFonts w:hint="eastAsia" w:ascii="Times New Roman" w:hAnsi="仿宋" w:eastAsia="宋体" w:cs="仿宋"/>
          <w:b/>
          <w:bCs/>
          <w:sz w:val="28"/>
          <w:szCs w:val="32"/>
          <w:lang w:val="en-US" w:eastAsia="zh-CN"/>
        </w:rPr>
        <w:t>1.整体资金收支</w:t>
      </w:r>
      <w:bookmarkEnd w:id="27"/>
    </w:p>
    <w:p w14:paraId="7384E7B4">
      <w:pPr>
        <w:keepNext w:val="0"/>
        <w:keepLines w:val="0"/>
        <w:pageBreakBefore w:val="0"/>
        <w:kinsoku/>
        <w:wordWrap/>
        <w:overflowPunct/>
        <w:topLinePunct w:val="0"/>
        <w:autoSpaceDE/>
        <w:autoSpaceDN/>
        <w:bidi w:val="0"/>
        <w:snapToGrid/>
        <w:spacing w:beforeAutospacing="0" w:afterAutospacing="0" w:line="360" w:lineRule="auto"/>
        <w:ind w:left="0" w:leftChars="0" w:firstLine="560" w:firstLineChars="200"/>
        <w:textAlignment w:val="auto"/>
        <w:rPr>
          <w:rFonts w:hint="eastAsia" w:ascii="Times New Roman" w:hAnsi="仿宋" w:eastAsia="宋体" w:cs="仿宋"/>
          <w:sz w:val="28"/>
          <w:szCs w:val="32"/>
          <w:lang w:val="en-US" w:eastAsia="zh-CN"/>
        </w:rPr>
      </w:pPr>
      <w:r>
        <w:rPr>
          <w:rFonts w:hint="eastAsia" w:ascii="Times New Roman" w:hAnsi="仿宋" w:eastAsia="宋体" w:cs="仿宋"/>
          <w:sz w:val="28"/>
          <w:szCs w:val="32"/>
        </w:rPr>
        <w:t>石狮市农业农村局</w:t>
      </w:r>
      <w:r>
        <w:rPr>
          <w:rFonts w:hint="eastAsia" w:ascii="Times New Roman" w:hAnsi="仿宋" w:eastAsia="宋体" w:cs="仿宋"/>
          <w:sz w:val="28"/>
          <w:szCs w:val="32"/>
          <w:lang w:val="en-US" w:eastAsia="zh-CN"/>
        </w:rPr>
        <w:t>整体收入40045.96万元，其中，财政指标下达54395.04万元，调剂金额14349.08万元，支付38990.58万元，年末指标余额1055.38万元。</w:t>
      </w:r>
    </w:p>
    <w:p w14:paraId="3276C715">
      <w:pPr>
        <w:keepNext w:val="0"/>
        <w:keepLines w:val="0"/>
        <w:pageBreakBefore w:val="0"/>
        <w:numPr>
          <w:ilvl w:val="0"/>
          <w:numId w:val="1"/>
        </w:numPr>
        <w:kinsoku/>
        <w:wordWrap/>
        <w:overflowPunct/>
        <w:topLinePunct w:val="0"/>
        <w:autoSpaceDE/>
        <w:autoSpaceDN/>
        <w:bidi w:val="0"/>
        <w:snapToGrid/>
        <w:spacing w:beforeAutospacing="0" w:afterAutospacing="0" w:line="360" w:lineRule="auto"/>
        <w:ind w:left="0" w:leftChars="0" w:right="0" w:rightChars="0" w:firstLine="0" w:firstLineChars="0"/>
        <w:jc w:val="left"/>
        <w:textAlignment w:val="auto"/>
        <w:outlineLvl w:val="2"/>
        <w:rPr>
          <w:rFonts w:hint="eastAsia" w:ascii="Times New Roman" w:hAnsi="仿宋" w:eastAsia="宋体" w:cs="仿宋"/>
          <w:b/>
          <w:bCs/>
          <w:sz w:val="28"/>
          <w:szCs w:val="32"/>
          <w:lang w:val="en-US" w:eastAsia="zh-CN"/>
        </w:rPr>
      </w:pPr>
      <w:bookmarkStart w:id="28" w:name="_Toc11926"/>
      <w:r>
        <w:rPr>
          <w:rFonts w:hint="eastAsia" w:ascii="Times New Roman" w:hAnsi="仿宋" w:eastAsia="宋体" w:cs="仿宋"/>
          <w:b/>
          <w:bCs/>
          <w:sz w:val="28"/>
          <w:szCs w:val="32"/>
          <w:lang w:val="en-US" w:eastAsia="zh-CN"/>
        </w:rPr>
        <w:t>项目资金支出</w:t>
      </w:r>
      <w:bookmarkEnd w:id="28"/>
    </w:p>
    <w:p w14:paraId="72BAAC87">
      <w:pPr>
        <w:pStyle w:val="6"/>
        <w:rPr>
          <w:rFonts w:hint="eastAsia" w:ascii="Times New Roman" w:eastAsia="宋体"/>
          <w:sz w:val="28"/>
          <w:lang w:val="en-US" w:eastAsia="zh-CN"/>
        </w:rPr>
      </w:pPr>
      <w:r>
        <w:rPr>
          <w:rFonts w:hint="default" w:ascii="Times New Roman" w:hAnsi="仿宋" w:eastAsia="宋体" w:cs="仿宋"/>
          <w:kern w:val="2"/>
          <w:sz w:val="28"/>
          <w:szCs w:val="32"/>
          <w:lang w:val="en-US" w:eastAsia="zh-CN" w:bidi="ar-SA"/>
        </w:rPr>
        <w:t>对口帮扶（山海协作）</w:t>
      </w:r>
      <w:r>
        <w:rPr>
          <w:rFonts w:hint="eastAsia" w:ascii="Times New Roman" w:hAnsi="仿宋" w:eastAsia="宋体" w:cs="仿宋"/>
          <w:kern w:val="2"/>
          <w:sz w:val="28"/>
          <w:szCs w:val="32"/>
          <w:lang w:val="en-US" w:eastAsia="zh-CN" w:bidi="ar-SA"/>
        </w:rPr>
        <w:t>投入</w:t>
      </w:r>
      <w:r>
        <w:rPr>
          <w:rFonts w:hint="default" w:ascii="Times New Roman" w:hAnsi="仿宋" w:eastAsia="宋体" w:cs="仿宋"/>
          <w:kern w:val="2"/>
          <w:sz w:val="28"/>
          <w:szCs w:val="32"/>
          <w:lang w:val="en-US" w:eastAsia="zh-CN" w:bidi="ar-SA"/>
        </w:rPr>
        <w:t>：</w:t>
      </w:r>
      <w:r>
        <w:rPr>
          <w:rFonts w:hint="eastAsia" w:ascii="Times New Roman" w:hAnsi="仿宋" w:eastAsia="宋体" w:cs="仿宋"/>
          <w:kern w:val="2"/>
          <w:sz w:val="28"/>
          <w:szCs w:val="32"/>
          <w:lang w:val="en-US" w:eastAsia="zh-CN" w:bidi="ar-SA"/>
        </w:rPr>
        <w:t>1200万元；</w:t>
      </w:r>
      <w:r>
        <w:rPr>
          <w:rFonts w:hint="default" w:ascii="Times New Roman" w:hAnsi="仿宋" w:eastAsia="宋体" w:cs="仿宋"/>
          <w:kern w:val="2"/>
          <w:sz w:val="28"/>
          <w:szCs w:val="32"/>
          <w:lang w:val="en-US" w:eastAsia="zh-CN" w:bidi="ar-SA"/>
        </w:rPr>
        <w:t>高标准农田建设</w:t>
      </w:r>
      <w:r>
        <w:rPr>
          <w:rFonts w:hint="eastAsia" w:ascii="Times New Roman" w:hAnsi="仿宋" w:eastAsia="宋体" w:cs="仿宋"/>
          <w:kern w:val="2"/>
          <w:sz w:val="28"/>
          <w:szCs w:val="32"/>
          <w:lang w:val="en-US" w:eastAsia="zh-CN" w:bidi="ar-SA"/>
        </w:rPr>
        <w:t>投入</w:t>
      </w:r>
      <w:r>
        <w:rPr>
          <w:rFonts w:hint="default" w:ascii="Times New Roman" w:hAnsi="仿宋" w:eastAsia="宋体" w:cs="仿宋"/>
          <w:kern w:val="2"/>
          <w:sz w:val="28"/>
          <w:szCs w:val="32"/>
          <w:lang w:val="en-US" w:eastAsia="zh-CN" w:bidi="ar-SA"/>
        </w:rPr>
        <w:t>：</w:t>
      </w:r>
      <w:r>
        <w:rPr>
          <w:rFonts w:hint="eastAsia" w:ascii="Times New Roman" w:hAnsi="仿宋" w:eastAsia="宋体" w:cs="仿宋"/>
          <w:kern w:val="2"/>
          <w:sz w:val="28"/>
          <w:szCs w:val="32"/>
          <w:lang w:val="en-US" w:eastAsia="zh-CN" w:bidi="ar-SA"/>
        </w:rPr>
        <w:t>189.57万元；</w:t>
      </w:r>
      <w:r>
        <w:rPr>
          <w:rFonts w:hint="default" w:ascii="Times New Roman" w:hAnsi="仿宋" w:eastAsia="宋体" w:cs="仿宋"/>
          <w:kern w:val="2"/>
          <w:sz w:val="28"/>
          <w:szCs w:val="32"/>
          <w:lang w:val="en-US" w:eastAsia="zh-CN" w:bidi="ar-SA"/>
        </w:rPr>
        <w:t>农产品质量安全检测</w:t>
      </w:r>
      <w:r>
        <w:rPr>
          <w:rFonts w:hint="eastAsia" w:ascii="Times New Roman" w:hAnsi="仿宋" w:eastAsia="宋体" w:cs="仿宋"/>
          <w:kern w:val="2"/>
          <w:sz w:val="28"/>
          <w:szCs w:val="32"/>
          <w:lang w:val="en-US" w:eastAsia="zh-CN" w:bidi="ar-SA"/>
        </w:rPr>
        <w:t>投入</w:t>
      </w:r>
      <w:r>
        <w:rPr>
          <w:rFonts w:hint="default" w:ascii="Times New Roman" w:hAnsi="仿宋" w:eastAsia="宋体" w:cs="仿宋"/>
          <w:kern w:val="2"/>
          <w:sz w:val="28"/>
          <w:szCs w:val="32"/>
          <w:lang w:val="en-US" w:eastAsia="zh-CN" w:bidi="ar-SA"/>
        </w:rPr>
        <w:t>：</w:t>
      </w:r>
      <w:r>
        <w:rPr>
          <w:rFonts w:hint="eastAsia" w:ascii="Times New Roman" w:hAnsi="仿宋" w:eastAsia="宋体" w:cs="仿宋"/>
          <w:kern w:val="2"/>
          <w:sz w:val="28"/>
          <w:szCs w:val="32"/>
          <w:lang w:val="en-US" w:eastAsia="zh-CN" w:bidi="ar-SA"/>
        </w:rPr>
        <w:t>107万元；</w:t>
      </w:r>
      <w:r>
        <w:rPr>
          <w:rFonts w:hint="default" w:ascii="Times New Roman" w:hAnsi="仿宋" w:eastAsia="宋体" w:cs="仿宋"/>
          <w:kern w:val="2"/>
          <w:sz w:val="28"/>
          <w:szCs w:val="32"/>
          <w:lang w:val="en-US" w:eastAsia="zh-CN" w:bidi="ar-SA"/>
        </w:rPr>
        <w:t>农业化产业发展专项</w:t>
      </w:r>
      <w:r>
        <w:rPr>
          <w:rFonts w:hint="eastAsia" w:ascii="Times New Roman" w:hAnsi="仿宋" w:eastAsia="宋体" w:cs="仿宋"/>
          <w:kern w:val="2"/>
          <w:sz w:val="28"/>
          <w:szCs w:val="32"/>
          <w:lang w:val="en-US" w:eastAsia="zh-CN" w:bidi="ar-SA"/>
        </w:rPr>
        <w:t>投入</w:t>
      </w:r>
      <w:r>
        <w:rPr>
          <w:rFonts w:hint="default" w:ascii="Times New Roman" w:hAnsi="仿宋" w:eastAsia="宋体" w:cs="仿宋"/>
          <w:kern w:val="2"/>
          <w:sz w:val="28"/>
          <w:szCs w:val="32"/>
          <w:lang w:val="en-US" w:eastAsia="zh-CN" w:bidi="ar-SA"/>
        </w:rPr>
        <w:t>：</w:t>
      </w:r>
      <w:r>
        <w:rPr>
          <w:rFonts w:hint="eastAsia" w:ascii="Times New Roman" w:hAnsi="仿宋" w:eastAsia="宋体" w:cs="仿宋"/>
          <w:kern w:val="2"/>
          <w:sz w:val="28"/>
          <w:szCs w:val="32"/>
          <w:lang w:val="en-US" w:eastAsia="zh-CN" w:bidi="ar-SA"/>
        </w:rPr>
        <w:t>50万元；</w:t>
      </w:r>
      <w:r>
        <w:rPr>
          <w:rFonts w:hint="default" w:ascii="Times New Roman" w:hAnsi="仿宋" w:eastAsia="宋体" w:cs="仿宋"/>
          <w:kern w:val="2"/>
          <w:sz w:val="28"/>
          <w:szCs w:val="32"/>
          <w:lang w:val="en-US" w:eastAsia="zh-CN" w:bidi="ar-SA"/>
        </w:rPr>
        <w:t>乡村振兴</w:t>
      </w:r>
      <w:r>
        <w:rPr>
          <w:rFonts w:hint="eastAsia" w:ascii="Times New Roman" w:hAnsi="仿宋" w:eastAsia="宋体" w:cs="仿宋"/>
          <w:kern w:val="2"/>
          <w:sz w:val="28"/>
          <w:szCs w:val="32"/>
          <w:lang w:val="en-US" w:eastAsia="zh-CN" w:bidi="ar-SA"/>
        </w:rPr>
        <w:t>投入</w:t>
      </w:r>
      <w:r>
        <w:rPr>
          <w:rFonts w:hint="default" w:ascii="Times New Roman" w:hAnsi="仿宋" w:eastAsia="宋体" w:cs="仿宋"/>
          <w:kern w:val="2"/>
          <w:sz w:val="28"/>
          <w:szCs w:val="32"/>
          <w:lang w:val="en-US" w:eastAsia="zh-CN" w:bidi="ar-SA"/>
        </w:rPr>
        <w:t>：</w:t>
      </w:r>
      <w:r>
        <w:rPr>
          <w:rFonts w:hint="eastAsia" w:ascii="Times New Roman" w:hAnsi="仿宋" w:eastAsia="宋体" w:cs="仿宋"/>
          <w:kern w:val="2"/>
          <w:sz w:val="28"/>
          <w:szCs w:val="32"/>
          <w:lang w:val="en-US" w:eastAsia="zh-CN" w:bidi="ar-SA"/>
        </w:rPr>
        <w:t>2153万元；</w:t>
      </w:r>
      <w:r>
        <w:rPr>
          <w:rFonts w:hint="default" w:ascii="Times New Roman" w:hAnsi="仿宋" w:eastAsia="宋体" w:cs="仿宋"/>
          <w:kern w:val="2"/>
          <w:sz w:val="28"/>
          <w:szCs w:val="32"/>
          <w:lang w:val="en-US" w:eastAsia="zh-CN" w:bidi="ar-SA"/>
        </w:rPr>
        <w:t>渔业保险</w:t>
      </w:r>
      <w:r>
        <w:rPr>
          <w:rFonts w:hint="eastAsia" w:ascii="Times New Roman" w:hAnsi="仿宋" w:eastAsia="宋体" w:cs="仿宋"/>
          <w:kern w:val="2"/>
          <w:sz w:val="28"/>
          <w:szCs w:val="32"/>
          <w:lang w:val="en-US" w:eastAsia="zh-CN" w:bidi="ar-SA"/>
        </w:rPr>
        <w:t>投入</w:t>
      </w:r>
      <w:r>
        <w:rPr>
          <w:rFonts w:hint="default" w:ascii="Times New Roman" w:hAnsi="仿宋" w:eastAsia="宋体" w:cs="仿宋"/>
          <w:kern w:val="2"/>
          <w:sz w:val="28"/>
          <w:szCs w:val="32"/>
          <w:lang w:val="en-US" w:eastAsia="zh-CN" w:bidi="ar-SA"/>
        </w:rPr>
        <w:t>：</w:t>
      </w:r>
      <w:r>
        <w:rPr>
          <w:rFonts w:hint="eastAsia" w:ascii="Times New Roman" w:hAnsi="仿宋" w:eastAsia="宋体" w:cs="仿宋"/>
          <w:kern w:val="2"/>
          <w:sz w:val="28"/>
          <w:szCs w:val="32"/>
          <w:lang w:val="en-US" w:eastAsia="zh-CN" w:bidi="ar-SA"/>
        </w:rPr>
        <w:t>550万元</w:t>
      </w:r>
      <w:r>
        <w:rPr>
          <w:rFonts w:hint="eastAsia"/>
          <w:lang w:eastAsia="zh-CN"/>
        </w:rPr>
        <w:t>；</w:t>
      </w:r>
      <w:r>
        <w:rPr>
          <w:rFonts w:hint="default" w:ascii="Times New Roman" w:hAnsi="仿宋" w:eastAsia="宋体" w:cs="仿宋"/>
          <w:kern w:val="2"/>
          <w:sz w:val="28"/>
          <w:szCs w:val="32"/>
          <w:lang w:val="en-US" w:eastAsia="zh-CN" w:bidi="ar-SA"/>
        </w:rPr>
        <w:t>渔业船员培训</w:t>
      </w:r>
      <w:r>
        <w:rPr>
          <w:rFonts w:hint="eastAsia" w:ascii="Times New Roman" w:hAnsi="仿宋" w:eastAsia="宋体" w:cs="仿宋"/>
          <w:kern w:val="2"/>
          <w:sz w:val="28"/>
          <w:szCs w:val="32"/>
          <w:lang w:val="en-US" w:eastAsia="zh-CN" w:bidi="ar-SA"/>
        </w:rPr>
        <w:t>投入</w:t>
      </w:r>
      <w:r>
        <w:rPr>
          <w:rFonts w:hint="default" w:ascii="Times New Roman" w:hAnsi="仿宋" w:eastAsia="宋体" w:cs="仿宋"/>
          <w:kern w:val="2"/>
          <w:sz w:val="28"/>
          <w:szCs w:val="32"/>
          <w:lang w:val="en-US" w:eastAsia="zh-CN" w:bidi="ar-SA"/>
        </w:rPr>
        <w:t>：</w:t>
      </w:r>
      <w:r>
        <w:rPr>
          <w:rFonts w:hint="eastAsia" w:ascii="Times New Roman" w:hAnsi="仿宋" w:eastAsia="宋体" w:cs="仿宋"/>
          <w:kern w:val="2"/>
          <w:sz w:val="28"/>
          <w:szCs w:val="32"/>
          <w:lang w:val="en-US" w:eastAsia="zh-CN" w:bidi="ar-SA"/>
        </w:rPr>
        <w:t>110万元</w:t>
      </w:r>
      <w:r>
        <w:rPr>
          <w:rFonts w:hint="eastAsia"/>
          <w:lang w:eastAsia="zh-CN"/>
        </w:rPr>
        <w:t>；</w:t>
      </w:r>
      <w:r>
        <w:rPr>
          <w:rFonts w:hint="default" w:ascii="Times New Roman" w:hAnsi="仿宋" w:eastAsia="宋体" w:cs="仿宋"/>
          <w:kern w:val="2"/>
          <w:sz w:val="28"/>
          <w:szCs w:val="32"/>
          <w:lang w:val="en-US" w:eastAsia="zh-CN" w:bidi="ar-SA"/>
        </w:rPr>
        <w:t>渔业发展及安全专项</w:t>
      </w:r>
      <w:r>
        <w:rPr>
          <w:rFonts w:hint="eastAsia" w:ascii="Times New Roman" w:hAnsi="仿宋" w:eastAsia="宋体" w:cs="仿宋"/>
          <w:kern w:val="2"/>
          <w:sz w:val="28"/>
          <w:szCs w:val="32"/>
          <w:lang w:val="en-US" w:eastAsia="zh-CN" w:bidi="ar-SA"/>
        </w:rPr>
        <w:t>投入</w:t>
      </w:r>
      <w:r>
        <w:rPr>
          <w:rFonts w:hint="default" w:ascii="Times New Roman" w:hAnsi="仿宋" w:eastAsia="宋体" w:cs="仿宋"/>
          <w:kern w:val="2"/>
          <w:sz w:val="28"/>
          <w:szCs w:val="32"/>
          <w:lang w:val="en-US" w:eastAsia="zh-CN" w:bidi="ar-SA"/>
        </w:rPr>
        <w:t>：</w:t>
      </w:r>
      <w:r>
        <w:rPr>
          <w:rFonts w:hint="eastAsia" w:ascii="Times New Roman" w:hAnsi="仿宋" w:eastAsia="宋体" w:cs="仿宋"/>
          <w:kern w:val="2"/>
          <w:sz w:val="28"/>
          <w:szCs w:val="32"/>
          <w:lang w:val="en-US" w:eastAsia="zh-CN" w:bidi="ar-SA"/>
        </w:rPr>
        <w:t>372.6万元。</w:t>
      </w:r>
    </w:p>
    <w:p w14:paraId="4105C51D">
      <w:pPr>
        <w:pStyle w:val="2"/>
        <w:keepNext w:val="0"/>
        <w:keepLines w:val="0"/>
        <w:pageBreakBefore w:val="0"/>
        <w:kinsoku/>
        <w:wordWrap/>
        <w:overflowPunct/>
        <w:topLinePunct w:val="0"/>
        <w:autoSpaceDE/>
        <w:autoSpaceDN/>
        <w:bidi w:val="0"/>
        <w:snapToGrid/>
        <w:spacing w:before="156" w:beforeLines="50" w:beforeAutospacing="0" w:afterAutospacing="0" w:line="360" w:lineRule="auto"/>
        <w:ind w:left="0" w:leftChars="0" w:right="0" w:rightChars="0" w:firstLine="0" w:firstLineChars="0"/>
        <w:jc w:val="left"/>
        <w:textAlignment w:val="auto"/>
        <w:outlineLvl w:val="1"/>
        <w:rPr>
          <w:rFonts w:hint="eastAsia" w:ascii="Times New Roman" w:hAnsi="仿宋" w:eastAsia="宋体" w:cs="仿宋"/>
          <w:b/>
          <w:bCs/>
          <w:kern w:val="0"/>
          <w:sz w:val="30"/>
          <w:szCs w:val="32"/>
        </w:rPr>
      </w:pPr>
      <w:bookmarkStart w:id="29" w:name="_Toc12712"/>
      <w:r>
        <w:rPr>
          <w:rFonts w:hint="eastAsia" w:ascii="Times New Roman" w:hAnsi="仿宋" w:eastAsia="宋体" w:cs="仿宋"/>
          <w:b/>
          <w:bCs/>
          <w:kern w:val="0"/>
          <w:sz w:val="30"/>
          <w:szCs w:val="32"/>
        </w:rPr>
        <w:t>（四）绩效评价目标</w:t>
      </w:r>
      <w:bookmarkEnd w:id="29"/>
    </w:p>
    <w:p w14:paraId="63C4F80D">
      <w:pPr>
        <w:keepNext w:val="0"/>
        <w:keepLines w:val="0"/>
        <w:pageBreakBefore w:val="0"/>
        <w:kinsoku/>
        <w:wordWrap/>
        <w:overflowPunct/>
        <w:topLinePunct w:val="0"/>
        <w:autoSpaceDE/>
        <w:autoSpaceDN/>
        <w:bidi w:val="0"/>
        <w:snapToGrid/>
        <w:spacing w:beforeAutospacing="0" w:afterAutospacing="0" w:line="360" w:lineRule="auto"/>
        <w:ind w:left="0" w:leftChars="0" w:firstLine="560" w:firstLineChars="200"/>
        <w:textAlignment w:val="auto"/>
        <w:rPr>
          <w:rFonts w:hint="eastAsia" w:ascii="Times New Roman" w:hAnsi="仿宋" w:eastAsia="宋体" w:cs="仿宋"/>
          <w:sz w:val="28"/>
          <w:szCs w:val="32"/>
        </w:rPr>
      </w:pPr>
      <w:r>
        <w:rPr>
          <w:rFonts w:hint="eastAsia" w:ascii="Times New Roman" w:hAnsi="仿宋" w:eastAsia="宋体" w:cs="仿宋"/>
          <w:sz w:val="28"/>
          <w:szCs w:val="32"/>
          <w:lang w:val="en-US" w:eastAsia="zh-CN"/>
        </w:rPr>
        <w:t>2022年石狮市农业农村局绩效目标是</w:t>
      </w:r>
      <w:r>
        <w:rPr>
          <w:rFonts w:hint="eastAsia" w:ascii="Times New Roman" w:hAnsi="仿宋" w:eastAsia="宋体" w:cs="仿宋"/>
          <w:sz w:val="28"/>
          <w:szCs w:val="32"/>
        </w:rPr>
        <w:t>持续深入学习贯彻习近平总书记关于“三农”工作的重要论述</w:t>
      </w:r>
      <w:r>
        <w:rPr>
          <w:rFonts w:hint="eastAsia" w:ascii="Times New Roman" w:hAnsi="仿宋" w:eastAsia="宋体" w:cs="仿宋"/>
          <w:sz w:val="28"/>
          <w:szCs w:val="32"/>
          <w:lang w:eastAsia="zh-CN"/>
        </w:rPr>
        <w:t>，</w:t>
      </w:r>
      <w:r>
        <w:rPr>
          <w:rFonts w:hint="eastAsia" w:ascii="Times New Roman" w:hAnsi="仿宋" w:eastAsia="宋体" w:cs="仿宋"/>
          <w:sz w:val="28"/>
          <w:szCs w:val="32"/>
        </w:rPr>
        <w:t>严格按照各级有关农业农村工作部署，序时推进农业生产服务</w:t>
      </w:r>
      <w:r>
        <w:rPr>
          <w:rFonts w:hint="eastAsia" w:ascii="Times New Roman" w:hAnsi="仿宋" w:eastAsia="宋体" w:cs="仿宋"/>
          <w:sz w:val="28"/>
          <w:szCs w:val="32"/>
          <w:lang w:eastAsia="zh-CN"/>
        </w:rPr>
        <w:t>。</w:t>
      </w:r>
      <w:r>
        <w:rPr>
          <w:rFonts w:hint="eastAsia" w:ascii="Times New Roman" w:hAnsi="仿宋" w:eastAsia="宋体" w:cs="仿宋"/>
          <w:sz w:val="28"/>
          <w:szCs w:val="32"/>
        </w:rPr>
        <w:t>确保按时保质保量完成2022年上级下达的各项任务指标。完善乡村振兴规划体系，提升美丽家园和田园景观，落实防返贫控新贫稳脱贫工作机制，推进农业生产的规模化发展，完善农村集体产权制度改革后续工作，抓好安全管控措施以及加强农业综合执法力度</w:t>
      </w:r>
      <w:r>
        <w:rPr>
          <w:rFonts w:hint="eastAsia" w:ascii="Times New Roman" w:hAnsi="仿宋" w:eastAsia="宋体" w:cs="仿宋"/>
          <w:sz w:val="28"/>
          <w:szCs w:val="32"/>
          <w:lang w:eastAsia="zh-CN"/>
        </w:rPr>
        <w:t>。</w:t>
      </w:r>
    </w:p>
    <w:p w14:paraId="6D033D94">
      <w:pPr>
        <w:pStyle w:val="2"/>
        <w:keepNext w:val="0"/>
        <w:keepLines w:val="0"/>
        <w:pageBreakBefore w:val="0"/>
        <w:kinsoku/>
        <w:wordWrap/>
        <w:overflowPunct/>
        <w:topLinePunct w:val="0"/>
        <w:autoSpaceDE/>
        <w:autoSpaceDN/>
        <w:bidi w:val="0"/>
        <w:snapToGrid/>
        <w:spacing w:before="312" w:beforeLines="100" w:beforeAutospacing="0" w:after="156" w:afterLines="50" w:afterAutospacing="0" w:line="360" w:lineRule="auto"/>
        <w:ind w:left="0" w:leftChars="0" w:right="0" w:rightChars="0" w:firstLine="0" w:firstLineChars="0"/>
        <w:jc w:val="left"/>
        <w:textAlignment w:val="auto"/>
        <w:outlineLvl w:val="0"/>
        <w:rPr>
          <w:rFonts w:hint="eastAsia" w:ascii="Times New Roman" w:hAnsi="仿宋" w:eastAsia="宋体" w:cs="仿宋"/>
          <w:b/>
          <w:bCs/>
          <w:kern w:val="0"/>
          <w:sz w:val="32"/>
          <w:szCs w:val="32"/>
        </w:rPr>
      </w:pPr>
      <w:bookmarkStart w:id="30" w:name="_Toc26401"/>
      <w:r>
        <w:rPr>
          <w:rFonts w:hint="eastAsia" w:ascii="Times New Roman" w:hAnsi="仿宋" w:eastAsia="宋体" w:cs="仿宋"/>
          <w:b/>
          <w:bCs/>
          <w:kern w:val="0"/>
          <w:sz w:val="32"/>
          <w:szCs w:val="32"/>
        </w:rPr>
        <w:t>二、绩效评价工作开展情况</w:t>
      </w:r>
      <w:bookmarkEnd w:id="30"/>
    </w:p>
    <w:p w14:paraId="0D3A348C">
      <w:pPr>
        <w:pStyle w:val="2"/>
        <w:keepNext w:val="0"/>
        <w:keepLines w:val="0"/>
        <w:pageBreakBefore w:val="0"/>
        <w:kinsoku/>
        <w:wordWrap/>
        <w:overflowPunct/>
        <w:topLinePunct w:val="0"/>
        <w:autoSpaceDE/>
        <w:autoSpaceDN/>
        <w:bidi w:val="0"/>
        <w:snapToGrid/>
        <w:spacing w:before="156" w:beforeLines="50" w:beforeAutospacing="0" w:afterAutospacing="0" w:line="360" w:lineRule="auto"/>
        <w:ind w:left="0" w:leftChars="0" w:right="0" w:rightChars="0" w:firstLine="0" w:firstLineChars="0"/>
        <w:jc w:val="left"/>
        <w:textAlignment w:val="auto"/>
        <w:outlineLvl w:val="1"/>
        <w:rPr>
          <w:rFonts w:hint="eastAsia" w:ascii="Times New Roman" w:hAnsi="仿宋" w:eastAsia="宋体" w:cs="仿宋"/>
          <w:b/>
          <w:bCs/>
          <w:kern w:val="0"/>
          <w:sz w:val="30"/>
          <w:szCs w:val="32"/>
        </w:rPr>
      </w:pPr>
      <w:bookmarkStart w:id="31" w:name="_Toc24470"/>
      <w:r>
        <w:rPr>
          <w:rFonts w:hint="eastAsia" w:ascii="Times New Roman" w:hAnsi="仿宋" w:eastAsia="宋体" w:cs="仿宋"/>
          <w:b/>
          <w:bCs/>
          <w:kern w:val="0"/>
          <w:sz w:val="30"/>
          <w:szCs w:val="32"/>
        </w:rPr>
        <w:t>（一）前期准备</w:t>
      </w:r>
      <w:bookmarkEnd w:id="31"/>
    </w:p>
    <w:p w14:paraId="5BD04E84">
      <w:pPr>
        <w:keepNext w:val="0"/>
        <w:keepLines w:val="0"/>
        <w:pageBreakBefore w:val="0"/>
        <w:kinsoku/>
        <w:wordWrap/>
        <w:overflowPunct/>
        <w:topLinePunct w:val="0"/>
        <w:autoSpaceDE/>
        <w:autoSpaceDN/>
        <w:bidi w:val="0"/>
        <w:snapToGrid/>
        <w:spacing w:beforeAutospacing="0" w:afterAutospacing="0" w:line="360" w:lineRule="auto"/>
        <w:ind w:left="0" w:leftChars="0" w:firstLine="560" w:firstLineChars="200"/>
        <w:textAlignment w:val="auto"/>
        <w:rPr>
          <w:rFonts w:hint="eastAsia" w:ascii="Times New Roman" w:hAnsi="仿宋" w:eastAsia="宋体" w:cs="仿宋"/>
          <w:sz w:val="28"/>
          <w:szCs w:val="32"/>
        </w:rPr>
      </w:pPr>
      <w:r>
        <w:rPr>
          <w:rFonts w:hint="eastAsia" w:ascii="Times New Roman" w:hAnsi="仿宋" w:eastAsia="宋体" w:cs="仿宋"/>
          <w:sz w:val="28"/>
          <w:szCs w:val="32"/>
        </w:rPr>
        <w:t>泉州市启程财务咨询有限公司成立石狮市农业农村局部门整体支出绩效评价工作小组。绩效评价工作小组按照《项目支出绩效管理办法》（财预[2020]10号）、《关于全面实施预算绩效管理的实施意见》（闽委发〔2022〕5号）、《全面实施预算绩效管理的若干措施》（泉委办发〔2022〕42号），结合石狮市农业农村局部门整体支出具体情况制定绩效评价工作计划，拟定绩效评价指标体系。</w:t>
      </w:r>
    </w:p>
    <w:p w14:paraId="7B04CE9E">
      <w:pPr>
        <w:pStyle w:val="2"/>
        <w:keepNext w:val="0"/>
        <w:keepLines w:val="0"/>
        <w:pageBreakBefore w:val="0"/>
        <w:kinsoku/>
        <w:wordWrap/>
        <w:overflowPunct/>
        <w:topLinePunct w:val="0"/>
        <w:autoSpaceDE/>
        <w:autoSpaceDN/>
        <w:bidi w:val="0"/>
        <w:snapToGrid/>
        <w:spacing w:before="156" w:beforeLines="50" w:beforeAutospacing="0" w:afterAutospacing="0" w:line="360" w:lineRule="auto"/>
        <w:ind w:left="0" w:leftChars="0" w:right="0" w:rightChars="0" w:firstLine="0" w:firstLineChars="0"/>
        <w:jc w:val="left"/>
        <w:textAlignment w:val="auto"/>
        <w:outlineLvl w:val="1"/>
        <w:rPr>
          <w:rFonts w:hint="eastAsia" w:ascii="Times New Roman" w:hAnsi="仿宋" w:eastAsia="宋体" w:cs="仿宋"/>
          <w:b/>
          <w:bCs/>
          <w:kern w:val="0"/>
          <w:sz w:val="30"/>
          <w:szCs w:val="32"/>
        </w:rPr>
      </w:pPr>
      <w:bookmarkStart w:id="32" w:name="_Toc27852"/>
      <w:r>
        <w:rPr>
          <w:rFonts w:hint="eastAsia" w:ascii="Times New Roman" w:hAnsi="仿宋" w:eastAsia="宋体" w:cs="仿宋"/>
          <w:b/>
          <w:bCs/>
          <w:kern w:val="0"/>
          <w:sz w:val="30"/>
          <w:szCs w:val="32"/>
        </w:rPr>
        <w:t>（二）绩效评价的目的</w:t>
      </w:r>
      <w:bookmarkEnd w:id="32"/>
    </w:p>
    <w:p w14:paraId="44746E38">
      <w:pPr>
        <w:keepNext w:val="0"/>
        <w:keepLines w:val="0"/>
        <w:pageBreakBefore w:val="0"/>
        <w:widowControl/>
        <w:kinsoku/>
        <w:wordWrap/>
        <w:overflowPunct/>
        <w:topLinePunct w:val="0"/>
        <w:autoSpaceDE/>
        <w:autoSpaceDN/>
        <w:bidi w:val="0"/>
        <w:snapToGrid/>
        <w:spacing w:beforeAutospacing="0" w:afterAutospacing="0" w:line="360" w:lineRule="auto"/>
        <w:ind w:left="0" w:leftChars="0" w:firstLine="560" w:firstLineChars="200"/>
        <w:textAlignment w:val="auto"/>
        <w:rPr>
          <w:rFonts w:hint="eastAsia" w:ascii="Times New Roman" w:hAnsi="仿宋" w:eastAsia="宋体" w:cs="仿宋"/>
          <w:kern w:val="0"/>
          <w:sz w:val="28"/>
          <w:szCs w:val="32"/>
        </w:rPr>
      </w:pPr>
      <w:r>
        <w:rPr>
          <w:rFonts w:hint="eastAsia" w:ascii="Times New Roman" w:hAnsi="仿宋" w:eastAsia="宋体" w:cs="仿宋"/>
          <w:sz w:val="28"/>
          <w:szCs w:val="32"/>
        </w:rPr>
        <w:t>石狮市农业农村局部门</w:t>
      </w:r>
      <w:r>
        <w:rPr>
          <w:rFonts w:hint="eastAsia" w:ascii="Times New Roman" w:hAnsi="仿宋" w:eastAsia="宋体" w:cs="仿宋"/>
          <w:kern w:val="0"/>
          <w:sz w:val="28"/>
          <w:szCs w:val="32"/>
        </w:rPr>
        <w:t>整体支出主要目的是贯彻落实市委、市政府的重大决策部署，认真履行部门职责，做好全市农业农村等工作。</w:t>
      </w:r>
      <w:r>
        <w:rPr>
          <w:rFonts w:hint="eastAsia" w:ascii="Times New Roman" w:hAnsi="仿宋" w:eastAsia="宋体" w:cs="仿宋"/>
          <w:sz w:val="28"/>
          <w:szCs w:val="32"/>
        </w:rPr>
        <w:t>绩效评价工作小组</w:t>
      </w:r>
      <w:r>
        <w:rPr>
          <w:rFonts w:hint="eastAsia" w:ascii="Times New Roman" w:hAnsi="仿宋" w:eastAsia="宋体" w:cs="仿宋"/>
          <w:kern w:val="0"/>
          <w:sz w:val="28"/>
          <w:szCs w:val="32"/>
        </w:rPr>
        <w:t>通过绩效评价全面分析石狮市农业农村局部门整体支出资金的划拨、管理和使用情况，督促相关单位完善资金使用及管理制度，为今后提高整体支出资金使用的财政绩效提供借鉴。</w:t>
      </w:r>
    </w:p>
    <w:p w14:paraId="35639DA0">
      <w:pPr>
        <w:pStyle w:val="5"/>
        <w:keepNext w:val="0"/>
        <w:keepLines w:val="0"/>
        <w:pageBreakBefore w:val="0"/>
        <w:kinsoku/>
        <w:wordWrap/>
        <w:overflowPunct/>
        <w:topLinePunct w:val="0"/>
        <w:autoSpaceDE/>
        <w:autoSpaceDN/>
        <w:bidi w:val="0"/>
        <w:snapToGrid/>
        <w:spacing w:before="156" w:beforeLines="50" w:beforeAutospacing="0" w:after="0" w:afterAutospacing="0" w:line="360" w:lineRule="auto"/>
        <w:ind w:left="0" w:leftChars="0" w:right="0" w:rightChars="0" w:firstLine="0" w:firstLineChars="0"/>
        <w:jc w:val="left"/>
        <w:textAlignment w:val="auto"/>
        <w:outlineLvl w:val="1"/>
        <w:rPr>
          <w:rFonts w:hint="eastAsia" w:ascii="Times New Roman" w:hAnsi="仿宋" w:eastAsia="宋体" w:cs="仿宋"/>
          <w:b/>
          <w:kern w:val="0"/>
          <w:sz w:val="30"/>
          <w:szCs w:val="32"/>
        </w:rPr>
      </w:pPr>
      <w:bookmarkStart w:id="33" w:name="_Toc32165"/>
      <w:bookmarkStart w:id="34" w:name="_Toc1886"/>
      <w:bookmarkStart w:id="35" w:name="_Toc24027"/>
      <w:r>
        <w:rPr>
          <w:rFonts w:hint="eastAsia" w:ascii="Times New Roman" w:hAnsi="仿宋" w:eastAsia="宋体" w:cs="仿宋"/>
          <w:b/>
          <w:kern w:val="0"/>
          <w:sz w:val="30"/>
          <w:szCs w:val="32"/>
        </w:rPr>
        <w:t>（三）绩效评价的依据</w:t>
      </w:r>
      <w:bookmarkEnd w:id="33"/>
      <w:bookmarkEnd w:id="34"/>
      <w:bookmarkEnd w:id="35"/>
    </w:p>
    <w:p w14:paraId="54C99D7E">
      <w:pPr>
        <w:keepNext w:val="0"/>
        <w:keepLines w:val="0"/>
        <w:pageBreakBefore w:val="0"/>
        <w:kinsoku/>
        <w:wordWrap/>
        <w:overflowPunct/>
        <w:topLinePunct w:val="0"/>
        <w:autoSpaceDE/>
        <w:autoSpaceDN/>
        <w:bidi w:val="0"/>
        <w:adjustRightInd w:val="0"/>
        <w:snapToGrid/>
        <w:spacing w:beforeAutospacing="0" w:afterAutospacing="0" w:line="360" w:lineRule="auto"/>
        <w:ind w:left="0" w:leftChars="0" w:right="0" w:rightChars="0" w:firstLine="0" w:firstLineChars="0"/>
        <w:jc w:val="left"/>
        <w:textAlignment w:val="auto"/>
        <w:outlineLvl w:val="2"/>
        <w:rPr>
          <w:rFonts w:hint="eastAsia" w:ascii="Times New Roman" w:hAnsi="仿宋" w:eastAsia="宋体" w:cs="仿宋"/>
          <w:b w:val="0"/>
          <w:bCs/>
          <w:sz w:val="28"/>
          <w:szCs w:val="32"/>
        </w:rPr>
      </w:pPr>
      <w:bookmarkStart w:id="36" w:name="_Toc2116"/>
      <w:bookmarkStart w:id="37" w:name="_Toc2887"/>
      <w:bookmarkStart w:id="38" w:name="_Toc8487"/>
      <w:bookmarkStart w:id="39" w:name="_Toc235"/>
      <w:r>
        <w:rPr>
          <w:rFonts w:hint="eastAsia" w:ascii="Times New Roman" w:hAnsi="仿宋" w:eastAsia="宋体" w:cs="仿宋"/>
          <w:b w:val="0"/>
          <w:bCs/>
          <w:sz w:val="28"/>
          <w:szCs w:val="32"/>
        </w:rPr>
        <w:t>1.《项目支出绩效管理办法》（财预〔2020〕10号）</w:t>
      </w:r>
      <w:bookmarkEnd w:id="36"/>
      <w:bookmarkEnd w:id="37"/>
      <w:bookmarkEnd w:id="38"/>
      <w:bookmarkEnd w:id="39"/>
    </w:p>
    <w:p w14:paraId="65A1ECF6">
      <w:pPr>
        <w:keepNext w:val="0"/>
        <w:keepLines w:val="0"/>
        <w:pageBreakBefore w:val="0"/>
        <w:kinsoku/>
        <w:wordWrap/>
        <w:overflowPunct/>
        <w:topLinePunct w:val="0"/>
        <w:autoSpaceDE/>
        <w:autoSpaceDN/>
        <w:bidi w:val="0"/>
        <w:adjustRightInd w:val="0"/>
        <w:snapToGrid/>
        <w:spacing w:beforeAutospacing="0" w:afterAutospacing="0" w:line="360" w:lineRule="auto"/>
        <w:ind w:left="0" w:leftChars="0" w:right="0" w:rightChars="0" w:firstLine="0" w:firstLineChars="0"/>
        <w:jc w:val="left"/>
        <w:textAlignment w:val="auto"/>
        <w:outlineLvl w:val="2"/>
        <w:rPr>
          <w:rFonts w:hint="eastAsia" w:ascii="Times New Roman" w:hAnsi="仿宋" w:eastAsia="宋体" w:cs="仿宋"/>
          <w:b w:val="0"/>
          <w:bCs/>
          <w:sz w:val="28"/>
          <w:szCs w:val="32"/>
        </w:rPr>
      </w:pPr>
      <w:bookmarkStart w:id="40" w:name="_Toc24877"/>
      <w:r>
        <w:rPr>
          <w:rFonts w:hint="eastAsia" w:ascii="Times New Roman" w:hAnsi="仿宋" w:eastAsia="宋体" w:cs="仿宋"/>
          <w:b w:val="0"/>
          <w:bCs/>
          <w:sz w:val="28"/>
          <w:szCs w:val="32"/>
        </w:rPr>
        <w:t>2.《关于全面实施预算绩效管理的实施意见》（闽委发〔2022〕5号）</w:t>
      </w:r>
      <w:bookmarkEnd w:id="40"/>
    </w:p>
    <w:p w14:paraId="70A3F2F7">
      <w:pPr>
        <w:keepNext w:val="0"/>
        <w:keepLines w:val="0"/>
        <w:pageBreakBefore w:val="0"/>
        <w:kinsoku/>
        <w:wordWrap/>
        <w:overflowPunct/>
        <w:topLinePunct w:val="0"/>
        <w:autoSpaceDE/>
        <w:autoSpaceDN/>
        <w:bidi w:val="0"/>
        <w:adjustRightInd w:val="0"/>
        <w:snapToGrid/>
        <w:spacing w:beforeAutospacing="0" w:afterAutospacing="0" w:line="360" w:lineRule="auto"/>
        <w:ind w:left="0" w:leftChars="0" w:right="0" w:rightChars="0" w:firstLine="0" w:firstLineChars="0"/>
        <w:jc w:val="left"/>
        <w:textAlignment w:val="auto"/>
        <w:outlineLvl w:val="2"/>
        <w:rPr>
          <w:rFonts w:hint="eastAsia" w:ascii="Times New Roman" w:hAnsi="仿宋" w:eastAsia="宋体" w:cs="仿宋"/>
          <w:b w:val="0"/>
          <w:bCs/>
          <w:sz w:val="28"/>
          <w:szCs w:val="32"/>
        </w:rPr>
      </w:pPr>
      <w:bookmarkStart w:id="41" w:name="_Toc11298"/>
      <w:bookmarkStart w:id="42" w:name="_Toc26033"/>
      <w:bookmarkStart w:id="43" w:name="_Toc25900"/>
      <w:bookmarkStart w:id="44" w:name="_Toc27228"/>
      <w:r>
        <w:rPr>
          <w:rFonts w:hint="eastAsia" w:ascii="Times New Roman" w:hAnsi="仿宋" w:eastAsia="宋体" w:cs="仿宋"/>
          <w:b w:val="0"/>
          <w:bCs/>
          <w:sz w:val="28"/>
          <w:szCs w:val="32"/>
        </w:rPr>
        <w:t>3.《财政支出绩效评价管理办法》（闽财绩〔2015〕4号）</w:t>
      </w:r>
      <w:bookmarkEnd w:id="41"/>
      <w:bookmarkEnd w:id="42"/>
      <w:bookmarkEnd w:id="43"/>
      <w:bookmarkEnd w:id="44"/>
    </w:p>
    <w:p w14:paraId="51059BDC">
      <w:pPr>
        <w:keepNext w:val="0"/>
        <w:keepLines w:val="0"/>
        <w:pageBreakBefore w:val="0"/>
        <w:kinsoku/>
        <w:wordWrap/>
        <w:overflowPunct/>
        <w:topLinePunct w:val="0"/>
        <w:autoSpaceDE/>
        <w:autoSpaceDN/>
        <w:bidi w:val="0"/>
        <w:adjustRightInd w:val="0"/>
        <w:snapToGrid/>
        <w:spacing w:beforeAutospacing="0" w:afterAutospacing="0" w:line="360" w:lineRule="auto"/>
        <w:ind w:left="0" w:leftChars="0" w:right="0" w:rightChars="0" w:firstLine="0" w:firstLineChars="0"/>
        <w:jc w:val="left"/>
        <w:textAlignment w:val="auto"/>
        <w:outlineLvl w:val="2"/>
        <w:rPr>
          <w:rFonts w:hint="eastAsia" w:ascii="Times New Roman" w:hAnsi="仿宋" w:eastAsia="宋体" w:cs="仿宋"/>
          <w:b w:val="0"/>
          <w:bCs/>
          <w:sz w:val="28"/>
          <w:szCs w:val="32"/>
        </w:rPr>
      </w:pPr>
      <w:bookmarkStart w:id="45" w:name="_Toc10124"/>
      <w:r>
        <w:rPr>
          <w:rFonts w:hint="eastAsia" w:ascii="Times New Roman" w:hAnsi="仿宋" w:eastAsia="宋体" w:cs="仿宋"/>
          <w:b w:val="0"/>
          <w:bCs/>
          <w:sz w:val="28"/>
          <w:szCs w:val="32"/>
        </w:rPr>
        <w:t>4.《全面实施预算绩效管理的若干措施》（泉委办发〔2022〕42号）</w:t>
      </w:r>
      <w:bookmarkEnd w:id="45"/>
    </w:p>
    <w:p w14:paraId="29A4DA14">
      <w:pPr>
        <w:keepNext w:val="0"/>
        <w:keepLines w:val="0"/>
        <w:pageBreakBefore w:val="0"/>
        <w:kinsoku/>
        <w:wordWrap/>
        <w:overflowPunct/>
        <w:topLinePunct w:val="0"/>
        <w:autoSpaceDE/>
        <w:autoSpaceDN/>
        <w:bidi w:val="0"/>
        <w:adjustRightInd w:val="0"/>
        <w:snapToGrid/>
        <w:spacing w:beforeAutospacing="0" w:afterAutospacing="0" w:line="360" w:lineRule="auto"/>
        <w:ind w:left="0" w:leftChars="0" w:right="0" w:rightChars="0" w:firstLine="0" w:firstLineChars="0"/>
        <w:jc w:val="left"/>
        <w:textAlignment w:val="auto"/>
        <w:outlineLvl w:val="2"/>
        <w:rPr>
          <w:rFonts w:hint="eastAsia" w:ascii="Times New Roman" w:hAnsi="仿宋" w:eastAsia="宋体" w:cs="仿宋"/>
          <w:b w:val="0"/>
          <w:bCs/>
          <w:sz w:val="28"/>
          <w:szCs w:val="32"/>
        </w:rPr>
      </w:pPr>
      <w:bookmarkStart w:id="46" w:name="_Toc5893"/>
      <w:r>
        <w:rPr>
          <w:rFonts w:hint="eastAsia" w:ascii="Times New Roman" w:hAnsi="仿宋" w:eastAsia="宋体" w:cs="仿宋"/>
          <w:b w:val="0"/>
          <w:bCs/>
          <w:sz w:val="28"/>
          <w:szCs w:val="32"/>
        </w:rPr>
        <w:t>5.《石狮市财政局关于开展2023年财政预算绩效重点评价工作的通知》（狮财绩〔2023〕5号）</w:t>
      </w:r>
      <w:bookmarkEnd w:id="46"/>
    </w:p>
    <w:p w14:paraId="1937BC5F">
      <w:pPr>
        <w:keepNext w:val="0"/>
        <w:keepLines w:val="0"/>
        <w:pageBreakBefore w:val="0"/>
        <w:kinsoku/>
        <w:wordWrap/>
        <w:overflowPunct/>
        <w:topLinePunct w:val="0"/>
        <w:autoSpaceDE/>
        <w:autoSpaceDN/>
        <w:bidi w:val="0"/>
        <w:snapToGrid/>
        <w:spacing w:before="156" w:beforeLines="50" w:beforeAutospacing="0" w:afterAutospacing="0" w:line="360" w:lineRule="auto"/>
        <w:ind w:left="0" w:leftChars="0" w:right="0" w:rightChars="0" w:firstLine="0" w:firstLineChars="0"/>
        <w:jc w:val="left"/>
        <w:textAlignment w:val="auto"/>
        <w:outlineLvl w:val="1"/>
        <w:rPr>
          <w:rFonts w:hint="eastAsia" w:ascii="Times New Roman" w:hAnsi="仿宋" w:eastAsia="宋体" w:cs="仿宋"/>
          <w:b/>
          <w:bCs/>
          <w:sz w:val="30"/>
          <w:szCs w:val="32"/>
        </w:rPr>
      </w:pPr>
      <w:bookmarkStart w:id="47" w:name="_Toc4755"/>
      <w:bookmarkStart w:id="48" w:name="_Toc32701"/>
      <w:r>
        <w:rPr>
          <w:rFonts w:hint="eastAsia" w:ascii="Times New Roman" w:hAnsi="仿宋" w:eastAsia="宋体" w:cs="仿宋"/>
          <w:b/>
          <w:bCs/>
          <w:sz w:val="30"/>
          <w:szCs w:val="32"/>
        </w:rPr>
        <w:t>（四）绩效评价工作的开展情况</w:t>
      </w:r>
      <w:bookmarkEnd w:id="47"/>
      <w:bookmarkEnd w:id="48"/>
    </w:p>
    <w:p w14:paraId="62C3F647">
      <w:pPr>
        <w:keepNext w:val="0"/>
        <w:keepLines w:val="0"/>
        <w:pageBreakBefore w:val="0"/>
        <w:kinsoku/>
        <w:wordWrap/>
        <w:overflowPunct/>
        <w:topLinePunct w:val="0"/>
        <w:autoSpaceDE/>
        <w:autoSpaceDN/>
        <w:bidi w:val="0"/>
        <w:snapToGrid/>
        <w:spacing w:beforeAutospacing="0" w:afterAutospacing="0" w:line="360" w:lineRule="auto"/>
        <w:ind w:left="0" w:leftChars="0" w:firstLine="560" w:firstLineChars="200"/>
        <w:textAlignment w:val="auto"/>
        <w:rPr>
          <w:rFonts w:hint="eastAsia" w:ascii="Times New Roman" w:hAnsi="仿宋" w:eastAsia="宋体" w:cs="仿宋"/>
          <w:sz w:val="28"/>
          <w:szCs w:val="32"/>
        </w:rPr>
      </w:pPr>
      <w:r>
        <w:rPr>
          <w:rFonts w:hint="eastAsia" w:ascii="Times New Roman" w:hAnsi="仿宋" w:eastAsia="宋体" w:cs="仿宋"/>
          <w:sz w:val="28"/>
          <w:szCs w:val="32"/>
        </w:rPr>
        <w:t>1.按计划与要求对2022年度石狮市农业农村局部门整体支出绩效评价工作进行调研方案设计；</w:t>
      </w:r>
    </w:p>
    <w:p w14:paraId="3B3EB256">
      <w:pPr>
        <w:keepNext w:val="0"/>
        <w:keepLines w:val="0"/>
        <w:pageBreakBefore w:val="0"/>
        <w:kinsoku/>
        <w:wordWrap/>
        <w:overflowPunct/>
        <w:topLinePunct w:val="0"/>
        <w:autoSpaceDE/>
        <w:autoSpaceDN/>
        <w:bidi w:val="0"/>
        <w:snapToGrid/>
        <w:spacing w:beforeAutospacing="0" w:afterAutospacing="0" w:line="360" w:lineRule="auto"/>
        <w:ind w:left="0" w:leftChars="0" w:firstLine="560" w:firstLineChars="200"/>
        <w:textAlignment w:val="auto"/>
        <w:rPr>
          <w:rFonts w:hint="eastAsia" w:ascii="Times New Roman" w:hAnsi="仿宋" w:eastAsia="宋体" w:cs="仿宋"/>
          <w:sz w:val="28"/>
          <w:szCs w:val="32"/>
        </w:rPr>
      </w:pPr>
      <w:r>
        <w:rPr>
          <w:rFonts w:hint="eastAsia" w:ascii="Times New Roman" w:hAnsi="仿宋" w:eastAsia="宋体" w:cs="仿宋"/>
          <w:sz w:val="28"/>
          <w:szCs w:val="32"/>
        </w:rPr>
        <w:t>2.绩效评价工作小组成员开展石狮市农业农村局部门整体支出资金的项目资料收集，</w:t>
      </w:r>
      <w:r>
        <w:rPr>
          <w:rFonts w:hint="eastAsia" w:ascii="Times New Roman" w:hAnsi="仿宋" w:eastAsia="宋体" w:cs="仿宋"/>
          <w:kern w:val="0"/>
          <w:sz w:val="28"/>
          <w:szCs w:val="32"/>
        </w:rPr>
        <w:t>收集项目相关政策文件和制度等资料，审查核实项目申报、评审、批复及实施等情况，资金拨付、使用及管理情况，相关制度建设执行情况，绩效目标实现程度等</w:t>
      </w:r>
      <w:r>
        <w:rPr>
          <w:rFonts w:hint="eastAsia" w:ascii="Times New Roman" w:hAnsi="仿宋" w:eastAsia="宋体" w:cs="仿宋"/>
          <w:sz w:val="28"/>
          <w:szCs w:val="32"/>
        </w:rPr>
        <w:t>；</w:t>
      </w:r>
    </w:p>
    <w:p w14:paraId="268718DA">
      <w:pPr>
        <w:keepNext w:val="0"/>
        <w:keepLines w:val="0"/>
        <w:pageBreakBefore w:val="0"/>
        <w:kinsoku/>
        <w:wordWrap/>
        <w:overflowPunct/>
        <w:topLinePunct w:val="0"/>
        <w:autoSpaceDE/>
        <w:autoSpaceDN/>
        <w:bidi w:val="0"/>
        <w:snapToGrid/>
        <w:spacing w:beforeAutospacing="0" w:afterAutospacing="0" w:line="360" w:lineRule="auto"/>
        <w:ind w:left="0" w:leftChars="0" w:firstLine="560" w:firstLineChars="200"/>
        <w:textAlignment w:val="auto"/>
        <w:rPr>
          <w:rFonts w:hint="eastAsia" w:ascii="Times New Roman" w:hAnsi="仿宋" w:eastAsia="宋体" w:cs="仿宋"/>
          <w:sz w:val="28"/>
          <w:szCs w:val="32"/>
        </w:rPr>
      </w:pPr>
      <w:r>
        <w:rPr>
          <w:rFonts w:hint="eastAsia" w:ascii="Times New Roman" w:hAnsi="仿宋" w:eastAsia="宋体" w:cs="仿宋"/>
          <w:sz w:val="28"/>
          <w:szCs w:val="32"/>
        </w:rPr>
        <w:t>3.拟定2022年度石狮市农业农村局部门整体支出绩效评价指标体系，与石狮市财政局、石狮市农业农村局等相关部门探讨、修订绩效评价指标体系；</w:t>
      </w:r>
    </w:p>
    <w:p w14:paraId="7C92EE08">
      <w:pPr>
        <w:keepNext w:val="0"/>
        <w:keepLines w:val="0"/>
        <w:pageBreakBefore w:val="0"/>
        <w:kinsoku/>
        <w:wordWrap/>
        <w:overflowPunct/>
        <w:topLinePunct w:val="0"/>
        <w:autoSpaceDE/>
        <w:autoSpaceDN/>
        <w:bidi w:val="0"/>
        <w:snapToGrid/>
        <w:spacing w:beforeAutospacing="0" w:afterAutospacing="0" w:line="360" w:lineRule="auto"/>
        <w:ind w:left="0" w:leftChars="0" w:firstLine="560" w:firstLineChars="200"/>
        <w:textAlignment w:val="auto"/>
        <w:rPr>
          <w:rFonts w:hint="eastAsia" w:ascii="Times New Roman" w:hAnsi="仿宋" w:eastAsia="宋体" w:cs="仿宋"/>
          <w:sz w:val="28"/>
          <w:szCs w:val="32"/>
        </w:rPr>
      </w:pPr>
      <w:r>
        <w:rPr>
          <w:rFonts w:hint="eastAsia" w:ascii="Times New Roman" w:hAnsi="仿宋" w:eastAsia="宋体" w:cs="仿宋"/>
          <w:sz w:val="28"/>
          <w:szCs w:val="32"/>
        </w:rPr>
        <w:t>4.根据修订后的指标体系以及绩效评价过程中出现的问题，绩效评价工作小组进一步搜集绩效评价所需的数据、资料；</w:t>
      </w:r>
    </w:p>
    <w:p w14:paraId="0BE02426">
      <w:pPr>
        <w:keepNext w:val="0"/>
        <w:keepLines w:val="0"/>
        <w:pageBreakBefore w:val="0"/>
        <w:kinsoku/>
        <w:wordWrap/>
        <w:overflowPunct/>
        <w:topLinePunct w:val="0"/>
        <w:autoSpaceDE/>
        <w:autoSpaceDN/>
        <w:bidi w:val="0"/>
        <w:snapToGrid/>
        <w:spacing w:beforeAutospacing="0" w:afterAutospacing="0" w:line="360" w:lineRule="auto"/>
        <w:ind w:left="0" w:leftChars="0" w:firstLine="560" w:firstLineChars="200"/>
        <w:textAlignment w:val="auto"/>
        <w:rPr>
          <w:rFonts w:hint="eastAsia" w:ascii="Times New Roman" w:hAnsi="仿宋" w:eastAsia="宋体" w:cs="仿宋"/>
          <w:sz w:val="28"/>
          <w:szCs w:val="32"/>
        </w:rPr>
      </w:pPr>
      <w:r>
        <w:rPr>
          <w:rFonts w:hint="eastAsia" w:ascii="Times New Roman" w:hAnsi="仿宋" w:eastAsia="宋体" w:cs="仿宋"/>
          <w:sz w:val="28"/>
          <w:szCs w:val="32"/>
        </w:rPr>
        <w:t>5.归纳、分析、综合数据与资料，对2022年度石狮市农业农村局部门整体支出的绩效进行分析，完成2022年度石狮市农业农村局部门整体支出绩效评价报告征求意见稿；</w:t>
      </w:r>
    </w:p>
    <w:p w14:paraId="1B688515">
      <w:pPr>
        <w:keepNext w:val="0"/>
        <w:keepLines w:val="0"/>
        <w:pageBreakBefore w:val="0"/>
        <w:kinsoku/>
        <w:wordWrap/>
        <w:overflowPunct/>
        <w:topLinePunct w:val="0"/>
        <w:autoSpaceDE/>
        <w:autoSpaceDN/>
        <w:bidi w:val="0"/>
        <w:snapToGrid/>
        <w:spacing w:beforeAutospacing="0" w:afterAutospacing="0" w:line="360" w:lineRule="auto"/>
        <w:ind w:left="0" w:leftChars="0" w:firstLine="560" w:firstLineChars="200"/>
        <w:textAlignment w:val="auto"/>
        <w:rPr>
          <w:rFonts w:hint="eastAsia" w:ascii="Times New Roman" w:hAnsi="仿宋" w:eastAsia="宋体" w:cs="仿宋"/>
          <w:sz w:val="28"/>
          <w:szCs w:val="32"/>
        </w:rPr>
      </w:pPr>
      <w:r>
        <w:rPr>
          <w:rFonts w:hint="eastAsia" w:ascii="Times New Roman" w:hAnsi="仿宋" w:eastAsia="宋体" w:cs="仿宋"/>
          <w:sz w:val="28"/>
          <w:szCs w:val="32"/>
        </w:rPr>
        <w:t>6.征询石狮市财政局和石狮市农业农村局的意见，对征求意见稿进行修改，完成《2022年度石狮市农业农村局部门整体支出绩效评价报告》。</w:t>
      </w:r>
    </w:p>
    <w:p w14:paraId="6512B433">
      <w:pPr>
        <w:pStyle w:val="5"/>
        <w:keepNext w:val="0"/>
        <w:keepLines w:val="0"/>
        <w:pageBreakBefore w:val="0"/>
        <w:kinsoku/>
        <w:wordWrap/>
        <w:overflowPunct/>
        <w:topLinePunct w:val="0"/>
        <w:autoSpaceDE/>
        <w:autoSpaceDN/>
        <w:bidi w:val="0"/>
        <w:snapToGrid/>
        <w:spacing w:before="156" w:beforeLines="50" w:beforeAutospacing="0" w:after="0" w:afterAutospacing="0" w:line="360" w:lineRule="auto"/>
        <w:ind w:left="0" w:leftChars="0" w:right="0" w:rightChars="0" w:firstLine="0" w:firstLineChars="0"/>
        <w:jc w:val="left"/>
        <w:textAlignment w:val="auto"/>
        <w:outlineLvl w:val="1"/>
        <w:rPr>
          <w:rFonts w:hint="eastAsia" w:ascii="Times New Roman" w:hAnsi="仿宋" w:eastAsia="宋体" w:cs="仿宋"/>
          <w:b/>
          <w:kern w:val="2"/>
          <w:sz w:val="30"/>
          <w:szCs w:val="32"/>
        </w:rPr>
      </w:pPr>
      <w:bookmarkStart w:id="49" w:name="_Toc5360"/>
      <w:bookmarkStart w:id="50" w:name="_Toc18010"/>
      <w:bookmarkStart w:id="51" w:name="_Toc4268"/>
      <w:bookmarkStart w:id="52" w:name="_Toc27563"/>
      <w:bookmarkStart w:id="53" w:name="_Toc20317"/>
      <w:r>
        <w:rPr>
          <w:rFonts w:hint="eastAsia" w:ascii="Times New Roman" w:hAnsi="仿宋" w:eastAsia="宋体" w:cs="仿宋"/>
          <w:b/>
          <w:kern w:val="2"/>
          <w:sz w:val="30"/>
          <w:szCs w:val="32"/>
        </w:rPr>
        <w:t>（五）绩效评价方法</w:t>
      </w:r>
      <w:bookmarkEnd w:id="49"/>
      <w:bookmarkEnd w:id="50"/>
      <w:bookmarkEnd w:id="51"/>
      <w:bookmarkEnd w:id="52"/>
      <w:bookmarkEnd w:id="53"/>
    </w:p>
    <w:p w14:paraId="10DA8DAD">
      <w:pPr>
        <w:pStyle w:val="4"/>
        <w:keepNext w:val="0"/>
        <w:keepLines w:val="0"/>
        <w:pageBreakBefore w:val="0"/>
        <w:kinsoku/>
        <w:wordWrap/>
        <w:overflowPunct/>
        <w:topLinePunct w:val="0"/>
        <w:autoSpaceDE/>
        <w:autoSpaceDN/>
        <w:bidi w:val="0"/>
        <w:snapToGrid/>
        <w:spacing w:before="0" w:beforeAutospacing="0" w:after="0" w:afterAutospacing="0" w:line="360" w:lineRule="auto"/>
        <w:ind w:left="0" w:leftChars="0" w:firstLine="560" w:firstLineChars="200"/>
        <w:textAlignment w:val="auto"/>
        <w:rPr>
          <w:rFonts w:hint="eastAsia" w:ascii="Times New Roman" w:hAnsi="仿宋" w:eastAsia="宋体" w:cs="仿宋"/>
          <w:b w:val="0"/>
          <w:bCs w:val="0"/>
          <w:kern w:val="2"/>
          <w:sz w:val="28"/>
          <w:szCs w:val="32"/>
        </w:rPr>
      </w:pPr>
      <w:bookmarkStart w:id="54" w:name="_Toc12978"/>
      <w:bookmarkStart w:id="55" w:name="_Toc2315"/>
      <w:bookmarkStart w:id="56" w:name="_Toc15860"/>
      <w:bookmarkStart w:id="57" w:name="_Toc12839"/>
      <w:bookmarkStart w:id="58" w:name="_Toc30097"/>
      <w:bookmarkStart w:id="59" w:name="_Toc15324"/>
      <w:r>
        <w:rPr>
          <w:rFonts w:hint="eastAsia" w:ascii="Times New Roman" w:hAnsi="仿宋" w:eastAsia="宋体" w:cs="仿宋"/>
          <w:b w:val="0"/>
          <w:bCs w:val="0"/>
          <w:kern w:val="2"/>
          <w:sz w:val="28"/>
          <w:szCs w:val="32"/>
        </w:rPr>
        <w:t>1.比较法。是指通过实际支出、实施效果等与绩效目标、历史情况、不同地区同类支出等的比较，综合分析绩效目标实现程度。</w:t>
      </w:r>
      <w:bookmarkEnd w:id="54"/>
      <w:bookmarkEnd w:id="55"/>
      <w:bookmarkEnd w:id="56"/>
      <w:bookmarkEnd w:id="57"/>
      <w:bookmarkEnd w:id="58"/>
    </w:p>
    <w:p w14:paraId="3E6DBB47">
      <w:pPr>
        <w:pStyle w:val="4"/>
        <w:keepNext w:val="0"/>
        <w:keepLines w:val="0"/>
        <w:pageBreakBefore w:val="0"/>
        <w:kinsoku/>
        <w:wordWrap/>
        <w:overflowPunct/>
        <w:topLinePunct w:val="0"/>
        <w:autoSpaceDE/>
        <w:autoSpaceDN/>
        <w:bidi w:val="0"/>
        <w:snapToGrid/>
        <w:spacing w:before="0" w:beforeAutospacing="0" w:after="0" w:afterAutospacing="0" w:line="360" w:lineRule="auto"/>
        <w:ind w:left="0" w:leftChars="0" w:firstLine="560" w:firstLineChars="200"/>
        <w:textAlignment w:val="auto"/>
        <w:rPr>
          <w:rFonts w:hint="eastAsia" w:ascii="Times New Roman" w:hAnsi="仿宋" w:eastAsia="宋体" w:cs="仿宋"/>
          <w:b w:val="0"/>
          <w:bCs w:val="0"/>
          <w:kern w:val="2"/>
          <w:sz w:val="28"/>
          <w:szCs w:val="32"/>
        </w:rPr>
      </w:pPr>
      <w:bookmarkStart w:id="60" w:name="_Toc6088"/>
      <w:bookmarkStart w:id="61" w:name="_Toc7039"/>
      <w:bookmarkStart w:id="62" w:name="_Toc27757"/>
      <w:bookmarkStart w:id="63" w:name="_Toc6767"/>
      <w:bookmarkStart w:id="64" w:name="_Toc16630"/>
      <w:r>
        <w:rPr>
          <w:rFonts w:hint="eastAsia" w:ascii="Times New Roman" w:hAnsi="仿宋" w:eastAsia="宋体" w:cs="仿宋"/>
          <w:b w:val="0"/>
          <w:bCs w:val="0"/>
          <w:kern w:val="2"/>
          <w:sz w:val="28"/>
          <w:szCs w:val="32"/>
        </w:rPr>
        <w:t>2.成本效益分析法。是指将一定时期内的支出与效益进行对比分析，以评价绩效目标实现程度。</w:t>
      </w:r>
      <w:bookmarkEnd w:id="60"/>
      <w:bookmarkEnd w:id="61"/>
      <w:bookmarkEnd w:id="62"/>
      <w:bookmarkEnd w:id="63"/>
      <w:bookmarkEnd w:id="64"/>
    </w:p>
    <w:p w14:paraId="6F49F6FA">
      <w:pPr>
        <w:pStyle w:val="4"/>
        <w:keepNext w:val="0"/>
        <w:keepLines w:val="0"/>
        <w:pageBreakBefore w:val="0"/>
        <w:kinsoku/>
        <w:wordWrap/>
        <w:overflowPunct/>
        <w:topLinePunct w:val="0"/>
        <w:autoSpaceDE/>
        <w:autoSpaceDN/>
        <w:bidi w:val="0"/>
        <w:snapToGrid/>
        <w:spacing w:before="0" w:beforeAutospacing="0" w:after="0" w:afterAutospacing="0" w:line="360" w:lineRule="auto"/>
        <w:ind w:left="0" w:leftChars="0" w:firstLine="560" w:firstLineChars="200"/>
        <w:textAlignment w:val="auto"/>
        <w:rPr>
          <w:rFonts w:hint="eastAsia" w:ascii="Times New Roman" w:hAnsi="仿宋" w:eastAsia="宋体" w:cs="仿宋"/>
          <w:b w:val="0"/>
          <w:bCs w:val="0"/>
          <w:kern w:val="2"/>
          <w:sz w:val="28"/>
          <w:szCs w:val="32"/>
        </w:rPr>
      </w:pPr>
      <w:bookmarkStart w:id="65" w:name="_Toc5093"/>
      <w:bookmarkStart w:id="66" w:name="_Toc30833"/>
      <w:bookmarkStart w:id="67" w:name="_Toc15625"/>
      <w:bookmarkStart w:id="68" w:name="_Toc7191"/>
      <w:bookmarkStart w:id="69" w:name="_Toc4446"/>
      <w:r>
        <w:rPr>
          <w:rFonts w:hint="eastAsia" w:ascii="Times New Roman" w:hAnsi="仿宋" w:eastAsia="宋体" w:cs="仿宋"/>
          <w:b w:val="0"/>
          <w:bCs w:val="0"/>
          <w:kern w:val="2"/>
          <w:sz w:val="28"/>
          <w:szCs w:val="32"/>
        </w:rPr>
        <w:t>3.服务对象评判法。是指通过对服务对象进行问卷及抽样调查等对财政支出的效果进行评判，评价绩效目标实现程度。</w:t>
      </w:r>
      <w:bookmarkEnd w:id="65"/>
      <w:bookmarkEnd w:id="66"/>
      <w:bookmarkEnd w:id="67"/>
      <w:bookmarkEnd w:id="68"/>
      <w:bookmarkEnd w:id="69"/>
      <w:bookmarkStart w:id="70" w:name="_Toc26633"/>
      <w:bookmarkStart w:id="71" w:name="_Toc19550"/>
      <w:bookmarkStart w:id="72" w:name="_Toc29610"/>
    </w:p>
    <w:p w14:paraId="46B71092">
      <w:pPr>
        <w:pStyle w:val="4"/>
        <w:keepNext w:val="0"/>
        <w:keepLines w:val="0"/>
        <w:pageBreakBefore w:val="0"/>
        <w:kinsoku/>
        <w:wordWrap/>
        <w:overflowPunct/>
        <w:topLinePunct w:val="0"/>
        <w:autoSpaceDE/>
        <w:autoSpaceDN/>
        <w:bidi w:val="0"/>
        <w:snapToGrid/>
        <w:spacing w:before="312" w:beforeLines="100" w:beforeAutospacing="0" w:after="156" w:afterLines="50" w:afterAutospacing="0" w:line="360" w:lineRule="auto"/>
        <w:ind w:left="0" w:leftChars="0" w:right="0" w:rightChars="0" w:firstLine="0" w:firstLineChars="0"/>
        <w:jc w:val="left"/>
        <w:textAlignment w:val="auto"/>
        <w:outlineLvl w:val="0"/>
        <w:rPr>
          <w:rFonts w:hint="eastAsia" w:ascii="Times New Roman" w:hAnsi="仿宋" w:eastAsia="宋体" w:cs="仿宋"/>
          <w:b/>
          <w:kern w:val="2"/>
          <w:sz w:val="32"/>
          <w:szCs w:val="32"/>
        </w:rPr>
      </w:pPr>
      <w:bookmarkStart w:id="73" w:name="_Toc17980"/>
      <w:bookmarkStart w:id="74" w:name="_Toc29737"/>
      <w:bookmarkStart w:id="75" w:name="_Toc29695"/>
      <w:r>
        <w:rPr>
          <w:rFonts w:hint="eastAsia" w:ascii="Times New Roman" w:hAnsi="仿宋" w:eastAsia="宋体" w:cs="仿宋"/>
          <w:b/>
          <w:kern w:val="2"/>
          <w:sz w:val="32"/>
          <w:szCs w:val="32"/>
        </w:rPr>
        <w:t>三、绩效评价指标体系及评价标准</w:t>
      </w:r>
      <w:bookmarkEnd w:id="70"/>
      <w:bookmarkEnd w:id="71"/>
      <w:bookmarkEnd w:id="72"/>
      <w:bookmarkEnd w:id="73"/>
      <w:bookmarkEnd w:id="74"/>
      <w:bookmarkEnd w:id="75"/>
    </w:p>
    <w:p w14:paraId="554BD684">
      <w:pPr>
        <w:keepNext w:val="0"/>
        <w:keepLines w:val="0"/>
        <w:pageBreakBefore w:val="0"/>
        <w:widowControl/>
        <w:kinsoku/>
        <w:wordWrap/>
        <w:overflowPunct/>
        <w:topLinePunct w:val="0"/>
        <w:autoSpaceDE/>
        <w:autoSpaceDN/>
        <w:bidi w:val="0"/>
        <w:snapToGrid/>
        <w:spacing w:beforeAutospacing="0" w:afterAutospacing="0" w:line="360" w:lineRule="auto"/>
        <w:ind w:left="0" w:leftChars="0" w:firstLine="560" w:firstLineChars="200"/>
        <w:textAlignment w:val="auto"/>
        <w:rPr>
          <w:rFonts w:hint="eastAsia" w:ascii="Times New Roman" w:hAnsi="仿宋" w:eastAsia="宋体" w:cs="仿宋"/>
          <w:b/>
          <w:bCs/>
          <w:sz w:val="28"/>
          <w:szCs w:val="32"/>
        </w:rPr>
      </w:pPr>
      <w:r>
        <w:rPr>
          <w:rFonts w:hint="eastAsia" w:ascii="Times New Roman" w:hAnsi="仿宋" w:eastAsia="宋体" w:cs="仿宋"/>
          <w:sz w:val="28"/>
          <w:szCs w:val="32"/>
        </w:rPr>
        <w:t>绩效评价工作小组根据财政部、福建省和泉州市财政支出绩效评价管理办法的要求，依据相关性、重要性、可比性、系统性及经济性原则，围绕投入、过程管理、产出和效果四个方面设计绩效评价指标以及评分标准和分值。指标体系共设置4个一级指标、13个二级指标、40个三级指标。指标体系设定满分100分，其中：“投入”20分，主要体现目标设</w:t>
      </w:r>
      <w:r>
        <w:rPr>
          <w:rFonts w:hint="eastAsia" w:ascii="Times New Roman" w:hAnsi="仿宋" w:cs="仿宋"/>
          <w:sz w:val="28"/>
          <w:szCs w:val="32"/>
          <w:lang w:val="en-US" w:eastAsia="zh-CN"/>
        </w:rPr>
        <w:t>定</w:t>
      </w:r>
      <w:r>
        <w:rPr>
          <w:rFonts w:hint="eastAsia" w:ascii="Times New Roman" w:hAnsi="仿宋" w:eastAsia="宋体" w:cs="仿宋"/>
          <w:sz w:val="28"/>
          <w:szCs w:val="32"/>
        </w:rPr>
        <w:t>、预算配置；“过程”20分，主要体现预算执行、预算管理情况；“产出”40分，主要体现项目职责履行、产出数量、产出质量、产出时效、产出成本；“效益”20分，主要体现包括社会效益、生态效益、可持续</w:t>
      </w:r>
      <w:r>
        <w:rPr>
          <w:rFonts w:hint="eastAsia" w:ascii="Times New Roman" w:hAnsi="仿宋" w:cs="仿宋"/>
          <w:sz w:val="28"/>
          <w:szCs w:val="32"/>
          <w:lang w:val="en-US" w:eastAsia="zh-CN"/>
        </w:rPr>
        <w:t>效益</w:t>
      </w:r>
      <w:r>
        <w:rPr>
          <w:rFonts w:hint="eastAsia" w:ascii="Times New Roman" w:hAnsi="仿宋" w:eastAsia="宋体" w:cs="仿宋"/>
          <w:sz w:val="28"/>
          <w:szCs w:val="32"/>
        </w:rPr>
        <w:t>和服务对象满意度等。</w:t>
      </w:r>
    </w:p>
    <w:p w14:paraId="565D58EE">
      <w:pPr>
        <w:pStyle w:val="18"/>
        <w:snapToGrid/>
        <w:spacing w:beforeAutospacing="0" w:afterAutospacing="0" w:line="360" w:lineRule="auto"/>
        <w:ind w:left="0" w:leftChars="0" w:firstLine="0"/>
        <w:jc w:val="center"/>
        <w:outlineLvl w:val="1"/>
        <w:rPr>
          <w:rFonts w:ascii="Times New Roman" w:eastAsia="宋体"/>
          <w:sz w:val="28"/>
        </w:rPr>
      </w:pPr>
      <w:bookmarkStart w:id="76" w:name="_Toc20678"/>
      <w:bookmarkStart w:id="77" w:name="_Toc19549"/>
      <w:bookmarkStart w:id="78" w:name="_Toc22888"/>
      <w:r>
        <w:rPr>
          <w:rFonts w:hint="eastAsia" w:ascii="Times New Roman" w:eastAsia="宋体"/>
          <w:b/>
          <w:bCs/>
          <w:sz w:val="28"/>
          <w:szCs w:val="28"/>
        </w:rPr>
        <w:t>石狮市农业农村局部门整体支出绩效评价指标体系</w:t>
      </w:r>
      <w:bookmarkEnd w:id="76"/>
      <w:r>
        <w:rPr>
          <w:rFonts w:hint="eastAsia" w:ascii="Times New Roman" w:eastAsia="宋体"/>
          <w:b/>
          <w:bCs/>
          <w:sz w:val="28"/>
          <w:szCs w:val="28"/>
          <w:lang w:val="en-US" w:eastAsia="zh-CN"/>
        </w:rPr>
        <w:t>及评分标准</w:t>
      </w:r>
      <w:bookmarkEnd w:id="77"/>
      <w:bookmarkEnd w:id="78"/>
    </w:p>
    <w:tbl>
      <w:tblPr>
        <w:tblStyle w:val="13"/>
        <w:tblW w:w="9232"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881"/>
        <w:gridCol w:w="1632"/>
        <w:gridCol w:w="2400"/>
        <w:gridCol w:w="3525"/>
      </w:tblGrid>
      <w:tr w14:paraId="0EA1E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4" w:type="dxa"/>
            <w:shd w:val="clear" w:color="auto" w:fill="auto"/>
            <w:vAlign w:val="center"/>
          </w:tcPr>
          <w:p w14:paraId="293679A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一级指标</w:t>
            </w:r>
          </w:p>
        </w:tc>
        <w:tc>
          <w:tcPr>
            <w:tcW w:w="881" w:type="dxa"/>
            <w:shd w:val="clear" w:color="auto" w:fill="auto"/>
            <w:vAlign w:val="center"/>
          </w:tcPr>
          <w:p w14:paraId="426ADE9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二级指标</w:t>
            </w:r>
          </w:p>
        </w:tc>
        <w:tc>
          <w:tcPr>
            <w:tcW w:w="1632" w:type="dxa"/>
            <w:shd w:val="clear" w:color="auto" w:fill="auto"/>
            <w:vAlign w:val="center"/>
          </w:tcPr>
          <w:p w14:paraId="1BD791E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三级指标</w:t>
            </w:r>
          </w:p>
        </w:tc>
        <w:tc>
          <w:tcPr>
            <w:tcW w:w="2400" w:type="dxa"/>
            <w:shd w:val="clear" w:color="auto" w:fill="auto"/>
            <w:vAlign w:val="center"/>
          </w:tcPr>
          <w:p w14:paraId="37466AB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指标解释</w:t>
            </w:r>
          </w:p>
        </w:tc>
        <w:tc>
          <w:tcPr>
            <w:tcW w:w="3525" w:type="dxa"/>
            <w:shd w:val="clear" w:color="auto" w:fill="auto"/>
            <w:vAlign w:val="center"/>
          </w:tcPr>
          <w:p w14:paraId="23CA113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评价标准</w:t>
            </w:r>
          </w:p>
        </w:tc>
      </w:tr>
      <w:tr w14:paraId="5CDD6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794" w:type="dxa"/>
            <w:vMerge w:val="restart"/>
            <w:shd w:val="clear" w:color="auto" w:fill="auto"/>
            <w:vAlign w:val="center"/>
          </w:tcPr>
          <w:p w14:paraId="5A2ABC3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投入(20%)</w:t>
            </w:r>
          </w:p>
        </w:tc>
        <w:tc>
          <w:tcPr>
            <w:tcW w:w="881" w:type="dxa"/>
            <w:vMerge w:val="restart"/>
            <w:shd w:val="clear" w:color="auto" w:fill="auto"/>
            <w:vAlign w:val="center"/>
          </w:tcPr>
          <w:p w14:paraId="25FF279B">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目标</w:t>
            </w:r>
          </w:p>
          <w:p w14:paraId="031AEC6C">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设定</w:t>
            </w:r>
          </w:p>
          <w:p w14:paraId="1863B0A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（8分）</w:t>
            </w:r>
          </w:p>
        </w:tc>
        <w:tc>
          <w:tcPr>
            <w:tcW w:w="1632" w:type="dxa"/>
            <w:shd w:val="clear" w:color="auto" w:fill="auto"/>
            <w:vAlign w:val="center"/>
          </w:tcPr>
          <w:p w14:paraId="19694329">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绩效目标</w:t>
            </w:r>
          </w:p>
          <w:p w14:paraId="7DD39759">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合理性</w:t>
            </w:r>
          </w:p>
          <w:p w14:paraId="7E295E1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（4分）</w:t>
            </w:r>
          </w:p>
        </w:tc>
        <w:tc>
          <w:tcPr>
            <w:tcW w:w="2400" w:type="dxa"/>
            <w:shd w:val="clear" w:color="auto" w:fill="auto"/>
            <w:vAlign w:val="center"/>
          </w:tcPr>
          <w:p w14:paraId="288C7C5B">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部门所设立的整体绩效目标依据是否充分，是否符合客观实际，用于反映和考核部门整体绩效目标与部门履职、年度工作任务的相符性情况。</w:t>
            </w:r>
          </w:p>
        </w:tc>
        <w:tc>
          <w:tcPr>
            <w:tcW w:w="3525" w:type="dxa"/>
            <w:shd w:val="clear" w:color="auto" w:fill="auto"/>
            <w:vAlign w:val="center"/>
          </w:tcPr>
          <w:p w14:paraId="5C60494F">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①是否符合国家法律法规；</w:t>
            </w:r>
          </w:p>
          <w:p w14:paraId="6271C9A2">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②是否符合国民经济和社会发展总体规划；</w:t>
            </w:r>
          </w:p>
          <w:p w14:paraId="4581A697">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③是否符合部门“三定”方案确定的职责；</w:t>
            </w:r>
          </w:p>
          <w:p w14:paraId="529E03C5">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④是否符合部门制定的中长期实施规划或年度工作计划。</w:t>
            </w:r>
          </w:p>
          <w:p w14:paraId="5B55583E">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一项不符扣1分。</w:t>
            </w:r>
          </w:p>
        </w:tc>
      </w:tr>
      <w:tr w14:paraId="02F12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794" w:type="dxa"/>
            <w:vMerge w:val="continue"/>
            <w:shd w:val="clear" w:color="auto" w:fill="auto"/>
            <w:vAlign w:val="center"/>
          </w:tcPr>
          <w:p w14:paraId="51DCD9C9">
            <w:pPr>
              <w:jc w:val="center"/>
              <w:rPr>
                <w:rFonts w:ascii="宋体" w:hAnsi="宋体" w:cs="宋体"/>
                <w:color w:val="000000"/>
                <w:sz w:val="18"/>
                <w:szCs w:val="18"/>
              </w:rPr>
            </w:pPr>
          </w:p>
        </w:tc>
        <w:tc>
          <w:tcPr>
            <w:tcW w:w="881" w:type="dxa"/>
            <w:vMerge w:val="continue"/>
            <w:shd w:val="clear" w:color="auto" w:fill="auto"/>
            <w:vAlign w:val="center"/>
          </w:tcPr>
          <w:p w14:paraId="689CD2E8">
            <w:pPr>
              <w:jc w:val="center"/>
              <w:rPr>
                <w:rFonts w:ascii="宋体" w:hAnsi="宋体" w:cs="宋体"/>
                <w:color w:val="000000"/>
                <w:sz w:val="18"/>
                <w:szCs w:val="18"/>
              </w:rPr>
            </w:pPr>
          </w:p>
        </w:tc>
        <w:tc>
          <w:tcPr>
            <w:tcW w:w="1632" w:type="dxa"/>
            <w:shd w:val="clear" w:color="auto" w:fill="auto"/>
            <w:vAlign w:val="center"/>
          </w:tcPr>
          <w:p w14:paraId="10D0D892">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绩效指标</w:t>
            </w:r>
          </w:p>
          <w:p w14:paraId="1F8B7E72">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明确性</w:t>
            </w:r>
          </w:p>
          <w:p w14:paraId="6A0FB9B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（4分）</w:t>
            </w:r>
          </w:p>
        </w:tc>
        <w:tc>
          <w:tcPr>
            <w:tcW w:w="2400" w:type="dxa"/>
            <w:shd w:val="clear" w:color="auto" w:fill="auto"/>
            <w:vAlign w:val="center"/>
          </w:tcPr>
          <w:p w14:paraId="576EE0D7">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部门依据整体绩效目标所设定的绩效指标是否清晰、细化、可衡量，用于反映和考核部门整体绩效目标的明细化情况</w:t>
            </w:r>
          </w:p>
        </w:tc>
        <w:tc>
          <w:tcPr>
            <w:tcW w:w="3525" w:type="dxa"/>
            <w:shd w:val="clear" w:color="auto" w:fill="auto"/>
            <w:vAlign w:val="center"/>
          </w:tcPr>
          <w:p w14:paraId="0DC3203C">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①是否将部门整体的绩效目标细化分解为具体的工作任务；</w:t>
            </w:r>
          </w:p>
          <w:p w14:paraId="5A12C055">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②是否通过清晰、可衡量的指标予以体现；</w:t>
            </w:r>
          </w:p>
          <w:p w14:paraId="66483898">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③是否与部门年度的任务数或计划数相对应；</w:t>
            </w:r>
          </w:p>
          <w:p w14:paraId="3D9E83E0">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④是否以本年度部门预算资金相匹配。</w:t>
            </w:r>
          </w:p>
          <w:p w14:paraId="0B6BFA15">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一项不符扣1分。</w:t>
            </w:r>
          </w:p>
        </w:tc>
      </w:tr>
      <w:tr w14:paraId="197B9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794" w:type="dxa"/>
            <w:vMerge w:val="continue"/>
            <w:shd w:val="clear" w:color="auto" w:fill="auto"/>
            <w:vAlign w:val="center"/>
          </w:tcPr>
          <w:p w14:paraId="1DCEF920">
            <w:pPr>
              <w:jc w:val="center"/>
              <w:rPr>
                <w:rFonts w:ascii="宋体" w:hAnsi="宋体" w:cs="宋体"/>
                <w:color w:val="000000"/>
                <w:sz w:val="18"/>
                <w:szCs w:val="18"/>
              </w:rPr>
            </w:pPr>
          </w:p>
        </w:tc>
        <w:tc>
          <w:tcPr>
            <w:tcW w:w="881" w:type="dxa"/>
            <w:vMerge w:val="restart"/>
            <w:shd w:val="clear" w:color="auto" w:fill="auto"/>
            <w:vAlign w:val="center"/>
          </w:tcPr>
          <w:p w14:paraId="3AA4B3DE">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预算</w:t>
            </w:r>
          </w:p>
          <w:p w14:paraId="1DEB630A">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配置</w:t>
            </w:r>
          </w:p>
          <w:p w14:paraId="4632B7F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（12分）</w:t>
            </w:r>
          </w:p>
        </w:tc>
        <w:tc>
          <w:tcPr>
            <w:tcW w:w="1632" w:type="dxa"/>
            <w:shd w:val="clear" w:color="auto" w:fill="auto"/>
            <w:vAlign w:val="center"/>
          </w:tcPr>
          <w:p w14:paraId="3DB51F70">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在职人员</w:t>
            </w:r>
          </w:p>
          <w:p w14:paraId="27F388A5">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控制率</w:t>
            </w:r>
          </w:p>
          <w:p w14:paraId="2100D64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（4分）</w:t>
            </w:r>
          </w:p>
        </w:tc>
        <w:tc>
          <w:tcPr>
            <w:tcW w:w="2400" w:type="dxa"/>
            <w:shd w:val="clear" w:color="auto" w:fill="auto"/>
            <w:vAlign w:val="center"/>
          </w:tcPr>
          <w:p w14:paraId="4936014F">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部门（单位）本年度实际在职人员数与编制数的比率，用以反映和评价部门（单位）对人员成本的控制程度。在职人员控制率=（在职人员数/编制数）×100%</w:t>
            </w:r>
          </w:p>
        </w:tc>
        <w:tc>
          <w:tcPr>
            <w:tcW w:w="3525" w:type="dxa"/>
            <w:shd w:val="clear" w:color="auto" w:fill="auto"/>
            <w:vAlign w:val="center"/>
          </w:tcPr>
          <w:p w14:paraId="41041841">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①在职人员控制率小</w:t>
            </w:r>
            <w:r>
              <w:rPr>
                <w:rFonts w:hint="eastAsia" w:ascii="宋体" w:hAnsi="宋体" w:cs="宋体"/>
                <w:color w:val="000000"/>
                <w:kern w:val="0"/>
                <w:sz w:val="18"/>
                <w:szCs w:val="18"/>
                <w:lang w:val="en-US" w:eastAsia="zh-CN" w:bidi="ar"/>
              </w:rPr>
              <w:t>于</w:t>
            </w:r>
            <w:r>
              <w:rPr>
                <w:rFonts w:hint="eastAsia" w:ascii="宋体" w:hAnsi="宋体" w:cs="宋体"/>
                <w:color w:val="000000"/>
                <w:kern w:val="0"/>
                <w:sz w:val="18"/>
                <w:szCs w:val="18"/>
                <w:lang w:bidi="ar"/>
              </w:rPr>
              <w:t>等于100%，得满分；</w:t>
            </w:r>
          </w:p>
          <w:p w14:paraId="05CFF358">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②在职人员控制率大</w:t>
            </w:r>
            <w:r>
              <w:rPr>
                <w:rFonts w:hint="eastAsia" w:ascii="宋体" w:hAnsi="宋体" w:cs="宋体"/>
                <w:color w:val="000000"/>
                <w:kern w:val="0"/>
                <w:sz w:val="18"/>
                <w:szCs w:val="18"/>
                <w:lang w:val="en-US" w:eastAsia="zh-CN" w:bidi="ar"/>
              </w:rPr>
              <w:t>于</w:t>
            </w:r>
            <w:r>
              <w:rPr>
                <w:rFonts w:hint="eastAsia" w:ascii="宋体" w:hAnsi="宋体" w:cs="宋体"/>
                <w:color w:val="000000"/>
                <w:kern w:val="0"/>
                <w:sz w:val="18"/>
                <w:szCs w:val="18"/>
                <w:lang w:bidi="ar"/>
              </w:rPr>
              <w:t>等于115%，得0分；</w:t>
            </w:r>
          </w:p>
          <w:p w14:paraId="29DB0D76">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③在职人员控制率在100%-115%之间，得分=（115%－某部门在职人员控制率）/15%×指标分值。</w:t>
            </w:r>
          </w:p>
        </w:tc>
      </w:tr>
      <w:tr w14:paraId="691A3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794" w:type="dxa"/>
            <w:vMerge w:val="continue"/>
            <w:shd w:val="clear" w:color="auto" w:fill="auto"/>
            <w:vAlign w:val="center"/>
          </w:tcPr>
          <w:p w14:paraId="43C06B43">
            <w:pPr>
              <w:jc w:val="center"/>
              <w:rPr>
                <w:rFonts w:ascii="宋体" w:hAnsi="宋体" w:cs="宋体"/>
                <w:color w:val="000000"/>
                <w:sz w:val="18"/>
                <w:szCs w:val="18"/>
              </w:rPr>
            </w:pPr>
          </w:p>
        </w:tc>
        <w:tc>
          <w:tcPr>
            <w:tcW w:w="881" w:type="dxa"/>
            <w:vMerge w:val="continue"/>
            <w:shd w:val="clear" w:color="auto" w:fill="auto"/>
            <w:vAlign w:val="center"/>
          </w:tcPr>
          <w:p w14:paraId="11136B2E">
            <w:pPr>
              <w:jc w:val="center"/>
              <w:rPr>
                <w:rFonts w:ascii="宋体" w:hAnsi="宋体" w:cs="宋体"/>
                <w:color w:val="000000"/>
                <w:sz w:val="18"/>
                <w:szCs w:val="18"/>
              </w:rPr>
            </w:pPr>
          </w:p>
        </w:tc>
        <w:tc>
          <w:tcPr>
            <w:tcW w:w="1632" w:type="dxa"/>
            <w:shd w:val="clear" w:color="auto" w:fill="auto"/>
            <w:vAlign w:val="center"/>
          </w:tcPr>
          <w:p w14:paraId="632B8E75">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eastAsia="zh-CN" w:bidi="ar"/>
              </w:rPr>
              <w:t>“三公”经费</w:t>
            </w:r>
          </w:p>
          <w:p w14:paraId="267990EF">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变动率</w:t>
            </w:r>
          </w:p>
          <w:p w14:paraId="7D0ACB76">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（4分）</w:t>
            </w:r>
          </w:p>
        </w:tc>
        <w:tc>
          <w:tcPr>
            <w:tcW w:w="2400" w:type="dxa"/>
            <w:shd w:val="clear" w:color="auto" w:fill="auto"/>
            <w:vAlign w:val="center"/>
          </w:tcPr>
          <w:p w14:paraId="7789883F">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部门本年度</w:t>
            </w:r>
            <w:r>
              <w:rPr>
                <w:rFonts w:hint="eastAsia" w:ascii="宋体" w:hAnsi="宋体" w:cs="宋体"/>
                <w:color w:val="000000"/>
                <w:kern w:val="0"/>
                <w:sz w:val="18"/>
                <w:szCs w:val="18"/>
                <w:lang w:eastAsia="zh-CN" w:bidi="ar"/>
              </w:rPr>
              <w:t>“三公”经费</w:t>
            </w:r>
            <w:r>
              <w:rPr>
                <w:rFonts w:hint="eastAsia" w:ascii="宋体" w:hAnsi="宋体" w:cs="宋体"/>
                <w:color w:val="000000"/>
                <w:kern w:val="0"/>
                <w:sz w:val="18"/>
                <w:szCs w:val="18"/>
                <w:lang w:bidi="ar"/>
              </w:rPr>
              <w:t>预算数与上年度</w:t>
            </w:r>
            <w:r>
              <w:rPr>
                <w:rFonts w:hint="eastAsia" w:ascii="宋体" w:hAnsi="宋体" w:cs="宋体"/>
                <w:color w:val="000000"/>
                <w:kern w:val="0"/>
                <w:sz w:val="18"/>
                <w:szCs w:val="18"/>
                <w:lang w:eastAsia="zh-CN" w:bidi="ar"/>
              </w:rPr>
              <w:t>“三公”经费</w:t>
            </w:r>
            <w:r>
              <w:rPr>
                <w:rFonts w:hint="eastAsia" w:ascii="宋体" w:hAnsi="宋体" w:cs="宋体"/>
                <w:color w:val="000000"/>
                <w:kern w:val="0"/>
                <w:sz w:val="18"/>
                <w:szCs w:val="18"/>
                <w:lang w:bidi="ar"/>
              </w:rPr>
              <w:t>预算数的变动比率，用以反映和考核部门对控制重点行政成本的努力程度。</w:t>
            </w:r>
          </w:p>
        </w:tc>
        <w:tc>
          <w:tcPr>
            <w:tcW w:w="3525" w:type="dxa"/>
            <w:shd w:val="clear" w:color="auto" w:fill="auto"/>
            <w:vAlign w:val="center"/>
          </w:tcPr>
          <w:p w14:paraId="0A5A7984">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三公经费变动率=[（本年度</w:t>
            </w:r>
            <w:r>
              <w:rPr>
                <w:rFonts w:hint="eastAsia" w:ascii="宋体" w:hAnsi="宋体" w:cs="宋体"/>
                <w:color w:val="000000"/>
                <w:kern w:val="0"/>
                <w:sz w:val="18"/>
                <w:szCs w:val="18"/>
                <w:lang w:eastAsia="zh-CN" w:bidi="ar"/>
              </w:rPr>
              <w:t>“三公”经费</w:t>
            </w:r>
            <w:r>
              <w:rPr>
                <w:rFonts w:hint="eastAsia" w:ascii="宋体" w:hAnsi="宋体" w:cs="宋体"/>
                <w:color w:val="000000"/>
                <w:kern w:val="0"/>
                <w:sz w:val="18"/>
                <w:szCs w:val="18"/>
                <w:lang w:bidi="ar"/>
              </w:rPr>
              <w:t>总额-上年度</w:t>
            </w:r>
            <w:r>
              <w:rPr>
                <w:rFonts w:hint="eastAsia" w:ascii="宋体" w:hAnsi="宋体" w:cs="宋体"/>
                <w:color w:val="000000"/>
                <w:kern w:val="0"/>
                <w:sz w:val="18"/>
                <w:szCs w:val="18"/>
                <w:lang w:eastAsia="zh-CN" w:bidi="ar"/>
              </w:rPr>
              <w:t>“三公”经费</w:t>
            </w:r>
            <w:r>
              <w:rPr>
                <w:rFonts w:hint="eastAsia" w:ascii="宋体" w:hAnsi="宋体" w:cs="宋体"/>
                <w:color w:val="000000"/>
                <w:kern w:val="0"/>
                <w:sz w:val="18"/>
                <w:szCs w:val="18"/>
                <w:lang w:bidi="ar"/>
              </w:rPr>
              <w:t>总额）/上年度</w:t>
            </w:r>
            <w:r>
              <w:rPr>
                <w:rFonts w:hint="eastAsia" w:ascii="宋体" w:hAnsi="宋体" w:cs="宋体"/>
                <w:color w:val="000000"/>
                <w:kern w:val="0"/>
                <w:sz w:val="18"/>
                <w:szCs w:val="18"/>
                <w:lang w:eastAsia="zh-CN" w:bidi="ar"/>
              </w:rPr>
              <w:t>“三公”经费</w:t>
            </w:r>
            <w:r>
              <w:rPr>
                <w:rFonts w:hint="eastAsia" w:ascii="宋体" w:hAnsi="宋体" w:cs="宋体"/>
                <w:color w:val="000000"/>
                <w:kern w:val="0"/>
                <w:sz w:val="18"/>
                <w:szCs w:val="18"/>
                <w:lang w:bidi="ar"/>
              </w:rPr>
              <w:t>总额]×100%。</w:t>
            </w:r>
          </w:p>
          <w:p w14:paraId="0DFDD00A">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①变动率≤0%得满分；</w:t>
            </w:r>
          </w:p>
          <w:p w14:paraId="335B0309">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②变动率每超过一个百分点扣0.5 分，扣完为止。</w:t>
            </w:r>
          </w:p>
        </w:tc>
      </w:tr>
      <w:tr w14:paraId="717AF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794" w:type="dxa"/>
            <w:vMerge w:val="continue"/>
            <w:shd w:val="clear" w:color="auto" w:fill="auto"/>
            <w:vAlign w:val="center"/>
          </w:tcPr>
          <w:p w14:paraId="053AB2CD">
            <w:pPr>
              <w:jc w:val="center"/>
              <w:rPr>
                <w:rFonts w:ascii="宋体" w:hAnsi="宋体" w:cs="宋体"/>
                <w:color w:val="000000"/>
                <w:sz w:val="18"/>
                <w:szCs w:val="18"/>
              </w:rPr>
            </w:pPr>
          </w:p>
        </w:tc>
        <w:tc>
          <w:tcPr>
            <w:tcW w:w="881" w:type="dxa"/>
            <w:vMerge w:val="continue"/>
            <w:shd w:val="clear" w:color="auto" w:fill="auto"/>
            <w:vAlign w:val="center"/>
          </w:tcPr>
          <w:p w14:paraId="0D0DEDE3">
            <w:pPr>
              <w:jc w:val="center"/>
              <w:rPr>
                <w:rFonts w:ascii="宋体" w:hAnsi="宋体" w:cs="宋体"/>
                <w:color w:val="000000"/>
                <w:sz w:val="18"/>
                <w:szCs w:val="18"/>
              </w:rPr>
            </w:pPr>
          </w:p>
        </w:tc>
        <w:tc>
          <w:tcPr>
            <w:tcW w:w="1632" w:type="dxa"/>
            <w:shd w:val="clear" w:color="auto" w:fill="auto"/>
            <w:vAlign w:val="center"/>
          </w:tcPr>
          <w:p w14:paraId="765CB8A8">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重点支出</w:t>
            </w:r>
          </w:p>
          <w:p w14:paraId="5F0F4390">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安排率</w:t>
            </w:r>
          </w:p>
          <w:p w14:paraId="5AD4018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（4分）</w:t>
            </w:r>
          </w:p>
        </w:tc>
        <w:tc>
          <w:tcPr>
            <w:tcW w:w="2400" w:type="dxa"/>
            <w:shd w:val="clear" w:color="auto" w:fill="auto"/>
            <w:vAlign w:val="center"/>
          </w:tcPr>
          <w:p w14:paraId="1F93402B">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部门本年度预算安排的重点项目支出与部门项目总支出的比率，用以反映和考核部门对履行主要职责或完成重点任务的保障程度。重点支出安排率=（重点项目支出/项目总支出）×100%。</w:t>
            </w:r>
          </w:p>
        </w:tc>
        <w:tc>
          <w:tcPr>
            <w:tcW w:w="3525" w:type="dxa"/>
            <w:shd w:val="clear" w:color="auto" w:fill="auto"/>
            <w:vAlign w:val="center"/>
          </w:tcPr>
          <w:p w14:paraId="1CC73959">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①重点支出安排率&gt;80%(4分)；</w:t>
            </w:r>
          </w:p>
          <w:p w14:paraId="06595185">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②50%&lt;重点支出安排率 ≤80%(2分)；重点支出安排率≤50%(0分)。</w:t>
            </w:r>
          </w:p>
        </w:tc>
      </w:tr>
      <w:tr w14:paraId="523DA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794" w:type="dxa"/>
            <w:vMerge w:val="restart"/>
            <w:shd w:val="clear" w:color="auto" w:fill="auto"/>
            <w:vAlign w:val="center"/>
          </w:tcPr>
          <w:p w14:paraId="2BA2566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过程（20%）</w:t>
            </w:r>
          </w:p>
        </w:tc>
        <w:tc>
          <w:tcPr>
            <w:tcW w:w="881" w:type="dxa"/>
            <w:vMerge w:val="restart"/>
            <w:shd w:val="clear" w:color="auto" w:fill="auto"/>
            <w:vAlign w:val="center"/>
          </w:tcPr>
          <w:p w14:paraId="34646003">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预算</w:t>
            </w:r>
          </w:p>
          <w:p w14:paraId="58FBCBE4">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执行</w:t>
            </w:r>
          </w:p>
          <w:p w14:paraId="0F53468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（12分）</w:t>
            </w:r>
          </w:p>
        </w:tc>
        <w:tc>
          <w:tcPr>
            <w:tcW w:w="1632" w:type="dxa"/>
            <w:shd w:val="clear" w:color="auto" w:fill="auto"/>
            <w:vAlign w:val="center"/>
          </w:tcPr>
          <w:p w14:paraId="0BF1380A">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预算完成率</w:t>
            </w:r>
          </w:p>
          <w:p w14:paraId="757F99D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（2分）</w:t>
            </w:r>
          </w:p>
        </w:tc>
        <w:tc>
          <w:tcPr>
            <w:tcW w:w="2400" w:type="dxa"/>
            <w:shd w:val="clear" w:color="auto" w:fill="auto"/>
            <w:vAlign w:val="center"/>
          </w:tcPr>
          <w:p w14:paraId="10C38C04">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通过对部门（单位）本年度支出预算完成数与支出预算数的比较，反映和评价部门（单位）支出预算的完成程度。支出预算完成率=（预算完成数/预算数）×100%。</w:t>
            </w:r>
          </w:p>
        </w:tc>
        <w:tc>
          <w:tcPr>
            <w:tcW w:w="3525" w:type="dxa"/>
            <w:shd w:val="clear" w:color="auto" w:fill="auto"/>
            <w:vAlign w:val="center"/>
          </w:tcPr>
          <w:p w14:paraId="086DDDE3">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①完成率大于或等于95%的，得满分；</w:t>
            </w:r>
          </w:p>
          <w:p w14:paraId="232F0CEE">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②完成率小于或等于85%的，得0分；</w:t>
            </w:r>
          </w:p>
          <w:p w14:paraId="28A96640">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③完成率在85%-95%之间的，得分=（某部门预算完成率-85%）/10%×该指标分值。</w:t>
            </w:r>
          </w:p>
        </w:tc>
      </w:tr>
      <w:tr w14:paraId="6FEEE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794" w:type="dxa"/>
            <w:vMerge w:val="continue"/>
            <w:shd w:val="clear" w:color="auto" w:fill="auto"/>
            <w:vAlign w:val="center"/>
          </w:tcPr>
          <w:p w14:paraId="71AA59F0">
            <w:pPr>
              <w:jc w:val="center"/>
              <w:rPr>
                <w:rFonts w:ascii="宋体" w:hAnsi="宋体" w:cs="宋体"/>
                <w:color w:val="000000"/>
                <w:sz w:val="18"/>
                <w:szCs w:val="18"/>
              </w:rPr>
            </w:pPr>
          </w:p>
        </w:tc>
        <w:tc>
          <w:tcPr>
            <w:tcW w:w="881" w:type="dxa"/>
            <w:vMerge w:val="continue"/>
            <w:shd w:val="clear" w:color="auto" w:fill="auto"/>
            <w:vAlign w:val="center"/>
          </w:tcPr>
          <w:p w14:paraId="3314041B">
            <w:pPr>
              <w:jc w:val="center"/>
              <w:rPr>
                <w:rFonts w:ascii="宋体" w:hAnsi="宋体" w:cs="宋体"/>
                <w:color w:val="000000"/>
                <w:sz w:val="18"/>
                <w:szCs w:val="18"/>
              </w:rPr>
            </w:pPr>
          </w:p>
        </w:tc>
        <w:tc>
          <w:tcPr>
            <w:tcW w:w="1632" w:type="dxa"/>
            <w:shd w:val="clear" w:color="auto" w:fill="auto"/>
            <w:vAlign w:val="center"/>
          </w:tcPr>
          <w:p w14:paraId="3D8E1A96">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预算调整率</w:t>
            </w:r>
          </w:p>
          <w:p w14:paraId="07BFDF3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（2分）</w:t>
            </w:r>
          </w:p>
        </w:tc>
        <w:tc>
          <w:tcPr>
            <w:tcW w:w="2400" w:type="dxa"/>
            <w:shd w:val="clear" w:color="auto" w:fill="auto"/>
            <w:vAlign w:val="center"/>
          </w:tcPr>
          <w:p w14:paraId="15919835">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部门（单位）本年度支出预算调整数与支出预算数的比率，用以反映和评价部门（单位）预算的调整程度。支出预算调整率=（支出预算调整数/支出预算数）×100%</w:t>
            </w:r>
          </w:p>
        </w:tc>
        <w:tc>
          <w:tcPr>
            <w:tcW w:w="3525" w:type="dxa"/>
            <w:shd w:val="clear" w:color="auto" w:fill="auto"/>
            <w:vAlign w:val="center"/>
          </w:tcPr>
          <w:p w14:paraId="6F0C328B">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①支出预算调整率等于0的，得满分；</w:t>
            </w:r>
          </w:p>
          <w:p w14:paraId="363F5D3D">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②调整率大于或等于10%的，得0分；</w:t>
            </w:r>
          </w:p>
          <w:p w14:paraId="75E245AF">
            <w:pPr>
              <w:widowControl/>
              <w:jc w:val="left"/>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bidi="ar"/>
              </w:rPr>
              <w:t>③调整率在0-10%之间的，得分=（10%-某部门预算调整率）/10%×该指标分值</w:t>
            </w:r>
            <w:r>
              <w:rPr>
                <w:rFonts w:hint="eastAsia" w:ascii="宋体" w:hAnsi="宋体" w:cs="宋体"/>
                <w:color w:val="000000"/>
                <w:kern w:val="0"/>
                <w:sz w:val="18"/>
                <w:szCs w:val="18"/>
                <w:lang w:eastAsia="zh-CN" w:bidi="ar"/>
              </w:rPr>
              <w:t>。</w:t>
            </w:r>
          </w:p>
        </w:tc>
      </w:tr>
      <w:tr w14:paraId="3B8EC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trPr>
        <w:tc>
          <w:tcPr>
            <w:tcW w:w="794" w:type="dxa"/>
            <w:vMerge w:val="continue"/>
            <w:shd w:val="clear" w:color="auto" w:fill="auto"/>
            <w:vAlign w:val="center"/>
          </w:tcPr>
          <w:p w14:paraId="371117B6">
            <w:pPr>
              <w:jc w:val="center"/>
              <w:rPr>
                <w:rFonts w:ascii="宋体" w:hAnsi="宋体" w:cs="宋体"/>
                <w:color w:val="000000"/>
                <w:sz w:val="18"/>
                <w:szCs w:val="18"/>
              </w:rPr>
            </w:pPr>
          </w:p>
        </w:tc>
        <w:tc>
          <w:tcPr>
            <w:tcW w:w="881" w:type="dxa"/>
            <w:vMerge w:val="continue"/>
            <w:shd w:val="clear" w:color="auto" w:fill="auto"/>
            <w:vAlign w:val="center"/>
          </w:tcPr>
          <w:p w14:paraId="72594D49">
            <w:pPr>
              <w:jc w:val="center"/>
              <w:rPr>
                <w:rFonts w:ascii="宋体" w:hAnsi="宋体" w:cs="宋体"/>
                <w:color w:val="000000"/>
                <w:sz w:val="18"/>
                <w:szCs w:val="18"/>
              </w:rPr>
            </w:pPr>
          </w:p>
        </w:tc>
        <w:tc>
          <w:tcPr>
            <w:tcW w:w="1632" w:type="dxa"/>
            <w:shd w:val="clear" w:color="auto" w:fill="auto"/>
            <w:vAlign w:val="center"/>
          </w:tcPr>
          <w:p w14:paraId="064591FB">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结转结余率</w:t>
            </w:r>
          </w:p>
          <w:p w14:paraId="7C16FE9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（2分）</w:t>
            </w:r>
          </w:p>
        </w:tc>
        <w:tc>
          <w:tcPr>
            <w:tcW w:w="2400" w:type="dxa"/>
            <w:shd w:val="clear" w:color="auto" w:fill="auto"/>
            <w:vAlign w:val="center"/>
          </w:tcPr>
          <w:p w14:paraId="6532E838">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部门（单位）本年度结转结余总额（含留在二级单位账上的资金）与支出预算数的比率，反映和评价部门（单位）对本年度结转结余资金的实际控制程度。</w:t>
            </w:r>
          </w:p>
        </w:tc>
        <w:tc>
          <w:tcPr>
            <w:tcW w:w="3525" w:type="dxa"/>
            <w:shd w:val="clear" w:color="auto" w:fill="auto"/>
            <w:vAlign w:val="center"/>
          </w:tcPr>
          <w:p w14:paraId="4D569C6E">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①结转结余率等于0的，得满分；</w:t>
            </w:r>
          </w:p>
          <w:p w14:paraId="0E4D5FAF">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②结转结余率大于或等于50%的，得0分；</w:t>
            </w:r>
          </w:p>
          <w:p w14:paraId="2A53F13A">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③结转结余率在0-50%之间的，得分=（50%-某部门结转结余率）/50%×该指标分值。</w:t>
            </w:r>
          </w:p>
        </w:tc>
      </w:tr>
      <w:tr w14:paraId="524D2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794" w:type="dxa"/>
            <w:vMerge w:val="continue"/>
            <w:shd w:val="clear" w:color="auto" w:fill="auto"/>
            <w:vAlign w:val="center"/>
          </w:tcPr>
          <w:p w14:paraId="0A271B9A">
            <w:pPr>
              <w:jc w:val="center"/>
              <w:rPr>
                <w:rFonts w:ascii="宋体" w:hAnsi="宋体" w:cs="宋体"/>
                <w:color w:val="000000"/>
                <w:sz w:val="18"/>
                <w:szCs w:val="18"/>
              </w:rPr>
            </w:pPr>
          </w:p>
        </w:tc>
        <w:tc>
          <w:tcPr>
            <w:tcW w:w="881" w:type="dxa"/>
            <w:vMerge w:val="continue"/>
            <w:shd w:val="clear" w:color="auto" w:fill="auto"/>
            <w:vAlign w:val="center"/>
          </w:tcPr>
          <w:p w14:paraId="4B3EED78">
            <w:pPr>
              <w:jc w:val="center"/>
              <w:rPr>
                <w:rFonts w:ascii="宋体" w:hAnsi="宋体" w:cs="宋体"/>
                <w:color w:val="000000"/>
                <w:sz w:val="18"/>
                <w:szCs w:val="18"/>
              </w:rPr>
            </w:pPr>
          </w:p>
        </w:tc>
        <w:tc>
          <w:tcPr>
            <w:tcW w:w="1632" w:type="dxa"/>
            <w:shd w:val="clear" w:color="auto" w:fill="auto"/>
            <w:vAlign w:val="center"/>
          </w:tcPr>
          <w:p w14:paraId="190C09CE">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公用经费</w:t>
            </w:r>
          </w:p>
          <w:p w14:paraId="4CEBF179">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控制率</w:t>
            </w:r>
          </w:p>
          <w:p w14:paraId="7DD1A09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（2分）</w:t>
            </w:r>
          </w:p>
        </w:tc>
        <w:tc>
          <w:tcPr>
            <w:tcW w:w="2400" w:type="dxa"/>
            <w:shd w:val="clear" w:color="auto" w:fill="auto"/>
            <w:vAlign w:val="center"/>
          </w:tcPr>
          <w:p w14:paraId="7B55C150">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部门（单位）本年度实际支出的公用经费总额与预算安排的公用经费总额的比率，反映和评价部门（单位）对机构运转成本的实际控制程度。</w:t>
            </w:r>
          </w:p>
        </w:tc>
        <w:tc>
          <w:tcPr>
            <w:tcW w:w="3525" w:type="dxa"/>
            <w:shd w:val="clear" w:color="auto" w:fill="auto"/>
            <w:vAlign w:val="center"/>
          </w:tcPr>
          <w:p w14:paraId="491985F4">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①公用经费控制率≤100%(2分)；</w:t>
            </w:r>
          </w:p>
          <w:p w14:paraId="6AD58CF3">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②公用经费控制率&gt;100%且≤120%(1分 )；</w:t>
            </w:r>
          </w:p>
          <w:p w14:paraId="29B2C49A">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③公用经费控制率&gt;120%且≤150% (0.5 分)；</w:t>
            </w:r>
          </w:p>
          <w:p w14:paraId="5E176EE0">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④公用经费控制率&gt;150% (0 分)。</w:t>
            </w:r>
          </w:p>
        </w:tc>
      </w:tr>
      <w:tr w14:paraId="06605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trPr>
        <w:tc>
          <w:tcPr>
            <w:tcW w:w="794" w:type="dxa"/>
            <w:vMerge w:val="continue"/>
            <w:shd w:val="clear" w:color="auto" w:fill="auto"/>
            <w:vAlign w:val="center"/>
          </w:tcPr>
          <w:p w14:paraId="52110EEA">
            <w:pPr>
              <w:jc w:val="center"/>
              <w:rPr>
                <w:rFonts w:ascii="宋体" w:hAnsi="宋体" w:cs="宋体"/>
                <w:color w:val="000000"/>
                <w:sz w:val="18"/>
                <w:szCs w:val="18"/>
              </w:rPr>
            </w:pPr>
          </w:p>
        </w:tc>
        <w:tc>
          <w:tcPr>
            <w:tcW w:w="881" w:type="dxa"/>
            <w:vMerge w:val="continue"/>
            <w:shd w:val="clear" w:color="auto" w:fill="auto"/>
            <w:vAlign w:val="center"/>
          </w:tcPr>
          <w:p w14:paraId="0C34A96B">
            <w:pPr>
              <w:jc w:val="center"/>
              <w:rPr>
                <w:rFonts w:ascii="宋体" w:hAnsi="宋体" w:cs="宋体"/>
                <w:color w:val="000000"/>
                <w:sz w:val="18"/>
                <w:szCs w:val="18"/>
              </w:rPr>
            </w:pPr>
          </w:p>
        </w:tc>
        <w:tc>
          <w:tcPr>
            <w:tcW w:w="1632" w:type="dxa"/>
            <w:shd w:val="clear" w:color="auto" w:fill="auto"/>
            <w:vAlign w:val="center"/>
          </w:tcPr>
          <w:p w14:paraId="2F3D82AD">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eastAsia="zh-CN" w:bidi="ar"/>
              </w:rPr>
              <w:t>“三公”经费</w:t>
            </w:r>
          </w:p>
          <w:p w14:paraId="1EFFEFD1">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控制率</w:t>
            </w:r>
          </w:p>
          <w:p w14:paraId="08F57C5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（2分）</w:t>
            </w:r>
          </w:p>
        </w:tc>
        <w:tc>
          <w:tcPr>
            <w:tcW w:w="2400" w:type="dxa"/>
            <w:shd w:val="clear" w:color="auto" w:fill="auto"/>
            <w:vAlign w:val="center"/>
          </w:tcPr>
          <w:p w14:paraId="0E867260">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部门（单位）本年度</w:t>
            </w:r>
            <w:r>
              <w:rPr>
                <w:rFonts w:hint="eastAsia" w:ascii="宋体" w:hAnsi="宋体" w:cs="宋体"/>
                <w:color w:val="000000"/>
                <w:kern w:val="0"/>
                <w:sz w:val="18"/>
                <w:szCs w:val="18"/>
                <w:lang w:eastAsia="zh-CN" w:bidi="ar"/>
              </w:rPr>
              <w:t>“三公”经费</w:t>
            </w:r>
            <w:r>
              <w:rPr>
                <w:rFonts w:hint="eastAsia" w:ascii="宋体" w:hAnsi="宋体" w:cs="宋体"/>
                <w:color w:val="000000"/>
                <w:kern w:val="0"/>
                <w:sz w:val="18"/>
                <w:szCs w:val="18"/>
                <w:lang w:bidi="ar"/>
              </w:rPr>
              <w:t>实际支出数与预算安排数的比率，用以反映和评价部门（单位）对</w:t>
            </w:r>
            <w:r>
              <w:rPr>
                <w:rFonts w:hint="eastAsia" w:ascii="宋体" w:hAnsi="宋体" w:cs="宋体"/>
                <w:color w:val="000000"/>
                <w:kern w:val="0"/>
                <w:sz w:val="18"/>
                <w:szCs w:val="18"/>
                <w:lang w:eastAsia="zh-CN" w:bidi="ar"/>
              </w:rPr>
              <w:t>“三公”经费</w:t>
            </w:r>
            <w:r>
              <w:rPr>
                <w:rFonts w:hint="eastAsia" w:ascii="宋体" w:hAnsi="宋体" w:cs="宋体"/>
                <w:color w:val="000000"/>
                <w:kern w:val="0"/>
                <w:sz w:val="18"/>
                <w:szCs w:val="18"/>
                <w:lang w:bidi="ar"/>
              </w:rPr>
              <w:t>的实际控制程度。</w:t>
            </w:r>
          </w:p>
        </w:tc>
        <w:tc>
          <w:tcPr>
            <w:tcW w:w="3525" w:type="dxa"/>
            <w:shd w:val="clear" w:color="auto" w:fill="auto"/>
            <w:vAlign w:val="center"/>
          </w:tcPr>
          <w:p w14:paraId="3246D1BE">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①</w:t>
            </w:r>
            <w:r>
              <w:rPr>
                <w:rFonts w:hint="eastAsia" w:ascii="宋体" w:hAnsi="宋体" w:cs="宋体"/>
                <w:color w:val="000000"/>
                <w:kern w:val="0"/>
                <w:sz w:val="18"/>
                <w:szCs w:val="18"/>
                <w:lang w:eastAsia="zh-CN" w:bidi="ar"/>
              </w:rPr>
              <w:t>“三公”经费</w:t>
            </w:r>
            <w:r>
              <w:rPr>
                <w:rFonts w:hint="eastAsia" w:ascii="宋体" w:hAnsi="宋体" w:cs="宋体"/>
                <w:color w:val="000000"/>
                <w:kern w:val="0"/>
                <w:sz w:val="18"/>
                <w:szCs w:val="18"/>
                <w:lang w:bidi="ar"/>
              </w:rPr>
              <w:t>控制率小于等于100%的，得满分；</w:t>
            </w:r>
          </w:p>
          <w:p w14:paraId="0364FACD">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②每超过</w:t>
            </w:r>
            <w:r>
              <w:rPr>
                <w:rFonts w:hint="eastAsia" w:ascii="宋体" w:hAnsi="宋体" w:cs="宋体"/>
                <w:color w:val="000000"/>
                <w:kern w:val="0"/>
                <w:sz w:val="18"/>
                <w:szCs w:val="18"/>
                <w:lang w:val="en-US" w:eastAsia="zh-CN" w:bidi="ar"/>
              </w:rPr>
              <w:t>10</w:t>
            </w:r>
            <w:r>
              <w:rPr>
                <w:rFonts w:hint="eastAsia" w:ascii="宋体" w:hAnsi="宋体" w:cs="宋体"/>
                <w:color w:val="000000"/>
                <w:kern w:val="0"/>
                <w:sz w:val="18"/>
                <w:szCs w:val="18"/>
                <w:lang w:bidi="ar"/>
              </w:rPr>
              <w:t>个百分点扣0.5分，扣完为止。</w:t>
            </w:r>
          </w:p>
        </w:tc>
      </w:tr>
      <w:tr w14:paraId="4173B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trPr>
        <w:tc>
          <w:tcPr>
            <w:tcW w:w="794" w:type="dxa"/>
            <w:vMerge w:val="continue"/>
            <w:shd w:val="clear" w:color="auto" w:fill="auto"/>
            <w:vAlign w:val="center"/>
          </w:tcPr>
          <w:p w14:paraId="61403A95">
            <w:pPr>
              <w:jc w:val="center"/>
              <w:rPr>
                <w:rFonts w:ascii="宋体" w:hAnsi="宋体" w:cs="宋体"/>
                <w:color w:val="000000"/>
                <w:sz w:val="18"/>
                <w:szCs w:val="18"/>
              </w:rPr>
            </w:pPr>
          </w:p>
        </w:tc>
        <w:tc>
          <w:tcPr>
            <w:tcW w:w="881" w:type="dxa"/>
            <w:vMerge w:val="continue"/>
            <w:shd w:val="clear" w:color="auto" w:fill="auto"/>
            <w:vAlign w:val="center"/>
          </w:tcPr>
          <w:p w14:paraId="64AFF425">
            <w:pPr>
              <w:jc w:val="center"/>
              <w:rPr>
                <w:rFonts w:ascii="宋体" w:hAnsi="宋体" w:cs="宋体"/>
                <w:color w:val="000000"/>
                <w:sz w:val="18"/>
                <w:szCs w:val="18"/>
              </w:rPr>
            </w:pPr>
          </w:p>
        </w:tc>
        <w:tc>
          <w:tcPr>
            <w:tcW w:w="1632" w:type="dxa"/>
            <w:shd w:val="clear" w:color="auto" w:fill="auto"/>
            <w:vAlign w:val="center"/>
          </w:tcPr>
          <w:p w14:paraId="228BB40F">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政府采购</w:t>
            </w:r>
          </w:p>
          <w:p w14:paraId="4CDDD39D">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 xml:space="preserve">执行率 </w:t>
            </w:r>
          </w:p>
          <w:p w14:paraId="227BC9B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（2分）</w:t>
            </w:r>
          </w:p>
        </w:tc>
        <w:tc>
          <w:tcPr>
            <w:tcW w:w="2400" w:type="dxa"/>
            <w:shd w:val="clear" w:color="auto" w:fill="auto"/>
            <w:vAlign w:val="center"/>
          </w:tcPr>
          <w:p w14:paraId="12035467">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评价部门（单位）本年度政府采购是否执行政府采购相关规定和要求。</w:t>
            </w:r>
          </w:p>
        </w:tc>
        <w:tc>
          <w:tcPr>
            <w:tcW w:w="3525" w:type="dxa"/>
            <w:shd w:val="clear" w:color="auto" w:fill="auto"/>
            <w:vAlign w:val="center"/>
          </w:tcPr>
          <w:p w14:paraId="32E28970">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①是否按规定编制政府采购预算；</w:t>
            </w:r>
          </w:p>
          <w:p w14:paraId="24247E9E">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②是否编制了政府采购计划表；</w:t>
            </w:r>
          </w:p>
          <w:p w14:paraId="35704B0E">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③是否按规定编制资产购置预算；</w:t>
            </w:r>
          </w:p>
          <w:p w14:paraId="49AD12C6">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④是否存在政府采购未按照规定公开招标、违规采购等违规行为；一项不符扣0.5分，扣完为止。</w:t>
            </w:r>
          </w:p>
        </w:tc>
      </w:tr>
      <w:tr w14:paraId="594FA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94" w:type="dxa"/>
            <w:vMerge w:val="continue"/>
            <w:shd w:val="clear" w:color="auto" w:fill="auto"/>
            <w:vAlign w:val="center"/>
          </w:tcPr>
          <w:p w14:paraId="35F96196">
            <w:pPr>
              <w:jc w:val="center"/>
              <w:rPr>
                <w:rFonts w:ascii="宋体" w:hAnsi="宋体" w:cs="宋体"/>
                <w:color w:val="000000"/>
                <w:sz w:val="18"/>
                <w:szCs w:val="18"/>
              </w:rPr>
            </w:pPr>
          </w:p>
        </w:tc>
        <w:tc>
          <w:tcPr>
            <w:tcW w:w="881" w:type="dxa"/>
            <w:vMerge w:val="restart"/>
            <w:shd w:val="clear" w:color="auto" w:fill="auto"/>
            <w:vAlign w:val="center"/>
          </w:tcPr>
          <w:p w14:paraId="551CE5A6">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预算</w:t>
            </w:r>
          </w:p>
          <w:p w14:paraId="353867C3">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管理</w:t>
            </w:r>
          </w:p>
          <w:p w14:paraId="48B2931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（8分）</w:t>
            </w:r>
          </w:p>
        </w:tc>
        <w:tc>
          <w:tcPr>
            <w:tcW w:w="1632" w:type="dxa"/>
            <w:shd w:val="clear" w:color="auto" w:fill="auto"/>
            <w:vAlign w:val="center"/>
          </w:tcPr>
          <w:p w14:paraId="747E7D24">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管理制度</w:t>
            </w:r>
          </w:p>
          <w:p w14:paraId="42A96714">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健全性</w:t>
            </w:r>
          </w:p>
          <w:p w14:paraId="7CECCC2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（2分）</w:t>
            </w:r>
          </w:p>
        </w:tc>
        <w:tc>
          <w:tcPr>
            <w:tcW w:w="2400" w:type="dxa"/>
            <w:shd w:val="clear" w:color="auto" w:fill="auto"/>
            <w:vAlign w:val="center"/>
          </w:tcPr>
          <w:p w14:paraId="3408C68A">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部门（单位）为加强预算管理、规范财务行为而制定的管理制度是否健全完整，用以反映和评价部门（单位）预算管理制度对完成主要职责或促进事业发展的保障情况。</w:t>
            </w:r>
          </w:p>
        </w:tc>
        <w:tc>
          <w:tcPr>
            <w:tcW w:w="3525" w:type="dxa"/>
            <w:shd w:val="clear" w:color="auto" w:fill="auto"/>
            <w:vAlign w:val="center"/>
          </w:tcPr>
          <w:p w14:paraId="709F3E0A">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①已制定预算资金管理办法、内部财务管理制度、会计核算制度等管理制度（1分）；</w:t>
            </w:r>
          </w:p>
          <w:p w14:paraId="0EDC3D6A">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②相关管理制度健全（1分）。</w:t>
            </w:r>
          </w:p>
        </w:tc>
      </w:tr>
      <w:tr w14:paraId="69C33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94" w:type="dxa"/>
            <w:vMerge w:val="continue"/>
            <w:shd w:val="clear" w:color="auto" w:fill="auto"/>
            <w:vAlign w:val="center"/>
          </w:tcPr>
          <w:p w14:paraId="52B3439B">
            <w:pPr>
              <w:jc w:val="center"/>
              <w:rPr>
                <w:rFonts w:ascii="宋体" w:hAnsi="宋体" w:cs="宋体"/>
                <w:color w:val="000000"/>
                <w:sz w:val="18"/>
                <w:szCs w:val="18"/>
              </w:rPr>
            </w:pPr>
          </w:p>
        </w:tc>
        <w:tc>
          <w:tcPr>
            <w:tcW w:w="881" w:type="dxa"/>
            <w:vMerge w:val="continue"/>
            <w:shd w:val="clear" w:color="auto" w:fill="auto"/>
            <w:vAlign w:val="center"/>
          </w:tcPr>
          <w:p w14:paraId="00033185">
            <w:pPr>
              <w:jc w:val="center"/>
              <w:rPr>
                <w:rFonts w:ascii="宋体" w:hAnsi="宋体" w:cs="宋体"/>
                <w:color w:val="000000"/>
                <w:sz w:val="18"/>
                <w:szCs w:val="18"/>
              </w:rPr>
            </w:pPr>
          </w:p>
        </w:tc>
        <w:tc>
          <w:tcPr>
            <w:tcW w:w="1632" w:type="dxa"/>
            <w:shd w:val="clear" w:color="auto" w:fill="auto"/>
            <w:vAlign w:val="center"/>
          </w:tcPr>
          <w:p w14:paraId="57BF2C9E">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资金使用</w:t>
            </w:r>
          </w:p>
          <w:p w14:paraId="5A6309CD">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合规性</w:t>
            </w:r>
          </w:p>
          <w:p w14:paraId="5C82FFF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（2分）</w:t>
            </w:r>
          </w:p>
        </w:tc>
        <w:tc>
          <w:tcPr>
            <w:tcW w:w="2400" w:type="dxa"/>
            <w:shd w:val="clear" w:color="auto" w:fill="auto"/>
            <w:vAlign w:val="center"/>
          </w:tcPr>
          <w:p w14:paraId="2FE198F0">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部门（单位）使用预算资金是否符合相关的预算财务管理制度的规定，反映和评价部门（单位）预算资金的规范运行情况。</w:t>
            </w:r>
          </w:p>
        </w:tc>
        <w:tc>
          <w:tcPr>
            <w:tcW w:w="3525" w:type="dxa"/>
            <w:shd w:val="clear" w:color="auto" w:fill="auto"/>
            <w:vAlign w:val="center"/>
          </w:tcPr>
          <w:p w14:paraId="6E4B6FA5">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①是否符合国家财经法规及有关部门资金管理办法的规定；</w:t>
            </w:r>
          </w:p>
          <w:p w14:paraId="77A678F0">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②资金的拨付是否有完整的审批过程和手续；</w:t>
            </w:r>
          </w:p>
          <w:p w14:paraId="07655243">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③对下补助资金是否有专门的资金分配办法或方案（包含测算过程）；</w:t>
            </w:r>
          </w:p>
          <w:p w14:paraId="6CE0B8F7">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④项目的重大开支是否经过评估论证，是否存在截留、挤占、挪用、虚列支出的情况。一项不符扣0.5分，扣完为止。</w:t>
            </w:r>
          </w:p>
        </w:tc>
      </w:tr>
      <w:tr w14:paraId="03053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794" w:type="dxa"/>
            <w:vMerge w:val="continue"/>
            <w:shd w:val="clear" w:color="auto" w:fill="auto"/>
            <w:vAlign w:val="center"/>
          </w:tcPr>
          <w:p w14:paraId="6802204A">
            <w:pPr>
              <w:jc w:val="center"/>
              <w:rPr>
                <w:rFonts w:ascii="宋体" w:hAnsi="宋体" w:cs="宋体"/>
                <w:color w:val="000000"/>
                <w:sz w:val="18"/>
                <w:szCs w:val="18"/>
              </w:rPr>
            </w:pPr>
          </w:p>
        </w:tc>
        <w:tc>
          <w:tcPr>
            <w:tcW w:w="881" w:type="dxa"/>
            <w:vMerge w:val="continue"/>
            <w:shd w:val="clear" w:color="auto" w:fill="auto"/>
            <w:vAlign w:val="center"/>
          </w:tcPr>
          <w:p w14:paraId="2FB1D4F6">
            <w:pPr>
              <w:jc w:val="center"/>
              <w:rPr>
                <w:rFonts w:ascii="宋体" w:hAnsi="宋体" w:cs="宋体"/>
                <w:color w:val="000000"/>
                <w:sz w:val="18"/>
                <w:szCs w:val="18"/>
              </w:rPr>
            </w:pPr>
          </w:p>
        </w:tc>
        <w:tc>
          <w:tcPr>
            <w:tcW w:w="1632" w:type="dxa"/>
            <w:shd w:val="clear" w:color="auto" w:fill="auto"/>
            <w:vAlign w:val="center"/>
          </w:tcPr>
          <w:p w14:paraId="436AE282">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预决算信息</w:t>
            </w:r>
          </w:p>
          <w:p w14:paraId="501CC8DA">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公开性</w:t>
            </w:r>
          </w:p>
          <w:p w14:paraId="4646E11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（2分）</w:t>
            </w:r>
          </w:p>
        </w:tc>
        <w:tc>
          <w:tcPr>
            <w:tcW w:w="2400" w:type="dxa"/>
            <w:shd w:val="clear" w:color="auto" w:fill="auto"/>
            <w:vAlign w:val="center"/>
          </w:tcPr>
          <w:p w14:paraId="09B91163">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部门（单位）是否按照政府信息公开有关规定及预决算批复文件中要求的格式、时限公开相关预决算信息，用以反映和评价部门（单位）预决算管理的公开透明情况。</w:t>
            </w:r>
          </w:p>
        </w:tc>
        <w:tc>
          <w:tcPr>
            <w:tcW w:w="3525" w:type="dxa"/>
            <w:shd w:val="clear" w:color="auto" w:fill="auto"/>
            <w:vAlign w:val="center"/>
          </w:tcPr>
          <w:p w14:paraId="5C239BF8">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①按规定格式公开预决算信息（1分）；</w:t>
            </w:r>
          </w:p>
          <w:p w14:paraId="5D9CFC18">
            <w:pPr>
              <w:widowControl/>
              <w:jc w:val="left"/>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bidi="ar"/>
              </w:rPr>
              <w:t>②按规定时限公开预决算信息（1分）</w:t>
            </w:r>
            <w:r>
              <w:rPr>
                <w:rFonts w:hint="eastAsia" w:ascii="宋体" w:hAnsi="宋体" w:cs="宋体"/>
                <w:color w:val="000000"/>
                <w:kern w:val="0"/>
                <w:sz w:val="18"/>
                <w:szCs w:val="18"/>
                <w:lang w:eastAsia="zh-CN" w:bidi="ar"/>
              </w:rPr>
              <w:t>。</w:t>
            </w:r>
          </w:p>
        </w:tc>
      </w:tr>
      <w:tr w14:paraId="6B416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trPr>
        <w:tc>
          <w:tcPr>
            <w:tcW w:w="794" w:type="dxa"/>
            <w:vMerge w:val="continue"/>
            <w:shd w:val="clear" w:color="auto" w:fill="auto"/>
            <w:vAlign w:val="center"/>
          </w:tcPr>
          <w:p w14:paraId="04C22521">
            <w:pPr>
              <w:jc w:val="center"/>
              <w:rPr>
                <w:rFonts w:ascii="宋体" w:hAnsi="宋体" w:cs="宋体"/>
                <w:color w:val="000000"/>
                <w:sz w:val="18"/>
                <w:szCs w:val="18"/>
              </w:rPr>
            </w:pPr>
          </w:p>
        </w:tc>
        <w:tc>
          <w:tcPr>
            <w:tcW w:w="881" w:type="dxa"/>
            <w:vMerge w:val="continue"/>
            <w:shd w:val="clear" w:color="auto" w:fill="auto"/>
            <w:vAlign w:val="center"/>
          </w:tcPr>
          <w:p w14:paraId="28F70F64">
            <w:pPr>
              <w:jc w:val="center"/>
              <w:rPr>
                <w:rFonts w:ascii="宋体" w:hAnsi="宋体" w:cs="宋体"/>
                <w:color w:val="000000"/>
                <w:sz w:val="18"/>
                <w:szCs w:val="18"/>
              </w:rPr>
            </w:pPr>
          </w:p>
        </w:tc>
        <w:tc>
          <w:tcPr>
            <w:tcW w:w="1632" w:type="dxa"/>
            <w:shd w:val="clear" w:color="auto" w:fill="auto"/>
            <w:vAlign w:val="center"/>
          </w:tcPr>
          <w:p w14:paraId="43C0760A">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资产管理</w:t>
            </w:r>
          </w:p>
          <w:p w14:paraId="7DC32733">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完整性</w:t>
            </w:r>
          </w:p>
          <w:p w14:paraId="703E791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（2分）</w:t>
            </w:r>
          </w:p>
        </w:tc>
        <w:tc>
          <w:tcPr>
            <w:tcW w:w="2400" w:type="dxa"/>
            <w:shd w:val="clear" w:color="auto" w:fill="auto"/>
            <w:vAlign w:val="center"/>
          </w:tcPr>
          <w:p w14:paraId="3F6ECECB">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部门（单位）的资产是否保存完整、使用合规、收入及时足额上缴，用以反映和评价部门（单位）资产运行情况。</w:t>
            </w:r>
          </w:p>
        </w:tc>
        <w:tc>
          <w:tcPr>
            <w:tcW w:w="3525" w:type="dxa"/>
            <w:shd w:val="clear" w:color="auto" w:fill="auto"/>
            <w:vAlign w:val="center"/>
          </w:tcPr>
          <w:p w14:paraId="4C1AE592">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①资产保存是否完整，有专人保管；</w:t>
            </w:r>
          </w:p>
          <w:p w14:paraId="45232DC5">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②单位资产管理制度是否健全、完整、合法；</w:t>
            </w:r>
          </w:p>
          <w:p w14:paraId="0BC0FE6D">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③资产有偿使用及处置收入是否及时足额上缴；</w:t>
            </w:r>
          </w:p>
          <w:p w14:paraId="24F74E60">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④重大资产处置收入是否按照要求收支两条线管理和使用；一项不符扣0.5分，扣完为止。</w:t>
            </w:r>
          </w:p>
        </w:tc>
      </w:tr>
      <w:tr w14:paraId="77B09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794" w:type="dxa"/>
            <w:vMerge w:val="restart"/>
            <w:shd w:val="clear" w:color="auto" w:fill="auto"/>
            <w:vAlign w:val="center"/>
          </w:tcPr>
          <w:p w14:paraId="54651D3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产出（40%）</w:t>
            </w:r>
          </w:p>
        </w:tc>
        <w:tc>
          <w:tcPr>
            <w:tcW w:w="881" w:type="dxa"/>
            <w:vMerge w:val="restart"/>
            <w:shd w:val="clear" w:color="auto" w:fill="auto"/>
            <w:vAlign w:val="center"/>
          </w:tcPr>
          <w:p w14:paraId="02219672">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职责</w:t>
            </w:r>
          </w:p>
          <w:p w14:paraId="4B3C64FA">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履行</w:t>
            </w:r>
          </w:p>
          <w:p w14:paraId="16497F5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（8分）</w:t>
            </w:r>
          </w:p>
        </w:tc>
        <w:tc>
          <w:tcPr>
            <w:tcW w:w="1632" w:type="dxa"/>
            <w:shd w:val="clear" w:color="auto" w:fill="auto"/>
            <w:vAlign w:val="center"/>
          </w:tcPr>
          <w:p w14:paraId="18727E07">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项目实际</w:t>
            </w:r>
          </w:p>
          <w:p w14:paraId="30F6ECD8">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完成率</w:t>
            </w:r>
          </w:p>
          <w:p w14:paraId="628377E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（2分）</w:t>
            </w:r>
          </w:p>
        </w:tc>
        <w:tc>
          <w:tcPr>
            <w:tcW w:w="2400" w:type="dxa"/>
            <w:shd w:val="clear" w:color="auto" w:fill="auto"/>
            <w:vAlign w:val="center"/>
          </w:tcPr>
          <w:p w14:paraId="100DEBC9">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抽查评价部门(单位)履行职责而实际完成的项目数与计划完成的项目数的比率，用以反映 和评价部门(单位)履职任务目标的实现程度项目实际完成率=(实际完成项目数/计划完成项目数)×100%。</w:t>
            </w:r>
          </w:p>
        </w:tc>
        <w:tc>
          <w:tcPr>
            <w:tcW w:w="3525" w:type="dxa"/>
            <w:shd w:val="clear" w:color="auto" w:fill="auto"/>
            <w:vAlign w:val="center"/>
          </w:tcPr>
          <w:p w14:paraId="29D74824">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①项目实际完成率</w:t>
            </w:r>
            <w:r>
              <w:rPr>
                <w:rFonts w:hint="eastAsia" w:ascii="宋体" w:hAnsi="宋体" w:cs="宋体"/>
                <w:color w:val="000000"/>
                <w:kern w:val="0"/>
                <w:sz w:val="18"/>
                <w:szCs w:val="18"/>
                <w:lang w:val="en-US" w:eastAsia="zh-CN" w:bidi="ar"/>
              </w:rPr>
              <w:t>大于</w:t>
            </w:r>
            <w:r>
              <w:rPr>
                <w:rFonts w:hint="eastAsia" w:ascii="宋体" w:hAnsi="宋体" w:cs="宋体"/>
                <w:color w:val="000000"/>
                <w:kern w:val="0"/>
                <w:sz w:val="18"/>
                <w:szCs w:val="18"/>
                <w:lang w:bidi="ar"/>
              </w:rPr>
              <w:t>等于95%的，得满分；项目实际完成率小</w:t>
            </w:r>
            <w:r>
              <w:rPr>
                <w:rFonts w:hint="eastAsia" w:ascii="宋体" w:hAnsi="宋体" w:cs="宋体"/>
                <w:color w:val="000000"/>
                <w:kern w:val="0"/>
                <w:sz w:val="18"/>
                <w:szCs w:val="18"/>
                <w:lang w:val="en-US" w:eastAsia="zh-CN" w:bidi="ar"/>
              </w:rPr>
              <w:t>于</w:t>
            </w:r>
            <w:r>
              <w:rPr>
                <w:rFonts w:hint="eastAsia" w:ascii="宋体" w:hAnsi="宋体" w:cs="宋体"/>
                <w:color w:val="000000"/>
                <w:kern w:val="0"/>
                <w:sz w:val="18"/>
                <w:szCs w:val="18"/>
                <w:lang w:bidi="ar"/>
              </w:rPr>
              <w:t>等于80%的，得0分；</w:t>
            </w:r>
          </w:p>
          <w:p w14:paraId="4E47A158">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项目实际完成率在80%-95%之间的，得分=(某部门项目实际完成率-80%)/10%×该指标分值。</w:t>
            </w:r>
          </w:p>
        </w:tc>
      </w:tr>
      <w:tr w14:paraId="04227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94" w:type="dxa"/>
            <w:vMerge w:val="continue"/>
            <w:shd w:val="clear" w:color="auto" w:fill="auto"/>
            <w:vAlign w:val="center"/>
          </w:tcPr>
          <w:p w14:paraId="75DAA92B">
            <w:pPr>
              <w:jc w:val="center"/>
              <w:rPr>
                <w:rFonts w:ascii="宋体" w:hAnsi="宋体" w:cs="宋体"/>
                <w:color w:val="000000"/>
                <w:sz w:val="18"/>
                <w:szCs w:val="18"/>
              </w:rPr>
            </w:pPr>
          </w:p>
        </w:tc>
        <w:tc>
          <w:tcPr>
            <w:tcW w:w="881" w:type="dxa"/>
            <w:vMerge w:val="continue"/>
            <w:shd w:val="clear" w:color="auto" w:fill="auto"/>
            <w:vAlign w:val="center"/>
          </w:tcPr>
          <w:p w14:paraId="5B4AFB03">
            <w:pPr>
              <w:jc w:val="center"/>
              <w:rPr>
                <w:rFonts w:ascii="宋体" w:hAnsi="宋体" w:cs="宋体"/>
                <w:color w:val="000000"/>
                <w:sz w:val="18"/>
                <w:szCs w:val="18"/>
              </w:rPr>
            </w:pPr>
          </w:p>
        </w:tc>
        <w:tc>
          <w:tcPr>
            <w:tcW w:w="1632" w:type="dxa"/>
            <w:shd w:val="clear" w:color="auto" w:fill="auto"/>
            <w:vAlign w:val="center"/>
          </w:tcPr>
          <w:p w14:paraId="11C24230">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项目质量</w:t>
            </w:r>
          </w:p>
          <w:p w14:paraId="79A84D75">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达标率</w:t>
            </w:r>
          </w:p>
          <w:p w14:paraId="3038571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（2分）</w:t>
            </w:r>
          </w:p>
        </w:tc>
        <w:tc>
          <w:tcPr>
            <w:tcW w:w="2400" w:type="dxa"/>
            <w:shd w:val="clear" w:color="auto" w:fill="auto"/>
            <w:vAlign w:val="center"/>
          </w:tcPr>
          <w:p w14:paraId="0D6E5438">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部门已完成项目中质量达标项目个数占已完成项目个数的比率，用以反映和评价部门服职质 量目标的实现程度，项目质量达标率=(已完成项目中质量达标项目个数/已完成项目个 数 ×100%。项目质量达标是指项目决算验收合格。</w:t>
            </w:r>
          </w:p>
        </w:tc>
        <w:tc>
          <w:tcPr>
            <w:tcW w:w="3525" w:type="dxa"/>
            <w:shd w:val="clear" w:color="auto" w:fill="auto"/>
            <w:vAlign w:val="center"/>
          </w:tcPr>
          <w:p w14:paraId="656E52F7">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①项目质量达标率等于100%的，得满分；</w:t>
            </w:r>
          </w:p>
          <w:p w14:paraId="203C6074">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②项</w:t>
            </w:r>
            <w:r>
              <w:rPr>
                <w:rFonts w:hint="eastAsia" w:ascii="宋体" w:hAnsi="宋体" w:cs="宋体"/>
                <w:color w:val="000000"/>
                <w:kern w:val="0"/>
                <w:sz w:val="18"/>
                <w:szCs w:val="18"/>
                <w:lang w:eastAsia="zh-CN" w:bidi="ar"/>
              </w:rPr>
              <w:t>目</w:t>
            </w:r>
            <w:r>
              <w:rPr>
                <w:rFonts w:hint="eastAsia" w:ascii="宋体" w:hAnsi="宋体" w:cs="宋体"/>
                <w:color w:val="000000"/>
                <w:kern w:val="0"/>
                <w:sz w:val="18"/>
                <w:szCs w:val="18"/>
                <w:lang w:bidi="ar"/>
              </w:rPr>
              <w:t>质量达标率</w:t>
            </w:r>
            <w:r>
              <w:rPr>
                <w:rFonts w:hint="eastAsia" w:ascii="宋体" w:hAnsi="宋体" w:cs="宋体"/>
                <w:color w:val="000000"/>
                <w:kern w:val="0"/>
                <w:sz w:val="18"/>
                <w:szCs w:val="18"/>
                <w:lang w:val="en-US" w:eastAsia="zh-CN" w:bidi="ar"/>
              </w:rPr>
              <w:t>小于</w:t>
            </w:r>
            <w:r>
              <w:rPr>
                <w:rFonts w:hint="eastAsia" w:ascii="宋体" w:hAnsi="宋体" w:cs="宋体"/>
                <w:color w:val="000000"/>
                <w:kern w:val="0"/>
                <w:sz w:val="18"/>
                <w:szCs w:val="18"/>
                <w:lang w:bidi="ar"/>
              </w:rPr>
              <w:t>等于99%的，得0分；</w:t>
            </w:r>
          </w:p>
          <w:p w14:paraId="3FD092FC">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②项目质量达标率在99%-100%之间的 得分=(某部门项目质量达标率-99%)/1%×该指标分值</w:t>
            </w:r>
          </w:p>
        </w:tc>
      </w:tr>
      <w:tr w14:paraId="5FFA9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794" w:type="dxa"/>
            <w:vMerge w:val="continue"/>
            <w:shd w:val="clear" w:color="auto" w:fill="auto"/>
            <w:vAlign w:val="center"/>
          </w:tcPr>
          <w:p w14:paraId="7ABE5E3D">
            <w:pPr>
              <w:jc w:val="center"/>
              <w:rPr>
                <w:rFonts w:ascii="宋体" w:hAnsi="宋体" w:cs="宋体"/>
                <w:color w:val="000000"/>
                <w:sz w:val="18"/>
                <w:szCs w:val="18"/>
              </w:rPr>
            </w:pPr>
          </w:p>
        </w:tc>
        <w:tc>
          <w:tcPr>
            <w:tcW w:w="881" w:type="dxa"/>
            <w:vMerge w:val="continue"/>
            <w:shd w:val="clear" w:color="auto" w:fill="auto"/>
            <w:vAlign w:val="center"/>
          </w:tcPr>
          <w:p w14:paraId="1EA56037">
            <w:pPr>
              <w:jc w:val="center"/>
              <w:rPr>
                <w:rFonts w:ascii="宋体" w:hAnsi="宋体" w:cs="宋体"/>
                <w:color w:val="000000"/>
                <w:sz w:val="18"/>
                <w:szCs w:val="18"/>
              </w:rPr>
            </w:pPr>
          </w:p>
        </w:tc>
        <w:tc>
          <w:tcPr>
            <w:tcW w:w="1632" w:type="dxa"/>
            <w:shd w:val="clear" w:color="auto" w:fill="auto"/>
            <w:vAlign w:val="center"/>
          </w:tcPr>
          <w:p w14:paraId="4FAB89A0">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部门绩效自评</w:t>
            </w:r>
          </w:p>
          <w:p w14:paraId="649A948D">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项目占比率</w:t>
            </w:r>
          </w:p>
          <w:p w14:paraId="565066D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（2分）</w:t>
            </w:r>
          </w:p>
        </w:tc>
        <w:tc>
          <w:tcPr>
            <w:tcW w:w="2400" w:type="dxa"/>
            <w:shd w:val="clear" w:color="auto" w:fill="auto"/>
            <w:vAlign w:val="center"/>
          </w:tcPr>
          <w:p w14:paraId="3A1035EA">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部门自评项目在所有项目中所占的份额，反映和评价部门对项目自评的重视程度。部门支出项目绩效自评范围：本年度列入本级财政预算 安排的项目。</w:t>
            </w:r>
          </w:p>
        </w:tc>
        <w:tc>
          <w:tcPr>
            <w:tcW w:w="3525" w:type="dxa"/>
            <w:shd w:val="clear" w:color="auto" w:fill="auto"/>
            <w:vAlign w:val="center"/>
          </w:tcPr>
          <w:p w14:paraId="7BA2429D">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部门绩效自评项目占比率=(自评项目个数/所有项目个数)×100%。得分=占比率×该指标分值</w:t>
            </w:r>
          </w:p>
        </w:tc>
      </w:tr>
      <w:tr w14:paraId="5F4E1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794" w:type="dxa"/>
            <w:vMerge w:val="continue"/>
            <w:shd w:val="clear" w:color="auto" w:fill="auto"/>
            <w:vAlign w:val="center"/>
          </w:tcPr>
          <w:p w14:paraId="543D42B1">
            <w:pPr>
              <w:jc w:val="center"/>
              <w:rPr>
                <w:rFonts w:ascii="宋体" w:hAnsi="宋体" w:cs="宋体"/>
                <w:color w:val="000000"/>
                <w:sz w:val="18"/>
                <w:szCs w:val="18"/>
              </w:rPr>
            </w:pPr>
          </w:p>
        </w:tc>
        <w:tc>
          <w:tcPr>
            <w:tcW w:w="881" w:type="dxa"/>
            <w:vMerge w:val="continue"/>
            <w:shd w:val="clear" w:color="auto" w:fill="auto"/>
            <w:vAlign w:val="center"/>
          </w:tcPr>
          <w:p w14:paraId="0BD5539A">
            <w:pPr>
              <w:jc w:val="center"/>
              <w:rPr>
                <w:rFonts w:ascii="宋体" w:hAnsi="宋体" w:cs="宋体"/>
                <w:color w:val="000000"/>
                <w:sz w:val="18"/>
                <w:szCs w:val="18"/>
              </w:rPr>
            </w:pPr>
          </w:p>
        </w:tc>
        <w:tc>
          <w:tcPr>
            <w:tcW w:w="1632" w:type="dxa"/>
            <w:shd w:val="clear" w:color="auto" w:fill="auto"/>
            <w:vAlign w:val="center"/>
          </w:tcPr>
          <w:p w14:paraId="5A89986C">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部门预算绩效</w:t>
            </w:r>
          </w:p>
          <w:p w14:paraId="71F30E43">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管理情况</w:t>
            </w:r>
          </w:p>
          <w:p w14:paraId="63423CC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（2分）</w:t>
            </w:r>
          </w:p>
        </w:tc>
        <w:tc>
          <w:tcPr>
            <w:tcW w:w="2400" w:type="dxa"/>
            <w:shd w:val="clear" w:color="auto" w:fill="auto"/>
            <w:vAlign w:val="center"/>
          </w:tcPr>
          <w:p w14:paraId="31532632">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对部门开展预算绩效管理工作的年度评价结果，用以反映部门对预算绩效管理工作的重视程度和取得的成效。</w:t>
            </w:r>
          </w:p>
        </w:tc>
        <w:tc>
          <w:tcPr>
            <w:tcW w:w="3525" w:type="dxa"/>
            <w:shd w:val="clear" w:color="auto" w:fill="auto"/>
            <w:vAlign w:val="center"/>
          </w:tcPr>
          <w:p w14:paraId="7378ED21">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对部门绩效管理工作开展情况进行核查评价计算得分，包括绩效目标管理，绩效执行监控、绩效自评和评价结果应用等情况。以部门为单位进行综合计算，得出各部门绩效管理工作评价结果，资料数据来源不真实的不得分。未按规定报送绩效管理报表资料或未按时完成整改反馈的，每次扣1分。综合得分=(部门绩效管理工作评价结果/100) *5分</w:t>
            </w:r>
          </w:p>
        </w:tc>
      </w:tr>
      <w:tr w14:paraId="435F6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794" w:type="dxa"/>
            <w:vMerge w:val="continue"/>
            <w:shd w:val="clear" w:color="auto" w:fill="auto"/>
            <w:vAlign w:val="center"/>
          </w:tcPr>
          <w:p w14:paraId="54540C40">
            <w:pPr>
              <w:jc w:val="center"/>
              <w:rPr>
                <w:rFonts w:ascii="宋体" w:hAnsi="宋体" w:cs="宋体"/>
                <w:color w:val="000000"/>
                <w:sz w:val="18"/>
                <w:szCs w:val="18"/>
              </w:rPr>
            </w:pPr>
          </w:p>
        </w:tc>
        <w:tc>
          <w:tcPr>
            <w:tcW w:w="881" w:type="dxa"/>
            <w:vMerge w:val="restart"/>
            <w:shd w:val="clear" w:color="auto" w:fill="auto"/>
            <w:vAlign w:val="center"/>
          </w:tcPr>
          <w:p w14:paraId="0E551457">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产出</w:t>
            </w:r>
          </w:p>
          <w:p w14:paraId="6CB3149B">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数量</w:t>
            </w:r>
          </w:p>
          <w:p w14:paraId="2377F30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（12）</w:t>
            </w:r>
          </w:p>
        </w:tc>
        <w:tc>
          <w:tcPr>
            <w:tcW w:w="1632" w:type="dxa"/>
            <w:shd w:val="clear" w:color="auto" w:fill="auto"/>
            <w:vAlign w:val="center"/>
          </w:tcPr>
          <w:p w14:paraId="662123FE">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新增高标准</w:t>
            </w:r>
          </w:p>
          <w:p w14:paraId="2D9CB702">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农田面积</w:t>
            </w:r>
          </w:p>
          <w:p w14:paraId="58C2C3D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（2分）</w:t>
            </w:r>
          </w:p>
        </w:tc>
        <w:tc>
          <w:tcPr>
            <w:tcW w:w="2400" w:type="dxa"/>
            <w:shd w:val="clear" w:color="auto" w:fill="auto"/>
            <w:vAlign w:val="center"/>
          </w:tcPr>
          <w:p w14:paraId="21C5666B">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考核新增高标准农田面积</w:t>
            </w:r>
          </w:p>
        </w:tc>
        <w:tc>
          <w:tcPr>
            <w:tcW w:w="3525" w:type="dxa"/>
            <w:shd w:val="clear" w:color="auto" w:fill="auto"/>
            <w:vAlign w:val="center"/>
          </w:tcPr>
          <w:p w14:paraId="39CA0090">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≥0.1万亩得满分，面积每少于0.01亩扣0.5分</w:t>
            </w:r>
          </w:p>
        </w:tc>
      </w:tr>
      <w:tr w14:paraId="20871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794" w:type="dxa"/>
            <w:vMerge w:val="continue"/>
            <w:shd w:val="clear" w:color="auto" w:fill="auto"/>
            <w:vAlign w:val="center"/>
          </w:tcPr>
          <w:p w14:paraId="070A1972">
            <w:pPr>
              <w:jc w:val="center"/>
              <w:rPr>
                <w:rFonts w:ascii="宋体" w:hAnsi="宋体" w:cs="宋体"/>
                <w:color w:val="000000"/>
                <w:sz w:val="18"/>
                <w:szCs w:val="18"/>
              </w:rPr>
            </w:pPr>
          </w:p>
        </w:tc>
        <w:tc>
          <w:tcPr>
            <w:tcW w:w="881" w:type="dxa"/>
            <w:vMerge w:val="continue"/>
            <w:shd w:val="clear" w:color="auto" w:fill="auto"/>
            <w:vAlign w:val="center"/>
          </w:tcPr>
          <w:p w14:paraId="06983062">
            <w:pPr>
              <w:jc w:val="center"/>
              <w:rPr>
                <w:rFonts w:ascii="宋体" w:hAnsi="宋体" w:cs="宋体"/>
                <w:color w:val="000000"/>
                <w:sz w:val="18"/>
                <w:szCs w:val="18"/>
              </w:rPr>
            </w:pPr>
          </w:p>
        </w:tc>
        <w:tc>
          <w:tcPr>
            <w:tcW w:w="1632" w:type="dxa"/>
            <w:shd w:val="clear" w:color="auto" w:fill="auto"/>
            <w:vAlign w:val="center"/>
          </w:tcPr>
          <w:p w14:paraId="7FB6BAD6">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农业农村</w:t>
            </w:r>
          </w:p>
          <w:p w14:paraId="7E816310">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工作宣教</w:t>
            </w:r>
          </w:p>
          <w:p w14:paraId="1CAAE7D8">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活动次数</w:t>
            </w:r>
          </w:p>
          <w:p w14:paraId="50B9A73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（2分）</w:t>
            </w:r>
          </w:p>
        </w:tc>
        <w:tc>
          <w:tcPr>
            <w:tcW w:w="2400" w:type="dxa"/>
            <w:shd w:val="clear" w:color="auto" w:fill="auto"/>
            <w:vAlign w:val="center"/>
          </w:tcPr>
          <w:p w14:paraId="52E11449">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考核农业农村工作宣教活动次数是否达到目标</w:t>
            </w:r>
          </w:p>
        </w:tc>
        <w:tc>
          <w:tcPr>
            <w:tcW w:w="3525" w:type="dxa"/>
            <w:shd w:val="clear" w:color="auto" w:fill="auto"/>
            <w:vAlign w:val="center"/>
          </w:tcPr>
          <w:p w14:paraId="289CD6FC">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农业农村工作宣教活动次数≥3次（2分）；2次≤农业农村工作宣教活动次数﹤3次（1.5分）；农业农村工作宣教活动次数﹤80%（0分）</w:t>
            </w:r>
          </w:p>
        </w:tc>
      </w:tr>
      <w:tr w14:paraId="7B479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94" w:type="dxa"/>
            <w:vMerge w:val="continue"/>
            <w:shd w:val="clear" w:color="auto" w:fill="auto"/>
            <w:vAlign w:val="center"/>
          </w:tcPr>
          <w:p w14:paraId="73E533CC">
            <w:pPr>
              <w:jc w:val="center"/>
              <w:rPr>
                <w:rFonts w:ascii="宋体" w:hAnsi="宋体" w:cs="宋体"/>
                <w:color w:val="000000"/>
                <w:sz w:val="18"/>
                <w:szCs w:val="18"/>
              </w:rPr>
            </w:pPr>
          </w:p>
        </w:tc>
        <w:tc>
          <w:tcPr>
            <w:tcW w:w="881" w:type="dxa"/>
            <w:vMerge w:val="continue"/>
            <w:shd w:val="clear" w:color="auto" w:fill="auto"/>
            <w:vAlign w:val="center"/>
          </w:tcPr>
          <w:p w14:paraId="2E74175C">
            <w:pPr>
              <w:jc w:val="center"/>
              <w:rPr>
                <w:rFonts w:ascii="宋体" w:hAnsi="宋体" w:cs="宋体"/>
                <w:color w:val="000000"/>
                <w:sz w:val="18"/>
                <w:szCs w:val="18"/>
              </w:rPr>
            </w:pPr>
          </w:p>
        </w:tc>
        <w:tc>
          <w:tcPr>
            <w:tcW w:w="1632" w:type="dxa"/>
            <w:shd w:val="clear" w:color="auto" w:fill="auto"/>
            <w:vAlign w:val="center"/>
          </w:tcPr>
          <w:p w14:paraId="445B85EA">
            <w:pPr>
              <w:widowControl/>
              <w:jc w:val="center"/>
              <w:textAlignment w:val="center"/>
              <w:rPr>
                <w:rFonts w:ascii="宋体" w:hAnsi="宋体" w:cs="宋体"/>
                <w:color w:val="000000"/>
                <w:sz w:val="18"/>
                <w:szCs w:val="18"/>
              </w:rPr>
            </w:pPr>
            <w:r>
              <w:rPr>
                <w:rFonts w:hint="eastAsia" w:ascii="宋体" w:hAnsi="宋体" w:cs="宋体"/>
                <w:color w:val="000000"/>
                <w:sz w:val="18"/>
                <w:szCs w:val="18"/>
              </w:rPr>
              <w:t>农产品质量安全监督抽检数量</w:t>
            </w:r>
          </w:p>
          <w:p w14:paraId="406D8830">
            <w:pPr>
              <w:widowControl/>
              <w:jc w:val="center"/>
              <w:textAlignment w:val="center"/>
              <w:rPr>
                <w:rFonts w:ascii="宋体" w:hAnsi="宋体" w:cs="宋体"/>
                <w:color w:val="000000"/>
                <w:sz w:val="18"/>
                <w:szCs w:val="18"/>
              </w:rPr>
            </w:pPr>
            <w:r>
              <w:rPr>
                <w:rFonts w:hint="eastAsia" w:ascii="宋体" w:hAnsi="宋体" w:cs="宋体"/>
                <w:color w:val="000000"/>
                <w:sz w:val="18"/>
                <w:szCs w:val="18"/>
              </w:rPr>
              <w:t>（2分）</w:t>
            </w:r>
          </w:p>
        </w:tc>
        <w:tc>
          <w:tcPr>
            <w:tcW w:w="2400" w:type="dxa"/>
            <w:shd w:val="clear" w:color="auto" w:fill="auto"/>
            <w:vAlign w:val="center"/>
          </w:tcPr>
          <w:p w14:paraId="56170880">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考核农产品质量安全例行监测样品数量</w:t>
            </w:r>
          </w:p>
        </w:tc>
        <w:tc>
          <w:tcPr>
            <w:tcW w:w="3525" w:type="dxa"/>
            <w:shd w:val="clear" w:color="auto" w:fill="auto"/>
            <w:vAlign w:val="center"/>
          </w:tcPr>
          <w:p w14:paraId="7C0E37BC">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农产品质量安全监督抽检数量≥300份（2分），每少1家扣1分，扣完为止。</w:t>
            </w:r>
          </w:p>
        </w:tc>
      </w:tr>
      <w:tr w14:paraId="01BA0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94" w:type="dxa"/>
            <w:vMerge w:val="continue"/>
            <w:shd w:val="clear" w:color="auto" w:fill="auto"/>
            <w:vAlign w:val="center"/>
          </w:tcPr>
          <w:p w14:paraId="60AB9E3F">
            <w:pPr>
              <w:jc w:val="center"/>
              <w:rPr>
                <w:rFonts w:ascii="宋体" w:hAnsi="宋体" w:cs="宋体"/>
                <w:color w:val="000000"/>
                <w:sz w:val="18"/>
                <w:szCs w:val="18"/>
              </w:rPr>
            </w:pPr>
          </w:p>
        </w:tc>
        <w:tc>
          <w:tcPr>
            <w:tcW w:w="881" w:type="dxa"/>
            <w:vMerge w:val="continue"/>
            <w:shd w:val="clear" w:color="auto" w:fill="auto"/>
            <w:vAlign w:val="center"/>
          </w:tcPr>
          <w:p w14:paraId="5454DE30">
            <w:pPr>
              <w:jc w:val="center"/>
              <w:rPr>
                <w:rFonts w:ascii="宋体" w:hAnsi="宋体" w:cs="宋体"/>
                <w:color w:val="000000"/>
                <w:sz w:val="18"/>
                <w:szCs w:val="18"/>
              </w:rPr>
            </w:pPr>
          </w:p>
        </w:tc>
        <w:tc>
          <w:tcPr>
            <w:tcW w:w="1632" w:type="dxa"/>
            <w:shd w:val="clear" w:color="auto" w:fill="auto"/>
            <w:vAlign w:val="center"/>
          </w:tcPr>
          <w:p w14:paraId="7515D372">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渔业普通船员培训</w:t>
            </w:r>
            <w:r>
              <w:rPr>
                <w:rFonts w:hint="eastAsia" w:ascii="宋体" w:hAnsi="宋体" w:cs="宋体"/>
                <w:color w:val="000000"/>
                <w:kern w:val="0"/>
                <w:sz w:val="18"/>
                <w:szCs w:val="18"/>
                <w:lang w:val="en-US" w:eastAsia="zh-CN" w:bidi="ar"/>
              </w:rPr>
              <w:t>次数</w:t>
            </w:r>
          </w:p>
          <w:p w14:paraId="5514B47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（2分）</w:t>
            </w:r>
          </w:p>
        </w:tc>
        <w:tc>
          <w:tcPr>
            <w:tcW w:w="2400" w:type="dxa"/>
            <w:shd w:val="clear" w:color="auto" w:fill="auto"/>
            <w:vAlign w:val="center"/>
          </w:tcPr>
          <w:p w14:paraId="5FE1A39B">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考核渔业普通船员培训</w:t>
            </w:r>
            <w:r>
              <w:rPr>
                <w:rFonts w:hint="eastAsia" w:ascii="宋体" w:hAnsi="宋体" w:cs="宋体"/>
                <w:color w:val="000000"/>
                <w:kern w:val="0"/>
                <w:sz w:val="18"/>
                <w:szCs w:val="18"/>
                <w:lang w:val="en-US" w:eastAsia="zh-CN" w:bidi="ar"/>
              </w:rPr>
              <w:t>次数</w:t>
            </w:r>
            <w:r>
              <w:rPr>
                <w:rFonts w:hint="eastAsia" w:ascii="宋体" w:hAnsi="宋体" w:cs="宋体"/>
                <w:color w:val="000000"/>
                <w:kern w:val="0"/>
                <w:sz w:val="18"/>
                <w:szCs w:val="18"/>
                <w:lang w:bidi="ar"/>
              </w:rPr>
              <w:t>情况</w:t>
            </w:r>
          </w:p>
        </w:tc>
        <w:tc>
          <w:tcPr>
            <w:tcW w:w="3525" w:type="dxa"/>
            <w:shd w:val="clear" w:color="auto" w:fill="auto"/>
            <w:vAlign w:val="center"/>
          </w:tcPr>
          <w:p w14:paraId="7C71B3B6">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渔业普通船员培训</w:t>
            </w:r>
            <w:r>
              <w:rPr>
                <w:rFonts w:hint="eastAsia" w:ascii="宋体" w:hAnsi="宋体" w:cs="宋体"/>
                <w:color w:val="000000"/>
                <w:kern w:val="0"/>
                <w:sz w:val="18"/>
                <w:szCs w:val="18"/>
                <w:lang w:val="en-US" w:eastAsia="zh-CN" w:bidi="ar"/>
              </w:rPr>
              <w:t>次数</w:t>
            </w:r>
            <w:r>
              <w:rPr>
                <w:rFonts w:hint="eastAsia" w:ascii="宋体" w:hAnsi="宋体" w:cs="宋体"/>
                <w:color w:val="000000"/>
                <w:kern w:val="0"/>
                <w:sz w:val="18"/>
                <w:szCs w:val="18"/>
                <w:lang w:bidi="ar"/>
              </w:rPr>
              <w:t>≥3500人得满分，每少10人扣1分，扣完为止。</w:t>
            </w:r>
          </w:p>
        </w:tc>
      </w:tr>
      <w:tr w14:paraId="5E18C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794" w:type="dxa"/>
            <w:vMerge w:val="continue"/>
            <w:shd w:val="clear" w:color="auto" w:fill="auto"/>
            <w:vAlign w:val="center"/>
          </w:tcPr>
          <w:p w14:paraId="7E7F20AE">
            <w:pPr>
              <w:jc w:val="center"/>
              <w:rPr>
                <w:rFonts w:ascii="宋体" w:hAnsi="宋体" w:cs="宋体"/>
                <w:color w:val="000000"/>
                <w:sz w:val="18"/>
                <w:szCs w:val="18"/>
              </w:rPr>
            </w:pPr>
          </w:p>
        </w:tc>
        <w:tc>
          <w:tcPr>
            <w:tcW w:w="881" w:type="dxa"/>
            <w:vMerge w:val="continue"/>
            <w:shd w:val="clear" w:color="auto" w:fill="auto"/>
            <w:vAlign w:val="center"/>
          </w:tcPr>
          <w:p w14:paraId="0F7AC633">
            <w:pPr>
              <w:jc w:val="center"/>
              <w:rPr>
                <w:rFonts w:ascii="宋体" w:hAnsi="宋体" w:cs="宋体"/>
                <w:color w:val="000000"/>
                <w:sz w:val="18"/>
                <w:szCs w:val="18"/>
              </w:rPr>
            </w:pPr>
          </w:p>
        </w:tc>
        <w:tc>
          <w:tcPr>
            <w:tcW w:w="1632" w:type="dxa"/>
            <w:shd w:val="clear" w:color="auto" w:fill="auto"/>
            <w:vAlign w:val="center"/>
          </w:tcPr>
          <w:p w14:paraId="2FF216FA">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新获评省级农业龙头企业</w:t>
            </w:r>
          </w:p>
          <w:p w14:paraId="2D13271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（2分）</w:t>
            </w:r>
          </w:p>
        </w:tc>
        <w:tc>
          <w:tcPr>
            <w:tcW w:w="2400" w:type="dxa"/>
            <w:shd w:val="clear" w:color="auto" w:fill="auto"/>
            <w:noWrap/>
            <w:vAlign w:val="center"/>
          </w:tcPr>
          <w:p w14:paraId="09BCC9FA">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考核新获评省级农业龙头企业</w:t>
            </w:r>
          </w:p>
        </w:tc>
        <w:tc>
          <w:tcPr>
            <w:tcW w:w="3525" w:type="dxa"/>
            <w:shd w:val="clear" w:color="auto" w:fill="auto"/>
            <w:noWrap/>
            <w:vAlign w:val="center"/>
          </w:tcPr>
          <w:p w14:paraId="1B188BA8">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新获评省级农业龙头企业≥3家得满分，每少1家扣1分，扣完为止。</w:t>
            </w:r>
          </w:p>
        </w:tc>
      </w:tr>
      <w:tr w14:paraId="09088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trPr>
        <w:tc>
          <w:tcPr>
            <w:tcW w:w="794" w:type="dxa"/>
            <w:vMerge w:val="continue"/>
            <w:shd w:val="clear" w:color="auto" w:fill="auto"/>
            <w:vAlign w:val="center"/>
          </w:tcPr>
          <w:p w14:paraId="24C379CA">
            <w:pPr>
              <w:jc w:val="center"/>
              <w:rPr>
                <w:rFonts w:ascii="宋体" w:hAnsi="宋体" w:cs="宋体"/>
                <w:color w:val="000000"/>
                <w:sz w:val="18"/>
                <w:szCs w:val="18"/>
              </w:rPr>
            </w:pPr>
          </w:p>
        </w:tc>
        <w:tc>
          <w:tcPr>
            <w:tcW w:w="881" w:type="dxa"/>
            <w:vMerge w:val="continue"/>
            <w:shd w:val="clear" w:color="auto" w:fill="auto"/>
            <w:vAlign w:val="center"/>
          </w:tcPr>
          <w:p w14:paraId="5D493B6B">
            <w:pPr>
              <w:jc w:val="center"/>
              <w:rPr>
                <w:rFonts w:ascii="宋体" w:hAnsi="宋体" w:cs="宋体"/>
                <w:color w:val="000000"/>
                <w:sz w:val="18"/>
                <w:szCs w:val="18"/>
              </w:rPr>
            </w:pPr>
          </w:p>
        </w:tc>
        <w:tc>
          <w:tcPr>
            <w:tcW w:w="1632" w:type="dxa"/>
            <w:shd w:val="clear" w:color="auto" w:fill="auto"/>
            <w:vAlign w:val="center"/>
          </w:tcPr>
          <w:p w14:paraId="73AA9BDC">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示范点建设数</w:t>
            </w:r>
          </w:p>
          <w:p w14:paraId="51252E29">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（2分）</w:t>
            </w:r>
          </w:p>
        </w:tc>
        <w:tc>
          <w:tcPr>
            <w:tcW w:w="2400" w:type="dxa"/>
            <w:shd w:val="clear" w:color="auto" w:fill="auto"/>
            <w:noWrap/>
            <w:vAlign w:val="center"/>
          </w:tcPr>
          <w:p w14:paraId="4C05DEDB">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 xml:space="preserve">考核2022年度石狮市农业农村局计划建设示范点建设情况 </w:t>
            </w:r>
          </w:p>
          <w:p w14:paraId="7A9A69C0">
            <w:pPr>
              <w:widowControl/>
              <w:jc w:val="left"/>
              <w:textAlignment w:val="center"/>
              <w:rPr>
                <w:rFonts w:ascii="宋体" w:hAnsi="宋体" w:cs="宋体"/>
                <w:color w:val="000000"/>
                <w:kern w:val="0"/>
                <w:sz w:val="18"/>
                <w:szCs w:val="18"/>
                <w:lang w:bidi="ar"/>
              </w:rPr>
            </w:pPr>
          </w:p>
        </w:tc>
        <w:tc>
          <w:tcPr>
            <w:tcW w:w="3525" w:type="dxa"/>
            <w:shd w:val="clear" w:color="auto" w:fill="auto"/>
            <w:noWrap/>
            <w:vAlign w:val="center"/>
          </w:tcPr>
          <w:p w14:paraId="41741CBA">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2022年度石狮市农业农村局计划建设示范点5个，评分标准为示范乡镇、农业产业化等示范村建设5个及以上得满分，每少1个扣0.5分，扣完为止。</w:t>
            </w:r>
          </w:p>
        </w:tc>
      </w:tr>
      <w:tr w14:paraId="6ADD7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794" w:type="dxa"/>
            <w:vMerge w:val="continue"/>
            <w:shd w:val="clear" w:color="auto" w:fill="auto"/>
            <w:vAlign w:val="center"/>
          </w:tcPr>
          <w:p w14:paraId="36A78868">
            <w:pPr>
              <w:jc w:val="center"/>
              <w:rPr>
                <w:rFonts w:ascii="宋体" w:hAnsi="宋体" w:cs="宋体"/>
                <w:color w:val="000000"/>
                <w:sz w:val="18"/>
                <w:szCs w:val="18"/>
              </w:rPr>
            </w:pPr>
          </w:p>
        </w:tc>
        <w:tc>
          <w:tcPr>
            <w:tcW w:w="881" w:type="dxa"/>
            <w:vMerge w:val="restart"/>
            <w:shd w:val="clear" w:color="auto" w:fill="auto"/>
            <w:vAlign w:val="center"/>
          </w:tcPr>
          <w:p w14:paraId="77530600">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产出</w:t>
            </w:r>
          </w:p>
          <w:p w14:paraId="7BAB23FF">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质量</w:t>
            </w:r>
          </w:p>
          <w:p w14:paraId="5D93B49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（12分）</w:t>
            </w:r>
          </w:p>
        </w:tc>
        <w:tc>
          <w:tcPr>
            <w:tcW w:w="1632" w:type="dxa"/>
            <w:shd w:val="clear" w:color="auto" w:fill="auto"/>
            <w:vAlign w:val="center"/>
          </w:tcPr>
          <w:p w14:paraId="47E9EE9C">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项目验收合格率</w:t>
            </w:r>
          </w:p>
          <w:p w14:paraId="03AFCB1E">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（2分）</w:t>
            </w:r>
          </w:p>
        </w:tc>
        <w:tc>
          <w:tcPr>
            <w:tcW w:w="2400" w:type="dxa"/>
            <w:shd w:val="clear" w:color="auto" w:fill="auto"/>
            <w:vAlign w:val="center"/>
          </w:tcPr>
          <w:p w14:paraId="11C02025">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考核项目验收合格情况</w:t>
            </w:r>
          </w:p>
        </w:tc>
        <w:tc>
          <w:tcPr>
            <w:tcW w:w="3525" w:type="dxa"/>
            <w:shd w:val="clear" w:color="auto" w:fill="auto"/>
            <w:vAlign w:val="center"/>
          </w:tcPr>
          <w:p w14:paraId="514EAD89">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项目验收合格率≥95%得满分，每少10%扣0.5分，扣完为止。</w:t>
            </w:r>
          </w:p>
        </w:tc>
      </w:tr>
      <w:tr w14:paraId="18649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794" w:type="dxa"/>
            <w:vMerge w:val="continue"/>
            <w:shd w:val="clear" w:color="auto" w:fill="auto"/>
            <w:vAlign w:val="center"/>
          </w:tcPr>
          <w:p w14:paraId="1BAEBA0C">
            <w:pPr>
              <w:jc w:val="center"/>
              <w:rPr>
                <w:rFonts w:ascii="宋体" w:hAnsi="宋体" w:cs="宋体"/>
                <w:color w:val="000000"/>
                <w:sz w:val="18"/>
                <w:szCs w:val="18"/>
              </w:rPr>
            </w:pPr>
          </w:p>
        </w:tc>
        <w:tc>
          <w:tcPr>
            <w:tcW w:w="881" w:type="dxa"/>
            <w:vMerge w:val="continue"/>
            <w:shd w:val="clear" w:color="auto" w:fill="auto"/>
            <w:vAlign w:val="center"/>
          </w:tcPr>
          <w:p w14:paraId="29730213">
            <w:pPr>
              <w:jc w:val="center"/>
              <w:rPr>
                <w:rFonts w:ascii="宋体" w:hAnsi="宋体" w:cs="宋体"/>
                <w:color w:val="000000"/>
                <w:sz w:val="18"/>
                <w:szCs w:val="18"/>
              </w:rPr>
            </w:pPr>
          </w:p>
        </w:tc>
        <w:tc>
          <w:tcPr>
            <w:tcW w:w="1632" w:type="dxa"/>
            <w:shd w:val="clear" w:color="auto" w:fill="auto"/>
            <w:vAlign w:val="center"/>
          </w:tcPr>
          <w:p w14:paraId="62B37F89">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农产品质量安全监测总体合格率</w:t>
            </w:r>
          </w:p>
          <w:p w14:paraId="1CC5A434">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（2分）</w:t>
            </w:r>
          </w:p>
        </w:tc>
        <w:tc>
          <w:tcPr>
            <w:tcW w:w="2400" w:type="dxa"/>
            <w:shd w:val="clear" w:color="auto" w:fill="auto"/>
            <w:vAlign w:val="center"/>
          </w:tcPr>
          <w:p w14:paraId="477F924C">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考核农产品质量安全监测总体合格率</w:t>
            </w:r>
          </w:p>
        </w:tc>
        <w:tc>
          <w:tcPr>
            <w:tcW w:w="3525" w:type="dxa"/>
            <w:shd w:val="clear" w:color="auto" w:fill="auto"/>
            <w:vAlign w:val="center"/>
          </w:tcPr>
          <w:p w14:paraId="522A7001">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农产品质量安全监测总体合格率≥98%得满分，每少1个百分点扣1分，扣完为止。</w:t>
            </w:r>
          </w:p>
        </w:tc>
      </w:tr>
      <w:tr w14:paraId="60D7A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794" w:type="dxa"/>
            <w:vMerge w:val="continue"/>
            <w:shd w:val="clear" w:color="auto" w:fill="auto"/>
            <w:vAlign w:val="center"/>
          </w:tcPr>
          <w:p w14:paraId="727D7418">
            <w:pPr>
              <w:jc w:val="center"/>
              <w:rPr>
                <w:rFonts w:ascii="宋体" w:hAnsi="宋体" w:cs="宋体"/>
                <w:color w:val="000000"/>
                <w:sz w:val="18"/>
                <w:szCs w:val="18"/>
              </w:rPr>
            </w:pPr>
          </w:p>
        </w:tc>
        <w:tc>
          <w:tcPr>
            <w:tcW w:w="881" w:type="dxa"/>
            <w:vMerge w:val="continue"/>
            <w:shd w:val="clear" w:color="auto" w:fill="auto"/>
            <w:vAlign w:val="center"/>
          </w:tcPr>
          <w:p w14:paraId="22E8CECC">
            <w:pPr>
              <w:jc w:val="center"/>
              <w:rPr>
                <w:rFonts w:ascii="宋体" w:hAnsi="宋体" w:cs="宋体"/>
                <w:color w:val="000000"/>
                <w:sz w:val="18"/>
                <w:szCs w:val="18"/>
              </w:rPr>
            </w:pPr>
          </w:p>
        </w:tc>
        <w:tc>
          <w:tcPr>
            <w:tcW w:w="1632" w:type="dxa"/>
            <w:shd w:val="clear" w:color="auto" w:fill="auto"/>
            <w:vAlign w:val="center"/>
          </w:tcPr>
          <w:p w14:paraId="32A78956">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良种覆盖率</w:t>
            </w:r>
          </w:p>
          <w:p w14:paraId="07FFFEC2">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（2分）</w:t>
            </w:r>
          </w:p>
        </w:tc>
        <w:tc>
          <w:tcPr>
            <w:tcW w:w="2400" w:type="dxa"/>
            <w:shd w:val="clear" w:color="auto" w:fill="auto"/>
            <w:vAlign w:val="center"/>
          </w:tcPr>
          <w:p w14:paraId="681322FD">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考核良种覆盖率是否达到绩效目标值</w:t>
            </w:r>
          </w:p>
        </w:tc>
        <w:tc>
          <w:tcPr>
            <w:tcW w:w="3525" w:type="dxa"/>
            <w:shd w:val="clear" w:color="auto" w:fill="auto"/>
            <w:vAlign w:val="center"/>
          </w:tcPr>
          <w:p w14:paraId="2F45E940">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良种覆盖率≥98%得满分，每少1个百分点扣1分，扣完为止</w:t>
            </w:r>
          </w:p>
        </w:tc>
      </w:tr>
      <w:tr w14:paraId="64EFA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794" w:type="dxa"/>
            <w:vMerge w:val="continue"/>
            <w:shd w:val="clear" w:color="auto" w:fill="auto"/>
            <w:vAlign w:val="center"/>
          </w:tcPr>
          <w:p w14:paraId="15EB1784">
            <w:pPr>
              <w:jc w:val="center"/>
              <w:rPr>
                <w:rFonts w:ascii="宋体" w:hAnsi="宋体" w:cs="宋体"/>
                <w:color w:val="000000"/>
                <w:sz w:val="18"/>
                <w:szCs w:val="18"/>
              </w:rPr>
            </w:pPr>
          </w:p>
        </w:tc>
        <w:tc>
          <w:tcPr>
            <w:tcW w:w="881" w:type="dxa"/>
            <w:vMerge w:val="continue"/>
            <w:shd w:val="clear" w:color="auto" w:fill="auto"/>
            <w:vAlign w:val="center"/>
          </w:tcPr>
          <w:p w14:paraId="48BDBA5A">
            <w:pPr>
              <w:jc w:val="center"/>
              <w:rPr>
                <w:rFonts w:ascii="宋体" w:hAnsi="宋体" w:cs="宋体"/>
                <w:color w:val="000000"/>
                <w:sz w:val="18"/>
                <w:szCs w:val="18"/>
              </w:rPr>
            </w:pPr>
          </w:p>
        </w:tc>
        <w:tc>
          <w:tcPr>
            <w:tcW w:w="1632" w:type="dxa"/>
            <w:shd w:val="clear" w:color="auto" w:fill="auto"/>
            <w:vAlign w:val="center"/>
          </w:tcPr>
          <w:p w14:paraId="001BA43C">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保种水禽地方品种生物多样性</w:t>
            </w:r>
          </w:p>
          <w:p w14:paraId="5BD7F9DD">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（2分）</w:t>
            </w:r>
          </w:p>
        </w:tc>
        <w:tc>
          <w:tcPr>
            <w:tcW w:w="2400" w:type="dxa"/>
            <w:shd w:val="clear" w:color="auto" w:fill="auto"/>
            <w:vAlign w:val="center"/>
          </w:tcPr>
          <w:p w14:paraId="7D04E1B3">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考核保种水禽地方品种的生物多样性</w:t>
            </w:r>
          </w:p>
        </w:tc>
        <w:tc>
          <w:tcPr>
            <w:tcW w:w="3525" w:type="dxa"/>
            <w:shd w:val="clear" w:color="auto" w:fill="auto"/>
            <w:vAlign w:val="center"/>
          </w:tcPr>
          <w:p w14:paraId="4E868324">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病原检出率小于等于0</w:t>
            </w:r>
            <w:r>
              <w:rPr>
                <w:rFonts w:hint="eastAsia" w:ascii="宋体" w:hAnsi="宋体" w:cs="宋体"/>
                <w:color w:val="000000"/>
                <w:kern w:val="0"/>
                <w:sz w:val="18"/>
                <w:szCs w:val="18"/>
                <w:lang w:val="en-US" w:eastAsia="zh-CN" w:bidi="ar"/>
              </w:rPr>
              <w:t>%</w:t>
            </w:r>
            <w:r>
              <w:rPr>
                <w:rFonts w:hint="eastAsia" w:ascii="宋体" w:hAnsi="宋体" w:cs="宋体"/>
                <w:color w:val="000000"/>
                <w:kern w:val="0"/>
                <w:sz w:val="18"/>
                <w:szCs w:val="18"/>
                <w:lang w:bidi="ar"/>
              </w:rPr>
              <w:t>为满分，大于0%不得分</w:t>
            </w:r>
          </w:p>
        </w:tc>
      </w:tr>
      <w:tr w14:paraId="7A1BB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4" w:hRule="atLeast"/>
        </w:trPr>
        <w:tc>
          <w:tcPr>
            <w:tcW w:w="794" w:type="dxa"/>
            <w:vMerge w:val="continue"/>
            <w:shd w:val="clear" w:color="auto" w:fill="auto"/>
            <w:vAlign w:val="center"/>
          </w:tcPr>
          <w:p w14:paraId="2ACE79B8">
            <w:pPr>
              <w:jc w:val="center"/>
              <w:rPr>
                <w:rFonts w:ascii="宋体" w:hAnsi="宋体" w:cs="宋体"/>
                <w:color w:val="000000"/>
                <w:sz w:val="18"/>
                <w:szCs w:val="18"/>
              </w:rPr>
            </w:pPr>
          </w:p>
        </w:tc>
        <w:tc>
          <w:tcPr>
            <w:tcW w:w="881" w:type="dxa"/>
            <w:vMerge w:val="continue"/>
            <w:shd w:val="clear" w:color="auto" w:fill="auto"/>
            <w:vAlign w:val="center"/>
          </w:tcPr>
          <w:p w14:paraId="165F08A1">
            <w:pPr>
              <w:jc w:val="center"/>
              <w:rPr>
                <w:rFonts w:ascii="宋体" w:hAnsi="宋体" w:cs="宋体"/>
                <w:color w:val="000000"/>
                <w:sz w:val="18"/>
                <w:szCs w:val="18"/>
              </w:rPr>
            </w:pPr>
          </w:p>
        </w:tc>
        <w:tc>
          <w:tcPr>
            <w:tcW w:w="1632" w:type="dxa"/>
            <w:shd w:val="clear" w:color="auto" w:fill="auto"/>
            <w:vAlign w:val="center"/>
          </w:tcPr>
          <w:p w14:paraId="4BCD72D9">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示范点建设</w:t>
            </w:r>
          </w:p>
          <w:p w14:paraId="0821FCF0">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通过率</w:t>
            </w:r>
          </w:p>
          <w:p w14:paraId="6F96E39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（2分）</w:t>
            </w:r>
          </w:p>
        </w:tc>
        <w:tc>
          <w:tcPr>
            <w:tcW w:w="2400" w:type="dxa"/>
            <w:shd w:val="clear" w:color="auto" w:fill="auto"/>
            <w:vAlign w:val="center"/>
          </w:tcPr>
          <w:p w14:paraId="7788264D">
            <w:pPr>
              <w:widowControl/>
              <w:jc w:val="left"/>
              <w:textAlignment w:val="center"/>
              <w:rPr>
                <w:rFonts w:ascii="宋体" w:hAnsi="宋体" w:cs="宋体"/>
                <w:color w:val="000000"/>
                <w:sz w:val="18"/>
                <w:szCs w:val="18"/>
              </w:rPr>
            </w:pPr>
            <w:r>
              <w:rPr>
                <w:rFonts w:hint="eastAsia" w:ascii="宋体" w:hAnsi="宋体" w:cs="宋体"/>
                <w:color w:val="000000"/>
                <w:sz w:val="18"/>
                <w:szCs w:val="18"/>
              </w:rPr>
              <w:t>通过计算示范点建设验收通过率评价和考核示范点建设质量目标实现情况</w:t>
            </w:r>
          </w:p>
          <w:p w14:paraId="049C069C">
            <w:pPr>
              <w:widowControl/>
              <w:jc w:val="left"/>
              <w:textAlignment w:val="center"/>
              <w:rPr>
                <w:rFonts w:ascii="宋体" w:hAnsi="宋体" w:cs="宋体"/>
                <w:color w:val="000000"/>
                <w:sz w:val="18"/>
                <w:szCs w:val="18"/>
              </w:rPr>
            </w:pPr>
          </w:p>
        </w:tc>
        <w:tc>
          <w:tcPr>
            <w:tcW w:w="3525" w:type="dxa"/>
            <w:shd w:val="clear" w:color="auto" w:fill="auto"/>
            <w:vAlign w:val="center"/>
          </w:tcPr>
          <w:p w14:paraId="1322353D">
            <w:pPr>
              <w:widowControl/>
              <w:jc w:val="left"/>
              <w:textAlignment w:val="center"/>
              <w:rPr>
                <w:rFonts w:hint="eastAsia" w:ascii="宋体" w:hAnsi="宋体" w:cs="宋体"/>
                <w:color w:val="000000"/>
                <w:sz w:val="18"/>
                <w:szCs w:val="18"/>
                <w:lang w:eastAsia="zh-CN"/>
              </w:rPr>
            </w:pPr>
            <w:r>
              <w:rPr>
                <w:rFonts w:hint="eastAsia" w:ascii="宋体" w:hAnsi="宋体" w:cs="宋体"/>
                <w:color w:val="000000"/>
                <w:sz w:val="18"/>
                <w:szCs w:val="18"/>
              </w:rPr>
              <w:t>示范点建设验收通过率=示范点建设验收通过数量/示范点建设总数×100%</w:t>
            </w:r>
            <w:r>
              <w:rPr>
                <w:rFonts w:hint="eastAsia" w:ascii="宋体" w:hAnsi="宋体" w:cs="宋体"/>
                <w:color w:val="000000"/>
                <w:sz w:val="18"/>
                <w:szCs w:val="18"/>
                <w:lang w:eastAsia="zh-CN"/>
              </w:rPr>
              <w:t>。</w:t>
            </w:r>
          </w:p>
          <w:p w14:paraId="12853FFB">
            <w:pPr>
              <w:widowControl/>
              <w:jc w:val="left"/>
              <w:textAlignment w:val="center"/>
              <w:rPr>
                <w:rFonts w:ascii="宋体" w:hAnsi="宋体" w:cs="宋体"/>
                <w:color w:val="000000"/>
                <w:sz w:val="18"/>
                <w:szCs w:val="18"/>
              </w:rPr>
            </w:pPr>
            <w:r>
              <w:rPr>
                <w:rFonts w:hint="eastAsia" w:ascii="宋体" w:hAnsi="宋体" w:cs="宋体"/>
                <w:color w:val="000000"/>
                <w:sz w:val="18"/>
                <w:szCs w:val="18"/>
              </w:rPr>
              <w:t>示范点建设验收通过率≥95%（2分）；90%≤示范点建设验收通过率＜95%（1分）；示范点建设验收通过率＜90%（0分）。</w:t>
            </w:r>
          </w:p>
        </w:tc>
      </w:tr>
      <w:tr w14:paraId="5314E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794" w:type="dxa"/>
            <w:vMerge w:val="continue"/>
            <w:shd w:val="clear" w:color="auto" w:fill="auto"/>
            <w:vAlign w:val="center"/>
          </w:tcPr>
          <w:p w14:paraId="5519CAD4">
            <w:pPr>
              <w:jc w:val="center"/>
              <w:rPr>
                <w:rFonts w:ascii="宋体" w:hAnsi="宋体" w:cs="宋体"/>
                <w:color w:val="000000"/>
                <w:sz w:val="18"/>
                <w:szCs w:val="18"/>
              </w:rPr>
            </w:pPr>
          </w:p>
        </w:tc>
        <w:tc>
          <w:tcPr>
            <w:tcW w:w="881" w:type="dxa"/>
            <w:vMerge w:val="continue"/>
            <w:shd w:val="clear" w:color="auto" w:fill="auto"/>
            <w:vAlign w:val="center"/>
          </w:tcPr>
          <w:p w14:paraId="732648C5">
            <w:pPr>
              <w:jc w:val="center"/>
              <w:rPr>
                <w:rFonts w:ascii="宋体" w:hAnsi="宋体" w:cs="宋体"/>
                <w:color w:val="000000"/>
                <w:sz w:val="18"/>
                <w:szCs w:val="18"/>
              </w:rPr>
            </w:pPr>
          </w:p>
        </w:tc>
        <w:tc>
          <w:tcPr>
            <w:tcW w:w="1632" w:type="dxa"/>
            <w:shd w:val="clear" w:color="auto" w:fill="auto"/>
            <w:vAlign w:val="center"/>
          </w:tcPr>
          <w:p w14:paraId="24D28EA5">
            <w:pPr>
              <w:widowControl/>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农业保险</w:t>
            </w:r>
          </w:p>
          <w:p w14:paraId="6B547C7D">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理赔服务</w:t>
            </w:r>
          </w:p>
          <w:p w14:paraId="7BFE59C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（2分）</w:t>
            </w:r>
          </w:p>
        </w:tc>
        <w:tc>
          <w:tcPr>
            <w:tcW w:w="2400" w:type="dxa"/>
            <w:shd w:val="clear" w:color="auto" w:fill="auto"/>
            <w:vAlign w:val="center"/>
          </w:tcPr>
          <w:p w14:paraId="61EA88AF">
            <w:pPr>
              <w:widowControl/>
              <w:jc w:val="left"/>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用于衡量保险机构</w:t>
            </w:r>
            <w:r>
              <w:rPr>
                <w:rFonts w:hint="eastAsia" w:ascii="宋体" w:hAnsi="宋体" w:cs="宋体"/>
                <w:color w:val="000000"/>
                <w:kern w:val="0"/>
                <w:sz w:val="18"/>
                <w:szCs w:val="18"/>
                <w:lang w:eastAsia="zh-CN" w:bidi="ar"/>
              </w:rPr>
              <w:t>理赔服务</w:t>
            </w:r>
            <w:r>
              <w:rPr>
                <w:rFonts w:hint="eastAsia" w:ascii="宋体" w:hAnsi="宋体" w:cs="宋体"/>
                <w:color w:val="000000"/>
                <w:kern w:val="0"/>
                <w:sz w:val="18"/>
                <w:szCs w:val="18"/>
                <w:lang w:val="en-US" w:eastAsia="zh-CN" w:bidi="ar"/>
              </w:rPr>
              <w:t>的质量</w:t>
            </w:r>
          </w:p>
        </w:tc>
        <w:tc>
          <w:tcPr>
            <w:tcW w:w="3525" w:type="dxa"/>
            <w:shd w:val="clear" w:color="auto" w:fill="auto"/>
            <w:vAlign w:val="center"/>
          </w:tcPr>
          <w:p w14:paraId="1C9383A6">
            <w:pPr>
              <w:widowControl/>
              <w:jc w:val="left"/>
              <w:textAlignment w:val="center"/>
              <w:rPr>
                <w:rFonts w:hint="eastAsia" w:ascii="宋体" w:hAnsi="宋体" w:cs="宋体"/>
                <w:color w:val="000000"/>
                <w:sz w:val="18"/>
                <w:szCs w:val="18"/>
              </w:rPr>
            </w:pPr>
            <w:r>
              <w:rPr>
                <w:rFonts w:hint="eastAsia" w:ascii="宋体" w:hAnsi="宋体" w:cs="宋体"/>
                <w:color w:val="000000"/>
                <w:sz w:val="18"/>
                <w:szCs w:val="18"/>
                <w:lang w:val="en-US" w:eastAsia="zh-CN"/>
              </w:rPr>
              <w:t>是否</w:t>
            </w:r>
            <w:r>
              <w:rPr>
                <w:rFonts w:hint="eastAsia" w:ascii="宋体" w:hAnsi="宋体" w:cs="宋体"/>
                <w:color w:val="000000"/>
                <w:sz w:val="18"/>
                <w:szCs w:val="18"/>
              </w:rPr>
              <w:t>与被保险人已达成赔偿协议的赔案，在10日（工作日）内将赔款通过银行转账；</w:t>
            </w:r>
          </w:p>
          <w:p w14:paraId="76E0D353">
            <w:pPr>
              <w:widowControl/>
              <w:jc w:val="left"/>
              <w:textAlignment w:val="center"/>
              <w:rPr>
                <w:rFonts w:hint="eastAsia" w:ascii="宋体" w:hAnsi="宋体" w:cs="宋体"/>
                <w:color w:val="000000"/>
                <w:sz w:val="18"/>
                <w:szCs w:val="18"/>
              </w:rPr>
            </w:pPr>
            <w:r>
              <w:rPr>
                <w:rFonts w:hint="eastAsia" w:ascii="宋体" w:hAnsi="宋体" w:cs="宋体"/>
                <w:color w:val="000000"/>
                <w:sz w:val="18"/>
                <w:szCs w:val="18"/>
              </w:rPr>
              <w:t>是否财政补贴“一卡通”等非现金方式发放到户；</w:t>
            </w:r>
          </w:p>
          <w:p w14:paraId="59D70439">
            <w:pPr>
              <w:widowControl/>
              <w:jc w:val="left"/>
              <w:textAlignment w:val="center"/>
              <w:rPr>
                <w:rFonts w:hint="eastAsia" w:ascii="宋体" w:hAnsi="宋体" w:cs="宋体"/>
                <w:color w:val="000000"/>
                <w:sz w:val="18"/>
                <w:szCs w:val="18"/>
              </w:rPr>
            </w:pPr>
            <w:r>
              <w:rPr>
                <w:rFonts w:hint="eastAsia" w:ascii="宋体" w:hAnsi="宋体" w:cs="宋体"/>
                <w:color w:val="000000"/>
                <w:sz w:val="18"/>
                <w:szCs w:val="18"/>
              </w:rPr>
              <w:t>理赔公示确认后的分户赔款与最终支付的分户赔款是否一致；</w:t>
            </w:r>
          </w:p>
          <w:p w14:paraId="02B5CC79">
            <w:pPr>
              <w:widowControl/>
              <w:jc w:val="left"/>
              <w:textAlignment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rPr>
              <w:t>是否主动采取有效举措，改进提升理赔服务水平。</w:t>
            </w:r>
            <w:r>
              <w:rPr>
                <w:rFonts w:hint="eastAsia" w:ascii="宋体" w:hAnsi="宋体" w:cs="宋体"/>
                <w:color w:val="000000"/>
                <w:sz w:val="18"/>
                <w:szCs w:val="18"/>
                <w:lang w:val="en-US" w:eastAsia="zh-CN"/>
              </w:rPr>
              <w:t>每少1项扣0.5分。</w:t>
            </w:r>
          </w:p>
        </w:tc>
      </w:tr>
      <w:tr w14:paraId="3D741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794" w:type="dxa"/>
            <w:vMerge w:val="continue"/>
            <w:shd w:val="clear" w:color="auto" w:fill="auto"/>
            <w:vAlign w:val="center"/>
          </w:tcPr>
          <w:p w14:paraId="78960815">
            <w:pPr>
              <w:jc w:val="center"/>
              <w:rPr>
                <w:rFonts w:ascii="宋体" w:hAnsi="宋体" w:cs="宋体"/>
                <w:color w:val="000000"/>
                <w:sz w:val="18"/>
                <w:szCs w:val="18"/>
              </w:rPr>
            </w:pPr>
          </w:p>
        </w:tc>
        <w:tc>
          <w:tcPr>
            <w:tcW w:w="881" w:type="dxa"/>
            <w:shd w:val="clear" w:color="auto" w:fill="auto"/>
            <w:vAlign w:val="center"/>
          </w:tcPr>
          <w:p w14:paraId="00E208DB">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产出</w:t>
            </w:r>
          </w:p>
          <w:p w14:paraId="2476FF67">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时效</w:t>
            </w:r>
          </w:p>
          <w:p w14:paraId="2D24F1E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（4分）</w:t>
            </w:r>
          </w:p>
        </w:tc>
        <w:tc>
          <w:tcPr>
            <w:tcW w:w="1632" w:type="dxa"/>
            <w:shd w:val="clear" w:color="auto" w:fill="auto"/>
            <w:vAlign w:val="center"/>
          </w:tcPr>
          <w:p w14:paraId="6EACE81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项目进度达成率（4分）</w:t>
            </w:r>
          </w:p>
        </w:tc>
        <w:tc>
          <w:tcPr>
            <w:tcW w:w="2400" w:type="dxa"/>
            <w:shd w:val="clear" w:color="auto" w:fill="auto"/>
            <w:vAlign w:val="center"/>
          </w:tcPr>
          <w:p w14:paraId="2D6EE29C">
            <w:pPr>
              <w:widowControl/>
              <w:jc w:val="left"/>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val="en-US" w:eastAsia="zh-CN" w:bidi="ar"/>
              </w:rPr>
              <w:t>用于衡量</w:t>
            </w:r>
            <w:r>
              <w:rPr>
                <w:rFonts w:hint="eastAsia" w:ascii="宋体" w:hAnsi="宋体" w:cs="宋体"/>
                <w:color w:val="000000"/>
                <w:kern w:val="0"/>
                <w:sz w:val="18"/>
                <w:szCs w:val="18"/>
                <w:lang w:bidi="ar"/>
              </w:rPr>
              <w:t>项目进度达成</w:t>
            </w:r>
            <w:r>
              <w:rPr>
                <w:rFonts w:hint="eastAsia" w:ascii="宋体" w:hAnsi="宋体" w:cs="宋体"/>
                <w:color w:val="000000"/>
                <w:kern w:val="0"/>
                <w:sz w:val="18"/>
                <w:szCs w:val="18"/>
                <w:lang w:val="en-US" w:eastAsia="zh-CN" w:bidi="ar"/>
              </w:rPr>
              <w:t>情况</w:t>
            </w:r>
          </w:p>
        </w:tc>
        <w:tc>
          <w:tcPr>
            <w:tcW w:w="3525" w:type="dxa"/>
            <w:shd w:val="clear" w:color="auto" w:fill="auto"/>
            <w:vAlign w:val="center"/>
          </w:tcPr>
          <w:p w14:paraId="5046E8E9">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项目进度达成率100%（4分）；90%≤项目进度达成率＜100%（</w:t>
            </w:r>
            <w:r>
              <w:rPr>
                <w:rFonts w:hint="eastAsia" w:ascii="宋体" w:hAnsi="宋体" w:cs="宋体"/>
                <w:color w:val="000000"/>
                <w:kern w:val="0"/>
                <w:sz w:val="18"/>
                <w:szCs w:val="18"/>
                <w:lang w:val="en-US" w:eastAsia="zh-CN" w:bidi="ar"/>
              </w:rPr>
              <w:t>3</w:t>
            </w:r>
            <w:r>
              <w:rPr>
                <w:rFonts w:hint="eastAsia" w:ascii="宋体" w:hAnsi="宋体" w:cs="宋体"/>
                <w:color w:val="000000"/>
                <w:kern w:val="0"/>
                <w:sz w:val="18"/>
                <w:szCs w:val="18"/>
                <w:lang w:bidi="ar"/>
              </w:rPr>
              <w:t>分）；80%≤项目进度达成率＜90%（2分）；70%≤项目进度达成率＜80%（1分）；项目进度达成率＜70%（0分）</w:t>
            </w:r>
          </w:p>
        </w:tc>
      </w:tr>
      <w:tr w14:paraId="3F87B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794" w:type="dxa"/>
            <w:vMerge w:val="continue"/>
            <w:shd w:val="clear" w:color="auto" w:fill="auto"/>
            <w:vAlign w:val="center"/>
          </w:tcPr>
          <w:p w14:paraId="6CED3B3C">
            <w:pPr>
              <w:jc w:val="center"/>
              <w:rPr>
                <w:rFonts w:ascii="宋体" w:hAnsi="宋体" w:cs="宋体"/>
                <w:color w:val="000000"/>
                <w:sz w:val="18"/>
                <w:szCs w:val="18"/>
              </w:rPr>
            </w:pPr>
          </w:p>
        </w:tc>
        <w:tc>
          <w:tcPr>
            <w:tcW w:w="881" w:type="dxa"/>
            <w:shd w:val="clear" w:color="auto" w:fill="auto"/>
            <w:vAlign w:val="center"/>
          </w:tcPr>
          <w:p w14:paraId="4C143127">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产出</w:t>
            </w:r>
          </w:p>
          <w:p w14:paraId="570D907A">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成本</w:t>
            </w:r>
          </w:p>
          <w:p w14:paraId="5B3079A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（4分）</w:t>
            </w:r>
          </w:p>
        </w:tc>
        <w:tc>
          <w:tcPr>
            <w:tcW w:w="1632" w:type="dxa"/>
            <w:shd w:val="clear" w:color="auto" w:fill="auto"/>
            <w:vAlign w:val="center"/>
          </w:tcPr>
          <w:p w14:paraId="7F7F6462">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成本控制率</w:t>
            </w:r>
          </w:p>
          <w:p w14:paraId="0BFB9E0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（4分）</w:t>
            </w:r>
          </w:p>
        </w:tc>
        <w:tc>
          <w:tcPr>
            <w:tcW w:w="2400" w:type="dxa"/>
            <w:shd w:val="clear" w:color="auto" w:fill="auto"/>
            <w:vAlign w:val="center"/>
          </w:tcPr>
          <w:p w14:paraId="40052E30">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“成本控制率”指标用于衡量石狮市农业农村局项目成本控制情况</w:t>
            </w:r>
          </w:p>
        </w:tc>
        <w:tc>
          <w:tcPr>
            <w:tcW w:w="3525" w:type="dxa"/>
            <w:shd w:val="clear" w:color="auto" w:fill="auto"/>
            <w:vAlign w:val="center"/>
          </w:tcPr>
          <w:p w14:paraId="39C5A3D9">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“成本控制率≦100得满分，每超10%扣1分，扣完为止。</w:t>
            </w:r>
          </w:p>
          <w:p w14:paraId="5798CD0C">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成本控制率=截至年末累计支出数/概算或当年度预算×100%</w:t>
            </w:r>
          </w:p>
        </w:tc>
      </w:tr>
      <w:tr w14:paraId="423B4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trPr>
        <w:tc>
          <w:tcPr>
            <w:tcW w:w="794" w:type="dxa"/>
            <w:vMerge w:val="restart"/>
            <w:shd w:val="clear" w:color="auto" w:fill="auto"/>
            <w:vAlign w:val="center"/>
          </w:tcPr>
          <w:p w14:paraId="06E084F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效益（20%）</w:t>
            </w:r>
          </w:p>
        </w:tc>
        <w:tc>
          <w:tcPr>
            <w:tcW w:w="881" w:type="dxa"/>
            <w:vMerge w:val="restart"/>
            <w:shd w:val="clear" w:color="auto" w:fill="auto"/>
            <w:vAlign w:val="center"/>
          </w:tcPr>
          <w:p w14:paraId="59B7527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社会效益（6分）</w:t>
            </w:r>
          </w:p>
        </w:tc>
        <w:tc>
          <w:tcPr>
            <w:tcW w:w="1632" w:type="dxa"/>
            <w:shd w:val="clear" w:color="auto" w:fill="auto"/>
            <w:vAlign w:val="center"/>
          </w:tcPr>
          <w:p w14:paraId="71F35D2D">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粮食综合</w:t>
            </w:r>
          </w:p>
          <w:p w14:paraId="0B026BCC">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生产能力</w:t>
            </w:r>
          </w:p>
          <w:p w14:paraId="7D628AE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（3分）</w:t>
            </w:r>
          </w:p>
        </w:tc>
        <w:tc>
          <w:tcPr>
            <w:tcW w:w="2400" w:type="dxa"/>
            <w:shd w:val="clear" w:color="auto" w:fill="auto"/>
            <w:vAlign w:val="center"/>
          </w:tcPr>
          <w:p w14:paraId="59768A30">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考核粮食综合生产能力</w:t>
            </w:r>
          </w:p>
        </w:tc>
        <w:tc>
          <w:tcPr>
            <w:tcW w:w="3525" w:type="dxa"/>
            <w:shd w:val="clear" w:color="auto" w:fill="auto"/>
            <w:vAlign w:val="center"/>
          </w:tcPr>
          <w:p w14:paraId="182646A1">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效果显著提升得3分，效果一般得2分，效益差则不得分</w:t>
            </w:r>
          </w:p>
        </w:tc>
      </w:tr>
      <w:tr w14:paraId="038E8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794" w:type="dxa"/>
            <w:vMerge w:val="continue"/>
            <w:shd w:val="clear" w:color="auto" w:fill="auto"/>
            <w:vAlign w:val="center"/>
          </w:tcPr>
          <w:p w14:paraId="64B4B181">
            <w:pPr>
              <w:jc w:val="center"/>
              <w:rPr>
                <w:rFonts w:ascii="宋体" w:hAnsi="宋体" w:cs="宋体"/>
                <w:color w:val="000000"/>
                <w:sz w:val="18"/>
                <w:szCs w:val="18"/>
              </w:rPr>
            </w:pPr>
          </w:p>
        </w:tc>
        <w:tc>
          <w:tcPr>
            <w:tcW w:w="881" w:type="dxa"/>
            <w:vMerge w:val="continue"/>
            <w:shd w:val="clear" w:color="auto" w:fill="auto"/>
            <w:vAlign w:val="center"/>
          </w:tcPr>
          <w:p w14:paraId="0516AEBA">
            <w:pPr>
              <w:jc w:val="center"/>
              <w:rPr>
                <w:rFonts w:ascii="宋体" w:hAnsi="宋体" w:cs="宋体"/>
                <w:color w:val="000000"/>
                <w:sz w:val="18"/>
                <w:szCs w:val="18"/>
              </w:rPr>
            </w:pPr>
          </w:p>
        </w:tc>
        <w:tc>
          <w:tcPr>
            <w:tcW w:w="1632" w:type="dxa"/>
            <w:shd w:val="clear" w:color="auto" w:fill="auto"/>
            <w:vAlign w:val="center"/>
          </w:tcPr>
          <w:p w14:paraId="76922366">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渔工渔船参保率</w:t>
            </w:r>
          </w:p>
          <w:p w14:paraId="5BCA398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（3分）</w:t>
            </w:r>
          </w:p>
        </w:tc>
        <w:tc>
          <w:tcPr>
            <w:tcW w:w="2400" w:type="dxa"/>
            <w:shd w:val="clear" w:color="auto" w:fill="auto"/>
            <w:vAlign w:val="center"/>
          </w:tcPr>
          <w:p w14:paraId="069B7956">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渔工渔船参保率指标主要通过计算渔工渔船参保率，考核渔工参加保险积极程度，反映社会效益目标实现情况</w:t>
            </w:r>
          </w:p>
        </w:tc>
        <w:tc>
          <w:tcPr>
            <w:tcW w:w="3525" w:type="dxa"/>
            <w:shd w:val="clear" w:color="auto" w:fill="auto"/>
            <w:vAlign w:val="center"/>
          </w:tcPr>
          <w:p w14:paraId="1665076F">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渔工渔船参保率指标主要通过计算渔工渔船参保率，考核渔工参加保险积极程度，反映社会效益目标实现情况。评价标准为“渔工渔船参保率≥90%（3分）；80%≤渔工渔船参保率＜90%（2分）；70%≤渔工渔船参保率＜80%（1分）；渔工渔船参保率＜70%（0分）</w:t>
            </w:r>
          </w:p>
        </w:tc>
      </w:tr>
      <w:tr w14:paraId="43FD0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794" w:type="dxa"/>
            <w:vMerge w:val="continue"/>
            <w:shd w:val="clear" w:color="auto" w:fill="auto"/>
            <w:vAlign w:val="center"/>
          </w:tcPr>
          <w:p w14:paraId="17A20E05">
            <w:pPr>
              <w:jc w:val="center"/>
              <w:rPr>
                <w:rFonts w:ascii="宋体" w:hAnsi="宋体" w:cs="宋体"/>
                <w:color w:val="000000"/>
                <w:sz w:val="18"/>
                <w:szCs w:val="18"/>
              </w:rPr>
            </w:pPr>
          </w:p>
        </w:tc>
        <w:tc>
          <w:tcPr>
            <w:tcW w:w="881" w:type="dxa"/>
            <w:vMerge w:val="restart"/>
            <w:shd w:val="clear" w:color="auto" w:fill="auto"/>
            <w:vAlign w:val="center"/>
          </w:tcPr>
          <w:p w14:paraId="67A6985C">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生态</w:t>
            </w:r>
          </w:p>
          <w:p w14:paraId="798F7725">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效益</w:t>
            </w:r>
          </w:p>
          <w:p w14:paraId="51B230B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（4分）</w:t>
            </w:r>
          </w:p>
        </w:tc>
        <w:tc>
          <w:tcPr>
            <w:tcW w:w="1632" w:type="dxa"/>
            <w:shd w:val="clear" w:color="auto" w:fill="auto"/>
            <w:vAlign w:val="center"/>
          </w:tcPr>
          <w:p w14:paraId="6444EB48">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耕地质量</w:t>
            </w:r>
          </w:p>
          <w:p w14:paraId="7EA0447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（2分）</w:t>
            </w:r>
          </w:p>
        </w:tc>
        <w:tc>
          <w:tcPr>
            <w:tcW w:w="2400" w:type="dxa"/>
            <w:shd w:val="clear" w:color="auto" w:fill="auto"/>
            <w:vAlign w:val="center"/>
          </w:tcPr>
          <w:p w14:paraId="3840AD8C">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考核石狮市耕地的质量</w:t>
            </w:r>
          </w:p>
        </w:tc>
        <w:tc>
          <w:tcPr>
            <w:tcW w:w="3525" w:type="dxa"/>
            <w:shd w:val="clear" w:color="auto" w:fill="auto"/>
            <w:vAlign w:val="center"/>
          </w:tcPr>
          <w:p w14:paraId="61261571">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效果显著提升得2分，效果一般得2分，效益差不得分</w:t>
            </w:r>
          </w:p>
        </w:tc>
      </w:tr>
      <w:tr w14:paraId="4CC65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1" w:hRule="atLeast"/>
        </w:trPr>
        <w:tc>
          <w:tcPr>
            <w:tcW w:w="794" w:type="dxa"/>
            <w:vMerge w:val="continue"/>
            <w:shd w:val="clear" w:color="auto" w:fill="auto"/>
            <w:vAlign w:val="center"/>
          </w:tcPr>
          <w:p w14:paraId="2F1C5821">
            <w:pPr>
              <w:jc w:val="center"/>
              <w:rPr>
                <w:rFonts w:ascii="宋体" w:hAnsi="宋体" w:cs="宋体"/>
                <w:color w:val="000000"/>
                <w:sz w:val="18"/>
                <w:szCs w:val="18"/>
              </w:rPr>
            </w:pPr>
          </w:p>
        </w:tc>
        <w:tc>
          <w:tcPr>
            <w:tcW w:w="881" w:type="dxa"/>
            <w:vMerge w:val="continue"/>
            <w:shd w:val="clear" w:color="auto" w:fill="auto"/>
            <w:vAlign w:val="center"/>
          </w:tcPr>
          <w:p w14:paraId="453DC649">
            <w:pPr>
              <w:jc w:val="center"/>
              <w:rPr>
                <w:rFonts w:ascii="宋体" w:hAnsi="宋体" w:cs="宋体"/>
                <w:color w:val="000000"/>
                <w:sz w:val="18"/>
                <w:szCs w:val="18"/>
              </w:rPr>
            </w:pPr>
          </w:p>
        </w:tc>
        <w:tc>
          <w:tcPr>
            <w:tcW w:w="1632" w:type="dxa"/>
            <w:shd w:val="clear" w:color="auto" w:fill="auto"/>
            <w:vAlign w:val="center"/>
          </w:tcPr>
          <w:p w14:paraId="2B2D68FC">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美丽乡村建设项目村（社区）环境综合整治考核</w:t>
            </w:r>
          </w:p>
          <w:p w14:paraId="257D5A6D">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达标提升率</w:t>
            </w:r>
          </w:p>
          <w:p w14:paraId="34EF91D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（2分）</w:t>
            </w:r>
          </w:p>
        </w:tc>
        <w:tc>
          <w:tcPr>
            <w:tcW w:w="2400" w:type="dxa"/>
            <w:shd w:val="clear" w:color="auto" w:fill="auto"/>
            <w:vAlign w:val="center"/>
          </w:tcPr>
          <w:p w14:paraId="45B0B280">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考核美丽乡村建设项目村（社区）环境综合整治考核达标提升率</w:t>
            </w:r>
          </w:p>
        </w:tc>
        <w:tc>
          <w:tcPr>
            <w:tcW w:w="3525" w:type="dxa"/>
            <w:shd w:val="clear" w:color="auto" w:fill="auto"/>
            <w:vAlign w:val="center"/>
          </w:tcPr>
          <w:p w14:paraId="189CEA22">
            <w:pPr>
              <w:pStyle w:val="6"/>
              <w:rPr>
                <w:rFonts w:hint="eastAsia" w:ascii="宋体" w:hAnsi="宋体" w:eastAsia="宋体" w:cs="宋体"/>
                <w:color w:val="000000"/>
                <w:sz w:val="18"/>
                <w:szCs w:val="18"/>
                <w:lang w:val="en-US" w:eastAsia="zh-CN"/>
              </w:rPr>
            </w:pPr>
            <w:r>
              <w:rPr>
                <w:rFonts w:hint="eastAsia" w:ascii="宋体" w:hAnsi="宋体" w:cs="宋体"/>
                <w:color w:val="000000"/>
                <w:kern w:val="0"/>
                <w:sz w:val="18"/>
                <w:szCs w:val="18"/>
                <w:lang w:bidi="ar"/>
              </w:rPr>
              <w:t>美丽乡村建设项目村（社区）环境综合整治考核达标提升率评价标准为“考核达标提升率≥10%（2分）；6%≤考核达标提升率＜10%（2.5分）；1%≤考核达标提升率＜5%（2分）；考核达标提升率＜1%（0分）</w:t>
            </w:r>
            <w:r>
              <w:rPr>
                <w:rFonts w:hint="eastAsia"/>
                <w:lang w:val="en-US" w:eastAsia="zh-CN"/>
              </w:rPr>
              <w:t>。</w:t>
            </w:r>
          </w:p>
        </w:tc>
      </w:tr>
      <w:tr w14:paraId="51644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94" w:type="dxa"/>
            <w:vMerge w:val="continue"/>
            <w:shd w:val="clear" w:color="auto" w:fill="auto"/>
            <w:vAlign w:val="center"/>
          </w:tcPr>
          <w:p w14:paraId="29E01837">
            <w:pPr>
              <w:jc w:val="center"/>
              <w:rPr>
                <w:rFonts w:ascii="宋体" w:hAnsi="宋体" w:cs="宋体"/>
                <w:color w:val="000000"/>
                <w:sz w:val="18"/>
                <w:szCs w:val="18"/>
              </w:rPr>
            </w:pPr>
          </w:p>
        </w:tc>
        <w:tc>
          <w:tcPr>
            <w:tcW w:w="881" w:type="dxa"/>
            <w:vMerge w:val="restart"/>
            <w:shd w:val="clear" w:color="auto" w:fill="auto"/>
            <w:vAlign w:val="center"/>
          </w:tcPr>
          <w:p w14:paraId="6FA9C225">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可持续效益</w:t>
            </w:r>
          </w:p>
          <w:p w14:paraId="6495689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（4分）</w:t>
            </w:r>
          </w:p>
        </w:tc>
        <w:tc>
          <w:tcPr>
            <w:tcW w:w="1632" w:type="dxa"/>
            <w:shd w:val="clear" w:color="auto" w:fill="auto"/>
            <w:vAlign w:val="center"/>
          </w:tcPr>
          <w:p w14:paraId="7049838B">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农业农村工作</w:t>
            </w:r>
          </w:p>
          <w:p w14:paraId="51021772">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完成情况</w:t>
            </w:r>
          </w:p>
          <w:p w14:paraId="09DA0D5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（2分）</w:t>
            </w:r>
          </w:p>
        </w:tc>
        <w:tc>
          <w:tcPr>
            <w:tcW w:w="2400" w:type="dxa"/>
            <w:shd w:val="clear" w:color="auto" w:fill="auto"/>
            <w:vAlign w:val="center"/>
          </w:tcPr>
          <w:p w14:paraId="5297D233">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考核农业农村工作完成情况</w:t>
            </w:r>
          </w:p>
        </w:tc>
        <w:tc>
          <w:tcPr>
            <w:tcW w:w="3525" w:type="dxa"/>
            <w:shd w:val="clear" w:color="auto" w:fill="auto"/>
            <w:vAlign w:val="center"/>
          </w:tcPr>
          <w:p w14:paraId="0E09072C">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农业农村工作完成率≥90%（2分）；80%≤农业农村工作完成率﹤90%（1分）；农业农村工作完成率﹤80%（0分）</w:t>
            </w:r>
          </w:p>
        </w:tc>
      </w:tr>
      <w:tr w14:paraId="5AB9B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794" w:type="dxa"/>
            <w:vMerge w:val="continue"/>
            <w:shd w:val="clear" w:color="auto" w:fill="auto"/>
            <w:vAlign w:val="center"/>
          </w:tcPr>
          <w:p w14:paraId="1DD4BE7C">
            <w:pPr>
              <w:jc w:val="center"/>
              <w:rPr>
                <w:rFonts w:ascii="宋体" w:hAnsi="宋体" w:cs="宋体"/>
                <w:color w:val="000000"/>
                <w:sz w:val="18"/>
                <w:szCs w:val="18"/>
              </w:rPr>
            </w:pPr>
          </w:p>
        </w:tc>
        <w:tc>
          <w:tcPr>
            <w:tcW w:w="881" w:type="dxa"/>
            <w:vMerge w:val="continue"/>
            <w:shd w:val="clear" w:color="auto" w:fill="auto"/>
            <w:vAlign w:val="center"/>
          </w:tcPr>
          <w:p w14:paraId="6B6B1A50">
            <w:pPr>
              <w:jc w:val="center"/>
              <w:rPr>
                <w:rFonts w:ascii="宋体" w:hAnsi="宋体" w:cs="宋体"/>
                <w:color w:val="000000"/>
                <w:sz w:val="18"/>
                <w:szCs w:val="18"/>
              </w:rPr>
            </w:pPr>
          </w:p>
        </w:tc>
        <w:tc>
          <w:tcPr>
            <w:tcW w:w="1632" w:type="dxa"/>
            <w:shd w:val="clear" w:color="auto" w:fill="auto"/>
            <w:vAlign w:val="center"/>
          </w:tcPr>
          <w:p w14:paraId="7F93FAD2">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农产品质量安全监测覆盖面</w:t>
            </w:r>
          </w:p>
          <w:p w14:paraId="0DA0FFC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（2分）</w:t>
            </w:r>
          </w:p>
        </w:tc>
        <w:tc>
          <w:tcPr>
            <w:tcW w:w="2400" w:type="dxa"/>
            <w:shd w:val="clear" w:color="auto" w:fill="auto"/>
            <w:vAlign w:val="center"/>
          </w:tcPr>
          <w:p w14:paraId="28DB80BA">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考核农产品质量安全监测覆盖面</w:t>
            </w:r>
          </w:p>
        </w:tc>
        <w:tc>
          <w:tcPr>
            <w:tcW w:w="3525" w:type="dxa"/>
            <w:shd w:val="clear" w:color="auto" w:fill="auto"/>
            <w:vAlign w:val="center"/>
          </w:tcPr>
          <w:p w14:paraId="251D21D5">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农产品质量安全监测覆盖面≥90%（2分）；80%≤农产品质量安全监测覆盖面﹤90%（1分）；70%≤农产品质量安全监测覆盖面﹤80%（0分）</w:t>
            </w:r>
          </w:p>
        </w:tc>
      </w:tr>
      <w:tr w14:paraId="34AF8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794" w:type="dxa"/>
            <w:vMerge w:val="continue"/>
            <w:shd w:val="clear" w:color="auto" w:fill="auto"/>
            <w:vAlign w:val="center"/>
          </w:tcPr>
          <w:p w14:paraId="6A0391A8">
            <w:pPr>
              <w:jc w:val="center"/>
              <w:rPr>
                <w:rFonts w:ascii="宋体" w:hAnsi="宋体" w:cs="宋体"/>
                <w:color w:val="000000"/>
                <w:sz w:val="18"/>
                <w:szCs w:val="18"/>
              </w:rPr>
            </w:pPr>
          </w:p>
        </w:tc>
        <w:tc>
          <w:tcPr>
            <w:tcW w:w="881" w:type="dxa"/>
            <w:shd w:val="clear" w:color="auto" w:fill="auto"/>
            <w:vAlign w:val="center"/>
          </w:tcPr>
          <w:p w14:paraId="5CDCCAA8">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服务对象满</w:t>
            </w:r>
            <w:r>
              <w:rPr>
                <w:rFonts w:hint="eastAsia" w:ascii="宋体" w:hAnsi="宋体" w:cs="宋体"/>
                <w:color w:val="000000"/>
                <w:kern w:val="0"/>
                <w:sz w:val="18"/>
                <w:szCs w:val="18"/>
                <w:lang w:eastAsia="zh-CN" w:bidi="ar"/>
              </w:rPr>
              <w:t>意</w:t>
            </w:r>
            <w:r>
              <w:rPr>
                <w:rFonts w:hint="eastAsia" w:ascii="宋体" w:hAnsi="宋体" w:cs="宋体"/>
                <w:color w:val="000000"/>
                <w:kern w:val="0"/>
                <w:sz w:val="18"/>
                <w:szCs w:val="18"/>
                <w:lang w:bidi="ar"/>
              </w:rPr>
              <w:t>度</w:t>
            </w:r>
          </w:p>
          <w:p w14:paraId="039B562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（6分）</w:t>
            </w:r>
          </w:p>
        </w:tc>
        <w:tc>
          <w:tcPr>
            <w:tcW w:w="1632" w:type="dxa"/>
            <w:shd w:val="clear" w:color="auto" w:fill="auto"/>
            <w:vAlign w:val="center"/>
          </w:tcPr>
          <w:p w14:paraId="7F7DB7DC">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农民满意度</w:t>
            </w:r>
          </w:p>
          <w:p w14:paraId="7794CB0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（6分）</w:t>
            </w:r>
          </w:p>
        </w:tc>
        <w:tc>
          <w:tcPr>
            <w:tcW w:w="2400" w:type="dxa"/>
            <w:shd w:val="clear" w:color="auto" w:fill="auto"/>
            <w:vAlign w:val="center"/>
          </w:tcPr>
          <w:p w14:paraId="6D7243DF">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考核农民对石狮市农业农村局的满意度</w:t>
            </w:r>
          </w:p>
        </w:tc>
        <w:tc>
          <w:tcPr>
            <w:tcW w:w="3525" w:type="dxa"/>
            <w:shd w:val="clear" w:color="auto" w:fill="auto"/>
            <w:vAlign w:val="center"/>
          </w:tcPr>
          <w:p w14:paraId="7E6E412B">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满意度≥90%（6分）；80%≤满意度﹤90%（5分）；70%≤满意度﹤80%（4分）；60%≤满意度﹤70%（3分）；满意度﹤60%（0分）</w:t>
            </w:r>
          </w:p>
        </w:tc>
      </w:tr>
      <w:bookmarkEnd w:id="59"/>
    </w:tbl>
    <w:p w14:paraId="7162E316">
      <w:pPr>
        <w:pStyle w:val="4"/>
        <w:keepNext w:val="0"/>
        <w:keepLines w:val="0"/>
        <w:snapToGrid/>
        <w:spacing w:before="312" w:beforeLines="100" w:beforeAutospacing="0" w:after="156" w:afterLines="50" w:afterAutospacing="0" w:line="360" w:lineRule="auto"/>
        <w:ind w:left="0" w:leftChars="0" w:right="0" w:rightChars="0" w:firstLine="0" w:firstLineChars="0"/>
        <w:jc w:val="left"/>
        <w:outlineLvl w:val="0"/>
        <w:rPr>
          <w:rFonts w:hint="eastAsia" w:ascii="Times New Roman" w:hAnsi="仿宋" w:eastAsia="宋体" w:cs="仿宋"/>
          <w:b/>
          <w:kern w:val="0"/>
          <w:sz w:val="32"/>
          <w:szCs w:val="32"/>
        </w:rPr>
      </w:pPr>
      <w:bookmarkStart w:id="79" w:name="_Toc4804"/>
      <w:bookmarkStart w:id="80" w:name="_Toc8630"/>
      <w:bookmarkStart w:id="81" w:name="_Toc24667"/>
      <w:r>
        <w:rPr>
          <w:rFonts w:hint="eastAsia" w:ascii="Times New Roman" w:hAnsi="仿宋" w:eastAsia="宋体" w:cs="仿宋"/>
          <w:b/>
          <w:kern w:val="0"/>
          <w:sz w:val="32"/>
          <w:szCs w:val="32"/>
        </w:rPr>
        <w:t>四、</w:t>
      </w:r>
      <w:bookmarkStart w:id="82" w:name="_Hlk495161152"/>
      <w:r>
        <w:rPr>
          <w:rFonts w:hint="eastAsia" w:ascii="Times New Roman" w:hAnsi="仿宋" w:eastAsia="宋体" w:cs="仿宋"/>
          <w:b/>
          <w:kern w:val="0"/>
          <w:sz w:val="32"/>
          <w:szCs w:val="32"/>
        </w:rPr>
        <w:t>部门整体支出绩效评价分析</w:t>
      </w:r>
      <w:bookmarkEnd w:id="79"/>
      <w:bookmarkEnd w:id="80"/>
      <w:bookmarkEnd w:id="81"/>
      <w:bookmarkEnd w:id="82"/>
    </w:p>
    <w:p w14:paraId="32AADFF2">
      <w:pPr>
        <w:pStyle w:val="5"/>
        <w:keepNext w:val="0"/>
        <w:keepLines w:val="0"/>
        <w:snapToGrid/>
        <w:spacing w:before="156" w:beforeLines="50" w:beforeAutospacing="0" w:after="0" w:afterAutospacing="0" w:line="360" w:lineRule="auto"/>
        <w:ind w:left="0" w:leftChars="0" w:right="0" w:rightChars="0" w:firstLine="0" w:firstLineChars="0"/>
        <w:jc w:val="left"/>
        <w:outlineLvl w:val="1"/>
        <w:rPr>
          <w:rFonts w:hint="eastAsia" w:ascii="Times New Roman" w:hAnsi="仿宋" w:eastAsia="宋体" w:cs="仿宋"/>
          <w:b/>
          <w:kern w:val="0"/>
          <w:sz w:val="30"/>
          <w:szCs w:val="32"/>
          <w:lang w:bidi="ar"/>
        </w:rPr>
      </w:pPr>
      <w:bookmarkStart w:id="83" w:name="_Toc26734"/>
      <w:bookmarkStart w:id="84" w:name="_Toc9962"/>
      <w:bookmarkStart w:id="85" w:name="_Toc10433"/>
      <w:r>
        <w:rPr>
          <w:rFonts w:hint="eastAsia" w:ascii="Times New Roman" w:hAnsi="仿宋" w:eastAsia="宋体" w:cs="仿宋"/>
          <w:b/>
          <w:kern w:val="0"/>
          <w:sz w:val="30"/>
          <w:szCs w:val="32"/>
          <w:lang w:bidi="ar"/>
        </w:rPr>
        <w:t>（一）投入情况（分值20分，得分</w:t>
      </w:r>
      <w:r>
        <w:rPr>
          <w:rFonts w:hint="eastAsia" w:ascii="Times New Roman" w:hAnsi="仿宋" w:eastAsia="宋体" w:cs="仿宋"/>
          <w:b/>
          <w:kern w:val="0"/>
          <w:sz w:val="30"/>
          <w:szCs w:val="32"/>
          <w:lang w:val="en-US" w:eastAsia="zh-CN" w:bidi="ar"/>
        </w:rPr>
        <w:t>17.65</w:t>
      </w:r>
      <w:r>
        <w:rPr>
          <w:rFonts w:hint="eastAsia" w:ascii="Times New Roman" w:hAnsi="仿宋" w:eastAsia="宋体" w:cs="仿宋"/>
          <w:b/>
          <w:kern w:val="0"/>
          <w:sz w:val="30"/>
          <w:szCs w:val="32"/>
          <w:lang w:bidi="ar"/>
        </w:rPr>
        <w:t>分）</w:t>
      </w:r>
      <w:bookmarkEnd w:id="83"/>
      <w:bookmarkEnd w:id="84"/>
      <w:bookmarkEnd w:id="85"/>
    </w:p>
    <w:p w14:paraId="15E3DF51">
      <w:pPr>
        <w:pStyle w:val="6"/>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imes New Roman" w:hAnsi="仿宋" w:eastAsia="宋体" w:cs="仿宋"/>
          <w:sz w:val="28"/>
          <w:szCs w:val="32"/>
        </w:rPr>
      </w:pPr>
      <w:r>
        <w:rPr>
          <w:rFonts w:hint="eastAsia" w:ascii="Times New Roman" w:hAnsi="仿宋" w:eastAsia="宋体" w:cs="仿宋"/>
          <w:sz w:val="28"/>
          <w:szCs w:val="32"/>
        </w:rPr>
        <w:t>投入情况设置目标设定、预算配置2个二级指标。其中目标设置从绩效目标合理性、绩效指标明确性两方面进行评价；预算配置从在职人员控制率、</w:t>
      </w:r>
      <w:r>
        <w:rPr>
          <w:rFonts w:hint="eastAsia" w:ascii="Times New Roman" w:hAnsi="仿宋" w:cs="仿宋"/>
          <w:sz w:val="28"/>
          <w:szCs w:val="32"/>
          <w:lang w:eastAsia="zh-CN"/>
        </w:rPr>
        <w:t>“三公”经费</w:t>
      </w:r>
      <w:r>
        <w:rPr>
          <w:rFonts w:hint="eastAsia" w:ascii="Times New Roman" w:hAnsi="仿宋" w:eastAsia="宋体" w:cs="仿宋"/>
          <w:sz w:val="28"/>
          <w:szCs w:val="32"/>
        </w:rPr>
        <w:t>变动率、重点支出安排率三方面进行评价</w:t>
      </w:r>
      <w:r>
        <w:rPr>
          <w:rFonts w:hint="eastAsia"/>
          <w:lang w:eastAsia="zh-CN"/>
        </w:rPr>
        <w:t>。</w:t>
      </w:r>
    </w:p>
    <w:p w14:paraId="239B0727">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sz w:val="28"/>
          <w:szCs w:val="32"/>
        </w:rPr>
      </w:pPr>
      <w:bookmarkStart w:id="86" w:name="_Toc23439"/>
      <w:bookmarkStart w:id="87" w:name="_Toc7086"/>
      <w:bookmarkStart w:id="88" w:name="_Toc9267"/>
      <w:r>
        <w:rPr>
          <w:rFonts w:hint="eastAsia" w:ascii="Times New Roman" w:hAnsi="仿宋" w:eastAsia="宋体" w:cs="仿宋"/>
          <w:b/>
          <w:sz w:val="28"/>
          <w:szCs w:val="32"/>
        </w:rPr>
        <w:t>1.绩效目标合理性（分值4分）</w:t>
      </w:r>
      <w:bookmarkEnd w:id="86"/>
      <w:bookmarkEnd w:id="87"/>
      <w:bookmarkEnd w:id="88"/>
    </w:p>
    <w:p w14:paraId="21E4D55C">
      <w:pPr>
        <w:snapToGrid/>
        <w:spacing w:beforeAutospacing="0" w:afterAutospacing="0" w:line="360" w:lineRule="auto"/>
        <w:ind w:left="0" w:leftChars="0" w:firstLine="560" w:firstLineChars="200"/>
        <w:rPr>
          <w:rFonts w:hint="eastAsia" w:ascii="Times New Roman" w:hAnsi="仿宋" w:eastAsia="宋体" w:cs="仿宋"/>
          <w:sz w:val="28"/>
          <w:szCs w:val="32"/>
        </w:rPr>
      </w:pPr>
      <w:r>
        <w:rPr>
          <w:rFonts w:hint="eastAsia" w:ascii="Times New Roman" w:hAnsi="仿宋" w:eastAsia="宋体" w:cs="仿宋"/>
          <w:sz w:val="28"/>
          <w:szCs w:val="32"/>
        </w:rPr>
        <w:t>“绩效目标合理性”主要评价部门所设立的整体绩效目标依据是否充分，是否符合客观实际，用于反映和考核部门整体绩效目标与部门履职、年度工作任务的相符性情况。</w:t>
      </w:r>
    </w:p>
    <w:p w14:paraId="64854611">
      <w:pPr>
        <w:snapToGrid/>
        <w:spacing w:beforeAutospacing="0" w:afterAutospacing="0" w:line="360" w:lineRule="auto"/>
        <w:ind w:left="0" w:leftChars="0" w:firstLine="560" w:firstLineChars="200"/>
        <w:rPr>
          <w:rFonts w:hint="eastAsia" w:ascii="Times New Roman" w:hAnsi="仿宋" w:eastAsia="宋体" w:cs="仿宋"/>
          <w:sz w:val="28"/>
          <w:szCs w:val="32"/>
        </w:rPr>
      </w:pPr>
      <w:r>
        <w:rPr>
          <w:rFonts w:hint="eastAsia" w:ascii="Times New Roman" w:hAnsi="仿宋" w:eastAsia="宋体" w:cs="仿宋"/>
          <w:sz w:val="28"/>
          <w:szCs w:val="32"/>
        </w:rPr>
        <w:t>根据石狮市农业农村局提供的绩效目标申报表，石狮市农业农村局按照工作职能制</w:t>
      </w:r>
      <w:r>
        <w:rPr>
          <w:rFonts w:hint="eastAsia" w:ascii="Times New Roman" w:hAnsi="仿宋" w:cs="仿宋"/>
          <w:sz w:val="28"/>
          <w:szCs w:val="32"/>
          <w:lang w:eastAsia="zh-CN"/>
        </w:rPr>
        <w:t>定</w:t>
      </w:r>
      <w:r>
        <w:rPr>
          <w:rFonts w:hint="eastAsia" w:ascii="Times New Roman" w:hAnsi="仿宋" w:eastAsia="宋体" w:cs="仿宋"/>
          <w:sz w:val="28"/>
          <w:szCs w:val="32"/>
        </w:rPr>
        <w:t>了年度目标任务，与预算资金基本匹配。整体支出绩效目标与部门年度的任务数相对应，基本符合客观实际。本项得分4分。</w:t>
      </w:r>
    </w:p>
    <w:p w14:paraId="0C8B2983">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sz w:val="28"/>
          <w:szCs w:val="32"/>
        </w:rPr>
      </w:pPr>
      <w:bookmarkStart w:id="89" w:name="_Toc10286"/>
      <w:bookmarkStart w:id="90" w:name="_Toc3766"/>
      <w:bookmarkStart w:id="91" w:name="_Toc5063"/>
      <w:r>
        <w:rPr>
          <w:rFonts w:hint="eastAsia" w:ascii="Times New Roman" w:hAnsi="仿宋" w:eastAsia="宋体" w:cs="仿宋"/>
          <w:b/>
          <w:sz w:val="28"/>
          <w:szCs w:val="32"/>
        </w:rPr>
        <w:t>2.绩效目标明确性（分值4分）</w:t>
      </w:r>
      <w:bookmarkEnd w:id="89"/>
      <w:bookmarkEnd w:id="90"/>
      <w:bookmarkEnd w:id="91"/>
    </w:p>
    <w:p w14:paraId="5862F57D">
      <w:pPr>
        <w:snapToGrid/>
        <w:spacing w:beforeAutospacing="0" w:afterAutospacing="0" w:line="360" w:lineRule="auto"/>
        <w:ind w:left="0" w:leftChars="0" w:firstLine="560" w:firstLineChars="200"/>
        <w:rPr>
          <w:rFonts w:hint="eastAsia" w:ascii="Times New Roman" w:hAnsi="仿宋" w:eastAsia="宋体" w:cs="仿宋"/>
          <w:sz w:val="28"/>
          <w:szCs w:val="32"/>
        </w:rPr>
      </w:pPr>
      <w:r>
        <w:rPr>
          <w:rFonts w:hint="eastAsia" w:ascii="Times New Roman" w:hAnsi="仿宋" w:eastAsia="宋体" w:cs="仿宋"/>
          <w:sz w:val="28"/>
          <w:szCs w:val="32"/>
        </w:rPr>
        <w:t>“绩效</w:t>
      </w:r>
      <w:r>
        <w:rPr>
          <w:rFonts w:hint="eastAsia" w:ascii="Times New Roman" w:hAnsi="仿宋" w:cs="仿宋"/>
          <w:sz w:val="28"/>
          <w:szCs w:val="32"/>
          <w:lang w:val="en-US" w:eastAsia="zh-CN"/>
        </w:rPr>
        <w:t>目</w:t>
      </w:r>
      <w:r>
        <w:rPr>
          <w:rFonts w:hint="eastAsia" w:ascii="Times New Roman" w:hAnsi="仿宋" w:eastAsia="宋体" w:cs="仿宋"/>
          <w:sz w:val="28"/>
          <w:szCs w:val="32"/>
        </w:rPr>
        <w:t>标明确性”主要评价部门依据整体绩效目标所设定的绩效指标是否清晰、细化、可衡量，用以反映和评价部门（单位）整体绩效目标的明细化情况。</w:t>
      </w:r>
    </w:p>
    <w:p w14:paraId="6A9E45AB">
      <w:pPr>
        <w:snapToGrid/>
        <w:spacing w:beforeAutospacing="0" w:afterAutospacing="0" w:line="360" w:lineRule="auto"/>
        <w:ind w:left="0" w:leftChars="0" w:firstLine="560" w:firstLineChars="200"/>
        <w:rPr>
          <w:rFonts w:hint="eastAsia" w:ascii="Times New Roman" w:hAnsi="仿宋" w:eastAsia="宋体" w:cs="仿宋"/>
          <w:sz w:val="28"/>
          <w:szCs w:val="32"/>
        </w:rPr>
      </w:pPr>
      <w:r>
        <w:rPr>
          <w:rFonts w:hint="eastAsia" w:ascii="Times New Roman" w:hAnsi="仿宋" w:eastAsia="宋体" w:cs="仿宋"/>
          <w:sz w:val="28"/>
          <w:szCs w:val="32"/>
        </w:rPr>
        <w:t>检查石狮市农业农村局提供的绩效目标申报表和自评表，石狮市农业农村局根据资金使用情况将绩效目标细化分解，基本通过清晰、可衡量的指标值予以体现。本项得4分。</w:t>
      </w:r>
    </w:p>
    <w:p w14:paraId="08AC028A">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sz w:val="28"/>
          <w:szCs w:val="32"/>
        </w:rPr>
      </w:pPr>
      <w:bookmarkStart w:id="92" w:name="_Toc29373"/>
      <w:bookmarkStart w:id="93" w:name="_Toc16361"/>
      <w:bookmarkStart w:id="94" w:name="_Toc5062"/>
      <w:r>
        <w:rPr>
          <w:rFonts w:hint="eastAsia" w:ascii="Times New Roman" w:hAnsi="仿宋" w:eastAsia="宋体" w:cs="仿宋"/>
          <w:b/>
          <w:sz w:val="28"/>
          <w:szCs w:val="32"/>
        </w:rPr>
        <w:t>3.在职人员控制率（分值4分）</w:t>
      </w:r>
      <w:bookmarkEnd w:id="92"/>
      <w:bookmarkEnd w:id="93"/>
      <w:bookmarkEnd w:id="94"/>
    </w:p>
    <w:p w14:paraId="03597FD7">
      <w:pPr>
        <w:snapToGrid/>
        <w:spacing w:beforeAutospacing="0" w:afterAutospacing="0" w:line="360" w:lineRule="auto"/>
        <w:ind w:left="0" w:leftChars="0" w:firstLine="560" w:firstLineChars="200"/>
        <w:rPr>
          <w:rFonts w:hint="eastAsia" w:ascii="Times New Roman" w:hAnsi="仿宋" w:eastAsia="宋体" w:cs="仿宋"/>
          <w:sz w:val="28"/>
          <w:szCs w:val="32"/>
        </w:rPr>
      </w:pPr>
      <w:r>
        <w:rPr>
          <w:rFonts w:hint="eastAsia" w:ascii="Times New Roman" w:hAnsi="仿宋" w:eastAsia="宋体" w:cs="仿宋"/>
          <w:sz w:val="28"/>
          <w:szCs w:val="32"/>
        </w:rPr>
        <w:t>“在职人员控制率”主要评价部门（单位）本年度实际在职人员数与编制数的比率，用以反映和评价部门（单位）对人员成本的控制程度。</w:t>
      </w:r>
    </w:p>
    <w:p w14:paraId="46AAA6E3">
      <w:pPr>
        <w:snapToGrid/>
        <w:spacing w:beforeAutospacing="0" w:afterAutospacing="0" w:line="360" w:lineRule="auto"/>
        <w:ind w:left="0" w:leftChars="0" w:firstLine="560" w:firstLineChars="200"/>
        <w:rPr>
          <w:rFonts w:hint="eastAsia" w:ascii="Times New Roman" w:hAnsi="仿宋" w:eastAsia="宋体" w:cs="仿宋"/>
          <w:sz w:val="28"/>
          <w:szCs w:val="32"/>
        </w:rPr>
      </w:pPr>
      <w:r>
        <w:rPr>
          <w:rFonts w:hint="eastAsia" w:ascii="Times New Roman" w:hAnsi="仿宋" w:eastAsia="宋体" w:cs="仿宋"/>
          <w:sz w:val="28"/>
          <w:szCs w:val="32"/>
        </w:rPr>
        <w:t>根据石狮市农业农村局职能配置、内设机构和人员编制规定，以及单位基本情况表，石狮市农业农村局机关编制数为</w:t>
      </w:r>
      <w:r>
        <w:rPr>
          <w:rFonts w:hint="eastAsia" w:ascii="Times New Roman" w:hAnsi="仿宋" w:eastAsia="宋体" w:cs="仿宋"/>
          <w:sz w:val="28"/>
          <w:szCs w:val="32"/>
          <w:lang w:val="en-US" w:eastAsia="zh-CN"/>
        </w:rPr>
        <w:t>75</w:t>
      </w:r>
      <w:r>
        <w:rPr>
          <w:rFonts w:hint="eastAsia" w:ascii="Times New Roman" w:hAnsi="仿宋" w:eastAsia="宋体" w:cs="仿宋"/>
          <w:sz w:val="28"/>
          <w:szCs w:val="32"/>
        </w:rPr>
        <w:t>人，在职人数</w:t>
      </w:r>
      <w:r>
        <w:rPr>
          <w:rFonts w:hint="eastAsia" w:ascii="Times New Roman" w:hAnsi="仿宋" w:eastAsia="宋体" w:cs="仿宋"/>
          <w:sz w:val="28"/>
          <w:szCs w:val="32"/>
          <w:lang w:val="en-US" w:eastAsia="zh-CN"/>
        </w:rPr>
        <w:t>76</w:t>
      </w:r>
      <w:r>
        <w:rPr>
          <w:rFonts w:hint="eastAsia" w:ascii="Times New Roman" w:hAnsi="仿宋" w:eastAsia="宋体" w:cs="仿宋"/>
          <w:sz w:val="28"/>
          <w:szCs w:val="32"/>
        </w:rPr>
        <w:t>。在职人员控制率=（在职人员数/编制数）×100%=</w:t>
      </w:r>
      <w:r>
        <w:rPr>
          <w:rFonts w:hint="eastAsia" w:ascii="Times New Roman" w:hAnsi="仿宋" w:eastAsia="宋体" w:cs="仿宋"/>
          <w:sz w:val="28"/>
          <w:szCs w:val="32"/>
          <w:lang w:val="en-US" w:eastAsia="zh-CN"/>
        </w:rPr>
        <w:t>76</w:t>
      </w:r>
      <w:r>
        <w:rPr>
          <w:rFonts w:hint="eastAsia" w:ascii="Times New Roman" w:hAnsi="仿宋" w:eastAsia="宋体" w:cs="仿宋"/>
          <w:sz w:val="28"/>
          <w:szCs w:val="32"/>
        </w:rPr>
        <w:t>/</w:t>
      </w:r>
      <w:r>
        <w:rPr>
          <w:rFonts w:hint="eastAsia" w:ascii="Times New Roman" w:hAnsi="仿宋" w:eastAsia="宋体" w:cs="仿宋"/>
          <w:sz w:val="28"/>
          <w:szCs w:val="32"/>
          <w:lang w:val="en-US" w:eastAsia="zh-CN"/>
        </w:rPr>
        <w:t>75</w:t>
      </w:r>
      <w:r>
        <w:rPr>
          <w:rFonts w:hint="eastAsia" w:ascii="Times New Roman" w:hAnsi="仿宋" w:eastAsia="宋体" w:cs="仿宋"/>
          <w:sz w:val="28"/>
          <w:szCs w:val="32"/>
        </w:rPr>
        <w:t>×100%=10</w:t>
      </w:r>
      <w:r>
        <w:rPr>
          <w:rFonts w:hint="eastAsia" w:ascii="Times New Roman" w:hAnsi="仿宋" w:eastAsia="宋体" w:cs="仿宋"/>
          <w:sz w:val="28"/>
          <w:szCs w:val="32"/>
          <w:lang w:val="en-US" w:eastAsia="zh-CN"/>
        </w:rPr>
        <w:t>1</w:t>
      </w:r>
      <w:r>
        <w:rPr>
          <w:rFonts w:hint="eastAsia" w:ascii="Times New Roman" w:hAnsi="仿宋" w:eastAsia="宋体" w:cs="仿宋"/>
          <w:sz w:val="28"/>
          <w:szCs w:val="32"/>
        </w:rPr>
        <w:t>.3%，</w:t>
      </w:r>
      <w:r>
        <w:rPr>
          <w:rFonts w:hint="eastAsia" w:ascii="Times New Roman" w:hAnsi="仿宋" w:eastAsia="宋体" w:cs="仿宋"/>
          <w:sz w:val="28"/>
          <w:szCs w:val="32"/>
          <w:lang w:val="en-US" w:eastAsia="zh-CN"/>
        </w:rPr>
        <w:t>根据评价标准，在职人员控制率在100%-115%之间，得分=（115%－某部门在职人员控制率）/15%×指标分值。</w:t>
      </w:r>
      <w:r>
        <w:rPr>
          <w:rFonts w:hint="eastAsia" w:ascii="Times New Roman" w:hAnsi="仿宋" w:eastAsia="宋体" w:cs="仿宋"/>
          <w:sz w:val="28"/>
          <w:szCs w:val="32"/>
        </w:rPr>
        <w:t>本项扣</w:t>
      </w:r>
      <w:r>
        <w:rPr>
          <w:rFonts w:hint="eastAsia" w:ascii="Times New Roman" w:hAnsi="仿宋" w:eastAsia="宋体" w:cs="仿宋"/>
          <w:sz w:val="28"/>
          <w:szCs w:val="32"/>
          <w:lang w:val="en-US" w:eastAsia="zh-CN"/>
        </w:rPr>
        <w:t>0.3</w:t>
      </w:r>
      <w:r>
        <w:rPr>
          <w:rFonts w:hint="eastAsia" w:ascii="Times New Roman" w:hAnsi="仿宋" w:cs="仿宋"/>
          <w:sz w:val="28"/>
          <w:szCs w:val="32"/>
          <w:lang w:val="en-US" w:eastAsia="zh-CN"/>
        </w:rPr>
        <w:t>5</w:t>
      </w:r>
      <w:r>
        <w:rPr>
          <w:rFonts w:hint="eastAsia" w:ascii="Times New Roman" w:hAnsi="仿宋" w:eastAsia="宋体" w:cs="仿宋"/>
          <w:sz w:val="28"/>
          <w:szCs w:val="32"/>
        </w:rPr>
        <w:t>分，得分</w:t>
      </w:r>
      <w:r>
        <w:rPr>
          <w:rFonts w:hint="eastAsia" w:ascii="Times New Roman" w:hAnsi="仿宋" w:eastAsia="宋体" w:cs="仿宋"/>
          <w:sz w:val="28"/>
          <w:szCs w:val="32"/>
          <w:lang w:val="en-US" w:eastAsia="zh-CN"/>
        </w:rPr>
        <w:t>3.</w:t>
      </w:r>
      <w:r>
        <w:rPr>
          <w:rFonts w:hint="eastAsia" w:ascii="Times New Roman" w:hAnsi="仿宋" w:cs="仿宋"/>
          <w:sz w:val="28"/>
          <w:szCs w:val="32"/>
          <w:lang w:val="en-US" w:eastAsia="zh-CN"/>
        </w:rPr>
        <w:t>6</w:t>
      </w:r>
      <w:r>
        <w:rPr>
          <w:rFonts w:hint="eastAsia" w:ascii="Times New Roman" w:hAnsi="仿宋" w:eastAsia="宋体" w:cs="仿宋"/>
          <w:sz w:val="28"/>
          <w:szCs w:val="32"/>
          <w:lang w:val="en-US" w:eastAsia="zh-CN"/>
        </w:rPr>
        <w:t>5</w:t>
      </w:r>
      <w:r>
        <w:rPr>
          <w:rFonts w:hint="eastAsia" w:ascii="Times New Roman" w:hAnsi="仿宋" w:eastAsia="宋体" w:cs="仿宋"/>
          <w:sz w:val="28"/>
          <w:szCs w:val="32"/>
        </w:rPr>
        <w:t>分。</w:t>
      </w:r>
    </w:p>
    <w:p w14:paraId="4941E3EF">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sz w:val="28"/>
          <w:szCs w:val="32"/>
        </w:rPr>
      </w:pPr>
      <w:bookmarkStart w:id="95" w:name="_Toc15308"/>
      <w:bookmarkStart w:id="96" w:name="_Toc3970"/>
      <w:bookmarkStart w:id="97" w:name="_Toc10515"/>
      <w:r>
        <w:rPr>
          <w:rFonts w:hint="eastAsia" w:ascii="Times New Roman" w:hAnsi="仿宋" w:eastAsia="宋体" w:cs="仿宋"/>
          <w:b/>
          <w:sz w:val="28"/>
          <w:szCs w:val="32"/>
        </w:rPr>
        <w:t>4.</w:t>
      </w:r>
      <w:r>
        <w:rPr>
          <w:rFonts w:hint="eastAsia" w:ascii="Times New Roman" w:hAnsi="仿宋" w:cs="仿宋"/>
          <w:b/>
          <w:sz w:val="28"/>
          <w:szCs w:val="32"/>
          <w:lang w:eastAsia="zh-CN"/>
        </w:rPr>
        <w:t>“三公”经费</w:t>
      </w:r>
      <w:r>
        <w:rPr>
          <w:rFonts w:hint="eastAsia" w:ascii="Times New Roman" w:hAnsi="仿宋" w:eastAsia="宋体" w:cs="仿宋"/>
          <w:b/>
          <w:sz w:val="28"/>
          <w:szCs w:val="32"/>
        </w:rPr>
        <w:t>变动率（分值4分）</w:t>
      </w:r>
      <w:bookmarkEnd w:id="95"/>
      <w:bookmarkEnd w:id="96"/>
      <w:bookmarkEnd w:id="97"/>
    </w:p>
    <w:p w14:paraId="10549A39">
      <w:pPr>
        <w:snapToGrid/>
        <w:spacing w:beforeAutospacing="0" w:afterAutospacing="0" w:line="360" w:lineRule="auto"/>
        <w:ind w:left="0" w:leftChars="0" w:firstLine="560" w:firstLineChars="200"/>
        <w:rPr>
          <w:rFonts w:hint="eastAsia" w:ascii="Times New Roman" w:hAnsi="仿宋" w:eastAsia="宋体" w:cs="仿宋"/>
          <w:sz w:val="28"/>
          <w:szCs w:val="32"/>
        </w:rPr>
      </w:pPr>
      <w:r>
        <w:rPr>
          <w:rFonts w:hint="eastAsia" w:ascii="Times New Roman" w:hAnsi="仿宋" w:cs="仿宋"/>
          <w:sz w:val="28"/>
          <w:szCs w:val="32"/>
          <w:lang w:eastAsia="zh-CN"/>
        </w:rPr>
        <w:t>“三公”经费</w:t>
      </w:r>
      <w:r>
        <w:rPr>
          <w:rFonts w:hint="eastAsia" w:ascii="Times New Roman" w:hAnsi="仿宋" w:eastAsia="宋体" w:cs="仿宋"/>
          <w:sz w:val="28"/>
          <w:szCs w:val="32"/>
          <w:lang w:eastAsia="zh-CN"/>
        </w:rPr>
        <w:t>变动</w:t>
      </w:r>
      <w:r>
        <w:rPr>
          <w:rFonts w:hint="eastAsia" w:ascii="Times New Roman" w:hAnsi="仿宋" w:eastAsia="宋体" w:cs="仿宋"/>
          <w:sz w:val="28"/>
          <w:szCs w:val="32"/>
        </w:rPr>
        <w:t>率指部门本年度</w:t>
      </w:r>
      <w:r>
        <w:rPr>
          <w:rFonts w:hint="eastAsia" w:ascii="Times New Roman" w:hAnsi="仿宋" w:cs="仿宋"/>
          <w:sz w:val="28"/>
          <w:szCs w:val="32"/>
          <w:lang w:eastAsia="zh-CN"/>
        </w:rPr>
        <w:t>“三公”经费</w:t>
      </w:r>
      <w:r>
        <w:rPr>
          <w:rFonts w:hint="eastAsia" w:ascii="Times New Roman" w:hAnsi="仿宋" w:eastAsia="宋体" w:cs="仿宋"/>
          <w:sz w:val="28"/>
          <w:szCs w:val="32"/>
        </w:rPr>
        <w:t>预算数与上年度</w:t>
      </w:r>
      <w:r>
        <w:rPr>
          <w:rFonts w:hint="eastAsia" w:ascii="Times New Roman" w:hAnsi="仿宋" w:cs="仿宋"/>
          <w:sz w:val="28"/>
          <w:szCs w:val="32"/>
          <w:lang w:eastAsia="zh-CN"/>
        </w:rPr>
        <w:t>“三公”经费</w:t>
      </w:r>
      <w:r>
        <w:rPr>
          <w:rFonts w:hint="eastAsia" w:ascii="Times New Roman" w:hAnsi="仿宋" w:eastAsia="宋体" w:cs="仿宋"/>
          <w:sz w:val="28"/>
          <w:szCs w:val="32"/>
        </w:rPr>
        <w:t>预算数的变动比率，用以反映和考核部门对控制重点行政成本的努力程度。评分标准为</w:t>
      </w:r>
      <w:r>
        <w:rPr>
          <w:rFonts w:hint="eastAsia" w:ascii="Times New Roman" w:hAnsi="仿宋" w:cs="仿宋"/>
          <w:sz w:val="28"/>
          <w:szCs w:val="32"/>
          <w:lang w:eastAsia="zh-CN"/>
        </w:rPr>
        <w:t>“三公”经费</w:t>
      </w:r>
      <w:r>
        <w:rPr>
          <w:rFonts w:hint="eastAsia" w:ascii="Times New Roman" w:hAnsi="仿宋" w:eastAsia="宋体" w:cs="仿宋"/>
          <w:sz w:val="28"/>
          <w:szCs w:val="32"/>
        </w:rPr>
        <w:t>变动率=[（本年度</w:t>
      </w:r>
      <w:r>
        <w:rPr>
          <w:rFonts w:hint="eastAsia" w:ascii="Times New Roman" w:hAnsi="仿宋" w:cs="仿宋"/>
          <w:sz w:val="28"/>
          <w:szCs w:val="32"/>
          <w:lang w:eastAsia="zh-CN"/>
        </w:rPr>
        <w:t>“三公”经费</w:t>
      </w:r>
      <w:r>
        <w:rPr>
          <w:rFonts w:hint="eastAsia" w:ascii="Times New Roman" w:hAnsi="仿宋" w:eastAsia="宋体" w:cs="仿宋"/>
          <w:sz w:val="28"/>
          <w:szCs w:val="32"/>
        </w:rPr>
        <w:t>总额-上年度</w:t>
      </w:r>
      <w:r>
        <w:rPr>
          <w:rFonts w:hint="eastAsia" w:ascii="Times New Roman" w:hAnsi="仿宋" w:cs="仿宋"/>
          <w:sz w:val="28"/>
          <w:szCs w:val="32"/>
          <w:lang w:eastAsia="zh-CN"/>
        </w:rPr>
        <w:t>“三公”经费</w:t>
      </w:r>
      <w:r>
        <w:rPr>
          <w:rFonts w:hint="eastAsia" w:ascii="Times New Roman" w:hAnsi="仿宋" w:eastAsia="宋体" w:cs="仿宋"/>
          <w:sz w:val="28"/>
          <w:szCs w:val="32"/>
        </w:rPr>
        <w:t>总额）/上年度</w:t>
      </w:r>
      <w:r>
        <w:rPr>
          <w:rFonts w:hint="eastAsia" w:ascii="Times New Roman" w:hAnsi="仿宋" w:cs="仿宋"/>
          <w:sz w:val="28"/>
          <w:szCs w:val="32"/>
          <w:lang w:eastAsia="zh-CN"/>
        </w:rPr>
        <w:t>“三公”经费</w:t>
      </w:r>
      <w:r>
        <w:rPr>
          <w:rFonts w:hint="eastAsia" w:ascii="Times New Roman" w:hAnsi="仿宋" w:eastAsia="宋体" w:cs="仿宋"/>
          <w:sz w:val="28"/>
          <w:szCs w:val="32"/>
        </w:rPr>
        <w:t>总额]×100%。变动率≤0%得满分；变动率每超过一个百分点扣0.5 分。”</w:t>
      </w:r>
    </w:p>
    <w:p w14:paraId="633607AB">
      <w:pPr>
        <w:snapToGrid/>
        <w:spacing w:beforeAutospacing="0" w:afterAutospacing="0" w:line="360" w:lineRule="auto"/>
        <w:ind w:left="0" w:leftChars="0" w:firstLine="560" w:firstLineChars="200"/>
        <w:outlineLvl w:val="2"/>
        <w:rPr>
          <w:rFonts w:hint="eastAsia" w:ascii="Times New Roman" w:hAnsi="仿宋" w:eastAsia="宋体" w:cs="仿宋"/>
          <w:sz w:val="28"/>
          <w:szCs w:val="32"/>
          <w:lang w:val="zh-CN" w:eastAsia="zh-CN"/>
        </w:rPr>
      </w:pPr>
      <w:bookmarkStart w:id="98" w:name="_Toc26888"/>
      <w:bookmarkStart w:id="99" w:name="_Toc8467"/>
      <w:bookmarkStart w:id="100" w:name="_Toc1035"/>
      <w:r>
        <w:rPr>
          <w:rFonts w:hint="eastAsia" w:ascii="Times New Roman" w:hAnsi="仿宋" w:eastAsia="宋体" w:cs="仿宋"/>
          <w:sz w:val="28"/>
          <w:szCs w:val="32"/>
          <w:lang w:val="zh-CN" w:eastAsia="zh-CN"/>
        </w:rPr>
        <w:t>2022年</w:t>
      </w:r>
      <w:r>
        <w:rPr>
          <w:rFonts w:hint="eastAsia" w:ascii="Times New Roman" w:hAnsi="仿宋" w:eastAsia="宋体" w:cs="仿宋"/>
          <w:sz w:val="28"/>
          <w:szCs w:val="32"/>
          <w:lang w:val="en-US" w:eastAsia="zh-CN"/>
        </w:rPr>
        <w:t>石狮市农业农村</w:t>
      </w:r>
      <w:r>
        <w:rPr>
          <w:rFonts w:hint="eastAsia" w:ascii="Times New Roman" w:hAnsi="仿宋" w:eastAsia="宋体" w:cs="仿宋"/>
          <w:sz w:val="28"/>
          <w:szCs w:val="32"/>
          <w:lang w:val="zh-CN" w:eastAsia="zh-CN"/>
        </w:rPr>
        <w:t>局机关</w:t>
      </w:r>
      <w:r>
        <w:rPr>
          <w:rFonts w:hint="eastAsia" w:ascii="Times New Roman" w:hAnsi="仿宋" w:cs="仿宋"/>
          <w:sz w:val="28"/>
          <w:szCs w:val="32"/>
          <w:lang w:eastAsia="zh-CN"/>
        </w:rPr>
        <w:t>“三公”经费</w:t>
      </w:r>
      <w:r>
        <w:rPr>
          <w:rFonts w:hint="eastAsia" w:ascii="Times New Roman" w:hAnsi="仿宋" w:eastAsia="宋体" w:cs="仿宋"/>
          <w:sz w:val="28"/>
          <w:szCs w:val="32"/>
          <w:lang w:val="en-US" w:eastAsia="zh-CN"/>
        </w:rPr>
        <w:t>预算</w:t>
      </w:r>
      <w:r>
        <w:rPr>
          <w:rFonts w:hint="eastAsia" w:ascii="Times New Roman" w:hAnsi="仿宋" w:eastAsia="宋体" w:cs="仿宋"/>
          <w:sz w:val="28"/>
          <w:szCs w:val="32"/>
          <w:lang w:val="zh-CN" w:eastAsia="zh-CN"/>
        </w:rPr>
        <w:t>4万元，种业发展中心6.4万元，农综中心2.91万元，执法大队5.52万元，动植物检疫中心2.5万元。合计</w:t>
      </w:r>
      <w:r>
        <w:rPr>
          <w:rFonts w:hint="eastAsia" w:ascii="Times New Roman" w:hAnsi="仿宋" w:eastAsia="宋体" w:cs="仿宋"/>
          <w:sz w:val="28"/>
          <w:szCs w:val="32"/>
          <w:lang w:val="en-US" w:eastAsia="zh-CN"/>
        </w:rPr>
        <w:t>预算</w:t>
      </w:r>
      <w:r>
        <w:rPr>
          <w:rFonts w:hint="eastAsia" w:ascii="Times New Roman" w:hAnsi="仿宋" w:eastAsia="宋体" w:cs="仿宋"/>
          <w:sz w:val="28"/>
          <w:szCs w:val="32"/>
          <w:lang w:val="zh-CN" w:eastAsia="zh-CN"/>
        </w:rPr>
        <w:t>21.33万元</w:t>
      </w:r>
      <w:bookmarkEnd w:id="98"/>
      <w:bookmarkStart w:id="101" w:name="_Toc20634"/>
      <w:r>
        <w:rPr>
          <w:rFonts w:hint="eastAsia" w:ascii="Times New Roman" w:hAnsi="仿宋" w:eastAsia="宋体" w:cs="仿宋"/>
          <w:sz w:val="28"/>
          <w:szCs w:val="32"/>
          <w:lang w:val="zh-CN" w:eastAsia="zh-CN"/>
        </w:rPr>
        <w:t>；2021</w:t>
      </w:r>
      <w:r>
        <w:rPr>
          <w:rFonts w:hint="eastAsia" w:ascii="Times New Roman" w:hAnsi="仿宋" w:eastAsia="宋体" w:cs="仿宋"/>
          <w:sz w:val="28"/>
          <w:szCs w:val="32"/>
          <w:lang w:val="en-US" w:eastAsia="zh-CN"/>
        </w:rPr>
        <w:t>石狮市农业农村</w:t>
      </w:r>
      <w:r>
        <w:rPr>
          <w:rFonts w:hint="eastAsia" w:ascii="Times New Roman" w:hAnsi="仿宋" w:eastAsia="宋体" w:cs="仿宋"/>
          <w:sz w:val="28"/>
          <w:szCs w:val="32"/>
          <w:lang w:val="zh-CN" w:eastAsia="zh-CN"/>
        </w:rPr>
        <w:t>局机关</w:t>
      </w:r>
      <w:r>
        <w:rPr>
          <w:rFonts w:hint="eastAsia" w:ascii="Times New Roman" w:hAnsi="仿宋" w:cs="仿宋"/>
          <w:sz w:val="28"/>
          <w:szCs w:val="32"/>
          <w:lang w:val="zh-CN" w:eastAsia="zh-CN"/>
        </w:rPr>
        <w:t>“三公”经费</w:t>
      </w:r>
      <w:r>
        <w:rPr>
          <w:rFonts w:hint="eastAsia" w:ascii="Times New Roman" w:hAnsi="仿宋" w:eastAsia="宋体" w:cs="仿宋"/>
          <w:sz w:val="28"/>
          <w:szCs w:val="32"/>
          <w:lang w:val="zh-CN" w:eastAsia="zh-CN"/>
        </w:rPr>
        <w:t>8万元，种业发展中心4万元，农综中心2万元，执法大队4.5万元。动植物检疫中心2万元。合计</w:t>
      </w:r>
      <w:r>
        <w:rPr>
          <w:rFonts w:hint="eastAsia" w:ascii="Times New Roman" w:hAnsi="仿宋" w:eastAsia="宋体" w:cs="仿宋"/>
          <w:sz w:val="28"/>
          <w:szCs w:val="32"/>
          <w:lang w:val="en-US" w:eastAsia="zh-CN"/>
        </w:rPr>
        <w:t>预算</w:t>
      </w:r>
      <w:r>
        <w:rPr>
          <w:rFonts w:hint="eastAsia" w:ascii="Times New Roman" w:hAnsi="仿宋" w:eastAsia="宋体" w:cs="仿宋"/>
          <w:sz w:val="28"/>
          <w:szCs w:val="32"/>
          <w:lang w:val="zh-CN" w:eastAsia="zh-CN"/>
        </w:rPr>
        <w:t>20.5万元。</w:t>
      </w:r>
      <w:r>
        <w:rPr>
          <w:rFonts w:hint="eastAsia" w:ascii="Times New Roman" w:hAnsi="仿宋" w:eastAsia="宋体" w:cs="仿宋"/>
          <w:sz w:val="28"/>
          <w:szCs w:val="32"/>
          <w:lang w:val="en-US" w:eastAsia="zh-CN"/>
        </w:rPr>
        <w:t>根据评分标准，</w:t>
      </w:r>
      <w:r>
        <w:rPr>
          <w:rFonts w:hint="eastAsia" w:ascii="Times New Roman" w:hAnsi="仿宋" w:cs="仿宋"/>
          <w:sz w:val="28"/>
          <w:szCs w:val="32"/>
          <w:lang w:val="zh-CN"/>
        </w:rPr>
        <w:t>“三公”经费</w:t>
      </w:r>
      <w:r>
        <w:rPr>
          <w:rFonts w:hint="eastAsia" w:ascii="Times New Roman" w:hAnsi="仿宋" w:eastAsia="宋体" w:cs="仿宋"/>
          <w:sz w:val="28"/>
          <w:szCs w:val="32"/>
          <w:lang w:val="zh-CN"/>
        </w:rPr>
        <w:t>变动率</w:t>
      </w:r>
      <w:r>
        <w:rPr>
          <w:rFonts w:hint="eastAsia" w:ascii="Times New Roman" w:hAnsi="仿宋" w:eastAsia="宋体" w:cs="仿宋"/>
          <w:sz w:val="28"/>
          <w:szCs w:val="32"/>
          <w:lang w:val="zh-CN" w:eastAsia="zh-CN"/>
        </w:rPr>
        <w:t>超过4%，扣2分</w:t>
      </w:r>
      <w:r>
        <w:rPr>
          <w:rFonts w:hint="eastAsia" w:ascii="Times New Roman" w:hAnsi="仿宋" w:cs="仿宋"/>
          <w:sz w:val="28"/>
          <w:szCs w:val="32"/>
          <w:lang w:val="zh-CN" w:eastAsia="zh-CN"/>
        </w:rPr>
        <w:t>，</w:t>
      </w:r>
      <w:r>
        <w:rPr>
          <w:rFonts w:hint="eastAsia" w:ascii="Times New Roman" w:hAnsi="仿宋" w:eastAsia="宋体" w:cs="仿宋"/>
          <w:sz w:val="28"/>
          <w:szCs w:val="32"/>
          <w:lang w:val="zh-CN" w:eastAsia="zh-CN"/>
        </w:rPr>
        <w:t>此项得分2分。</w:t>
      </w:r>
      <w:bookmarkEnd w:id="99"/>
      <w:bookmarkEnd w:id="101"/>
    </w:p>
    <w:p w14:paraId="62FE14C8">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sz w:val="28"/>
          <w:szCs w:val="32"/>
        </w:rPr>
      </w:pPr>
      <w:bookmarkStart w:id="102" w:name="_Toc28291"/>
      <w:bookmarkStart w:id="103" w:name="_Toc27149"/>
      <w:r>
        <w:rPr>
          <w:rFonts w:hint="eastAsia" w:ascii="Times New Roman" w:hAnsi="仿宋" w:eastAsia="宋体" w:cs="仿宋"/>
          <w:b/>
          <w:sz w:val="28"/>
          <w:szCs w:val="32"/>
          <w:lang w:val="zh-CN"/>
        </w:rPr>
        <w:t>5</w:t>
      </w:r>
      <w:r>
        <w:rPr>
          <w:rFonts w:hint="eastAsia" w:ascii="Times New Roman" w:hAnsi="仿宋" w:eastAsia="宋体" w:cs="仿宋"/>
          <w:b/>
          <w:sz w:val="28"/>
          <w:szCs w:val="32"/>
        </w:rPr>
        <w:t>.重点支出安排率（分值</w:t>
      </w:r>
      <w:r>
        <w:rPr>
          <w:rFonts w:hint="eastAsia" w:ascii="Times New Roman" w:hAnsi="仿宋" w:eastAsia="宋体" w:cs="仿宋"/>
          <w:b/>
          <w:sz w:val="28"/>
          <w:szCs w:val="32"/>
          <w:lang w:val="zh-CN"/>
        </w:rPr>
        <w:t>4</w:t>
      </w:r>
      <w:r>
        <w:rPr>
          <w:rFonts w:hint="eastAsia" w:ascii="Times New Roman" w:hAnsi="仿宋" w:eastAsia="宋体" w:cs="仿宋"/>
          <w:b/>
          <w:sz w:val="28"/>
          <w:szCs w:val="32"/>
        </w:rPr>
        <w:t>分）</w:t>
      </w:r>
      <w:bookmarkEnd w:id="100"/>
      <w:bookmarkEnd w:id="102"/>
      <w:bookmarkEnd w:id="103"/>
      <w:r>
        <w:rPr>
          <w:rFonts w:hint="eastAsia" w:ascii="Times New Roman" w:hAnsi="仿宋" w:eastAsia="宋体" w:cs="仿宋"/>
          <w:b/>
          <w:sz w:val="28"/>
          <w:szCs w:val="32"/>
        </w:rPr>
        <w:tab/>
      </w:r>
    </w:p>
    <w:p w14:paraId="0118269D">
      <w:pPr>
        <w:pStyle w:val="21"/>
        <w:snapToGrid/>
        <w:spacing w:beforeAutospacing="0" w:after="0" w:afterAutospacing="0" w:line="360" w:lineRule="auto"/>
        <w:ind w:left="0" w:leftChars="0" w:firstLine="560" w:firstLineChars="200"/>
        <w:rPr>
          <w:rFonts w:hint="eastAsia" w:ascii="Times New Roman" w:hAnsi="仿宋" w:eastAsia="宋体" w:cs="仿宋"/>
          <w:color w:val="auto"/>
          <w:sz w:val="28"/>
          <w:szCs w:val="32"/>
          <w:lang w:val="en-US" w:eastAsia="zh-CN" w:bidi="ar-SA"/>
        </w:rPr>
      </w:pPr>
      <w:r>
        <w:rPr>
          <w:rFonts w:hint="eastAsia" w:ascii="Times New Roman" w:hAnsi="仿宋" w:eastAsia="宋体" w:cs="仿宋"/>
          <w:color w:val="auto"/>
          <w:sz w:val="28"/>
          <w:szCs w:val="32"/>
          <w:lang w:val="zh-CN" w:eastAsia="zh-CN" w:bidi="ar-SA"/>
        </w:rPr>
        <w:t>“重点</w:t>
      </w:r>
      <w:r>
        <w:rPr>
          <w:rFonts w:hint="eastAsia" w:ascii="Times New Roman" w:hAnsi="仿宋" w:eastAsia="宋体" w:cs="仿宋"/>
          <w:color w:val="auto"/>
          <w:sz w:val="28"/>
          <w:szCs w:val="32"/>
          <w:lang w:val="en-US" w:eastAsia="zh-CN" w:bidi="ar-SA"/>
        </w:rPr>
        <w:t>支出安排率”主要评价部门（单位）本年度预算安排的重点项目支</w:t>
      </w:r>
      <w:r>
        <w:rPr>
          <w:rFonts w:hint="eastAsia" w:ascii="Times New Roman" w:hAnsi="仿宋" w:cs="仿宋"/>
          <w:color w:val="auto"/>
          <w:sz w:val="28"/>
          <w:szCs w:val="32"/>
          <w:lang w:val="en-US" w:eastAsia="zh-CN" w:bidi="ar-SA"/>
        </w:rPr>
        <w:t>出</w:t>
      </w:r>
      <w:r>
        <w:rPr>
          <w:rFonts w:hint="eastAsia" w:ascii="Times New Roman" w:hAnsi="仿宋" w:eastAsia="宋体" w:cs="仿宋"/>
          <w:color w:val="auto"/>
          <w:sz w:val="28"/>
          <w:szCs w:val="32"/>
          <w:lang w:val="en-US" w:eastAsia="zh-CN" w:bidi="ar-SA"/>
        </w:rPr>
        <w:t>与部门项目总支出的比率，用以反映和考核部门（单位）对履行主要职责或完成重点任务的保障程度。</w:t>
      </w:r>
    </w:p>
    <w:p w14:paraId="75996738">
      <w:pPr>
        <w:pStyle w:val="22"/>
        <w:snapToGrid/>
        <w:spacing w:beforeAutospacing="0" w:after="0" w:afterAutospacing="0" w:line="360" w:lineRule="auto"/>
        <w:ind w:left="0" w:leftChars="0" w:firstLine="560" w:firstLineChars="200"/>
        <w:jc w:val="both"/>
        <w:rPr>
          <w:rFonts w:hint="eastAsia" w:ascii="Times New Roman" w:hAnsi="仿宋" w:eastAsia="宋体" w:cs="仿宋"/>
          <w:color w:val="auto"/>
          <w:sz w:val="28"/>
          <w:szCs w:val="32"/>
          <w:lang w:val="en-US" w:eastAsia="zh-CN" w:bidi="ar-SA"/>
        </w:rPr>
      </w:pPr>
      <w:r>
        <w:rPr>
          <w:rFonts w:hint="eastAsia" w:ascii="Times New Roman" w:hAnsi="仿宋" w:eastAsia="宋体" w:cs="仿宋"/>
          <w:color w:val="auto"/>
          <w:sz w:val="28"/>
          <w:szCs w:val="32"/>
          <w:lang w:val="en-US" w:eastAsia="zh-CN" w:bidi="ar-SA"/>
        </w:rPr>
        <w:t>根据石狮市农业农村局2022年项目总支出36924.2万元，局机关项目主要用于对口帮扶（山海协作）、高标准农田建设、农产品质量安全检测、农业化产业发展专项、乡村振兴、渔业保险、渔业船员培训、渔业发展及安全专项等项目，动植物检疫中心项目主要用于疫病防控、屠宰检疫专项；农综中心项目</w:t>
      </w:r>
      <w:r>
        <w:rPr>
          <w:rFonts w:hint="eastAsia" w:ascii="Times New Roman" w:hAnsi="仿宋" w:cs="仿宋"/>
          <w:color w:val="auto"/>
          <w:sz w:val="28"/>
          <w:szCs w:val="32"/>
          <w:lang w:val="en-US" w:eastAsia="zh-CN" w:bidi="ar-SA"/>
        </w:rPr>
        <w:t>主</w:t>
      </w:r>
      <w:r>
        <w:rPr>
          <w:rFonts w:hint="eastAsia" w:ascii="Times New Roman" w:hAnsi="仿宋" w:eastAsia="宋体" w:cs="仿宋"/>
          <w:color w:val="auto"/>
          <w:sz w:val="28"/>
          <w:szCs w:val="32"/>
          <w:lang w:val="en-US" w:eastAsia="zh-CN" w:bidi="ar-SA"/>
        </w:rPr>
        <w:t>要用于特色现代农业发展专项资金、农机补贴、渔业专项、病虫害控制、科技推广服务；综合执法大队项目主要用于渔港渔船疫情防控工作经费、渔船更新改造工作经费、海洋渔业资源养护补贴及综合执法经费；种业发展中心项目主要用于农业种质资源保护与利用、国家畜禽遗传资源保护、农作物新品种展示示范、现代种业提升以及农作物良种示范推广与储备。均为主要职责履行，2022年度预算安排的重点项目支</w:t>
      </w:r>
      <w:r>
        <w:rPr>
          <w:rFonts w:hint="eastAsia" w:ascii="Times New Roman" w:hAnsi="仿宋" w:cs="仿宋"/>
          <w:color w:val="auto"/>
          <w:sz w:val="28"/>
          <w:szCs w:val="32"/>
          <w:lang w:val="en-US" w:eastAsia="zh-CN" w:bidi="ar-SA"/>
        </w:rPr>
        <w:t>出</w:t>
      </w:r>
      <w:r>
        <w:rPr>
          <w:rFonts w:hint="eastAsia" w:ascii="Times New Roman" w:hAnsi="仿宋" w:eastAsia="宋体" w:cs="仿宋"/>
          <w:color w:val="auto"/>
          <w:sz w:val="28"/>
          <w:szCs w:val="32"/>
          <w:lang w:val="en-US" w:eastAsia="zh-CN" w:bidi="ar-SA"/>
        </w:rPr>
        <w:t>与部门项目总支出的比率为100%。根据评分标准，此项得4分。</w:t>
      </w:r>
    </w:p>
    <w:p w14:paraId="17528998">
      <w:pPr>
        <w:pStyle w:val="5"/>
        <w:keepNext w:val="0"/>
        <w:keepLines w:val="0"/>
        <w:snapToGrid/>
        <w:spacing w:before="156" w:beforeLines="50" w:beforeAutospacing="0" w:after="0" w:afterAutospacing="0" w:line="360" w:lineRule="auto"/>
        <w:ind w:left="0" w:leftChars="0" w:right="0" w:rightChars="0" w:firstLine="0" w:firstLineChars="0"/>
        <w:jc w:val="left"/>
        <w:outlineLvl w:val="1"/>
        <w:rPr>
          <w:rFonts w:hint="eastAsia" w:ascii="Times New Roman" w:hAnsi="仿宋" w:eastAsia="宋体" w:cs="仿宋"/>
          <w:b/>
          <w:kern w:val="0"/>
          <w:sz w:val="30"/>
          <w:szCs w:val="32"/>
          <w:lang w:bidi="ar"/>
        </w:rPr>
      </w:pPr>
      <w:bookmarkStart w:id="104" w:name="_Toc17393"/>
      <w:bookmarkStart w:id="105" w:name="_Toc23006"/>
      <w:bookmarkStart w:id="106" w:name="_Toc19347"/>
      <w:bookmarkStart w:id="107" w:name="_Toc7671"/>
      <w:bookmarkStart w:id="108" w:name="_Toc30246"/>
      <w:bookmarkStart w:id="109" w:name="_Hlk495161517"/>
      <w:r>
        <w:rPr>
          <w:rFonts w:hint="eastAsia" w:ascii="Times New Roman" w:hAnsi="仿宋" w:eastAsia="宋体" w:cs="仿宋"/>
          <w:b/>
          <w:kern w:val="0"/>
          <w:sz w:val="30"/>
          <w:szCs w:val="32"/>
          <w:lang w:bidi="ar"/>
        </w:rPr>
        <w:t>（二）过程</w:t>
      </w:r>
      <w:r>
        <w:rPr>
          <w:rFonts w:hint="eastAsia" w:ascii="Times New Roman" w:hAnsi="仿宋" w:eastAsia="宋体" w:cs="仿宋"/>
          <w:b/>
          <w:kern w:val="0"/>
          <w:sz w:val="30"/>
          <w:szCs w:val="32"/>
          <w:lang w:val="en-US" w:eastAsia="zh-CN" w:bidi="ar"/>
        </w:rPr>
        <w:t xml:space="preserve"> </w:t>
      </w:r>
      <w:r>
        <w:rPr>
          <w:rFonts w:hint="eastAsia" w:ascii="Times New Roman" w:hAnsi="仿宋" w:eastAsia="宋体" w:cs="仿宋"/>
          <w:b/>
          <w:kern w:val="0"/>
          <w:sz w:val="30"/>
          <w:szCs w:val="32"/>
          <w:lang w:bidi="ar"/>
        </w:rPr>
        <w:t>(分值20分，得分</w:t>
      </w:r>
      <w:r>
        <w:rPr>
          <w:rFonts w:hint="eastAsia" w:ascii="Times New Roman" w:hAnsi="仿宋" w:eastAsia="宋体" w:cs="仿宋"/>
          <w:b/>
          <w:kern w:val="0"/>
          <w:sz w:val="30"/>
          <w:szCs w:val="32"/>
          <w:lang w:val="en-US" w:eastAsia="zh-CN" w:bidi="ar"/>
        </w:rPr>
        <w:t>14.39</w:t>
      </w:r>
      <w:r>
        <w:rPr>
          <w:rFonts w:hint="eastAsia" w:ascii="Times New Roman" w:hAnsi="仿宋" w:eastAsia="宋体" w:cs="仿宋"/>
          <w:b/>
          <w:kern w:val="0"/>
          <w:sz w:val="30"/>
          <w:szCs w:val="32"/>
          <w:lang w:bidi="ar"/>
        </w:rPr>
        <w:t>分)</w:t>
      </w:r>
      <w:bookmarkEnd w:id="104"/>
      <w:bookmarkEnd w:id="105"/>
      <w:bookmarkEnd w:id="106"/>
      <w:bookmarkEnd w:id="107"/>
      <w:bookmarkEnd w:id="108"/>
    </w:p>
    <w:p w14:paraId="7E10A8C9">
      <w:pPr>
        <w:snapToGrid/>
        <w:spacing w:beforeAutospacing="0" w:afterAutospacing="0" w:line="360" w:lineRule="auto"/>
        <w:ind w:left="0" w:leftChars="0" w:firstLine="576" w:firstLineChars="200"/>
        <w:rPr>
          <w:rFonts w:hint="eastAsia" w:ascii="Times New Roman" w:hAnsi="仿宋" w:eastAsia="宋体" w:cs="仿宋"/>
          <w:spacing w:val="-3"/>
          <w:sz w:val="28"/>
          <w:szCs w:val="32"/>
        </w:rPr>
      </w:pPr>
      <w:r>
        <w:rPr>
          <w:rFonts w:hint="eastAsia" w:ascii="Times New Roman" w:hAnsi="仿宋" w:eastAsia="宋体" w:cs="仿宋"/>
          <w:spacing w:val="4"/>
          <w:sz w:val="28"/>
          <w:szCs w:val="32"/>
        </w:rPr>
        <w:t>过程设置预算执行和预算管理两个二级指标。其中，预算执行从预算完成率、预算调整率、结转结余率、公用经费控制率、“三公”经费控制率和政府采购执行率等六方面进行评价；预算管理指标从管理制度健全性、资金使用合规性、预决算信息公开性和资产管理完整性等四方面进行评价。</w:t>
      </w:r>
    </w:p>
    <w:p w14:paraId="75715B37">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spacing w:val="4"/>
          <w:sz w:val="28"/>
          <w:szCs w:val="32"/>
        </w:rPr>
      </w:pPr>
      <w:bookmarkStart w:id="110" w:name="_Toc4544"/>
      <w:bookmarkStart w:id="111" w:name="_Toc26235"/>
      <w:bookmarkStart w:id="112" w:name="_Toc20771"/>
      <w:r>
        <w:rPr>
          <w:rFonts w:hint="eastAsia" w:ascii="Times New Roman" w:hAnsi="仿宋" w:eastAsia="宋体" w:cs="仿宋"/>
          <w:b/>
          <w:spacing w:val="4"/>
          <w:sz w:val="28"/>
          <w:szCs w:val="32"/>
        </w:rPr>
        <w:t>1.预算完成率</w:t>
      </w:r>
      <w:r>
        <w:rPr>
          <w:rFonts w:hint="eastAsia" w:ascii="Times New Roman" w:hAnsi="仿宋" w:cs="仿宋"/>
          <w:b/>
          <w:spacing w:val="4"/>
          <w:sz w:val="28"/>
          <w:szCs w:val="32"/>
          <w:lang w:val="en-US" w:eastAsia="zh-CN"/>
        </w:rPr>
        <w:t xml:space="preserve"> </w:t>
      </w:r>
      <w:r>
        <w:rPr>
          <w:rFonts w:hint="eastAsia" w:ascii="Times New Roman" w:hAnsi="仿宋" w:eastAsia="宋体" w:cs="仿宋"/>
          <w:b/>
          <w:spacing w:val="4"/>
          <w:sz w:val="28"/>
          <w:szCs w:val="32"/>
        </w:rPr>
        <w:t>(分值2分)</w:t>
      </w:r>
      <w:bookmarkEnd w:id="110"/>
      <w:bookmarkEnd w:id="111"/>
      <w:bookmarkEnd w:id="112"/>
    </w:p>
    <w:p w14:paraId="37EF63BE">
      <w:pPr>
        <w:snapToGrid/>
        <w:spacing w:beforeAutospacing="0" w:afterAutospacing="0" w:line="360" w:lineRule="auto"/>
        <w:ind w:left="0" w:leftChars="0" w:firstLine="576" w:firstLineChars="200"/>
        <w:rPr>
          <w:rFonts w:hint="eastAsia" w:ascii="Times New Roman" w:hAnsi="仿宋" w:eastAsia="宋体" w:cs="仿宋"/>
          <w:spacing w:val="4"/>
          <w:sz w:val="28"/>
          <w:szCs w:val="32"/>
        </w:rPr>
      </w:pPr>
      <w:r>
        <w:rPr>
          <w:rFonts w:hint="eastAsia" w:ascii="Times New Roman" w:hAnsi="仿宋" w:eastAsia="宋体" w:cs="仿宋"/>
          <w:spacing w:val="4"/>
          <w:sz w:val="28"/>
          <w:szCs w:val="32"/>
        </w:rPr>
        <w:t>预算完成率=（预算完成数/预算数）×100%。评分标准为“完成率大于或等于95%的，得满分；完成率小于或等于85%的，得0分；完成率在85%-95%之间的，得分=（某部门预算完成率-85%）/10%×该指标分值”。</w:t>
      </w:r>
    </w:p>
    <w:p w14:paraId="27B0BED2">
      <w:pPr>
        <w:snapToGrid/>
        <w:spacing w:beforeAutospacing="0" w:afterAutospacing="0" w:line="360" w:lineRule="auto"/>
        <w:ind w:left="0" w:leftChars="0" w:firstLine="576" w:firstLineChars="200"/>
        <w:rPr>
          <w:rFonts w:hint="eastAsia" w:ascii="Times New Roman" w:hAnsi="仿宋" w:eastAsia="宋体" w:cs="仿宋"/>
          <w:spacing w:val="4"/>
          <w:sz w:val="28"/>
          <w:szCs w:val="32"/>
        </w:rPr>
      </w:pPr>
      <w:r>
        <w:rPr>
          <w:rFonts w:hint="eastAsia" w:ascii="Times New Roman" w:hAnsi="仿宋" w:eastAsia="宋体" w:cs="仿宋"/>
          <w:spacing w:val="4"/>
          <w:sz w:val="28"/>
          <w:szCs w:val="32"/>
          <w:lang w:val="en-US" w:eastAsia="zh-CN"/>
        </w:rPr>
        <w:t>2022年预算数40045.96万元，本年度实际支出38990.58万元，预算完成率=（38990.58</w:t>
      </w:r>
      <w:r>
        <w:rPr>
          <w:rFonts w:hint="eastAsia" w:ascii="Times New Roman" w:hAnsi="仿宋" w:eastAsia="宋体" w:cs="仿宋"/>
          <w:spacing w:val="4"/>
          <w:sz w:val="28"/>
          <w:szCs w:val="32"/>
        </w:rPr>
        <w:t>/</w:t>
      </w:r>
      <w:r>
        <w:rPr>
          <w:rFonts w:hint="eastAsia" w:ascii="Times New Roman" w:hAnsi="仿宋" w:eastAsia="宋体" w:cs="仿宋"/>
          <w:spacing w:val="4"/>
          <w:sz w:val="28"/>
          <w:szCs w:val="32"/>
          <w:lang w:val="en-US" w:eastAsia="zh-CN"/>
        </w:rPr>
        <w:t>40045.96）=97%。根据</w:t>
      </w:r>
      <w:r>
        <w:rPr>
          <w:rFonts w:hint="eastAsia" w:ascii="Times New Roman" w:hAnsi="仿宋" w:eastAsia="宋体" w:cs="仿宋"/>
          <w:spacing w:val="4"/>
          <w:sz w:val="28"/>
          <w:szCs w:val="32"/>
        </w:rPr>
        <w:t>评分标准“完成率大于或等于95%</w:t>
      </w:r>
      <w:r>
        <w:rPr>
          <w:rFonts w:hint="eastAsia" w:ascii="Times New Roman" w:hAnsi="仿宋" w:eastAsia="宋体" w:cs="仿宋"/>
          <w:spacing w:val="4"/>
          <w:sz w:val="28"/>
          <w:szCs w:val="32"/>
          <w:lang w:eastAsia="zh-CN"/>
        </w:rPr>
        <w:t>，</w:t>
      </w:r>
      <w:r>
        <w:rPr>
          <w:rFonts w:hint="eastAsia" w:ascii="Times New Roman" w:hAnsi="仿宋" w:eastAsia="宋体" w:cs="仿宋"/>
          <w:spacing w:val="4"/>
          <w:sz w:val="28"/>
          <w:szCs w:val="32"/>
        </w:rPr>
        <w:t>得满分。本项得分2分。</w:t>
      </w:r>
    </w:p>
    <w:p w14:paraId="0876AAAB">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spacing w:val="4"/>
          <w:sz w:val="28"/>
          <w:szCs w:val="32"/>
        </w:rPr>
      </w:pPr>
      <w:bookmarkStart w:id="113" w:name="_Toc20208"/>
      <w:bookmarkStart w:id="114" w:name="_Toc25177"/>
      <w:bookmarkStart w:id="115" w:name="_Toc22833"/>
      <w:r>
        <w:rPr>
          <w:rFonts w:hint="eastAsia" w:ascii="Times New Roman" w:hAnsi="仿宋" w:eastAsia="宋体" w:cs="仿宋"/>
          <w:b/>
          <w:spacing w:val="4"/>
          <w:sz w:val="28"/>
          <w:szCs w:val="32"/>
        </w:rPr>
        <w:t>2.预算调整率</w:t>
      </w:r>
      <w:r>
        <w:rPr>
          <w:rFonts w:hint="eastAsia" w:ascii="Times New Roman" w:hAnsi="仿宋" w:cs="仿宋"/>
          <w:b/>
          <w:spacing w:val="4"/>
          <w:sz w:val="28"/>
          <w:szCs w:val="32"/>
          <w:lang w:val="en-US" w:eastAsia="zh-CN"/>
        </w:rPr>
        <w:t xml:space="preserve"> </w:t>
      </w:r>
      <w:r>
        <w:rPr>
          <w:rFonts w:hint="eastAsia" w:ascii="Times New Roman" w:hAnsi="仿宋" w:eastAsia="宋体" w:cs="仿宋"/>
          <w:b/>
          <w:spacing w:val="4"/>
          <w:sz w:val="28"/>
          <w:szCs w:val="32"/>
        </w:rPr>
        <w:t>(分值2分)</w:t>
      </w:r>
      <w:bookmarkEnd w:id="113"/>
      <w:bookmarkEnd w:id="114"/>
      <w:bookmarkEnd w:id="115"/>
    </w:p>
    <w:p w14:paraId="617076C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0" w:firstLineChars="200"/>
        <w:textAlignment w:val="auto"/>
        <w:rPr>
          <w:rFonts w:hint="eastAsia" w:ascii="Times New Roman" w:hAnsi="仿宋" w:eastAsia="宋体" w:cs="仿宋"/>
          <w:sz w:val="28"/>
          <w:szCs w:val="32"/>
        </w:rPr>
      </w:pPr>
      <w:r>
        <w:rPr>
          <w:rFonts w:hint="eastAsia" w:ascii="Times New Roman" w:hAnsi="仿宋" w:eastAsia="宋体" w:cs="仿宋"/>
          <w:sz w:val="28"/>
          <w:szCs w:val="32"/>
        </w:rPr>
        <w:t>预算调整率=(预算调整数/预算数)×100%。评分标准为“调整率等于0的，得满分；调整率大于或等于10%的，得0分；调整率在0-10%之间的，得分=（10%-某部门预算调整率）/10%×该指标分值”。</w:t>
      </w:r>
    </w:p>
    <w:p w14:paraId="716A0DFC">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76" w:firstLineChars="200"/>
        <w:textAlignment w:val="auto"/>
        <w:rPr>
          <w:rFonts w:hint="eastAsia" w:ascii="Times New Roman" w:hAnsi="仿宋" w:eastAsia="宋体" w:cs="仿宋"/>
          <w:spacing w:val="4"/>
          <w:sz w:val="28"/>
          <w:szCs w:val="32"/>
          <w:lang w:val="en-US" w:eastAsia="zh-CN"/>
        </w:rPr>
      </w:pPr>
      <w:r>
        <w:rPr>
          <w:rFonts w:hint="eastAsia" w:ascii="Times New Roman" w:hAnsi="仿宋" w:eastAsia="宋体" w:cs="仿宋"/>
          <w:spacing w:val="4"/>
          <w:sz w:val="28"/>
          <w:szCs w:val="32"/>
        </w:rPr>
        <w:t>根据2022年</w:t>
      </w:r>
      <w:r>
        <w:rPr>
          <w:rFonts w:hint="eastAsia" w:ascii="Times New Roman" w:hAnsi="仿宋" w:eastAsia="宋体" w:cs="仿宋"/>
          <w:spacing w:val="4"/>
          <w:sz w:val="28"/>
          <w:szCs w:val="32"/>
          <w:lang w:val="en-US" w:eastAsia="zh-CN"/>
        </w:rPr>
        <w:t>石狮农业农村局</w:t>
      </w:r>
      <w:r>
        <w:rPr>
          <w:rFonts w:hint="eastAsia" w:ascii="Times New Roman" w:hAnsi="仿宋" w:eastAsia="宋体" w:cs="仿宋"/>
          <w:spacing w:val="4"/>
          <w:sz w:val="28"/>
          <w:szCs w:val="32"/>
        </w:rPr>
        <w:t>数据，</w:t>
      </w:r>
      <w:r>
        <w:rPr>
          <w:rFonts w:hint="eastAsia" w:ascii="Times New Roman" w:hAnsi="仿宋" w:eastAsia="宋体" w:cs="仿宋"/>
          <w:spacing w:val="4"/>
          <w:sz w:val="28"/>
          <w:szCs w:val="32"/>
          <w:lang w:val="en-US" w:eastAsia="zh-CN"/>
        </w:rPr>
        <w:t>3644.59万元，预算调整数401.37万元，</w:t>
      </w:r>
      <w:r>
        <w:rPr>
          <w:rFonts w:hint="eastAsia" w:ascii="Times New Roman" w:hAnsi="仿宋" w:eastAsia="宋体" w:cs="仿宋"/>
          <w:spacing w:val="4"/>
          <w:sz w:val="28"/>
          <w:szCs w:val="32"/>
        </w:rPr>
        <w:t>预算调整率=（预算调整数/预算数）×100%=</w:t>
      </w:r>
      <w:r>
        <w:rPr>
          <w:rFonts w:hint="eastAsia" w:ascii="Times New Roman" w:hAnsi="仿宋" w:eastAsia="宋体" w:cs="仿宋"/>
          <w:spacing w:val="4"/>
          <w:sz w:val="28"/>
          <w:szCs w:val="32"/>
          <w:lang w:val="en-US" w:eastAsia="zh-CN"/>
        </w:rPr>
        <w:t>401.37/3644.59）=11%，</w:t>
      </w:r>
      <w:r>
        <w:rPr>
          <w:rFonts w:hint="eastAsia" w:ascii="Times New Roman" w:hAnsi="仿宋" w:eastAsia="宋体" w:cs="仿宋"/>
          <w:spacing w:val="4"/>
          <w:sz w:val="28"/>
          <w:szCs w:val="32"/>
        </w:rPr>
        <w:t>根据评分标准，此项扣2分</w:t>
      </w:r>
      <w:r>
        <w:rPr>
          <w:rFonts w:hint="eastAsia" w:ascii="Times New Roman" w:hAnsi="仿宋" w:eastAsia="宋体" w:cs="仿宋"/>
          <w:spacing w:val="4"/>
          <w:sz w:val="28"/>
          <w:szCs w:val="32"/>
          <w:lang w:eastAsia="zh-CN"/>
        </w:rPr>
        <w:t>，</w:t>
      </w:r>
      <w:r>
        <w:rPr>
          <w:rFonts w:hint="eastAsia" w:ascii="Times New Roman" w:hAnsi="仿宋" w:eastAsia="宋体" w:cs="仿宋"/>
          <w:spacing w:val="4"/>
          <w:sz w:val="28"/>
          <w:szCs w:val="32"/>
          <w:lang w:val="en-US" w:eastAsia="zh-CN"/>
        </w:rPr>
        <w:t>得</w:t>
      </w:r>
      <w:r>
        <w:rPr>
          <w:rFonts w:hint="eastAsia" w:ascii="Times New Roman" w:hAnsi="仿宋" w:cs="仿宋"/>
          <w:spacing w:val="4"/>
          <w:sz w:val="28"/>
          <w:szCs w:val="32"/>
          <w:lang w:val="en-US" w:eastAsia="zh-CN"/>
        </w:rPr>
        <w:t>0</w:t>
      </w:r>
      <w:r>
        <w:rPr>
          <w:rFonts w:hint="eastAsia" w:ascii="Times New Roman" w:hAnsi="仿宋" w:eastAsia="宋体" w:cs="仿宋"/>
          <w:spacing w:val="4"/>
          <w:sz w:val="28"/>
          <w:szCs w:val="32"/>
          <w:lang w:val="en-US" w:eastAsia="zh-CN"/>
        </w:rPr>
        <w:t>分</w:t>
      </w:r>
      <w:r>
        <w:rPr>
          <w:rFonts w:hint="eastAsia" w:ascii="Times New Roman" w:hAnsi="仿宋" w:eastAsia="宋体" w:cs="仿宋"/>
          <w:spacing w:val="4"/>
          <w:sz w:val="28"/>
          <w:szCs w:val="32"/>
          <w:lang w:eastAsia="zh-CN"/>
        </w:rPr>
        <w:t>。</w:t>
      </w:r>
    </w:p>
    <w:p w14:paraId="5CB02B0A">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spacing w:val="4"/>
          <w:sz w:val="28"/>
          <w:szCs w:val="32"/>
        </w:rPr>
      </w:pPr>
      <w:bookmarkStart w:id="116" w:name="_Toc24254"/>
      <w:bookmarkStart w:id="117" w:name="_Toc259"/>
      <w:bookmarkStart w:id="118" w:name="_Toc10264"/>
      <w:r>
        <w:rPr>
          <w:rFonts w:hint="eastAsia" w:ascii="Times New Roman" w:hAnsi="仿宋" w:eastAsia="宋体" w:cs="仿宋"/>
          <w:b/>
          <w:spacing w:val="4"/>
          <w:sz w:val="28"/>
          <w:szCs w:val="32"/>
        </w:rPr>
        <w:t>3.结转结余率</w:t>
      </w:r>
      <w:r>
        <w:rPr>
          <w:rFonts w:hint="eastAsia" w:ascii="Times New Roman" w:hAnsi="仿宋" w:cs="仿宋"/>
          <w:b/>
          <w:spacing w:val="4"/>
          <w:sz w:val="28"/>
          <w:szCs w:val="32"/>
          <w:lang w:val="en-US" w:eastAsia="zh-CN"/>
        </w:rPr>
        <w:t xml:space="preserve"> </w:t>
      </w:r>
      <w:r>
        <w:rPr>
          <w:rFonts w:hint="eastAsia" w:ascii="Times New Roman" w:hAnsi="仿宋" w:eastAsia="宋体" w:cs="仿宋"/>
          <w:b/>
          <w:spacing w:val="4"/>
          <w:sz w:val="28"/>
          <w:szCs w:val="32"/>
        </w:rPr>
        <w:t>(分值2分)</w:t>
      </w:r>
      <w:bookmarkEnd w:id="116"/>
      <w:bookmarkEnd w:id="117"/>
      <w:bookmarkEnd w:id="118"/>
    </w:p>
    <w:p w14:paraId="154108BE">
      <w:pPr>
        <w:snapToGrid/>
        <w:spacing w:beforeAutospacing="0" w:afterAutospacing="0" w:line="360" w:lineRule="auto"/>
        <w:ind w:left="0" w:leftChars="0" w:firstLine="576" w:firstLineChars="200"/>
        <w:rPr>
          <w:rFonts w:hint="eastAsia" w:ascii="Times New Roman" w:hAnsi="仿宋" w:eastAsia="宋体" w:cs="仿宋"/>
          <w:spacing w:val="4"/>
          <w:sz w:val="28"/>
          <w:szCs w:val="32"/>
        </w:rPr>
      </w:pPr>
      <w:r>
        <w:rPr>
          <w:rFonts w:hint="eastAsia" w:ascii="Times New Roman" w:hAnsi="仿宋" w:eastAsia="宋体" w:cs="仿宋"/>
          <w:spacing w:val="4"/>
          <w:sz w:val="28"/>
          <w:szCs w:val="32"/>
        </w:rPr>
        <w:t>结转结余率指标用于衡量部门(单位)本年度结转结余总额(含留在二级单位账上的资金)与支出预算数的比率，反映和评价部门(单位)对本年度结转结余资金的实际控制程度。评价标准为“结转结余率等于0的，得满分；结转结余率大于或等于50%的，得0分；结转结余率在0-50%之间的，得分=（50%-某部门结转结余率）/50%×该指标分值。”</w:t>
      </w:r>
    </w:p>
    <w:p w14:paraId="3B38AC59">
      <w:pPr>
        <w:snapToGrid/>
        <w:spacing w:beforeAutospacing="0" w:afterAutospacing="0" w:line="360" w:lineRule="auto"/>
        <w:ind w:left="0" w:leftChars="0" w:firstLine="576" w:firstLineChars="200"/>
        <w:rPr>
          <w:rFonts w:hint="eastAsia" w:ascii="Times New Roman" w:hAnsi="仿宋" w:eastAsia="宋体" w:cs="仿宋"/>
          <w:spacing w:val="4"/>
          <w:sz w:val="28"/>
          <w:szCs w:val="32"/>
        </w:rPr>
      </w:pPr>
      <w:r>
        <w:rPr>
          <w:rFonts w:hint="eastAsia" w:ascii="Times New Roman" w:hAnsi="仿宋" w:eastAsia="宋体" w:cs="仿宋"/>
          <w:spacing w:val="4"/>
          <w:sz w:val="28"/>
          <w:szCs w:val="32"/>
        </w:rPr>
        <w:t>根据石狮市农业农村局2022年数据，年末财政拨款结转和结余</w:t>
      </w:r>
      <w:r>
        <w:rPr>
          <w:rFonts w:hint="eastAsia" w:ascii="Times New Roman" w:hAnsi="仿宋" w:eastAsia="宋体" w:cs="仿宋"/>
          <w:spacing w:val="4"/>
          <w:sz w:val="28"/>
          <w:szCs w:val="32"/>
          <w:lang w:val="en-US" w:eastAsia="zh-CN"/>
        </w:rPr>
        <w:t>1055.38</w:t>
      </w:r>
      <w:r>
        <w:rPr>
          <w:rFonts w:hint="eastAsia" w:ascii="Times New Roman" w:hAnsi="仿宋" w:eastAsia="宋体" w:cs="仿宋"/>
          <w:spacing w:val="4"/>
          <w:sz w:val="28"/>
          <w:szCs w:val="32"/>
        </w:rPr>
        <w:t>，支出预算数</w:t>
      </w:r>
      <w:r>
        <w:rPr>
          <w:rFonts w:hint="eastAsia" w:ascii="Times New Roman" w:hAnsi="仿宋" w:eastAsia="宋体" w:cs="仿宋"/>
          <w:spacing w:val="4"/>
          <w:sz w:val="28"/>
          <w:szCs w:val="32"/>
          <w:lang w:val="en-US" w:eastAsia="zh-CN"/>
        </w:rPr>
        <w:t>38990.58</w:t>
      </w:r>
      <w:r>
        <w:rPr>
          <w:rFonts w:hint="eastAsia" w:ascii="Times New Roman" w:hAnsi="仿宋" w:eastAsia="宋体" w:cs="仿宋"/>
          <w:spacing w:val="4"/>
          <w:sz w:val="28"/>
          <w:szCs w:val="32"/>
        </w:rPr>
        <w:t>万元，结转结余率=(</w:t>
      </w:r>
      <w:r>
        <w:rPr>
          <w:rFonts w:hint="eastAsia" w:ascii="Times New Roman" w:hAnsi="仿宋" w:eastAsia="宋体" w:cs="仿宋"/>
          <w:spacing w:val="4"/>
          <w:sz w:val="28"/>
          <w:szCs w:val="32"/>
          <w:lang w:val="en-US" w:eastAsia="zh-CN"/>
        </w:rPr>
        <w:t>1055.38</w:t>
      </w:r>
      <w:r>
        <w:rPr>
          <w:rFonts w:hint="eastAsia" w:ascii="Times New Roman" w:hAnsi="仿宋" w:eastAsia="宋体" w:cs="仿宋"/>
          <w:spacing w:val="4"/>
          <w:sz w:val="28"/>
          <w:szCs w:val="32"/>
        </w:rPr>
        <w:t>/</w:t>
      </w:r>
      <w:r>
        <w:rPr>
          <w:rFonts w:hint="eastAsia" w:ascii="Times New Roman" w:hAnsi="仿宋" w:eastAsia="宋体" w:cs="仿宋"/>
          <w:spacing w:val="4"/>
          <w:sz w:val="28"/>
          <w:szCs w:val="32"/>
          <w:lang w:val="en-US" w:eastAsia="zh-CN"/>
        </w:rPr>
        <w:t>38990.58</w:t>
      </w:r>
      <w:r>
        <w:rPr>
          <w:rFonts w:hint="eastAsia" w:ascii="Times New Roman" w:hAnsi="仿宋" w:eastAsia="宋体" w:cs="仿宋"/>
          <w:spacing w:val="4"/>
          <w:sz w:val="28"/>
          <w:szCs w:val="32"/>
        </w:rPr>
        <w:t>)×100%=</w:t>
      </w:r>
      <w:r>
        <w:rPr>
          <w:rFonts w:hint="eastAsia" w:ascii="Times New Roman" w:hAnsi="仿宋" w:eastAsia="宋体" w:cs="仿宋"/>
          <w:spacing w:val="4"/>
          <w:sz w:val="28"/>
          <w:szCs w:val="32"/>
          <w:lang w:val="en-US" w:eastAsia="zh-CN"/>
        </w:rPr>
        <w:t>2.7</w:t>
      </w:r>
      <w:r>
        <w:rPr>
          <w:rFonts w:hint="eastAsia" w:ascii="Times New Roman" w:hAnsi="仿宋" w:eastAsia="宋体" w:cs="仿宋"/>
          <w:spacing w:val="4"/>
          <w:sz w:val="28"/>
          <w:szCs w:val="32"/>
        </w:rPr>
        <w:t>%。得分=（50%-</w:t>
      </w:r>
      <w:r>
        <w:rPr>
          <w:rFonts w:hint="eastAsia" w:ascii="Times New Roman" w:hAnsi="仿宋" w:eastAsia="宋体" w:cs="仿宋"/>
          <w:spacing w:val="4"/>
          <w:sz w:val="28"/>
          <w:szCs w:val="32"/>
          <w:lang w:val="en-US" w:eastAsia="zh-CN"/>
        </w:rPr>
        <w:t>2.7</w:t>
      </w:r>
      <w:r>
        <w:rPr>
          <w:rFonts w:hint="eastAsia" w:ascii="Times New Roman" w:hAnsi="仿宋" w:eastAsia="宋体" w:cs="仿宋"/>
          <w:spacing w:val="4"/>
          <w:sz w:val="28"/>
          <w:szCs w:val="32"/>
        </w:rPr>
        <w:t>%）/50%×2=1.89。本项</w:t>
      </w:r>
      <w:r>
        <w:rPr>
          <w:rFonts w:hint="eastAsia" w:ascii="Times New Roman" w:hAnsi="仿宋" w:eastAsia="宋体" w:cs="仿宋"/>
          <w:spacing w:val="4"/>
          <w:sz w:val="28"/>
          <w:szCs w:val="32"/>
          <w:lang w:val="en-US" w:eastAsia="zh-CN"/>
        </w:rPr>
        <w:t>扣0.11分</w:t>
      </w:r>
      <w:r>
        <w:rPr>
          <w:rFonts w:hint="eastAsia" w:ascii="Times New Roman" w:hAnsi="仿宋" w:cs="仿宋"/>
          <w:spacing w:val="4"/>
          <w:sz w:val="28"/>
          <w:szCs w:val="32"/>
          <w:lang w:val="en-US" w:eastAsia="zh-CN"/>
        </w:rPr>
        <w:t>，</w:t>
      </w:r>
      <w:r>
        <w:rPr>
          <w:rFonts w:hint="eastAsia" w:ascii="Times New Roman" w:hAnsi="仿宋" w:eastAsia="宋体" w:cs="仿宋"/>
          <w:spacing w:val="4"/>
          <w:sz w:val="28"/>
          <w:szCs w:val="32"/>
        </w:rPr>
        <w:t>得分1.89分。</w:t>
      </w:r>
    </w:p>
    <w:p w14:paraId="02997C48">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spacing w:val="4"/>
          <w:sz w:val="28"/>
          <w:szCs w:val="32"/>
        </w:rPr>
      </w:pPr>
      <w:bookmarkStart w:id="119" w:name="_Toc3943"/>
      <w:bookmarkStart w:id="120" w:name="_Toc31461"/>
      <w:bookmarkStart w:id="121" w:name="_Toc18984"/>
      <w:r>
        <w:rPr>
          <w:rFonts w:hint="eastAsia" w:ascii="Times New Roman" w:hAnsi="仿宋" w:eastAsia="宋体" w:cs="仿宋"/>
          <w:b/>
          <w:spacing w:val="4"/>
          <w:sz w:val="28"/>
          <w:szCs w:val="32"/>
        </w:rPr>
        <w:t>4.公用经费控制率</w:t>
      </w:r>
      <w:r>
        <w:rPr>
          <w:rFonts w:hint="eastAsia" w:ascii="Times New Roman" w:hAnsi="仿宋" w:cs="仿宋"/>
          <w:b/>
          <w:spacing w:val="4"/>
          <w:sz w:val="28"/>
          <w:szCs w:val="32"/>
          <w:lang w:val="en-US" w:eastAsia="zh-CN"/>
        </w:rPr>
        <w:t xml:space="preserve"> </w:t>
      </w:r>
      <w:r>
        <w:rPr>
          <w:rFonts w:hint="eastAsia" w:ascii="Times New Roman" w:hAnsi="仿宋" w:eastAsia="宋体" w:cs="仿宋"/>
          <w:b/>
          <w:spacing w:val="4"/>
          <w:sz w:val="28"/>
          <w:szCs w:val="32"/>
        </w:rPr>
        <w:t>(分值2分)</w:t>
      </w:r>
      <w:bookmarkEnd w:id="119"/>
      <w:bookmarkEnd w:id="120"/>
      <w:bookmarkEnd w:id="121"/>
    </w:p>
    <w:p w14:paraId="5275D930">
      <w:pPr>
        <w:snapToGrid/>
        <w:spacing w:beforeAutospacing="0" w:afterAutospacing="0" w:line="360" w:lineRule="auto"/>
        <w:ind w:left="0" w:leftChars="0" w:firstLine="576" w:firstLineChars="200"/>
        <w:rPr>
          <w:rFonts w:hint="eastAsia" w:ascii="Times New Roman" w:hAnsi="仿宋" w:eastAsia="宋体" w:cs="仿宋"/>
          <w:spacing w:val="4"/>
          <w:sz w:val="28"/>
          <w:szCs w:val="32"/>
        </w:rPr>
      </w:pPr>
      <w:r>
        <w:rPr>
          <w:rFonts w:hint="eastAsia" w:ascii="Times New Roman" w:hAnsi="仿宋" w:eastAsia="宋体" w:cs="仿宋"/>
          <w:spacing w:val="4"/>
          <w:sz w:val="28"/>
          <w:szCs w:val="32"/>
        </w:rPr>
        <w:t>公用经费控制率指部门(单位)本年度实际支出的公用经费总额与预算安排的公用经费总额的比率，反映和评价部门(单位)对机构运转成本的实际控制程度。评分标准为“公用经费控制率≤100%(2分)；公用经费控制率&gt;100%且≤120%(1分)；公用经费控制率&gt;120%且≤150%(0.5分)；公用经费控制率&gt;150%(0分)”。</w:t>
      </w:r>
    </w:p>
    <w:p w14:paraId="5AC104DB">
      <w:pPr>
        <w:snapToGrid/>
        <w:spacing w:beforeAutospacing="0" w:afterAutospacing="0" w:line="360" w:lineRule="auto"/>
        <w:ind w:left="0" w:leftChars="0" w:firstLine="576" w:firstLineChars="200"/>
        <w:rPr>
          <w:rFonts w:hint="eastAsia" w:ascii="Times New Roman" w:hAnsi="仿宋" w:eastAsia="宋体" w:cs="仿宋"/>
          <w:spacing w:val="-3"/>
          <w:sz w:val="28"/>
          <w:szCs w:val="32"/>
        </w:rPr>
      </w:pPr>
      <w:r>
        <w:rPr>
          <w:rFonts w:hint="eastAsia" w:ascii="Times New Roman" w:hAnsi="仿宋" w:eastAsia="宋体" w:cs="仿宋"/>
          <w:spacing w:val="4"/>
          <w:sz w:val="28"/>
          <w:szCs w:val="32"/>
        </w:rPr>
        <w:t>根据石狮市农业农村局2022年预算安排公用经费总额</w:t>
      </w:r>
      <w:r>
        <w:rPr>
          <w:rFonts w:hint="eastAsia" w:ascii="Times New Roman" w:hAnsi="仿宋" w:eastAsia="宋体" w:cs="仿宋"/>
          <w:spacing w:val="4"/>
          <w:sz w:val="28"/>
          <w:szCs w:val="32"/>
          <w:lang w:val="en-US" w:eastAsia="zh-CN"/>
        </w:rPr>
        <w:t>157.55</w:t>
      </w:r>
      <w:r>
        <w:rPr>
          <w:rFonts w:hint="eastAsia" w:ascii="Times New Roman" w:hAnsi="仿宋" w:eastAsia="宋体" w:cs="仿宋"/>
          <w:spacing w:val="4"/>
          <w:sz w:val="28"/>
          <w:szCs w:val="32"/>
        </w:rPr>
        <w:t>万元，实际支出公用经费总额</w:t>
      </w:r>
      <w:r>
        <w:rPr>
          <w:rFonts w:hint="eastAsia" w:ascii="Times New Roman" w:hAnsi="仿宋" w:eastAsia="宋体" w:cs="仿宋"/>
          <w:spacing w:val="4"/>
          <w:sz w:val="28"/>
          <w:szCs w:val="32"/>
          <w:lang w:val="en-US" w:eastAsia="zh-CN"/>
        </w:rPr>
        <w:t>157.07</w:t>
      </w:r>
      <w:r>
        <w:rPr>
          <w:rFonts w:hint="eastAsia" w:ascii="Times New Roman" w:hAnsi="仿宋" w:eastAsia="宋体" w:cs="仿宋"/>
          <w:spacing w:val="4"/>
          <w:sz w:val="28"/>
          <w:szCs w:val="32"/>
        </w:rPr>
        <w:t>万元，公用经费控制率=(实际支出公用经费总额/预算安排公用经费总额)×100%=</w:t>
      </w:r>
      <w:r>
        <w:rPr>
          <w:rFonts w:hint="eastAsia" w:ascii="Times New Roman" w:hAnsi="仿宋" w:eastAsia="宋体" w:cs="仿宋"/>
          <w:spacing w:val="4"/>
          <w:sz w:val="28"/>
          <w:szCs w:val="32"/>
          <w:lang w:val="en-US" w:eastAsia="zh-CN"/>
        </w:rPr>
        <w:t>157.07</w:t>
      </w:r>
      <w:r>
        <w:rPr>
          <w:rFonts w:hint="eastAsia" w:ascii="Times New Roman" w:hAnsi="仿宋" w:eastAsia="宋体" w:cs="仿宋"/>
          <w:spacing w:val="4"/>
          <w:sz w:val="28"/>
          <w:szCs w:val="32"/>
        </w:rPr>
        <w:t>/</w:t>
      </w:r>
      <w:r>
        <w:rPr>
          <w:rFonts w:hint="eastAsia" w:ascii="Times New Roman" w:hAnsi="仿宋" w:eastAsia="宋体" w:cs="仿宋"/>
          <w:spacing w:val="4"/>
          <w:sz w:val="28"/>
          <w:szCs w:val="32"/>
          <w:lang w:val="en-US" w:eastAsia="zh-CN"/>
        </w:rPr>
        <w:t>157.55</w:t>
      </w:r>
      <w:r>
        <w:rPr>
          <w:rFonts w:hint="eastAsia" w:ascii="Times New Roman" w:hAnsi="仿宋" w:eastAsia="宋体" w:cs="仿宋"/>
          <w:spacing w:val="4"/>
          <w:sz w:val="28"/>
          <w:szCs w:val="32"/>
        </w:rPr>
        <w:t>×100%=</w:t>
      </w:r>
      <w:r>
        <w:rPr>
          <w:rFonts w:hint="eastAsia" w:ascii="Times New Roman" w:hAnsi="仿宋" w:eastAsia="宋体" w:cs="仿宋"/>
          <w:spacing w:val="4"/>
          <w:sz w:val="28"/>
          <w:szCs w:val="32"/>
          <w:lang w:val="en-US" w:eastAsia="zh-CN"/>
        </w:rPr>
        <w:t>99.7</w:t>
      </w:r>
      <w:r>
        <w:rPr>
          <w:rFonts w:hint="eastAsia" w:ascii="Times New Roman" w:hAnsi="仿宋" w:eastAsia="宋体" w:cs="仿宋"/>
          <w:spacing w:val="4"/>
          <w:sz w:val="28"/>
          <w:szCs w:val="32"/>
        </w:rPr>
        <w:t>%。得分</w:t>
      </w:r>
      <w:r>
        <w:rPr>
          <w:rFonts w:hint="eastAsia" w:ascii="Times New Roman" w:hAnsi="仿宋" w:eastAsia="宋体" w:cs="仿宋"/>
          <w:spacing w:val="4"/>
          <w:sz w:val="28"/>
          <w:szCs w:val="32"/>
          <w:lang w:val="en-US" w:eastAsia="zh-CN"/>
        </w:rPr>
        <w:t>2</w:t>
      </w:r>
      <w:r>
        <w:rPr>
          <w:rFonts w:hint="eastAsia" w:ascii="Times New Roman" w:hAnsi="仿宋" w:eastAsia="宋体" w:cs="仿宋"/>
          <w:spacing w:val="4"/>
          <w:sz w:val="28"/>
          <w:szCs w:val="32"/>
        </w:rPr>
        <w:t>分。</w:t>
      </w:r>
    </w:p>
    <w:p w14:paraId="2478F7B0">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spacing w:val="4"/>
          <w:sz w:val="28"/>
          <w:szCs w:val="32"/>
        </w:rPr>
      </w:pPr>
      <w:bookmarkStart w:id="122" w:name="_Toc454"/>
      <w:bookmarkStart w:id="123" w:name="_Toc9387"/>
      <w:bookmarkStart w:id="124" w:name="_Toc9630"/>
      <w:r>
        <w:rPr>
          <w:rFonts w:hint="eastAsia" w:ascii="Times New Roman" w:hAnsi="仿宋" w:eastAsia="宋体" w:cs="仿宋"/>
          <w:b/>
          <w:spacing w:val="4"/>
          <w:sz w:val="28"/>
          <w:szCs w:val="32"/>
        </w:rPr>
        <w:t>5.</w:t>
      </w:r>
      <w:r>
        <w:rPr>
          <w:rFonts w:hint="eastAsia" w:ascii="Times New Roman" w:hAnsi="仿宋" w:cs="仿宋"/>
          <w:b/>
          <w:spacing w:val="4"/>
          <w:sz w:val="28"/>
          <w:szCs w:val="32"/>
          <w:lang w:eastAsia="zh-CN"/>
        </w:rPr>
        <w:t>“三公”经费</w:t>
      </w:r>
      <w:r>
        <w:rPr>
          <w:rFonts w:hint="eastAsia" w:ascii="Times New Roman" w:hAnsi="仿宋" w:eastAsia="宋体" w:cs="仿宋"/>
          <w:b/>
          <w:spacing w:val="4"/>
          <w:sz w:val="28"/>
          <w:szCs w:val="32"/>
        </w:rPr>
        <w:t>控制率</w:t>
      </w:r>
      <w:r>
        <w:rPr>
          <w:rFonts w:hint="eastAsia" w:ascii="Times New Roman" w:hAnsi="仿宋" w:cs="仿宋"/>
          <w:b/>
          <w:spacing w:val="4"/>
          <w:sz w:val="28"/>
          <w:szCs w:val="32"/>
          <w:lang w:val="en-US" w:eastAsia="zh-CN"/>
        </w:rPr>
        <w:t xml:space="preserve"> </w:t>
      </w:r>
      <w:r>
        <w:rPr>
          <w:rFonts w:hint="eastAsia" w:ascii="Times New Roman" w:hAnsi="仿宋" w:eastAsia="宋体" w:cs="仿宋"/>
          <w:b/>
          <w:spacing w:val="4"/>
          <w:sz w:val="28"/>
          <w:szCs w:val="32"/>
        </w:rPr>
        <w:t>(分值2分)</w:t>
      </w:r>
      <w:bookmarkEnd w:id="122"/>
      <w:bookmarkEnd w:id="123"/>
      <w:bookmarkEnd w:id="124"/>
    </w:p>
    <w:p w14:paraId="31774D30">
      <w:pPr>
        <w:snapToGrid/>
        <w:spacing w:beforeAutospacing="0" w:afterAutospacing="0" w:line="360" w:lineRule="auto"/>
        <w:ind w:left="0" w:leftChars="0" w:firstLine="576" w:firstLineChars="200"/>
        <w:rPr>
          <w:rFonts w:hint="eastAsia" w:ascii="Times New Roman" w:hAnsi="仿宋" w:eastAsia="宋体" w:cs="仿宋"/>
          <w:spacing w:val="4"/>
          <w:sz w:val="28"/>
          <w:szCs w:val="32"/>
          <w:highlight w:val="none"/>
        </w:rPr>
      </w:pPr>
      <w:r>
        <w:rPr>
          <w:rFonts w:hint="eastAsia" w:ascii="Times New Roman" w:hAnsi="仿宋" w:cs="仿宋"/>
          <w:spacing w:val="4"/>
          <w:sz w:val="28"/>
          <w:szCs w:val="32"/>
          <w:lang w:eastAsia="zh-CN"/>
        </w:rPr>
        <w:t>“三公”经费</w:t>
      </w:r>
      <w:r>
        <w:rPr>
          <w:rFonts w:hint="eastAsia" w:ascii="Times New Roman" w:hAnsi="仿宋" w:eastAsia="宋体" w:cs="仿宋"/>
          <w:spacing w:val="4"/>
          <w:sz w:val="28"/>
          <w:szCs w:val="32"/>
        </w:rPr>
        <w:t>控制率指部门(单位)本年度</w:t>
      </w:r>
      <w:r>
        <w:rPr>
          <w:rFonts w:hint="eastAsia" w:ascii="Times New Roman" w:hAnsi="仿宋" w:cs="仿宋"/>
          <w:spacing w:val="4"/>
          <w:sz w:val="28"/>
          <w:szCs w:val="32"/>
          <w:lang w:eastAsia="zh-CN"/>
        </w:rPr>
        <w:t>“三公”经费</w:t>
      </w:r>
      <w:r>
        <w:rPr>
          <w:rFonts w:hint="eastAsia" w:ascii="Times New Roman" w:hAnsi="仿宋" w:eastAsia="宋体" w:cs="仿宋"/>
          <w:spacing w:val="4"/>
          <w:sz w:val="28"/>
          <w:szCs w:val="32"/>
        </w:rPr>
        <w:t>实际支出数与预算</w:t>
      </w:r>
      <w:r>
        <w:rPr>
          <w:rFonts w:hint="eastAsia" w:ascii="Times New Roman" w:hAnsi="仿宋" w:eastAsia="宋体" w:cs="仿宋"/>
          <w:spacing w:val="4"/>
          <w:sz w:val="28"/>
          <w:szCs w:val="32"/>
          <w:highlight w:val="none"/>
        </w:rPr>
        <w:t>安排数的比率，用以反映和评价部门(单位)对</w:t>
      </w:r>
      <w:r>
        <w:rPr>
          <w:rFonts w:hint="eastAsia" w:ascii="Times New Roman" w:hAnsi="仿宋" w:cs="仿宋"/>
          <w:spacing w:val="4"/>
          <w:sz w:val="28"/>
          <w:szCs w:val="32"/>
          <w:highlight w:val="none"/>
          <w:lang w:eastAsia="zh-CN"/>
        </w:rPr>
        <w:t>“三公”经费</w:t>
      </w:r>
      <w:r>
        <w:rPr>
          <w:rFonts w:hint="eastAsia" w:ascii="Times New Roman" w:hAnsi="仿宋" w:eastAsia="宋体" w:cs="仿宋"/>
          <w:spacing w:val="4"/>
          <w:sz w:val="28"/>
          <w:szCs w:val="32"/>
          <w:highlight w:val="none"/>
        </w:rPr>
        <w:t>的实际控制程度。评分标准为</w:t>
      </w:r>
      <w:r>
        <w:rPr>
          <w:rFonts w:hint="eastAsia" w:ascii="Times New Roman" w:hAnsi="仿宋" w:cs="仿宋"/>
          <w:spacing w:val="4"/>
          <w:sz w:val="28"/>
          <w:szCs w:val="32"/>
          <w:highlight w:val="none"/>
          <w:lang w:eastAsia="zh-CN"/>
        </w:rPr>
        <w:t>“三公”经费</w:t>
      </w:r>
      <w:r>
        <w:rPr>
          <w:rFonts w:hint="eastAsia" w:ascii="Times New Roman" w:hAnsi="仿宋" w:eastAsia="宋体" w:cs="仿宋"/>
          <w:spacing w:val="4"/>
          <w:sz w:val="28"/>
          <w:szCs w:val="32"/>
          <w:highlight w:val="none"/>
        </w:rPr>
        <w:t>控制率≤100%(2分)；每超过一个百分点扣0.5分，扣完为止。</w:t>
      </w:r>
    </w:p>
    <w:p w14:paraId="66A74D03">
      <w:pPr>
        <w:snapToGrid/>
        <w:spacing w:beforeAutospacing="0" w:afterAutospacing="0" w:line="360" w:lineRule="auto"/>
        <w:ind w:left="0" w:leftChars="0" w:firstLine="576" w:firstLineChars="200"/>
        <w:rPr>
          <w:rFonts w:hint="eastAsia" w:ascii="Times New Roman" w:hAnsi="仿宋" w:eastAsia="宋体" w:cs="仿宋"/>
          <w:spacing w:val="-3"/>
          <w:sz w:val="28"/>
          <w:szCs w:val="32"/>
          <w:highlight w:val="none"/>
        </w:rPr>
      </w:pPr>
      <w:r>
        <w:rPr>
          <w:rFonts w:hint="eastAsia" w:ascii="Times New Roman" w:hAnsi="仿宋" w:eastAsia="宋体" w:cs="仿宋"/>
          <w:spacing w:val="4"/>
          <w:sz w:val="28"/>
          <w:szCs w:val="32"/>
          <w:highlight w:val="none"/>
        </w:rPr>
        <w:t>根据石狮市农业农村局2022年度</w:t>
      </w:r>
      <w:r>
        <w:rPr>
          <w:rFonts w:hint="eastAsia" w:ascii="Times New Roman" w:hAnsi="仿宋" w:cs="仿宋"/>
          <w:spacing w:val="4"/>
          <w:sz w:val="28"/>
          <w:szCs w:val="32"/>
          <w:highlight w:val="none"/>
          <w:lang w:eastAsia="zh-CN"/>
        </w:rPr>
        <w:t>“三公”经费</w:t>
      </w:r>
      <w:r>
        <w:rPr>
          <w:rFonts w:hint="eastAsia" w:ascii="Times New Roman" w:hAnsi="仿宋" w:eastAsia="宋体" w:cs="仿宋"/>
          <w:spacing w:val="4"/>
          <w:sz w:val="28"/>
          <w:szCs w:val="32"/>
          <w:highlight w:val="none"/>
        </w:rPr>
        <w:t>预算</w:t>
      </w:r>
      <w:r>
        <w:rPr>
          <w:rFonts w:hint="eastAsia" w:ascii="Times New Roman" w:hAnsi="仿宋" w:eastAsia="宋体" w:cs="仿宋"/>
          <w:spacing w:val="4"/>
          <w:sz w:val="28"/>
          <w:szCs w:val="32"/>
          <w:highlight w:val="none"/>
          <w:lang w:val="en-US" w:eastAsia="zh-CN"/>
        </w:rPr>
        <w:t>20.5</w:t>
      </w:r>
      <w:r>
        <w:rPr>
          <w:rFonts w:hint="eastAsia" w:ascii="Times New Roman" w:hAnsi="仿宋" w:eastAsia="宋体" w:cs="仿宋"/>
          <w:spacing w:val="4"/>
          <w:sz w:val="28"/>
          <w:szCs w:val="32"/>
          <w:highlight w:val="none"/>
        </w:rPr>
        <w:t>万元，实际支出</w:t>
      </w:r>
      <w:r>
        <w:rPr>
          <w:rFonts w:hint="eastAsia" w:ascii="Times New Roman" w:hAnsi="仿宋" w:eastAsia="宋体" w:cs="仿宋"/>
          <w:spacing w:val="4"/>
          <w:sz w:val="28"/>
          <w:szCs w:val="32"/>
          <w:highlight w:val="none"/>
          <w:lang w:val="en-US" w:eastAsia="zh-CN"/>
        </w:rPr>
        <w:t>21.5</w:t>
      </w:r>
      <w:r>
        <w:rPr>
          <w:rFonts w:hint="eastAsia" w:ascii="Times New Roman" w:hAnsi="仿宋" w:eastAsia="宋体" w:cs="仿宋"/>
          <w:spacing w:val="4"/>
          <w:sz w:val="28"/>
          <w:szCs w:val="32"/>
          <w:highlight w:val="none"/>
        </w:rPr>
        <w:t>万元。</w:t>
      </w:r>
      <w:r>
        <w:rPr>
          <w:rFonts w:hint="eastAsia" w:ascii="Times New Roman" w:hAnsi="仿宋" w:cs="仿宋"/>
          <w:spacing w:val="4"/>
          <w:sz w:val="28"/>
          <w:szCs w:val="32"/>
          <w:highlight w:val="none"/>
          <w:lang w:eastAsia="zh-CN"/>
        </w:rPr>
        <w:t>“三公”经费</w:t>
      </w:r>
      <w:r>
        <w:rPr>
          <w:rFonts w:hint="eastAsia" w:ascii="Times New Roman" w:hAnsi="仿宋" w:eastAsia="宋体" w:cs="仿宋"/>
          <w:spacing w:val="4"/>
          <w:sz w:val="28"/>
          <w:szCs w:val="32"/>
          <w:highlight w:val="none"/>
        </w:rPr>
        <w:t>控制率=</w:t>
      </w:r>
      <w:r>
        <w:rPr>
          <w:rFonts w:hint="eastAsia" w:ascii="Times New Roman" w:hAnsi="仿宋" w:eastAsia="宋体" w:cs="仿宋"/>
          <w:spacing w:val="4"/>
          <w:sz w:val="28"/>
          <w:szCs w:val="32"/>
          <w:highlight w:val="none"/>
          <w:lang w:val="en-US" w:eastAsia="zh-CN"/>
        </w:rPr>
        <w:t>21.5</w:t>
      </w:r>
      <w:r>
        <w:rPr>
          <w:rFonts w:hint="eastAsia" w:ascii="Times New Roman" w:hAnsi="仿宋" w:eastAsia="宋体" w:cs="仿宋"/>
          <w:spacing w:val="4"/>
          <w:sz w:val="28"/>
          <w:szCs w:val="32"/>
          <w:highlight w:val="none"/>
        </w:rPr>
        <w:t>/</w:t>
      </w:r>
      <w:r>
        <w:rPr>
          <w:rFonts w:hint="eastAsia" w:ascii="Times New Roman" w:hAnsi="仿宋" w:eastAsia="宋体" w:cs="仿宋"/>
          <w:spacing w:val="4"/>
          <w:sz w:val="28"/>
          <w:szCs w:val="32"/>
          <w:highlight w:val="none"/>
          <w:lang w:val="en-US" w:eastAsia="zh-CN"/>
        </w:rPr>
        <w:t>20.5</w:t>
      </w:r>
      <w:r>
        <w:rPr>
          <w:rFonts w:hint="eastAsia" w:ascii="Times New Roman" w:hAnsi="仿宋" w:eastAsia="宋体" w:cs="仿宋"/>
          <w:spacing w:val="4"/>
          <w:sz w:val="28"/>
          <w:szCs w:val="32"/>
          <w:highlight w:val="none"/>
        </w:rPr>
        <w:t>=</w:t>
      </w:r>
      <w:r>
        <w:rPr>
          <w:rFonts w:hint="eastAsia" w:ascii="Times New Roman" w:hAnsi="仿宋" w:eastAsia="宋体" w:cs="仿宋"/>
          <w:spacing w:val="4"/>
          <w:sz w:val="28"/>
          <w:szCs w:val="32"/>
          <w:highlight w:val="none"/>
          <w:lang w:val="en-US" w:eastAsia="zh-CN"/>
        </w:rPr>
        <w:t>105</w:t>
      </w:r>
      <w:r>
        <w:rPr>
          <w:rFonts w:hint="eastAsia" w:ascii="Times New Roman" w:hAnsi="仿宋" w:eastAsia="宋体" w:cs="仿宋"/>
          <w:spacing w:val="4"/>
          <w:sz w:val="28"/>
          <w:szCs w:val="32"/>
          <w:highlight w:val="none"/>
        </w:rPr>
        <w:t>%。本项</w:t>
      </w:r>
      <w:r>
        <w:rPr>
          <w:rFonts w:hint="eastAsia" w:ascii="Times New Roman" w:hAnsi="仿宋" w:eastAsia="宋体" w:cs="仿宋"/>
          <w:spacing w:val="4"/>
          <w:sz w:val="28"/>
          <w:szCs w:val="32"/>
          <w:highlight w:val="none"/>
          <w:lang w:val="en-US" w:eastAsia="zh-CN"/>
        </w:rPr>
        <w:t>扣0.5分，</w:t>
      </w:r>
      <w:r>
        <w:rPr>
          <w:rFonts w:hint="eastAsia" w:ascii="Times New Roman" w:hAnsi="仿宋" w:eastAsia="宋体" w:cs="仿宋"/>
          <w:spacing w:val="4"/>
          <w:sz w:val="28"/>
          <w:szCs w:val="32"/>
          <w:highlight w:val="none"/>
        </w:rPr>
        <w:t>得分</w:t>
      </w:r>
      <w:r>
        <w:rPr>
          <w:rFonts w:hint="eastAsia" w:ascii="Times New Roman" w:hAnsi="仿宋" w:eastAsia="宋体" w:cs="仿宋"/>
          <w:spacing w:val="4"/>
          <w:sz w:val="28"/>
          <w:szCs w:val="32"/>
          <w:highlight w:val="none"/>
          <w:lang w:val="en-US" w:eastAsia="zh-CN"/>
        </w:rPr>
        <w:t>1.5</w:t>
      </w:r>
      <w:r>
        <w:rPr>
          <w:rFonts w:hint="eastAsia" w:ascii="Times New Roman" w:hAnsi="仿宋" w:eastAsia="宋体" w:cs="仿宋"/>
          <w:spacing w:val="4"/>
          <w:sz w:val="28"/>
          <w:szCs w:val="32"/>
          <w:highlight w:val="none"/>
        </w:rPr>
        <w:t>分</w:t>
      </w:r>
      <w:r>
        <w:rPr>
          <w:rFonts w:hint="eastAsia" w:ascii="Times New Roman" w:hAnsi="仿宋" w:eastAsia="宋体" w:cs="仿宋"/>
          <w:spacing w:val="-3"/>
          <w:sz w:val="28"/>
          <w:szCs w:val="32"/>
          <w:highlight w:val="none"/>
        </w:rPr>
        <w:t>。</w:t>
      </w:r>
    </w:p>
    <w:p w14:paraId="736B3B6A">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spacing w:val="4"/>
          <w:sz w:val="28"/>
          <w:szCs w:val="32"/>
        </w:rPr>
      </w:pPr>
      <w:bookmarkStart w:id="125" w:name="_Toc19470"/>
      <w:bookmarkStart w:id="126" w:name="_Toc31730"/>
      <w:bookmarkStart w:id="127" w:name="_Toc16963"/>
      <w:r>
        <w:rPr>
          <w:rFonts w:hint="eastAsia" w:ascii="Times New Roman" w:hAnsi="仿宋" w:eastAsia="宋体" w:cs="仿宋"/>
          <w:b/>
          <w:spacing w:val="4"/>
          <w:sz w:val="28"/>
          <w:szCs w:val="32"/>
        </w:rPr>
        <w:t>6.政府采购执行率(分值2分)</w:t>
      </w:r>
      <w:bookmarkEnd w:id="125"/>
      <w:bookmarkEnd w:id="126"/>
      <w:bookmarkEnd w:id="127"/>
    </w:p>
    <w:p w14:paraId="56C703A1">
      <w:pPr>
        <w:snapToGrid/>
        <w:spacing w:beforeAutospacing="0" w:afterAutospacing="0" w:line="360" w:lineRule="auto"/>
        <w:ind w:left="0" w:leftChars="0" w:firstLine="576" w:firstLineChars="200"/>
        <w:rPr>
          <w:rFonts w:hint="eastAsia" w:ascii="Times New Roman" w:hAnsi="仿宋" w:eastAsia="宋体" w:cs="仿宋"/>
          <w:spacing w:val="4"/>
          <w:sz w:val="28"/>
          <w:szCs w:val="32"/>
        </w:rPr>
      </w:pPr>
      <w:r>
        <w:rPr>
          <w:rFonts w:hint="eastAsia" w:ascii="Times New Roman" w:hAnsi="仿宋" w:eastAsia="宋体" w:cs="仿宋"/>
          <w:spacing w:val="4"/>
          <w:sz w:val="28"/>
          <w:szCs w:val="32"/>
        </w:rPr>
        <w:t>政府采购执行率主要评价部门（单位）本年度政府采购是否执行政府采购相关规定和要求，用以反映和考核部门(单位)政府采购预算执行情况。评分标准为“是否按规定编制政府采购预算；是否编制了政府采购计划表；是否按规定编制资产购置预算；是否存在政府采购未按照规定公开招标、违规采购等违规行为；一项不符扣0.5分，扣完为止。”</w:t>
      </w:r>
    </w:p>
    <w:p w14:paraId="2035E560">
      <w:pPr>
        <w:snapToGrid/>
        <w:spacing w:beforeAutospacing="0" w:afterAutospacing="0" w:line="360" w:lineRule="auto"/>
        <w:ind w:left="0" w:leftChars="0" w:firstLine="576" w:firstLineChars="200"/>
        <w:rPr>
          <w:rFonts w:hint="eastAsia" w:ascii="Times New Roman" w:hAnsi="仿宋" w:eastAsia="宋体" w:cs="仿宋"/>
          <w:spacing w:val="4"/>
          <w:sz w:val="28"/>
          <w:szCs w:val="32"/>
        </w:rPr>
      </w:pPr>
      <w:r>
        <w:rPr>
          <w:rFonts w:hint="eastAsia" w:ascii="Times New Roman" w:hAnsi="仿宋" w:eastAsia="宋体" w:cs="仿宋"/>
          <w:spacing w:val="4"/>
          <w:sz w:val="28"/>
          <w:szCs w:val="32"/>
        </w:rPr>
        <w:t>根据石狮市农业农村局2022年初政府采购预算0万元，未编制政府采购预算和政府采购计划表；本项扣</w:t>
      </w:r>
      <w:r>
        <w:rPr>
          <w:rFonts w:hint="eastAsia" w:ascii="Times New Roman" w:hAnsi="仿宋" w:eastAsia="宋体" w:cs="仿宋"/>
          <w:spacing w:val="4"/>
          <w:sz w:val="28"/>
          <w:szCs w:val="32"/>
          <w:lang w:val="en-US" w:eastAsia="zh-CN"/>
        </w:rPr>
        <w:t>1</w:t>
      </w:r>
      <w:r>
        <w:rPr>
          <w:rFonts w:hint="eastAsia" w:ascii="Times New Roman" w:hAnsi="仿宋" w:eastAsia="宋体" w:cs="仿宋"/>
          <w:spacing w:val="4"/>
          <w:sz w:val="28"/>
          <w:szCs w:val="32"/>
        </w:rPr>
        <w:t>分</w:t>
      </w:r>
      <w:bookmarkStart w:id="128" w:name="_bookmark16"/>
      <w:bookmarkEnd w:id="128"/>
      <w:bookmarkStart w:id="129" w:name="_bookmark17"/>
      <w:bookmarkEnd w:id="129"/>
      <w:bookmarkStart w:id="130" w:name="_bookmark18"/>
      <w:bookmarkEnd w:id="130"/>
      <w:bookmarkStart w:id="131" w:name="_bookmark15"/>
      <w:bookmarkEnd w:id="131"/>
      <w:r>
        <w:rPr>
          <w:rFonts w:hint="eastAsia" w:ascii="Times New Roman" w:hAnsi="仿宋" w:eastAsia="宋体" w:cs="仿宋"/>
          <w:spacing w:val="4"/>
          <w:sz w:val="28"/>
          <w:szCs w:val="32"/>
        </w:rPr>
        <w:t>，得</w:t>
      </w:r>
      <w:r>
        <w:rPr>
          <w:rFonts w:hint="eastAsia" w:ascii="Times New Roman" w:hAnsi="仿宋" w:cs="仿宋"/>
          <w:spacing w:val="4"/>
          <w:sz w:val="28"/>
          <w:szCs w:val="32"/>
          <w:lang w:val="en-US" w:eastAsia="zh-CN"/>
        </w:rPr>
        <w:t>1</w:t>
      </w:r>
      <w:r>
        <w:rPr>
          <w:rFonts w:hint="eastAsia" w:ascii="Times New Roman" w:hAnsi="仿宋" w:eastAsia="宋体" w:cs="仿宋"/>
          <w:spacing w:val="4"/>
          <w:sz w:val="28"/>
          <w:szCs w:val="32"/>
        </w:rPr>
        <w:t>分。</w:t>
      </w:r>
    </w:p>
    <w:p w14:paraId="722108F3">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spacing w:val="4"/>
          <w:sz w:val="28"/>
          <w:szCs w:val="32"/>
        </w:rPr>
      </w:pPr>
      <w:bookmarkStart w:id="132" w:name="_Toc9243"/>
      <w:bookmarkStart w:id="133" w:name="_Toc31489"/>
      <w:bookmarkStart w:id="134" w:name="_Toc18834"/>
      <w:r>
        <w:rPr>
          <w:rFonts w:hint="eastAsia" w:ascii="Times New Roman" w:hAnsi="仿宋" w:eastAsia="宋体" w:cs="仿宋"/>
          <w:b/>
          <w:spacing w:val="4"/>
          <w:sz w:val="28"/>
          <w:szCs w:val="32"/>
        </w:rPr>
        <w:t>7.管理制度健全性(分值2分)</w:t>
      </w:r>
      <w:bookmarkEnd w:id="132"/>
      <w:bookmarkEnd w:id="133"/>
      <w:bookmarkEnd w:id="134"/>
    </w:p>
    <w:p w14:paraId="00A04345">
      <w:pPr>
        <w:snapToGrid/>
        <w:spacing w:beforeAutospacing="0" w:afterAutospacing="0" w:line="360" w:lineRule="auto"/>
        <w:ind w:left="0" w:leftChars="0" w:firstLine="576" w:firstLineChars="200"/>
        <w:rPr>
          <w:rFonts w:hint="eastAsia" w:ascii="Times New Roman" w:hAnsi="仿宋" w:eastAsia="宋体" w:cs="仿宋"/>
          <w:spacing w:val="4"/>
          <w:sz w:val="28"/>
          <w:szCs w:val="32"/>
        </w:rPr>
      </w:pPr>
      <w:r>
        <w:rPr>
          <w:rFonts w:hint="eastAsia" w:ascii="Times New Roman" w:hAnsi="仿宋" w:eastAsia="宋体" w:cs="仿宋"/>
          <w:spacing w:val="4"/>
          <w:sz w:val="28"/>
          <w:szCs w:val="32"/>
        </w:rPr>
        <w:t>管理制度健全性主要评价部门(单位)为加强预算管理、规范财务行为而制定的管理制度是否健全完整，用以反映和评价部门(单位)预算管理制度对完成主要职责或促进事业发展的保障情况。</w:t>
      </w:r>
    </w:p>
    <w:p w14:paraId="2C5E4C89">
      <w:pPr>
        <w:pStyle w:val="18"/>
        <w:keepNext w:val="0"/>
        <w:keepLines w:val="0"/>
        <w:pageBreakBefore w:val="0"/>
        <w:widowControl/>
        <w:kinsoku/>
        <w:wordWrap w:val="0"/>
        <w:overflowPunct/>
        <w:topLinePunct w:val="0"/>
        <w:autoSpaceDE/>
        <w:autoSpaceDN/>
        <w:bidi w:val="0"/>
        <w:adjustRightInd/>
        <w:snapToGrid/>
        <w:spacing w:beforeAutospacing="0" w:afterAutospacing="0" w:line="360" w:lineRule="auto"/>
        <w:ind w:left="0" w:leftChars="0" w:firstLine="576" w:firstLineChars="200"/>
        <w:jc w:val="left"/>
        <w:textAlignment w:val="auto"/>
        <w:rPr>
          <w:rFonts w:hint="eastAsia" w:ascii="Times New Roman" w:hAnsi="仿宋" w:eastAsia="宋体" w:cs="仿宋"/>
          <w:spacing w:val="-3"/>
          <w:sz w:val="28"/>
          <w:szCs w:val="32"/>
        </w:rPr>
      </w:pPr>
      <w:r>
        <w:rPr>
          <w:rFonts w:hint="eastAsia" w:ascii="Times New Roman" w:hAnsi="仿宋" w:eastAsia="宋体" w:cs="仿宋"/>
          <w:color w:val="auto"/>
          <w:spacing w:val="4"/>
          <w:kern w:val="2"/>
          <w:sz w:val="28"/>
          <w:szCs w:val="32"/>
          <w:lang w:val="en-US" w:eastAsia="zh-CN" w:bidi="ar-SA"/>
        </w:rPr>
        <w:t>通过查阅</w:t>
      </w:r>
      <w:r>
        <w:rPr>
          <w:rFonts w:hint="eastAsia" w:ascii="Times New Roman" w:hAnsi="仿宋" w:eastAsia="宋体" w:cs="仿宋"/>
          <w:color w:val="auto"/>
          <w:spacing w:val="17"/>
          <w:sz w:val="28"/>
          <w:szCs w:val="32"/>
        </w:rPr>
        <w:t>石狮市农业农村局</w:t>
      </w:r>
      <w:r>
        <w:rPr>
          <w:rFonts w:hint="eastAsia" w:ascii="Times New Roman" w:hAnsi="仿宋" w:eastAsia="宋体" w:cs="仿宋"/>
          <w:color w:val="auto"/>
          <w:spacing w:val="4"/>
          <w:sz w:val="28"/>
          <w:szCs w:val="32"/>
        </w:rPr>
        <w:t>《石狮市农业农村局工作管理制度》</w:t>
      </w:r>
      <w:r>
        <w:rPr>
          <w:rFonts w:hint="eastAsia" w:ascii="Times New Roman" w:hAnsi="仿宋" w:eastAsia="宋体" w:cs="仿宋"/>
          <w:color w:val="auto"/>
          <w:spacing w:val="4"/>
          <w:sz w:val="28"/>
          <w:szCs w:val="32"/>
          <w:lang w:eastAsia="zh-CN"/>
        </w:rPr>
        <w:t>（狮农〔2022〕92号）、《石狮市</w:t>
      </w:r>
      <w:r>
        <w:rPr>
          <w:rFonts w:hint="eastAsia" w:ascii="Times New Roman" w:hAnsi="仿宋" w:eastAsia="宋体" w:cs="仿宋"/>
          <w:color w:val="auto"/>
          <w:spacing w:val="4"/>
          <w:sz w:val="28"/>
          <w:szCs w:val="32"/>
          <w:lang w:val="en-US" w:eastAsia="zh-CN"/>
        </w:rPr>
        <w:t>农业农村局</w:t>
      </w:r>
      <w:r>
        <w:rPr>
          <w:rFonts w:hint="eastAsia" w:ascii="Times New Roman" w:hAnsi="仿宋" w:eastAsia="宋体" w:cs="仿宋"/>
          <w:color w:val="auto"/>
          <w:spacing w:val="4"/>
          <w:sz w:val="28"/>
          <w:szCs w:val="32"/>
          <w:lang w:eastAsia="zh-CN"/>
        </w:rPr>
        <w:t>内部控制工作方案</w:t>
      </w:r>
      <w:r>
        <w:rPr>
          <w:rFonts w:hint="eastAsia" w:ascii="Times New Roman" w:hAnsi="仿宋" w:eastAsia="宋体" w:cs="仿宋"/>
          <w:color w:val="auto"/>
          <w:spacing w:val="4"/>
          <w:sz w:val="28"/>
          <w:szCs w:val="32"/>
          <w:lang w:val="en-US" w:eastAsia="zh-CN"/>
        </w:rPr>
        <w:t>及制度》、《石狮市农业农村局涉农专项资金管理办法》（狮农〔2022〕6号）</w:t>
      </w:r>
      <w:r>
        <w:rPr>
          <w:rFonts w:hint="eastAsia" w:ascii="Times New Roman" w:hAnsi="仿宋" w:eastAsia="宋体" w:cs="仿宋"/>
          <w:color w:val="auto"/>
          <w:spacing w:val="4"/>
          <w:sz w:val="28"/>
          <w:szCs w:val="32"/>
        </w:rPr>
        <w:t>等</w:t>
      </w:r>
      <w:r>
        <w:rPr>
          <w:rFonts w:hint="eastAsia" w:ascii="Times New Roman" w:hAnsi="仿宋" w:eastAsia="宋体" w:cs="仿宋"/>
          <w:color w:val="auto"/>
          <w:spacing w:val="4"/>
          <w:sz w:val="28"/>
          <w:szCs w:val="32"/>
          <w:lang w:eastAsia="zh-CN"/>
        </w:rPr>
        <w:t>制度</w:t>
      </w:r>
      <w:r>
        <w:rPr>
          <w:rFonts w:hint="eastAsia" w:ascii="Times New Roman" w:hAnsi="仿宋" w:eastAsia="宋体" w:cs="仿宋"/>
          <w:color w:val="auto"/>
          <w:spacing w:val="17"/>
          <w:sz w:val="28"/>
          <w:szCs w:val="32"/>
          <w:lang w:eastAsia="zh-CN"/>
        </w:rPr>
        <w:t>，</w:t>
      </w:r>
      <w:r>
        <w:rPr>
          <w:rFonts w:hint="eastAsia" w:ascii="Times New Roman" w:hAnsi="仿宋" w:eastAsia="宋体" w:cs="仿宋"/>
          <w:color w:val="auto"/>
          <w:spacing w:val="17"/>
          <w:sz w:val="28"/>
          <w:szCs w:val="32"/>
          <w:lang w:val="en-US" w:eastAsia="zh-CN"/>
        </w:rPr>
        <w:t>发现</w:t>
      </w:r>
      <w:r>
        <w:rPr>
          <w:rFonts w:hint="eastAsia" w:ascii="Times New Roman" w:hAnsi="仿宋" w:eastAsia="宋体" w:cs="仿宋"/>
          <w:color w:val="auto"/>
          <w:spacing w:val="17"/>
          <w:sz w:val="28"/>
          <w:szCs w:val="32"/>
          <w:lang w:eastAsia="zh-CN"/>
        </w:rPr>
        <w:t>对专项资金的管理</w:t>
      </w:r>
      <w:r>
        <w:rPr>
          <w:rFonts w:hint="eastAsia" w:ascii="Times New Roman" w:hAnsi="仿宋" w:eastAsia="宋体" w:cs="仿宋"/>
          <w:b w:val="0"/>
          <w:bCs w:val="0"/>
          <w:color w:val="auto"/>
          <w:kern w:val="2"/>
          <w:sz w:val="28"/>
          <w:szCs w:val="32"/>
          <w:lang w:val="en-US" w:eastAsia="zh-CN" w:bidi="zh-TW"/>
        </w:rPr>
        <w:t>较为笼统，专项资金管理办法缺乏具体项目资金的名称、内容、预期产出和效益等详细规定。</w:t>
      </w:r>
      <w:r>
        <w:rPr>
          <w:rFonts w:hint="eastAsia" w:ascii="Times New Roman" w:hAnsi="仿宋" w:eastAsia="宋体" w:cs="仿宋"/>
          <w:spacing w:val="4"/>
          <w:sz w:val="28"/>
          <w:szCs w:val="32"/>
        </w:rPr>
        <w:t>此项扣1分</w:t>
      </w:r>
      <w:r>
        <w:rPr>
          <w:rFonts w:hint="eastAsia" w:ascii="Times New Roman" w:hAnsi="仿宋" w:cs="仿宋"/>
          <w:spacing w:val="4"/>
          <w:sz w:val="28"/>
          <w:szCs w:val="32"/>
          <w:lang w:eastAsia="zh-CN"/>
        </w:rPr>
        <w:t>，</w:t>
      </w:r>
      <w:r>
        <w:rPr>
          <w:rFonts w:hint="eastAsia" w:ascii="Times New Roman" w:hAnsi="仿宋" w:eastAsia="宋体" w:cs="仿宋"/>
          <w:spacing w:val="4"/>
          <w:sz w:val="28"/>
          <w:szCs w:val="32"/>
        </w:rPr>
        <w:t>得分1分。</w:t>
      </w:r>
    </w:p>
    <w:p w14:paraId="136A1984">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spacing w:val="4"/>
          <w:sz w:val="28"/>
          <w:szCs w:val="32"/>
        </w:rPr>
      </w:pPr>
      <w:bookmarkStart w:id="135" w:name="_Toc20683"/>
      <w:bookmarkStart w:id="136" w:name="_Toc27821"/>
      <w:bookmarkStart w:id="137" w:name="_Toc3162"/>
      <w:r>
        <w:rPr>
          <w:rFonts w:hint="eastAsia" w:ascii="Times New Roman" w:hAnsi="仿宋" w:eastAsia="宋体" w:cs="仿宋"/>
          <w:b/>
          <w:spacing w:val="4"/>
          <w:sz w:val="28"/>
          <w:szCs w:val="32"/>
        </w:rPr>
        <w:t>8.资金使用合规性(分值2分)</w:t>
      </w:r>
      <w:bookmarkEnd w:id="135"/>
      <w:bookmarkEnd w:id="136"/>
      <w:bookmarkEnd w:id="137"/>
    </w:p>
    <w:p w14:paraId="5BC375F2">
      <w:pPr>
        <w:snapToGrid/>
        <w:spacing w:beforeAutospacing="0" w:afterAutospacing="0" w:line="360" w:lineRule="auto"/>
        <w:ind w:left="0" w:leftChars="0" w:firstLine="576" w:firstLineChars="200"/>
        <w:rPr>
          <w:rFonts w:hint="eastAsia" w:ascii="Times New Roman" w:hAnsi="仿宋" w:eastAsia="宋体" w:cs="仿宋"/>
          <w:spacing w:val="4"/>
          <w:sz w:val="28"/>
          <w:szCs w:val="32"/>
        </w:rPr>
      </w:pPr>
      <w:r>
        <w:rPr>
          <w:rFonts w:hint="eastAsia" w:ascii="Times New Roman" w:hAnsi="仿宋" w:eastAsia="宋体" w:cs="仿宋"/>
          <w:spacing w:val="4"/>
          <w:sz w:val="28"/>
          <w:szCs w:val="32"/>
        </w:rPr>
        <w:t>资金使用合规性主要评价部门(单位)使用预算资金是否符合相关的预算财务管理制度的规定，反映和评价部门(单位)预算资金的规范运行情况。</w:t>
      </w:r>
    </w:p>
    <w:p w14:paraId="5306C884">
      <w:pPr>
        <w:snapToGrid/>
        <w:spacing w:beforeAutospacing="0" w:afterAutospacing="0" w:line="360" w:lineRule="auto"/>
        <w:ind w:left="0" w:leftChars="0" w:firstLine="576" w:firstLineChars="200"/>
        <w:rPr>
          <w:rFonts w:hint="eastAsia" w:ascii="Times New Roman" w:hAnsi="仿宋" w:eastAsia="宋体" w:cs="仿宋"/>
          <w:spacing w:val="4"/>
          <w:sz w:val="28"/>
          <w:szCs w:val="32"/>
        </w:rPr>
      </w:pPr>
      <w:r>
        <w:rPr>
          <w:rFonts w:hint="eastAsia" w:ascii="Times New Roman" w:hAnsi="仿宋" w:eastAsia="宋体" w:cs="仿宋"/>
          <w:spacing w:val="4"/>
          <w:sz w:val="28"/>
          <w:szCs w:val="32"/>
        </w:rPr>
        <w:t>抽查2022年石狮市农业农村局支出明细，资金的拨付有完整的审批过程和手续，符合部门预算批复的用途；未发现截留、挤占、挪用、虚列支出的情况。本项得分2分。</w:t>
      </w:r>
    </w:p>
    <w:p w14:paraId="475EF55E">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spacing w:val="4"/>
          <w:sz w:val="28"/>
          <w:szCs w:val="32"/>
        </w:rPr>
      </w:pPr>
      <w:bookmarkStart w:id="138" w:name="_Toc17275"/>
      <w:bookmarkStart w:id="139" w:name="_Toc18514"/>
      <w:bookmarkStart w:id="140" w:name="_Toc16010"/>
      <w:r>
        <w:rPr>
          <w:rFonts w:hint="eastAsia" w:ascii="Times New Roman" w:hAnsi="仿宋" w:eastAsia="宋体" w:cs="仿宋"/>
          <w:b/>
          <w:spacing w:val="4"/>
          <w:sz w:val="28"/>
          <w:szCs w:val="32"/>
        </w:rPr>
        <w:t>9.预决算信息公开性(分值2分)</w:t>
      </w:r>
      <w:bookmarkEnd w:id="138"/>
      <w:bookmarkEnd w:id="139"/>
      <w:bookmarkEnd w:id="140"/>
    </w:p>
    <w:p w14:paraId="5C508B80">
      <w:pPr>
        <w:snapToGrid/>
        <w:spacing w:beforeAutospacing="0" w:afterAutospacing="0" w:line="360" w:lineRule="auto"/>
        <w:ind w:left="0" w:leftChars="0" w:firstLine="576" w:firstLineChars="200"/>
        <w:rPr>
          <w:rFonts w:hint="eastAsia" w:ascii="Times New Roman" w:hAnsi="仿宋" w:eastAsia="宋体" w:cs="仿宋"/>
          <w:spacing w:val="4"/>
          <w:sz w:val="28"/>
          <w:szCs w:val="32"/>
        </w:rPr>
      </w:pPr>
      <w:r>
        <w:rPr>
          <w:rFonts w:hint="eastAsia" w:ascii="Times New Roman" w:hAnsi="仿宋" w:eastAsia="宋体" w:cs="仿宋"/>
          <w:spacing w:val="4"/>
          <w:sz w:val="28"/>
          <w:szCs w:val="32"/>
        </w:rPr>
        <w:t>预决算信息公开性主要衡量部门(单位)管理工作的支撑情况。基础信息是否完善、预决算信息是否及时公开，用以反映和评价基础信息预决算信息公开</w:t>
      </w:r>
      <w:r>
        <w:rPr>
          <w:rFonts w:hint="eastAsia" w:ascii="Times New Roman" w:hAnsi="仿宋" w:cs="仿宋"/>
          <w:spacing w:val="4"/>
          <w:sz w:val="28"/>
          <w:szCs w:val="32"/>
          <w:lang w:val="en-US" w:eastAsia="zh-CN"/>
        </w:rPr>
        <w:t>情况</w:t>
      </w:r>
      <w:r>
        <w:rPr>
          <w:rFonts w:hint="eastAsia" w:ascii="Times New Roman" w:hAnsi="仿宋" w:cs="仿宋"/>
          <w:spacing w:val="4"/>
          <w:sz w:val="28"/>
          <w:szCs w:val="32"/>
          <w:lang w:eastAsia="zh-CN"/>
        </w:rPr>
        <w:t>。</w:t>
      </w:r>
    </w:p>
    <w:p w14:paraId="4A1A2C27">
      <w:pPr>
        <w:snapToGrid/>
        <w:spacing w:beforeAutospacing="0" w:afterAutospacing="0" w:line="360" w:lineRule="auto"/>
        <w:ind w:left="0" w:leftChars="0" w:firstLine="576" w:firstLineChars="200"/>
        <w:rPr>
          <w:rFonts w:hint="eastAsia" w:ascii="Times New Roman" w:hAnsi="仿宋" w:eastAsia="宋体" w:cs="仿宋"/>
          <w:spacing w:val="4"/>
          <w:sz w:val="28"/>
          <w:szCs w:val="32"/>
        </w:rPr>
      </w:pPr>
      <w:r>
        <w:rPr>
          <w:rFonts w:hint="eastAsia" w:ascii="Times New Roman" w:hAnsi="仿宋" w:eastAsia="宋体" w:cs="仿宋"/>
          <w:spacing w:val="4"/>
          <w:sz w:val="28"/>
          <w:szCs w:val="32"/>
        </w:rPr>
        <w:t>石狮市农业农村局2022年均有按照政府信息公开有关规定及预算批复文件中要求的格式、时限公开预算信息。2022年决算未公开，此项扣 1分</w:t>
      </w:r>
      <w:r>
        <w:rPr>
          <w:rFonts w:hint="eastAsia" w:ascii="Times New Roman" w:hAnsi="仿宋" w:cs="仿宋"/>
          <w:spacing w:val="4"/>
          <w:sz w:val="28"/>
          <w:szCs w:val="32"/>
          <w:lang w:eastAsia="zh-CN"/>
        </w:rPr>
        <w:t>，</w:t>
      </w:r>
      <w:r>
        <w:rPr>
          <w:rFonts w:hint="eastAsia" w:ascii="Times New Roman" w:hAnsi="仿宋" w:eastAsia="宋体" w:cs="仿宋"/>
          <w:spacing w:val="4"/>
          <w:sz w:val="28"/>
          <w:szCs w:val="32"/>
        </w:rPr>
        <w:t>得分1分。</w:t>
      </w:r>
    </w:p>
    <w:p w14:paraId="3F3A3B0E">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spacing w:val="-3"/>
          <w:sz w:val="28"/>
          <w:szCs w:val="32"/>
        </w:rPr>
      </w:pPr>
      <w:bookmarkStart w:id="141" w:name="_bookmark21"/>
      <w:bookmarkEnd w:id="141"/>
      <w:bookmarkStart w:id="142" w:name="_bookmark22"/>
      <w:bookmarkEnd w:id="142"/>
      <w:bookmarkStart w:id="143" w:name="_bookmark19"/>
      <w:bookmarkEnd w:id="143"/>
      <w:bookmarkStart w:id="144" w:name="_bookmark20"/>
      <w:bookmarkEnd w:id="144"/>
      <w:bookmarkStart w:id="145" w:name="_bookmark23"/>
      <w:bookmarkEnd w:id="145"/>
      <w:bookmarkStart w:id="146" w:name="_Toc12225"/>
      <w:bookmarkStart w:id="147" w:name="_Toc22082"/>
      <w:bookmarkStart w:id="148" w:name="_Toc2166"/>
      <w:r>
        <w:rPr>
          <w:rFonts w:hint="eastAsia" w:ascii="Times New Roman" w:hAnsi="仿宋" w:eastAsia="宋体" w:cs="仿宋"/>
          <w:b/>
          <w:spacing w:val="-3"/>
          <w:sz w:val="28"/>
          <w:szCs w:val="32"/>
        </w:rPr>
        <w:t>10.</w:t>
      </w:r>
      <w:r>
        <w:rPr>
          <w:rFonts w:hint="eastAsia" w:ascii="Times New Roman" w:hAnsi="仿宋" w:eastAsia="宋体" w:cs="仿宋"/>
          <w:b/>
          <w:bCs/>
          <w:spacing w:val="-3"/>
          <w:sz w:val="28"/>
          <w:szCs w:val="32"/>
        </w:rPr>
        <w:t>资产管理</w:t>
      </w:r>
      <w:r>
        <w:rPr>
          <w:rFonts w:hint="eastAsia" w:ascii="Times New Roman" w:hAnsi="仿宋" w:eastAsia="宋体" w:cs="仿宋"/>
          <w:b/>
          <w:bCs/>
          <w:spacing w:val="-3"/>
          <w:sz w:val="28"/>
          <w:szCs w:val="32"/>
          <w:lang w:val="en-US" w:eastAsia="zh-CN"/>
        </w:rPr>
        <w:t>完整</w:t>
      </w:r>
      <w:r>
        <w:rPr>
          <w:rFonts w:hint="eastAsia" w:ascii="Times New Roman" w:hAnsi="仿宋" w:eastAsia="宋体" w:cs="仿宋"/>
          <w:b/>
          <w:bCs/>
          <w:spacing w:val="-3"/>
          <w:sz w:val="28"/>
          <w:szCs w:val="32"/>
        </w:rPr>
        <w:t>性</w:t>
      </w:r>
      <w:r>
        <w:rPr>
          <w:rFonts w:hint="eastAsia" w:ascii="Times New Roman" w:hAnsi="仿宋" w:eastAsia="宋体" w:cs="仿宋"/>
          <w:b/>
          <w:bCs/>
          <w:spacing w:val="-3"/>
          <w:sz w:val="28"/>
          <w:szCs w:val="32"/>
          <w:lang w:val="en-US" w:eastAsia="zh-CN"/>
        </w:rPr>
        <w:t xml:space="preserve"> </w:t>
      </w:r>
      <w:r>
        <w:rPr>
          <w:rFonts w:hint="eastAsia" w:ascii="Times New Roman" w:hAnsi="仿宋" w:eastAsia="宋体" w:cs="仿宋"/>
          <w:b/>
          <w:bCs/>
          <w:spacing w:val="-3"/>
          <w:sz w:val="28"/>
          <w:szCs w:val="32"/>
        </w:rPr>
        <w:t>(分值2分)</w:t>
      </w:r>
      <w:bookmarkEnd w:id="146"/>
      <w:bookmarkEnd w:id="147"/>
      <w:bookmarkEnd w:id="148"/>
    </w:p>
    <w:p w14:paraId="30143C8D">
      <w:pPr>
        <w:snapToGrid/>
        <w:spacing w:beforeAutospacing="0" w:afterAutospacing="0" w:line="360" w:lineRule="auto"/>
        <w:ind w:left="0" w:leftChars="0" w:firstLine="548" w:firstLineChars="200"/>
        <w:rPr>
          <w:rFonts w:hint="eastAsia" w:ascii="Times New Roman" w:hAnsi="仿宋" w:eastAsia="宋体" w:cs="仿宋"/>
          <w:sz w:val="28"/>
          <w:szCs w:val="32"/>
        </w:rPr>
      </w:pPr>
      <w:r>
        <w:rPr>
          <w:rFonts w:hint="eastAsia" w:ascii="Times New Roman" w:hAnsi="仿宋" w:eastAsia="宋体" w:cs="仿宋"/>
          <w:spacing w:val="-3"/>
          <w:sz w:val="28"/>
          <w:szCs w:val="32"/>
        </w:rPr>
        <w:t>资产管理</w:t>
      </w:r>
      <w:r>
        <w:rPr>
          <w:rFonts w:hint="eastAsia" w:ascii="Times New Roman" w:hAnsi="仿宋" w:cs="仿宋"/>
          <w:spacing w:val="-3"/>
          <w:sz w:val="28"/>
          <w:szCs w:val="32"/>
          <w:lang w:val="en-US" w:eastAsia="zh-CN"/>
        </w:rPr>
        <w:t>完整</w:t>
      </w:r>
      <w:r>
        <w:rPr>
          <w:rFonts w:hint="eastAsia" w:ascii="Times New Roman" w:hAnsi="仿宋" w:eastAsia="宋体" w:cs="仿宋"/>
          <w:spacing w:val="-3"/>
          <w:sz w:val="28"/>
          <w:szCs w:val="32"/>
        </w:rPr>
        <w:t>性主</w:t>
      </w:r>
      <w:r>
        <w:rPr>
          <w:rFonts w:hint="eastAsia" w:ascii="Times New Roman" w:hAnsi="仿宋" w:eastAsia="宋体" w:cs="仿宋"/>
          <w:spacing w:val="4"/>
          <w:sz w:val="28"/>
          <w:szCs w:val="32"/>
        </w:rPr>
        <w:t>要评价部门(单位)的资产是否保存完整，使用合规、配</w:t>
      </w:r>
      <w:r>
        <w:rPr>
          <w:rFonts w:hint="eastAsia" w:ascii="Times New Roman" w:hAnsi="仿宋" w:eastAsia="宋体" w:cs="仿宋"/>
          <w:spacing w:val="6"/>
          <w:sz w:val="28"/>
          <w:szCs w:val="32"/>
        </w:rPr>
        <w:t>置合理、处置规</w:t>
      </w:r>
      <w:r>
        <w:rPr>
          <w:rFonts w:hint="eastAsia" w:ascii="Times New Roman" w:hAnsi="仿宋" w:eastAsia="宋体" w:cs="仿宋"/>
          <w:spacing w:val="3"/>
          <w:sz w:val="28"/>
          <w:szCs w:val="32"/>
        </w:rPr>
        <w:t>范、收入及时足额上缴，用以反映和考核部门(单位)资产安全运行</w:t>
      </w:r>
      <w:r>
        <w:rPr>
          <w:rFonts w:hint="eastAsia" w:ascii="Times New Roman" w:hAnsi="仿宋" w:eastAsia="宋体" w:cs="仿宋"/>
          <w:spacing w:val="7"/>
          <w:sz w:val="28"/>
          <w:szCs w:val="32"/>
        </w:rPr>
        <w:t>情况。评分标准为“①资产保存是否完整，有专人保管；②单位资产管理制度是否健全、完整、合法；③资产有偿使用及处置收入是否及时足额上缴；④重大资产处置收入是否按照要求收支两条线管理和使用；一项不符扣0.5分，扣完为止。</w:t>
      </w:r>
      <w:r>
        <w:rPr>
          <w:rFonts w:hint="eastAsia" w:ascii="Times New Roman" w:hAnsi="仿宋" w:eastAsia="宋体" w:cs="仿宋"/>
          <w:spacing w:val="-6"/>
          <w:sz w:val="28"/>
          <w:szCs w:val="32"/>
        </w:rPr>
        <w:t>”</w:t>
      </w:r>
    </w:p>
    <w:p w14:paraId="7CCD79E7">
      <w:pPr>
        <w:snapToGrid/>
        <w:spacing w:beforeAutospacing="0" w:afterAutospacing="0" w:line="360" w:lineRule="auto"/>
        <w:ind w:left="0" w:leftChars="0" w:firstLine="576" w:firstLineChars="200"/>
        <w:rPr>
          <w:rFonts w:hint="eastAsia" w:ascii="Times New Roman" w:hAnsi="仿宋" w:eastAsia="宋体" w:cs="仿宋"/>
          <w:spacing w:val="3"/>
          <w:sz w:val="28"/>
          <w:szCs w:val="32"/>
        </w:rPr>
      </w:pPr>
      <w:r>
        <w:rPr>
          <w:rFonts w:hint="eastAsia" w:ascii="Times New Roman" w:hAnsi="仿宋" w:eastAsia="宋体" w:cs="仿宋"/>
          <w:spacing w:val="4"/>
          <w:sz w:val="28"/>
          <w:szCs w:val="32"/>
          <w:lang w:val="en-US" w:eastAsia="zh-CN"/>
        </w:rPr>
        <w:t>固定资产</w:t>
      </w:r>
      <w:r>
        <w:rPr>
          <w:rFonts w:hint="eastAsia" w:ascii="Times New Roman" w:hAnsi="仿宋" w:eastAsia="宋体" w:cs="仿宋"/>
          <w:spacing w:val="7"/>
          <w:sz w:val="28"/>
          <w:szCs w:val="32"/>
        </w:rPr>
        <w:t>资产管理制度健全、完整、合法</w:t>
      </w:r>
      <w:r>
        <w:rPr>
          <w:rFonts w:hint="eastAsia" w:ascii="Times New Roman" w:hAnsi="仿宋" w:eastAsia="宋体" w:cs="仿宋"/>
          <w:spacing w:val="7"/>
          <w:sz w:val="28"/>
          <w:szCs w:val="32"/>
          <w:lang w:eastAsia="zh-CN"/>
        </w:rPr>
        <w:t>，</w:t>
      </w:r>
      <w:r>
        <w:rPr>
          <w:rFonts w:hint="eastAsia" w:ascii="Times New Roman" w:hAnsi="仿宋" w:eastAsia="宋体" w:cs="仿宋"/>
          <w:spacing w:val="4"/>
          <w:sz w:val="28"/>
          <w:szCs w:val="32"/>
        </w:rPr>
        <w:t>资产保存完整，使用合规、配</w:t>
      </w:r>
      <w:r>
        <w:rPr>
          <w:rFonts w:hint="eastAsia" w:ascii="Times New Roman" w:hAnsi="仿宋" w:eastAsia="宋体" w:cs="仿宋"/>
          <w:spacing w:val="6"/>
          <w:sz w:val="28"/>
          <w:szCs w:val="32"/>
        </w:rPr>
        <w:t>置合理、处置规</w:t>
      </w:r>
      <w:r>
        <w:rPr>
          <w:rFonts w:hint="eastAsia" w:ascii="Times New Roman" w:hAnsi="仿宋" w:eastAsia="宋体" w:cs="仿宋"/>
          <w:spacing w:val="3"/>
          <w:sz w:val="28"/>
          <w:szCs w:val="32"/>
        </w:rPr>
        <w:t>范</w:t>
      </w:r>
      <w:r>
        <w:rPr>
          <w:rFonts w:hint="eastAsia" w:ascii="Times New Roman" w:hAnsi="仿宋" w:eastAsia="宋体" w:cs="仿宋"/>
          <w:spacing w:val="4"/>
          <w:sz w:val="28"/>
          <w:szCs w:val="32"/>
        </w:rPr>
        <w:t>。本项得分</w:t>
      </w:r>
      <w:r>
        <w:rPr>
          <w:rFonts w:hint="eastAsia" w:ascii="Times New Roman" w:hAnsi="仿宋" w:eastAsia="宋体" w:cs="仿宋"/>
          <w:spacing w:val="4"/>
          <w:sz w:val="28"/>
          <w:szCs w:val="32"/>
          <w:lang w:val="en-US" w:eastAsia="zh-CN"/>
        </w:rPr>
        <w:t>2</w:t>
      </w:r>
      <w:r>
        <w:rPr>
          <w:rFonts w:hint="eastAsia" w:ascii="Times New Roman" w:hAnsi="仿宋" w:eastAsia="宋体" w:cs="仿宋"/>
          <w:spacing w:val="4"/>
          <w:sz w:val="28"/>
          <w:szCs w:val="32"/>
        </w:rPr>
        <w:t>分。</w:t>
      </w:r>
      <w:bookmarkStart w:id="149" w:name="_Toc25107"/>
      <w:bookmarkStart w:id="150" w:name="_Toc12092"/>
    </w:p>
    <w:p w14:paraId="6350AD05">
      <w:pPr>
        <w:pStyle w:val="5"/>
        <w:keepNext w:val="0"/>
        <w:keepLines w:val="0"/>
        <w:snapToGrid/>
        <w:spacing w:before="156" w:beforeLines="50" w:beforeAutospacing="0" w:after="0" w:afterAutospacing="0" w:line="360" w:lineRule="auto"/>
        <w:ind w:left="0" w:leftChars="0" w:right="0" w:rightChars="0" w:firstLine="0" w:firstLineChars="0"/>
        <w:jc w:val="left"/>
        <w:outlineLvl w:val="1"/>
        <w:rPr>
          <w:rFonts w:hint="eastAsia" w:ascii="Times New Roman" w:hAnsi="仿宋" w:eastAsia="宋体" w:cs="仿宋"/>
          <w:b/>
          <w:kern w:val="0"/>
          <w:sz w:val="30"/>
          <w:szCs w:val="32"/>
          <w:lang w:bidi="ar"/>
        </w:rPr>
      </w:pPr>
      <w:bookmarkStart w:id="151" w:name="_Toc14037"/>
      <w:bookmarkStart w:id="152" w:name="_Toc15013"/>
      <w:bookmarkStart w:id="153" w:name="_Toc1169"/>
      <w:r>
        <w:rPr>
          <w:rFonts w:hint="eastAsia" w:ascii="Times New Roman" w:hAnsi="仿宋" w:eastAsia="宋体" w:cs="仿宋"/>
          <w:b/>
          <w:kern w:val="0"/>
          <w:sz w:val="30"/>
          <w:szCs w:val="32"/>
          <w:lang w:bidi="ar"/>
        </w:rPr>
        <w:t>（三）</w:t>
      </w:r>
      <w:r>
        <w:rPr>
          <w:rFonts w:hint="eastAsia" w:ascii="Times New Roman" w:hAnsi="仿宋" w:eastAsia="宋体" w:cs="仿宋"/>
          <w:b/>
          <w:kern w:val="0"/>
          <w:sz w:val="30"/>
          <w:szCs w:val="32"/>
          <w:lang w:val="en-US" w:eastAsia="zh-CN" w:bidi="ar"/>
        </w:rPr>
        <w:t>产出</w:t>
      </w:r>
      <w:r>
        <w:rPr>
          <w:rFonts w:hint="eastAsia" w:ascii="Times New Roman" w:hAnsi="仿宋" w:eastAsia="宋体" w:cs="仿宋"/>
          <w:b/>
          <w:kern w:val="0"/>
          <w:sz w:val="30"/>
          <w:szCs w:val="32"/>
          <w:lang w:bidi="ar"/>
        </w:rPr>
        <w:t>（权重为40%</w:t>
      </w:r>
      <w:r>
        <w:rPr>
          <w:rFonts w:hint="eastAsia" w:ascii="Times New Roman" w:hAnsi="仿宋" w:eastAsia="宋体" w:cs="仿宋"/>
          <w:b/>
          <w:kern w:val="0"/>
          <w:sz w:val="30"/>
          <w:szCs w:val="32"/>
          <w:lang w:eastAsia="zh-CN" w:bidi="ar"/>
        </w:rPr>
        <w:t>，</w:t>
      </w:r>
      <w:r>
        <w:rPr>
          <w:rFonts w:hint="eastAsia" w:ascii="Times New Roman" w:hAnsi="仿宋" w:eastAsia="宋体" w:cs="仿宋"/>
          <w:b/>
          <w:kern w:val="0"/>
          <w:sz w:val="30"/>
          <w:szCs w:val="32"/>
          <w:lang w:val="en-US" w:eastAsia="zh-CN" w:bidi="ar"/>
        </w:rPr>
        <w:t>得分38分</w:t>
      </w:r>
      <w:r>
        <w:rPr>
          <w:rFonts w:hint="eastAsia" w:ascii="Times New Roman" w:hAnsi="仿宋" w:eastAsia="宋体" w:cs="仿宋"/>
          <w:b/>
          <w:kern w:val="0"/>
          <w:sz w:val="30"/>
          <w:szCs w:val="32"/>
          <w:lang w:bidi="ar"/>
        </w:rPr>
        <w:t>）</w:t>
      </w:r>
      <w:bookmarkEnd w:id="151"/>
      <w:bookmarkEnd w:id="152"/>
      <w:bookmarkEnd w:id="153"/>
    </w:p>
    <w:p w14:paraId="618E592A">
      <w:pPr>
        <w:snapToGrid/>
        <w:spacing w:beforeAutospacing="0" w:afterAutospacing="0" w:line="360" w:lineRule="auto"/>
        <w:ind w:left="0" w:leftChars="0" w:firstLine="572" w:firstLineChars="200"/>
        <w:rPr>
          <w:rFonts w:hint="eastAsia" w:ascii="Times New Roman" w:hAnsi="仿宋" w:eastAsia="宋体" w:cs="仿宋"/>
          <w:spacing w:val="3"/>
          <w:sz w:val="28"/>
          <w:szCs w:val="32"/>
        </w:rPr>
      </w:pPr>
      <w:r>
        <w:rPr>
          <w:rFonts w:hint="eastAsia" w:ascii="Times New Roman" w:hAnsi="仿宋" w:eastAsia="宋体" w:cs="仿宋"/>
          <w:spacing w:val="3"/>
          <w:sz w:val="28"/>
          <w:szCs w:val="32"/>
        </w:rPr>
        <w:t>产出主要从职责履行、产出数量、产出质量、产出时效、产出成本五个方面进行评价。</w:t>
      </w:r>
    </w:p>
    <w:p w14:paraId="1D07771C">
      <w:pPr>
        <w:pStyle w:val="18"/>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spacing w:val="3"/>
          <w:sz w:val="28"/>
          <w:szCs w:val="32"/>
        </w:rPr>
      </w:pPr>
      <w:bookmarkStart w:id="154" w:name="_Toc30326"/>
      <w:bookmarkStart w:id="155" w:name="_Toc7745"/>
      <w:bookmarkStart w:id="156" w:name="_Toc27995"/>
      <w:r>
        <w:rPr>
          <w:rFonts w:hint="eastAsia" w:ascii="Times New Roman" w:hAnsi="仿宋" w:eastAsia="宋体" w:cs="仿宋"/>
          <w:b/>
          <w:spacing w:val="3"/>
          <w:sz w:val="28"/>
          <w:szCs w:val="32"/>
        </w:rPr>
        <w:t>1.履职产出</w:t>
      </w:r>
      <w:bookmarkEnd w:id="154"/>
      <w:bookmarkEnd w:id="155"/>
      <w:bookmarkEnd w:id="156"/>
    </w:p>
    <w:p w14:paraId="2ECF4FF8">
      <w:pPr>
        <w:pStyle w:val="18"/>
        <w:snapToGrid/>
        <w:spacing w:beforeAutospacing="0" w:afterAutospacing="0" w:line="360" w:lineRule="auto"/>
        <w:ind w:left="0" w:leftChars="0" w:firstLine="572" w:firstLineChars="200"/>
        <w:rPr>
          <w:rFonts w:hint="eastAsia" w:ascii="Times New Roman" w:hAnsi="仿宋" w:eastAsia="宋体" w:cs="仿宋"/>
          <w:spacing w:val="3"/>
          <w:sz w:val="28"/>
          <w:szCs w:val="32"/>
        </w:rPr>
      </w:pPr>
      <w:r>
        <w:rPr>
          <w:rFonts w:hint="eastAsia" w:ascii="Times New Roman" w:hAnsi="仿宋" w:eastAsia="宋体" w:cs="仿宋"/>
          <w:spacing w:val="3"/>
          <w:sz w:val="28"/>
          <w:szCs w:val="32"/>
        </w:rPr>
        <w:t>主要从项目实际完成率、项目质量达标率、部门绩效自评项目占比率、部门预算绩效管理情况四个方面进行评价。</w:t>
      </w:r>
    </w:p>
    <w:p w14:paraId="50034264">
      <w:pPr>
        <w:numPr>
          <w:ilvl w:val="0"/>
          <w:numId w:val="0"/>
        </w:numPr>
        <w:snapToGrid/>
        <w:spacing w:beforeAutospacing="0" w:afterAutospacing="0" w:line="360" w:lineRule="auto"/>
        <w:ind w:leftChars="200"/>
        <w:rPr>
          <w:rFonts w:hint="eastAsia" w:ascii="Times New Roman" w:hAnsi="仿宋" w:eastAsia="宋体" w:cs="仿宋"/>
          <w:sz w:val="28"/>
          <w:szCs w:val="32"/>
        </w:rPr>
      </w:pPr>
      <w:r>
        <w:rPr>
          <w:rFonts w:hint="eastAsia" w:ascii="Times New Roman" w:hAnsi="仿宋" w:cs="仿宋"/>
          <w:spacing w:val="3"/>
          <w:sz w:val="28"/>
          <w:szCs w:val="32"/>
          <w:lang w:eastAsia="zh-CN"/>
        </w:rPr>
        <w:t>（</w:t>
      </w:r>
      <w:r>
        <w:rPr>
          <w:rFonts w:hint="eastAsia" w:ascii="Times New Roman" w:hAnsi="仿宋" w:cs="仿宋"/>
          <w:spacing w:val="3"/>
          <w:sz w:val="28"/>
          <w:szCs w:val="32"/>
          <w:lang w:val="en-US" w:eastAsia="zh-CN"/>
        </w:rPr>
        <w:t>1）</w:t>
      </w:r>
      <w:r>
        <w:rPr>
          <w:rFonts w:hint="eastAsia" w:ascii="Times New Roman" w:hAnsi="仿宋" w:eastAsia="宋体" w:cs="仿宋"/>
          <w:spacing w:val="3"/>
          <w:sz w:val="28"/>
          <w:szCs w:val="32"/>
        </w:rPr>
        <w:t>项目实际完成率（分值为2分）</w:t>
      </w:r>
    </w:p>
    <w:p w14:paraId="077AEEE5">
      <w:pPr>
        <w:pStyle w:val="2"/>
        <w:snapToGrid/>
        <w:spacing w:beforeAutospacing="0" w:afterAutospacing="0" w:line="360" w:lineRule="auto"/>
        <w:ind w:left="0" w:leftChars="0" w:firstLine="572" w:firstLineChars="200"/>
        <w:rPr>
          <w:rFonts w:hint="eastAsia" w:ascii="Times New Roman" w:hAnsi="仿宋" w:eastAsia="宋体" w:cs="仿宋"/>
          <w:spacing w:val="3"/>
          <w:sz w:val="28"/>
          <w:szCs w:val="32"/>
        </w:rPr>
      </w:pPr>
      <w:r>
        <w:rPr>
          <w:rFonts w:hint="eastAsia" w:ascii="Times New Roman" w:hAnsi="仿宋" w:eastAsia="宋体" w:cs="仿宋"/>
          <w:spacing w:val="3"/>
          <w:sz w:val="28"/>
          <w:szCs w:val="32"/>
        </w:rPr>
        <w:t>“项目实际完成率”指标是抽查评价部门(单位)履行职责而实际完成的项目数与计划完成的项目数的比率，用以反映和评价部门(单位)履职任务目标的实现程度。根据石狮市农业农村局提供的材料，本年度实际绩效目标专项补助资金100%，已达成年度目标，此项得2分。</w:t>
      </w:r>
    </w:p>
    <w:p w14:paraId="7DEE1C6E">
      <w:pPr>
        <w:pStyle w:val="18"/>
        <w:numPr>
          <w:ilvl w:val="0"/>
          <w:numId w:val="0"/>
        </w:numPr>
        <w:snapToGrid/>
        <w:spacing w:beforeAutospacing="0" w:afterAutospacing="0" w:line="360" w:lineRule="auto"/>
        <w:ind w:leftChars="200"/>
        <w:rPr>
          <w:rFonts w:hint="eastAsia" w:ascii="Times New Roman" w:hAnsi="仿宋" w:eastAsia="宋体" w:cs="仿宋"/>
          <w:sz w:val="28"/>
          <w:szCs w:val="32"/>
        </w:rPr>
      </w:pPr>
      <w:r>
        <w:rPr>
          <w:rFonts w:hint="eastAsia" w:ascii="Times New Roman" w:hAnsi="仿宋" w:cs="仿宋"/>
          <w:sz w:val="28"/>
          <w:szCs w:val="32"/>
          <w:lang w:eastAsia="zh-CN"/>
        </w:rPr>
        <w:t>（</w:t>
      </w:r>
      <w:r>
        <w:rPr>
          <w:rFonts w:hint="eastAsia" w:ascii="Times New Roman" w:hAnsi="仿宋" w:cs="仿宋"/>
          <w:sz w:val="28"/>
          <w:szCs w:val="32"/>
          <w:lang w:val="en-US" w:eastAsia="zh-CN"/>
        </w:rPr>
        <w:t>2）</w:t>
      </w:r>
      <w:r>
        <w:rPr>
          <w:rFonts w:hint="eastAsia" w:ascii="Times New Roman" w:hAnsi="仿宋" w:eastAsia="宋体" w:cs="仿宋"/>
          <w:sz w:val="28"/>
          <w:szCs w:val="32"/>
        </w:rPr>
        <w:t>项目质量达标率（分值2分）</w:t>
      </w:r>
    </w:p>
    <w:p w14:paraId="636F66B0">
      <w:pPr>
        <w:snapToGrid/>
        <w:spacing w:beforeAutospacing="0" w:afterAutospacing="0" w:line="360" w:lineRule="auto"/>
        <w:ind w:left="0" w:leftChars="0" w:firstLine="560" w:firstLineChars="200"/>
        <w:rPr>
          <w:rFonts w:hint="eastAsia" w:ascii="Times New Roman" w:hAnsi="仿宋" w:eastAsia="宋体" w:cs="仿宋"/>
          <w:sz w:val="28"/>
          <w:szCs w:val="32"/>
        </w:rPr>
      </w:pPr>
      <w:r>
        <w:rPr>
          <w:rFonts w:hint="eastAsia" w:ascii="Times New Roman" w:hAnsi="仿宋" w:eastAsia="宋体" w:cs="仿宋"/>
          <w:sz w:val="28"/>
          <w:szCs w:val="32"/>
        </w:rPr>
        <w:t>项目质量达标率主要评价部门（单位）已完成项目中质量达标项目个数占已完成项目个数的比率,用以反映和评价部门（单位）履职质量目标的实现程度。评价标准为“项目质量达标率等于100%的，得满分；项目质量达标率小于等于99%的，得0分；项目质量达标率在99%-100%之间的，得分=（某部门项目质量达标率-99%）/1%×该指标分值”。</w:t>
      </w:r>
    </w:p>
    <w:p w14:paraId="7DE6B971">
      <w:pPr>
        <w:snapToGrid/>
        <w:spacing w:beforeAutospacing="0" w:afterAutospacing="0" w:line="360" w:lineRule="auto"/>
        <w:ind w:left="0" w:leftChars="0" w:firstLine="560" w:firstLineChars="200"/>
        <w:rPr>
          <w:rFonts w:hint="eastAsia" w:ascii="Times New Roman" w:hAnsi="仿宋" w:eastAsia="宋体" w:cs="仿宋"/>
          <w:color w:val="auto"/>
          <w:sz w:val="28"/>
          <w:szCs w:val="32"/>
        </w:rPr>
      </w:pPr>
      <w:r>
        <w:rPr>
          <w:rFonts w:hint="eastAsia" w:ascii="Times New Roman" w:hAnsi="仿宋" w:eastAsia="宋体" w:cs="仿宋"/>
          <w:color w:val="auto"/>
          <w:sz w:val="28"/>
          <w:szCs w:val="32"/>
        </w:rPr>
        <w:t>抽查</w:t>
      </w:r>
      <w:r>
        <w:rPr>
          <w:rFonts w:hint="eastAsia" w:ascii="Times New Roman" w:hAnsi="仿宋" w:eastAsia="宋体" w:cs="仿宋"/>
          <w:color w:val="auto"/>
          <w:sz w:val="28"/>
          <w:szCs w:val="32"/>
          <w:lang w:val="en-US" w:eastAsia="zh-CN" w:bidi="ar-SA"/>
        </w:rPr>
        <w:t>对口帮扶（山海协作）、高标准农田建设、农产品质量安全检测、屠宰检疫专项；均为主要职责履行</w:t>
      </w:r>
      <w:r>
        <w:rPr>
          <w:rFonts w:hint="eastAsia" w:ascii="Times New Roman" w:hAnsi="仿宋" w:eastAsia="宋体" w:cs="仿宋"/>
          <w:color w:val="auto"/>
          <w:sz w:val="28"/>
          <w:szCs w:val="32"/>
        </w:rPr>
        <w:t>，未发现质量不达标情况。本项得分2分。</w:t>
      </w:r>
    </w:p>
    <w:p w14:paraId="36F3FFCE">
      <w:pPr>
        <w:pStyle w:val="2"/>
        <w:numPr>
          <w:ilvl w:val="0"/>
          <w:numId w:val="0"/>
        </w:numPr>
        <w:snapToGrid/>
        <w:spacing w:beforeAutospacing="0" w:afterAutospacing="0" w:line="360" w:lineRule="auto"/>
        <w:ind w:leftChars="200"/>
        <w:rPr>
          <w:rFonts w:hint="eastAsia" w:ascii="Times New Roman" w:hAnsi="仿宋" w:eastAsia="宋体" w:cs="仿宋"/>
          <w:sz w:val="28"/>
          <w:szCs w:val="32"/>
        </w:rPr>
      </w:pPr>
      <w:r>
        <w:rPr>
          <w:rFonts w:hint="eastAsia" w:ascii="Times New Roman" w:hAnsi="仿宋" w:cs="仿宋"/>
          <w:sz w:val="28"/>
          <w:szCs w:val="32"/>
          <w:lang w:eastAsia="zh-CN"/>
        </w:rPr>
        <w:t>（</w:t>
      </w:r>
      <w:r>
        <w:rPr>
          <w:rFonts w:hint="eastAsia" w:ascii="Times New Roman" w:hAnsi="仿宋" w:cs="仿宋"/>
          <w:sz w:val="28"/>
          <w:szCs w:val="32"/>
          <w:lang w:val="en-US" w:eastAsia="zh-CN"/>
        </w:rPr>
        <w:t>3）</w:t>
      </w:r>
      <w:r>
        <w:rPr>
          <w:rFonts w:hint="eastAsia" w:ascii="Times New Roman" w:hAnsi="仿宋" w:eastAsia="宋体" w:cs="仿宋"/>
          <w:sz w:val="28"/>
          <w:szCs w:val="32"/>
        </w:rPr>
        <w:t>部门绩效自评项目占比率（分值为2分）</w:t>
      </w:r>
    </w:p>
    <w:p w14:paraId="63B66411">
      <w:pPr>
        <w:pStyle w:val="18"/>
        <w:snapToGrid/>
        <w:spacing w:beforeAutospacing="0" w:afterAutospacing="0" w:line="360" w:lineRule="auto"/>
        <w:ind w:left="0" w:leftChars="0" w:firstLine="560" w:firstLineChars="200"/>
        <w:rPr>
          <w:rFonts w:hint="eastAsia" w:ascii="Times New Roman" w:hAnsi="仿宋" w:eastAsia="宋体" w:cs="仿宋"/>
          <w:sz w:val="28"/>
          <w:szCs w:val="32"/>
        </w:rPr>
      </w:pPr>
      <w:r>
        <w:rPr>
          <w:rFonts w:hint="eastAsia" w:ascii="Times New Roman" w:hAnsi="仿宋" w:eastAsia="宋体" w:cs="仿宋"/>
          <w:sz w:val="28"/>
          <w:szCs w:val="32"/>
        </w:rPr>
        <w:t>“部门绩效自评项目占比率”指标考核的是部门自评项目在所有项目中所占的份额，反映和评价部门对项目自评的重视程度。2022年石狮市农业农村局全部开展了绩效自评并撰写绩效自评报告。部门绩效自评项目占比率100%。根据评分标准，此项得分2分。</w:t>
      </w:r>
    </w:p>
    <w:p w14:paraId="1627BF30">
      <w:pPr>
        <w:numPr>
          <w:ilvl w:val="0"/>
          <w:numId w:val="0"/>
        </w:numPr>
        <w:snapToGrid/>
        <w:spacing w:beforeAutospacing="0" w:afterAutospacing="0" w:line="360" w:lineRule="auto"/>
        <w:ind w:leftChars="200"/>
        <w:rPr>
          <w:rFonts w:hint="eastAsia" w:ascii="Times New Roman" w:hAnsi="仿宋" w:eastAsia="宋体" w:cs="仿宋"/>
          <w:sz w:val="28"/>
          <w:szCs w:val="32"/>
        </w:rPr>
      </w:pPr>
      <w:r>
        <w:rPr>
          <w:rFonts w:hint="eastAsia" w:ascii="Times New Roman" w:hAnsi="仿宋" w:cs="仿宋"/>
          <w:sz w:val="28"/>
          <w:szCs w:val="32"/>
          <w:lang w:eastAsia="zh-CN"/>
        </w:rPr>
        <w:t>（</w:t>
      </w:r>
      <w:r>
        <w:rPr>
          <w:rFonts w:hint="eastAsia" w:ascii="Times New Roman" w:hAnsi="仿宋" w:cs="仿宋"/>
          <w:sz w:val="28"/>
          <w:szCs w:val="32"/>
          <w:lang w:val="en-US" w:eastAsia="zh-CN"/>
        </w:rPr>
        <w:t>4）</w:t>
      </w:r>
      <w:r>
        <w:rPr>
          <w:rFonts w:hint="eastAsia" w:ascii="Times New Roman" w:hAnsi="仿宋" w:eastAsia="宋体" w:cs="仿宋"/>
          <w:sz w:val="28"/>
          <w:szCs w:val="32"/>
        </w:rPr>
        <w:t>部门预算绩效管理情况（分值为2分）</w:t>
      </w:r>
    </w:p>
    <w:p w14:paraId="7EA788C2">
      <w:pPr>
        <w:pStyle w:val="2"/>
        <w:snapToGrid/>
        <w:spacing w:beforeAutospacing="0" w:afterAutospacing="0" w:line="360" w:lineRule="auto"/>
        <w:ind w:left="0" w:leftChars="0" w:firstLine="560" w:firstLineChars="200"/>
        <w:rPr>
          <w:rFonts w:hint="eastAsia" w:ascii="Times New Roman" w:hAnsi="仿宋" w:eastAsia="宋体" w:cs="仿宋"/>
          <w:sz w:val="28"/>
          <w:szCs w:val="32"/>
        </w:rPr>
      </w:pPr>
      <w:r>
        <w:rPr>
          <w:rFonts w:hint="eastAsia" w:ascii="Times New Roman" w:hAnsi="仿宋" w:eastAsia="宋体" w:cs="仿宋"/>
          <w:sz w:val="28"/>
          <w:szCs w:val="32"/>
        </w:rPr>
        <w:t>“部门预算绩效管理情况”指标对部门开展预算绩效管理工作的年度评价结果，用以反映部门对预算绩效管理工作的重视程度和取得的成效。评价小组结果调查，石狮市农业农村局积极配合绩效评价工作小组工作，及时准备、提供目标申报表、绩效监控表、绩效自评表。未对提供的自评报告存在的问题及建议进行说明，自评报告缺乏完整性，此项扣1分，得分1分。</w:t>
      </w:r>
    </w:p>
    <w:p w14:paraId="6E0C77FD">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spacing w:val="3"/>
          <w:sz w:val="28"/>
          <w:szCs w:val="32"/>
        </w:rPr>
      </w:pPr>
      <w:bookmarkStart w:id="157" w:name="_Toc30491"/>
      <w:bookmarkStart w:id="158" w:name="_Toc20299"/>
      <w:bookmarkStart w:id="159" w:name="_Toc6747"/>
      <w:r>
        <w:rPr>
          <w:rFonts w:hint="eastAsia" w:ascii="Times New Roman" w:hAnsi="仿宋" w:eastAsia="宋体" w:cs="仿宋"/>
          <w:b/>
          <w:spacing w:val="3"/>
          <w:sz w:val="28"/>
          <w:szCs w:val="32"/>
        </w:rPr>
        <w:t>2.产出数量（分值为12分）</w:t>
      </w:r>
      <w:bookmarkEnd w:id="157"/>
      <w:bookmarkEnd w:id="158"/>
      <w:bookmarkEnd w:id="159"/>
    </w:p>
    <w:p w14:paraId="61C98A59">
      <w:pPr>
        <w:snapToGrid/>
        <w:spacing w:beforeAutospacing="0" w:afterAutospacing="0" w:line="360" w:lineRule="auto"/>
        <w:ind w:left="0" w:leftChars="0" w:firstLine="572" w:firstLineChars="200"/>
        <w:rPr>
          <w:rFonts w:hint="eastAsia" w:ascii="Times New Roman" w:hAnsi="仿宋" w:eastAsia="宋体" w:cs="仿宋"/>
          <w:spacing w:val="3"/>
          <w:sz w:val="28"/>
          <w:szCs w:val="32"/>
        </w:rPr>
      </w:pPr>
      <w:r>
        <w:rPr>
          <w:rFonts w:hint="eastAsia" w:ascii="Times New Roman" w:hAnsi="仿宋" w:eastAsia="宋体" w:cs="仿宋"/>
          <w:spacing w:val="3"/>
          <w:sz w:val="28"/>
          <w:szCs w:val="32"/>
        </w:rPr>
        <w:t>产出数量主要从新增高标准农田面积、农业农村工作宣教活动次数、农产品质量安全</w:t>
      </w:r>
      <w:r>
        <w:rPr>
          <w:rFonts w:hint="eastAsia" w:ascii="Times New Roman" w:hAnsi="仿宋" w:cs="仿宋"/>
          <w:spacing w:val="3"/>
          <w:sz w:val="28"/>
          <w:szCs w:val="32"/>
          <w:lang w:val="en-US" w:eastAsia="zh-CN"/>
        </w:rPr>
        <w:t>监督抽检数量</w:t>
      </w:r>
      <w:r>
        <w:rPr>
          <w:rFonts w:hint="eastAsia" w:ascii="Times New Roman" w:hAnsi="仿宋" w:eastAsia="宋体" w:cs="仿宋"/>
          <w:spacing w:val="3"/>
          <w:sz w:val="28"/>
          <w:szCs w:val="32"/>
        </w:rPr>
        <w:t>、渔业普通船员培训</w:t>
      </w:r>
      <w:r>
        <w:rPr>
          <w:rFonts w:hint="eastAsia" w:ascii="Times New Roman" w:hAnsi="仿宋" w:cs="仿宋"/>
          <w:spacing w:val="3"/>
          <w:sz w:val="28"/>
          <w:szCs w:val="32"/>
          <w:lang w:val="en-US" w:eastAsia="zh-CN"/>
        </w:rPr>
        <w:t>次数</w:t>
      </w:r>
      <w:r>
        <w:rPr>
          <w:rFonts w:hint="eastAsia" w:ascii="Times New Roman" w:hAnsi="仿宋" w:eastAsia="宋体" w:cs="仿宋"/>
          <w:spacing w:val="3"/>
          <w:sz w:val="28"/>
          <w:szCs w:val="32"/>
        </w:rPr>
        <w:t>、新获评省级农业龙头企业、示范点建设数六个方面进行评价。</w:t>
      </w:r>
    </w:p>
    <w:p w14:paraId="197D0E46">
      <w:pPr>
        <w:snapToGrid/>
        <w:spacing w:beforeAutospacing="0" w:afterAutospacing="0" w:line="360" w:lineRule="auto"/>
        <w:ind w:left="0" w:leftChars="0" w:firstLine="572" w:firstLineChars="200"/>
        <w:rPr>
          <w:rFonts w:hint="eastAsia" w:ascii="Times New Roman" w:hAnsi="仿宋" w:eastAsia="宋体" w:cs="仿宋"/>
          <w:spacing w:val="3"/>
          <w:sz w:val="28"/>
          <w:szCs w:val="32"/>
        </w:rPr>
      </w:pPr>
      <w:r>
        <w:rPr>
          <w:rFonts w:hint="eastAsia" w:ascii="Times New Roman" w:hAnsi="仿宋" w:eastAsia="宋体" w:cs="仿宋"/>
          <w:spacing w:val="3"/>
          <w:sz w:val="28"/>
          <w:szCs w:val="32"/>
        </w:rPr>
        <w:t>（1）新增高标准农田面积（分值为2分）</w:t>
      </w:r>
    </w:p>
    <w:p w14:paraId="3FE69D3B">
      <w:pPr>
        <w:snapToGrid/>
        <w:spacing w:beforeAutospacing="0" w:afterAutospacing="0" w:line="360" w:lineRule="auto"/>
        <w:ind w:left="0" w:leftChars="0" w:firstLine="572" w:firstLineChars="200"/>
        <w:rPr>
          <w:rFonts w:hint="eastAsia" w:ascii="Times New Roman" w:hAnsi="仿宋" w:eastAsia="宋体" w:cs="仿宋"/>
          <w:spacing w:val="3"/>
          <w:sz w:val="28"/>
          <w:szCs w:val="32"/>
        </w:rPr>
      </w:pPr>
      <w:r>
        <w:rPr>
          <w:rFonts w:hint="eastAsia" w:ascii="Times New Roman" w:hAnsi="仿宋" w:eastAsia="宋体" w:cs="仿宋"/>
          <w:spacing w:val="3"/>
          <w:sz w:val="28"/>
          <w:szCs w:val="32"/>
        </w:rPr>
        <w:t>“新增高标准农田面积”指标用于衡量当年度符合高标准的农田面积新增情况。根据石狮市农业农村局提供的数据资料，2022年新增高标准农田面积绩效目标值为大于等于0.1万亩，实际新增高标准农田面积为0</w:t>
      </w:r>
      <w:r>
        <w:rPr>
          <w:rFonts w:hint="eastAsia" w:ascii="Times New Roman" w:hAnsi="仿宋" w:eastAsia="宋体" w:cs="仿宋"/>
          <w:spacing w:val="3"/>
          <w:sz w:val="28"/>
          <w:szCs w:val="32"/>
          <w:lang w:val="en-US" w:eastAsia="zh-CN"/>
        </w:rPr>
        <w:t>.</w:t>
      </w:r>
      <w:r>
        <w:rPr>
          <w:rFonts w:hint="eastAsia" w:ascii="Times New Roman" w:hAnsi="仿宋" w:eastAsia="宋体" w:cs="仿宋"/>
          <w:spacing w:val="3"/>
          <w:sz w:val="28"/>
          <w:szCs w:val="32"/>
        </w:rPr>
        <w:t>42万亩，年度绩效目标完成100%。根据评分标准，此项得2分。</w:t>
      </w:r>
    </w:p>
    <w:p w14:paraId="298F1AFF">
      <w:pPr>
        <w:snapToGrid/>
        <w:spacing w:beforeAutospacing="0" w:afterAutospacing="0" w:line="360" w:lineRule="auto"/>
        <w:ind w:left="0" w:leftChars="0" w:firstLine="572" w:firstLineChars="200"/>
        <w:rPr>
          <w:rFonts w:hint="eastAsia" w:ascii="Times New Roman" w:hAnsi="仿宋" w:eastAsia="宋体" w:cs="仿宋"/>
          <w:spacing w:val="3"/>
          <w:sz w:val="28"/>
          <w:szCs w:val="32"/>
        </w:rPr>
      </w:pPr>
      <w:r>
        <w:rPr>
          <w:rFonts w:hint="eastAsia" w:ascii="Times New Roman" w:hAnsi="仿宋" w:eastAsia="宋体" w:cs="仿宋"/>
          <w:spacing w:val="3"/>
          <w:sz w:val="28"/>
          <w:szCs w:val="32"/>
        </w:rPr>
        <w:t>（2）农业农村工作宣教活动次数（分值为2分）</w:t>
      </w:r>
    </w:p>
    <w:p w14:paraId="71B6F654">
      <w:pPr>
        <w:snapToGrid/>
        <w:spacing w:beforeAutospacing="0" w:afterAutospacing="0" w:line="360" w:lineRule="auto"/>
        <w:ind w:left="0" w:leftChars="0" w:firstLine="572" w:firstLineChars="200"/>
        <w:rPr>
          <w:rFonts w:hint="eastAsia" w:ascii="Times New Roman" w:hAnsi="仿宋" w:eastAsia="宋体" w:cs="仿宋"/>
          <w:spacing w:val="3"/>
          <w:sz w:val="28"/>
          <w:szCs w:val="32"/>
        </w:rPr>
      </w:pPr>
      <w:r>
        <w:rPr>
          <w:rFonts w:hint="eastAsia" w:ascii="Times New Roman" w:hAnsi="仿宋" w:eastAsia="宋体" w:cs="仿宋"/>
          <w:spacing w:val="3"/>
          <w:sz w:val="28"/>
          <w:szCs w:val="32"/>
        </w:rPr>
        <w:t>“农业农村工作宣教活动次数”指标2022年设定的绩效目标为大于等于3次，实际完成4次。已完成年度绩效目标，根据评分标准，此项得2分。</w:t>
      </w:r>
    </w:p>
    <w:p w14:paraId="277CD869">
      <w:pPr>
        <w:snapToGrid/>
        <w:spacing w:beforeAutospacing="0" w:afterAutospacing="0" w:line="360" w:lineRule="auto"/>
        <w:ind w:left="0" w:leftChars="0" w:firstLine="572" w:firstLineChars="200"/>
        <w:rPr>
          <w:rFonts w:hint="eastAsia" w:ascii="Times New Roman" w:hAnsi="仿宋" w:eastAsia="宋体" w:cs="仿宋"/>
          <w:spacing w:val="3"/>
          <w:sz w:val="28"/>
          <w:szCs w:val="32"/>
        </w:rPr>
      </w:pPr>
      <w:r>
        <w:rPr>
          <w:rFonts w:hint="eastAsia" w:ascii="Times New Roman" w:hAnsi="仿宋" w:eastAsia="宋体" w:cs="仿宋"/>
          <w:spacing w:val="3"/>
          <w:sz w:val="28"/>
          <w:szCs w:val="32"/>
        </w:rPr>
        <w:t>（3）农产品质量安全监督抽检数量（分值为2分）</w:t>
      </w:r>
    </w:p>
    <w:p w14:paraId="51DA1440">
      <w:pPr>
        <w:snapToGrid/>
        <w:spacing w:beforeAutospacing="0" w:afterAutospacing="0" w:line="360" w:lineRule="auto"/>
        <w:ind w:left="0" w:leftChars="0" w:firstLine="572" w:firstLineChars="200"/>
        <w:rPr>
          <w:rFonts w:hint="eastAsia" w:ascii="Times New Roman" w:hAnsi="仿宋" w:eastAsia="宋体" w:cs="仿宋"/>
          <w:spacing w:val="3"/>
          <w:sz w:val="28"/>
          <w:szCs w:val="32"/>
        </w:rPr>
      </w:pPr>
      <w:r>
        <w:rPr>
          <w:rFonts w:hint="eastAsia" w:ascii="Times New Roman" w:hAnsi="仿宋" w:eastAsia="宋体" w:cs="仿宋"/>
          <w:spacing w:val="3"/>
          <w:sz w:val="28"/>
          <w:szCs w:val="32"/>
        </w:rPr>
        <w:t>“农产品质量安全监督抽检数量”指标用于衡量当年度监测样品数量的情况。2022年设定的绩效目标值大于300个，实际2022年，石狮市完成市本级农产品监督抽检样品396个，有3个不合格，合格率为99.24％，其中：种植业产品202个，有3个不合格，合格率为98.51％，不合格产品涉及生产主体已立案查处；畜禽产品159个，合格率为100％；水产品35个，合格率为100％。已完成年度绩效目标。根据评分标准，此项得2分。</w:t>
      </w:r>
    </w:p>
    <w:p w14:paraId="048CB9A5">
      <w:pPr>
        <w:snapToGrid/>
        <w:spacing w:beforeAutospacing="0" w:afterAutospacing="0" w:line="360" w:lineRule="auto"/>
        <w:ind w:left="0" w:leftChars="0" w:firstLine="572" w:firstLineChars="200"/>
        <w:rPr>
          <w:rFonts w:hint="eastAsia" w:ascii="Times New Roman" w:hAnsi="仿宋" w:eastAsia="宋体" w:cs="仿宋"/>
          <w:spacing w:val="3"/>
          <w:sz w:val="28"/>
          <w:szCs w:val="32"/>
        </w:rPr>
      </w:pPr>
      <w:r>
        <w:rPr>
          <w:rFonts w:hint="eastAsia" w:ascii="Times New Roman" w:hAnsi="仿宋" w:eastAsia="宋体" w:cs="仿宋"/>
          <w:spacing w:val="3"/>
          <w:sz w:val="28"/>
          <w:szCs w:val="32"/>
        </w:rPr>
        <w:t>（4）渔业普通船员培训次数（分值为2分）</w:t>
      </w:r>
    </w:p>
    <w:p w14:paraId="548AF527">
      <w:pPr>
        <w:snapToGrid/>
        <w:spacing w:beforeAutospacing="0" w:afterAutospacing="0" w:line="360" w:lineRule="auto"/>
        <w:ind w:left="0" w:leftChars="0" w:firstLine="572" w:firstLineChars="200"/>
        <w:rPr>
          <w:rFonts w:hint="eastAsia" w:ascii="Times New Roman" w:hAnsi="仿宋" w:eastAsia="宋体" w:cs="仿宋"/>
          <w:sz w:val="28"/>
          <w:szCs w:val="32"/>
        </w:rPr>
      </w:pPr>
      <w:r>
        <w:rPr>
          <w:rFonts w:hint="eastAsia" w:ascii="Times New Roman" w:hAnsi="仿宋" w:eastAsia="宋体" w:cs="仿宋"/>
          <w:spacing w:val="3"/>
          <w:sz w:val="28"/>
          <w:szCs w:val="32"/>
        </w:rPr>
        <w:t>“渔业普通船员培训</w:t>
      </w:r>
      <w:r>
        <w:rPr>
          <w:rFonts w:hint="eastAsia" w:ascii="Times New Roman" w:hAnsi="仿宋" w:cs="仿宋"/>
          <w:spacing w:val="3"/>
          <w:sz w:val="28"/>
          <w:szCs w:val="32"/>
          <w:lang w:val="en-US" w:eastAsia="zh-CN"/>
        </w:rPr>
        <w:t>次数</w:t>
      </w:r>
      <w:r>
        <w:rPr>
          <w:rFonts w:hint="eastAsia" w:ascii="Times New Roman" w:hAnsi="仿宋" w:eastAsia="宋体" w:cs="仿宋"/>
          <w:spacing w:val="3"/>
          <w:sz w:val="28"/>
          <w:szCs w:val="32"/>
        </w:rPr>
        <w:t>”指标用于衡量当年度渔业普通船员培训次数。根据石狮市农业农村局提供的数据资料，2022年度绩效目标为大于3500人，实际培训人数为4493人，已完成年度绩效目标。根据评分标准，此项得2分。</w:t>
      </w:r>
    </w:p>
    <w:p w14:paraId="111401DA">
      <w:pPr>
        <w:snapToGrid/>
        <w:spacing w:beforeAutospacing="0" w:afterAutospacing="0" w:line="360" w:lineRule="auto"/>
        <w:ind w:left="0" w:leftChars="0" w:firstLine="572" w:firstLineChars="200"/>
        <w:rPr>
          <w:rFonts w:hint="eastAsia" w:ascii="Times New Roman" w:hAnsi="仿宋" w:eastAsia="宋体" w:cs="仿宋"/>
          <w:spacing w:val="3"/>
          <w:sz w:val="28"/>
          <w:szCs w:val="32"/>
        </w:rPr>
      </w:pPr>
      <w:r>
        <w:rPr>
          <w:rFonts w:hint="eastAsia" w:ascii="Times New Roman" w:hAnsi="仿宋" w:eastAsia="宋体" w:cs="仿宋"/>
          <w:spacing w:val="3"/>
          <w:sz w:val="28"/>
          <w:szCs w:val="32"/>
        </w:rPr>
        <w:t>（5）新获评省级农业龙头企业（分值为2分）</w:t>
      </w:r>
    </w:p>
    <w:p w14:paraId="48D80691">
      <w:pPr>
        <w:snapToGrid/>
        <w:spacing w:beforeAutospacing="0" w:afterAutospacing="0" w:line="360" w:lineRule="auto"/>
        <w:ind w:left="0" w:leftChars="0" w:firstLine="572" w:firstLineChars="200"/>
        <w:rPr>
          <w:rFonts w:hint="eastAsia" w:ascii="Times New Roman" w:hAnsi="仿宋" w:eastAsia="宋体" w:cs="仿宋"/>
          <w:spacing w:val="3"/>
          <w:sz w:val="28"/>
          <w:szCs w:val="32"/>
        </w:rPr>
      </w:pPr>
      <w:r>
        <w:rPr>
          <w:rFonts w:hint="eastAsia" w:ascii="Times New Roman" w:hAnsi="仿宋" w:eastAsia="宋体" w:cs="仿宋"/>
          <w:spacing w:val="3"/>
          <w:sz w:val="28"/>
          <w:szCs w:val="32"/>
        </w:rPr>
        <w:t>“新获评省级农业龙头企业”指标用于衡量当年度新获评省级农业龙头企业数量。根据石狮市农业农村局提供的数据资料，2022年度绩效目标为大于等于3家，实际达成3家，分别是福建万弘海洋生物科技有限公司、石狮市利成水产食品有限公司、福建省港顺远洋渔业有限公司3家石狮企业。已完成年度绩效目标。根据评分标准，此项得2分。</w:t>
      </w:r>
    </w:p>
    <w:p w14:paraId="257165CC">
      <w:pPr>
        <w:snapToGrid/>
        <w:spacing w:beforeAutospacing="0" w:afterAutospacing="0" w:line="360" w:lineRule="auto"/>
        <w:ind w:left="0" w:leftChars="0" w:firstLine="572" w:firstLineChars="200"/>
        <w:rPr>
          <w:rFonts w:hint="eastAsia" w:ascii="Times New Roman" w:hAnsi="仿宋" w:eastAsia="宋体" w:cs="仿宋"/>
          <w:spacing w:val="3"/>
          <w:sz w:val="28"/>
          <w:szCs w:val="32"/>
        </w:rPr>
      </w:pPr>
      <w:r>
        <w:rPr>
          <w:rFonts w:hint="eastAsia" w:ascii="Times New Roman" w:hAnsi="仿宋" w:eastAsia="宋体" w:cs="仿宋"/>
          <w:spacing w:val="3"/>
          <w:sz w:val="28"/>
          <w:szCs w:val="32"/>
        </w:rPr>
        <w:t>（6）示范点建设数（分值2分）</w:t>
      </w:r>
    </w:p>
    <w:p w14:paraId="15B95B74">
      <w:pPr>
        <w:snapToGrid/>
        <w:spacing w:beforeAutospacing="0" w:afterAutospacing="0" w:line="360" w:lineRule="auto"/>
        <w:ind w:left="0" w:leftChars="0" w:firstLine="572" w:firstLineChars="200"/>
        <w:rPr>
          <w:rFonts w:hint="eastAsia" w:ascii="Times New Roman" w:hAnsi="仿宋" w:eastAsia="宋体" w:cs="仿宋"/>
          <w:spacing w:val="3"/>
          <w:sz w:val="28"/>
          <w:szCs w:val="32"/>
        </w:rPr>
      </w:pPr>
      <w:r>
        <w:rPr>
          <w:rFonts w:hint="eastAsia" w:ascii="Times New Roman" w:hAnsi="仿宋" w:eastAsia="宋体" w:cs="仿宋"/>
          <w:spacing w:val="3"/>
          <w:sz w:val="28"/>
          <w:szCs w:val="32"/>
        </w:rPr>
        <w:t>2022年度石狮市农业农村局计划建设示范点5个，评分标准为“示范乡镇、农业产业化等示范村建设5个及以上得满分，每少1个扣0.5分，扣完为止”。</w:t>
      </w:r>
    </w:p>
    <w:p w14:paraId="670F6A9D">
      <w:pPr>
        <w:snapToGrid/>
        <w:spacing w:beforeAutospacing="0" w:afterAutospacing="0" w:line="360" w:lineRule="auto"/>
        <w:ind w:left="0" w:leftChars="0" w:firstLine="572" w:firstLineChars="200"/>
        <w:rPr>
          <w:rFonts w:hint="eastAsia" w:ascii="Times New Roman" w:hAnsi="仿宋" w:eastAsia="宋体" w:cs="仿宋"/>
          <w:spacing w:val="3"/>
          <w:sz w:val="28"/>
          <w:szCs w:val="32"/>
        </w:rPr>
      </w:pPr>
      <w:r>
        <w:rPr>
          <w:rFonts w:hint="eastAsia" w:ascii="Times New Roman" w:hAnsi="仿宋" w:eastAsia="宋体" w:cs="仿宋"/>
          <w:spacing w:val="3"/>
          <w:sz w:val="28"/>
          <w:szCs w:val="32"/>
        </w:rPr>
        <w:t>根据福建省农业农村厅、福建省乡村振兴局公布2022年度乡村振兴示范乡镇、示范村创建名单。石狮市永宁镇获评全省乡村振兴示范乡镇创建单位，蚶江镇厝仔村、永宁镇郭坑村和西偏村、祥芝镇湖西村、鸿山镇邱下村、锦尚镇东店村获评全省乡村振兴示范村创建单位。本项得分2分。</w:t>
      </w:r>
    </w:p>
    <w:p w14:paraId="226F6619">
      <w:pPr>
        <w:snapToGrid/>
        <w:spacing w:beforeAutospacing="0" w:afterAutospacing="0" w:line="360" w:lineRule="auto"/>
        <w:ind w:left="0" w:leftChars="0" w:firstLine="572" w:firstLineChars="200"/>
        <w:rPr>
          <w:rFonts w:hint="eastAsia" w:ascii="Times New Roman" w:hAnsi="仿宋" w:eastAsia="宋体" w:cs="仿宋"/>
          <w:spacing w:val="3"/>
          <w:sz w:val="28"/>
          <w:szCs w:val="32"/>
        </w:rPr>
      </w:pPr>
      <w:r>
        <w:rPr>
          <w:rFonts w:hint="eastAsia" w:ascii="Times New Roman" w:hAnsi="仿宋" w:eastAsia="宋体" w:cs="仿宋"/>
          <w:spacing w:val="3"/>
          <w:sz w:val="28"/>
          <w:szCs w:val="32"/>
        </w:rPr>
        <w:t>因此，产出数量共计得12分。</w:t>
      </w:r>
    </w:p>
    <w:p w14:paraId="13032F88">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spacing w:val="3"/>
          <w:sz w:val="28"/>
          <w:szCs w:val="32"/>
        </w:rPr>
      </w:pPr>
      <w:bookmarkStart w:id="160" w:name="_Toc22010"/>
      <w:bookmarkStart w:id="161" w:name="_Toc21971"/>
      <w:bookmarkStart w:id="162" w:name="_Toc28596"/>
      <w:r>
        <w:rPr>
          <w:rFonts w:hint="eastAsia" w:ascii="Times New Roman" w:hAnsi="仿宋" w:eastAsia="宋体" w:cs="仿宋"/>
          <w:b/>
          <w:spacing w:val="3"/>
          <w:sz w:val="28"/>
          <w:szCs w:val="32"/>
        </w:rPr>
        <w:t>3.产出质量（分值为12分）</w:t>
      </w:r>
      <w:bookmarkEnd w:id="160"/>
      <w:bookmarkEnd w:id="161"/>
      <w:bookmarkEnd w:id="162"/>
    </w:p>
    <w:p w14:paraId="072691C5">
      <w:pPr>
        <w:snapToGrid/>
        <w:spacing w:beforeAutospacing="0" w:afterAutospacing="0" w:line="360" w:lineRule="auto"/>
        <w:ind w:left="0" w:leftChars="0" w:firstLine="572" w:firstLineChars="200"/>
        <w:rPr>
          <w:rFonts w:hint="eastAsia" w:ascii="Times New Roman" w:hAnsi="仿宋" w:eastAsia="宋体" w:cs="仿宋"/>
          <w:spacing w:val="3"/>
          <w:sz w:val="28"/>
          <w:szCs w:val="32"/>
        </w:rPr>
      </w:pPr>
      <w:r>
        <w:rPr>
          <w:rFonts w:hint="eastAsia" w:ascii="Times New Roman" w:hAnsi="仿宋" w:eastAsia="宋体" w:cs="仿宋"/>
          <w:spacing w:val="3"/>
          <w:sz w:val="28"/>
          <w:szCs w:val="32"/>
        </w:rPr>
        <w:t>产出质量从项目验收合格率、农产品质量安全监测总体合格率、良种覆盖率、保种水禽地方品种的生物多样性、示范点建设验收通过率、</w:t>
      </w:r>
      <w:r>
        <w:rPr>
          <w:rFonts w:hint="eastAsia" w:ascii="Times New Roman" w:hAnsi="仿宋" w:eastAsia="宋体" w:cs="仿宋"/>
          <w:spacing w:val="3"/>
          <w:sz w:val="28"/>
          <w:szCs w:val="32"/>
          <w:lang w:eastAsia="zh-CN"/>
        </w:rPr>
        <w:t>理赔服务</w:t>
      </w:r>
      <w:r>
        <w:rPr>
          <w:rFonts w:hint="eastAsia" w:ascii="Times New Roman" w:hAnsi="仿宋" w:eastAsia="宋体" w:cs="仿宋"/>
          <w:spacing w:val="3"/>
          <w:sz w:val="28"/>
          <w:szCs w:val="32"/>
        </w:rPr>
        <w:t>六个方面评价。</w:t>
      </w:r>
    </w:p>
    <w:p w14:paraId="60E5EFD3">
      <w:pPr>
        <w:snapToGrid/>
        <w:spacing w:beforeAutospacing="0" w:afterAutospacing="0" w:line="360" w:lineRule="auto"/>
        <w:ind w:left="0" w:leftChars="0" w:firstLine="572" w:firstLineChars="200"/>
        <w:rPr>
          <w:rFonts w:hint="eastAsia" w:ascii="Times New Roman" w:hAnsi="仿宋" w:eastAsia="宋体" w:cs="仿宋"/>
          <w:spacing w:val="3"/>
          <w:sz w:val="28"/>
          <w:szCs w:val="32"/>
        </w:rPr>
      </w:pPr>
      <w:r>
        <w:rPr>
          <w:rFonts w:hint="eastAsia" w:ascii="Times New Roman" w:hAnsi="仿宋" w:eastAsia="宋体" w:cs="仿宋"/>
          <w:spacing w:val="3"/>
          <w:sz w:val="28"/>
          <w:szCs w:val="32"/>
        </w:rPr>
        <w:t>（1）项目验收合格率（分值为2分）</w:t>
      </w:r>
    </w:p>
    <w:p w14:paraId="098130BE">
      <w:pPr>
        <w:snapToGrid/>
        <w:spacing w:beforeAutospacing="0" w:afterAutospacing="0" w:line="360" w:lineRule="auto"/>
        <w:ind w:left="0" w:leftChars="0" w:firstLine="572" w:firstLineChars="200"/>
        <w:rPr>
          <w:rFonts w:hint="eastAsia" w:ascii="Times New Roman" w:hAnsi="仿宋" w:eastAsia="宋体" w:cs="仿宋"/>
          <w:spacing w:val="3"/>
          <w:sz w:val="28"/>
          <w:szCs w:val="32"/>
        </w:rPr>
      </w:pPr>
      <w:r>
        <w:rPr>
          <w:rFonts w:hint="eastAsia" w:ascii="Times New Roman" w:hAnsi="仿宋" w:eastAsia="宋体" w:cs="仿宋"/>
          <w:spacing w:val="3"/>
          <w:sz w:val="28"/>
          <w:szCs w:val="32"/>
        </w:rPr>
        <w:t>“项目验收合格率”指标用于衡量在2022年度完工项目验收的比例。根据数据资料，设定的绩效目标为完成95%，实际完成100%，已达到年度绩效目标。根据评分标准，此项得2分。</w:t>
      </w:r>
    </w:p>
    <w:p w14:paraId="7B508FD6">
      <w:pPr>
        <w:snapToGrid/>
        <w:spacing w:beforeAutospacing="0" w:afterAutospacing="0" w:line="360" w:lineRule="auto"/>
        <w:ind w:left="0" w:leftChars="0" w:firstLine="572" w:firstLineChars="200"/>
        <w:rPr>
          <w:rFonts w:hint="eastAsia" w:ascii="Times New Roman" w:hAnsi="仿宋" w:eastAsia="宋体" w:cs="仿宋"/>
          <w:spacing w:val="3"/>
          <w:sz w:val="28"/>
          <w:szCs w:val="32"/>
        </w:rPr>
      </w:pPr>
      <w:r>
        <w:rPr>
          <w:rFonts w:hint="eastAsia" w:ascii="Times New Roman" w:hAnsi="仿宋" w:eastAsia="宋体" w:cs="仿宋"/>
          <w:spacing w:val="3"/>
          <w:sz w:val="28"/>
          <w:szCs w:val="32"/>
        </w:rPr>
        <w:t>（2）农产品质量安全监测总体合格率（分值为2分）</w:t>
      </w:r>
    </w:p>
    <w:p w14:paraId="3FC69A46">
      <w:pPr>
        <w:snapToGrid/>
        <w:spacing w:beforeAutospacing="0" w:afterAutospacing="0" w:line="360" w:lineRule="auto"/>
        <w:ind w:left="0" w:leftChars="0" w:firstLine="572" w:firstLineChars="200"/>
        <w:rPr>
          <w:rFonts w:hint="eastAsia" w:ascii="Times New Roman" w:hAnsi="仿宋" w:eastAsia="宋体" w:cs="仿宋"/>
          <w:spacing w:val="3"/>
          <w:sz w:val="28"/>
          <w:szCs w:val="32"/>
        </w:rPr>
      </w:pPr>
      <w:r>
        <w:rPr>
          <w:rFonts w:hint="eastAsia" w:ascii="Times New Roman" w:hAnsi="仿宋" w:eastAsia="宋体" w:cs="仿宋"/>
          <w:spacing w:val="3"/>
          <w:sz w:val="28"/>
          <w:szCs w:val="32"/>
        </w:rPr>
        <w:t>“农产品质量安全监测总体合格率”指标通过农产品安全监测合格率，考察农产品质量情况。根据查询数据资料，农产品安全监测合格率为99.44%，</w:t>
      </w:r>
      <w:r>
        <w:rPr>
          <w:rFonts w:hint="eastAsia" w:ascii="Times New Roman" w:hAnsi="仿宋" w:eastAsia="宋体" w:cs="仿宋"/>
          <w:sz w:val="28"/>
          <w:szCs w:val="32"/>
          <w:lang w:val="en-US" w:eastAsia="zh-CN"/>
        </w:rPr>
        <w:t>2022年</w:t>
      </w:r>
      <w:r>
        <w:rPr>
          <w:rFonts w:hint="eastAsia" w:ascii="Times New Roman" w:hAnsi="仿宋" w:eastAsia="宋体" w:cs="仿宋"/>
          <w:spacing w:val="3"/>
          <w:sz w:val="28"/>
          <w:szCs w:val="32"/>
        </w:rPr>
        <w:t>农产品质量安全监测总体合格率</w:t>
      </w:r>
      <w:r>
        <w:rPr>
          <w:rFonts w:hint="eastAsia" w:ascii="Times New Roman" w:hAnsi="仿宋" w:eastAsia="宋体" w:cs="仿宋"/>
          <w:spacing w:val="3"/>
          <w:sz w:val="28"/>
          <w:szCs w:val="32"/>
          <w:lang w:val="en-US" w:eastAsia="zh-CN"/>
        </w:rPr>
        <w:t>绩效目标是98%，</w:t>
      </w:r>
      <w:r>
        <w:rPr>
          <w:rFonts w:hint="eastAsia" w:ascii="Times New Roman" w:hAnsi="仿宋" w:eastAsia="宋体" w:cs="仿宋"/>
          <w:spacing w:val="3"/>
          <w:sz w:val="28"/>
          <w:szCs w:val="32"/>
        </w:rPr>
        <w:t>完成年度绩效目标。根据评分标准，此项得2分。</w:t>
      </w:r>
    </w:p>
    <w:p w14:paraId="18882859">
      <w:pPr>
        <w:snapToGrid/>
        <w:spacing w:beforeAutospacing="0" w:afterAutospacing="0" w:line="360" w:lineRule="auto"/>
        <w:ind w:left="0" w:leftChars="0" w:firstLine="572" w:firstLineChars="200"/>
        <w:rPr>
          <w:rFonts w:hint="eastAsia" w:ascii="Times New Roman" w:hAnsi="仿宋" w:eastAsia="宋体" w:cs="仿宋"/>
          <w:spacing w:val="3"/>
          <w:sz w:val="28"/>
          <w:szCs w:val="32"/>
        </w:rPr>
      </w:pPr>
      <w:r>
        <w:rPr>
          <w:rFonts w:hint="eastAsia" w:ascii="Times New Roman" w:hAnsi="仿宋" w:eastAsia="宋体" w:cs="仿宋"/>
          <w:spacing w:val="3"/>
          <w:sz w:val="28"/>
          <w:szCs w:val="32"/>
        </w:rPr>
        <w:t>（3）良种覆盖率（分值为2分）</w:t>
      </w:r>
    </w:p>
    <w:p w14:paraId="77618F45">
      <w:pPr>
        <w:snapToGrid/>
        <w:spacing w:beforeAutospacing="0" w:afterAutospacing="0" w:line="360" w:lineRule="auto"/>
        <w:ind w:left="0" w:leftChars="0" w:firstLine="572" w:firstLineChars="200"/>
        <w:rPr>
          <w:rFonts w:hint="eastAsia" w:ascii="Times New Roman" w:hAnsi="仿宋" w:eastAsia="宋体" w:cs="仿宋"/>
          <w:spacing w:val="3"/>
          <w:sz w:val="28"/>
          <w:szCs w:val="32"/>
        </w:rPr>
      </w:pPr>
      <w:r>
        <w:rPr>
          <w:rFonts w:hint="eastAsia" w:ascii="Times New Roman" w:hAnsi="仿宋" w:eastAsia="宋体" w:cs="仿宋"/>
          <w:spacing w:val="3"/>
          <w:sz w:val="28"/>
          <w:szCs w:val="32"/>
        </w:rPr>
        <w:t>“良种覆盖率”指标</w:t>
      </w:r>
      <w:r>
        <w:rPr>
          <w:rFonts w:hint="eastAsia" w:ascii="Times New Roman" w:hAnsi="仿宋" w:cs="仿宋"/>
          <w:spacing w:val="3"/>
          <w:sz w:val="28"/>
          <w:szCs w:val="32"/>
          <w:lang w:val="en-US" w:eastAsia="zh-CN"/>
        </w:rPr>
        <w:t>2022</w:t>
      </w:r>
      <w:r>
        <w:rPr>
          <w:rFonts w:hint="eastAsia" w:ascii="Times New Roman" w:hAnsi="仿宋" w:eastAsia="宋体" w:cs="仿宋"/>
          <w:spacing w:val="3"/>
          <w:sz w:val="28"/>
          <w:szCs w:val="32"/>
        </w:rPr>
        <w:t>年度设定绩效目标为98%，</w:t>
      </w:r>
      <w:r>
        <w:rPr>
          <w:rFonts w:hint="eastAsia" w:ascii="Times New Roman" w:hAnsi="仿宋" w:cs="仿宋"/>
          <w:spacing w:val="3"/>
          <w:sz w:val="28"/>
          <w:szCs w:val="32"/>
          <w:lang w:val="en-US" w:eastAsia="zh-CN"/>
        </w:rPr>
        <w:t>石狮市</w:t>
      </w:r>
      <w:r>
        <w:rPr>
          <w:rFonts w:hint="eastAsia" w:ascii="Times New Roman" w:hAnsi="仿宋" w:eastAsia="宋体" w:cs="仿宋"/>
          <w:spacing w:val="3"/>
          <w:sz w:val="28"/>
          <w:szCs w:val="32"/>
        </w:rPr>
        <w:t>种业发展中心共建立25个省级、20个市级现代种业项目，45个项目基地试验示范展示面积达4000余亩，引进各种农作物新品种300个以上，为全省农作物新品种的审定与推广提供可靠的技术数据，为石狮农作物生产筛选了优良的备用新品种</w:t>
      </w:r>
      <w:r>
        <w:rPr>
          <w:rFonts w:hint="eastAsia" w:ascii="Times New Roman" w:hAnsi="仿宋" w:cs="仿宋"/>
          <w:spacing w:val="3"/>
          <w:sz w:val="28"/>
          <w:szCs w:val="32"/>
          <w:lang w:eastAsia="zh-CN"/>
        </w:rPr>
        <w:t>，</w:t>
      </w:r>
      <w:r>
        <w:rPr>
          <w:rFonts w:hint="eastAsia" w:ascii="Times New Roman" w:hAnsi="仿宋" w:eastAsia="宋体" w:cs="仿宋"/>
          <w:spacing w:val="3"/>
          <w:sz w:val="28"/>
          <w:szCs w:val="32"/>
        </w:rPr>
        <w:t>全市农作物良种覆盖率达98.9%，完成年度绩效目标。根据评分标准，此项得2分。</w:t>
      </w:r>
    </w:p>
    <w:p w14:paraId="6AF6F7E2">
      <w:pPr>
        <w:snapToGrid/>
        <w:spacing w:beforeAutospacing="0" w:afterAutospacing="0" w:line="360" w:lineRule="auto"/>
        <w:ind w:left="0" w:leftChars="0" w:firstLine="572" w:firstLineChars="200"/>
        <w:rPr>
          <w:rFonts w:hint="eastAsia" w:ascii="Times New Roman" w:hAnsi="仿宋" w:eastAsia="宋体" w:cs="仿宋"/>
          <w:spacing w:val="3"/>
          <w:sz w:val="28"/>
          <w:szCs w:val="32"/>
        </w:rPr>
      </w:pPr>
      <w:r>
        <w:rPr>
          <w:rFonts w:hint="eastAsia" w:ascii="Times New Roman" w:hAnsi="仿宋" w:eastAsia="宋体" w:cs="仿宋"/>
          <w:spacing w:val="3"/>
          <w:sz w:val="28"/>
          <w:szCs w:val="32"/>
        </w:rPr>
        <w:t>（4）保种水禽地方品种的生物多样性（分值为2分）</w:t>
      </w:r>
    </w:p>
    <w:p w14:paraId="11B20055">
      <w:pPr>
        <w:snapToGrid/>
        <w:spacing w:beforeAutospacing="0" w:afterAutospacing="0" w:line="360" w:lineRule="auto"/>
        <w:ind w:left="0" w:leftChars="0" w:firstLine="572" w:firstLineChars="200"/>
        <w:rPr>
          <w:rFonts w:hint="eastAsia" w:ascii="Times New Roman" w:hAnsi="仿宋" w:eastAsia="宋体" w:cs="仿宋"/>
          <w:spacing w:val="3"/>
          <w:sz w:val="28"/>
          <w:szCs w:val="32"/>
        </w:rPr>
      </w:pPr>
      <w:r>
        <w:rPr>
          <w:rFonts w:hint="eastAsia" w:ascii="Times New Roman" w:hAnsi="仿宋" w:eastAsia="宋体" w:cs="仿宋"/>
          <w:spacing w:val="3"/>
          <w:sz w:val="28"/>
          <w:szCs w:val="32"/>
        </w:rPr>
        <w:t>“保种水禽地方品种的生物多样性”指标通过病原检出率，考察当度水禽品种的多样性。根据查询数据资料，农业农村局严格执行基因库人员、物品、场区以及种群的消毒制度，每周场区消毒1-2次，根据免疫计划按时、足量接种禽流感、鸭瘟、霍乱等疫苗。2022年累计接种禽流感疫苗4次，鸭瘟2次，霍乱1次；共开展疫病监测工作12次，采集样品1045份，其中血清795份，棉拭子250份，鸭瘟、禽流感抗体水平监测结果均合格，病原检出率为0。根据评分标准，此项得2分。</w:t>
      </w:r>
    </w:p>
    <w:p w14:paraId="61E078EF">
      <w:pPr>
        <w:snapToGrid/>
        <w:spacing w:beforeAutospacing="0" w:afterAutospacing="0" w:line="360" w:lineRule="auto"/>
        <w:ind w:left="0" w:leftChars="0" w:firstLine="572" w:firstLineChars="200"/>
        <w:rPr>
          <w:rFonts w:hint="eastAsia" w:ascii="Times New Roman" w:hAnsi="仿宋" w:eastAsia="宋体" w:cs="仿宋"/>
          <w:spacing w:val="3"/>
          <w:sz w:val="28"/>
          <w:szCs w:val="32"/>
        </w:rPr>
      </w:pPr>
      <w:r>
        <w:rPr>
          <w:rFonts w:hint="eastAsia" w:ascii="Times New Roman" w:hAnsi="仿宋" w:eastAsia="宋体" w:cs="仿宋"/>
          <w:spacing w:val="3"/>
          <w:sz w:val="28"/>
          <w:szCs w:val="32"/>
        </w:rPr>
        <w:t>（5）示范点建设验收通过率（分值2分）</w:t>
      </w:r>
    </w:p>
    <w:p w14:paraId="2C43056B">
      <w:pPr>
        <w:snapToGrid/>
        <w:spacing w:beforeAutospacing="0" w:afterAutospacing="0" w:line="360" w:lineRule="auto"/>
        <w:ind w:left="0" w:leftChars="0" w:firstLine="572" w:firstLineChars="200"/>
        <w:rPr>
          <w:rFonts w:hint="eastAsia" w:ascii="Times New Roman" w:hAnsi="仿宋" w:eastAsia="宋体" w:cs="仿宋"/>
          <w:spacing w:val="3"/>
          <w:sz w:val="28"/>
          <w:szCs w:val="32"/>
        </w:rPr>
      </w:pPr>
      <w:r>
        <w:rPr>
          <w:rFonts w:hint="eastAsia" w:ascii="Times New Roman" w:hAnsi="仿宋" w:eastAsia="宋体" w:cs="仿宋"/>
          <w:spacing w:val="3"/>
          <w:sz w:val="28"/>
          <w:szCs w:val="32"/>
        </w:rPr>
        <w:t>示范点建设验收通过率主要通过计算示范点建设验收通过率评价和考核示范点建设质量目标实现情况。评价标准为“示范点建设验收通过率≥95%（2分）；90%≤示范点建设验收通过率＜95%（1分）；示范点建设验收通过率＜90%（0分）。</w:t>
      </w:r>
    </w:p>
    <w:p w14:paraId="3275DBDD">
      <w:pPr>
        <w:snapToGrid/>
        <w:spacing w:beforeAutospacing="0" w:afterAutospacing="0" w:line="360" w:lineRule="auto"/>
        <w:ind w:left="0" w:leftChars="0" w:firstLine="572" w:firstLineChars="200"/>
        <w:rPr>
          <w:rFonts w:hint="eastAsia" w:ascii="Times New Roman" w:hAnsi="仿宋" w:eastAsia="宋体" w:cs="仿宋"/>
          <w:spacing w:val="3"/>
          <w:sz w:val="28"/>
          <w:szCs w:val="32"/>
        </w:rPr>
      </w:pPr>
      <w:r>
        <w:rPr>
          <w:rFonts w:hint="eastAsia" w:ascii="Times New Roman" w:hAnsi="仿宋" w:eastAsia="宋体" w:cs="仿宋"/>
          <w:spacing w:val="3"/>
          <w:sz w:val="28"/>
          <w:szCs w:val="32"/>
        </w:rPr>
        <w:t>检查示范点建设情况，石狮农业农村局采取先建后补方式，验收合格后才给予示范点建设补助。示范点建设验收通过率=示范点建设验收通过数量/示范点建设总数×100%=5/5×100%=100%。根据评分标准，此项得2分。</w:t>
      </w:r>
    </w:p>
    <w:p w14:paraId="461CCB2C">
      <w:pPr>
        <w:snapToGrid/>
        <w:spacing w:beforeAutospacing="0" w:afterAutospacing="0" w:line="360" w:lineRule="auto"/>
        <w:ind w:left="0" w:leftChars="0" w:firstLine="572" w:firstLineChars="200"/>
        <w:rPr>
          <w:rFonts w:hint="eastAsia" w:ascii="Times New Roman" w:hAnsi="仿宋" w:eastAsia="宋体" w:cs="仿宋"/>
          <w:spacing w:val="3"/>
          <w:sz w:val="28"/>
          <w:szCs w:val="32"/>
        </w:rPr>
      </w:pPr>
      <w:r>
        <w:rPr>
          <w:rFonts w:hint="eastAsia" w:ascii="Times New Roman" w:hAnsi="仿宋" w:eastAsia="宋体" w:cs="仿宋"/>
          <w:spacing w:val="3"/>
          <w:sz w:val="28"/>
          <w:szCs w:val="32"/>
        </w:rPr>
        <w:t>（6）</w:t>
      </w:r>
      <w:r>
        <w:rPr>
          <w:rFonts w:hint="eastAsia" w:ascii="Times New Roman" w:hAnsi="仿宋" w:eastAsia="宋体" w:cs="仿宋"/>
          <w:spacing w:val="3"/>
          <w:sz w:val="28"/>
          <w:szCs w:val="32"/>
          <w:lang w:val="en-US" w:eastAsia="zh-CN"/>
        </w:rPr>
        <w:t>农业保险理赔服务</w:t>
      </w:r>
      <w:r>
        <w:rPr>
          <w:rFonts w:hint="eastAsia" w:ascii="Times New Roman" w:hAnsi="仿宋" w:eastAsia="宋体" w:cs="仿宋"/>
          <w:spacing w:val="3"/>
          <w:sz w:val="28"/>
          <w:szCs w:val="32"/>
        </w:rPr>
        <w:t>（分值为2分）</w:t>
      </w:r>
    </w:p>
    <w:p w14:paraId="292AFF08">
      <w:pPr>
        <w:snapToGrid/>
        <w:spacing w:beforeAutospacing="0" w:afterAutospacing="0" w:line="360" w:lineRule="auto"/>
        <w:ind w:left="0" w:leftChars="0" w:firstLine="572" w:firstLineChars="200"/>
        <w:rPr>
          <w:rFonts w:ascii="Times New Roman" w:hAnsi="仿宋" w:eastAsia="宋体" w:cs="仿宋"/>
          <w:color w:val="auto"/>
          <w:kern w:val="0"/>
          <w:sz w:val="28"/>
          <w:szCs w:val="32"/>
        </w:rPr>
      </w:pPr>
      <w:r>
        <w:rPr>
          <w:rFonts w:hint="eastAsia" w:ascii="Times New Roman" w:hAnsi="仿宋" w:eastAsia="宋体" w:cs="仿宋"/>
          <w:color w:val="auto"/>
          <w:spacing w:val="3"/>
          <w:sz w:val="28"/>
          <w:szCs w:val="32"/>
        </w:rPr>
        <w:t>“</w:t>
      </w:r>
      <w:r>
        <w:rPr>
          <w:rFonts w:hint="eastAsia" w:ascii="Times New Roman" w:hAnsi="仿宋" w:eastAsia="宋体" w:cs="仿宋"/>
          <w:color w:val="auto"/>
          <w:spacing w:val="3"/>
          <w:sz w:val="28"/>
          <w:szCs w:val="32"/>
          <w:lang w:val="en-US" w:eastAsia="zh-CN"/>
        </w:rPr>
        <w:t>农业保险理赔服务</w:t>
      </w:r>
      <w:r>
        <w:rPr>
          <w:rFonts w:hint="eastAsia" w:ascii="Times New Roman" w:hAnsi="仿宋" w:eastAsia="宋体" w:cs="仿宋"/>
          <w:color w:val="auto"/>
          <w:sz w:val="28"/>
          <w:szCs w:val="32"/>
        </w:rPr>
        <w:t>”指标用于衡量保险机构理赔服务的质量。根据</w:t>
      </w:r>
      <w:r>
        <w:rPr>
          <w:rFonts w:hint="eastAsia" w:ascii="Times New Roman" w:hAnsi="仿宋" w:eastAsia="宋体" w:cs="仿宋"/>
          <w:color w:val="auto"/>
          <w:sz w:val="28"/>
          <w:szCs w:val="32"/>
          <w:lang w:val="en-US" w:eastAsia="zh-CN"/>
        </w:rPr>
        <w:t>石狮</w:t>
      </w:r>
      <w:r>
        <w:rPr>
          <w:rFonts w:hint="eastAsia" w:ascii="Times New Roman" w:hAnsi="仿宋" w:eastAsia="宋体" w:cs="仿宋"/>
          <w:color w:val="auto"/>
          <w:sz w:val="28"/>
          <w:szCs w:val="32"/>
        </w:rPr>
        <w:t>农业农村局等责任单位提供的数据资料，保险公司严格执行理赔标准和制度，以水稻种植为例，水稻种植保险工作遵循“政府引导、市场运作、自主自愿、协同推进”的基本原则组织开展。每亩水稻保费15元，保险金额每亩500元。在水稻遭受旱灾的保险赔偿案例中，根据承保机构提供的银行对账单中赔款，在比对了公示的赔款之后，确认了公示与实际支付金额的一致</w:t>
      </w:r>
      <w:r>
        <w:rPr>
          <w:rFonts w:hint="eastAsia" w:ascii="Times New Roman" w:hAnsi="仿宋" w:eastAsia="宋体" w:cs="仿宋"/>
          <w:color w:val="auto"/>
          <w:sz w:val="28"/>
          <w:szCs w:val="32"/>
          <w:lang w:eastAsia="zh-CN"/>
        </w:rPr>
        <w:t>，</w:t>
      </w:r>
      <w:r>
        <w:rPr>
          <w:rFonts w:hint="eastAsia" w:ascii="Times New Roman" w:hAnsi="仿宋" w:eastAsia="宋体" w:cs="仿宋"/>
          <w:color w:val="auto"/>
          <w:sz w:val="28"/>
          <w:szCs w:val="32"/>
        </w:rPr>
        <w:t>采用专家现场核实的方法提升理赔服务水平</w:t>
      </w:r>
      <w:r>
        <w:rPr>
          <w:rFonts w:hint="eastAsia" w:ascii="Times New Roman" w:hAnsi="仿宋" w:eastAsia="宋体" w:cs="仿宋"/>
          <w:color w:val="auto"/>
          <w:sz w:val="28"/>
          <w:szCs w:val="32"/>
          <w:lang w:eastAsia="zh-CN"/>
        </w:rPr>
        <w:t>，</w:t>
      </w:r>
      <w:r>
        <w:rPr>
          <w:rFonts w:hint="eastAsia" w:ascii="Times New Roman" w:hAnsi="仿宋" w:eastAsia="宋体" w:cs="仿宋"/>
          <w:color w:val="auto"/>
          <w:sz w:val="28"/>
          <w:szCs w:val="32"/>
          <w:lang w:val="en-US" w:eastAsia="zh-CN"/>
        </w:rPr>
        <w:t>但有部分农民反映，</w:t>
      </w:r>
      <w:r>
        <w:rPr>
          <w:rFonts w:hint="eastAsia" w:ascii="Times New Roman" w:hAnsi="仿宋" w:eastAsia="宋体" w:cs="仿宋"/>
          <w:color w:val="auto"/>
          <w:sz w:val="28"/>
          <w:szCs w:val="32"/>
          <w:lang w:val="en-US" w:eastAsia="zh-CN" w:bidi="zh-TW"/>
        </w:rPr>
        <w:t>承保验标程序繁琐的问题，理赔金额下来比较不及时。对政策农业保险的实施过程造成了一定的拖沓和</w:t>
      </w:r>
      <w:r>
        <w:rPr>
          <w:rFonts w:hint="eastAsia" w:ascii="Times New Roman" w:hAnsi="仿宋" w:cs="仿宋"/>
          <w:color w:val="auto"/>
          <w:sz w:val="28"/>
          <w:szCs w:val="32"/>
          <w:lang w:val="en-US" w:eastAsia="zh-CN" w:bidi="zh-TW"/>
        </w:rPr>
        <w:t>影响</w:t>
      </w:r>
      <w:r>
        <w:rPr>
          <w:rFonts w:hint="eastAsia" w:ascii="Times New Roman" w:hAnsi="仿宋" w:eastAsia="宋体" w:cs="仿宋"/>
          <w:color w:val="auto"/>
          <w:sz w:val="28"/>
          <w:szCs w:val="32"/>
        </w:rPr>
        <w:t>。根据评分标准，此项得</w:t>
      </w:r>
      <w:r>
        <w:rPr>
          <w:rFonts w:hint="eastAsia" w:ascii="Times New Roman" w:hAnsi="仿宋" w:eastAsia="宋体" w:cs="仿宋"/>
          <w:color w:val="auto"/>
          <w:sz w:val="28"/>
          <w:szCs w:val="32"/>
          <w:lang w:val="en-US" w:eastAsia="zh-CN"/>
        </w:rPr>
        <w:t>1</w:t>
      </w:r>
      <w:r>
        <w:rPr>
          <w:rFonts w:hint="eastAsia" w:ascii="Times New Roman" w:hAnsi="仿宋" w:eastAsia="宋体" w:cs="仿宋"/>
          <w:color w:val="auto"/>
          <w:sz w:val="28"/>
          <w:szCs w:val="32"/>
        </w:rPr>
        <w:t>分。</w:t>
      </w:r>
    </w:p>
    <w:p w14:paraId="26E1B4F2">
      <w:pPr>
        <w:snapToGrid/>
        <w:spacing w:beforeAutospacing="0" w:afterAutospacing="0" w:line="360" w:lineRule="auto"/>
        <w:ind w:left="0" w:leftChars="0" w:firstLine="572" w:firstLineChars="200"/>
        <w:rPr>
          <w:rFonts w:hint="eastAsia" w:ascii="Times New Roman" w:hAnsi="仿宋" w:eastAsia="宋体" w:cs="仿宋"/>
          <w:spacing w:val="3"/>
          <w:sz w:val="28"/>
          <w:szCs w:val="32"/>
        </w:rPr>
      </w:pPr>
      <w:r>
        <w:rPr>
          <w:rFonts w:hint="eastAsia" w:ascii="Times New Roman" w:hAnsi="仿宋" w:eastAsia="宋体" w:cs="仿宋"/>
          <w:spacing w:val="3"/>
          <w:sz w:val="28"/>
          <w:szCs w:val="32"/>
        </w:rPr>
        <w:t>因此，产出质量共计得</w:t>
      </w:r>
      <w:r>
        <w:rPr>
          <w:rFonts w:hint="eastAsia" w:ascii="Times New Roman" w:hAnsi="仿宋" w:cs="仿宋"/>
          <w:spacing w:val="3"/>
          <w:sz w:val="28"/>
          <w:szCs w:val="32"/>
          <w:lang w:val="en-US" w:eastAsia="zh-CN"/>
        </w:rPr>
        <w:t>11</w:t>
      </w:r>
      <w:r>
        <w:rPr>
          <w:rFonts w:hint="eastAsia" w:ascii="Times New Roman" w:hAnsi="仿宋" w:eastAsia="宋体" w:cs="仿宋"/>
          <w:spacing w:val="3"/>
          <w:sz w:val="28"/>
          <w:szCs w:val="32"/>
        </w:rPr>
        <w:t>分。</w:t>
      </w:r>
    </w:p>
    <w:p w14:paraId="7B0D0868">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spacing w:val="3"/>
          <w:sz w:val="28"/>
          <w:szCs w:val="32"/>
        </w:rPr>
      </w:pPr>
      <w:bookmarkStart w:id="163" w:name="_Toc18069"/>
      <w:bookmarkStart w:id="164" w:name="_Toc26631"/>
      <w:bookmarkStart w:id="165" w:name="_Toc24718"/>
      <w:r>
        <w:rPr>
          <w:rFonts w:hint="eastAsia" w:ascii="Times New Roman" w:hAnsi="仿宋" w:eastAsia="宋体" w:cs="仿宋"/>
          <w:b/>
          <w:spacing w:val="3"/>
          <w:sz w:val="28"/>
          <w:szCs w:val="32"/>
        </w:rPr>
        <w:t>4.产出时效（分值为4分）</w:t>
      </w:r>
      <w:bookmarkEnd w:id="163"/>
      <w:bookmarkEnd w:id="164"/>
      <w:bookmarkEnd w:id="165"/>
    </w:p>
    <w:p w14:paraId="148C35A2">
      <w:pPr>
        <w:snapToGrid/>
        <w:spacing w:beforeAutospacing="0" w:afterAutospacing="0" w:line="360" w:lineRule="auto"/>
        <w:ind w:left="0" w:leftChars="0" w:firstLine="572" w:firstLineChars="200"/>
        <w:rPr>
          <w:rFonts w:hint="eastAsia" w:ascii="Times New Roman" w:hAnsi="仿宋" w:eastAsia="宋体" w:cs="仿宋"/>
          <w:spacing w:val="3"/>
          <w:sz w:val="28"/>
          <w:szCs w:val="32"/>
        </w:rPr>
      </w:pPr>
      <w:r>
        <w:rPr>
          <w:rFonts w:hint="eastAsia" w:ascii="Times New Roman" w:hAnsi="仿宋" w:eastAsia="宋体" w:cs="仿宋"/>
          <w:spacing w:val="3"/>
          <w:sz w:val="28"/>
          <w:szCs w:val="32"/>
        </w:rPr>
        <w:t>产出时效从“项目进度达成率”1个方面进行评价</w:t>
      </w:r>
    </w:p>
    <w:p w14:paraId="50154CDF">
      <w:pPr>
        <w:snapToGrid/>
        <w:spacing w:beforeAutospacing="0" w:afterAutospacing="0" w:line="360" w:lineRule="auto"/>
        <w:ind w:left="0" w:leftChars="0" w:firstLine="572" w:firstLineChars="200"/>
        <w:rPr>
          <w:rFonts w:hint="eastAsia" w:ascii="Times New Roman" w:hAnsi="仿宋" w:eastAsia="宋体" w:cs="仿宋"/>
          <w:spacing w:val="3"/>
          <w:sz w:val="28"/>
          <w:szCs w:val="32"/>
        </w:rPr>
      </w:pPr>
      <w:r>
        <w:rPr>
          <w:rFonts w:hint="eastAsia" w:ascii="Times New Roman" w:hAnsi="仿宋" w:eastAsia="宋体" w:cs="仿宋"/>
          <w:spacing w:val="3"/>
          <w:sz w:val="28"/>
          <w:szCs w:val="32"/>
        </w:rPr>
        <w:t>“项目进度达成率”指标用于衡量石狮市农业农村局项目完成进度情况，评分标准为“项目进度达成率100%（</w:t>
      </w:r>
      <w:r>
        <w:rPr>
          <w:rFonts w:hint="eastAsia" w:ascii="Times New Roman" w:hAnsi="仿宋" w:cs="仿宋"/>
          <w:spacing w:val="3"/>
          <w:sz w:val="28"/>
          <w:szCs w:val="32"/>
          <w:lang w:val="en-US" w:eastAsia="zh-CN"/>
        </w:rPr>
        <w:t>4</w:t>
      </w:r>
      <w:r>
        <w:rPr>
          <w:rFonts w:hint="eastAsia" w:ascii="Times New Roman" w:hAnsi="仿宋" w:eastAsia="宋体" w:cs="仿宋"/>
          <w:spacing w:val="3"/>
          <w:sz w:val="28"/>
          <w:szCs w:val="32"/>
        </w:rPr>
        <w:t>分）；90%≤项目进度达成率＜100%（</w:t>
      </w:r>
      <w:r>
        <w:rPr>
          <w:rFonts w:hint="eastAsia" w:ascii="Times New Roman" w:hAnsi="仿宋" w:cs="仿宋"/>
          <w:spacing w:val="3"/>
          <w:sz w:val="28"/>
          <w:szCs w:val="32"/>
          <w:lang w:val="en-US" w:eastAsia="zh-CN"/>
        </w:rPr>
        <w:t>3</w:t>
      </w:r>
      <w:r>
        <w:rPr>
          <w:rFonts w:hint="eastAsia" w:ascii="Times New Roman" w:hAnsi="仿宋" w:eastAsia="宋体" w:cs="仿宋"/>
          <w:spacing w:val="3"/>
          <w:sz w:val="28"/>
          <w:szCs w:val="32"/>
        </w:rPr>
        <w:t>分）；80%≤项目进度达成率＜90%（2分）；70%≤项目进度达成率＜80%（1分）；项目进度达成率＜70%（0分）”。</w:t>
      </w:r>
    </w:p>
    <w:p w14:paraId="7E91C330">
      <w:pPr>
        <w:snapToGrid/>
        <w:spacing w:beforeAutospacing="0" w:afterAutospacing="0" w:line="360" w:lineRule="auto"/>
        <w:ind w:left="0" w:leftChars="0" w:firstLine="572" w:firstLineChars="200"/>
        <w:rPr>
          <w:rFonts w:hint="eastAsia" w:ascii="Times New Roman" w:hAnsi="仿宋" w:eastAsia="宋体" w:cs="仿宋"/>
          <w:spacing w:val="3"/>
          <w:sz w:val="28"/>
          <w:szCs w:val="32"/>
        </w:rPr>
      </w:pPr>
      <w:r>
        <w:rPr>
          <w:rFonts w:hint="eastAsia" w:ascii="Times New Roman" w:hAnsi="仿宋" w:eastAsia="宋体" w:cs="仿宋"/>
          <w:spacing w:val="3"/>
          <w:sz w:val="28"/>
          <w:szCs w:val="32"/>
        </w:rPr>
        <w:t>抽查美丽乡村建设项目进度情况，2022年度按计划共完成68项，项目进度达成率68/68×100%=100%。本项得分4分。</w:t>
      </w:r>
    </w:p>
    <w:p w14:paraId="6043476D">
      <w:pPr>
        <w:snapToGrid/>
        <w:spacing w:beforeAutospacing="0" w:afterAutospacing="0" w:line="360" w:lineRule="auto"/>
        <w:ind w:left="0" w:leftChars="0" w:firstLine="572" w:firstLineChars="200"/>
        <w:rPr>
          <w:rFonts w:hint="eastAsia" w:ascii="Times New Roman" w:hAnsi="仿宋" w:eastAsia="宋体" w:cs="仿宋"/>
          <w:spacing w:val="3"/>
          <w:sz w:val="28"/>
          <w:szCs w:val="32"/>
        </w:rPr>
      </w:pPr>
      <w:r>
        <w:rPr>
          <w:rFonts w:hint="eastAsia" w:ascii="Times New Roman" w:hAnsi="仿宋" w:eastAsia="宋体" w:cs="仿宋"/>
          <w:spacing w:val="3"/>
          <w:sz w:val="28"/>
          <w:szCs w:val="32"/>
        </w:rPr>
        <w:t>因此，产出时效共计得4分。</w:t>
      </w:r>
    </w:p>
    <w:p w14:paraId="571DE329">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spacing w:val="3"/>
          <w:sz w:val="28"/>
          <w:szCs w:val="32"/>
        </w:rPr>
      </w:pPr>
      <w:bookmarkStart w:id="166" w:name="_Toc27012"/>
      <w:bookmarkStart w:id="167" w:name="_Toc9496"/>
      <w:bookmarkStart w:id="168" w:name="_Toc238"/>
      <w:r>
        <w:rPr>
          <w:rFonts w:hint="eastAsia" w:ascii="Times New Roman" w:hAnsi="仿宋" w:eastAsia="宋体" w:cs="仿宋"/>
          <w:b/>
          <w:spacing w:val="3"/>
          <w:sz w:val="28"/>
          <w:szCs w:val="32"/>
        </w:rPr>
        <w:t>5.产出成本（分值为4分）</w:t>
      </w:r>
      <w:bookmarkEnd w:id="166"/>
      <w:bookmarkEnd w:id="167"/>
      <w:bookmarkEnd w:id="168"/>
    </w:p>
    <w:p w14:paraId="6BA420D4">
      <w:pPr>
        <w:snapToGrid/>
        <w:spacing w:beforeAutospacing="0" w:afterAutospacing="0" w:line="360" w:lineRule="auto"/>
        <w:ind w:left="0" w:leftChars="0" w:firstLine="572" w:firstLineChars="200"/>
        <w:rPr>
          <w:rFonts w:hint="eastAsia" w:ascii="Times New Roman" w:hAnsi="仿宋" w:eastAsia="宋体" w:cs="仿宋"/>
          <w:spacing w:val="3"/>
          <w:sz w:val="28"/>
          <w:szCs w:val="32"/>
        </w:rPr>
      </w:pPr>
      <w:r>
        <w:rPr>
          <w:rFonts w:hint="eastAsia" w:ascii="Times New Roman" w:hAnsi="仿宋" w:eastAsia="宋体" w:cs="仿宋"/>
          <w:spacing w:val="3"/>
          <w:sz w:val="28"/>
          <w:szCs w:val="32"/>
        </w:rPr>
        <w:t>产出</w:t>
      </w:r>
      <w:r>
        <w:rPr>
          <w:rFonts w:hint="eastAsia" w:ascii="Times New Roman" w:hAnsi="仿宋" w:cs="仿宋"/>
          <w:spacing w:val="3"/>
          <w:sz w:val="28"/>
          <w:szCs w:val="32"/>
          <w:lang w:val="en-US" w:eastAsia="zh-CN"/>
        </w:rPr>
        <w:t>成</w:t>
      </w:r>
      <w:r>
        <w:rPr>
          <w:rFonts w:hint="eastAsia" w:ascii="Times New Roman" w:hAnsi="仿宋" w:cs="仿宋"/>
          <w:spacing w:val="3"/>
          <w:sz w:val="28"/>
          <w:szCs w:val="32"/>
          <w:highlight w:val="none"/>
          <w:lang w:val="en-US" w:eastAsia="zh-CN"/>
        </w:rPr>
        <w:t>本</w:t>
      </w:r>
      <w:r>
        <w:rPr>
          <w:rFonts w:hint="eastAsia" w:ascii="Times New Roman" w:hAnsi="仿宋" w:eastAsia="宋体" w:cs="仿宋"/>
          <w:spacing w:val="3"/>
          <w:sz w:val="28"/>
          <w:szCs w:val="32"/>
          <w:highlight w:val="none"/>
        </w:rPr>
        <w:t>从“成本控制率”1</w:t>
      </w:r>
      <w:r>
        <w:rPr>
          <w:rFonts w:hint="eastAsia" w:ascii="Times New Roman" w:hAnsi="仿宋" w:eastAsia="宋体" w:cs="仿宋"/>
          <w:spacing w:val="3"/>
          <w:sz w:val="28"/>
          <w:szCs w:val="32"/>
        </w:rPr>
        <w:t>个方面进行评价</w:t>
      </w:r>
    </w:p>
    <w:p w14:paraId="16F0B169">
      <w:pPr>
        <w:snapToGrid/>
        <w:spacing w:beforeAutospacing="0" w:afterAutospacing="0" w:line="360" w:lineRule="auto"/>
        <w:ind w:left="0" w:leftChars="0" w:firstLine="572" w:firstLineChars="200"/>
        <w:rPr>
          <w:rFonts w:hint="eastAsia" w:ascii="Times New Roman" w:hAnsi="仿宋" w:eastAsia="宋体" w:cs="仿宋"/>
          <w:spacing w:val="3"/>
          <w:sz w:val="28"/>
          <w:szCs w:val="32"/>
        </w:rPr>
      </w:pPr>
      <w:r>
        <w:rPr>
          <w:rFonts w:hint="eastAsia" w:ascii="Times New Roman" w:hAnsi="仿宋" w:eastAsia="宋体" w:cs="仿宋"/>
          <w:spacing w:val="3"/>
          <w:sz w:val="28"/>
          <w:szCs w:val="32"/>
        </w:rPr>
        <w:t>“成本控制率”指标用于衡量石狮市农业农村局项目成本控制情况，评分标准为“成本控制率≦100得满分，每超10%扣1分，扣完为止”。</w:t>
      </w:r>
    </w:p>
    <w:p w14:paraId="292167BF">
      <w:pPr>
        <w:snapToGrid/>
        <w:spacing w:beforeAutospacing="0" w:afterAutospacing="0" w:line="360" w:lineRule="auto"/>
        <w:ind w:left="0" w:leftChars="0" w:firstLine="572" w:firstLineChars="200"/>
        <w:rPr>
          <w:rFonts w:hint="eastAsia" w:ascii="Times New Roman" w:hAnsi="仿宋" w:eastAsia="宋体" w:cs="仿宋"/>
          <w:spacing w:val="3"/>
          <w:sz w:val="28"/>
          <w:szCs w:val="32"/>
        </w:rPr>
      </w:pPr>
      <w:r>
        <w:rPr>
          <w:rFonts w:hint="eastAsia" w:ascii="Times New Roman" w:hAnsi="仿宋" w:eastAsia="宋体" w:cs="仿宋"/>
          <w:spacing w:val="3"/>
          <w:sz w:val="28"/>
          <w:szCs w:val="32"/>
        </w:rPr>
        <w:t>成本控制率=截至年末累计支出数/概算或当年度预算×100%=</w:t>
      </w:r>
      <w:r>
        <w:rPr>
          <w:rFonts w:hint="eastAsia" w:ascii="Times New Roman" w:hAnsi="仿宋" w:eastAsia="宋体" w:cs="仿宋"/>
          <w:spacing w:val="3"/>
          <w:sz w:val="28"/>
          <w:szCs w:val="32"/>
          <w:lang w:val="en-US" w:eastAsia="zh-CN"/>
        </w:rPr>
        <w:t>100</w:t>
      </w:r>
      <w:r>
        <w:rPr>
          <w:rFonts w:hint="eastAsia" w:ascii="Times New Roman" w:hAnsi="仿宋" w:eastAsia="宋体" w:cs="仿宋"/>
          <w:spacing w:val="3"/>
          <w:sz w:val="28"/>
          <w:szCs w:val="32"/>
        </w:rPr>
        <w:t>%。此项</w:t>
      </w:r>
      <w:r>
        <w:rPr>
          <w:rFonts w:hint="eastAsia" w:ascii="Times New Roman" w:hAnsi="仿宋" w:eastAsia="宋体" w:cs="仿宋"/>
          <w:spacing w:val="3"/>
          <w:sz w:val="28"/>
          <w:szCs w:val="32"/>
          <w:lang w:val="en-US" w:eastAsia="zh-CN"/>
        </w:rPr>
        <w:t>得4</w:t>
      </w:r>
      <w:r>
        <w:rPr>
          <w:rFonts w:hint="eastAsia" w:ascii="Times New Roman" w:hAnsi="仿宋" w:eastAsia="宋体" w:cs="仿宋"/>
          <w:spacing w:val="3"/>
          <w:sz w:val="28"/>
          <w:szCs w:val="32"/>
        </w:rPr>
        <w:t>分。</w:t>
      </w:r>
    </w:p>
    <w:p w14:paraId="2B083779">
      <w:pPr>
        <w:snapToGrid/>
        <w:spacing w:beforeAutospacing="0" w:afterAutospacing="0" w:line="360" w:lineRule="auto"/>
        <w:ind w:left="0" w:leftChars="0" w:firstLine="572" w:firstLineChars="200"/>
        <w:rPr>
          <w:rFonts w:hint="eastAsia" w:ascii="Times New Roman" w:hAnsi="仿宋" w:eastAsia="宋体" w:cs="仿宋"/>
          <w:spacing w:val="3"/>
          <w:sz w:val="28"/>
          <w:szCs w:val="32"/>
        </w:rPr>
      </w:pPr>
      <w:r>
        <w:rPr>
          <w:rFonts w:hint="eastAsia" w:ascii="Times New Roman" w:hAnsi="仿宋" w:eastAsia="宋体" w:cs="仿宋"/>
          <w:spacing w:val="3"/>
          <w:sz w:val="28"/>
          <w:szCs w:val="32"/>
        </w:rPr>
        <w:t>因此，产出成本共计得</w:t>
      </w:r>
      <w:r>
        <w:rPr>
          <w:rFonts w:hint="eastAsia" w:ascii="Times New Roman" w:hAnsi="仿宋" w:eastAsia="宋体" w:cs="仿宋"/>
          <w:spacing w:val="3"/>
          <w:sz w:val="28"/>
          <w:szCs w:val="32"/>
          <w:lang w:val="en-US" w:eastAsia="zh-CN"/>
        </w:rPr>
        <w:t>4</w:t>
      </w:r>
      <w:r>
        <w:rPr>
          <w:rFonts w:hint="eastAsia" w:ascii="Times New Roman" w:hAnsi="仿宋" w:eastAsia="宋体" w:cs="仿宋"/>
          <w:spacing w:val="3"/>
          <w:sz w:val="28"/>
          <w:szCs w:val="32"/>
        </w:rPr>
        <w:t>分。</w:t>
      </w:r>
    </w:p>
    <w:p w14:paraId="59AA8D1E">
      <w:pPr>
        <w:pStyle w:val="5"/>
        <w:keepNext w:val="0"/>
        <w:keepLines w:val="0"/>
        <w:snapToGrid/>
        <w:spacing w:before="156" w:beforeLines="50" w:beforeAutospacing="0" w:after="0" w:afterAutospacing="0" w:line="360" w:lineRule="auto"/>
        <w:ind w:left="0" w:leftChars="0" w:right="0" w:rightChars="0" w:firstLine="0" w:firstLineChars="0"/>
        <w:jc w:val="left"/>
        <w:outlineLvl w:val="1"/>
        <w:rPr>
          <w:rFonts w:hint="eastAsia" w:ascii="Times New Roman" w:hAnsi="仿宋" w:eastAsia="宋体" w:cs="仿宋"/>
          <w:b/>
          <w:kern w:val="0"/>
          <w:sz w:val="30"/>
          <w:szCs w:val="32"/>
          <w:lang w:bidi="ar"/>
        </w:rPr>
      </w:pPr>
      <w:bookmarkStart w:id="169" w:name="_Toc17860"/>
      <w:bookmarkStart w:id="170" w:name="_Toc7923"/>
      <w:bookmarkStart w:id="171" w:name="_Toc20263"/>
      <w:r>
        <w:rPr>
          <w:rFonts w:hint="eastAsia" w:ascii="Times New Roman" w:hAnsi="仿宋" w:eastAsia="宋体" w:cs="仿宋"/>
          <w:b/>
          <w:kern w:val="0"/>
          <w:sz w:val="30"/>
          <w:szCs w:val="32"/>
          <w:lang w:bidi="ar"/>
        </w:rPr>
        <w:t>（四）效益</w:t>
      </w:r>
      <w:r>
        <w:rPr>
          <w:rFonts w:hint="eastAsia" w:ascii="Times New Roman" w:hAnsi="仿宋" w:eastAsia="宋体" w:cs="仿宋"/>
          <w:b/>
          <w:kern w:val="0"/>
          <w:sz w:val="30"/>
          <w:szCs w:val="32"/>
          <w:lang w:val="en-US" w:eastAsia="zh-CN" w:bidi="ar"/>
        </w:rPr>
        <w:t xml:space="preserve"> </w:t>
      </w:r>
      <w:r>
        <w:rPr>
          <w:rFonts w:hint="eastAsia" w:ascii="Times New Roman" w:hAnsi="仿宋" w:eastAsia="宋体" w:cs="仿宋"/>
          <w:b/>
          <w:kern w:val="0"/>
          <w:sz w:val="30"/>
          <w:szCs w:val="32"/>
          <w:lang w:bidi="ar"/>
        </w:rPr>
        <w:t>(分值20分，得分</w:t>
      </w:r>
      <w:r>
        <w:rPr>
          <w:rFonts w:hint="eastAsia" w:ascii="Times New Roman" w:hAnsi="仿宋" w:eastAsia="宋体" w:cs="仿宋"/>
          <w:b/>
          <w:kern w:val="0"/>
          <w:sz w:val="30"/>
          <w:szCs w:val="32"/>
          <w:lang w:val="en-US" w:eastAsia="zh-CN" w:bidi="ar"/>
        </w:rPr>
        <w:t>17</w:t>
      </w:r>
      <w:r>
        <w:rPr>
          <w:rFonts w:hint="eastAsia" w:ascii="Times New Roman" w:hAnsi="仿宋" w:eastAsia="宋体" w:cs="仿宋"/>
          <w:b/>
          <w:kern w:val="0"/>
          <w:sz w:val="30"/>
          <w:szCs w:val="32"/>
          <w:lang w:bidi="ar"/>
        </w:rPr>
        <w:t>分)</w:t>
      </w:r>
      <w:bookmarkEnd w:id="149"/>
      <w:bookmarkEnd w:id="150"/>
      <w:bookmarkEnd w:id="169"/>
      <w:bookmarkEnd w:id="170"/>
      <w:bookmarkEnd w:id="171"/>
    </w:p>
    <w:p w14:paraId="250BF0F2">
      <w:pPr>
        <w:snapToGrid/>
        <w:spacing w:beforeAutospacing="0" w:afterAutospacing="0" w:line="360" w:lineRule="auto"/>
        <w:ind w:left="0" w:leftChars="0" w:firstLine="628" w:firstLineChars="200"/>
        <w:rPr>
          <w:rFonts w:hint="eastAsia" w:ascii="Times New Roman" w:hAnsi="仿宋" w:eastAsia="宋体" w:cs="仿宋"/>
          <w:spacing w:val="17"/>
          <w:sz w:val="28"/>
          <w:szCs w:val="32"/>
        </w:rPr>
      </w:pPr>
      <w:r>
        <w:rPr>
          <w:rFonts w:hint="eastAsia" w:ascii="Times New Roman" w:hAnsi="仿宋" w:eastAsia="宋体" w:cs="仿宋"/>
          <w:spacing w:val="17"/>
          <w:sz w:val="28"/>
          <w:szCs w:val="32"/>
        </w:rPr>
        <w:t>效果设置履职效益为二级指标，从社会效益、生态效益、可持续</w:t>
      </w:r>
      <w:r>
        <w:rPr>
          <w:rFonts w:hint="eastAsia" w:ascii="Times New Roman" w:hAnsi="仿宋" w:cs="仿宋"/>
          <w:spacing w:val="17"/>
          <w:sz w:val="28"/>
          <w:szCs w:val="32"/>
          <w:lang w:val="en-US" w:eastAsia="zh-CN"/>
        </w:rPr>
        <w:t>效益</w:t>
      </w:r>
      <w:r>
        <w:rPr>
          <w:rFonts w:hint="eastAsia" w:ascii="Times New Roman" w:hAnsi="仿宋" w:eastAsia="宋体" w:cs="仿宋"/>
          <w:spacing w:val="17"/>
          <w:sz w:val="28"/>
          <w:szCs w:val="32"/>
        </w:rPr>
        <w:t>、服务对象满意度四个方面进行评价。</w:t>
      </w:r>
    </w:p>
    <w:p w14:paraId="431D3B50">
      <w:pPr>
        <w:snapToGrid/>
        <w:spacing w:beforeAutospacing="0" w:afterAutospacing="0" w:line="360" w:lineRule="auto"/>
        <w:ind w:left="0" w:leftChars="0" w:firstLine="628" w:firstLineChars="200"/>
        <w:rPr>
          <w:rFonts w:hint="eastAsia" w:ascii="Times New Roman" w:hAnsi="仿宋" w:eastAsia="宋体" w:cs="仿宋"/>
          <w:spacing w:val="17"/>
          <w:sz w:val="28"/>
          <w:szCs w:val="32"/>
        </w:rPr>
      </w:pPr>
      <w:r>
        <w:rPr>
          <w:rFonts w:hint="eastAsia" w:ascii="Times New Roman" w:hAnsi="仿宋" w:eastAsia="宋体" w:cs="仿宋"/>
          <w:spacing w:val="17"/>
          <w:sz w:val="28"/>
          <w:szCs w:val="32"/>
        </w:rPr>
        <w:t>社会效益下设“粮食综合生产能力”“渔工渔船参保率”2个三级指标；生态效益下设“耕地质量”“美丽乡村建设项目村（社区）环境综合整治考核达标提升率”两个三级指标；可持续影响下设“农业农村工作完成情况”“农产品质量安全监测覆盖面”2个三级指标；服务对象满意度下设“农民满意度”三级指标。</w:t>
      </w:r>
    </w:p>
    <w:p w14:paraId="0027B816">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spacing w:val="17"/>
          <w:sz w:val="28"/>
          <w:szCs w:val="32"/>
        </w:rPr>
      </w:pPr>
      <w:bookmarkStart w:id="172" w:name="_Toc17636"/>
      <w:bookmarkStart w:id="173" w:name="_Toc20096"/>
      <w:bookmarkStart w:id="174" w:name="_Toc16983"/>
      <w:r>
        <w:rPr>
          <w:rFonts w:hint="eastAsia" w:ascii="Times New Roman" w:hAnsi="仿宋" w:eastAsia="宋体" w:cs="仿宋"/>
          <w:b/>
          <w:spacing w:val="17"/>
          <w:sz w:val="28"/>
          <w:szCs w:val="32"/>
        </w:rPr>
        <w:t>1.粮食综合生产能力(分值3分)</w:t>
      </w:r>
      <w:bookmarkEnd w:id="172"/>
      <w:bookmarkEnd w:id="173"/>
      <w:bookmarkEnd w:id="174"/>
    </w:p>
    <w:p w14:paraId="2E2E16DC">
      <w:pPr>
        <w:snapToGrid/>
        <w:spacing w:beforeAutospacing="0" w:afterAutospacing="0" w:line="360" w:lineRule="auto"/>
        <w:ind w:left="0" w:leftChars="0" w:firstLine="628" w:firstLineChars="200"/>
        <w:rPr>
          <w:rFonts w:hint="eastAsia" w:ascii="Times New Roman" w:hAnsi="仿宋" w:eastAsia="宋体" w:cs="仿宋"/>
          <w:spacing w:val="17"/>
          <w:sz w:val="28"/>
          <w:szCs w:val="32"/>
        </w:rPr>
      </w:pPr>
      <w:r>
        <w:rPr>
          <w:rFonts w:hint="eastAsia" w:ascii="Times New Roman" w:hAnsi="仿宋" w:eastAsia="宋体" w:cs="仿宋"/>
          <w:spacing w:val="17"/>
          <w:sz w:val="28"/>
          <w:szCs w:val="32"/>
        </w:rPr>
        <w:t>粮食综合生产能力指标通过考察供粮食综合生产能力提升情况，反映社会效益目标实现程度。</w:t>
      </w:r>
    </w:p>
    <w:p w14:paraId="2C492936">
      <w:pPr>
        <w:tabs>
          <w:tab w:val="left" w:pos="1018"/>
        </w:tabs>
        <w:snapToGrid/>
        <w:spacing w:beforeAutospacing="0" w:afterAutospacing="0" w:line="360" w:lineRule="auto"/>
        <w:ind w:left="0" w:leftChars="0" w:firstLine="628" w:firstLineChars="200"/>
        <w:rPr>
          <w:rFonts w:hint="default" w:ascii="Times New Roman" w:hAnsi="仿宋" w:eastAsia="宋体" w:cs="仿宋"/>
          <w:color w:val="auto"/>
          <w:sz w:val="28"/>
          <w:szCs w:val="32"/>
          <w:lang w:val="en-US" w:eastAsia="zh-CN" w:bidi="zh-TW"/>
        </w:rPr>
      </w:pPr>
      <w:r>
        <w:rPr>
          <w:rFonts w:hint="eastAsia" w:ascii="Times New Roman" w:hAnsi="仿宋" w:eastAsia="宋体" w:cs="仿宋"/>
          <w:color w:val="auto"/>
          <w:spacing w:val="17"/>
          <w:sz w:val="28"/>
          <w:szCs w:val="32"/>
        </w:rPr>
        <w:t>2022年石狮市农业农村局粮食综合生产能力有效提升。</w:t>
      </w:r>
      <w:r>
        <w:rPr>
          <w:rFonts w:hint="eastAsia" w:ascii="Times New Roman" w:hAnsi="仿宋" w:eastAsia="宋体" w:cs="仿宋"/>
          <w:color w:val="auto"/>
          <w:sz w:val="28"/>
          <w:szCs w:val="32"/>
          <w:lang w:eastAsia="zh-TW" w:bidi="zh-TW"/>
        </w:rPr>
        <w:t>产品附加值不高，一二三产</w:t>
      </w:r>
      <w:r>
        <w:rPr>
          <w:rFonts w:hint="eastAsia" w:ascii="Times New Roman" w:hAnsi="仿宋" w:cs="仿宋"/>
          <w:color w:val="auto"/>
          <w:sz w:val="28"/>
          <w:szCs w:val="32"/>
          <w:lang w:eastAsia="zh-CN" w:bidi="zh-TW"/>
        </w:rPr>
        <w:t>业</w:t>
      </w:r>
      <w:r>
        <w:rPr>
          <w:rFonts w:hint="eastAsia" w:ascii="Times New Roman" w:hAnsi="仿宋" w:eastAsia="宋体" w:cs="仿宋"/>
          <w:color w:val="auto"/>
          <w:sz w:val="28"/>
          <w:szCs w:val="32"/>
          <w:lang w:eastAsia="zh-TW" w:bidi="zh-TW"/>
        </w:rPr>
        <w:t>融合有待提升，全市农产品种类多、规模不大、产业不够集中，缺少加工企业，</w:t>
      </w:r>
      <w:r>
        <w:rPr>
          <w:rFonts w:hint="eastAsia" w:ascii="Times New Roman" w:hAnsi="仿宋" w:eastAsia="宋体" w:cs="仿宋"/>
          <w:color w:val="auto"/>
          <w:spacing w:val="17"/>
          <w:sz w:val="28"/>
          <w:szCs w:val="32"/>
        </w:rPr>
        <w:t>粮食综合生产能力</w:t>
      </w:r>
      <w:r>
        <w:rPr>
          <w:rFonts w:hint="eastAsia" w:ascii="Times New Roman" w:hAnsi="仿宋" w:eastAsia="宋体" w:cs="仿宋"/>
          <w:color w:val="auto"/>
          <w:spacing w:val="17"/>
          <w:sz w:val="28"/>
          <w:szCs w:val="32"/>
          <w:lang w:val="en-US" w:eastAsia="zh-CN"/>
        </w:rPr>
        <w:t>有待</w:t>
      </w:r>
      <w:r>
        <w:rPr>
          <w:rFonts w:hint="eastAsia" w:ascii="Times New Roman" w:hAnsi="仿宋" w:eastAsia="宋体" w:cs="仿宋"/>
          <w:color w:val="auto"/>
          <w:sz w:val="28"/>
          <w:szCs w:val="32"/>
          <w:lang w:eastAsia="zh-TW" w:bidi="zh-TW"/>
        </w:rPr>
        <w:t>形成完整产业链条。</w:t>
      </w:r>
      <w:r>
        <w:rPr>
          <w:rFonts w:hint="eastAsia" w:ascii="Times New Roman" w:hAnsi="仿宋" w:eastAsia="宋体" w:cs="仿宋"/>
          <w:color w:val="auto"/>
          <w:sz w:val="28"/>
          <w:szCs w:val="32"/>
          <w:lang w:val="en-US" w:eastAsia="zh-CN" w:bidi="zh-TW"/>
        </w:rPr>
        <w:t>此项得2分。</w:t>
      </w:r>
    </w:p>
    <w:p w14:paraId="3C72E383">
      <w:pPr>
        <w:snapToGrid/>
        <w:spacing w:beforeAutospacing="0" w:afterAutospacing="0" w:line="360" w:lineRule="auto"/>
        <w:ind w:left="0" w:leftChars="0" w:firstLine="628" w:firstLineChars="200"/>
        <w:rPr>
          <w:rFonts w:hint="eastAsia" w:ascii="Times New Roman" w:hAnsi="仿宋" w:eastAsia="宋体" w:cs="仿宋"/>
          <w:spacing w:val="17"/>
          <w:sz w:val="28"/>
          <w:szCs w:val="32"/>
        </w:rPr>
      </w:pPr>
      <w:r>
        <w:rPr>
          <w:rFonts w:hint="eastAsia" w:ascii="Times New Roman" w:hAnsi="仿宋" w:eastAsia="宋体" w:cs="仿宋"/>
          <w:spacing w:val="17"/>
          <w:sz w:val="28"/>
          <w:szCs w:val="32"/>
        </w:rPr>
        <w:t>本项得分</w:t>
      </w:r>
      <w:r>
        <w:rPr>
          <w:rFonts w:hint="eastAsia" w:ascii="Times New Roman" w:hAnsi="仿宋" w:cs="仿宋"/>
          <w:spacing w:val="17"/>
          <w:sz w:val="28"/>
          <w:szCs w:val="32"/>
          <w:lang w:val="en-US" w:eastAsia="zh-CN"/>
        </w:rPr>
        <w:t>2</w:t>
      </w:r>
      <w:r>
        <w:rPr>
          <w:rFonts w:hint="eastAsia" w:ascii="Times New Roman" w:hAnsi="仿宋" w:eastAsia="宋体" w:cs="仿宋"/>
          <w:spacing w:val="17"/>
          <w:sz w:val="28"/>
          <w:szCs w:val="32"/>
        </w:rPr>
        <w:t>分。</w:t>
      </w:r>
    </w:p>
    <w:p w14:paraId="5025E1BD">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spacing w:val="17"/>
          <w:sz w:val="28"/>
          <w:szCs w:val="32"/>
        </w:rPr>
      </w:pPr>
      <w:bookmarkStart w:id="175" w:name="_Toc23937"/>
      <w:bookmarkStart w:id="176" w:name="_Toc27392"/>
      <w:bookmarkStart w:id="177" w:name="_Toc8862"/>
      <w:r>
        <w:rPr>
          <w:rFonts w:hint="eastAsia" w:ascii="Times New Roman" w:hAnsi="仿宋" w:eastAsia="宋体" w:cs="仿宋"/>
          <w:b/>
          <w:spacing w:val="17"/>
          <w:sz w:val="28"/>
          <w:szCs w:val="32"/>
        </w:rPr>
        <w:t>2.渔工渔船参保率（分值3分）</w:t>
      </w:r>
      <w:bookmarkEnd w:id="175"/>
      <w:bookmarkEnd w:id="176"/>
      <w:bookmarkEnd w:id="177"/>
      <w:bookmarkStart w:id="222" w:name="_GoBack"/>
      <w:bookmarkEnd w:id="222"/>
    </w:p>
    <w:p w14:paraId="3C2D96C2">
      <w:pPr>
        <w:snapToGrid/>
        <w:spacing w:beforeAutospacing="0" w:afterAutospacing="0" w:line="360" w:lineRule="auto"/>
        <w:ind w:left="0" w:leftChars="0" w:firstLine="628" w:firstLineChars="200"/>
        <w:rPr>
          <w:rFonts w:hint="eastAsia" w:ascii="Times New Roman" w:hAnsi="仿宋" w:eastAsia="宋体" w:cs="仿宋"/>
          <w:spacing w:val="17"/>
          <w:sz w:val="28"/>
          <w:szCs w:val="32"/>
        </w:rPr>
      </w:pPr>
      <w:r>
        <w:rPr>
          <w:rFonts w:hint="eastAsia" w:ascii="Times New Roman" w:hAnsi="仿宋" w:eastAsia="宋体" w:cs="仿宋"/>
          <w:spacing w:val="17"/>
          <w:sz w:val="28"/>
          <w:szCs w:val="32"/>
        </w:rPr>
        <w:t>渔工渔船参保率指标主要通过计算渔工渔船参保率，考核渔工参加保险积极程度，反映社会效益目标实现情况。评价标准为“渔工渔船参保率≥90%（3分）；80%≤渔工渔船参保率＜90%（2分）；70%≤渔工渔船参保率＜80%（1分）；渔工渔船参保率＜70%（0分）”。</w:t>
      </w:r>
    </w:p>
    <w:p w14:paraId="4BD465BF">
      <w:pPr>
        <w:snapToGrid/>
        <w:spacing w:beforeAutospacing="0" w:afterAutospacing="0" w:line="360" w:lineRule="auto"/>
        <w:ind w:left="0" w:leftChars="0" w:firstLine="628" w:firstLineChars="200"/>
        <w:rPr>
          <w:rFonts w:hint="eastAsia" w:ascii="Times New Roman" w:hAnsi="仿宋" w:eastAsia="宋体" w:cs="仿宋"/>
          <w:spacing w:val="17"/>
          <w:sz w:val="28"/>
          <w:szCs w:val="32"/>
        </w:rPr>
      </w:pPr>
      <w:r>
        <w:rPr>
          <w:rFonts w:hint="eastAsia" w:ascii="Times New Roman" w:hAnsi="仿宋" w:eastAsia="宋体" w:cs="仿宋"/>
          <w:spacing w:val="17"/>
          <w:sz w:val="28"/>
          <w:szCs w:val="32"/>
        </w:rPr>
        <w:t>经调查，石狮市农业农村局扎实开展渔业互保工作，对石狮市经渔业主管部门核准的60马力以上渔船及全市渔工做到应保尽保，渔工渔船政策性保险完成率90%以上。本项得分3分。</w:t>
      </w:r>
    </w:p>
    <w:p w14:paraId="51473EA7">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spacing w:val="17"/>
          <w:sz w:val="28"/>
          <w:szCs w:val="32"/>
        </w:rPr>
      </w:pPr>
      <w:bookmarkStart w:id="178" w:name="_Toc27266"/>
      <w:bookmarkStart w:id="179" w:name="_Toc5385"/>
      <w:bookmarkStart w:id="180" w:name="_Toc1002"/>
      <w:r>
        <w:rPr>
          <w:rFonts w:hint="eastAsia" w:ascii="Times New Roman" w:hAnsi="仿宋" w:eastAsia="宋体" w:cs="仿宋"/>
          <w:b/>
          <w:spacing w:val="17"/>
          <w:sz w:val="28"/>
          <w:szCs w:val="32"/>
        </w:rPr>
        <w:t>3.耕地质量(分值2分)</w:t>
      </w:r>
      <w:bookmarkEnd w:id="178"/>
      <w:bookmarkEnd w:id="179"/>
      <w:bookmarkEnd w:id="180"/>
    </w:p>
    <w:p w14:paraId="1E2EF7A9">
      <w:pPr>
        <w:snapToGrid/>
        <w:spacing w:beforeAutospacing="0" w:afterAutospacing="0" w:line="360" w:lineRule="auto"/>
        <w:ind w:left="0" w:leftChars="0" w:firstLine="628" w:firstLineChars="200"/>
        <w:rPr>
          <w:rFonts w:hint="eastAsia" w:ascii="Times New Roman" w:hAnsi="仿宋" w:eastAsia="宋体" w:cs="仿宋"/>
          <w:spacing w:val="17"/>
          <w:sz w:val="28"/>
          <w:szCs w:val="32"/>
        </w:rPr>
      </w:pPr>
      <w:r>
        <w:rPr>
          <w:rFonts w:hint="eastAsia" w:ascii="Times New Roman" w:hAnsi="仿宋" w:eastAsia="宋体" w:cs="仿宋"/>
          <w:spacing w:val="17"/>
          <w:sz w:val="28"/>
          <w:szCs w:val="32"/>
        </w:rPr>
        <w:t>耕地质量指标通过考察耕地质量提升情况，反映</w:t>
      </w:r>
      <w:r>
        <w:rPr>
          <w:rFonts w:hint="eastAsia" w:ascii="Times New Roman" w:hAnsi="仿宋" w:cs="仿宋"/>
          <w:spacing w:val="17"/>
          <w:sz w:val="28"/>
          <w:szCs w:val="32"/>
          <w:lang w:val="en-US" w:eastAsia="zh-CN"/>
        </w:rPr>
        <w:t>生态</w:t>
      </w:r>
      <w:r>
        <w:rPr>
          <w:rFonts w:hint="eastAsia" w:ascii="Times New Roman" w:hAnsi="仿宋" w:eastAsia="宋体" w:cs="仿宋"/>
          <w:spacing w:val="17"/>
          <w:sz w:val="28"/>
          <w:szCs w:val="32"/>
        </w:rPr>
        <w:t>效益目标实现程度。</w:t>
      </w:r>
    </w:p>
    <w:p w14:paraId="491368EE">
      <w:pPr>
        <w:snapToGrid/>
        <w:spacing w:beforeAutospacing="0" w:afterAutospacing="0" w:line="360" w:lineRule="auto"/>
        <w:ind w:left="0" w:leftChars="0" w:firstLine="628" w:firstLineChars="200"/>
        <w:rPr>
          <w:rFonts w:hint="eastAsia" w:ascii="Times New Roman" w:hAnsi="仿宋" w:eastAsia="宋体" w:cs="仿宋"/>
          <w:spacing w:val="17"/>
          <w:sz w:val="28"/>
          <w:szCs w:val="32"/>
        </w:rPr>
      </w:pPr>
      <w:r>
        <w:rPr>
          <w:rFonts w:hint="eastAsia" w:ascii="Times New Roman" w:hAnsi="仿宋" w:eastAsia="宋体" w:cs="仿宋"/>
          <w:spacing w:val="17"/>
          <w:sz w:val="28"/>
          <w:szCs w:val="32"/>
        </w:rPr>
        <w:t>2022年石狮市农业农村局耕地质量有效提升</w:t>
      </w:r>
      <w:r>
        <w:rPr>
          <w:rFonts w:hint="eastAsia" w:ascii="Times New Roman" w:hAnsi="仿宋" w:eastAsia="宋体" w:cs="仿宋"/>
          <w:spacing w:val="17"/>
          <w:sz w:val="28"/>
          <w:szCs w:val="32"/>
          <w:lang w:eastAsia="zh-CN"/>
        </w:rPr>
        <w:t>，</w:t>
      </w:r>
      <w:r>
        <w:rPr>
          <w:rFonts w:hint="eastAsia" w:ascii="Times New Roman" w:hAnsi="仿宋" w:eastAsia="宋体" w:cs="仿宋"/>
          <w:spacing w:val="17"/>
          <w:sz w:val="28"/>
          <w:szCs w:val="32"/>
          <w:lang w:val="en-US" w:eastAsia="zh-CN"/>
        </w:rPr>
        <w:t>但部分耕地如石狮市湿地公园处于“非粮化”现象，不能形成大面积耕地</w:t>
      </w:r>
      <w:r>
        <w:rPr>
          <w:rFonts w:hint="eastAsia" w:ascii="Times New Roman" w:hAnsi="仿宋" w:eastAsia="宋体" w:cs="仿宋"/>
          <w:spacing w:val="17"/>
          <w:sz w:val="28"/>
          <w:szCs w:val="32"/>
        </w:rPr>
        <w:t>。本项</w:t>
      </w:r>
      <w:r>
        <w:rPr>
          <w:rFonts w:hint="eastAsia" w:ascii="Times New Roman" w:hAnsi="仿宋" w:eastAsia="宋体" w:cs="仿宋"/>
          <w:spacing w:val="17"/>
          <w:sz w:val="28"/>
          <w:szCs w:val="32"/>
          <w:lang w:val="en-US" w:eastAsia="zh-CN"/>
        </w:rPr>
        <w:t>扣1分，</w:t>
      </w:r>
      <w:r>
        <w:rPr>
          <w:rFonts w:hint="eastAsia" w:ascii="Times New Roman" w:hAnsi="仿宋" w:eastAsia="宋体" w:cs="仿宋"/>
          <w:spacing w:val="17"/>
          <w:sz w:val="28"/>
          <w:szCs w:val="32"/>
        </w:rPr>
        <w:t>得分</w:t>
      </w:r>
      <w:r>
        <w:rPr>
          <w:rFonts w:hint="eastAsia" w:ascii="Times New Roman" w:hAnsi="仿宋" w:eastAsia="宋体" w:cs="仿宋"/>
          <w:spacing w:val="17"/>
          <w:sz w:val="28"/>
          <w:szCs w:val="32"/>
          <w:lang w:val="en-US" w:eastAsia="zh-CN"/>
        </w:rPr>
        <w:t>1</w:t>
      </w:r>
      <w:r>
        <w:rPr>
          <w:rFonts w:hint="eastAsia" w:ascii="Times New Roman" w:hAnsi="仿宋" w:eastAsia="宋体" w:cs="仿宋"/>
          <w:spacing w:val="17"/>
          <w:sz w:val="28"/>
          <w:szCs w:val="32"/>
        </w:rPr>
        <w:t>分。</w:t>
      </w:r>
    </w:p>
    <w:p w14:paraId="189B4D44">
      <w:pPr>
        <w:numPr>
          <w:ilvl w:val="0"/>
          <w:numId w:val="2"/>
        </w:num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spacing w:val="17"/>
          <w:sz w:val="28"/>
          <w:szCs w:val="32"/>
        </w:rPr>
      </w:pPr>
      <w:bookmarkStart w:id="181" w:name="_Toc477"/>
      <w:bookmarkStart w:id="182" w:name="_Toc12960"/>
      <w:bookmarkStart w:id="183" w:name="_Toc18501"/>
      <w:r>
        <w:rPr>
          <w:rFonts w:hint="eastAsia" w:ascii="Times New Roman" w:hAnsi="仿宋" w:eastAsia="宋体" w:cs="仿宋"/>
          <w:b/>
          <w:spacing w:val="17"/>
          <w:sz w:val="28"/>
          <w:szCs w:val="32"/>
        </w:rPr>
        <w:t>美丽乡村建设项目村（社区）环境综合整治考核达标提升率</w:t>
      </w:r>
    </w:p>
    <w:p w14:paraId="2CBAFCEB">
      <w:pPr>
        <w:numPr>
          <w:ilvl w:val="0"/>
          <w:numId w:val="0"/>
        </w:numPr>
        <w:snapToGrid/>
        <w:spacing w:beforeAutospacing="0" w:afterAutospacing="0" w:line="360" w:lineRule="auto"/>
        <w:ind w:leftChars="0" w:right="0" w:rightChars="0"/>
        <w:jc w:val="left"/>
        <w:outlineLvl w:val="2"/>
        <w:rPr>
          <w:rFonts w:hint="eastAsia" w:ascii="Times New Roman" w:hAnsi="仿宋" w:eastAsia="宋体" w:cs="仿宋"/>
          <w:b/>
          <w:spacing w:val="17"/>
          <w:sz w:val="28"/>
          <w:szCs w:val="32"/>
        </w:rPr>
      </w:pPr>
      <w:r>
        <w:rPr>
          <w:rFonts w:hint="eastAsia" w:ascii="Times New Roman" w:hAnsi="仿宋" w:eastAsia="宋体" w:cs="仿宋"/>
          <w:b/>
          <w:spacing w:val="17"/>
          <w:sz w:val="28"/>
          <w:szCs w:val="32"/>
        </w:rPr>
        <w:t>(分值2分)</w:t>
      </w:r>
      <w:bookmarkEnd w:id="181"/>
      <w:bookmarkEnd w:id="182"/>
      <w:bookmarkEnd w:id="183"/>
    </w:p>
    <w:p w14:paraId="4CF6AC34">
      <w:pPr>
        <w:snapToGrid/>
        <w:spacing w:beforeAutospacing="0" w:afterAutospacing="0" w:line="360" w:lineRule="auto"/>
        <w:ind w:left="0" w:leftChars="0" w:firstLine="628" w:firstLineChars="200"/>
        <w:rPr>
          <w:rFonts w:hint="eastAsia" w:ascii="Times New Roman" w:hAnsi="仿宋" w:eastAsia="宋体" w:cs="仿宋"/>
          <w:spacing w:val="17"/>
          <w:sz w:val="28"/>
          <w:szCs w:val="32"/>
        </w:rPr>
      </w:pPr>
      <w:r>
        <w:rPr>
          <w:rFonts w:hint="eastAsia" w:ascii="Times New Roman" w:hAnsi="仿宋" w:eastAsia="宋体" w:cs="仿宋"/>
          <w:spacing w:val="17"/>
          <w:sz w:val="28"/>
          <w:szCs w:val="32"/>
        </w:rPr>
        <w:t>美丽乡村建设项目村（社区）环境综合整治考核达标提升率指标主要通过计算美丽乡村建设项目村（社区）环境综合整治考核达标提升率，考核和反映综合整治生态效益目标实现程度。评价标准为</w:t>
      </w:r>
      <w:r>
        <w:rPr>
          <w:rFonts w:hint="eastAsia" w:ascii="Times New Roman" w:hAnsi="仿宋" w:cs="仿宋"/>
          <w:spacing w:val="17"/>
          <w:sz w:val="28"/>
          <w:szCs w:val="32"/>
          <w:lang w:eastAsia="zh-CN"/>
        </w:rPr>
        <w:t>：</w:t>
      </w:r>
      <w:r>
        <w:rPr>
          <w:rFonts w:hint="eastAsia" w:ascii="Times New Roman" w:hAnsi="仿宋" w:eastAsia="宋体" w:cs="仿宋"/>
          <w:spacing w:val="17"/>
          <w:sz w:val="28"/>
          <w:szCs w:val="32"/>
        </w:rPr>
        <w:t>考核达标提升率≥10%（3分）；6%≤考核达标提升率＜10%（2.5分）；1%≤考核达标提升率＜5%（2分）；考核达标提升率＜1%（0分）。</w:t>
      </w:r>
    </w:p>
    <w:p w14:paraId="6B6DE2B8">
      <w:pPr>
        <w:snapToGrid/>
        <w:spacing w:beforeAutospacing="0" w:afterAutospacing="0" w:line="360" w:lineRule="auto"/>
        <w:ind w:left="0" w:leftChars="0" w:firstLine="628" w:firstLineChars="200"/>
        <w:rPr>
          <w:rFonts w:hint="eastAsia" w:ascii="Times New Roman" w:hAnsi="仿宋" w:eastAsia="宋体" w:cs="仿宋"/>
          <w:spacing w:val="17"/>
          <w:sz w:val="28"/>
          <w:szCs w:val="32"/>
        </w:rPr>
      </w:pPr>
      <w:r>
        <w:rPr>
          <w:rFonts w:hint="eastAsia" w:ascii="Times New Roman" w:hAnsi="仿宋" w:eastAsia="宋体" w:cs="仿宋"/>
          <w:spacing w:val="17"/>
          <w:sz w:val="28"/>
          <w:szCs w:val="32"/>
        </w:rPr>
        <w:t>检查美丽乡村建设项目村（社区）村环境综合整治考评情况，石狮市通过拓展提高“三清一改”内容标准，以开展乡村“五个美丽”建设</w:t>
      </w:r>
      <w:r>
        <w:rPr>
          <w:rFonts w:hint="eastAsia" w:ascii="Times New Roman" w:hAnsi="仿宋" w:eastAsia="宋体" w:cs="仿宋"/>
          <w:spacing w:val="17"/>
          <w:sz w:val="28"/>
          <w:szCs w:val="32"/>
          <w:lang w:eastAsia="zh-CN"/>
        </w:rPr>
        <w:t>，</w:t>
      </w:r>
      <w:r>
        <w:rPr>
          <w:rFonts w:hint="eastAsia" w:ascii="Times New Roman" w:hAnsi="仿宋" w:eastAsia="宋体" w:cs="仿宋"/>
          <w:spacing w:val="17"/>
          <w:sz w:val="28"/>
          <w:szCs w:val="32"/>
        </w:rPr>
        <w:t>38项整治项目考核指标达标率提升8%。</w:t>
      </w:r>
      <w:r>
        <w:rPr>
          <w:rFonts w:hint="eastAsia" w:ascii="Times New Roman" w:hAnsi="仿宋" w:eastAsia="宋体" w:cs="仿宋"/>
          <w:spacing w:val="17"/>
          <w:sz w:val="28"/>
          <w:szCs w:val="32"/>
          <w:lang w:val="en-US" w:eastAsia="zh-CN"/>
        </w:rPr>
        <w:t>扣1分，</w:t>
      </w:r>
      <w:r>
        <w:rPr>
          <w:rFonts w:hint="eastAsia" w:ascii="Times New Roman" w:hAnsi="仿宋" w:eastAsia="宋体" w:cs="仿宋"/>
          <w:spacing w:val="17"/>
          <w:sz w:val="28"/>
          <w:szCs w:val="32"/>
        </w:rPr>
        <w:t>得分</w:t>
      </w:r>
      <w:r>
        <w:rPr>
          <w:rFonts w:hint="eastAsia" w:ascii="Times New Roman" w:hAnsi="仿宋" w:cs="仿宋"/>
          <w:spacing w:val="17"/>
          <w:sz w:val="28"/>
          <w:szCs w:val="32"/>
          <w:lang w:val="en-US" w:eastAsia="zh-CN"/>
        </w:rPr>
        <w:t>1</w:t>
      </w:r>
      <w:r>
        <w:rPr>
          <w:rFonts w:hint="eastAsia" w:ascii="Times New Roman" w:hAnsi="仿宋" w:eastAsia="宋体" w:cs="仿宋"/>
          <w:spacing w:val="17"/>
          <w:sz w:val="28"/>
          <w:szCs w:val="32"/>
        </w:rPr>
        <w:t>分。</w:t>
      </w:r>
    </w:p>
    <w:p w14:paraId="0E4154FA">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spacing w:val="17"/>
          <w:sz w:val="28"/>
          <w:szCs w:val="32"/>
        </w:rPr>
      </w:pPr>
      <w:bookmarkStart w:id="184" w:name="_Toc18246"/>
      <w:bookmarkStart w:id="185" w:name="_Toc11283"/>
      <w:bookmarkStart w:id="186" w:name="_Toc13098"/>
      <w:r>
        <w:rPr>
          <w:rFonts w:hint="eastAsia" w:ascii="Times New Roman" w:hAnsi="仿宋" w:eastAsia="宋体" w:cs="仿宋"/>
          <w:b/>
          <w:spacing w:val="17"/>
          <w:sz w:val="28"/>
          <w:szCs w:val="32"/>
        </w:rPr>
        <w:t>5.农业农村工作完成情况(分值2分)</w:t>
      </w:r>
      <w:bookmarkEnd w:id="184"/>
      <w:bookmarkEnd w:id="185"/>
      <w:bookmarkEnd w:id="186"/>
    </w:p>
    <w:p w14:paraId="2CC3022C">
      <w:pPr>
        <w:snapToGrid/>
        <w:spacing w:beforeAutospacing="0" w:afterAutospacing="0" w:line="360" w:lineRule="auto"/>
        <w:ind w:left="0" w:leftChars="0" w:firstLine="628" w:firstLineChars="200"/>
        <w:rPr>
          <w:rFonts w:hint="eastAsia" w:ascii="Times New Roman" w:hAnsi="仿宋" w:eastAsia="宋体" w:cs="仿宋"/>
          <w:spacing w:val="17"/>
          <w:sz w:val="28"/>
          <w:szCs w:val="32"/>
        </w:rPr>
      </w:pPr>
      <w:r>
        <w:rPr>
          <w:rFonts w:hint="eastAsia" w:ascii="Times New Roman" w:hAnsi="仿宋" w:eastAsia="宋体" w:cs="仿宋"/>
          <w:spacing w:val="17"/>
          <w:sz w:val="28"/>
          <w:szCs w:val="32"/>
        </w:rPr>
        <w:t>农业农村工作完成情况指标主要通过考察工作进度反映和工作的完成情况。绩效目标设置为完成率100%，实际完成100%。本项得分2分。</w:t>
      </w:r>
    </w:p>
    <w:p w14:paraId="188CC4AF">
      <w:pPr>
        <w:pStyle w:val="2"/>
        <w:tabs>
          <w:tab w:val="left" w:pos="312"/>
        </w:tabs>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spacing w:val="17"/>
          <w:sz w:val="28"/>
          <w:szCs w:val="32"/>
        </w:rPr>
      </w:pPr>
      <w:bookmarkStart w:id="187" w:name="_Toc6443"/>
      <w:bookmarkStart w:id="188" w:name="_Toc11227"/>
      <w:bookmarkStart w:id="189" w:name="_Toc19862"/>
      <w:r>
        <w:rPr>
          <w:rFonts w:hint="eastAsia" w:ascii="Times New Roman" w:hAnsi="仿宋" w:eastAsia="宋体" w:cs="仿宋"/>
          <w:b/>
          <w:spacing w:val="17"/>
          <w:sz w:val="28"/>
          <w:szCs w:val="32"/>
        </w:rPr>
        <w:t>6.农产品质量安全监测覆盖面（分值为2分）</w:t>
      </w:r>
      <w:bookmarkEnd w:id="187"/>
      <w:bookmarkEnd w:id="188"/>
      <w:bookmarkEnd w:id="189"/>
    </w:p>
    <w:p w14:paraId="4D212803">
      <w:pPr>
        <w:pStyle w:val="18"/>
        <w:snapToGrid/>
        <w:spacing w:beforeAutospacing="0" w:afterAutospacing="0" w:line="360" w:lineRule="auto"/>
        <w:ind w:left="0" w:leftChars="0" w:firstLine="628" w:firstLineChars="200"/>
        <w:rPr>
          <w:rFonts w:hint="eastAsia" w:ascii="Times New Roman" w:hAnsi="仿宋" w:eastAsia="宋体" w:cs="仿宋"/>
          <w:spacing w:val="17"/>
          <w:kern w:val="2"/>
          <w:sz w:val="28"/>
          <w:szCs w:val="32"/>
        </w:rPr>
      </w:pPr>
      <w:r>
        <w:rPr>
          <w:rFonts w:hint="eastAsia" w:ascii="Times New Roman" w:hAnsi="仿宋" w:eastAsia="宋体" w:cs="仿宋"/>
          <w:spacing w:val="17"/>
          <w:kern w:val="2"/>
          <w:sz w:val="28"/>
          <w:szCs w:val="32"/>
        </w:rPr>
        <w:t>农产品质量安全监测覆盖面指标考察农产品质量检测比例是否达到要求。根据石狮市农业农村局提供的资料，年度绩效目标设定为90%，实际完成90%，已完成绩效目标。此项得2分。</w:t>
      </w:r>
    </w:p>
    <w:p w14:paraId="79248D67">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spacing w:val="17"/>
          <w:sz w:val="28"/>
          <w:szCs w:val="32"/>
        </w:rPr>
      </w:pPr>
      <w:bookmarkStart w:id="190" w:name="_Toc18173"/>
      <w:bookmarkStart w:id="191" w:name="_Toc2142"/>
      <w:bookmarkStart w:id="192" w:name="_Toc1005"/>
      <w:r>
        <w:rPr>
          <w:rFonts w:hint="eastAsia" w:ascii="Times New Roman" w:hAnsi="仿宋" w:eastAsia="宋体" w:cs="仿宋"/>
          <w:b/>
          <w:spacing w:val="17"/>
          <w:sz w:val="28"/>
          <w:szCs w:val="32"/>
        </w:rPr>
        <w:t>7.群众满意度(分值6分)</w:t>
      </w:r>
      <w:bookmarkEnd w:id="190"/>
      <w:bookmarkEnd w:id="191"/>
      <w:bookmarkEnd w:id="192"/>
    </w:p>
    <w:p w14:paraId="2DCCFD3A">
      <w:pPr>
        <w:snapToGrid/>
        <w:spacing w:beforeAutospacing="0" w:afterAutospacing="0" w:line="360" w:lineRule="auto"/>
        <w:ind w:left="0" w:leftChars="0" w:firstLine="628" w:firstLineChars="200"/>
        <w:rPr>
          <w:rFonts w:hint="eastAsia" w:ascii="Times New Roman" w:hAnsi="仿宋" w:eastAsia="宋体" w:cs="仿宋"/>
          <w:spacing w:val="17"/>
          <w:sz w:val="28"/>
          <w:szCs w:val="32"/>
        </w:rPr>
      </w:pPr>
      <w:r>
        <w:rPr>
          <w:rFonts w:hint="eastAsia" w:ascii="Times New Roman" w:hAnsi="仿宋" w:eastAsia="宋体" w:cs="仿宋"/>
          <w:spacing w:val="17"/>
          <w:sz w:val="28"/>
          <w:szCs w:val="32"/>
        </w:rPr>
        <w:t>群众满意度主要评价石狮市群众对石狮市农业农村局工作的满意程度。评价标准为“满意度≥90%（6分）；80%≤满意度＜90%（4分）；70%≤满意度＜80%（2分），满意度＜70%（0分）。</w:t>
      </w:r>
    </w:p>
    <w:p w14:paraId="26070345">
      <w:pPr>
        <w:snapToGrid/>
        <w:spacing w:beforeAutospacing="0" w:afterAutospacing="0" w:line="360" w:lineRule="auto"/>
        <w:ind w:left="0" w:leftChars="0" w:firstLine="628" w:firstLineChars="200"/>
        <w:rPr>
          <w:rFonts w:hint="eastAsia" w:ascii="Times New Roman" w:hAnsi="仿宋" w:eastAsia="宋体" w:cs="仿宋"/>
          <w:spacing w:val="17"/>
          <w:sz w:val="28"/>
          <w:szCs w:val="32"/>
        </w:rPr>
      </w:pPr>
      <w:r>
        <w:rPr>
          <w:rFonts w:hint="eastAsia" w:ascii="Times New Roman" w:hAnsi="仿宋" w:eastAsia="宋体" w:cs="仿宋"/>
          <w:spacing w:val="17"/>
          <w:sz w:val="28"/>
          <w:szCs w:val="32"/>
        </w:rPr>
        <w:t>绩效评价工作小组发放问卷调查表60份，填写</w:t>
      </w:r>
      <w:r>
        <w:rPr>
          <w:rFonts w:hint="eastAsia" w:ascii="Times New Roman" w:hAnsi="仿宋" w:eastAsia="宋体" w:cs="仿宋"/>
          <w:spacing w:val="17"/>
          <w:sz w:val="28"/>
          <w:szCs w:val="32"/>
          <w:lang w:val="en-US" w:eastAsia="zh-CN"/>
        </w:rPr>
        <w:t>56</w:t>
      </w:r>
      <w:r>
        <w:rPr>
          <w:rFonts w:hint="eastAsia" w:ascii="Times New Roman" w:hAnsi="仿宋" w:eastAsia="宋体" w:cs="仿宋"/>
          <w:spacing w:val="17"/>
          <w:sz w:val="28"/>
          <w:szCs w:val="32"/>
        </w:rPr>
        <w:t>份(问卷调查表见附件一)，问卷调查结果为群众满意度平均96%，本项得分6分。</w:t>
      </w:r>
    </w:p>
    <w:p w14:paraId="35A68087">
      <w:pPr>
        <w:snapToGrid/>
        <w:spacing w:beforeAutospacing="0" w:afterAutospacing="0" w:line="360" w:lineRule="auto"/>
        <w:ind w:left="0" w:leftChars="0" w:firstLine="0"/>
        <w:jc w:val="center"/>
        <w:rPr>
          <w:rFonts w:ascii="Times New Roman" w:hAnsi="宋体" w:eastAsia="宋体" w:cs="宋体"/>
          <w:b/>
          <w:bCs/>
          <w:spacing w:val="17"/>
          <w:sz w:val="28"/>
          <w:szCs w:val="28"/>
        </w:rPr>
      </w:pPr>
      <w:r>
        <w:rPr>
          <w:rFonts w:hint="eastAsia" w:ascii="Times New Roman" w:hAnsi="宋体" w:eastAsia="宋体" w:cs="宋体"/>
          <w:b/>
          <w:bCs/>
          <w:spacing w:val="17"/>
          <w:sz w:val="28"/>
          <w:szCs w:val="28"/>
        </w:rPr>
        <w:t>2022年度石狮市农业农村局部门整体支出绩效评价指标分值表</w:t>
      </w:r>
    </w:p>
    <w:tbl>
      <w:tblPr>
        <w:tblStyle w:val="13"/>
        <w:tblW w:w="8710"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881"/>
        <w:gridCol w:w="1587"/>
        <w:gridCol w:w="1880"/>
        <w:gridCol w:w="2496"/>
        <w:gridCol w:w="1072"/>
      </w:tblGrid>
      <w:tr w14:paraId="030B3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4" w:type="dxa"/>
            <w:shd w:val="clear" w:color="auto" w:fill="auto"/>
            <w:vAlign w:val="center"/>
          </w:tcPr>
          <w:p w14:paraId="1BFFE3BA">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一级指标</w:t>
            </w:r>
          </w:p>
        </w:tc>
        <w:tc>
          <w:tcPr>
            <w:tcW w:w="881" w:type="dxa"/>
            <w:shd w:val="clear" w:color="auto" w:fill="auto"/>
            <w:vAlign w:val="center"/>
          </w:tcPr>
          <w:p w14:paraId="734C678D">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二级指标</w:t>
            </w:r>
          </w:p>
        </w:tc>
        <w:tc>
          <w:tcPr>
            <w:tcW w:w="1587" w:type="dxa"/>
            <w:shd w:val="clear" w:color="auto" w:fill="auto"/>
            <w:vAlign w:val="center"/>
          </w:tcPr>
          <w:p w14:paraId="0ACB5A3B">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三级指标</w:t>
            </w:r>
          </w:p>
        </w:tc>
        <w:tc>
          <w:tcPr>
            <w:tcW w:w="1880" w:type="dxa"/>
            <w:shd w:val="clear" w:color="auto" w:fill="auto"/>
            <w:vAlign w:val="center"/>
          </w:tcPr>
          <w:p w14:paraId="011CCACB">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指标解释</w:t>
            </w:r>
          </w:p>
        </w:tc>
        <w:tc>
          <w:tcPr>
            <w:tcW w:w="2496" w:type="dxa"/>
            <w:shd w:val="clear" w:color="auto" w:fill="auto"/>
            <w:vAlign w:val="center"/>
          </w:tcPr>
          <w:p w14:paraId="1BA35047">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评价标准</w:t>
            </w:r>
          </w:p>
        </w:tc>
        <w:tc>
          <w:tcPr>
            <w:tcW w:w="1072" w:type="dxa"/>
            <w:shd w:val="clear" w:color="auto" w:fill="auto"/>
            <w:vAlign w:val="center"/>
          </w:tcPr>
          <w:p w14:paraId="28CDBA13">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得分</w:t>
            </w:r>
          </w:p>
        </w:tc>
      </w:tr>
      <w:tr w14:paraId="10F21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794" w:type="dxa"/>
            <w:vMerge w:val="restart"/>
            <w:shd w:val="clear" w:color="auto" w:fill="auto"/>
            <w:vAlign w:val="center"/>
          </w:tcPr>
          <w:p w14:paraId="1C9AEFDE">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投入(20%)</w:t>
            </w:r>
          </w:p>
        </w:tc>
        <w:tc>
          <w:tcPr>
            <w:tcW w:w="881" w:type="dxa"/>
            <w:vMerge w:val="restart"/>
            <w:shd w:val="clear" w:color="auto" w:fill="auto"/>
            <w:vAlign w:val="center"/>
          </w:tcPr>
          <w:p w14:paraId="2B76AB9A">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目标</w:t>
            </w:r>
          </w:p>
          <w:p w14:paraId="4E688A9F">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设定</w:t>
            </w:r>
          </w:p>
          <w:p w14:paraId="683B2B9A">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（8分）</w:t>
            </w:r>
          </w:p>
        </w:tc>
        <w:tc>
          <w:tcPr>
            <w:tcW w:w="1587" w:type="dxa"/>
            <w:shd w:val="clear" w:color="auto" w:fill="auto"/>
            <w:vAlign w:val="center"/>
          </w:tcPr>
          <w:p w14:paraId="256FB085">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绩效目标</w:t>
            </w:r>
          </w:p>
          <w:p w14:paraId="3070DA65">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合理性</w:t>
            </w:r>
          </w:p>
          <w:p w14:paraId="10655A69">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（4分）</w:t>
            </w:r>
          </w:p>
        </w:tc>
        <w:tc>
          <w:tcPr>
            <w:tcW w:w="1880" w:type="dxa"/>
            <w:shd w:val="clear" w:color="auto" w:fill="auto"/>
            <w:vAlign w:val="center"/>
          </w:tcPr>
          <w:p w14:paraId="153FB744">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部门所设立的整体绩效目标依据是否充分，是否符合客观实际，用于反映和考核部门整体绩效目标与部门履职、年度工作任务的相符性情况。</w:t>
            </w:r>
          </w:p>
        </w:tc>
        <w:tc>
          <w:tcPr>
            <w:tcW w:w="2496" w:type="dxa"/>
            <w:shd w:val="clear" w:color="auto" w:fill="auto"/>
            <w:vAlign w:val="center"/>
          </w:tcPr>
          <w:p w14:paraId="4D4C5B52">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①是否符合国家法律法规；</w:t>
            </w:r>
          </w:p>
          <w:p w14:paraId="3F64E7F2">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②是否符合国民经济和社会发展总体规划；</w:t>
            </w:r>
          </w:p>
          <w:p w14:paraId="56871BE6">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③是否符合部门“三定”方案确定的职责；</w:t>
            </w:r>
          </w:p>
          <w:p w14:paraId="04ABBE32">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④是否符合部门制定的中长期实施规划或年度工作计划。</w:t>
            </w:r>
          </w:p>
          <w:p w14:paraId="1D271E53">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一项不符扣1分。</w:t>
            </w:r>
          </w:p>
        </w:tc>
        <w:tc>
          <w:tcPr>
            <w:tcW w:w="1072" w:type="dxa"/>
            <w:shd w:val="clear" w:color="auto" w:fill="auto"/>
            <w:vAlign w:val="center"/>
          </w:tcPr>
          <w:p w14:paraId="04EFF362">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4</w:t>
            </w:r>
          </w:p>
        </w:tc>
      </w:tr>
      <w:tr w14:paraId="34CE9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794" w:type="dxa"/>
            <w:vMerge w:val="continue"/>
            <w:shd w:val="clear" w:color="auto" w:fill="auto"/>
            <w:vAlign w:val="center"/>
          </w:tcPr>
          <w:p w14:paraId="7F088204">
            <w:pPr>
              <w:jc w:val="center"/>
              <w:rPr>
                <w:rFonts w:hint="eastAsia" w:ascii="仿宋" w:hAnsi="仿宋" w:eastAsia="仿宋" w:cs="仿宋"/>
                <w:color w:val="000000"/>
                <w:sz w:val="21"/>
                <w:szCs w:val="21"/>
              </w:rPr>
            </w:pPr>
          </w:p>
        </w:tc>
        <w:tc>
          <w:tcPr>
            <w:tcW w:w="881" w:type="dxa"/>
            <w:vMerge w:val="continue"/>
            <w:shd w:val="clear" w:color="auto" w:fill="auto"/>
            <w:vAlign w:val="center"/>
          </w:tcPr>
          <w:p w14:paraId="433FB8C2">
            <w:pPr>
              <w:jc w:val="center"/>
              <w:rPr>
                <w:rFonts w:hint="eastAsia" w:ascii="仿宋" w:hAnsi="仿宋" w:eastAsia="仿宋" w:cs="仿宋"/>
                <w:color w:val="000000"/>
                <w:sz w:val="21"/>
                <w:szCs w:val="21"/>
              </w:rPr>
            </w:pPr>
          </w:p>
        </w:tc>
        <w:tc>
          <w:tcPr>
            <w:tcW w:w="1587" w:type="dxa"/>
            <w:shd w:val="clear" w:color="auto" w:fill="auto"/>
            <w:vAlign w:val="center"/>
          </w:tcPr>
          <w:p w14:paraId="367C001B">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绩效指标</w:t>
            </w:r>
          </w:p>
          <w:p w14:paraId="48DB29B5">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明确性</w:t>
            </w:r>
          </w:p>
          <w:p w14:paraId="1744DC92">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（4分）</w:t>
            </w:r>
          </w:p>
        </w:tc>
        <w:tc>
          <w:tcPr>
            <w:tcW w:w="1880" w:type="dxa"/>
            <w:shd w:val="clear" w:color="auto" w:fill="auto"/>
            <w:vAlign w:val="center"/>
          </w:tcPr>
          <w:p w14:paraId="607B81F6">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部门依据整体绩效目标所设定的绩效指标是否清晰、细化、可衡量，用于反映和考核部门整体绩效目标的明细化情况</w:t>
            </w:r>
          </w:p>
        </w:tc>
        <w:tc>
          <w:tcPr>
            <w:tcW w:w="2496" w:type="dxa"/>
            <w:shd w:val="clear" w:color="auto" w:fill="auto"/>
            <w:vAlign w:val="center"/>
          </w:tcPr>
          <w:p w14:paraId="2FE92122">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①是否将部门整体的绩效目标细化分解为具体的工作任务；</w:t>
            </w:r>
          </w:p>
          <w:p w14:paraId="6016FA54">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②是否通过清晰、可衡量的指标予以体现；</w:t>
            </w:r>
          </w:p>
          <w:p w14:paraId="4E74C06A">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③是否与部门年度的任务数或计划数相对应；</w:t>
            </w:r>
          </w:p>
          <w:p w14:paraId="69C50B31">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④是否以本年度部门预算资金相匹配。</w:t>
            </w:r>
          </w:p>
          <w:p w14:paraId="28FEB041">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一项不符扣1分。</w:t>
            </w:r>
          </w:p>
        </w:tc>
        <w:tc>
          <w:tcPr>
            <w:tcW w:w="1072" w:type="dxa"/>
            <w:shd w:val="clear" w:color="auto" w:fill="auto"/>
            <w:vAlign w:val="center"/>
          </w:tcPr>
          <w:p w14:paraId="754A2FF5">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4</w:t>
            </w:r>
          </w:p>
        </w:tc>
      </w:tr>
      <w:tr w14:paraId="4B728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794" w:type="dxa"/>
            <w:vMerge w:val="continue"/>
            <w:shd w:val="clear" w:color="auto" w:fill="auto"/>
            <w:vAlign w:val="center"/>
          </w:tcPr>
          <w:p w14:paraId="71DDDB1F">
            <w:pPr>
              <w:jc w:val="center"/>
              <w:rPr>
                <w:rFonts w:hint="eastAsia" w:ascii="仿宋" w:hAnsi="仿宋" w:eastAsia="仿宋" w:cs="仿宋"/>
                <w:color w:val="000000"/>
                <w:sz w:val="21"/>
                <w:szCs w:val="21"/>
              </w:rPr>
            </w:pPr>
          </w:p>
        </w:tc>
        <w:tc>
          <w:tcPr>
            <w:tcW w:w="881" w:type="dxa"/>
            <w:vMerge w:val="restart"/>
            <w:shd w:val="clear" w:color="auto" w:fill="auto"/>
            <w:vAlign w:val="center"/>
          </w:tcPr>
          <w:p w14:paraId="6CC83982">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预算</w:t>
            </w:r>
          </w:p>
          <w:p w14:paraId="65FFC30D">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配置</w:t>
            </w:r>
          </w:p>
          <w:p w14:paraId="4417B90B">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（12分）</w:t>
            </w:r>
          </w:p>
        </w:tc>
        <w:tc>
          <w:tcPr>
            <w:tcW w:w="1587" w:type="dxa"/>
            <w:shd w:val="clear" w:color="auto" w:fill="auto"/>
            <w:vAlign w:val="center"/>
          </w:tcPr>
          <w:p w14:paraId="744B9466">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在职人员</w:t>
            </w:r>
          </w:p>
          <w:p w14:paraId="604B3E4F">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控制率</w:t>
            </w:r>
          </w:p>
          <w:p w14:paraId="3500D0E1">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（4分）</w:t>
            </w:r>
          </w:p>
        </w:tc>
        <w:tc>
          <w:tcPr>
            <w:tcW w:w="1880" w:type="dxa"/>
            <w:shd w:val="clear" w:color="auto" w:fill="auto"/>
            <w:vAlign w:val="center"/>
          </w:tcPr>
          <w:p w14:paraId="46FB2DE9">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部门（单位）本年度实际在职人员数与编制数的比率，用以反映和评价部门（单位）对人员成本的控制程度。在职人员控制率=（在职人员数/编制数）×100%</w:t>
            </w:r>
          </w:p>
        </w:tc>
        <w:tc>
          <w:tcPr>
            <w:tcW w:w="2496" w:type="dxa"/>
            <w:shd w:val="clear" w:color="auto" w:fill="auto"/>
            <w:vAlign w:val="center"/>
          </w:tcPr>
          <w:p w14:paraId="22B6186E">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①在职人员控制率小</w:t>
            </w:r>
            <w:r>
              <w:rPr>
                <w:rFonts w:hint="eastAsia" w:ascii="宋体" w:hAnsi="宋体" w:cs="宋体"/>
                <w:color w:val="000000"/>
                <w:kern w:val="0"/>
                <w:sz w:val="18"/>
                <w:szCs w:val="18"/>
                <w:lang w:val="en-US" w:eastAsia="zh-CN" w:bidi="ar"/>
              </w:rPr>
              <w:t>于</w:t>
            </w:r>
            <w:r>
              <w:rPr>
                <w:rFonts w:hint="eastAsia" w:ascii="宋体" w:hAnsi="宋体" w:cs="宋体"/>
                <w:color w:val="000000"/>
                <w:kern w:val="0"/>
                <w:sz w:val="18"/>
                <w:szCs w:val="18"/>
                <w:lang w:bidi="ar"/>
              </w:rPr>
              <w:t>等于100%，得满分；</w:t>
            </w:r>
          </w:p>
          <w:p w14:paraId="1EA26B77">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②在职人员控制率大</w:t>
            </w:r>
            <w:r>
              <w:rPr>
                <w:rFonts w:hint="eastAsia" w:ascii="宋体" w:hAnsi="宋体" w:cs="宋体"/>
                <w:color w:val="000000"/>
                <w:kern w:val="0"/>
                <w:sz w:val="18"/>
                <w:szCs w:val="18"/>
                <w:lang w:val="en-US" w:eastAsia="zh-CN" w:bidi="ar"/>
              </w:rPr>
              <w:t>于</w:t>
            </w:r>
            <w:r>
              <w:rPr>
                <w:rFonts w:hint="eastAsia" w:ascii="宋体" w:hAnsi="宋体" w:cs="宋体"/>
                <w:color w:val="000000"/>
                <w:kern w:val="0"/>
                <w:sz w:val="18"/>
                <w:szCs w:val="18"/>
                <w:lang w:bidi="ar"/>
              </w:rPr>
              <w:t>等于115%，得0分；</w:t>
            </w:r>
          </w:p>
          <w:p w14:paraId="155385B2">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③在职人员控制率在100%-115%之间，得分=（115%－某部门在职人员控制率）/15%×指标分值。</w:t>
            </w:r>
          </w:p>
        </w:tc>
        <w:tc>
          <w:tcPr>
            <w:tcW w:w="1072" w:type="dxa"/>
            <w:shd w:val="clear" w:color="auto" w:fill="auto"/>
            <w:vAlign w:val="center"/>
          </w:tcPr>
          <w:p w14:paraId="6AA016E9">
            <w:pPr>
              <w:keepNext w:val="0"/>
              <w:keepLines w:val="0"/>
              <w:widowControl/>
              <w:suppressLineNumbers w:val="0"/>
              <w:jc w:val="center"/>
              <w:textAlignment w:val="center"/>
              <w:rPr>
                <w:rFonts w:hint="default" w:ascii="仿宋" w:hAnsi="仿宋" w:eastAsia="仿宋" w:cs="仿宋"/>
                <w:sz w:val="21"/>
                <w:szCs w:val="21"/>
                <w:lang w:val="en-US" w:eastAsia="zh-CN"/>
              </w:rPr>
            </w:pPr>
            <w:r>
              <w:rPr>
                <w:rFonts w:hint="eastAsia" w:ascii="仿宋" w:hAnsi="仿宋" w:eastAsia="仿宋" w:cs="仿宋"/>
                <w:i w:val="0"/>
                <w:iCs w:val="0"/>
                <w:color w:val="000000"/>
                <w:kern w:val="0"/>
                <w:sz w:val="21"/>
                <w:szCs w:val="21"/>
                <w:u w:val="none"/>
                <w:lang w:val="en-US" w:eastAsia="zh-CN" w:bidi="ar"/>
              </w:rPr>
              <w:t>3.65</w:t>
            </w:r>
          </w:p>
        </w:tc>
      </w:tr>
      <w:tr w14:paraId="24662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794" w:type="dxa"/>
            <w:vMerge w:val="continue"/>
            <w:shd w:val="clear" w:color="auto" w:fill="auto"/>
            <w:vAlign w:val="center"/>
          </w:tcPr>
          <w:p w14:paraId="6C00B1F0">
            <w:pPr>
              <w:jc w:val="center"/>
              <w:rPr>
                <w:rFonts w:hint="eastAsia" w:ascii="仿宋" w:hAnsi="仿宋" w:eastAsia="仿宋" w:cs="仿宋"/>
                <w:color w:val="000000"/>
                <w:sz w:val="21"/>
                <w:szCs w:val="21"/>
              </w:rPr>
            </w:pPr>
          </w:p>
        </w:tc>
        <w:tc>
          <w:tcPr>
            <w:tcW w:w="881" w:type="dxa"/>
            <w:vMerge w:val="continue"/>
            <w:shd w:val="clear" w:color="auto" w:fill="auto"/>
            <w:vAlign w:val="center"/>
          </w:tcPr>
          <w:p w14:paraId="47BF3B5C">
            <w:pPr>
              <w:jc w:val="center"/>
              <w:rPr>
                <w:rFonts w:hint="eastAsia" w:ascii="仿宋" w:hAnsi="仿宋" w:eastAsia="仿宋" w:cs="仿宋"/>
                <w:color w:val="000000"/>
                <w:sz w:val="21"/>
                <w:szCs w:val="21"/>
              </w:rPr>
            </w:pPr>
          </w:p>
        </w:tc>
        <w:tc>
          <w:tcPr>
            <w:tcW w:w="1587" w:type="dxa"/>
            <w:shd w:val="clear" w:color="auto" w:fill="auto"/>
            <w:vAlign w:val="center"/>
          </w:tcPr>
          <w:p w14:paraId="28A91962">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eastAsia="zh-CN" w:bidi="ar"/>
              </w:rPr>
              <w:t>“三公”经费</w:t>
            </w:r>
          </w:p>
          <w:p w14:paraId="6CF4A087">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变动率</w:t>
            </w:r>
          </w:p>
          <w:p w14:paraId="33FAE399">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（4分）</w:t>
            </w:r>
          </w:p>
        </w:tc>
        <w:tc>
          <w:tcPr>
            <w:tcW w:w="1880" w:type="dxa"/>
            <w:shd w:val="clear" w:color="auto" w:fill="auto"/>
            <w:vAlign w:val="center"/>
          </w:tcPr>
          <w:p w14:paraId="69E6E40E">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部门本年度</w:t>
            </w:r>
            <w:r>
              <w:rPr>
                <w:rFonts w:hint="eastAsia" w:ascii="宋体" w:hAnsi="宋体" w:cs="宋体"/>
                <w:color w:val="000000"/>
                <w:kern w:val="0"/>
                <w:sz w:val="18"/>
                <w:szCs w:val="18"/>
                <w:lang w:eastAsia="zh-CN" w:bidi="ar"/>
              </w:rPr>
              <w:t>“三公”经费</w:t>
            </w:r>
            <w:r>
              <w:rPr>
                <w:rFonts w:hint="eastAsia" w:ascii="宋体" w:hAnsi="宋体" w:cs="宋体"/>
                <w:color w:val="000000"/>
                <w:kern w:val="0"/>
                <w:sz w:val="18"/>
                <w:szCs w:val="18"/>
                <w:lang w:bidi="ar"/>
              </w:rPr>
              <w:t>预算数与上年度</w:t>
            </w:r>
            <w:r>
              <w:rPr>
                <w:rFonts w:hint="eastAsia" w:ascii="宋体" w:hAnsi="宋体" w:cs="宋体"/>
                <w:color w:val="000000"/>
                <w:kern w:val="0"/>
                <w:sz w:val="18"/>
                <w:szCs w:val="18"/>
                <w:lang w:eastAsia="zh-CN" w:bidi="ar"/>
              </w:rPr>
              <w:t>“三公”经费</w:t>
            </w:r>
            <w:r>
              <w:rPr>
                <w:rFonts w:hint="eastAsia" w:ascii="宋体" w:hAnsi="宋体" w:cs="宋体"/>
                <w:color w:val="000000"/>
                <w:kern w:val="0"/>
                <w:sz w:val="18"/>
                <w:szCs w:val="18"/>
                <w:lang w:bidi="ar"/>
              </w:rPr>
              <w:t>预算数的变动比率，用以反映和考核部门对控制重点行政成本的努力程度。</w:t>
            </w:r>
          </w:p>
        </w:tc>
        <w:tc>
          <w:tcPr>
            <w:tcW w:w="2496" w:type="dxa"/>
            <w:shd w:val="clear" w:color="auto" w:fill="auto"/>
            <w:vAlign w:val="center"/>
          </w:tcPr>
          <w:p w14:paraId="54213E7B">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三公经费变动率=[（本年度</w:t>
            </w:r>
            <w:r>
              <w:rPr>
                <w:rFonts w:hint="eastAsia" w:ascii="宋体" w:hAnsi="宋体" w:cs="宋体"/>
                <w:color w:val="000000"/>
                <w:kern w:val="0"/>
                <w:sz w:val="18"/>
                <w:szCs w:val="18"/>
                <w:lang w:eastAsia="zh-CN" w:bidi="ar"/>
              </w:rPr>
              <w:t>“三公”经费</w:t>
            </w:r>
            <w:r>
              <w:rPr>
                <w:rFonts w:hint="eastAsia" w:ascii="宋体" w:hAnsi="宋体" w:cs="宋体"/>
                <w:color w:val="000000"/>
                <w:kern w:val="0"/>
                <w:sz w:val="18"/>
                <w:szCs w:val="18"/>
                <w:lang w:bidi="ar"/>
              </w:rPr>
              <w:t>总额-上年度</w:t>
            </w:r>
            <w:r>
              <w:rPr>
                <w:rFonts w:hint="eastAsia" w:ascii="宋体" w:hAnsi="宋体" w:cs="宋体"/>
                <w:color w:val="000000"/>
                <w:kern w:val="0"/>
                <w:sz w:val="18"/>
                <w:szCs w:val="18"/>
                <w:lang w:eastAsia="zh-CN" w:bidi="ar"/>
              </w:rPr>
              <w:t>“三公”经费</w:t>
            </w:r>
            <w:r>
              <w:rPr>
                <w:rFonts w:hint="eastAsia" w:ascii="宋体" w:hAnsi="宋体" w:cs="宋体"/>
                <w:color w:val="000000"/>
                <w:kern w:val="0"/>
                <w:sz w:val="18"/>
                <w:szCs w:val="18"/>
                <w:lang w:bidi="ar"/>
              </w:rPr>
              <w:t>总额）/上年度</w:t>
            </w:r>
            <w:r>
              <w:rPr>
                <w:rFonts w:hint="eastAsia" w:ascii="宋体" w:hAnsi="宋体" w:cs="宋体"/>
                <w:color w:val="000000"/>
                <w:kern w:val="0"/>
                <w:sz w:val="18"/>
                <w:szCs w:val="18"/>
                <w:lang w:eastAsia="zh-CN" w:bidi="ar"/>
              </w:rPr>
              <w:t>“三公”经费</w:t>
            </w:r>
            <w:r>
              <w:rPr>
                <w:rFonts w:hint="eastAsia" w:ascii="宋体" w:hAnsi="宋体" w:cs="宋体"/>
                <w:color w:val="000000"/>
                <w:kern w:val="0"/>
                <w:sz w:val="18"/>
                <w:szCs w:val="18"/>
                <w:lang w:bidi="ar"/>
              </w:rPr>
              <w:t>总额]×100%。</w:t>
            </w:r>
          </w:p>
          <w:p w14:paraId="38561675">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①变动率≤0%得满分；</w:t>
            </w:r>
          </w:p>
          <w:p w14:paraId="619ACB00">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②变动率每超过一个百分点扣0.5 分，扣完为止。</w:t>
            </w:r>
          </w:p>
        </w:tc>
        <w:tc>
          <w:tcPr>
            <w:tcW w:w="1072" w:type="dxa"/>
            <w:shd w:val="clear" w:color="auto" w:fill="auto"/>
            <w:vAlign w:val="center"/>
          </w:tcPr>
          <w:p w14:paraId="3C3B1D65">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2</w:t>
            </w:r>
          </w:p>
        </w:tc>
      </w:tr>
      <w:tr w14:paraId="5006A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794" w:type="dxa"/>
            <w:vMerge w:val="continue"/>
            <w:shd w:val="clear" w:color="auto" w:fill="auto"/>
            <w:vAlign w:val="center"/>
          </w:tcPr>
          <w:p w14:paraId="681B697C">
            <w:pPr>
              <w:jc w:val="center"/>
              <w:rPr>
                <w:rFonts w:hint="eastAsia" w:ascii="仿宋" w:hAnsi="仿宋" w:eastAsia="仿宋" w:cs="仿宋"/>
                <w:color w:val="000000"/>
                <w:sz w:val="21"/>
                <w:szCs w:val="21"/>
              </w:rPr>
            </w:pPr>
          </w:p>
        </w:tc>
        <w:tc>
          <w:tcPr>
            <w:tcW w:w="881" w:type="dxa"/>
            <w:vMerge w:val="continue"/>
            <w:shd w:val="clear" w:color="auto" w:fill="auto"/>
            <w:vAlign w:val="center"/>
          </w:tcPr>
          <w:p w14:paraId="2FC62E5F">
            <w:pPr>
              <w:jc w:val="center"/>
              <w:rPr>
                <w:rFonts w:hint="eastAsia" w:ascii="仿宋" w:hAnsi="仿宋" w:eastAsia="仿宋" w:cs="仿宋"/>
                <w:color w:val="000000"/>
                <w:sz w:val="21"/>
                <w:szCs w:val="21"/>
              </w:rPr>
            </w:pPr>
          </w:p>
        </w:tc>
        <w:tc>
          <w:tcPr>
            <w:tcW w:w="1587" w:type="dxa"/>
            <w:shd w:val="clear" w:color="auto" w:fill="auto"/>
            <w:vAlign w:val="center"/>
          </w:tcPr>
          <w:p w14:paraId="662F258F">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重点支出</w:t>
            </w:r>
          </w:p>
          <w:p w14:paraId="1DAA305D">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安排率</w:t>
            </w:r>
          </w:p>
          <w:p w14:paraId="13EAC534">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（4分）</w:t>
            </w:r>
          </w:p>
        </w:tc>
        <w:tc>
          <w:tcPr>
            <w:tcW w:w="1880" w:type="dxa"/>
            <w:shd w:val="clear" w:color="auto" w:fill="auto"/>
            <w:vAlign w:val="center"/>
          </w:tcPr>
          <w:p w14:paraId="077FD623">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部门本年度预算安排的重点项目支出与部门项目总支出的比率，用以反映和考核部门对履行主要职责或完成重点任务的保障程度。重点支出安排率=（重点项目支出/项目总支出）×100%。</w:t>
            </w:r>
          </w:p>
        </w:tc>
        <w:tc>
          <w:tcPr>
            <w:tcW w:w="2496" w:type="dxa"/>
            <w:shd w:val="clear" w:color="auto" w:fill="auto"/>
            <w:vAlign w:val="center"/>
          </w:tcPr>
          <w:p w14:paraId="218A257A">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①重点支出安排率&gt;80%(4分)；</w:t>
            </w:r>
          </w:p>
          <w:p w14:paraId="6BF47A3F">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②50%&lt;重点支出安排率 ≤80%(2分)；重点支出安排率≤50%(0分)。</w:t>
            </w:r>
          </w:p>
        </w:tc>
        <w:tc>
          <w:tcPr>
            <w:tcW w:w="1072" w:type="dxa"/>
            <w:shd w:val="clear" w:color="auto" w:fill="auto"/>
            <w:vAlign w:val="center"/>
          </w:tcPr>
          <w:p w14:paraId="132A16B0">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4</w:t>
            </w:r>
          </w:p>
        </w:tc>
      </w:tr>
      <w:tr w14:paraId="03F31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794" w:type="dxa"/>
            <w:vMerge w:val="restart"/>
            <w:shd w:val="clear" w:color="auto" w:fill="auto"/>
            <w:vAlign w:val="center"/>
          </w:tcPr>
          <w:p w14:paraId="40EF9D12">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过程（20%）</w:t>
            </w:r>
          </w:p>
        </w:tc>
        <w:tc>
          <w:tcPr>
            <w:tcW w:w="881" w:type="dxa"/>
            <w:vMerge w:val="restart"/>
            <w:shd w:val="clear" w:color="auto" w:fill="auto"/>
            <w:vAlign w:val="center"/>
          </w:tcPr>
          <w:p w14:paraId="65EDE92C">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预算</w:t>
            </w:r>
          </w:p>
          <w:p w14:paraId="0EFEEADE">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执行</w:t>
            </w:r>
          </w:p>
          <w:p w14:paraId="49F28F5C">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（12分）</w:t>
            </w:r>
          </w:p>
        </w:tc>
        <w:tc>
          <w:tcPr>
            <w:tcW w:w="1587" w:type="dxa"/>
            <w:shd w:val="clear" w:color="auto" w:fill="auto"/>
            <w:vAlign w:val="center"/>
          </w:tcPr>
          <w:p w14:paraId="39F414B3">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预算完成率</w:t>
            </w:r>
          </w:p>
          <w:p w14:paraId="03A4C7E2">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（2分）</w:t>
            </w:r>
          </w:p>
        </w:tc>
        <w:tc>
          <w:tcPr>
            <w:tcW w:w="1880" w:type="dxa"/>
            <w:shd w:val="clear" w:color="auto" w:fill="auto"/>
            <w:vAlign w:val="center"/>
          </w:tcPr>
          <w:p w14:paraId="36E7143C">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通过对部门（单位）本年度支出预算完成数与支出预算数的比较，反映和评价部门（单位）支出预算的完成程度。支出预算完成率=（预算完成数/预算数）×100%。</w:t>
            </w:r>
          </w:p>
        </w:tc>
        <w:tc>
          <w:tcPr>
            <w:tcW w:w="2496" w:type="dxa"/>
            <w:shd w:val="clear" w:color="auto" w:fill="auto"/>
            <w:vAlign w:val="center"/>
          </w:tcPr>
          <w:p w14:paraId="1AEF059F">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①完成率大于或等于95%的，得满分；</w:t>
            </w:r>
          </w:p>
          <w:p w14:paraId="22D35ABC">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②完成率小于或等于85%的，得0分；</w:t>
            </w:r>
          </w:p>
          <w:p w14:paraId="50A8C451">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③完成率在85%-95%之间的，得分=（某部门预算完成率-85%）/10%×该指标分值。</w:t>
            </w:r>
          </w:p>
        </w:tc>
        <w:tc>
          <w:tcPr>
            <w:tcW w:w="1072" w:type="dxa"/>
            <w:shd w:val="clear" w:color="auto" w:fill="auto"/>
            <w:vAlign w:val="center"/>
          </w:tcPr>
          <w:p w14:paraId="73800031">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w:t>
            </w:r>
          </w:p>
        </w:tc>
      </w:tr>
      <w:tr w14:paraId="6D38B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794" w:type="dxa"/>
            <w:vMerge w:val="continue"/>
            <w:shd w:val="clear" w:color="auto" w:fill="auto"/>
            <w:vAlign w:val="center"/>
          </w:tcPr>
          <w:p w14:paraId="5E7F99ED">
            <w:pPr>
              <w:jc w:val="center"/>
              <w:rPr>
                <w:rFonts w:hint="eastAsia" w:ascii="仿宋" w:hAnsi="仿宋" w:eastAsia="仿宋" w:cs="仿宋"/>
                <w:color w:val="000000"/>
                <w:sz w:val="21"/>
                <w:szCs w:val="21"/>
              </w:rPr>
            </w:pPr>
          </w:p>
        </w:tc>
        <w:tc>
          <w:tcPr>
            <w:tcW w:w="881" w:type="dxa"/>
            <w:vMerge w:val="continue"/>
            <w:shd w:val="clear" w:color="auto" w:fill="auto"/>
            <w:vAlign w:val="center"/>
          </w:tcPr>
          <w:p w14:paraId="04DDF0B0">
            <w:pPr>
              <w:jc w:val="center"/>
              <w:rPr>
                <w:rFonts w:hint="eastAsia" w:ascii="仿宋" w:hAnsi="仿宋" w:eastAsia="仿宋" w:cs="仿宋"/>
                <w:color w:val="000000"/>
                <w:sz w:val="21"/>
                <w:szCs w:val="21"/>
              </w:rPr>
            </w:pPr>
          </w:p>
        </w:tc>
        <w:tc>
          <w:tcPr>
            <w:tcW w:w="1587" w:type="dxa"/>
            <w:shd w:val="clear" w:color="auto" w:fill="auto"/>
            <w:vAlign w:val="center"/>
          </w:tcPr>
          <w:p w14:paraId="66412E82">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预算调整率</w:t>
            </w:r>
          </w:p>
          <w:p w14:paraId="48800459">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（2分）</w:t>
            </w:r>
          </w:p>
        </w:tc>
        <w:tc>
          <w:tcPr>
            <w:tcW w:w="1880" w:type="dxa"/>
            <w:shd w:val="clear" w:color="auto" w:fill="auto"/>
            <w:vAlign w:val="center"/>
          </w:tcPr>
          <w:p w14:paraId="0FA77099">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部门（单位）本年度支出预算调整数与支出预算数的比率，用以反映和评价部门（单位）预算的调整程度。支出预算调整率=（支出预算调整数/支出预算数）×100%</w:t>
            </w:r>
          </w:p>
        </w:tc>
        <w:tc>
          <w:tcPr>
            <w:tcW w:w="2496" w:type="dxa"/>
            <w:shd w:val="clear" w:color="auto" w:fill="auto"/>
            <w:vAlign w:val="center"/>
          </w:tcPr>
          <w:p w14:paraId="3CB93E3D">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①支出预算调整率等于0的，得满分；</w:t>
            </w:r>
          </w:p>
          <w:p w14:paraId="6E13A464">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②调整率大于或等于10%的，得0分；</w:t>
            </w:r>
          </w:p>
          <w:p w14:paraId="1C1860EA">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③调整率在0-10%之间的，得分=（10%-某部门预算调整率）/10%×该指标分值</w:t>
            </w:r>
            <w:r>
              <w:rPr>
                <w:rFonts w:hint="eastAsia" w:ascii="宋体" w:hAnsi="宋体" w:cs="宋体"/>
                <w:color w:val="000000"/>
                <w:kern w:val="0"/>
                <w:sz w:val="18"/>
                <w:szCs w:val="18"/>
                <w:lang w:eastAsia="zh-CN" w:bidi="ar"/>
              </w:rPr>
              <w:t>。</w:t>
            </w:r>
          </w:p>
        </w:tc>
        <w:tc>
          <w:tcPr>
            <w:tcW w:w="1072" w:type="dxa"/>
            <w:shd w:val="clear" w:color="auto" w:fill="auto"/>
            <w:vAlign w:val="center"/>
          </w:tcPr>
          <w:p w14:paraId="1ACDB1DE">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0</w:t>
            </w:r>
          </w:p>
        </w:tc>
      </w:tr>
      <w:tr w14:paraId="07C51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trPr>
        <w:tc>
          <w:tcPr>
            <w:tcW w:w="794" w:type="dxa"/>
            <w:vMerge w:val="continue"/>
            <w:shd w:val="clear" w:color="auto" w:fill="auto"/>
            <w:vAlign w:val="center"/>
          </w:tcPr>
          <w:p w14:paraId="217F68B8">
            <w:pPr>
              <w:jc w:val="center"/>
              <w:rPr>
                <w:rFonts w:hint="eastAsia" w:ascii="仿宋" w:hAnsi="仿宋" w:eastAsia="仿宋" w:cs="仿宋"/>
                <w:color w:val="000000"/>
                <w:sz w:val="21"/>
                <w:szCs w:val="21"/>
              </w:rPr>
            </w:pPr>
          </w:p>
        </w:tc>
        <w:tc>
          <w:tcPr>
            <w:tcW w:w="881" w:type="dxa"/>
            <w:vMerge w:val="continue"/>
            <w:shd w:val="clear" w:color="auto" w:fill="auto"/>
            <w:vAlign w:val="center"/>
          </w:tcPr>
          <w:p w14:paraId="6CD5F314">
            <w:pPr>
              <w:jc w:val="center"/>
              <w:rPr>
                <w:rFonts w:hint="eastAsia" w:ascii="仿宋" w:hAnsi="仿宋" w:eastAsia="仿宋" w:cs="仿宋"/>
                <w:color w:val="000000"/>
                <w:sz w:val="21"/>
                <w:szCs w:val="21"/>
              </w:rPr>
            </w:pPr>
          </w:p>
        </w:tc>
        <w:tc>
          <w:tcPr>
            <w:tcW w:w="1587" w:type="dxa"/>
            <w:shd w:val="clear" w:color="auto" w:fill="auto"/>
            <w:vAlign w:val="center"/>
          </w:tcPr>
          <w:p w14:paraId="75496270">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结转结余率</w:t>
            </w:r>
          </w:p>
          <w:p w14:paraId="336D551D">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（2分）</w:t>
            </w:r>
          </w:p>
        </w:tc>
        <w:tc>
          <w:tcPr>
            <w:tcW w:w="1880" w:type="dxa"/>
            <w:shd w:val="clear" w:color="auto" w:fill="auto"/>
            <w:vAlign w:val="center"/>
          </w:tcPr>
          <w:p w14:paraId="79A21308">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部门（单位）本年度结转结余总额（含留在二级单位账上的资金）与支出预算数的比率，反映和评价部门（单位）对本年度结转结余资金的实际控制程度。</w:t>
            </w:r>
          </w:p>
        </w:tc>
        <w:tc>
          <w:tcPr>
            <w:tcW w:w="2496" w:type="dxa"/>
            <w:shd w:val="clear" w:color="auto" w:fill="auto"/>
            <w:vAlign w:val="center"/>
          </w:tcPr>
          <w:p w14:paraId="5E6B6794">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①结转结余率等于0的，得满分；</w:t>
            </w:r>
          </w:p>
          <w:p w14:paraId="7844E6BC">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②结转结余率大于或等于50%的，得0分；</w:t>
            </w:r>
          </w:p>
          <w:p w14:paraId="4851B859">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③结转结余率在0-50%之间的，得分=（50%-某部门结转结余率）/50%×该指标分值。</w:t>
            </w:r>
          </w:p>
        </w:tc>
        <w:tc>
          <w:tcPr>
            <w:tcW w:w="1072" w:type="dxa"/>
            <w:shd w:val="clear" w:color="auto" w:fill="auto"/>
            <w:vAlign w:val="center"/>
          </w:tcPr>
          <w:p w14:paraId="7649445F">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1.89</w:t>
            </w:r>
          </w:p>
        </w:tc>
      </w:tr>
      <w:tr w14:paraId="134EA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794" w:type="dxa"/>
            <w:vMerge w:val="continue"/>
            <w:shd w:val="clear" w:color="auto" w:fill="auto"/>
            <w:vAlign w:val="center"/>
          </w:tcPr>
          <w:p w14:paraId="2A67B306">
            <w:pPr>
              <w:jc w:val="center"/>
              <w:rPr>
                <w:rFonts w:hint="eastAsia" w:ascii="仿宋" w:hAnsi="仿宋" w:eastAsia="仿宋" w:cs="仿宋"/>
                <w:color w:val="000000"/>
                <w:sz w:val="21"/>
                <w:szCs w:val="21"/>
              </w:rPr>
            </w:pPr>
          </w:p>
        </w:tc>
        <w:tc>
          <w:tcPr>
            <w:tcW w:w="881" w:type="dxa"/>
            <w:vMerge w:val="continue"/>
            <w:shd w:val="clear" w:color="auto" w:fill="auto"/>
            <w:vAlign w:val="center"/>
          </w:tcPr>
          <w:p w14:paraId="4C9DEC8F">
            <w:pPr>
              <w:jc w:val="center"/>
              <w:rPr>
                <w:rFonts w:hint="eastAsia" w:ascii="仿宋" w:hAnsi="仿宋" w:eastAsia="仿宋" w:cs="仿宋"/>
                <w:color w:val="000000"/>
                <w:sz w:val="21"/>
                <w:szCs w:val="21"/>
              </w:rPr>
            </w:pPr>
          </w:p>
        </w:tc>
        <w:tc>
          <w:tcPr>
            <w:tcW w:w="1587" w:type="dxa"/>
            <w:shd w:val="clear" w:color="auto" w:fill="auto"/>
            <w:vAlign w:val="center"/>
          </w:tcPr>
          <w:p w14:paraId="7AF7A703">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公用经费</w:t>
            </w:r>
          </w:p>
          <w:p w14:paraId="13F7124A">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控制率</w:t>
            </w:r>
          </w:p>
          <w:p w14:paraId="7B7A6EE6">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（2分）</w:t>
            </w:r>
          </w:p>
        </w:tc>
        <w:tc>
          <w:tcPr>
            <w:tcW w:w="1880" w:type="dxa"/>
            <w:shd w:val="clear" w:color="auto" w:fill="auto"/>
            <w:vAlign w:val="center"/>
          </w:tcPr>
          <w:p w14:paraId="292D717E">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部门（单位）本年度实际支出的公用经费总额与预算安排的公用经费总额的比率，反映和评价部门（单位）对机构运转成本的实际控制程度。</w:t>
            </w:r>
          </w:p>
        </w:tc>
        <w:tc>
          <w:tcPr>
            <w:tcW w:w="2496" w:type="dxa"/>
            <w:shd w:val="clear" w:color="auto" w:fill="auto"/>
            <w:vAlign w:val="center"/>
          </w:tcPr>
          <w:p w14:paraId="7C4239AB">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①公用经费控制率≤100%(2分)；</w:t>
            </w:r>
          </w:p>
          <w:p w14:paraId="3D0EFDAC">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②公用经费控制率&gt;100%且≤120%(1分 )；</w:t>
            </w:r>
          </w:p>
          <w:p w14:paraId="6065BC0B">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③公用经费控制率&gt;120%且≤150% (0.5 分)；</w:t>
            </w:r>
          </w:p>
          <w:p w14:paraId="703DAD20">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④公用经费控制率&gt;150% (0 分)。</w:t>
            </w:r>
          </w:p>
        </w:tc>
        <w:tc>
          <w:tcPr>
            <w:tcW w:w="1072" w:type="dxa"/>
            <w:shd w:val="clear" w:color="auto" w:fill="auto"/>
            <w:vAlign w:val="center"/>
          </w:tcPr>
          <w:p w14:paraId="20E7C4F3">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2</w:t>
            </w:r>
          </w:p>
        </w:tc>
      </w:tr>
      <w:tr w14:paraId="52EB3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trPr>
        <w:tc>
          <w:tcPr>
            <w:tcW w:w="794" w:type="dxa"/>
            <w:vMerge w:val="continue"/>
            <w:shd w:val="clear" w:color="auto" w:fill="auto"/>
            <w:vAlign w:val="center"/>
          </w:tcPr>
          <w:p w14:paraId="15E2E888">
            <w:pPr>
              <w:jc w:val="center"/>
              <w:rPr>
                <w:rFonts w:hint="eastAsia" w:ascii="仿宋" w:hAnsi="仿宋" w:eastAsia="仿宋" w:cs="仿宋"/>
                <w:color w:val="000000"/>
                <w:sz w:val="21"/>
                <w:szCs w:val="21"/>
              </w:rPr>
            </w:pPr>
          </w:p>
        </w:tc>
        <w:tc>
          <w:tcPr>
            <w:tcW w:w="881" w:type="dxa"/>
            <w:vMerge w:val="continue"/>
            <w:shd w:val="clear" w:color="auto" w:fill="auto"/>
            <w:vAlign w:val="center"/>
          </w:tcPr>
          <w:p w14:paraId="6483699D">
            <w:pPr>
              <w:jc w:val="center"/>
              <w:rPr>
                <w:rFonts w:hint="eastAsia" w:ascii="仿宋" w:hAnsi="仿宋" w:eastAsia="仿宋" w:cs="仿宋"/>
                <w:color w:val="000000"/>
                <w:sz w:val="21"/>
                <w:szCs w:val="21"/>
              </w:rPr>
            </w:pPr>
          </w:p>
        </w:tc>
        <w:tc>
          <w:tcPr>
            <w:tcW w:w="1587" w:type="dxa"/>
            <w:shd w:val="clear" w:color="auto" w:fill="auto"/>
            <w:vAlign w:val="center"/>
          </w:tcPr>
          <w:p w14:paraId="01A02DB2">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eastAsia="zh-CN" w:bidi="ar"/>
              </w:rPr>
              <w:t>“三公”经费</w:t>
            </w:r>
          </w:p>
          <w:p w14:paraId="5BDC4C37">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控制率</w:t>
            </w:r>
          </w:p>
          <w:p w14:paraId="076D57D0">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（2分）</w:t>
            </w:r>
          </w:p>
        </w:tc>
        <w:tc>
          <w:tcPr>
            <w:tcW w:w="1880" w:type="dxa"/>
            <w:shd w:val="clear" w:color="auto" w:fill="auto"/>
            <w:vAlign w:val="center"/>
          </w:tcPr>
          <w:p w14:paraId="72295715">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部门（单位）本年度</w:t>
            </w:r>
            <w:r>
              <w:rPr>
                <w:rFonts w:hint="eastAsia" w:ascii="宋体" w:hAnsi="宋体" w:cs="宋体"/>
                <w:color w:val="000000"/>
                <w:kern w:val="0"/>
                <w:sz w:val="18"/>
                <w:szCs w:val="18"/>
                <w:lang w:eastAsia="zh-CN" w:bidi="ar"/>
              </w:rPr>
              <w:t>“三公”经费</w:t>
            </w:r>
            <w:r>
              <w:rPr>
                <w:rFonts w:hint="eastAsia" w:ascii="宋体" w:hAnsi="宋体" w:cs="宋体"/>
                <w:color w:val="000000"/>
                <w:kern w:val="0"/>
                <w:sz w:val="18"/>
                <w:szCs w:val="18"/>
                <w:lang w:bidi="ar"/>
              </w:rPr>
              <w:t>实际支出数与预算安排数的比率，用以反映和评价部门（单位）对</w:t>
            </w:r>
            <w:r>
              <w:rPr>
                <w:rFonts w:hint="eastAsia" w:ascii="宋体" w:hAnsi="宋体" w:cs="宋体"/>
                <w:color w:val="000000"/>
                <w:kern w:val="0"/>
                <w:sz w:val="18"/>
                <w:szCs w:val="18"/>
                <w:lang w:eastAsia="zh-CN" w:bidi="ar"/>
              </w:rPr>
              <w:t>“三公”经费</w:t>
            </w:r>
            <w:r>
              <w:rPr>
                <w:rFonts w:hint="eastAsia" w:ascii="宋体" w:hAnsi="宋体" w:cs="宋体"/>
                <w:color w:val="000000"/>
                <w:kern w:val="0"/>
                <w:sz w:val="18"/>
                <w:szCs w:val="18"/>
                <w:lang w:bidi="ar"/>
              </w:rPr>
              <w:t>的实际控制程度。</w:t>
            </w:r>
          </w:p>
        </w:tc>
        <w:tc>
          <w:tcPr>
            <w:tcW w:w="2496" w:type="dxa"/>
            <w:shd w:val="clear" w:color="auto" w:fill="auto"/>
            <w:vAlign w:val="center"/>
          </w:tcPr>
          <w:p w14:paraId="5D9F920A">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①</w:t>
            </w:r>
            <w:r>
              <w:rPr>
                <w:rFonts w:hint="eastAsia" w:ascii="宋体" w:hAnsi="宋体" w:cs="宋体"/>
                <w:color w:val="000000"/>
                <w:kern w:val="0"/>
                <w:sz w:val="18"/>
                <w:szCs w:val="18"/>
                <w:lang w:eastAsia="zh-CN" w:bidi="ar"/>
              </w:rPr>
              <w:t>“三公”经费</w:t>
            </w:r>
            <w:r>
              <w:rPr>
                <w:rFonts w:hint="eastAsia" w:ascii="宋体" w:hAnsi="宋体" w:cs="宋体"/>
                <w:color w:val="000000"/>
                <w:kern w:val="0"/>
                <w:sz w:val="18"/>
                <w:szCs w:val="18"/>
                <w:lang w:bidi="ar"/>
              </w:rPr>
              <w:t>控制率小于等于100%的，得满分；</w:t>
            </w:r>
          </w:p>
          <w:p w14:paraId="4A6AC1E6">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②每超过一个百分点扣0.5分，扣完为止。</w:t>
            </w:r>
          </w:p>
        </w:tc>
        <w:tc>
          <w:tcPr>
            <w:tcW w:w="1072" w:type="dxa"/>
            <w:shd w:val="clear" w:color="auto" w:fill="auto"/>
            <w:vAlign w:val="center"/>
          </w:tcPr>
          <w:p w14:paraId="0F842951">
            <w:pPr>
              <w:keepNext w:val="0"/>
              <w:keepLines w:val="0"/>
              <w:widowControl/>
              <w:suppressLineNumbers w:val="0"/>
              <w:jc w:val="center"/>
              <w:textAlignment w:val="center"/>
              <w:rPr>
                <w:rFonts w:hint="default" w:ascii="仿宋" w:hAnsi="仿宋" w:eastAsia="仿宋" w:cs="仿宋"/>
                <w:sz w:val="21"/>
                <w:szCs w:val="21"/>
                <w:lang w:val="en-US" w:eastAsia="zh-CN"/>
              </w:rPr>
            </w:pPr>
            <w:r>
              <w:rPr>
                <w:rFonts w:hint="eastAsia" w:ascii="仿宋" w:hAnsi="仿宋" w:eastAsia="仿宋" w:cs="仿宋"/>
                <w:i w:val="0"/>
                <w:iCs w:val="0"/>
                <w:color w:val="000000"/>
                <w:kern w:val="0"/>
                <w:sz w:val="21"/>
                <w:szCs w:val="21"/>
                <w:u w:val="none"/>
                <w:lang w:val="en-US" w:eastAsia="zh-CN" w:bidi="ar"/>
              </w:rPr>
              <w:t>1.5</w:t>
            </w:r>
          </w:p>
        </w:tc>
      </w:tr>
      <w:tr w14:paraId="4CD54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trPr>
        <w:tc>
          <w:tcPr>
            <w:tcW w:w="794" w:type="dxa"/>
            <w:vMerge w:val="continue"/>
            <w:shd w:val="clear" w:color="auto" w:fill="auto"/>
            <w:vAlign w:val="center"/>
          </w:tcPr>
          <w:p w14:paraId="1C1FD6E5">
            <w:pPr>
              <w:jc w:val="center"/>
              <w:rPr>
                <w:rFonts w:hint="eastAsia" w:ascii="仿宋" w:hAnsi="仿宋" w:eastAsia="仿宋" w:cs="仿宋"/>
                <w:color w:val="000000"/>
                <w:sz w:val="21"/>
                <w:szCs w:val="21"/>
              </w:rPr>
            </w:pPr>
          </w:p>
        </w:tc>
        <w:tc>
          <w:tcPr>
            <w:tcW w:w="881" w:type="dxa"/>
            <w:vMerge w:val="continue"/>
            <w:shd w:val="clear" w:color="auto" w:fill="auto"/>
            <w:vAlign w:val="center"/>
          </w:tcPr>
          <w:p w14:paraId="0A3C3183">
            <w:pPr>
              <w:jc w:val="center"/>
              <w:rPr>
                <w:rFonts w:hint="eastAsia" w:ascii="仿宋" w:hAnsi="仿宋" w:eastAsia="仿宋" w:cs="仿宋"/>
                <w:color w:val="000000"/>
                <w:sz w:val="21"/>
                <w:szCs w:val="21"/>
              </w:rPr>
            </w:pPr>
          </w:p>
        </w:tc>
        <w:tc>
          <w:tcPr>
            <w:tcW w:w="1587" w:type="dxa"/>
            <w:shd w:val="clear" w:color="auto" w:fill="auto"/>
            <w:vAlign w:val="center"/>
          </w:tcPr>
          <w:p w14:paraId="00CBF217">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政府采购</w:t>
            </w:r>
          </w:p>
          <w:p w14:paraId="6CE2F5B3">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 xml:space="preserve">执行率 </w:t>
            </w:r>
          </w:p>
          <w:p w14:paraId="336C4229">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（2分）</w:t>
            </w:r>
          </w:p>
        </w:tc>
        <w:tc>
          <w:tcPr>
            <w:tcW w:w="1880" w:type="dxa"/>
            <w:shd w:val="clear" w:color="auto" w:fill="auto"/>
            <w:vAlign w:val="center"/>
          </w:tcPr>
          <w:p w14:paraId="3DB9EC7D">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评价部门（单位）本年度政府采购是否执行政府采购相关规定和要求。</w:t>
            </w:r>
          </w:p>
        </w:tc>
        <w:tc>
          <w:tcPr>
            <w:tcW w:w="2496" w:type="dxa"/>
            <w:shd w:val="clear" w:color="auto" w:fill="auto"/>
            <w:vAlign w:val="center"/>
          </w:tcPr>
          <w:p w14:paraId="05E096DA">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①是否按规定编制政府采购预算；</w:t>
            </w:r>
          </w:p>
          <w:p w14:paraId="36A0A037">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②是否编制了政府采购计划表；</w:t>
            </w:r>
          </w:p>
          <w:p w14:paraId="02A265EC">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③是否按规定编制资产购置预算；</w:t>
            </w:r>
          </w:p>
          <w:p w14:paraId="0364BD4A">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④是否存在政府采购未按照规定公开招标、违规采购等违规行为；一项不符扣0.5分，扣完为止。</w:t>
            </w:r>
          </w:p>
        </w:tc>
        <w:tc>
          <w:tcPr>
            <w:tcW w:w="1072" w:type="dxa"/>
            <w:shd w:val="clear" w:color="auto" w:fill="auto"/>
            <w:vAlign w:val="center"/>
          </w:tcPr>
          <w:p w14:paraId="148D025D">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1</w:t>
            </w:r>
          </w:p>
        </w:tc>
      </w:tr>
      <w:tr w14:paraId="685FC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trPr>
        <w:tc>
          <w:tcPr>
            <w:tcW w:w="794" w:type="dxa"/>
            <w:vMerge w:val="continue"/>
            <w:shd w:val="clear" w:color="auto" w:fill="auto"/>
            <w:vAlign w:val="center"/>
          </w:tcPr>
          <w:p w14:paraId="4D207D89">
            <w:pPr>
              <w:jc w:val="center"/>
              <w:rPr>
                <w:rFonts w:hint="eastAsia" w:ascii="仿宋" w:hAnsi="仿宋" w:eastAsia="仿宋" w:cs="仿宋"/>
                <w:color w:val="000000"/>
                <w:sz w:val="21"/>
                <w:szCs w:val="21"/>
              </w:rPr>
            </w:pPr>
          </w:p>
        </w:tc>
        <w:tc>
          <w:tcPr>
            <w:tcW w:w="881" w:type="dxa"/>
            <w:vMerge w:val="restart"/>
            <w:shd w:val="clear" w:color="auto" w:fill="auto"/>
            <w:vAlign w:val="center"/>
          </w:tcPr>
          <w:p w14:paraId="0F8F1A48">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预算</w:t>
            </w:r>
          </w:p>
          <w:p w14:paraId="6689563E">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管理</w:t>
            </w:r>
          </w:p>
          <w:p w14:paraId="024D9830">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（8分）</w:t>
            </w:r>
          </w:p>
        </w:tc>
        <w:tc>
          <w:tcPr>
            <w:tcW w:w="1587" w:type="dxa"/>
            <w:shd w:val="clear" w:color="auto" w:fill="auto"/>
            <w:vAlign w:val="center"/>
          </w:tcPr>
          <w:p w14:paraId="4FBF7FC9">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管理制度</w:t>
            </w:r>
          </w:p>
          <w:p w14:paraId="28A21BA2">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健全性</w:t>
            </w:r>
          </w:p>
          <w:p w14:paraId="66A21590">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（2分）</w:t>
            </w:r>
          </w:p>
        </w:tc>
        <w:tc>
          <w:tcPr>
            <w:tcW w:w="1880" w:type="dxa"/>
            <w:shd w:val="clear" w:color="auto" w:fill="auto"/>
            <w:vAlign w:val="center"/>
          </w:tcPr>
          <w:p w14:paraId="46C8FD75">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部门（单位）为加强预算管理、规范财务行为而制定的管理制度是否健全完整，用以反映和评价部门（单位）预算管理制度对完成主要职责或促进事业发展的保障情况。</w:t>
            </w:r>
          </w:p>
        </w:tc>
        <w:tc>
          <w:tcPr>
            <w:tcW w:w="2496" w:type="dxa"/>
            <w:shd w:val="clear" w:color="auto" w:fill="auto"/>
            <w:vAlign w:val="center"/>
          </w:tcPr>
          <w:p w14:paraId="2104981B">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①已制定预算资金管理办法、内部财务管理制度、会计核算制度等管理制度（1分）；</w:t>
            </w:r>
          </w:p>
          <w:p w14:paraId="71CA1604">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②相关管理制度健全（1分）。</w:t>
            </w:r>
          </w:p>
        </w:tc>
        <w:tc>
          <w:tcPr>
            <w:tcW w:w="1072" w:type="dxa"/>
            <w:shd w:val="clear" w:color="auto" w:fill="auto"/>
            <w:vAlign w:val="center"/>
          </w:tcPr>
          <w:p w14:paraId="340F73A3">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1</w:t>
            </w:r>
          </w:p>
        </w:tc>
      </w:tr>
      <w:tr w14:paraId="6D3E0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0" w:hRule="atLeast"/>
        </w:trPr>
        <w:tc>
          <w:tcPr>
            <w:tcW w:w="794" w:type="dxa"/>
            <w:vMerge w:val="continue"/>
            <w:shd w:val="clear" w:color="auto" w:fill="auto"/>
            <w:vAlign w:val="center"/>
          </w:tcPr>
          <w:p w14:paraId="27E8D57A">
            <w:pPr>
              <w:jc w:val="center"/>
              <w:rPr>
                <w:rFonts w:hint="eastAsia" w:ascii="仿宋" w:hAnsi="仿宋" w:eastAsia="仿宋" w:cs="仿宋"/>
                <w:color w:val="000000"/>
                <w:sz w:val="21"/>
                <w:szCs w:val="21"/>
              </w:rPr>
            </w:pPr>
          </w:p>
        </w:tc>
        <w:tc>
          <w:tcPr>
            <w:tcW w:w="881" w:type="dxa"/>
            <w:vMerge w:val="continue"/>
            <w:shd w:val="clear" w:color="auto" w:fill="auto"/>
            <w:vAlign w:val="center"/>
          </w:tcPr>
          <w:p w14:paraId="03D0FA21">
            <w:pPr>
              <w:jc w:val="center"/>
              <w:rPr>
                <w:rFonts w:hint="eastAsia" w:ascii="仿宋" w:hAnsi="仿宋" w:eastAsia="仿宋" w:cs="仿宋"/>
                <w:color w:val="000000"/>
                <w:sz w:val="21"/>
                <w:szCs w:val="21"/>
              </w:rPr>
            </w:pPr>
          </w:p>
        </w:tc>
        <w:tc>
          <w:tcPr>
            <w:tcW w:w="1587" w:type="dxa"/>
            <w:shd w:val="clear" w:color="auto" w:fill="auto"/>
            <w:vAlign w:val="center"/>
          </w:tcPr>
          <w:p w14:paraId="2C5C23C6">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资金使用</w:t>
            </w:r>
          </w:p>
          <w:p w14:paraId="789FE697">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合规性</w:t>
            </w:r>
          </w:p>
          <w:p w14:paraId="4D83479D">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（2分）</w:t>
            </w:r>
          </w:p>
        </w:tc>
        <w:tc>
          <w:tcPr>
            <w:tcW w:w="1880" w:type="dxa"/>
            <w:shd w:val="clear" w:color="auto" w:fill="auto"/>
            <w:vAlign w:val="center"/>
          </w:tcPr>
          <w:p w14:paraId="050722E2">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部门（单位）使用预算资金是否符合相关的预算财务管理制度的规定，反映和评价部门（单位）预算资金的规范运行情况。</w:t>
            </w:r>
          </w:p>
        </w:tc>
        <w:tc>
          <w:tcPr>
            <w:tcW w:w="2496" w:type="dxa"/>
            <w:shd w:val="clear" w:color="auto" w:fill="auto"/>
            <w:vAlign w:val="center"/>
          </w:tcPr>
          <w:p w14:paraId="4DEAC78A">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①是否符合国家财经法规及有关部门资金管理办法的规定；</w:t>
            </w:r>
          </w:p>
          <w:p w14:paraId="31722483">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②资金的拨付是否有完整的审批过程和手续；</w:t>
            </w:r>
          </w:p>
          <w:p w14:paraId="48F89D37">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③对下补助资金是否有专门的资金分配办法或方案（包含测算过程）；</w:t>
            </w:r>
          </w:p>
          <w:p w14:paraId="78292B3E">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④项目的重大开支是否经过评估论证，是否存在截留、挤占、挪用、虚列支出的情况。一项不符扣0.5分，扣完为止。</w:t>
            </w:r>
          </w:p>
        </w:tc>
        <w:tc>
          <w:tcPr>
            <w:tcW w:w="1072" w:type="dxa"/>
            <w:shd w:val="clear" w:color="auto" w:fill="auto"/>
            <w:vAlign w:val="center"/>
          </w:tcPr>
          <w:p w14:paraId="1013DB29">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w:t>
            </w:r>
          </w:p>
        </w:tc>
      </w:tr>
      <w:tr w14:paraId="1C89A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794" w:type="dxa"/>
            <w:vMerge w:val="continue"/>
            <w:shd w:val="clear" w:color="auto" w:fill="auto"/>
            <w:vAlign w:val="center"/>
          </w:tcPr>
          <w:p w14:paraId="6D716019">
            <w:pPr>
              <w:jc w:val="center"/>
              <w:rPr>
                <w:rFonts w:hint="eastAsia" w:ascii="仿宋" w:hAnsi="仿宋" w:eastAsia="仿宋" w:cs="仿宋"/>
                <w:color w:val="000000"/>
                <w:sz w:val="21"/>
                <w:szCs w:val="21"/>
              </w:rPr>
            </w:pPr>
          </w:p>
        </w:tc>
        <w:tc>
          <w:tcPr>
            <w:tcW w:w="881" w:type="dxa"/>
            <w:vMerge w:val="continue"/>
            <w:shd w:val="clear" w:color="auto" w:fill="auto"/>
            <w:vAlign w:val="center"/>
          </w:tcPr>
          <w:p w14:paraId="47F27A20">
            <w:pPr>
              <w:jc w:val="center"/>
              <w:rPr>
                <w:rFonts w:hint="eastAsia" w:ascii="仿宋" w:hAnsi="仿宋" w:eastAsia="仿宋" w:cs="仿宋"/>
                <w:color w:val="000000"/>
                <w:sz w:val="21"/>
                <w:szCs w:val="21"/>
              </w:rPr>
            </w:pPr>
          </w:p>
        </w:tc>
        <w:tc>
          <w:tcPr>
            <w:tcW w:w="1587" w:type="dxa"/>
            <w:shd w:val="clear" w:color="auto" w:fill="auto"/>
            <w:vAlign w:val="center"/>
          </w:tcPr>
          <w:p w14:paraId="4BFF47CD">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预决算信息</w:t>
            </w:r>
          </w:p>
          <w:p w14:paraId="24E2340E">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公开性</w:t>
            </w:r>
          </w:p>
          <w:p w14:paraId="3040C084">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（2分）</w:t>
            </w:r>
          </w:p>
        </w:tc>
        <w:tc>
          <w:tcPr>
            <w:tcW w:w="1880" w:type="dxa"/>
            <w:shd w:val="clear" w:color="auto" w:fill="auto"/>
            <w:vAlign w:val="center"/>
          </w:tcPr>
          <w:p w14:paraId="5F7945BC">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部门（单位）是否按照政府信息公开有关规定及预决算批复文件中要求的格式、时限公开相关预决算信息，用以反映和评价部门（单位）预决算管理的公开透明情况。</w:t>
            </w:r>
          </w:p>
        </w:tc>
        <w:tc>
          <w:tcPr>
            <w:tcW w:w="2496" w:type="dxa"/>
            <w:shd w:val="clear" w:color="auto" w:fill="auto"/>
            <w:vAlign w:val="center"/>
          </w:tcPr>
          <w:p w14:paraId="7B19E3ED">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①按规定格式公开预决算信息（1分）；</w:t>
            </w:r>
          </w:p>
          <w:p w14:paraId="24DCD717">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②按规定时限公开预决算信息（1分）</w:t>
            </w:r>
            <w:r>
              <w:rPr>
                <w:rFonts w:hint="eastAsia" w:ascii="宋体" w:hAnsi="宋体" w:cs="宋体"/>
                <w:color w:val="000000"/>
                <w:kern w:val="0"/>
                <w:sz w:val="18"/>
                <w:szCs w:val="18"/>
                <w:lang w:eastAsia="zh-CN" w:bidi="ar"/>
              </w:rPr>
              <w:t>。</w:t>
            </w:r>
          </w:p>
        </w:tc>
        <w:tc>
          <w:tcPr>
            <w:tcW w:w="1072" w:type="dxa"/>
            <w:shd w:val="clear" w:color="auto" w:fill="auto"/>
            <w:vAlign w:val="center"/>
          </w:tcPr>
          <w:p w14:paraId="70BFAF68">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1</w:t>
            </w:r>
          </w:p>
        </w:tc>
      </w:tr>
      <w:tr w14:paraId="46CDA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trPr>
        <w:tc>
          <w:tcPr>
            <w:tcW w:w="794" w:type="dxa"/>
            <w:vMerge w:val="continue"/>
            <w:shd w:val="clear" w:color="auto" w:fill="auto"/>
            <w:vAlign w:val="center"/>
          </w:tcPr>
          <w:p w14:paraId="6844CA61">
            <w:pPr>
              <w:jc w:val="center"/>
              <w:rPr>
                <w:rFonts w:hint="eastAsia" w:ascii="仿宋" w:hAnsi="仿宋" w:eastAsia="仿宋" w:cs="仿宋"/>
                <w:color w:val="000000"/>
                <w:sz w:val="21"/>
                <w:szCs w:val="21"/>
              </w:rPr>
            </w:pPr>
          </w:p>
        </w:tc>
        <w:tc>
          <w:tcPr>
            <w:tcW w:w="881" w:type="dxa"/>
            <w:vMerge w:val="continue"/>
            <w:shd w:val="clear" w:color="auto" w:fill="auto"/>
            <w:vAlign w:val="center"/>
          </w:tcPr>
          <w:p w14:paraId="1E854520">
            <w:pPr>
              <w:jc w:val="center"/>
              <w:rPr>
                <w:rFonts w:hint="eastAsia" w:ascii="仿宋" w:hAnsi="仿宋" w:eastAsia="仿宋" w:cs="仿宋"/>
                <w:color w:val="000000"/>
                <w:sz w:val="21"/>
                <w:szCs w:val="21"/>
              </w:rPr>
            </w:pPr>
          </w:p>
        </w:tc>
        <w:tc>
          <w:tcPr>
            <w:tcW w:w="1587" w:type="dxa"/>
            <w:shd w:val="clear" w:color="auto" w:fill="auto"/>
            <w:vAlign w:val="center"/>
          </w:tcPr>
          <w:p w14:paraId="40EECF88">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资产管理</w:t>
            </w:r>
          </w:p>
          <w:p w14:paraId="4923755B">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完整性</w:t>
            </w:r>
          </w:p>
          <w:p w14:paraId="346B27B5">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（2分）</w:t>
            </w:r>
          </w:p>
        </w:tc>
        <w:tc>
          <w:tcPr>
            <w:tcW w:w="1880" w:type="dxa"/>
            <w:shd w:val="clear" w:color="auto" w:fill="auto"/>
            <w:vAlign w:val="center"/>
          </w:tcPr>
          <w:p w14:paraId="315BD877">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部门（单位）的资产是否保存完整、使用合规、收入及时足额上缴，用以反映和评价部门（单位）资产运行情况。</w:t>
            </w:r>
          </w:p>
        </w:tc>
        <w:tc>
          <w:tcPr>
            <w:tcW w:w="2496" w:type="dxa"/>
            <w:shd w:val="clear" w:color="auto" w:fill="auto"/>
            <w:vAlign w:val="center"/>
          </w:tcPr>
          <w:p w14:paraId="6A980D31">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①资产保存是否完整，有专人保管；</w:t>
            </w:r>
          </w:p>
          <w:p w14:paraId="365D7D1A">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②单位资产管理制度是否健全、完整、合法；</w:t>
            </w:r>
          </w:p>
          <w:p w14:paraId="07F44D19">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③资产有偿使用及处置收入是否及时足额上缴；</w:t>
            </w:r>
          </w:p>
          <w:p w14:paraId="2E42BD36">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④重大资产处置收入是否按照要求收支两条线管理和使用；一项不符扣0.5分，扣完为止。</w:t>
            </w:r>
          </w:p>
        </w:tc>
        <w:tc>
          <w:tcPr>
            <w:tcW w:w="1072" w:type="dxa"/>
            <w:shd w:val="clear" w:color="auto" w:fill="auto"/>
            <w:vAlign w:val="center"/>
          </w:tcPr>
          <w:p w14:paraId="368606AF">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w:t>
            </w:r>
          </w:p>
        </w:tc>
      </w:tr>
      <w:tr w14:paraId="0FE2C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794" w:type="dxa"/>
            <w:vMerge w:val="restart"/>
            <w:shd w:val="clear" w:color="auto" w:fill="auto"/>
            <w:vAlign w:val="center"/>
          </w:tcPr>
          <w:p w14:paraId="6CE2F210">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产出（40%）</w:t>
            </w:r>
          </w:p>
        </w:tc>
        <w:tc>
          <w:tcPr>
            <w:tcW w:w="881" w:type="dxa"/>
            <w:vMerge w:val="restart"/>
            <w:shd w:val="clear" w:color="auto" w:fill="auto"/>
            <w:vAlign w:val="center"/>
          </w:tcPr>
          <w:p w14:paraId="3F810BE4">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职责</w:t>
            </w:r>
          </w:p>
          <w:p w14:paraId="7C873280">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履行</w:t>
            </w:r>
          </w:p>
          <w:p w14:paraId="6A7BECC3">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（8分）</w:t>
            </w:r>
          </w:p>
        </w:tc>
        <w:tc>
          <w:tcPr>
            <w:tcW w:w="1587" w:type="dxa"/>
            <w:shd w:val="clear" w:color="auto" w:fill="auto"/>
            <w:vAlign w:val="center"/>
          </w:tcPr>
          <w:p w14:paraId="168D159F">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项目实际</w:t>
            </w:r>
          </w:p>
          <w:p w14:paraId="7DEC80C9">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完成率</w:t>
            </w:r>
          </w:p>
          <w:p w14:paraId="2D493BC6">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（2分）</w:t>
            </w:r>
          </w:p>
        </w:tc>
        <w:tc>
          <w:tcPr>
            <w:tcW w:w="1880" w:type="dxa"/>
            <w:shd w:val="clear" w:color="auto" w:fill="auto"/>
            <w:vAlign w:val="center"/>
          </w:tcPr>
          <w:p w14:paraId="0F98FDCB">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抽查评价部门(单位)履行职责而实际完成的项目数与计划完成的项目数的比率，用以反映 和评价部门(单位)履职任务目标的实现程度项目实际完成率=(实际完成项目数/计划完成项目数)×100%。</w:t>
            </w:r>
          </w:p>
        </w:tc>
        <w:tc>
          <w:tcPr>
            <w:tcW w:w="2496" w:type="dxa"/>
            <w:shd w:val="clear" w:color="auto" w:fill="auto"/>
            <w:vAlign w:val="center"/>
          </w:tcPr>
          <w:p w14:paraId="03939E08">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①项目实际完成率</w:t>
            </w:r>
            <w:r>
              <w:rPr>
                <w:rFonts w:hint="eastAsia" w:ascii="宋体" w:hAnsi="宋体" w:cs="宋体"/>
                <w:color w:val="000000"/>
                <w:kern w:val="0"/>
                <w:sz w:val="18"/>
                <w:szCs w:val="18"/>
                <w:lang w:val="en-US" w:eastAsia="zh-CN" w:bidi="ar"/>
              </w:rPr>
              <w:t>大于</w:t>
            </w:r>
            <w:r>
              <w:rPr>
                <w:rFonts w:hint="eastAsia" w:ascii="宋体" w:hAnsi="宋体" w:cs="宋体"/>
                <w:color w:val="000000"/>
                <w:kern w:val="0"/>
                <w:sz w:val="18"/>
                <w:szCs w:val="18"/>
                <w:lang w:bidi="ar"/>
              </w:rPr>
              <w:t>等于95%的，得满分；项目实际完成率小</w:t>
            </w:r>
            <w:r>
              <w:rPr>
                <w:rFonts w:hint="eastAsia" w:ascii="宋体" w:hAnsi="宋体" w:cs="宋体"/>
                <w:color w:val="000000"/>
                <w:kern w:val="0"/>
                <w:sz w:val="18"/>
                <w:szCs w:val="18"/>
                <w:lang w:val="en-US" w:eastAsia="zh-CN" w:bidi="ar"/>
              </w:rPr>
              <w:t>于</w:t>
            </w:r>
            <w:r>
              <w:rPr>
                <w:rFonts w:hint="eastAsia" w:ascii="宋体" w:hAnsi="宋体" w:cs="宋体"/>
                <w:color w:val="000000"/>
                <w:kern w:val="0"/>
                <w:sz w:val="18"/>
                <w:szCs w:val="18"/>
                <w:lang w:bidi="ar"/>
              </w:rPr>
              <w:t>等于80%的，得0分；</w:t>
            </w:r>
          </w:p>
          <w:p w14:paraId="53B900EB">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项目实际完成率在80%-95%之间的，得分=(某部门项目实际完成率-80%)/10%×该指标分值。</w:t>
            </w:r>
          </w:p>
        </w:tc>
        <w:tc>
          <w:tcPr>
            <w:tcW w:w="1072" w:type="dxa"/>
            <w:shd w:val="clear" w:color="auto" w:fill="auto"/>
            <w:vAlign w:val="center"/>
          </w:tcPr>
          <w:p w14:paraId="1C75C282">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w:t>
            </w:r>
          </w:p>
        </w:tc>
      </w:tr>
      <w:tr w14:paraId="72987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0" w:hRule="atLeast"/>
        </w:trPr>
        <w:tc>
          <w:tcPr>
            <w:tcW w:w="794" w:type="dxa"/>
            <w:vMerge w:val="continue"/>
            <w:shd w:val="clear" w:color="auto" w:fill="auto"/>
            <w:vAlign w:val="center"/>
          </w:tcPr>
          <w:p w14:paraId="7EA537DD">
            <w:pPr>
              <w:jc w:val="center"/>
              <w:rPr>
                <w:rFonts w:hint="eastAsia" w:ascii="仿宋" w:hAnsi="仿宋" w:eastAsia="仿宋" w:cs="仿宋"/>
                <w:color w:val="000000"/>
                <w:sz w:val="21"/>
                <w:szCs w:val="21"/>
              </w:rPr>
            </w:pPr>
          </w:p>
        </w:tc>
        <w:tc>
          <w:tcPr>
            <w:tcW w:w="881" w:type="dxa"/>
            <w:vMerge w:val="continue"/>
            <w:shd w:val="clear" w:color="auto" w:fill="auto"/>
            <w:vAlign w:val="center"/>
          </w:tcPr>
          <w:p w14:paraId="3D5F84DA">
            <w:pPr>
              <w:jc w:val="center"/>
              <w:rPr>
                <w:rFonts w:hint="eastAsia" w:ascii="仿宋" w:hAnsi="仿宋" w:eastAsia="仿宋" w:cs="仿宋"/>
                <w:color w:val="000000"/>
                <w:sz w:val="21"/>
                <w:szCs w:val="21"/>
              </w:rPr>
            </w:pPr>
          </w:p>
        </w:tc>
        <w:tc>
          <w:tcPr>
            <w:tcW w:w="1587" w:type="dxa"/>
            <w:shd w:val="clear" w:color="auto" w:fill="auto"/>
            <w:vAlign w:val="center"/>
          </w:tcPr>
          <w:p w14:paraId="3A9E7A65">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项目质量</w:t>
            </w:r>
          </w:p>
          <w:p w14:paraId="378A0E9D">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达标率</w:t>
            </w:r>
          </w:p>
          <w:p w14:paraId="790924D2">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（2分）</w:t>
            </w:r>
          </w:p>
        </w:tc>
        <w:tc>
          <w:tcPr>
            <w:tcW w:w="1880" w:type="dxa"/>
            <w:shd w:val="clear" w:color="auto" w:fill="auto"/>
            <w:vAlign w:val="center"/>
          </w:tcPr>
          <w:p w14:paraId="5A565C5D">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部门已完成项目中质量达标项目个数占已完成项目个数的比率，用以反映和评价部门服职质量目标的实现程度，项目质量达标率=(已完成项目中质量达标项目个数/已完成项目个 数 ×100%。项目质量达标是指项目决算验收合格。</w:t>
            </w:r>
          </w:p>
        </w:tc>
        <w:tc>
          <w:tcPr>
            <w:tcW w:w="2496" w:type="dxa"/>
            <w:shd w:val="clear" w:color="auto" w:fill="auto"/>
            <w:vAlign w:val="center"/>
          </w:tcPr>
          <w:p w14:paraId="103AB2AE">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①项目质量达标率等于100%的，得满分；</w:t>
            </w:r>
          </w:p>
          <w:p w14:paraId="0FE1CC68">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②项</w:t>
            </w:r>
            <w:r>
              <w:rPr>
                <w:rFonts w:hint="eastAsia" w:ascii="宋体" w:hAnsi="宋体" w:cs="宋体"/>
                <w:color w:val="000000"/>
                <w:kern w:val="0"/>
                <w:sz w:val="18"/>
                <w:szCs w:val="18"/>
                <w:lang w:eastAsia="zh-CN" w:bidi="ar"/>
              </w:rPr>
              <w:t>目</w:t>
            </w:r>
            <w:r>
              <w:rPr>
                <w:rFonts w:hint="eastAsia" w:ascii="宋体" w:hAnsi="宋体" w:cs="宋体"/>
                <w:color w:val="000000"/>
                <w:kern w:val="0"/>
                <w:sz w:val="18"/>
                <w:szCs w:val="18"/>
                <w:lang w:bidi="ar"/>
              </w:rPr>
              <w:t>质量达标率</w:t>
            </w:r>
            <w:r>
              <w:rPr>
                <w:rFonts w:hint="eastAsia" w:ascii="宋体" w:hAnsi="宋体" w:cs="宋体"/>
                <w:color w:val="000000"/>
                <w:kern w:val="0"/>
                <w:sz w:val="18"/>
                <w:szCs w:val="18"/>
                <w:lang w:val="en-US" w:eastAsia="zh-CN" w:bidi="ar"/>
              </w:rPr>
              <w:t>小于</w:t>
            </w:r>
            <w:r>
              <w:rPr>
                <w:rFonts w:hint="eastAsia" w:ascii="宋体" w:hAnsi="宋体" w:cs="宋体"/>
                <w:color w:val="000000"/>
                <w:kern w:val="0"/>
                <w:sz w:val="18"/>
                <w:szCs w:val="18"/>
                <w:lang w:bidi="ar"/>
              </w:rPr>
              <w:t>等于99%的，得0分；</w:t>
            </w:r>
          </w:p>
          <w:p w14:paraId="6BF681E7">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②项目质量达标率在99%-100%之间的 得分=(某部门项目质量达标率-99%)/1%×该指标分值</w:t>
            </w:r>
          </w:p>
        </w:tc>
        <w:tc>
          <w:tcPr>
            <w:tcW w:w="1072" w:type="dxa"/>
            <w:shd w:val="clear" w:color="auto" w:fill="auto"/>
            <w:vAlign w:val="center"/>
          </w:tcPr>
          <w:p w14:paraId="7C400260">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w:t>
            </w:r>
          </w:p>
        </w:tc>
      </w:tr>
      <w:tr w14:paraId="63728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794" w:type="dxa"/>
            <w:vMerge w:val="continue"/>
            <w:shd w:val="clear" w:color="auto" w:fill="auto"/>
            <w:vAlign w:val="center"/>
          </w:tcPr>
          <w:p w14:paraId="3B1C62A5">
            <w:pPr>
              <w:jc w:val="center"/>
              <w:rPr>
                <w:rFonts w:hint="eastAsia" w:ascii="仿宋" w:hAnsi="仿宋" w:eastAsia="仿宋" w:cs="仿宋"/>
                <w:color w:val="000000"/>
                <w:sz w:val="21"/>
                <w:szCs w:val="21"/>
              </w:rPr>
            </w:pPr>
          </w:p>
        </w:tc>
        <w:tc>
          <w:tcPr>
            <w:tcW w:w="881" w:type="dxa"/>
            <w:vMerge w:val="continue"/>
            <w:shd w:val="clear" w:color="auto" w:fill="auto"/>
            <w:vAlign w:val="center"/>
          </w:tcPr>
          <w:p w14:paraId="0C975FCA">
            <w:pPr>
              <w:jc w:val="center"/>
              <w:rPr>
                <w:rFonts w:hint="eastAsia" w:ascii="仿宋" w:hAnsi="仿宋" w:eastAsia="仿宋" w:cs="仿宋"/>
                <w:color w:val="000000"/>
                <w:sz w:val="21"/>
                <w:szCs w:val="21"/>
              </w:rPr>
            </w:pPr>
          </w:p>
        </w:tc>
        <w:tc>
          <w:tcPr>
            <w:tcW w:w="1587" w:type="dxa"/>
            <w:shd w:val="clear" w:color="auto" w:fill="auto"/>
            <w:vAlign w:val="center"/>
          </w:tcPr>
          <w:p w14:paraId="54B34E4D">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部门绩效自评项目占比率</w:t>
            </w:r>
          </w:p>
          <w:p w14:paraId="3BC001BB">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（2分）</w:t>
            </w:r>
          </w:p>
        </w:tc>
        <w:tc>
          <w:tcPr>
            <w:tcW w:w="1880" w:type="dxa"/>
            <w:shd w:val="clear" w:color="auto" w:fill="auto"/>
            <w:vAlign w:val="center"/>
          </w:tcPr>
          <w:p w14:paraId="00CE0F45">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部门自评项目在所有项目中所占的份额，反映和评价部门对项目自评的重视程度。部门支出项目绩效自评范围：本年度列入本级财政预算 安排的项目。</w:t>
            </w:r>
          </w:p>
        </w:tc>
        <w:tc>
          <w:tcPr>
            <w:tcW w:w="2496" w:type="dxa"/>
            <w:shd w:val="clear" w:color="auto" w:fill="auto"/>
            <w:vAlign w:val="center"/>
          </w:tcPr>
          <w:p w14:paraId="29F931CF">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部门绩效自评项目占比率=(自评项目个数/所有项目个数)×100%。得分=占比率×该指标分值</w:t>
            </w:r>
          </w:p>
        </w:tc>
        <w:tc>
          <w:tcPr>
            <w:tcW w:w="1072" w:type="dxa"/>
            <w:shd w:val="clear" w:color="auto" w:fill="auto"/>
            <w:vAlign w:val="center"/>
          </w:tcPr>
          <w:p w14:paraId="58E80E6C">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w:t>
            </w:r>
          </w:p>
        </w:tc>
      </w:tr>
      <w:tr w14:paraId="1DEA3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794" w:type="dxa"/>
            <w:vMerge w:val="continue"/>
            <w:shd w:val="clear" w:color="auto" w:fill="auto"/>
            <w:vAlign w:val="center"/>
          </w:tcPr>
          <w:p w14:paraId="132BF02B">
            <w:pPr>
              <w:jc w:val="center"/>
              <w:rPr>
                <w:rFonts w:hint="eastAsia" w:ascii="仿宋" w:hAnsi="仿宋" w:eastAsia="仿宋" w:cs="仿宋"/>
                <w:color w:val="000000"/>
                <w:sz w:val="21"/>
                <w:szCs w:val="21"/>
              </w:rPr>
            </w:pPr>
          </w:p>
        </w:tc>
        <w:tc>
          <w:tcPr>
            <w:tcW w:w="881" w:type="dxa"/>
            <w:vMerge w:val="continue"/>
            <w:shd w:val="clear" w:color="auto" w:fill="auto"/>
            <w:vAlign w:val="center"/>
          </w:tcPr>
          <w:p w14:paraId="4EB8104C">
            <w:pPr>
              <w:jc w:val="center"/>
              <w:rPr>
                <w:rFonts w:hint="eastAsia" w:ascii="仿宋" w:hAnsi="仿宋" w:eastAsia="仿宋" w:cs="仿宋"/>
                <w:color w:val="000000"/>
                <w:sz w:val="21"/>
                <w:szCs w:val="21"/>
              </w:rPr>
            </w:pPr>
          </w:p>
        </w:tc>
        <w:tc>
          <w:tcPr>
            <w:tcW w:w="1587" w:type="dxa"/>
            <w:shd w:val="clear" w:color="auto" w:fill="auto"/>
            <w:vAlign w:val="center"/>
          </w:tcPr>
          <w:p w14:paraId="037CCF42">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部门预算绩效管理情况</w:t>
            </w:r>
          </w:p>
          <w:p w14:paraId="3E487360">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（2分）</w:t>
            </w:r>
          </w:p>
        </w:tc>
        <w:tc>
          <w:tcPr>
            <w:tcW w:w="1880" w:type="dxa"/>
            <w:shd w:val="clear" w:color="auto" w:fill="auto"/>
            <w:vAlign w:val="center"/>
          </w:tcPr>
          <w:p w14:paraId="2E53A5EC">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对部门开展预算绩效管理工作的年度评价结果，用以反映部门对预算绩效管理工作的重视程度和取得的成效。</w:t>
            </w:r>
          </w:p>
        </w:tc>
        <w:tc>
          <w:tcPr>
            <w:tcW w:w="2496" w:type="dxa"/>
            <w:shd w:val="clear" w:color="auto" w:fill="auto"/>
            <w:vAlign w:val="center"/>
          </w:tcPr>
          <w:p w14:paraId="12C442AD">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对部门绩效管理工作开展情况进行核查评价计算得分，包括绩效目标管理，绩效执行监控、绩效自评和评价结果应用等情况。以部门为单位进行综合计算，得出各部门绩效管理工作评价结果，资料数据来源不真实的不得分。未按规定报送绩效管理报表资料或未按时完成整改反馈的，每次扣1分。综合得分=(部门绩效管理工作评价结果/100) *5分</w:t>
            </w:r>
          </w:p>
        </w:tc>
        <w:tc>
          <w:tcPr>
            <w:tcW w:w="1072" w:type="dxa"/>
            <w:shd w:val="clear" w:color="auto" w:fill="auto"/>
            <w:vAlign w:val="center"/>
          </w:tcPr>
          <w:p w14:paraId="6145AC8E">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1</w:t>
            </w:r>
          </w:p>
        </w:tc>
      </w:tr>
      <w:tr w14:paraId="1B2BD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794" w:type="dxa"/>
            <w:vMerge w:val="continue"/>
            <w:shd w:val="clear" w:color="auto" w:fill="auto"/>
            <w:vAlign w:val="center"/>
          </w:tcPr>
          <w:p w14:paraId="418480FF">
            <w:pPr>
              <w:jc w:val="center"/>
              <w:rPr>
                <w:rFonts w:hint="eastAsia" w:ascii="仿宋" w:hAnsi="仿宋" w:eastAsia="仿宋" w:cs="仿宋"/>
                <w:color w:val="000000"/>
                <w:sz w:val="21"/>
                <w:szCs w:val="21"/>
              </w:rPr>
            </w:pPr>
          </w:p>
        </w:tc>
        <w:tc>
          <w:tcPr>
            <w:tcW w:w="881" w:type="dxa"/>
            <w:vMerge w:val="restart"/>
            <w:shd w:val="clear" w:color="auto" w:fill="auto"/>
            <w:vAlign w:val="center"/>
          </w:tcPr>
          <w:p w14:paraId="35478607">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产出</w:t>
            </w:r>
          </w:p>
          <w:p w14:paraId="1B4CEB75">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数量</w:t>
            </w:r>
          </w:p>
          <w:p w14:paraId="295DE777">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（12）</w:t>
            </w:r>
          </w:p>
        </w:tc>
        <w:tc>
          <w:tcPr>
            <w:tcW w:w="1587" w:type="dxa"/>
            <w:shd w:val="clear" w:color="auto" w:fill="auto"/>
            <w:vAlign w:val="center"/>
          </w:tcPr>
          <w:p w14:paraId="3100694A">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新增高标准</w:t>
            </w:r>
          </w:p>
          <w:p w14:paraId="4F994428">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农田面积</w:t>
            </w:r>
          </w:p>
          <w:p w14:paraId="05B155D8">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（2分）</w:t>
            </w:r>
          </w:p>
        </w:tc>
        <w:tc>
          <w:tcPr>
            <w:tcW w:w="1880" w:type="dxa"/>
            <w:shd w:val="clear" w:color="auto" w:fill="auto"/>
            <w:vAlign w:val="center"/>
          </w:tcPr>
          <w:p w14:paraId="08F30596">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考核新增高标准农田面积</w:t>
            </w:r>
          </w:p>
        </w:tc>
        <w:tc>
          <w:tcPr>
            <w:tcW w:w="2496" w:type="dxa"/>
            <w:shd w:val="clear" w:color="auto" w:fill="auto"/>
            <w:vAlign w:val="center"/>
          </w:tcPr>
          <w:p w14:paraId="0053212B">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≥0.1万亩得满分，面积每少于0.01亩扣0.5分</w:t>
            </w:r>
          </w:p>
        </w:tc>
        <w:tc>
          <w:tcPr>
            <w:tcW w:w="1072" w:type="dxa"/>
            <w:shd w:val="clear" w:color="auto" w:fill="auto"/>
            <w:vAlign w:val="center"/>
          </w:tcPr>
          <w:p w14:paraId="3D44A6A5">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w:t>
            </w:r>
          </w:p>
        </w:tc>
      </w:tr>
      <w:tr w14:paraId="576DC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794" w:type="dxa"/>
            <w:vMerge w:val="continue"/>
            <w:shd w:val="clear" w:color="auto" w:fill="auto"/>
            <w:vAlign w:val="center"/>
          </w:tcPr>
          <w:p w14:paraId="52E38001">
            <w:pPr>
              <w:jc w:val="center"/>
              <w:rPr>
                <w:rFonts w:hint="eastAsia" w:ascii="仿宋" w:hAnsi="仿宋" w:eastAsia="仿宋" w:cs="仿宋"/>
                <w:color w:val="000000"/>
                <w:sz w:val="21"/>
                <w:szCs w:val="21"/>
              </w:rPr>
            </w:pPr>
          </w:p>
        </w:tc>
        <w:tc>
          <w:tcPr>
            <w:tcW w:w="881" w:type="dxa"/>
            <w:vMerge w:val="continue"/>
            <w:shd w:val="clear" w:color="auto" w:fill="auto"/>
            <w:vAlign w:val="center"/>
          </w:tcPr>
          <w:p w14:paraId="1441C863">
            <w:pPr>
              <w:jc w:val="center"/>
              <w:rPr>
                <w:rFonts w:hint="eastAsia" w:ascii="仿宋" w:hAnsi="仿宋" w:eastAsia="仿宋" w:cs="仿宋"/>
                <w:color w:val="000000"/>
                <w:sz w:val="21"/>
                <w:szCs w:val="21"/>
              </w:rPr>
            </w:pPr>
          </w:p>
        </w:tc>
        <w:tc>
          <w:tcPr>
            <w:tcW w:w="1587" w:type="dxa"/>
            <w:shd w:val="clear" w:color="auto" w:fill="auto"/>
            <w:vAlign w:val="center"/>
          </w:tcPr>
          <w:p w14:paraId="7C5DB92A">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农业农村</w:t>
            </w:r>
          </w:p>
          <w:p w14:paraId="6EB68C9B">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工作宣教</w:t>
            </w:r>
          </w:p>
          <w:p w14:paraId="57CACC3C">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活动次数</w:t>
            </w:r>
          </w:p>
          <w:p w14:paraId="54BC19C1">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（2分）</w:t>
            </w:r>
          </w:p>
        </w:tc>
        <w:tc>
          <w:tcPr>
            <w:tcW w:w="1880" w:type="dxa"/>
            <w:shd w:val="clear" w:color="auto" w:fill="auto"/>
            <w:vAlign w:val="center"/>
          </w:tcPr>
          <w:p w14:paraId="4E6730E2">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考核农业农村工作宣教活动次数是否达到目标</w:t>
            </w:r>
          </w:p>
        </w:tc>
        <w:tc>
          <w:tcPr>
            <w:tcW w:w="2496" w:type="dxa"/>
            <w:shd w:val="clear" w:color="auto" w:fill="auto"/>
            <w:vAlign w:val="center"/>
          </w:tcPr>
          <w:p w14:paraId="73958601">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农业农村工作宣教活动次数≥3次（2分）；2次≤农业农村工作宣教活动次数﹤3次（1.5分）；农业农村工作宣教活动次数﹤80%（0分）</w:t>
            </w:r>
          </w:p>
        </w:tc>
        <w:tc>
          <w:tcPr>
            <w:tcW w:w="1072" w:type="dxa"/>
            <w:shd w:val="clear" w:color="auto" w:fill="auto"/>
            <w:vAlign w:val="center"/>
          </w:tcPr>
          <w:p w14:paraId="0A156F14">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w:t>
            </w:r>
          </w:p>
        </w:tc>
      </w:tr>
      <w:tr w14:paraId="1BD21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94" w:type="dxa"/>
            <w:vMerge w:val="continue"/>
            <w:shd w:val="clear" w:color="auto" w:fill="auto"/>
            <w:vAlign w:val="center"/>
          </w:tcPr>
          <w:p w14:paraId="3F7F6B78">
            <w:pPr>
              <w:jc w:val="center"/>
              <w:rPr>
                <w:rFonts w:hint="eastAsia" w:ascii="仿宋" w:hAnsi="仿宋" w:eastAsia="仿宋" w:cs="仿宋"/>
                <w:color w:val="000000"/>
                <w:sz w:val="21"/>
                <w:szCs w:val="21"/>
              </w:rPr>
            </w:pPr>
          </w:p>
        </w:tc>
        <w:tc>
          <w:tcPr>
            <w:tcW w:w="881" w:type="dxa"/>
            <w:vMerge w:val="continue"/>
            <w:shd w:val="clear" w:color="auto" w:fill="auto"/>
            <w:vAlign w:val="center"/>
          </w:tcPr>
          <w:p w14:paraId="27E8B16E">
            <w:pPr>
              <w:jc w:val="center"/>
              <w:rPr>
                <w:rFonts w:hint="eastAsia" w:ascii="仿宋" w:hAnsi="仿宋" w:eastAsia="仿宋" w:cs="仿宋"/>
                <w:color w:val="000000"/>
                <w:sz w:val="21"/>
                <w:szCs w:val="21"/>
              </w:rPr>
            </w:pPr>
          </w:p>
        </w:tc>
        <w:tc>
          <w:tcPr>
            <w:tcW w:w="1587" w:type="dxa"/>
            <w:shd w:val="clear" w:color="auto" w:fill="auto"/>
            <w:vAlign w:val="center"/>
          </w:tcPr>
          <w:p w14:paraId="0CDCDEE2">
            <w:pPr>
              <w:widowControl/>
              <w:jc w:val="center"/>
              <w:textAlignment w:val="center"/>
              <w:rPr>
                <w:rFonts w:ascii="宋体" w:hAnsi="宋体" w:cs="宋体"/>
                <w:color w:val="000000"/>
                <w:sz w:val="18"/>
                <w:szCs w:val="18"/>
              </w:rPr>
            </w:pPr>
            <w:r>
              <w:rPr>
                <w:rFonts w:hint="eastAsia" w:ascii="宋体" w:hAnsi="宋体" w:cs="宋体"/>
                <w:color w:val="000000"/>
                <w:sz w:val="18"/>
                <w:szCs w:val="18"/>
              </w:rPr>
              <w:t>农产品质量安全监督抽检数量</w:t>
            </w:r>
          </w:p>
          <w:p w14:paraId="59190448">
            <w:pPr>
              <w:widowControl/>
              <w:jc w:val="center"/>
              <w:textAlignment w:val="center"/>
              <w:rPr>
                <w:rFonts w:hint="eastAsia" w:ascii="仿宋" w:hAnsi="仿宋" w:eastAsia="仿宋" w:cs="仿宋"/>
                <w:color w:val="000000"/>
                <w:sz w:val="21"/>
                <w:szCs w:val="21"/>
              </w:rPr>
            </w:pPr>
            <w:r>
              <w:rPr>
                <w:rFonts w:hint="eastAsia" w:ascii="宋体" w:hAnsi="宋体" w:cs="宋体"/>
                <w:color w:val="000000"/>
                <w:sz w:val="18"/>
                <w:szCs w:val="18"/>
              </w:rPr>
              <w:t>（2分）</w:t>
            </w:r>
          </w:p>
        </w:tc>
        <w:tc>
          <w:tcPr>
            <w:tcW w:w="1880" w:type="dxa"/>
            <w:shd w:val="clear" w:color="auto" w:fill="auto"/>
            <w:vAlign w:val="center"/>
          </w:tcPr>
          <w:p w14:paraId="6F442FD7">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考核农产品质量安全例行监测样品数量</w:t>
            </w:r>
          </w:p>
        </w:tc>
        <w:tc>
          <w:tcPr>
            <w:tcW w:w="2496" w:type="dxa"/>
            <w:shd w:val="clear" w:color="auto" w:fill="auto"/>
            <w:vAlign w:val="center"/>
          </w:tcPr>
          <w:p w14:paraId="55227F7C">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农产品质量安全监督抽检数量≥300份（2分），每少1家扣1分，扣完为止。</w:t>
            </w:r>
          </w:p>
        </w:tc>
        <w:tc>
          <w:tcPr>
            <w:tcW w:w="1072" w:type="dxa"/>
            <w:shd w:val="clear" w:color="auto" w:fill="auto"/>
            <w:vAlign w:val="center"/>
          </w:tcPr>
          <w:p w14:paraId="7CF457D7">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w:t>
            </w:r>
          </w:p>
        </w:tc>
      </w:tr>
      <w:tr w14:paraId="78A7B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94" w:type="dxa"/>
            <w:vMerge w:val="continue"/>
            <w:shd w:val="clear" w:color="auto" w:fill="auto"/>
            <w:vAlign w:val="center"/>
          </w:tcPr>
          <w:p w14:paraId="136302EF">
            <w:pPr>
              <w:jc w:val="center"/>
              <w:rPr>
                <w:rFonts w:hint="eastAsia" w:ascii="仿宋" w:hAnsi="仿宋" w:eastAsia="仿宋" w:cs="仿宋"/>
                <w:color w:val="000000"/>
                <w:sz w:val="21"/>
                <w:szCs w:val="21"/>
              </w:rPr>
            </w:pPr>
          </w:p>
        </w:tc>
        <w:tc>
          <w:tcPr>
            <w:tcW w:w="881" w:type="dxa"/>
            <w:vMerge w:val="continue"/>
            <w:shd w:val="clear" w:color="auto" w:fill="auto"/>
            <w:vAlign w:val="center"/>
          </w:tcPr>
          <w:p w14:paraId="76B64BB6">
            <w:pPr>
              <w:jc w:val="center"/>
              <w:rPr>
                <w:rFonts w:hint="eastAsia" w:ascii="仿宋" w:hAnsi="仿宋" w:eastAsia="仿宋" w:cs="仿宋"/>
                <w:color w:val="000000"/>
                <w:sz w:val="21"/>
                <w:szCs w:val="21"/>
              </w:rPr>
            </w:pPr>
          </w:p>
        </w:tc>
        <w:tc>
          <w:tcPr>
            <w:tcW w:w="1587" w:type="dxa"/>
            <w:shd w:val="clear" w:color="auto" w:fill="auto"/>
            <w:vAlign w:val="center"/>
          </w:tcPr>
          <w:p w14:paraId="4A08C63F">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渔业普通</w:t>
            </w:r>
          </w:p>
          <w:p w14:paraId="5B7B2614">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船员培训</w:t>
            </w:r>
          </w:p>
          <w:p w14:paraId="5C1082CC">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次数</w:t>
            </w:r>
          </w:p>
          <w:p w14:paraId="34C481EC">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（2分）</w:t>
            </w:r>
          </w:p>
        </w:tc>
        <w:tc>
          <w:tcPr>
            <w:tcW w:w="1880" w:type="dxa"/>
            <w:shd w:val="clear" w:color="auto" w:fill="auto"/>
            <w:vAlign w:val="center"/>
          </w:tcPr>
          <w:p w14:paraId="4DF355D9">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考核渔业普通船员培训</w:t>
            </w:r>
            <w:r>
              <w:rPr>
                <w:rFonts w:hint="eastAsia" w:ascii="宋体" w:hAnsi="宋体" w:cs="宋体"/>
                <w:color w:val="000000"/>
                <w:kern w:val="0"/>
                <w:sz w:val="18"/>
                <w:szCs w:val="18"/>
                <w:lang w:val="en-US" w:eastAsia="zh-CN" w:bidi="ar"/>
              </w:rPr>
              <w:t>次数</w:t>
            </w:r>
            <w:r>
              <w:rPr>
                <w:rFonts w:hint="eastAsia" w:ascii="宋体" w:hAnsi="宋体" w:cs="宋体"/>
                <w:color w:val="000000"/>
                <w:kern w:val="0"/>
                <w:sz w:val="18"/>
                <w:szCs w:val="18"/>
                <w:lang w:bidi="ar"/>
              </w:rPr>
              <w:t>情况</w:t>
            </w:r>
          </w:p>
        </w:tc>
        <w:tc>
          <w:tcPr>
            <w:tcW w:w="2496" w:type="dxa"/>
            <w:shd w:val="clear" w:color="auto" w:fill="auto"/>
            <w:vAlign w:val="center"/>
          </w:tcPr>
          <w:p w14:paraId="05B357CA">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渔业普通船员培训</w:t>
            </w:r>
            <w:r>
              <w:rPr>
                <w:rFonts w:hint="eastAsia" w:ascii="宋体" w:hAnsi="宋体" w:cs="宋体"/>
                <w:color w:val="000000"/>
                <w:kern w:val="0"/>
                <w:sz w:val="18"/>
                <w:szCs w:val="18"/>
                <w:lang w:val="en-US" w:eastAsia="zh-CN" w:bidi="ar"/>
              </w:rPr>
              <w:t>次数</w:t>
            </w:r>
            <w:r>
              <w:rPr>
                <w:rFonts w:hint="eastAsia" w:ascii="宋体" w:hAnsi="宋体" w:cs="宋体"/>
                <w:color w:val="000000"/>
                <w:kern w:val="0"/>
                <w:sz w:val="18"/>
                <w:szCs w:val="18"/>
                <w:lang w:bidi="ar"/>
              </w:rPr>
              <w:t>≥3500人得满分，每少10人扣1分，扣完为止。</w:t>
            </w:r>
          </w:p>
        </w:tc>
        <w:tc>
          <w:tcPr>
            <w:tcW w:w="1072" w:type="dxa"/>
            <w:shd w:val="clear" w:color="auto" w:fill="auto"/>
            <w:vAlign w:val="center"/>
          </w:tcPr>
          <w:p w14:paraId="0623C98B">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w:t>
            </w:r>
          </w:p>
        </w:tc>
      </w:tr>
      <w:tr w14:paraId="65376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794" w:type="dxa"/>
            <w:vMerge w:val="continue"/>
            <w:shd w:val="clear" w:color="auto" w:fill="auto"/>
            <w:vAlign w:val="center"/>
          </w:tcPr>
          <w:p w14:paraId="00B5ADF4">
            <w:pPr>
              <w:jc w:val="center"/>
              <w:rPr>
                <w:rFonts w:hint="eastAsia" w:ascii="仿宋" w:hAnsi="仿宋" w:eastAsia="仿宋" w:cs="仿宋"/>
                <w:color w:val="000000"/>
                <w:sz w:val="21"/>
                <w:szCs w:val="21"/>
              </w:rPr>
            </w:pPr>
          </w:p>
        </w:tc>
        <w:tc>
          <w:tcPr>
            <w:tcW w:w="881" w:type="dxa"/>
            <w:vMerge w:val="continue"/>
            <w:shd w:val="clear" w:color="auto" w:fill="auto"/>
            <w:vAlign w:val="center"/>
          </w:tcPr>
          <w:p w14:paraId="6F44E1B4">
            <w:pPr>
              <w:jc w:val="center"/>
              <w:rPr>
                <w:rFonts w:hint="eastAsia" w:ascii="仿宋" w:hAnsi="仿宋" w:eastAsia="仿宋" w:cs="仿宋"/>
                <w:color w:val="000000"/>
                <w:sz w:val="21"/>
                <w:szCs w:val="21"/>
              </w:rPr>
            </w:pPr>
          </w:p>
        </w:tc>
        <w:tc>
          <w:tcPr>
            <w:tcW w:w="1587" w:type="dxa"/>
            <w:shd w:val="clear" w:color="auto" w:fill="auto"/>
            <w:vAlign w:val="center"/>
          </w:tcPr>
          <w:p w14:paraId="43278F87">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新获评省级农业龙头企业</w:t>
            </w:r>
          </w:p>
          <w:p w14:paraId="78A79613">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（2分）</w:t>
            </w:r>
          </w:p>
        </w:tc>
        <w:tc>
          <w:tcPr>
            <w:tcW w:w="1880" w:type="dxa"/>
            <w:shd w:val="clear" w:color="auto" w:fill="auto"/>
            <w:noWrap/>
            <w:vAlign w:val="center"/>
          </w:tcPr>
          <w:p w14:paraId="6913886A">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考核新获评省级农业龙头企业</w:t>
            </w:r>
          </w:p>
        </w:tc>
        <w:tc>
          <w:tcPr>
            <w:tcW w:w="2496" w:type="dxa"/>
            <w:shd w:val="clear" w:color="auto" w:fill="auto"/>
            <w:noWrap/>
            <w:vAlign w:val="center"/>
          </w:tcPr>
          <w:p w14:paraId="0C6C7FC0">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新获评省级农业龙头企业≥3家得满分，每少1家扣1分，扣完为止。</w:t>
            </w:r>
          </w:p>
        </w:tc>
        <w:tc>
          <w:tcPr>
            <w:tcW w:w="1072" w:type="dxa"/>
            <w:shd w:val="clear" w:color="auto" w:fill="auto"/>
            <w:vAlign w:val="center"/>
          </w:tcPr>
          <w:p w14:paraId="0D2112BD">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w:t>
            </w:r>
          </w:p>
        </w:tc>
      </w:tr>
      <w:tr w14:paraId="28234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794" w:type="dxa"/>
            <w:vMerge w:val="continue"/>
            <w:shd w:val="clear" w:color="auto" w:fill="auto"/>
            <w:vAlign w:val="center"/>
          </w:tcPr>
          <w:p w14:paraId="4C0C51E9">
            <w:pPr>
              <w:jc w:val="center"/>
              <w:rPr>
                <w:rFonts w:hint="eastAsia" w:ascii="仿宋" w:hAnsi="仿宋" w:eastAsia="仿宋" w:cs="仿宋"/>
                <w:color w:val="000000"/>
                <w:sz w:val="21"/>
                <w:szCs w:val="21"/>
              </w:rPr>
            </w:pPr>
          </w:p>
        </w:tc>
        <w:tc>
          <w:tcPr>
            <w:tcW w:w="881" w:type="dxa"/>
            <w:vMerge w:val="continue"/>
            <w:shd w:val="clear" w:color="auto" w:fill="auto"/>
            <w:vAlign w:val="center"/>
          </w:tcPr>
          <w:p w14:paraId="4157EC3B">
            <w:pPr>
              <w:jc w:val="center"/>
              <w:rPr>
                <w:rFonts w:hint="eastAsia" w:ascii="仿宋" w:hAnsi="仿宋" w:eastAsia="仿宋" w:cs="仿宋"/>
                <w:color w:val="000000"/>
                <w:sz w:val="21"/>
                <w:szCs w:val="21"/>
              </w:rPr>
            </w:pPr>
          </w:p>
        </w:tc>
        <w:tc>
          <w:tcPr>
            <w:tcW w:w="1587" w:type="dxa"/>
            <w:shd w:val="clear" w:color="auto" w:fill="auto"/>
            <w:vAlign w:val="center"/>
          </w:tcPr>
          <w:p w14:paraId="01ED8A18">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示范点建设数</w:t>
            </w:r>
          </w:p>
          <w:p w14:paraId="456C4AC7">
            <w:pPr>
              <w:widowControl/>
              <w:jc w:val="center"/>
              <w:textAlignment w:val="center"/>
              <w:rPr>
                <w:rFonts w:hint="eastAsia" w:ascii="仿宋" w:hAnsi="仿宋" w:eastAsia="仿宋" w:cs="仿宋"/>
                <w:color w:val="000000"/>
                <w:kern w:val="0"/>
                <w:sz w:val="21"/>
                <w:szCs w:val="21"/>
                <w:lang w:bidi="ar"/>
              </w:rPr>
            </w:pPr>
            <w:r>
              <w:rPr>
                <w:rFonts w:hint="eastAsia" w:ascii="宋体" w:hAnsi="宋体" w:cs="宋体"/>
                <w:color w:val="000000"/>
                <w:kern w:val="0"/>
                <w:sz w:val="18"/>
                <w:szCs w:val="18"/>
                <w:lang w:bidi="ar"/>
              </w:rPr>
              <w:t>（2分）</w:t>
            </w:r>
          </w:p>
        </w:tc>
        <w:tc>
          <w:tcPr>
            <w:tcW w:w="1880" w:type="dxa"/>
            <w:shd w:val="clear" w:color="auto" w:fill="auto"/>
            <w:noWrap/>
            <w:vAlign w:val="center"/>
          </w:tcPr>
          <w:p w14:paraId="468CA56D">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 xml:space="preserve">考核2022年度石狮市农业农村局计划建设示范点建设情况 </w:t>
            </w:r>
          </w:p>
          <w:p w14:paraId="081ECC85">
            <w:pPr>
              <w:widowControl/>
              <w:jc w:val="left"/>
              <w:textAlignment w:val="center"/>
              <w:rPr>
                <w:rFonts w:hint="eastAsia" w:ascii="仿宋" w:hAnsi="仿宋" w:eastAsia="仿宋" w:cs="仿宋"/>
                <w:color w:val="000000"/>
                <w:kern w:val="0"/>
                <w:sz w:val="21"/>
                <w:szCs w:val="21"/>
                <w:lang w:bidi="ar"/>
              </w:rPr>
            </w:pPr>
          </w:p>
        </w:tc>
        <w:tc>
          <w:tcPr>
            <w:tcW w:w="2496" w:type="dxa"/>
            <w:shd w:val="clear" w:color="auto" w:fill="auto"/>
            <w:noWrap/>
            <w:vAlign w:val="center"/>
          </w:tcPr>
          <w:p w14:paraId="6D17E010">
            <w:pPr>
              <w:widowControl/>
              <w:jc w:val="left"/>
              <w:textAlignment w:val="center"/>
              <w:rPr>
                <w:rFonts w:hint="eastAsia" w:ascii="仿宋" w:hAnsi="仿宋" w:eastAsia="仿宋" w:cs="仿宋"/>
                <w:color w:val="000000"/>
                <w:kern w:val="0"/>
                <w:sz w:val="21"/>
                <w:szCs w:val="21"/>
                <w:lang w:bidi="ar"/>
              </w:rPr>
            </w:pPr>
            <w:r>
              <w:rPr>
                <w:rFonts w:hint="eastAsia" w:ascii="宋体" w:hAnsi="宋体" w:cs="宋体"/>
                <w:color w:val="000000"/>
                <w:kern w:val="0"/>
                <w:sz w:val="18"/>
                <w:szCs w:val="18"/>
                <w:lang w:bidi="ar"/>
              </w:rPr>
              <w:t>2022年度石狮市农业农村局计划建设示范点5个，评分标准为示范乡镇、农业产业化等示范村建设5个及以上得满分，每少1个扣0.5分，扣完为止。</w:t>
            </w:r>
          </w:p>
        </w:tc>
        <w:tc>
          <w:tcPr>
            <w:tcW w:w="1072" w:type="dxa"/>
            <w:shd w:val="clear" w:color="auto" w:fill="auto"/>
            <w:vAlign w:val="center"/>
          </w:tcPr>
          <w:p w14:paraId="305E74B6">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w:t>
            </w:r>
          </w:p>
        </w:tc>
      </w:tr>
      <w:tr w14:paraId="67B31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794" w:type="dxa"/>
            <w:vMerge w:val="continue"/>
            <w:shd w:val="clear" w:color="auto" w:fill="auto"/>
            <w:vAlign w:val="center"/>
          </w:tcPr>
          <w:p w14:paraId="1A8C8968">
            <w:pPr>
              <w:jc w:val="center"/>
              <w:rPr>
                <w:rFonts w:hint="eastAsia" w:ascii="仿宋" w:hAnsi="仿宋" w:eastAsia="仿宋" w:cs="仿宋"/>
                <w:color w:val="000000"/>
                <w:sz w:val="21"/>
                <w:szCs w:val="21"/>
              </w:rPr>
            </w:pPr>
          </w:p>
        </w:tc>
        <w:tc>
          <w:tcPr>
            <w:tcW w:w="881" w:type="dxa"/>
            <w:vMerge w:val="restart"/>
            <w:shd w:val="clear" w:color="auto" w:fill="auto"/>
            <w:vAlign w:val="center"/>
          </w:tcPr>
          <w:p w14:paraId="5F24DA02">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产出</w:t>
            </w:r>
          </w:p>
          <w:p w14:paraId="5CD289E0">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质量</w:t>
            </w:r>
          </w:p>
          <w:p w14:paraId="4C6224BC">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（12分）</w:t>
            </w:r>
          </w:p>
        </w:tc>
        <w:tc>
          <w:tcPr>
            <w:tcW w:w="1587" w:type="dxa"/>
            <w:shd w:val="clear" w:color="auto" w:fill="auto"/>
            <w:vAlign w:val="center"/>
          </w:tcPr>
          <w:p w14:paraId="2278C3BF">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项目验收合格率</w:t>
            </w:r>
          </w:p>
          <w:p w14:paraId="06E893FA">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（2分）</w:t>
            </w:r>
          </w:p>
        </w:tc>
        <w:tc>
          <w:tcPr>
            <w:tcW w:w="1880" w:type="dxa"/>
            <w:shd w:val="clear" w:color="auto" w:fill="auto"/>
            <w:vAlign w:val="center"/>
          </w:tcPr>
          <w:p w14:paraId="56AFBA98">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考核项目验收合格情况</w:t>
            </w:r>
          </w:p>
        </w:tc>
        <w:tc>
          <w:tcPr>
            <w:tcW w:w="2496" w:type="dxa"/>
            <w:shd w:val="clear" w:color="auto" w:fill="auto"/>
            <w:vAlign w:val="center"/>
          </w:tcPr>
          <w:p w14:paraId="43D4DC47">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项目验收合格率≥95%得满分，每少10%扣0.5分，扣完为止。</w:t>
            </w:r>
          </w:p>
        </w:tc>
        <w:tc>
          <w:tcPr>
            <w:tcW w:w="1072" w:type="dxa"/>
            <w:shd w:val="clear" w:color="auto" w:fill="auto"/>
            <w:vAlign w:val="center"/>
          </w:tcPr>
          <w:p w14:paraId="0077E9DA">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w:t>
            </w:r>
          </w:p>
        </w:tc>
      </w:tr>
      <w:tr w14:paraId="40E4E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794" w:type="dxa"/>
            <w:vMerge w:val="continue"/>
            <w:shd w:val="clear" w:color="auto" w:fill="auto"/>
            <w:vAlign w:val="center"/>
          </w:tcPr>
          <w:p w14:paraId="319F1E2A">
            <w:pPr>
              <w:jc w:val="center"/>
              <w:rPr>
                <w:rFonts w:hint="eastAsia" w:ascii="仿宋" w:hAnsi="仿宋" w:eastAsia="仿宋" w:cs="仿宋"/>
                <w:color w:val="000000"/>
                <w:sz w:val="21"/>
                <w:szCs w:val="21"/>
              </w:rPr>
            </w:pPr>
          </w:p>
        </w:tc>
        <w:tc>
          <w:tcPr>
            <w:tcW w:w="881" w:type="dxa"/>
            <w:vMerge w:val="continue"/>
            <w:shd w:val="clear" w:color="auto" w:fill="auto"/>
            <w:vAlign w:val="center"/>
          </w:tcPr>
          <w:p w14:paraId="759E23B4">
            <w:pPr>
              <w:jc w:val="center"/>
              <w:rPr>
                <w:rFonts w:hint="eastAsia" w:ascii="仿宋" w:hAnsi="仿宋" w:eastAsia="仿宋" w:cs="仿宋"/>
                <w:color w:val="000000"/>
                <w:sz w:val="21"/>
                <w:szCs w:val="21"/>
              </w:rPr>
            </w:pPr>
          </w:p>
        </w:tc>
        <w:tc>
          <w:tcPr>
            <w:tcW w:w="1587" w:type="dxa"/>
            <w:shd w:val="clear" w:color="auto" w:fill="auto"/>
            <w:vAlign w:val="center"/>
          </w:tcPr>
          <w:p w14:paraId="45D1C45C">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农产品质量安全监测总体合格率</w:t>
            </w:r>
          </w:p>
          <w:p w14:paraId="5B212AC7">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（2分）</w:t>
            </w:r>
          </w:p>
        </w:tc>
        <w:tc>
          <w:tcPr>
            <w:tcW w:w="1880" w:type="dxa"/>
            <w:shd w:val="clear" w:color="auto" w:fill="auto"/>
            <w:vAlign w:val="center"/>
          </w:tcPr>
          <w:p w14:paraId="68D78C6C">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考核农产品质量安全监测总体合格率</w:t>
            </w:r>
          </w:p>
        </w:tc>
        <w:tc>
          <w:tcPr>
            <w:tcW w:w="2496" w:type="dxa"/>
            <w:shd w:val="clear" w:color="auto" w:fill="auto"/>
            <w:vAlign w:val="center"/>
          </w:tcPr>
          <w:p w14:paraId="7008EE48">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农产品质量安全监测总体合格率≥98%得满分，每少1个百分点扣1分，扣完为止。</w:t>
            </w:r>
          </w:p>
        </w:tc>
        <w:tc>
          <w:tcPr>
            <w:tcW w:w="1072" w:type="dxa"/>
            <w:shd w:val="clear" w:color="auto" w:fill="auto"/>
            <w:vAlign w:val="center"/>
          </w:tcPr>
          <w:p w14:paraId="060FB136">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w:t>
            </w:r>
          </w:p>
        </w:tc>
      </w:tr>
      <w:tr w14:paraId="3F820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794" w:type="dxa"/>
            <w:vMerge w:val="continue"/>
            <w:shd w:val="clear" w:color="auto" w:fill="auto"/>
            <w:vAlign w:val="center"/>
          </w:tcPr>
          <w:p w14:paraId="454B14B4">
            <w:pPr>
              <w:jc w:val="center"/>
              <w:rPr>
                <w:rFonts w:hint="eastAsia" w:ascii="仿宋" w:hAnsi="仿宋" w:eastAsia="仿宋" w:cs="仿宋"/>
                <w:color w:val="000000"/>
                <w:sz w:val="21"/>
                <w:szCs w:val="21"/>
              </w:rPr>
            </w:pPr>
          </w:p>
        </w:tc>
        <w:tc>
          <w:tcPr>
            <w:tcW w:w="881" w:type="dxa"/>
            <w:vMerge w:val="continue"/>
            <w:shd w:val="clear" w:color="auto" w:fill="auto"/>
            <w:vAlign w:val="center"/>
          </w:tcPr>
          <w:p w14:paraId="6F20579F">
            <w:pPr>
              <w:jc w:val="center"/>
              <w:rPr>
                <w:rFonts w:hint="eastAsia" w:ascii="仿宋" w:hAnsi="仿宋" w:eastAsia="仿宋" w:cs="仿宋"/>
                <w:color w:val="000000"/>
                <w:sz w:val="21"/>
                <w:szCs w:val="21"/>
              </w:rPr>
            </w:pPr>
          </w:p>
        </w:tc>
        <w:tc>
          <w:tcPr>
            <w:tcW w:w="1587" w:type="dxa"/>
            <w:shd w:val="clear" w:color="auto" w:fill="auto"/>
            <w:vAlign w:val="center"/>
          </w:tcPr>
          <w:p w14:paraId="78487A46">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良种覆盖率</w:t>
            </w:r>
          </w:p>
          <w:p w14:paraId="6F2EE3E5">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（2分）</w:t>
            </w:r>
          </w:p>
        </w:tc>
        <w:tc>
          <w:tcPr>
            <w:tcW w:w="1880" w:type="dxa"/>
            <w:shd w:val="clear" w:color="auto" w:fill="auto"/>
            <w:vAlign w:val="center"/>
          </w:tcPr>
          <w:p w14:paraId="4C08D396">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考核良种覆盖率是否达到绩效目标值</w:t>
            </w:r>
          </w:p>
        </w:tc>
        <w:tc>
          <w:tcPr>
            <w:tcW w:w="2496" w:type="dxa"/>
            <w:shd w:val="clear" w:color="auto" w:fill="auto"/>
            <w:vAlign w:val="center"/>
          </w:tcPr>
          <w:p w14:paraId="7BD47B90">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良种覆盖率≥98%得满分，每少1个百分点扣1分，扣完为止</w:t>
            </w:r>
          </w:p>
        </w:tc>
        <w:tc>
          <w:tcPr>
            <w:tcW w:w="1072" w:type="dxa"/>
            <w:shd w:val="clear" w:color="auto" w:fill="auto"/>
            <w:vAlign w:val="center"/>
          </w:tcPr>
          <w:p w14:paraId="2E869C87">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w:t>
            </w:r>
          </w:p>
        </w:tc>
      </w:tr>
      <w:tr w14:paraId="6BD4E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794" w:type="dxa"/>
            <w:vMerge w:val="continue"/>
            <w:shd w:val="clear" w:color="auto" w:fill="auto"/>
            <w:vAlign w:val="center"/>
          </w:tcPr>
          <w:p w14:paraId="34768C60">
            <w:pPr>
              <w:jc w:val="center"/>
              <w:rPr>
                <w:rFonts w:hint="eastAsia" w:ascii="仿宋" w:hAnsi="仿宋" w:eastAsia="仿宋" w:cs="仿宋"/>
                <w:color w:val="000000"/>
                <w:sz w:val="21"/>
                <w:szCs w:val="21"/>
              </w:rPr>
            </w:pPr>
          </w:p>
        </w:tc>
        <w:tc>
          <w:tcPr>
            <w:tcW w:w="881" w:type="dxa"/>
            <w:vMerge w:val="continue"/>
            <w:shd w:val="clear" w:color="auto" w:fill="auto"/>
            <w:vAlign w:val="center"/>
          </w:tcPr>
          <w:p w14:paraId="064492BF">
            <w:pPr>
              <w:jc w:val="center"/>
              <w:rPr>
                <w:rFonts w:hint="eastAsia" w:ascii="仿宋" w:hAnsi="仿宋" w:eastAsia="仿宋" w:cs="仿宋"/>
                <w:color w:val="000000"/>
                <w:sz w:val="21"/>
                <w:szCs w:val="21"/>
              </w:rPr>
            </w:pPr>
          </w:p>
        </w:tc>
        <w:tc>
          <w:tcPr>
            <w:tcW w:w="1587" w:type="dxa"/>
            <w:shd w:val="clear" w:color="auto" w:fill="auto"/>
            <w:vAlign w:val="center"/>
          </w:tcPr>
          <w:p w14:paraId="4C85E7EB">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保种水禽地方品种生物多样性</w:t>
            </w:r>
          </w:p>
          <w:p w14:paraId="2330EAED">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（2分）</w:t>
            </w:r>
          </w:p>
        </w:tc>
        <w:tc>
          <w:tcPr>
            <w:tcW w:w="1880" w:type="dxa"/>
            <w:shd w:val="clear" w:color="auto" w:fill="auto"/>
            <w:vAlign w:val="center"/>
          </w:tcPr>
          <w:p w14:paraId="5734B1AF">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考核保种水禽地方品种的生物多样性</w:t>
            </w:r>
          </w:p>
        </w:tc>
        <w:tc>
          <w:tcPr>
            <w:tcW w:w="2496" w:type="dxa"/>
            <w:shd w:val="clear" w:color="auto" w:fill="auto"/>
            <w:vAlign w:val="center"/>
          </w:tcPr>
          <w:p w14:paraId="3983EBA6">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病原检出率小于等于0</w:t>
            </w:r>
            <w:r>
              <w:rPr>
                <w:rFonts w:hint="eastAsia" w:ascii="宋体" w:hAnsi="宋体" w:cs="宋体"/>
                <w:color w:val="000000"/>
                <w:kern w:val="0"/>
                <w:sz w:val="18"/>
                <w:szCs w:val="18"/>
                <w:lang w:val="en-US" w:eastAsia="zh-CN" w:bidi="ar"/>
              </w:rPr>
              <w:t>%</w:t>
            </w:r>
            <w:r>
              <w:rPr>
                <w:rFonts w:hint="eastAsia" w:ascii="宋体" w:hAnsi="宋体" w:cs="宋体"/>
                <w:color w:val="000000"/>
                <w:kern w:val="0"/>
                <w:sz w:val="18"/>
                <w:szCs w:val="18"/>
                <w:lang w:bidi="ar"/>
              </w:rPr>
              <w:t>为满分，大于0%不得分</w:t>
            </w:r>
          </w:p>
        </w:tc>
        <w:tc>
          <w:tcPr>
            <w:tcW w:w="1072" w:type="dxa"/>
            <w:shd w:val="clear" w:color="auto" w:fill="auto"/>
            <w:vAlign w:val="center"/>
          </w:tcPr>
          <w:p w14:paraId="7ABDC8A5">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w:t>
            </w:r>
          </w:p>
        </w:tc>
      </w:tr>
      <w:tr w14:paraId="64AA1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794" w:type="dxa"/>
            <w:vMerge w:val="continue"/>
            <w:shd w:val="clear" w:color="auto" w:fill="auto"/>
            <w:vAlign w:val="center"/>
          </w:tcPr>
          <w:p w14:paraId="6BA473FD">
            <w:pPr>
              <w:jc w:val="center"/>
              <w:rPr>
                <w:rFonts w:hint="eastAsia" w:ascii="仿宋" w:hAnsi="仿宋" w:eastAsia="仿宋" w:cs="仿宋"/>
                <w:color w:val="000000"/>
                <w:sz w:val="21"/>
                <w:szCs w:val="21"/>
              </w:rPr>
            </w:pPr>
          </w:p>
        </w:tc>
        <w:tc>
          <w:tcPr>
            <w:tcW w:w="881" w:type="dxa"/>
            <w:vMerge w:val="continue"/>
            <w:shd w:val="clear" w:color="auto" w:fill="auto"/>
            <w:vAlign w:val="center"/>
          </w:tcPr>
          <w:p w14:paraId="640A101F">
            <w:pPr>
              <w:jc w:val="center"/>
              <w:rPr>
                <w:rFonts w:hint="eastAsia" w:ascii="仿宋" w:hAnsi="仿宋" w:eastAsia="仿宋" w:cs="仿宋"/>
                <w:color w:val="000000"/>
                <w:sz w:val="21"/>
                <w:szCs w:val="21"/>
              </w:rPr>
            </w:pPr>
          </w:p>
        </w:tc>
        <w:tc>
          <w:tcPr>
            <w:tcW w:w="1587" w:type="dxa"/>
            <w:shd w:val="clear" w:color="auto" w:fill="auto"/>
            <w:vAlign w:val="center"/>
          </w:tcPr>
          <w:p w14:paraId="24CEA7D4">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示范点建设</w:t>
            </w:r>
          </w:p>
          <w:p w14:paraId="20492FF7">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通过率</w:t>
            </w:r>
          </w:p>
          <w:p w14:paraId="5DB6ADAE">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（2分）</w:t>
            </w:r>
          </w:p>
        </w:tc>
        <w:tc>
          <w:tcPr>
            <w:tcW w:w="1880" w:type="dxa"/>
            <w:shd w:val="clear" w:color="auto" w:fill="auto"/>
            <w:vAlign w:val="center"/>
          </w:tcPr>
          <w:p w14:paraId="5FF70714">
            <w:pPr>
              <w:widowControl/>
              <w:jc w:val="left"/>
              <w:textAlignment w:val="center"/>
              <w:rPr>
                <w:rFonts w:ascii="宋体" w:hAnsi="宋体" w:cs="宋体"/>
                <w:color w:val="000000"/>
                <w:sz w:val="18"/>
                <w:szCs w:val="18"/>
              </w:rPr>
            </w:pPr>
            <w:r>
              <w:rPr>
                <w:rFonts w:hint="eastAsia" w:ascii="宋体" w:hAnsi="宋体" w:cs="宋体"/>
                <w:color w:val="000000"/>
                <w:sz w:val="18"/>
                <w:szCs w:val="18"/>
              </w:rPr>
              <w:t>通过计算示范点建设验收通过率评价和考核示范点建设质量目标实现情况</w:t>
            </w:r>
          </w:p>
          <w:p w14:paraId="350BD50C">
            <w:pPr>
              <w:widowControl/>
              <w:jc w:val="left"/>
              <w:textAlignment w:val="center"/>
              <w:rPr>
                <w:rFonts w:hint="eastAsia" w:ascii="仿宋" w:hAnsi="仿宋" w:eastAsia="仿宋" w:cs="仿宋"/>
                <w:color w:val="000000"/>
                <w:sz w:val="21"/>
                <w:szCs w:val="21"/>
              </w:rPr>
            </w:pPr>
          </w:p>
        </w:tc>
        <w:tc>
          <w:tcPr>
            <w:tcW w:w="2496" w:type="dxa"/>
            <w:shd w:val="clear" w:color="auto" w:fill="auto"/>
            <w:vAlign w:val="center"/>
          </w:tcPr>
          <w:p w14:paraId="2C34681E">
            <w:pPr>
              <w:widowControl/>
              <w:jc w:val="left"/>
              <w:textAlignment w:val="center"/>
              <w:rPr>
                <w:rFonts w:hint="eastAsia" w:ascii="宋体" w:hAnsi="宋体" w:cs="宋体"/>
                <w:color w:val="000000"/>
                <w:sz w:val="18"/>
                <w:szCs w:val="18"/>
                <w:lang w:eastAsia="zh-CN"/>
              </w:rPr>
            </w:pPr>
            <w:r>
              <w:rPr>
                <w:rFonts w:hint="eastAsia" w:ascii="宋体" w:hAnsi="宋体" w:cs="宋体"/>
                <w:color w:val="000000"/>
                <w:sz w:val="18"/>
                <w:szCs w:val="18"/>
              </w:rPr>
              <w:t>示范点建设验收通过率=示范点建设验收通过数量/示范点建设总数×100%</w:t>
            </w:r>
            <w:r>
              <w:rPr>
                <w:rFonts w:hint="eastAsia" w:ascii="宋体" w:hAnsi="宋体" w:cs="宋体"/>
                <w:color w:val="000000"/>
                <w:sz w:val="18"/>
                <w:szCs w:val="18"/>
                <w:lang w:eastAsia="zh-CN"/>
              </w:rPr>
              <w:t>。</w:t>
            </w:r>
          </w:p>
          <w:p w14:paraId="6E15B442">
            <w:pPr>
              <w:widowControl/>
              <w:jc w:val="left"/>
              <w:textAlignment w:val="center"/>
              <w:rPr>
                <w:rFonts w:hint="eastAsia" w:ascii="仿宋" w:hAnsi="仿宋" w:eastAsia="仿宋" w:cs="仿宋"/>
                <w:color w:val="000000"/>
                <w:sz w:val="21"/>
                <w:szCs w:val="21"/>
              </w:rPr>
            </w:pPr>
            <w:r>
              <w:rPr>
                <w:rFonts w:hint="eastAsia" w:ascii="宋体" w:hAnsi="宋体" w:cs="宋体"/>
                <w:color w:val="000000"/>
                <w:sz w:val="18"/>
                <w:szCs w:val="18"/>
              </w:rPr>
              <w:t>示范点建设验收通过率≥95%（2分）；90%≤示范点建设验收通过率＜95%（1分）；示范点建设验收通过率＜90%（0分）。</w:t>
            </w:r>
          </w:p>
        </w:tc>
        <w:tc>
          <w:tcPr>
            <w:tcW w:w="1072" w:type="dxa"/>
            <w:shd w:val="clear" w:color="auto" w:fill="auto"/>
            <w:vAlign w:val="center"/>
          </w:tcPr>
          <w:p w14:paraId="0ECE50DE">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w:t>
            </w:r>
          </w:p>
        </w:tc>
      </w:tr>
      <w:tr w14:paraId="62231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794" w:type="dxa"/>
            <w:vMerge w:val="continue"/>
            <w:shd w:val="clear" w:color="auto" w:fill="auto"/>
            <w:vAlign w:val="center"/>
          </w:tcPr>
          <w:p w14:paraId="4A1304DF">
            <w:pPr>
              <w:jc w:val="center"/>
              <w:rPr>
                <w:rFonts w:hint="eastAsia" w:ascii="仿宋" w:hAnsi="仿宋" w:eastAsia="仿宋" w:cs="仿宋"/>
                <w:color w:val="000000"/>
                <w:sz w:val="21"/>
                <w:szCs w:val="21"/>
              </w:rPr>
            </w:pPr>
          </w:p>
        </w:tc>
        <w:tc>
          <w:tcPr>
            <w:tcW w:w="881" w:type="dxa"/>
            <w:vMerge w:val="continue"/>
            <w:shd w:val="clear" w:color="auto" w:fill="auto"/>
            <w:vAlign w:val="center"/>
          </w:tcPr>
          <w:p w14:paraId="0C15234E">
            <w:pPr>
              <w:jc w:val="center"/>
              <w:rPr>
                <w:rFonts w:hint="eastAsia" w:ascii="仿宋" w:hAnsi="仿宋" w:eastAsia="仿宋" w:cs="仿宋"/>
                <w:color w:val="000000"/>
                <w:sz w:val="21"/>
                <w:szCs w:val="21"/>
              </w:rPr>
            </w:pPr>
          </w:p>
        </w:tc>
        <w:tc>
          <w:tcPr>
            <w:tcW w:w="1587" w:type="dxa"/>
            <w:shd w:val="clear" w:color="auto" w:fill="auto"/>
            <w:vAlign w:val="center"/>
          </w:tcPr>
          <w:p w14:paraId="45F10185">
            <w:pPr>
              <w:widowControl/>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农业保险</w:t>
            </w:r>
          </w:p>
          <w:p w14:paraId="12C29210">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理赔服务</w:t>
            </w:r>
          </w:p>
          <w:p w14:paraId="2E6F46AC">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（2分）</w:t>
            </w:r>
          </w:p>
        </w:tc>
        <w:tc>
          <w:tcPr>
            <w:tcW w:w="1880" w:type="dxa"/>
            <w:shd w:val="clear" w:color="auto" w:fill="auto"/>
            <w:vAlign w:val="center"/>
          </w:tcPr>
          <w:p w14:paraId="25C54303">
            <w:pPr>
              <w:widowControl/>
              <w:jc w:val="left"/>
              <w:textAlignment w:val="center"/>
              <w:rPr>
                <w:rFonts w:hint="eastAsia" w:ascii="仿宋" w:hAnsi="仿宋" w:eastAsia="宋体" w:cs="仿宋"/>
                <w:color w:val="000000"/>
                <w:sz w:val="21"/>
                <w:szCs w:val="21"/>
                <w:lang w:eastAsia="zh-CN"/>
              </w:rPr>
            </w:pPr>
            <w:r>
              <w:rPr>
                <w:rFonts w:hint="eastAsia" w:ascii="宋体" w:hAnsi="宋体" w:cs="宋体"/>
                <w:color w:val="000000"/>
                <w:kern w:val="0"/>
                <w:sz w:val="18"/>
                <w:szCs w:val="18"/>
                <w:lang w:val="en-US" w:eastAsia="zh-CN" w:bidi="ar"/>
              </w:rPr>
              <w:t>用于衡量保险机构</w:t>
            </w:r>
            <w:r>
              <w:rPr>
                <w:rFonts w:hint="eastAsia" w:ascii="宋体" w:hAnsi="宋体" w:cs="宋体"/>
                <w:color w:val="000000"/>
                <w:kern w:val="0"/>
                <w:sz w:val="18"/>
                <w:szCs w:val="18"/>
                <w:lang w:eastAsia="zh-CN" w:bidi="ar"/>
              </w:rPr>
              <w:t>理赔服务</w:t>
            </w:r>
            <w:r>
              <w:rPr>
                <w:rFonts w:hint="eastAsia" w:ascii="宋体" w:hAnsi="宋体" w:cs="宋体"/>
                <w:color w:val="000000"/>
                <w:kern w:val="0"/>
                <w:sz w:val="18"/>
                <w:szCs w:val="18"/>
                <w:lang w:val="en-US" w:eastAsia="zh-CN" w:bidi="ar"/>
              </w:rPr>
              <w:t>的质量</w:t>
            </w:r>
          </w:p>
        </w:tc>
        <w:tc>
          <w:tcPr>
            <w:tcW w:w="2496" w:type="dxa"/>
            <w:shd w:val="clear" w:color="auto" w:fill="auto"/>
            <w:vAlign w:val="center"/>
          </w:tcPr>
          <w:p w14:paraId="2E34D43F">
            <w:pPr>
              <w:widowControl/>
              <w:jc w:val="left"/>
              <w:textAlignment w:val="center"/>
              <w:rPr>
                <w:rFonts w:hint="eastAsia" w:ascii="宋体" w:hAnsi="宋体" w:cs="宋体"/>
                <w:color w:val="000000"/>
                <w:sz w:val="18"/>
                <w:szCs w:val="18"/>
              </w:rPr>
            </w:pPr>
            <w:r>
              <w:rPr>
                <w:rFonts w:hint="eastAsia" w:ascii="宋体" w:hAnsi="宋体" w:cs="宋体"/>
                <w:color w:val="000000"/>
                <w:sz w:val="18"/>
                <w:szCs w:val="18"/>
                <w:lang w:val="en-US" w:eastAsia="zh-CN"/>
              </w:rPr>
              <w:t>是否</w:t>
            </w:r>
            <w:r>
              <w:rPr>
                <w:rFonts w:hint="eastAsia" w:ascii="宋体" w:hAnsi="宋体" w:cs="宋体"/>
                <w:color w:val="000000"/>
                <w:sz w:val="18"/>
                <w:szCs w:val="18"/>
              </w:rPr>
              <w:t>与被保险人已达成赔偿协议的赔案，在10日（工作日）内将赔款通过银行转账；</w:t>
            </w:r>
          </w:p>
          <w:p w14:paraId="194E7D8E">
            <w:pPr>
              <w:widowControl/>
              <w:jc w:val="left"/>
              <w:textAlignment w:val="center"/>
              <w:rPr>
                <w:rFonts w:hint="eastAsia" w:ascii="宋体" w:hAnsi="宋体" w:cs="宋体"/>
                <w:color w:val="000000"/>
                <w:sz w:val="18"/>
                <w:szCs w:val="18"/>
              </w:rPr>
            </w:pPr>
            <w:r>
              <w:rPr>
                <w:rFonts w:hint="eastAsia" w:ascii="宋体" w:hAnsi="宋体" w:cs="宋体"/>
                <w:color w:val="000000"/>
                <w:sz w:val="18"/>
                <w:szCs w:val="18"/>
              </w:rPr>
              <w:t>是否财政补贴“一卡通”等非现金方式发放到户；</w:t>
            </w:r>
          </w:p>
          <w:p w14:paraId="67CD545D">
            <w:pPr>
              <w:widowControl/>
              <w:jc w:val="left"/>
              <w:textAlignment w:val="center"/>
              <w:rPr>
                <w:rFonts w:hint="eastAsia" w:ascii="宋体" w:hAnsi="宋体" w:cs="宋体"/>
                <w:color w:val="000000"/>
                <w:sz w:val="18"/>
                <w:szCs w:val="18"/>
              </w:rPr>
            </w:pPr>
            <w:r>
              <w:rPr>
                <w:rFonts w:hint="eastAsia" w:ascii="宋体" w:hAnsi="宋体" w:cs="宋体"/>
                <w:color w:val="000000"/>
                <w:sz w:val="18"/>
                <w:szCs w:val="18"/>
              </w:rPr>
              <w:t>理赔公示确认后的分户赔款与最终支付的分户赔款是否一致；</w:t>
            </w:r>
          </w:p>
          <w:p w14:paraId="00108A38">
            <w:pPr>
              <w:widowControl/>
              <w:jc w:val="left"/>
              <w:textAlignment w:val="center"/>
              <w:rPr>
                <w:rFonts w:hint="eastAsia" w:ascii="仿宋" w:hAnsi="仿宋" w:eastAsia="仿宋" w:cs="仿宋"/>
                <w:color w:val="000000"/>
                <w:sz w:val="21"/>
                <w:szCs w:val="21"/>
              </w:rPr>
            </w:pPr>
            <w:r>
              <w:rPr>
                <w:rFonts w:hint="eastAsia" w:ascii="宋体" w:hAnsi="宋体" w:cs="宋体"/>
                <w:color w:val="000000"/>
                <w:sz w:val="18"/>
                <w:szCs w:val="18"/>
              </w:rPr>
              <w:t>是否主动采取有效举措，改进提升理赔服务水平。</w:t>
            </w:r>
            <w:r>
              <w:rPr>
                <w:rFonts w:hint="eastAsia" w:ascii="宋体" w:hAnsi="宋体" w:cs="宋体"/>
                <w:color w:val="000000"/>
                <w:sz w:val="18"/>
                <w:szCs w:val="18"/>
                <w:lang w:val="en-US" w:eastAsia="zh-CN"/>
              </w:rPr>
              <w:t>每少1项扣0.5分。</w:t>
            </w:r>
          </w:p>
        </w:tc>
        <w:tc>
          <w:tcPr>
            <w:tcW w:w="1072" w:type="dxa"/>
            <w:shd w:val="clear" w:color="auto" w:fill="auto"/>
            <w:vAlign w:val="center"/>
          </w:tcPr>
          <w:p w14:paraId="100240D8">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1</w:t>
            </w:r>
          </w:p>
        </w:tc>
      </w:tr>
      <w:tr w14:paraId="6021C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794" w:type="dxa"/>
            <w:vMerge w:val="continue"/>
            <w:shd w:val="clear" w:color="auto" w:fill="auto"/>
            <w:vAlign w:val="center"/>
          </w:tcPr>
          <w:p w14:paraId="46C92821">
            <w:pPr>
              <w:jc w:val="center"/>
              <w:rPr>
                <w:rFonts w:hint="eastAsia" w:ascii="仿宋" w:hAnsi="仿宋" w:eastAsia="仿宋" w:cs="仿宋"/>
                <w:color w:val="000000"/>
                <w:sz w:val="21"/>
                <w:szCs w:val="21"/>
              </w:rPr>
            </w:pPr>
          </w:p>
        </w:tc>
        <w:tc>
          <w:tcPr>
            <w:tcW w:w="881" w:type="dxa"/>
            <w:shd w:val="clear" w:color="auto" w:fill="auto"/>
            <w:vAlign w:val="center"/>
          </w:tcPr>
          <w:p w14:paraId="4D6F43C4">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产出</w:t>
            </w:r>
          </w:p>
          <w:p w14:paraId="11994213">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时效</w:t>
            </w:r>
          </w:p>
          <w:p w14:paraId="047EF219">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（4分）</w:t>
            </w:r>
          </w:p>
        </w:tc>
        <w:tc>
          <w:tcPr>
            <w:tcW w:w="1587" w:type="dxa"/>
            <w:shd w:val="clear" w:color="auto" w:fill="auto"/>
            <w:vAlign w:val="center"/>
          </w:tcPr>
          <w:p w14:paraId="0C50BF27">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项目进度达成率（4分）</w:t>
            </w:r>
          </w:p>
        </w:tc>
        <w:tc>
          <w:tcPr>
            <w:tcW w:w="1880" w:type="dxa"/>
            <w:shd w:val="clear" w:color="auto" w:fill="auto"/>
            <w:vAlign w:val="center"/>
          </w:tcPr>
          <w:p w14:paraId="6505D368">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val="en-US" w:eastAsia="zh-CN" w:bidi="ar"/>
              </w:rPr>
              <w:t>用于衡量</w:t>
            </w:r>
            <w:r>
              <w:rPr>
                <w:rFonts w:hint="eastAsia" w:ascii="宋体" w:hAnsi="宋体" w:cs="宋体"/>
                <w:color w:val="000000"/>
                <w:kern w:val="0"/>
                <w:sz w:val="18"/>
                <w:szCs w:val="18"/>
                <w:lang w:bidi="ar"/>
              </w:rPr>
              <w:t>项目进度达成</w:t>
            </w:r>
            <w:r>
              <w:rPr>
                <w:rFonts w:hint="eastAsia" w:ascii="宋体" w:hAnsi="宋体" w:cs="宋体"/>
                <w:color w:val="000000"/>
                <w:kern w:val="0"/>
                <w:sz w:val="18"/>
                <w:szCs w:val="18"/>
                <w:lang w:val="en-US" w:eastAsia="zh-CN" w:bidi="ar"/>
              </w:rPr>
              <w:t>情况</w:t>
            </w:r>
          </w:p>
        </w:tc>
        <w:tc>
          <w:tcPr>
            <w:tcW w:w="2496" w:type="dxa"/>
            <w:shd w:val="clear" w:color="auto" w:fill="auto"/>
            <w:vAlign w:val="center"/>
          </w:tcPr>
          <w:p w14:paraId="02320F9A">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项目进度达成率100%（4分）；90%≤项目进度达成率＜100%（</w:t>
            </w:r>
            <w:r>
              <w:rPr>
                <w:rFonts w:hint="eastAsia" w:ascii="宋体" w:hAnsi="宋体" w:cs="宋体"/>
                <w:color w:val="000000"/>
                <w:kern w:val="0"/>
                <w:sz w:val="18"/>
                <w:szCs w:val="18"/>
                <w:lang w:val="en-US" w:eastAsia="zh-CN" w:bidi="ar"/>
              </w:rPr>
              <w:t>3</w:t>
            </w:r>
            <w:r>
              <w:rPr>
                <w:rFonts w:hint="eastAsia" w:ascii="宋体" w:hAnsi="宋体" w:cs="宋体"/>
                <w:color w:val="000000"/>
                <w:kern w:val="0"/>
                <w:sz w:val="18"/>
                <w:szCs w:val="18"/>
                <w:lang w:bidi="ar"/>
              </w:rPr>
              <w:t>分）；80%≤项目进度达成率＜90%（2分）；70%≤项目进度达成率＜80%（1分）；项目进度达成率＜70%（0分）</w:t>
            </w:r>
          </w:p>
        </w:tc>
        <w:tc>
          <w:tcPr>
            <w:tcW w:w="1072" w:type="dxa"/>
            <w:shd w:val="clear" w:color="auto" w:fill="auto"/>
            <w:vAlign w:val="center"/>
          </w:tcPr>
          <w:p w14:paraId="02B5373E">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4</w:t>
            </w:r>
          </w:p>
        </w:tc>
      </w:tr>
      <w:tr w14:paraId="1C8A1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794" w:type="dxa"/>
            <w:vMerge w:val="continue"/>
            <w:shd w:val="clear" w:color="auto" w:fill="auto"/>
            <w:vAlign w:val="center"/>
          </w:tcPr>
          <w:p w14:paraId="4965767F">
            <w:pPr>
              <w:jc w:val="center"/>
              <w:rPr>
                <w:rFonts w:hint="eastAsia" w:ascii="仿宋" w:hAnsi="仿宋" w:eastAsia="仿宋" w:cs="仿宋"/>
                <w:color w:val="000000"/>
                <w:sz w:val="21"/>
                <w:szCs w:val="21"/>
              </w:rPr>
            </w:pPr>
          </w:p>
        </w:tc>
        <w:tc>
          <w:tcPr>
            <w:tcW w:w="881" w:type="dxa"/>
            <w:shd w:val="clear" w:color="auto" w:fill="auto"/>
            <w:vAlign w:val="center"/>
          </w:tcPr>
          <w:p w14:paraId="7BB7DCDA">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产出</w:t>
            </w:r>
          </w:p>
          <w:p w14:paraId="36F6DA60">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成本</w:t>
            </w:r>
          </w:p>
          <w:p w14:paraId="212792CC">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（4分）</w:t>
            </w:r>
          </w:p>
        </w:tc>
        <w:tc>
          <w:tcPr>
            <w:tcW w:w="1587" w:type="dxa"/>
            <w:shd w:val="clear" w:color="auto" w:fill="auto"/>
            <w:vAlign w:val="center"/>
          </w:tcPr>
          <w:p w14:paraId="45247173">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成本控制率</w:t>
            </w:r>
          </w:p>
          <w:p w14:paraId="41863816">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（4分）</w:t>
            </w:r>
          </w:p>
        </w:tc>
        <w:tc>
          <w:tcPr>
            <w:tcW w:w="1880" w:type="dxa"/>
            <w:shd w:val="clear" w:color="auto" w:fill="auto"/>
            <w:vAlign w:val="center"/>
          </w:tcPr>
          <w:p w14:paraId="40BB400E">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“成本控制率”指标用于衡量石狮市农业农村局项目成本控制情况</w:t>
            </w:r>
          </w:p>
        </w:tc>
        <w:tc>
          <w:tcPr>
            <w:tcW w:w="2496" w:type="dxa"/>
            <w:shd w:val="clear" w:color="auto" w:fill="auto"/>
            <w:vAlign w:val="center"/>
          </w:tcPr>
          <w:p w14:paraId="30DBCF26">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“成本控制率≦100得满分，每超10%扣1分，扣完为止。</w:t>
            </w:r>
          </w:p>
          <w:p w14:paraId="31FDDB29">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成本控制率=截至年末累计支出数/概算或当年度预算×100%</w:t>
            </w:r>
          </w:p>
        </w:tc>
        <w:tc>
          <w:tcPr>
            <w:tcW w:w="1072" w:type="dxa"/>
            <w:shd w:val="clear" w:color="auto" w:fill="auto"/>
            <w:vAlign w:val="center"/>
          </w:tcPr>
          <w:p w14:paraId="15B5BADC">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4</w:t>
            </w:r>
          </w:p>
        </w:tc>
      </w:tr>
      <w:tr w14:paraId="30FBA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794" w:type="dxa"/>
            <w:vMerge w:val="restart"/>
            <w:shd w:val="clear" w:color="auto" w:fill="auto"/>
            <w:vAlign w:val="center"/>
          </w:tcPr>
          <w:p w14:paraId="2C487661">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效益（20%）</w:t>
            </w:r>
          </w:p>
        </w:tc>
        <w:tc>
          <w:tcPr>
            <w:tcW w:w="881" w:type="dxa"/>
            <w:vMerge w:val="restart"/>
            <w:shd w:val="clear" w:color="auto" w:fill="auto"/>
            <w:vAlign w:val="center"/>
          </w:tcPr>
          <w:p w14:paraId="6474B978">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社会效益（6分）</w:t>
            </w:r>
          </w:p>
        </w:tc>
        <w:tc>
          <w:tcPr>
            <w:tcW w:w="1587" w:type="dxa"/>
            <w:shd w:val="clear" w:color="auto" w:fill="auto"/>
            <w:vAlign w:val="center"/>
          </w:tcPr>
          <w:p w14:paraId="72FB25F0">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粮食综合</w:t>
            </w:r>
          </w:p>
          <w:p w14:paraId="2529B780">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生产能力</w:t>
            </w:r>
          </w:p>
          <w:p w14:paraId="79398520">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（3分）</w:t>
            </w:r>
          </w:p>
        </w:tc>
        <w:tc>
          <w:tcPr>
            <w:tcW w:w="1880" w:type="dxa"/>
            <w:shd w:val="clear" w:color="auto" w:fill="auto"/>
            <w:vAlign w:val="center"/>
          </w:tcPr>
          <w:p w14:paraId="5799F198">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考核粮食综合生产能力</w:t>
            </w:r>
          </w:p>
        </w:tc>
        <w:tc>
          <w:tcPr>
            <w:tcW w:w="2496" w:type="dxa"/>
            <w:shd w:val="clear" w:color="auto" w:fill="auto"/>
            <w:vAlign w:val="center"/>
          </w:tcPr>
          <w:p w14:paraId="625254DE">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效果显著提升得3分，效果一般得2分，效益差则不得分</w:t>
            </w:r>
          </w:p>
        </w:tc>
        <w:tc>
          <w:tcPr>
            <w:tcW w:w="1072" w:type="dxa"/>
            <w:shd w:val="clear" w:color="auto" w:fill="auto"/>
            <w:vAlign w:val="center"/>
          </w:tcPr>
          <w:p w14:paraId="202F2C3B">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w:t>
            </w:r>
          </w:p>
        </w:tc>
      </w:tr>
      <w:tr w14:paraId="3B62A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794" w:type="dxa"/>
            <w:vMerge w:val="continue"/>
            <w:shd w:val="clear" w:color="auto" w:fill="auto"/>
            <w:vAlign w:val="center"/>
          </w:tcPr>
          <w:p w14:paraId="12B8A20D">
            <w:pPr>
              <w:jc w:val="center"/>
              <w:rPr>
                <w:rFonts w:hint="eastAsia" w:ascii="仿宋" w:hAnsi="仿宋" w:eastAsia="仿宋" w:cs="仿宋"/>
                <w:color w:val="000000"/>
                <w:sz w:val="21"/>
                <w:szCs w:val="21"/>
              </w:rPr>
            </w:pPr>
          </w:p>
        </w:tc>
        <w:tc>
          <w:tcPr>
            <w:tcW w:w="881" w:type="dxa"/>
            <w:vMerge w:val="continue"/>
            <w:shd w:val="clear" w:color="auto" w:fill="auto"/>
            <w:vAlign w:val="center"/>
          </w:tcPr>
          <w:p w14:paraId="46DB1841">
            <w:pPr>
              <w:jc w:val="center"/>
              <w:rPr>
                <w:rFonts w:hint="eastAsia" w:ascii="仿宋" w:hAnsi="仿宋" w:eastAsia="仿宋" w:cs="仿宋"/>
                <w:color w:val="000000"/>
                <w:sz w:val="21"/>
                <w:szCs w:val="21"/>
              </w:rPr>
            </w:pPr>
          </w:p>
        </w:tc>
        <w:tc>
          <w:tcPr>
            <w:tcW w:w="1587" w:type="dxa"/>
            <w:shd w:val="clear" w:color="auto" w:fill="auto"/>
            <w:vAlign w:val="center"/>
          </w:tcPr>
          <w:p w14:paraId="4AE3BB65">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渔工渔船参保率</w:t>
            </w:r>
          </w:p>
          <w:p w14:paraId="2FA17FC1">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（3分）</w:t>
            </w:r>
          </w:p>
        </w:tc>
        <w:tc>
          <w:tcPr>
            <w:tcW w:w="1880" w:type="dxa"/>
            <w:shd w:val="clear" w:color="auto" w:fill="auto"/>
            <w:vAlign w:val="center"/>
          </w:tcPr>
          <w:p w14:paraId="06F24733">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渔工渔船参保率指标主要通过计算渔工渔船参保率，考核渔工参加保险积极程度，反映社会效益目标实现情况</w:t>
            </w:r>
          </w:p>
        </w:tc>
        <w:tc>
          <w:tcPr>
            <w:tcW w:w="2496" w:type="dxa"/>
            <w:shd w:val="clear" w:color="auto" w:fill="auto"/>
            <w:vAlign w:val="center"/>
          </w:tcPr>
          <w:p w14:paraId="43A5EC2E">
            <w:pPr>
              <w:widowControl/>
              <w:jc w:val="left"/>
              <w:textAlignment w:val="center"/>
              <w:rPr>
                <w:rFonts w:hint="eastAsia" w:ascii="仿宋" w:hAnsi="仿宋" w:eastAsia="宋体" w:cs="仿宋"/>
                <w:color w:val="000000"/>
                <w:sz w:val="21"/>
                <w:szCs w:val="21"/>
                <w:lang w:eastAsia="zh-CN"/>
              </w:rPr>
            </w:pPr>
            <w:r>
              <w:rPr>
                <w:rFonts w:hint="eastAsia" w:ascii="宋体" w:hAnsi="宋体" w:cs="宋体"/>
                <w:color w:val="000000"/>
                <w:kern w:val="0"/>
                <w:sz w:val="18"/>
                <w:szCs w:val="18"/>
                <w:lang w:bidi="ar"/>
              </w:rPr>
              <w:t>渔工渔船参保率指标主要通过计算渔工渔船参保率，考核渔工参加保险积极程度，反映社会效益目标实现情况。评价标准为“渔工渔船参保率≥90%（3分）；80%≤渔工渔船参保率＜90%（2分）；70%≤渔工渔船参保率＜80%（1分）；渔工渔船参保率＜70%（0分）</w:t>
            </w:r>
          </w:p>
        </w:tc>
        <w:tc>
          <w:tcPr>
            <w:tcW w:w="1072" w:type="dxa"/>
            <w:shd w:val="clear" w:color="auto" w:fill="auto"/>
            <w:vAlign w:val="center"/>
          </w:tcPr>
          <w:p w14:paraId="188F36FC">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3</w:t>
            </w:r>
          </w:p>
        </w:tc>
      </w:tr>
      <w:tr w14:paraId="21E1D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794" w:type="dxa"/>
            <w:vMerge w:val="continue"/>
            <w:shd w:val="clear" w:color="auto" w:fill="auto"/>
            <w:vAlign w:val="center"/>
          </w:tcPr>
          <w:p w14:paraId="520304DE">
            <w:pPr>
              <w:jc w:val="center"/>
              <w:rPr>
                <w:rFonts w:hint="eastAsia" w:ascii="仿宋" w:hAnsi="仿宋" w:eastAsia="仿宋" w:cs="仿宋"/>
                <w:color w:val="000000"/>
                <w:sz w:val="21"/>
                <w:szCs w:val="21"/>
              </w:rPr>
            </w:pPr>
          </w:p>
        </w:tc>
        <w:tc>
          <w:tcPr>
            <w:tcW w:w="881" w:type="dxa"/>
            <w:vMerge w:val="restart"/>
            <w:shd w:val="clear" w:color="auto" w:fill="auto"/>
            <w:vAlign w:val="center"/>
          </w:tcPr>
          <w:p w14:paraId="68D15868">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生态</w:t>
            </w:r>
          </w:p>
          <w:p w14:paraId="0DD0297E">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效益</w:t>
            </w:r>
          </w:p>
          <w:p w14:paraId="2561F8E2">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（4分）</w:t>
            </w:r>
          </w:p>
        </w:tc>
        <w:tc>
          <w:tcPr>
            <w:tcW w:w="1587" w:type="dxa"/>
            <w:shd w:val="clear" w:color="auto" w:fill="auto"/>
            <w:vAlign w:val="center"/>
          </w:tcPr>
          <w:p w14:paraId="34BD8718">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耕地质量</w:t>
            </w:r>
          </w:p>
          <w:p w14:paraId="53382472">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（2分）</w:t>
            </w:r>
          </w:p>
        </w:tc>
        <w:tc>
          <w:tcPr>
            <w:tcW w:w="1880" w:type="dxa"/>
            <w:shd w:val="clear" w:color="auto" w:fill="auto"/>
            <w:vAlign w:val="center"/>
          </w:tcPr>
          <w:p w14:paraId="77E7DC0F">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考核石狮市耕地的质量</w:t>
            </w:r>
          </w:p>
        </w:tc>
        <w:tc>
          <w:tcPr>
            <w:tcW w:w="2496" w:type="dxa"/>
            <w:shd w:val="clear" w:color="auto" w:fill="auto"/>
            <w:vAlign w:val="center"/>
          </w:tcPr>
          <w:p w14:paraId="0716F82E">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效果显著提升得2分，效果一般得2分，效益差不得分</w:t>
            </w:r>
          </w:p>
        </w:tc>
        <w:tc>
          <w:tcPr>
            <w:tcW w:w="1072" w:type="dxa"/>
            <w:shd w:val="clear" w:color="auto" w:fill="auto"/>
            <w:vAlign w:val="center"/>
          </w:tcPr>
          <w:p w14:paraId="41A3CAE3">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1</w:t>
            </w:r>
          </w:p>
        </w:tc>
      </w:tr>
      <w:tr w14:paraId="2F2E4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794" w:type="dxa"/>
            <w:vMerge w:val="continue"/>
            <w:shd w:val="clear" w:color="auto" w:fill="auto"/>
            <w:vAlign w:val="center"/>
          </w:tcPr>
          <w:p w14:paraId="0519EF5F">
            <w:pPr>
              <w:jc w:val="center"/>
              <w:rPr>
                <w:rFonts w:hint="eastAsia" w:ascii="仿宋" w:hAnsi="仿宋" w:eastAsia="仿宋" w:cs="仿宋"/>
                <w:color w:val="000000"/>
                <w:sz w:val="21"/>
                <w:szCs w:val="21"/>
              </w:rPr>
            </w:pPr>
          </w:p>
        </w:tc>
        <w:tc>
          <w:tcPr>
            <w:tcW w:w="881" w:type="dxa"/>
            <w:vMerge w:val="continue"/>
            <w:shd w:val="clear" w:color="auto" w:fill="auto"/>
            <w:vAlign w:val="center"/>
          </w:tcPr>
          <w:p w14:paraId="7EBB10BF">
            <w:pPr>
              <w:jc w:val="center"/>
              <w:rPr>
                <w:rFonts w:hint="eastAsia" w:ascii="仿宋" w:hAnsi="仿宋" w:eastAsia="仿宋" w:cs="仿宋"/>
                <w:color w:val="000000"/>
                <w:sz w:val="21"/>
                <w:szCs w:val="21"/>
              </w:rPr>
            </w:pPr>
          </w:p>
        </w:tc>
        <w:tc>
          <w:tcPr>
            <w:tcW w:w="1587" w:type="dxa"/>
            <w:shd w:val="clear" w:color="auto" w:fill="auto"/>
            <w:vAlign w:val="center"/>
          </w:tcPr>
          <w:p w14:paraId="1BCAC589">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美丽乡村建设项目村（社区）环境综合整治考核</w:t>
            </w:r>
          </w:p>
          <w:p w14:paraId="7ECE7DAC">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达标提升率</w:t>
            </w:r>
          </w:p>
          <w:p w14:paraId="38946042">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（2分）</w:t>
            </w:r>
          </w:p>
        </w:tc>
        <w:tc>
          <w:tcPr>
            <w:tcW w:w="1880" w:type="dxa"/>
            <w:shd w:val="clear" w:color="auto" w:fill="auto"/>
            <w:vAlign w:val="center"/>
          </w:tcPr>
          <w:p w14:paraId="6B884DCD">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考核美丽乡村建设项目村（社区）环境综合整治考核达标提升率</w:t>
            </w:r>
          </w:p>
        </w:tc>
        <w:tc>
          <w:tcPr>
            <w:tcW w:w="2496" w:type="dxa"/>
            <w:shd w:val="clear" w:color="auto" w:fill="auto"/>
            <w:vAlign w:val="center"/>
          </w:tcPr>
          <w:p w14:paraId="4F749BEC">
            <w:pPr>
              <w:pStyle w:val="6"/>
              <w:rPr>
                <w:rFonts w:hint="eastAsia" w:ascii="仿宋" w:hAnsi="仿宋" w:eastAsia="仿宋" w:cs="仿宋"/>
                <w:color w:val="000000"/>
                <w:sz w:val="21"/>
                <w:szCs w:val="21"/>
              </w:rPr>
            </w:pPr>
            <w:r>
              <w:rPr>
                <w:rFonts w:hint="eastAsia" w:ascii="宋体" w:hAnsi="宋体" w:cs="宋体"/>
                <w:color w:val="000000"/>
                <w:kern w:val="0"/>
                <w:sz w:val="18"/>
                <w:szCs w:val="18"/>
                <w:lang w:bidi="ar"/>
              </w:rPr>
              <w:t>美丽乡村建设项目村（社区）环境综合整治考核达标提升率评价标准为“考核达标提升率≥10%（2分）；6%≤考核达标提升率＜10%（2.5分）；1%≤考核达标提升率＜5%（2分）；考核达标提升率＜1%（0分）</w:t>
            </w:r>
            <w:r>
              <w:rPr>
                <w:rFonts w:hint="eastAsia"/>
                <w:lang w:val="en-US" w:eastAsia="zh-CN"/>
              </w:rPr>
              <w:t>。</w:t>
            </w:r>
          </w:p>
        </w:tc>
        <w:tc>
          <w:tcPr>
            <w:tcW w:w="1072" w:type="dxa"/>
            <w:shd w:val="clear" w:color="auto" w:fill="auto"/>
            <w:vAlign w:val="center"/>
          </w:tcPr>
          <w:p w14:paraId="34DB4DBA">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1</w:t>
            </w:r>
          </w:p>
        </w:tc>
      </w:tr>
      <w:tr w14:paraId="17C1F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794" w:type="dxa"/>
            <w:vMerge w:val="continue"/>
            <w:shd w:val="clear" w:color="auto" w:fill="auto"/>
            <w:vAlign w:val="center"/>
          </w:tcPr>
          <w:p w14:paraId="03547879">
            <w:pPr>
              <w:jc w:val="center"/>
              <w:rPr>
                <w:rFonts w:hint="eastAsia" w:ascii="仿宋" w:hAnsi="仿宋" w:eastAsia="仿宋" w:cs="仿宋"/>
                <w:color w:val="000000"/>
                <w:sz w:val="21"/>
                <w:szCs w:val="21"/>
              </w:rPr>
            </w:pPr>
          </w:p>
        </w:tc>
        <w:tc>
          <w:tcPr>
            <w:tcW w:w="881" w:type="dxa"/>
            <w:vMerge w:val="restart"/>
            <w:shd w:val="clear" w:color="auto" w:fill="auto"/>
            <w:vAlign w:val="center"/>
          </w:tcPr>
          <w:p w14:paraId="40EF4E40">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可持续效益</w:t>
            </w:r>
          </w:p>
          <w:p w14:paraId="3AB9C87F">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（4分）</w:t>
            </w:r>
          </w:p>
        </w:tc>
        <w:tc>
          <w:tcPr>
            <w:tcW w:w="1587" w:type="dxa"/>
            <w:shd w:val="clear" w:color="auto" w:fill="auto"/>
            <w:vAlign w:val="center"/>
          </w:tcPr>
          <w:p w14:paraId="3B7C5689">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农业农村工作</w:t>
            </w:r>
          </w:p>
          <w:p w14:paraId="1000873D">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完成情况</w:t>
            </w:r>
          </w:p>
          <w:p w14:paraId="1CD1B7BB">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（2分）</w:t>
            </w:r>
          </w:p>
        </w:tc>
        <w:tc>
          <w:tcPr>
            <w:tcW w:w="1880" w:type="dxa"/>
            <w:shd w:val="clear" w:color="auto" w:fill="auto"/>
            <w:vAlign w:val="center"/>
          </w:tcPr>
          <w:p w14:paraId="76B39E7D">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考核农业农村工作完成情况</w:t>
            </w:r>
          </w:p>
        </w:tc>
        <w:tc>
          <w:tcPr>
            <w:tcW w:w="2496" w:type="dxa"/>
            <w:shd w:val="clear" w:color="auto" w:fill="auto"/>
            <w:vAlign w:val="center"/>
          </w:tcPr>
          <w:p w14:paraId="0A652DB7">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农业农村工作完成率≥90%（2分）；80%≤农业农村工作完成率﹤90%（1分）；农业农村工作完成率﹤80%（0分）</w:t>
            </w:r>
          </w:p>
        </w:tc>
        <w:tc>
          <w:tcPr>
            <w:tcW w:w="1072" w:type="dxa"/>
            <w:shd w:val="clear" w:color="auto" w:fill="auto"/>
            <w:vAlign w:val="center"/>
          </w:tcPr>
          <w:p w14:paraId="2D663F7E">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w:t>
            </w:r>
          </w:p>
        </w:tc>
      </w:tr>
      <w:tr w14:paraId="2944D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794" w:type="dxa"/>
            <w:vMerge w:val="continue"/>
            <w:shd w:val="clear" w:color="auto" w:fill="auto"/>
            <w:vAlign w:val="center"/>
          </w:tcPr>
          <w:p w14:paraId="57886688">
            <w:pPr>
              <w:jc w:val="center"/>
              <w:rPr>
                <w:rFonts w:hint="eastAsia" w:ascii="仿宋" w:hAnsi="仿宋" w:eastAsia="仿宋" w:cs="仿宋"/>
                <w:color w:val="000000"/>
                <w:sz w:val="21"/>
                <w:szCs w:val="21"/>
              </w:rPr>
            </w:pPr>
          </w:p>
        </w:tc>
        <w:tc>
          <w:tcPr>
            <w:tcW w:w="881" w:type="dxa"/>
            <w:vMerge w:val="continue"/>
            <w:shd w:val="clear" w:color="auto" w:fill="auto"/>
            <w:vAlign w:val="center"/>
          </w:tcPr>
          <w:p w14:paraId="4A4AFA79">
            <w:pPr>
              <w:jc w:val="center"/>
              <w:rPr>
                <w:rFonts w:hint="eastAsia" w:ascii="仿宋" w:hAnsi="仿宋" w:eastAsia="仿宋" w:cs="仿宋"/>
                <w:color w:val="000000"/>
                <w:sz w:val="21"/>
                <w:szCs w:val="21"/>
              </w:rPr>
            </w:pPr>
          </w:p>
        </w:tc>
        <w:tc>
          <w:tcPr>
            <w:tcW w:w="1587" w:type="dxa"/>
            <w:shd w:val="clear" w:color="auto" w:fill="auto"/>
            <w:vAlign w:val="center"/>
          </w:tcPr>
          <w:p w14:paraId="68508A7E">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农产品质量安全监测覆盖面</w:t>
            </w:r>
          </w:p>
          <w:p w14:paraId="11D24B42">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（2分）</w:t>
            </w:r>
          </w:p>
        </w:tc>
        <w:tc>
          <w:tcPr>
            <w:tcW w:w="1880" w:type="dxa"/>
            <w:shd w:val="clear" w:color="auto" w:fill="auto"/>
            <w:vAlign w:val="center"/>
          </w:tcPr>
          <w:p w14:paraId="3AA75E92">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考核农产品质量安全监测覆盖面</w:t>
            </w:r>
          </w:p>
        </w:tc>
        <w:tc>
          <w:tcPr>
            <w:tcW w:w="2496" w:type="dxa"/>
            <w:shd w:val="clear" w:color="auto" w:fill="auto"/>
            <w:vAlign w:val="center"/>
          </w:tcPr>
          <w:p w14:paraId="4F48FB50">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农产品质量安全监测覆盖面≥90%（2分）；80%≤农产品质量安全监测覆盖面﹤90%（1分）；70%≤农产品质量安全监测覆盖面﹤80%（0分）</w:t>
            </w:r>
          </w:p>
        </w:tc>
        <w:tc>
          <w:tcPr>
            <w:tcW w:w="1072" w:type="dxa"/>
            <w:shd w:val="clear" w:color="auto" w:fill="auto"/>
            <w:vAlign w:val="center"/>
          </w:tcPr>
          <w:p w14:paraId="3A402B78">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w:t>
            </w:r>
          </w:p>
        </w:tc>
      </w:tr>
      <w:tr w14:paraId="59FEB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794" w:type="dxa"/>
            <w:vMerge w:val="continue"/>
            <w:shd w:val="clear" w:color="auto" w:fill="auto"/>
            <w:vAlign w:val="center"/>
          </w:tcPr>
          <w:p w14:paraId="363B14FA">
            <w:pPr>
              <w:jc w:val="center"/>
              <w:rPr>
                <w:rFonts w:hint="eastAsia" w:ascii="仿宋" w:hAnsi="仿宋" w:eastAsia="仿宋" w:cs="仿宋"/>
                <w:color w:val="000000"/>
                <w:sz w:val="21"/>
                <w:szCs w:val="21"/>
              </w:rPr>
            </w:pPr>
          </w:p>
        </w:tc>
        <w:tc>
          <w:tcPr>
            <w:tcW w:w="881" w:type="dxa"/>
            <w:shd w:val="clear" w:color="auto" w:fill="auto"/>
            <w:vAlign w:val="center"/>
          </w:tcPr>
          <w:p w14:paraId="1D7A4322">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服务对象满</w:t>
            </w:r>
            <w:r>
              <w:rPr>
                <w:rFonts w:hint="eastAsia" w:ascii="宋体" w:hAnsi="宋体" w:cs="宋体"/>
                <w:color w:val="000000"/>
                <w:kern w:val="0"/>
                <w:sz w:val="18"/>
                <w:szCs w:val="18"/>
                <w:lang w:eastAsia="zh-CN" w:bidi="ar"/>
              </w:rPr>
              <w:t>意</w:t>
            </w:r>
            <w:r>
              <w:rPr>
                <w:rFonts w:hint="eastAsia" w:ascii="宋体" w:hAnsi="宋体" w:cs="宋体"/>
                <w:color w:val="000000"/>
                <w:kern w:val="0"/>
                <w:sz w:val="18"/>
                <w:szCs w:val="18"/>
                <w:lang w:bidi="ar"/>
              </w:rPr>
              <w:t>度</w:t>
            </w:r>
          </w:p>
          <w:p w14:paraId="0E3CC03F">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（6分）</w:t>
            </w:r>
          </w:p>
        </w:tc>
        <w:tc>
          <w:tcPr>
            <w:tcW w:w="1587" w:type="dxa"/>
            <w:shd w:val="clear" w:color="auto" w:fill="auto"/>
            <w:vAlign w:val="center"/>
          </w:tcPr>
          <w:p w14:paraId="62E6D506">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农民满意度</w:t>
            </w:r>
          </w:p>
          <w:p w14:paraId="0BD2E034">
            <w:pPr>
              <w:widowControl/>
              <w:jc w:val="center"/>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（6分）</w:t>
            </w:r>
          </w:p>
        </w:tc>
        <w:tc>
          <w:tcPr>
            <w:tcW w:w="1880" w:type="dxa"/>
            <w:shd w:val="clear" w:color="auto" w:fill="auto"/>
            <w:vAlign w:val="center"/>
          </w:tcPr>
          <w:p w14:paraId="698605F5">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考核农民对石狮市农业农村局的满意度</w:t>
            </w:r>
          </w:p>
        </w:tc>
        <w:tc>
          <w:tcPr>
            <w:tcW w:w="2496" w:type="dxa"/>
            <w:shd w:val="clear" w:color="auto" w:fill="auto"/>
            <w:vAlign w:val="center"/>
          </w:tcPr>
          <w:p w14:paraId="6BF946E1">
            <w:pPr>
              <w:widowControl/>
              <w:jc w:val="left"/>
              <w:textAlignment w:val="center"/>
              <w:rPr>
                <w:rFonts w:hint="eastAsia" w:ascii="仿宋" w:hAnsi="仿宋" w:eastAsia="仿宋" w:cs="仿宋"/>
                <w:color w:val="000000"/>
                <w:sz w:val="21"/>
                <w:szCs w:val="21"/>
              </w:rPr>
            </w:pPr>
            <w:r>
              <w:rPr>
                <w:rFonts w:hint="eastAsia" w:ascii="宋体" w:hAnsi="宋体" w:cs="宋体"/>
                <w:color w:val="000000"/>
                <w:kern w:val="0"/>
                <w:sz w:val="18"/>
                <w:szCs w:val="18"/>
                <w:lang w:bidi="ar"/>
              </w:rPr>
              <w:t>满意度≥90%（6分）；80%≤满意度﹤90%（5分）；70%≤满意度﹤80%（4分）；60%≤满意度﹤70%（3分）；满意度﹤60%（0分）</w:t>
            </w:r>
          </w:p>
        </w:tc>
        <w:tc>
          <w:tcPr>
            <w:tcW w:w="1072" w:type="dxa"/>
            <w:shd w:val="clear" w:color="auto" w:fill="auto"/>
            <w:vAlign w:val="center"/>
          </w:tcPr>
          <w:p w14:paraId="61FAF489">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6</w:t>
            </w:r>
          </w:p>
        </w:tc>
      </w:tr>
      <w:tr w14:paraId="2C35A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638" w:type="dxa"/>
            <w:gridSpan w:val="5"/>
            <w:shd w:val="clear" w:color="auto" w:fill="auto"/>
            <w:vAlign w:val="center"/>
          </w:tcPr>
          <w:p w14:paraId="0B2866F1">
            <w:pPr>
              <w:jc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总分</w:t>
            </w:r>
          </w:p>
        </w:tc>
        <w:tc>
          <w:tcPr>
            <w:tcW w:w="1072" w:type="dxa"/>
            <w:shd w:val="clear" w:color="auto" w:fill="auto"/>
            <w:vAlign w:val="center"/>
          </w:tcPr>
          <w:p w14:paraId="4DEDA8AC">
            <w:pPr>
              <w:keepNext w:val="0"/>
              <w:keepLines w:val="0"/>
              <w:widowControl/>
              <w:suppressLineNumbers w:val="0"/>
              <w:jc w:val="center"/>
              <w:textAlignment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87.04</w:t>
            </w:r>
          </w:p>
        </w:tc>
      </w:tr>
      <w:bookmarkEnd w:id="109"/>
    </w:tbl>
    <w:p w14:paraId="0709F680">
      <w:pPr>
        <w:keepNext w:val="0"/>
        <w:keepLines w:val="0"/>
        <w:pageBreakBefore w:val="0"/>
        <w:widowControl w:val="0"/>
        <w:kinsoku/>
        <w:wordWrap/>
        <w:overflowPunct/>
        <w:topLinePunct w:val="0"/>
        <w:autoSpaceDE/>
        <w:autoSpaceDN/>
        <w:bidi w:val="0"/>
        <w:adjustRightInd/>
        <w:snapToGrid/>
        <w:spacing w:before="312" w:beforeLines="100" w:beforeAutospacing="0" w:after="156" w:afterLines="50" w:afterAutospacing="0" w:line="360" w:lineRule="auto"/>
        <w:ind w:left="0" w:leftChars="0" w:right="0" w:rightChars="0" w:firstLine="0" w:firstLineChars="0"/>
        <w:jc w:val="left"/>
        <w:textAlignment w:val="auto"/>
        <w:outlineLvl w:val="0"/>
        <w:rPr>
          <w:rFonts w:hint="eastAsia" w:ascii="Times New Roman" w:hAnsi="仿宋" w:eastAsia="宋体" w:cs="仿宋"/>
          <w:b/>
          <w:bCs/>
          <w:spacing w:val="17"/>
          <w:sz w:val="32"/>
          <w:szCs w:val="32"/>
        </w:rPr>
      </w:pPr>
      <w:bookmarkStart w:id="193" w:name="_Toc10188"/>
      <w:bookmarkStart w:id="194" w:name="_Toc641"/>
      <w:bookmarkStart w:id="195" w:name="_Toc1948"/>
      <w:r>
        <w:rPr>
          <w:rFonts w:hint="eastAsia" w:ascii="Times New Roman" w:hAnsi="仿宋" w:eastAsia="宋体" w:cs="仿宋"/>
          <w:b/>
          <w:bCs/>
          <w:spacing w:val="17"/>
          <w:sz w:val="32"/>
          <w:szCs w:val="32"/>
        </w:rPr>
        <w:t>五、评价结论及成效</w:t>
      </w:r>
      <w:bookmarkEnd w:id="193"/>
    </w:p>
    <w:p w14:paraId="0ABE11A7">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628" w:firstLineChars="200"/>
        <w:textAlignment w:val="auto"/>
        <w:rPr>
          <w:rFonts w:hint="eastAsia" w:ascii="Times New Roman" w:hAnsi="仿宋" w:eastAsia="宋体" w:cs="仿宋"/>
          <w:spacing w:val="17"/>
          <w:sz w:val="28"/>
          <w:szCs w:val="32"/>
        </w:rPr>
      </w:pPr>
      <w:r>
        <w:rPr>
          <w:rFonts w:hint="eastAsia" w:ascii="Times New Roman" w:hAnsi="仿宋" w:eastAsia="宋体" w:cs="仿宋"/>
          <w:spacing w:val="17"/>
          <w:sz w:val="28"/>
          <w:szCs w:val="32"/>
        </w:rPr>
        <w:t>绩效评价工作小组通过从投入、过程、产出和效果四方面，以及加分项逐项分析评价，石狮市农业农村局部门整体支出绩效评价共得分</w:t>
      </w:r>
      <w:r>
        <w:rPr>
          <w:rFonts w:hint="eastAsia" w:ascii="Times New Roman" w:hAnsi="仿宋" w:eastAsia="宋体" w:cs="仿宋"/>
          <w:spacing w:val="17"/>
          <w:sz w:val="28"/>
          <w:szCs w:val="32"/>
          <w:lang w:val="en-US" w:eastAsia="zh-CN"/>
        </w:rPr>
        <w:t>87.04</w:t>
      </w:r>
      <w:r>
        <w:rPr>
          <w:rFonts w:hint="eastAsia" w:ascii="Times New Roman" w:hAnsi="仿宋" w:eastAsia="宋体" w:cs="仿宋"/>
          <w:spacing w:val="17"/>
          <w:sz w:val="28"/>
          <w:szCs w:val="32"/>
        </w:rPr>
        <w:t>分，评价等级“良”。</w:t>
      </w:r>
    </w:p>
    <w:p w14:paraId="0E2523EA">
      <w:pPr>
        <w:pStyle w:val="2"/>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628" w:firstLineChars="200"/>
        <w:textAlignment w:val="auto"/>
        <w:rPr>
          <w:rFonts w:hint="eastAsia" w:ascii="Times New Roman" w:hAnsi="仿宋" w:eastAsia="宋体" w:cs="仿宋"/>
          <w:spacing w:val="17"/>
          <w:sz w:val="28"/>
          <w:szCs w:val="32"/>
          <w:lang w:eastAsia="zh-CN"/>
        </w:rPr>
      </w:pPr>
      <w:r>
        <w:rPr>
          <w:rFonts w:hint="eastAsia" w:ascii="Times New Roman" w:hAnsi="仿宋" w:eastAsia="宋体" w:cs="仿宋"/>
          <w:spacing w:val="17"/>
          <w:sz w:val="28"/>
          <w:szCs w:val="32"/>
        </w:rPr>
        <w:t>1.主要成效：</w:t>
      </w:r>
      <w:r>
        <w:rPr>
          <w:rFonts w:hint="eastAsia" w:ascii="Times New Roman" w:hAnsi="仿宋" w:eastAsia="宋体" w:cs="仿宋"/>
          <w:sz w:val="28"/>
          <w:szCs w:val="32"/>
        </w:rPr>
        <w:t>石狮市以开展乡村“五个美丽”建设、推动乡村建设“五个专项行动”、开展“家园清洁”百日行动等为抓手，落实常态化督导，发挥群众主体作用，村容村貌明显改善提升</w:t>
      </w:r>
      <w:r>
        <w:rPr>
          <w:rFonts w:hint="eastAsia" w:ascii="Times New Roman" w:hAnsi="仿宋" w:eastAsia="宋体" w:cs="仿宋"/>
          <w:sz w:val="28"/>
          <w:szCs w:val="32"/>
          <w:lang w:eastAsia="zh-CN"/>
        </w:rPr>
        <w:t>；</w:t>
      </w:r>
      <w:r>
        <w:rPr>
          <w:rFonts w:hint="eastAsia" w:ascii="Times New Roman" w:hAnsi="仿宋" w:eastAsia="宋体" w:cs="仿宋"/>
          <w:spacing w:val="3"/>
          <w:sz w:val="28"/>
          <w:szCs w:val="32"/>
        </w:rPr>
        <w:t>2022年度乡村振兴示范乡镇、示范村创建名单。石狮市永宁镇获评全省乡村振兴示范乡镇创建单位，蚶江镇厝仔村、永宁镇郭坑村和西偏村、祥芝镇湖西村、鸿山镇邱下村、锦尚镇东店村获评全省乡村振兴示范村创建单位。</w:t>
      </w:r>
    </w:p>
    <w:p w14:paraId="2C8B41B4">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628" w:firstLineChars="200"/>
        <w:textAlignment w:val="auto"/>
        <w:rPr>
          <w:rFonts w:hint="eastAsia" w:ascii="Times New Roman" w:hAnsi="仿宋" w:eastAsia="宋体" w:cs="仿宋"/>
          <w:spacing w:val="17"/>
          <w:sz w:val="28"/>
          <w:szCs w:val="32"/>
        </w:rPr>
      </w:pPr>
      <w:r>
        <w:rPr>
          <w:rFonts w:hint="eastAsia" w:ascii="Times New Roman" w:hAnsi="仿宋" w:eastAsia="宋体" w:cs="仿宋"/>
          <w:spacing w:val="17"/>
          <w:sz w:val="28"/>
          <w:szCs w:val="32"/>
        </w:rPr>
        <w:t>2.扣分项目：</w:t>
      </w:r>
      <w:r>
        <w:rPr>
          <w:rFonts w:hint="eastAsia" w:ascii="Times New Roman" w:hAnsi="仿宋" w:eastAsia="宋体" w:cs="仿宋"/>
          <w:sz w:val="28"/>
          <w:szCs w:val="32"/>
        </w:rPr>
        <w:t>在职人员控制率扣</w:t>
      </w:r>
      <w:r>
        <w:rPr>
          <w:rFonts w:hint="eastAsia" w:ascii="Times New Roman" w:hAnsi="仿宋" w:eastAsia="宋体" w:cs="仿宋"/>
          <w:sz w:val="28"/>
          <w:szCs w:val="32"/>
          <w:lang w:val="en-US" w:eastAsia="zh-CN"/>
        </w:rPr>
        <w:t>0.35</w:t>
      </w:r>
      <w:r>
        <w:rPr>
          <w:rFonts w:hint="eastAsia" w:ascii="Times New Roman" w:hAnsi="仿宋" w:eastAsia="宋体" w:cs="仿宋"/>
          <w:sz w:val="28"/>
          <w:szCs w:val="32"/>
        </w:rPr>
        <w:t>分；</w:t>
      </w:r>
      <w:r>
        <w:rPr>
          <w:rFonts w:hint="eastAsia" w:ascii="Times New Roman" w:hAnsi="仿宋" w:cs="仿宋"/>
          <w:sz w:val="28"/>
          <w:szCs w:val="32"/>
          <w:lang w:eastAsia="zh-CN"/>
        </w:rPr>
        <w:t>“三公”经费</w:t>
      </w:r>
      <w:r>
        <w:rPr>
          <w:rFonts w:hint="eastAsia" w:ascii="Times New Roman" w:hAnsi="仿宋" w:eastAsia="宋体" w:cs="仿宋"/>
          <w:sz w:val="28"/>
          <w:szCs w:val="32"/>
          <w:lang w:val="en-US" w:eastAsia="zh-CN"/>
        </w:rPr>
        <w:t>变动率</w:t>
      </w:r>
      <w:r>
        <w:rPr>
          <w:rFonts w:hint="eastAsia" w:ascii="Times New Roman" w:hAnsi="仿宋" w:eastAsia="宋体" w:cs="仿宋"/>
          <w:spacing w:val="4"/>
          <w:sz w:val="28"/>
          <w:szCs w:val="32"/>
        </w:rPr>
        <w:t>扣2分；</w:t>
      </w:r>
      <w:r>
        <w:rPr>
          <w:rFonts w:hint="eastAsia" w:ascii="Times New Roman" w:hAnsi="仿宋" w:eastAsia="宋体" w:cs="仿宋"/>
          <w:spacing w:val="4"/>
          <w:sz w:val="28"/>
          <w:szCs w:val="32"/>
          <w:lang w:val="en-US" w:eastAsia="zh-CN"/>
        </w:rPr>
        <w:t>预算调整率扣2分，</w:t>
      </w:r>
      <w:r>
        <w:rPr>
          <w:rFonts w:hint="eastAsia" w:ascii="Times New Roman" w:hAnsi="仿宋" w:eastAsia="宋体" w:cs="仿宋"/>
          <w:spacing w:val="4"/>
          <w:sz w:val="28"/>
          <w:szCs w:val="32"/>
        </w:rPr>
        <w:t>结转结余率扣0.11分；</w:t>
      </w:r>
      <w:r>
        <w:rPr>
          <w:rFonts w:hint="eastAsia" w:ascii="Times New Roman" w:hAnsi="仿宋" w:cs="仿宋"/>
          <w:spacing w:val="4"/>
          <w:sz w:val="28"/>
          <w:szCs w:val="32"/>
          <w:lang w:eastAsia="zh-CN"/>
        </w:rPr>
        <w:t>“三公”经费</w:t>
      </w:r>
      <w:r>
        <w:rPr>
          <w:rFonts w:hint="eastAsia" w:ascii="Times New Roman" w:hAnsi="仿宋" w:eastAsia="宋体" w:cs="仿宋"/>
          <w:spacing w:val="4"/>
          <w:sz w:val="28"/>
          <w:szCs w:val="32"/>
        </w:rPr>
        <w:t>控制率扣</w:t>
      </w:r>
      <w:r>
        <w:rPr>
          <w:rFonts w:hint="eastAsia" w:ascii="Times New Roman" w:hAnsi="仿宋" w:eastAsia="宋体" w:cs="仿宋"/>
          <w:spacing w:val="4"/>
          <w:sz w:val="28"/>
          <w:szCs w:val="32"/>
          <w:lang w:val="en-US" w:eastAsia="zh-CN"/>
        </w:rPr>
        <w:t>0.5</w:t>
      </w:r>
      <w:r>
        <w:rPr>
          <w:rFonts w:hint="eastAsia" w:ascii="Times New Roman" w:hAnsi="仿宋" w:eastAsia="宋体" w:cs="仿宋"/>
          <w:spacing w:val="4"/>
          <w:sz w:val="28"/>
          <w:szCs w:val="32"/>
        </w:rPr>
        <w:t>分；政府采购执行率扣</w:t>
      </w:r>
      <w:r>
        <w:rPr>
          <w:rFonts w:hint="eastAsia" w:ascii="Times New Roman" w:hAnsi="仿宋" w:eastAsia="宋体" w:cs="仿宋"/>
          <w:spacing w:val="4"/>
          <w:sz w:val="28"/>
          <w:szCs w:val="32"/>
          <w:lang w:val="en-US" w:eastAsia="zh-CN"/>
        </w:rPr>
        <w:t>1</w:t>
      </w:r>
      <w:r>
        <w:rPr>
          <w:rFonts w:hint="eastAsia" w:ascii="Times New Roman" w:hAnsi="仿宋" w:eastAsia="宋体" w:cs="仿宋"/>
          <w:spacing w:val="4"/>
          <w:sz w:val="28"/>
          <w:szCs w:val="32"/>
        </w:rPr>
        <w:t>分；管理制度健全性扣1分；预决算信息公开性扣1分</w:t>
      </w:r>
      <w:r>
        <w:rPr>
          <w:rFonts w:hint="eastAsia" w:ascii="Times New Roman" w:hAnsi="仿宋" w:eastAsia="宋体" w:cs="仿宋"/>
          <w:spacing w:val="-3"/>
          <w:sz w:val="28"/>
          <w:szCs w:val="32"/>
        </w:rPr>
        <w:t>；</w:t>
      </w:r>
      <w:r>
        <w:rPr>
          <w:rFonts w:hint="eastAsia" w:ascii="Times New Roman" w:hAnsi="仿宋" w:eastAsia="宋体" w:cs="仿宋"/>
          <w:spacing w:val="-3"/>
          <w:sz w:val="28"/>
          <w:szCs w:val="32"/>
          <w:lang w:eastAsia="zh-CN"/>
        </w:rPr>
        <w:t>部门</w:t>
      </w:r>
      <w:r>
        <w:rPr>
          <w:rFonts w:hint="eastAsia" w:ascii="Times New Roman" w:hAnsi="仿宋" w:eastAsia="宋体" w:cs="仿宋"/>
          <w:sz w:val="28"/>
          <w:szCs w:val="32"/>
        </w:rPr>
        <w:t>绩效管理情况扣1分</w:t>
      </w:r>
      <w:r>
        <w:rPr>
          <w:rFonts w:hint="eastAsia" w:ascii="Times New Roman" w:hAnsi="仿宋" w:eastAsia="宋体" w:cs="仿宋"/>
          <w:sz w:val="28"/>
          <w:szCs w:val="32"/>
          <w:lang w:eastAsia="zh-CN"/>
        </w:rPr>
        <w:t>，</w:t>
      </w:r>
      <w:r>
        <w:rPr>
          <w:rFonts w:hint="eastAsia" w:ascii="Times New Roman" w:hAnsi="仿宋" w:eastAsia="宋体" w:cs="仿宋"/>
          <w:sz w:val="28"/>
          <w:szCs w:val="32"/>
          <w:lang w:val="en-US" w:eastAsia="zh-CN"/>
        </w:rPr>
        <w:t>理赔服务扣1分；</w:t>
      </w:r>
      <w:r>
        <w:rPr>
          <w:rFonts w:hint="eastAsia" w:ascii="Times New Roman" w:hAnsi="仿宋" w:eastAsia="宋体" w:cs="仿宋"/>
          <w:spacing w:val="17"/>
          <w:sz w:val="28"/>
          <w:szCs w:val="32"/>
        </w:rPr>
        <w:t>美丽乡村建设项目村环境综合整治考核达标提升率</w:t>
      </w:r>
      <w:r>
        <w:rPr>
          <w:rFonts w:hint="eastAsia" w:ascii="Times New Roman" w:hAnsi="仿宋" w:eastAsia="宋体" w:cs="仿宋"/>
          <w:spacing w:val="17"/>
          <w:sz w:val="28"/>
          <w:szCs w:val="32"/>
          <w:lang w:val="en-US" w:eastAsia="zh-CN"/>
        </w:rPr>
        <w:t>扣1分；粮食综合生产能力扣1分；</w:t>
      </w:r>
      <w:r>
        <w:rPr>
          <w:rFonts w:hint="eastAsia" w:ascii="Times New Roman" w:hAnsi="仿宋" w:eastAsia="宋体" w:cs="仿宋"/>
          <w:spacing w:val="17"/>
          <w:sz w:val="28"/>
          <w:szCs w:val="32"/>
        </w:rPr>
        <w:t>耕地质量</w:t>
      </w:r>
      <w:r>
        <w:rPr>
          <w:rFonts w:hint="eastAsia" w:ascii="Times New Roman" w:hAnsi="仿宋" w:eastAsia="宋体" w:cs="仿宋"/>
          <w:spacing w:val="17"/>
          <w:sz w:val="28"/>
          <w:szCs w:val="32"/>
          <w:lang w:val="en-US" w:eastAsia="zh-CN"/>
        </w:rPr>
        <w:t>扣1分</w:t>
      </w:r>
      <w:r>
        <w:rPr>
          <w:rFonts w:hint="eastAsia" w:ascii="Times New Roman" w:hAnsi="仿宋" w:eastAsia="宋体" w:cs="仿宋"/>
          <w:spacing w:val="3"/>
          <w:sz w:val="28"/>
          <w:szCs w:val="32"/>
        </w:rPr>
        <w:t>。绩效指标共扣分1</w:t>
      </w:r>
      <w:r>
        <w:rPr>
          <w:rFonts w:hint="eastAsia" w:ascii="Times New Roman" w:hAnsi="仿宋" w:eastAsia="宋体" w:cs="仿宋"/>
          <w:spacing w:val="3"/>
          <w:sz w:val="28"/>
          <w:szCs w:val="32"/>
          <w:lang w:val="en-US" w:eastAsia="zh-CN"/>
        </w:rPr>
        <w:t>2</w:t>
      </w:r>
      <w:r>
        <w:rPr>
          <w:rFonts w:hint="eastAsia" w:ascii="Times New Roman" w:hAnsi="仿宋" w:eastAsia="宋体" w:cs="仿宋"/>
          <w:spacing w:val="3"/>
          <w:sz w:val="28"/>
          <w:szCs w:val="32"/>
        </w:rPr>
        <w:t>.</w:t>
      </w:r>
      <w:r>
        <w:rPr>
          <w:rFonts w:hint="eastAsia" w:ascii="Times New Roman" w:hAnsi="仿宋" w:eastAsia="宋体" w:cs="仿宋"/>
          <w:spacing w:val="3"/>
          <w:sz w:val="28"/>
          <w:szCs w:val="32"/>
          <w:lang w:val="en-US" w:eastAsia="zh-CN"/>
        </w:rPr>
        <w:t>96分</w:t>
      </w:r>
      <w:r>
        <w:rPr>
          <w:rFonts w:hint="eastAsia" w:ascii="Times New Roman" w:hAnsi="仿宋" w:eastAsia="宋体" w:cs="仿宋"/>
          <w:spacing w:val="3"/>
          <w:sz w:val="28"/>
          <w:szCs w:val="32"/>
        </w:rPr>
        <w:t>。</w:t>
      </w:r>
    </w:p>
    <w:p w14:paraId="5F44F8BC">
      <w:pPr>
        <w:keepNext w:val="0"/>
        <w:keepLines w:val="0"/>
        <w:pageBreakBefore w:val="0"/>
        <w:widowControl w:val="0"/>
        <w:kinsoku/>
        <w:wordWrap/>
        <w:overflowPunct/>
        <w:topLinePunct w:val="0"/>
        <w:autoSpaceDE/>
        <w:autoSpaceDN/>
        <w:bidi w:val="0"/>
        <w:adjustRightInd/>
        <w:snapToGrid/>
        <w:spacing w:before="312" w:beforeLines="100" w:beforeAutospacing="0" w:after="156" w:afterLines="50" w:afterAutospacing="0" w:line="360" w:lineRule="auto"/>
        <w:ind w:left="0" w:leftChars="0" w:right="0" w:rightChars="0" w:firstLine="0" w:firstLineChars="0"/>
        <w:jc w:val="left"/>
        <w:textAlignment w:val="auto"/>
        <w:outlineLvl w:val="0"/>
        <w:rPr>
          <w:rFonts w:hint="eastAsia" w:ascii="Times New Roman" w:hAnsi="仿宋" w:eastAsia="宋体" w:cs="仿宋"/>
          <w:b/>
          <w:spacing w:val="17"/>
          <w:sz w:val="32"/>
          <w:szCs w:val="32"/>
        </w:rPr>
      </w:pPr>
      <w:bookmarkStart w:id="196" w:name="_Toc28519"/>
      <w:r>
        <w:rPr>
          <w:rFonts w:hint="eastAsia" w:ascii="Times New Roman" w:hAnsi="仿宋" w:eastAsia="宋体" w:cs="仿宋"/>
          <w:b/>
          <w:spacing w:val="17"/>
          <w:sz w:val="32"/>
          <w:szCs w:val="32"/>
        </w:rPr>
        <w:t>六、存在问题</w:t>
      </w:r>
      <w:bookmarkEnd w:id="196"/>
    </w:p>
    <w:p w14:paraId="7354BE36">
      <w:pPr>
        <w:pStyle w:val="2"/>
        <w:keepNext w:val="0"/>
        <w:keepLines w:val="0"/>
        <w:pageBreakBefore w:val="0"/>
        <w:widowControl w:val="0"/>
        <w:numPr>
          <w:ilvl w:val="0"/>
          <w:numId w:val="0"/>
        </w:numPr>
        <w:kinsoku/>
        <w:wordWrap/>
        <w:overflowPunct/>
        <w:topLinePunct w:val="0"/>
        <w:autoSpaceDE/>
        <w:autoSpaceDN/>
        <w:bidi w:val="0"/>
        <w:adjustRightInd/>
        <w:snapToGrid/>
        <w:spacing w:before="156" w:beforeLines="50" w:beforeAutospacing="0" w:afterAutospacing="0" w:line="360" w:lineRule="auto"/>
        <w:ind w:left="0" w:leftChars="0" w:right="0" w:rightChars="0" w:firstLine="0" w:firstLineChars="0"/>
        <w:jc w:val="left"/>
        <w:textAlignment w:val="auto"/>
        <w:outlineLvl w:val="1"/>
        <w:rPr>
          <w:rFonts w:hint="eastAsia" w:ascii="Times New Roman" w:hAnsi="仿宋" w:eastAsia="宋体" w:cs="仿宋"/>
          <w:b/>
          <w:bCs w:val="0"/>
          <w:color w:val="auto"/>
          <w:sz w:val="30"/>
          <w:szCs w:val="32"/>
          <w:lang w:val="en-US" w:eastAsia="zh-CN" w:bidi="zh-TW"/>
        </w:rPr>
      </w:pPr>
      <w:bookmarkStart w:id="197" w:name="_Toc10070"/>
      <w:r>
        <w:rPr>
          <w:rFonts w:hint="eastAsia" w:ascii="Times New Roman" w:hAnsi="仿宋" w:eastAsia="宋体" w:cs="仿宋"/>
          <w:b/>
          <w:bCs w:val="0"/>
          <w:color w:val="auto"/>
          <w:sz w:val="30"/>
          <w:szCs w:val="32"/>
          <w:lang w:val="en-US" w:eastAsia="zh-CN" w:bidi="zh-TW"/>
        </w:rPr>
        <w:t>（一）</w:t>
      </w:r>
      <w:r>
        <w:rPr>
          <w:rFonts w:hint="eastAsia" w:ascii="Times New Roman" w:hAnsi="仿宋" w:eastAsia="宋体" w:cs="仿宋"/>
          <w:b/>
          <w:bCs w:val="0"/>
          <w:color w:val="auto"/>
          <w:sz w:val="30"/>
          <w:szCs w:val="32"/>
          <w:highlight w:val="none"/>
          <w:lang w:val="en-US" w:eastAsia="zh-CN" w:bidi="zh-TW"/>
        </w:rPr>
        <w:t>专项资金管理制度不健全</w:t>
      </w:r>
      <w:bookmarkEnd w:id="197"/>
    </w:p>
    <w:p w14:paraId="0548F8CA">
      <w:pPr>
        <w:pStyle w:val="2"/>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560" w:firstLineChars="200"/>
        <w:textAlignment w:val="auto"/>
        <w:rPr>
          <w:rFonts w:hint="eastAsia" w:ascii="Times New Roman" w:hAnsi="仿宋" w:eastAsia="宋体" w:cs="仿宋"/>
          <w:b w:val="0"/>
          <w:bCs/>
          <w:color w:val="auto"/>
          <w:sz w:val="28"/>
          <w:szCs w:val="32"/>
          <w:lang w:bidi="zh-TW"/>
        </w:rPr>
      </w:pPr>
      <w:r>
        <w:rPr>
          <w:rFonts w:hint="eastAsia" w:ascii="Times New Roman" w:hAnsi="仿宋" w:eastAsia="宋体" w:cs="仿宋"/>
          <w:b w:val="0"/>
          <w:bCs/>
          <w:color w:val="auto"/>
          <w:sz w:val="28"/>
          <w:szCs w:val="32"/>
          <w:lang w:bidi="zh-TW"/>
        </w:rPr>
        <w:t>经过查阅石狮市农业农村局的《石狮市农业农村局工作管理制度》(狮农〔2022〕92号)、《石狮市农业农村局内部控制工作方案及制度》、《石狮市农业农村局涉农专项资金管理办法》(狮农〔2022〕6号)等制度</w:t>
      </w:r>
      <w:r>
        <w:rPr>
          <w:rFonts w:hint="eastAsia" w:ascii="Times New Roman" w:hAnsi="仿宋" w:eastAsia="宋体" w:cs="仿宋"/>
          <w:b w:val="0"/>
          <w:bCs/>
          <w:color w:val="auto"/>
          <w:sz w:val="28"/>
          <w:szCs w:val="32"/>
          <w:lang w:eastAsia="zh-CN" w:bidi="zh-TW"/>
        </w:rPr>
        <w:t>，</w:t>
      </w:r>
      <w:r>
        <w:rPr>
          <w:rFonts w:hint="eastAsia" w:ascii="Times New Roman" w:hAnsi="仿宋" w:eastAsia="宋体" w:cs="仿宋"/>
          <w:b w:val="0"/>
          <w:bCs/>
          <w:color w:val="auto"/>
          <w:sz w:val="28"/>
          <w:szCs w:val="32"/>
          <w:lang w:bidi="zh-TW"/>
        </w:rPr>
        <w:t>发现对于专项资金的管理存在一定的笼统性。特别是在专项资金管理办法中，缺乏对具体项目资金名称、内容、预期产出和效益等方面的详细规定。</w:t>
      </w:r>
    </w:p>
    <w:p w14:paraId="38EE6C61">
      <w:pPr>
        <w:pStyle w:val="2"/>
        <w:keepNext w:val="0"/>
        <w:keepLines w:val="0"/>
        <w:pageBreakBefore w:val="0"/>
        <w:widowControl w:val="0"/>
        <w:numPr>
          <w:ilvl w:val="0"/>
          <w:numId w:val="0"/>
        </w:numPr>
        <w:kinsoku/>
        <w:wordWrap/>
        <w:overflowPunct/>
        <w:topLinePunct w:val="0"/>
        <w:autoSpaceDE/>
        <w:autoSpaceDN/>
        <w:bidi w:val="0"/>
        <w:adjustRightInd/>
        <w:snapToGrid/>
        <w:spacing w:before="156" w:beforeLines="50" w:beforeAutospacing="0" w:afterAutospacing="0" w:line="360" w:lineRule="auto"/>
        <w:ind w:left="0" w:leftChars="0" w:right="0" w:rightChars="0" w:firstLine="0" w:firstLineChars="0"/>
        <w:jc w:val="left"/>
        <w:textAlignment w:val="auto"/>
        <w:outlineLvl w:val="1"/>
        <w:rPr>
          <w:rFonts w:hint="eastAsia" w:ascii="Times New Roman" w:hAnsi="仿宋" w:eastAsia="宋体" w:cs="仿宋"/>
          <w:b/>
          <w:bCs w:val="0"/>
          <w:color w:val="auto"/>
          <w:sz w:val="30"/>
          <w:szCs w:val="32"/>
          <w:lang w:val="en-US" w:eastAsia="zh-CN" w:bidi="zh-TW"/>
        </w:rPr>
      </w:pPr>
      <w:bookmarkStart w:id="198" w:name="_Toc4601"/>
      <w:r>
        <w:rPr>
          <w:rFonts w:hint="eastAsia" w:ascii="Times New Roman" w:hAnsi="仿宋" w:eastAsia="宋体" w:cs="仿宋"/>
          <w:b/>
          <w:bCs w:val="0"/>
          <w:color w:val="auto"/>
          <w:sz w:val="30"/>
          <w:szCs w:val="32"/>
          <w:lang w:bidi="zh-TW"/>
        </w:rPr>
        <w:t>（</w:t>
      </w:r>
      <w:r>
        <w:rPr>
          <w:rFonts w:hint="eastAsia" w:ascii="Times New Roman" w:hAnsi="仿宋" w:eastAsia="宋体" w:cs="仿宋"/>
          <w:b/>
          <w:bCs w:val="0"/>
          <w:color w:val="auto"/>
          <w:sz w:val="30"/>
          <w:szCs w:val="32"/>
          <w:lang w:val="en-US" w:eastAsia="zh-CN" w:bidi="zh-TW"/>
        </w:rPr>
        <w:t>二</w:t>
      </w:r>
      <w:r>
        <w:rPr>
          <w:rFonts w:hint="eastAsia" w:ascii="Times New Roman" w:hAnsi="仿宋" w:eastAsia="宋体" w:cs="仿宋"/>
          <w:b/>
          <w:bCs w:val="0"/>
          <w:color w:val="auto"/>
          <w:sz w:val="30"/>
          <w:szCs w:val="32"/>
          <w:lang w:bidi="zh-TW"/>
        </w:rPr>
        <w:t>）</w:t>
      </w:r>
      <w:r>
        <w:rPr>
          <w:rFonts w:hint="eastAsia" w:ascii="Times New Roman" w:hAnsi="仿宋" w:eastAsia="宋体" w:cs="仿宋"/>
          <w:b/>
          <w:bCs w:val="0"/>
          <w:color w:val="auto"/>
          <w:sz w:val="30"/>
          <w:szCs w:val="32"/>
          <w:lang w:val="en-US" w:eastAsia="zh-CN" w:bidi="zh-TW"/>
        </w:rPr>
        <w:t>对企业农产品附加值引导还需进一步提升</w:t>
      </w:r>
      <w:bookmarkEnd w:id="198"/>
    </w:p>
    <w:p w14:paraId="2D866B84">
      <w:pPr>
        <w:pStyle w:val="2"/>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560" w:firstLineChars="200"/>
        <w:textAlignment w:val="auto"/>
        <w:rPr>
          <w:rFonts w:hint="eastAsia" w:ascii="Times New Roman" w:hAnsi="仿宋" w:eastAsia="宋体" w:cs="仿宋"/>
          <w:b w:val="0"/>
          <w:bCs/>
          <w:color w:val="auto"/>
          <w:sz w:val="28"/>
          <w:szCs w:val="32"/>
          <w:lang w:val="en-US" w:eastAsia="zh-CN" w:bidi="zh-TW"/>
        </w:rPr>
      </w:pPr>
      <w:r>
        <w:rPr>
          <w:rFonts w:hint="eastAsia" w:ascii="Times New Roman" w:hAnsi="仿宋" w:eastAsia="宋体" w:cs="仿宋"/>
          <w:b w:val="0"/>
          <w:bCs/>
          <w:color w:val="auto"/>
          <w:sz w:val="28"/>
          <w:szCs w:val="32"/>
          <w:lang w:val="en-US" w:eastAsia="zh-CN" w:bidi="zh-TW"/>
        </w:rPr>
        <w:t>在农业产业化发展专项中，发现存在农产品附加值不高的问题。泉州市第十轮农业产业化市级重点龙头企业名单中，有10家企业入选，但绝大部分龙头企业都是生产型企业，缺乏对农产品的深加工能力。尽管石狮的农产品种类多样，但规模较小且产业链条不够完整，作为主管部门需出台相关政策，加强对企业农产品附加值的引导。</w:t>
      </w:r>
    </w:p>
    <w:p w14:paraId="4EAD8F40">
      <w:pPr>
        <w:pStyle w:val="2"/>
        <w:keepNext w:val="0"/>
        <w:keepLines w:val="0"/>
        <w:pageBreakBefore w:val="0"/>
        <w:widowControl w:val="0"/>
        <w:numPr>
          <w:ilvl w:val="0"/>
          <w:numId w:val="0"/>
        </w:numPr>
        <w:kinsoku/>
        <w:wordWrap/>
        <w:overflowPunct/>
        <w:topLinePunct w:val="0"/>
        <w:autoSpaceDE/>
        <w:autoSpaceDN/>
        <w:bidi w:val="0"/>
        <w:adjustRightInd/>
        <w:snapToGrid/>
        <w:spacing w:before="156" w:beforeLines="50" w:beforeAutospacing="0" w:afterAutospacing="0" w:line="360" w:lineRule="auto"/>
        <w:ind w:left="0" w:leftChars="0" w:right="0" w:rightChars="0" w:firstLine="0" w:firstLineChars="0"/>
        <w:jc w:val="left"/>
        <w:textAlignment w:val="auto"/>
        <w:outlineLvl w:val="1"/>
        <w:rPr>
          <w:rFonts w:hint="eastAsia" w:ascii="Times New Roman" w:hAnsi="仿宋" w:eastAsia="宋体" w:cs="仿宋"/>
          <w:b/>
          <w:bCs w:val="0"/>
          <w:color w:val="auto"/>
          <w:kern w:val="2"/>
          <w:sz w:val="30"/>
          <w:szCs w:val="32"/>
          <w:lang w:val="zh-TW" w:eastAsia="zh-TW" w:bidi="zh-TW"/>
        </w:rPr>
      </w:pPr>
      <w:bookmarkStart w:id="199" w:name="_Toc7855"/>
      <w:r>
        <w:rPr>
          <w:rFonts w:hint="eastAsia" w:ascii="Times New Roman" w:hAnsi="仿宋" w:eastAsia="宋体" w:cs="仿宋"/>
          <w:b/>
          <w:color w:val="auto"/>
          <w:spacing w:val="4"/>
          <w:sz w:val="30"/>
          <w:szCs w:val="32"/>
          <w:lang w:val="en-US" w:eastAsia="zh-CN"/>
        </w:rPr>
        <w:t>（三）</w:t>
      </w:r>
      <w:r>
        <w:rPr>
          <w:rFonts w:hint="eastAsia" w:ascii="Times New Roman" w:hAnsi="仿宋" w:eastAsia="宋体" w:cs="仿宋"/>
          <w:b/>
          <w:bCs w:val="0"/>
          <w:color w:val="auto"/>
          <w:kern w:val="2"/>
          <w:sz w:val="30"/>
          <w:szCs w:val="32"/>
          <w:lang w:val="zh-TW" w:eastAsia="zh-TW" w:bidi="zh-TW"/>
        </w:rPr>
        <w:t>投保程序和手续有待</w:t>
      </w:r>
      <w:r>
        <w:rPr>
          <w:rFonts w:hint="eastAsia" w:ascii="Times New Roman" w:hAnsi="仿宋" w:eastAsia="宋体" w:cs="仿宋"/>
          <w:b/>
          <w:bCs w:val="0"/>
          <w:color w:val="auto"/>
          <w:kern w:val="2"/>
          <w:sz w:val="30"/>
          <w:szCs w:val="32"/>
          <w:lang w:val="en-US" w:eastAsia="zh-CN" w:bidi="zh-TW"/>
        </w:rPr>
        <w:t>进行</w:t>
      </w:r>
      <w:r>
        <w:rPr>
          <w:rFonts w:hint="eastAsia" w:ascii="Times New Roman" w:hAnsi="仿宋" w:eastAsia="宋体" w:cs="仿宋"/>
          <w:b/>
          <w:bCs w:val="0"/>
          <w:color w:val="auto"/>
          <w:kern w:val="2"/>
          <w:sz w:val="30"/>
          <w:szCs w:val="32"/>
          <w:lang w:val="zh-TW" w:eastAsia="zh-TW" w:bidi="zh-TW"/>
        </w:rPr>
        <w:t>简化</w:t>
      </w:r>
      <w:bookmarkEnd w:id="199"/>
    </w:p>
    <w:p w14:paraId="35232655">
      <w:pPr>
        <w:pStyle w:val="2"/>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560" w:firstLineChars="200"/>
        <w:textAlignment w:val="auto"/>
        <w:rPr>
          <w:rFonts w:hint="eastAsia" w:ascii="Times New Roman" w:hAnsi="仿宋" w:eastAsia="宋体" w:cs="仿宋"/>
          <w:color w:val="auto"/>
          <w:kern w:val="2"/>
          <w:sz w:val="28"/>
          <w:szCs w:val="32"/>
          <w:lang w:val="zh-TW" w:eastAsia="zh-TW" w:bidi="zh-TW"/>
        </w:rPr>
      </w:pPr>
      <w:r>
        <w:rPr>
          <w:rFonts w:hint="eastAsia" w:ascii="Times New Roman" w:hAnsi="仿宋" w:eastAsia="宋体" w:cs="仿宋"/>
          <w:color w:val="auto"/>
          <w:kern w:val="2"/>
          <w:sz w:val="28"/>
          <w:szCs w:val="32"/>
          <w:lang w:val="zh-TW" w:eastAsia="zh-CN" w:bidi="zh-TW"/>
        </w:rPr>
        <w:t>评价组</w:t>
      </w:r>
      <w:r>
        <w:rPr>
          <w:rFonts w:hint="eastAsia" w:ascii="Times New Roman" w:hAnsi="仿宋" w:eastAsia="宋体" w:cs="仿宋"/>
          <w:color w:val="auto"/>
          <w:kern w:val="2"/>
          <w:sz w:val="28"/>
          <w:szCs w:val="32"/>
          <w:lang w:val="zh-TW" w:eastAsia="zh-TW" w:bidi="zh-TW"/>
        </w:rPr>
        <w:t>经过调研发现，目前渔业保险项目存在着承保程序繁琐的问题</w:t>
      </w:r>
      <w:r>
        <w:rPr>
          <w:rFonts w:hint="eastAsia" w:ascii="Times New Roman" w:hAnsi="仿宋" w:eastAsia="宋体" w:cs="仿宋"/>
          <w:color w:val="auto"/>
          <w:kern w:val="2"/>
          <w:sz w:val="28"/>
          <w:szCs w:val="32"/>
          <w:lang w:val="zh-TW" w:eastAsia="zh-CN" w:bidi="zh-TW"/>
        </w:rPr>
        <w:t>，</w:t>
      </w:r>
      <w:r>
        <w:rPr>
          <w:rFonts w:hint="eastAsia" w:ascii="Times New Roman" w:hAnsi="仿宋" w:eastAsia="宋体" w:cs="仿宋"/>
          <w:color w:val="auto"/>
          <w:kern w:val="2"/>
          <w:sz w:val="28"/>
          <w:szCs w:val="32"/>
          <w:lang w:val="zh-TW" w:eastAsia="zh-TW" w:bidi="zh-TW"/>
        </w:rPr>
        <w:t>造成了一定的拖延和影响。为了提高投保效率和便利性，有必要对投保程序和手续进行进一步简化。通过减少繁琐的流程和环节，提升服务质量。</w:t>
      </w:r>
    </w:p>
    <w:p w14:paraId="21CFA335">
      <w:pPr>
        <w:keepNext w:val="0"/>
        <w:keepLines w:val="0"/>
        <w:pageBreakBefore w:val="0"/>
        <w:widowControl w:val="0"/>
        <w:kinsoku/>
        <w:wordWrap/>
        <w:overflowPunct/>
        <w:topLinePunct w:val="0"/>
        <w:autoSpaceDE/>
        <w:autoSpaceDN/>
        <w:bidi w:val="0"/>
        <w:adjustRightInd/>
        <w:snapToGrid/>
        <w:spacing w:before="156" w:beforeLines="50" w:beforeAutospacing="0" w:afterAutospacing="0" w:line="360" w:lineRule="auto"/>
        <w:ind w:left="0" w:leftChars="0" w:right="0" w:rightChars="0" w:firstLine="0" w:firstLineChars="0"/>
        <w:jc w:val="left"/>
        <w:textAlignment w:val="auto"/>
        <w:outlineLvl w:val="1"/>
        <w:rPr>
          <w:rFonts w:hint="eastAsia" w:ascii="Times New Roman" w:hAnsi="仿宋" w:eastAsia="宋体" w:cs="仿宋"/>
          <w:b/>
          <w:spacing w:val="4"/>
          <w:sz w:val="30"/>
          <w:szCs w:val="32"/>
        </w:rPr>
      </w:pPr>
      <w:bookmarkStart w:id="200" w:name="_Toc18143"/>
      <w:bookmarkStart w:id="201" w:name="_Toc3090"/>
      <w:bookmarkStart w:id="202" w:name="_Toc27904"/>
      <w:bookmarkStart w:id="203" w:name="_Toc17713"/>
      <w:r>
        <w:rPr>
          <w:rFonts w:hint="eastAsia" w:ascii="Times New Roman" w:hAnsi="仿宋" w:eastAsia="宋体" w:cs="仿宋"/>
          <w:b/>
          <w:spacing w:val="4"/>
          <w:sz w:val="30"/>
          <w:szCs w:val="32"/>
          <w:lang w:val="en-US" w:eastAsia="zh-CN"/>
        </w:rPr>
        <w:t>（四）</w:t>
      </w:r>
      <w:r>
        <w:rPr>
          <w:rFonts w:hint="eastAsia" w:ascii="Times New Roman" w:hAnsi="仿宋" w:eastAsia="宋体" w:cs="仿宋"/>
          <w:b/>
          <w:spacing w:val="4"/>
          <w:sz w:val="30"/>
          <w:szCs w:val="32"/>
        </w:rPr>
        <w:t>土地资源紧张和农地租金</w:t>
      </w:r>
      <w:r>
        <w:rPr>
          <w:rFonts w:hint="eastAsia" w:ascii="Times New Roman" w:hAnsi="仿宋" w:eastAsia="宋体" w:cs="仿宋"/>
          <w:b/>
          <w:spacing w:val="4"/>
          <w:sz w:val="30"/>
          <w:szCs w:val="32"/>
          <w:lang w:val="en-US" w:eastAsia="zh-CN"/>
        </w:rPr>
        <w:t>高的</w:t>
      </w:r>
      <w:r>
        <w:rPr>
          <w:rFonts w:hint="eastAsia" w:ascii="Times New Roman" w:hAnsi="仿宋" w:eastAsia="宋体" w:cs="仿宋"/>
          <w:b/>
          <w:spacing w:val="4"/>
          <w:sz w:val="30"/>
          <w:szCs w:val="32"/>
        </w:rPr>
        <w:t>问题亟待解决</w:t>
      </w:r>
      <w:bookmarkEnd w:id="200"/>
    </w:p>
    <w:p w14:paraId="4237DD23">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560" w:firstLineChars="200"/>
        <w:textAlignment w:val="auto"/>
        <w:outlineLvl w:val="1"/>
        <w:rPr>
          <w:rFonts w:hint="eastAsia" w:ascii="Times New Roman" w:hAnsi="仿宋" w:eastAsia="宋体" w:cs="仿宋"/>
          <w:b w:val="0"/>
          <w:bCs w:val="0"/>
          <w:color w:val="auto"/>
          <w:kern w:val="2"/>
          <w:sz w:val="28"/>
          <w:szCs w:val="32"/>
          <w:lang w:val="en-US" w:eastAsia="zh-CN" w:bidi="zh-TW"/>
        </w:rPr>
      </w:pPr>
      <w:bookmarkStart w:id="204" w:name="_Toc1735"/>
      <w:r>
        <w:rPr>
          <w:rFonts w:hint="eastAsia" w:ascii="Times New Roman" w:hAnsi="仿宋" w:eastAsia="宋体" w:cs="仿宋"/>
          <w:b w:val="0"/>
          <w:bCs w:val="0"/>
          <w:color w:val="auto"/>
          <w:kern w:val="2"/>
          <w:sz w:val="28"/>
          <w:szCs w:val="32"/>
          <w:lang w:val="en-US" w:eastAsia="zh-CN" w:bidi="zh-TW"/>
        </w:rPr>
        <w:t>高标准农田建设及管护项目中发现由于农地流转市场不完善，导致土地供需信息存在不对称，使得农民无法获得公平合理的租金。以蚶江镇溪前等5个村2021年高标准农田建设项目为例，部分农民反映，早期土地资源相对充裕，农民租地的成本较低。但随着农地租金逐渐上涨，这使得他们需要支付更高额的租金才能继续使用这些土地，从而给他们带来了巨大的生计压力。</w:t>
      </w:r>
      <w:bookmarkEnd w:id="204"/>
    </w:p>
    <w:p w14:paraId="57958C65">
      <w:pPr>
        <w:keepNext w:val="0"/>
        <w:keepLines w:val="0"/>
        <w:pageBreakBefore w:val="0"/>
        <w:widowControl w:val="0"/>
        <w:kinsoku/>
        <w:wordWrap/>
        <w:overflowPunct/>
        <w:topLinePunct w:val="0"/>
        <w:autoSpaceDE/>
        <w:autoSpaceDN/>
        <w:bidi w:val="0"/>
        <w:adjustRightInd/>
        <w:snapToGrid/>
        <w:spacing w:before="312" w:beforeLines="100" w:beforeAutospacing="0" w:after="156" w:afterLines="50" w:afterAutospacing="0" w:line="360" w:lineRule="auto"/>
        <w:ind w:left="0" w:leftChars="0" w:right="0" w:rightChars="0" w:firstLine="0" w:firstLineChars="0"/>
        <w:jc w:val="left"/>
        <w:textAlignment w:val="auto"/>
        <w:outlineLvl w:val="0"/>
        <w:rPr>
          <w:rFonts w:hint="eastAsia" w:ascii="Times New Roman" w:hAnsi="仿宋" w:eastAsia="宋体" w:cs="仿宋"/>
          <w:b/>
          <w:color w:val="auto"/>
          <w:sz w:val="32"/>
          <w:szCs w:val="32"/>
          <w:lang w:val="en-US" w:eastAsia="zh-CN" w:bidi="zh-TW"/>
        </w:rPr>
      </w:pPr>
      <w:bookmarkStart w:id="205" w:name="_Toc29523"/>
      <w:r>
        <w:rPr>
          <w:rFonts w:hint="eastAsia" w:ascii="Times New Roman" w:hAnsi="仿宋" w:eastAsia="宋体" w:cs="仿宋"/>
          <w:b/>
          <w:bCs/>
          <w:color w:val="auto"/>
          <w:sz w:val="32"/>
          <w:szCs w:val="32"/>
          <w:lang w:val="zh-TW" w:bidi="zh-TW"/>
        </w:rPr>
        <w:t>七、提出</w:t>
      </w:r>
      <w:r>
        <w:rPr>
          <w:rFonts w:hint="eastAsia" w:ascii="Times New Roman" w:hAnsi="仿宋" w:eastAsia="宋体" w:cs="仿宋"/>
          <w:b/>
          <w:bCs/>
          <w:color w:val="auto"/>
          <w:sz w:val="32"/>
          <w:szCs w:val="32"/>
          <w:lang w:val="zh-TW" w:eastAsia="zh-TW" w:bidi="zh-TW"/>
        </w:rPr>
        <w:t>建议</w:t>
      </w:r>
      <w:bookmarkEnd w:id="201"/>
      <w:bookmarkEnd w:id="202"/>
      <w:bookmarkEnd w:id="203"/>
      <w:bookmarkEnd w:id="205"/>
      <w:bookmarkStart w:id="206" w:name="_Toc11719"/>
      <w:bookmarkStart w:id="207" w:name="_Toc24586"/>
      <w:bookmarkStart w:id="208" w:name="_Toc25224"/>
      <w:bookmarkStart w:id="209" w:name="_Toc1206"/>
    </w:p>
    <w:p w14:paraId="7D26A307">
      <w:pPr>
        <w:keepNext w:val="0"/>
        <w:keepLines w:val="0"/>
        <w:pageBreakBefore w:val="0"/>
        <w:widowControl w:val="0"/>
        <w:kinsoku/>
        <w:wordWrap/>
        <w:overflowPunct/>
        <w:topLinePunct w:val="0"/>
        <w:autoSpaceDE/>
        <w:autoSpaceDN/>
        <w:bidi w:val="0"/>
        <w:adjustRightInd/>
        <w:snapToGrid/>
        <w:spacing w:before="156" w:beforeLines="50" w:beforeAutospacing="0" w:afterAutospacing="0" w:line="360" w:lineRule="auto"/>
        <w:ind w:left="0" w:leftChars="0" w:right="0" w:rightChars="0" w:firstLine="0" w:firstLineChars="0"/>
        <w:jc w:val="left"/>
        <w:textAlignment w:val="auto"/>
        <w:outlineLvl w:val="1"/>
        <w:rPr>
          <w:rFonts w:hint="eastAsia" w:ascii="Times New Roman" w:hAnsi="仿宋" w:eastAsia="宋体" w:cs="仿宋"/>
          <w:b/>
          <w:color w:val="auto"/>
          <w:sz w:val="30"/>
          <w:szCs w:val="32"/>
          <w:lang w:val="en-US" w:eastAsia="zh-CN" w:bidi="zh-TW"/>
        </w:rPr>
      </w:pPr>
      <w:bookmarkStart w:id="210" w:name="_Toc26583"/>
      <w:r>
        <w:rPr>
          <w:rFonts w:hint="eastAsia" w:ascii="Times New Roman" w:hAnsi="仿宋" w:eastAsia="宋体" w:cs="仿宋"/>
          <w:b/>
          <w:color w:val="auto"/>
          <w:sz w:val="30"/>
          <w:szCs w:val="32"/>
          <w:lang w:bidi="zh-TW"/>
        </w:rPr>
        <w:t>（</w:t>
      </w:r>
      <w:r>
        <w:rPr>
          <w:rFonts w:hint="eastAsia" w:ascii="Times New Roman" w:hAnsi="仿宋" w:eastAsia="宋体" w:cs="仿宋"/>
          <w:b/>
          <w:color w:val="auto"/>
          <w:sz w:val="30"/>
          <w:szCs w:val="32"/>
          <w:lang w:val="en-US" w:eastAsia="zh-CN" w:bidi="zh-TW"/>
        </w:rPr>
        <w:t>一</w:t>
      </w:r>
      <w:r>
        <w:rPr>
          <w:rFonts w:hint="eastAsia" w:ascii="Times New Roman" w:hAnsi="仿宋" w:eastAsia="宋体" w:cs="仿宋"/>
          <w:b/>
          <w:color w:val="auto"/>
          <w:sz w:val="30"/>
          <w:szCs w:val="32"/>
          <w:lang w:bidi="zh-TW"/>
        </w:rPr>
        <w:t>）</w:t>
      </w:r>
      <w:r>
        <w:rPr>
          <w:rFonts w:hint="eastAsia" w:ascii="Times New Roman" w:hAnsi="仿宋" w:eastAsia="宋体" w:cs="仿宋"/>
          <w:b/>
          <w:color w:val="auto"/>
          <w:sz w:val="30"/>
          <w:szCs w:val="32"/>
          <w:lang w:val="en-US" w:eastAsia="zh-CN" w:bidi="zh-TW"/>
        </w:rPr>
        <w:t>建立健全专项资金管理制度</w:t>
      </w:r>
      <w:bookmarkEnd w:id="210"/>
    </w:p>
    <w:p w14:paraId="642350E8">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560" w:firstLineChars="200"/>
        <w:textAlignment w:val="auto"/>
        <w:outlineLvl w:val="1"/>
        <w:rPr>
          <w:rFonts w:hint="eastAsia" w:ascii="Times New Roman" w:hAnsi="仿宋" w:eastAsia="宋体" w:cs="仿宋"/>
          <w:b w:val="0"/>
          <w:bCs w:val="0"/>
          <w:color w:val="auto"/>
          <w:kern w:val="2"/>
          <w:sz w:val="28"/>
          <w:szCs w:val="32"/>
          <w:lang w:val="en-US" w:eastAsia="zh-CN" w:bidi="zh-TW"/>
        </w:rPr>
      </w:pPr>
      <w:bookmarkStart w:id="211" w:name="_Toc24324"/>
      <w:r>
        <w:rPr>
          <w:rFonts w:hint="eastAsia" w:ascii="Times New Roman" w:hAnsi="仿宋" w:eastAsia="宋体" w:cs="仿宋"/>
          <w:b w:val="0"/>
          <w:bCs w:val="0"/>
          <w:color w:val="auto"/>
          <w:kern w:val="2"/>
          <w:sz w:val="28"/>
          <w:szCs w:val="32"/>
          <w:lang w:val="en-US" w:eastAsia="zh-CN" w:bidi="zh-TW"/>
        </w:rPr>
        <w:t>建议建立健全石狮市农业农村局专项资金管理制度的监督和评估机制，明确各项目的名称、内容、预期产出和效益等具体要求，以便于在实际操作过程中更好地掌握各项目的情况和目标。并定期对各项制度进行检查和修订，确保其适应农业农村局的发展需要。</w:t>
      </w:r>
      <w:bookmarkEnd w:id="211"/>
    </w:p>
    <w:p w14:paraId="74EABA9D">
      <w:pPr>
        <w:keepNext w:val="0"/>
        <w:keepLines w:val="0"/>
        <w:pageBreakBefore w:val="0"/>
        <w:widowControl w:val="0"/>
        <w:kinsoku/>
        <w:wordWrap/>
        <w:overflowPunct/>
        <w:topLinePunct w:val="0"/>
        <w:autoSpaceDE/>
        <w:autoSpaceDN/>
        <w:bidi w:val="0"/>
        <w:adjustRightInd/>
        <w:snapToGrid/>
        <w:spacing w:before="156" w:beforeLines="50" w:beforeAutospacing="0" w:afterAutospacing="0" w:line="360" w:lineRule="auto"/>
        <w:ind w:left="0" w:leftChars="0" w:right="0" w:rightChars="0" w:firstLine="0" w:firstLineChars="0"/>
        <w:jc w:val="left"/>
        <w:textAlignment w:val="auto"/>
        <w:outlineLvl w:val="1"/>
        <w:rPr>
          <w:rFonts w:hint="eastAsia" w:ascii="Times New Roman" w:hAnsi="仿宋" w:eastAsia="宋体" w:cs="仿宋"/>
          <w:b/>
          <w:color w:val="auto"/>
          <w:sz w:val="30"/>
          <w:szCs w:val="32"/>
          <w:lang w:bidi="zh-TW"/>
        </w:rPr>
      </w:pPr>
      <w:bookmarkStart w:id="212" w:name="_Toc12734"/>
      <w:r>
        <w:rPr>
          <w:rFonts w:hint="eastAsia" w:ascii="Times New Roman" w:hAnsi="仿宋" w:eastAsia="宋体" w:cs="仿宋"/>
          <w:b/>
          <w:bCs/>
          <w:color w:val="auto"/>
          <w:kern w:val="2"/>
          <w:sz w:val="30"/>
          <w:szCs w:val="32"/>
          <w:lang w:val="en-US" w:eastAsia="zh-CN" w:bidi="zh-TW"/>
        </w:rPr>
        <w:t>（二）</w:t>
      </w:r>
      <w:r>
        <w:rPr>
          <w:rFonts w:hint="eastAsia" w:ascii="Times New Roman" w:hAnsi="仿宋" w:eastAsia="宋体" w:cs="仿宋"/>
          <w:b/>
          <w:color w:val="auto"/>
          <w:sz w:val="30"/>
          <w:szCs w:val="32"/>
          <w:lang w:bidi="zh-TW"/>
        </w:rPr>
        <w:t>强化政策支持，</w:t>
      </w:r>
      <w:bookmarkEnd w:id="206"/>
      <w:r>
        <w:rPr>
          <w:rFonts w:hint="eastAsia" w:ascii="Times New Roman" w:hAnsi="仿宋" w:eastAsia="宋体" w:cs="仿宋"/>
          <w:b/>
          <w:color w:val="auto"/>
          <w:sz w:val="30"/>
          <w:szCs w:val="32"/>
          <w:lang w:bidi="zh-TW"/>
        </w:rPr>
        <w:t>提高整个农产品产业的附加值</w:t>
      </w:r>
      <w:bookmarkEnd w:id="212"/>
    </w:p>
    <w:bookmarkEnd w:id="207"/>
    <w:bookmarkEnd w:id="208"/>
    <w:bookmarkEnd w:id="209"/>
    <w:p w14:paraId="2E78D67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0" w:firstLineChars="200"/>
        <w:textAlignment w:val="auto"/>
        <w:outlineLvl w:val="1"/>
        <w:rPr>
          <w:rFonts w:hint="eastAsia" w:ascii="Times New Roman" w:hAnsi="仿宋" w:eastAsia="宋体" w:cs="仿宋"/>
          <w:color w:val="auto"/>
          <w:sz w:val="28"/>
          <w:szCs w:val="32"/>
          <w:lang w:eastAsia="zh-CN" w:bidi="zh-TW"/>
        </w:rPr>
      </w:pPr>
      <w:bookmarkStart w:id="213" w:name="_Toc11649"/>
      <w:r>
        <w:rPr>
          <w:rFonts w:hint="eastAsia" w:ascii="Times New Roman" w:hAnsi="仿宋" w:eastAsia="宋体" w:cs="仿宋"/>
          <w:color w:val="auto"/>
          <w:sz w:val="28"/>
          <w:szCs w:val="32"/>
          <w:lang w:bidi="zh-TW"/>
        </w:rPr>
        <w:t>为了解决农产品附加值不高的问题，需要农业龙头企业发挥带动作用，提升精深加工能力</w:t>
      </w:r>
      <w:r>
        <w:rPr>
          <w:rFonts w:hint="eastAsia" w:ascii="Times New Roman" w:hAnsi="仿宋" w:eastAsia="宋体" w:cs="仿宋"/>
          <w:color w:val="auto"/>
          <w:sz w:val="28"/>
          <w:szCs w:val="32"/>
          <w:lang w:eastAsia="zh-CN" w:bidi="zh-TW"/>
        </w:rPr>
        <w:t>。建议出台相关政策和措施，给予龙头企业资金支持和税收优惠</w:t>
      </w:r>
      <w:r>
        <w:rPr>
          <w:rFonts w:hint="eastAsia" w:ascii="Times New Roman" w:hAnsi="仿宋" w:eastAsia="宋体" w:cs="仿宋"/>
          <w:color w:val="auto"/>
          <w:sz w:val="28"/>
          <w:szCs w:val="32"/>
          <w:lang w:bidi="zh-TW"/>
        </w:rPr>
        <w:t>，鼓励进行技术创新和设备更新</w:t>
      </w:r>
      <w:r>
        <w:rPr>
          <w:rFonts w:hint="eastAsia" w:ascii="Times New Roman" w:hAnsi="仿宋" w:eastAsia="宋体" w:cs="仿宋"/>
          <w:color w:val="auto"/>
          <w:sz w:val="28"/>
          <w:szCs w:val="32"/>
          <w:lang w:eastAsia="zh-CN" w:bidi="zh-TW"/>
        </w:rPr>
        <w:t>。通过</w:t>
      </w:r>
      <w:r>
        <w:rPr>
          <w:rFonts w:hint="eastAsia" w:ascii="Times New Roman" w:hAnsi="仿宋" w:eastAsia="宋体" w:cs="仿宋"/>
          <w:color w:val="auto"/>
          <w:sz w:val="28"/>
          <w:szCs w:val="32"/>
          <w:lang w:bidi="zh-TW"/>
        </w:rPr>
        <w:t>将不同种类的农产品进行融合开发。例如，在果蔬种植基地中引入养殖或水产养殖项目，在畜牧养殖基地中引入果蔬种植项目，实现农产品的多元化发展</w:t>
      </w:r>
      <w:r>
        <w:rPr>
          <w:rFonts w:hint="eastAsia" w:ascii="Times New Roman" w:hAnsi="仿宋" w:eastAsia="宋体" w:cs="仿宋"/>
          <w:color w:val="auto"/>
          <w:sz w:val="28"/>
          <w:szCs w:val="32"/>
          <w:lang w:eastAsia="zh-CN" w:bidi="zh-TW"/>
        </w:rPr>
        <w:t>。</w:t>
      </w:r>
      <w:bookmarkEnd w:id="213"/>
    </w:p>
    <w:p w14:paraId="1A8FF503">
      <w:pPr>
        <w:keepNext w:val="0"/>
        <w:keepLines w:val="0"/>
        <w:pageBreakBefore w:val="0"/>
        <w:widowControl w:val="0"/>
        <w:numPr>
          <w:ilvl w:val="0"/>
          <w:numId w:val="0"/>
        </w:numPr>
        <w:kinsoku/>
        <w:wordWrap/>
        <w:overflowPunct/>
        <w:topLinePunct w:val="0"/>
        <w:autoSpaceDE/>
        <w:autoSpaceDN/>
        <w:bidi w:val="0"/>
        <w:adjustRightInd/>
        <w:snapToGrid/>
        <w:spacing w:before="156" w:beforeLines="50" w:beforeAutospacing="0" w:afterAutospacing="0" w:line="360" w:lineRule="auto"/>
        <w:ind w:left="0" w:leftChars="0" w:right="0" w:rightChars="0" w:firstLine="0" w:firstLineChars="0"/>
        <w:jc w:val="left"/>
        <w:textAlignment w:val="auto"/>
        <w:outlineLvl w:val="1"/>
        <w:rPr>
          <w:rFonts w:hint="eastAsia" w:ascii="Times New Roman" w:hAnsi="仿宋" w:eastAsia="宋体" w:cs="仿宋"/>
          <w:b/>
          <w:bCs/>
          <w:color w:val="auto"/>
          <w:kern w:val="2"/>
          <w:sz w:val="30"/>
          <w:szCs w:val="32"/>
          <w:lang w:val="en-US" w:eastAsia="zh-CN" w:bidi="zh-TW"/>
        </w:rPr>
      </w:pPr>
      <w:bookmarkStart w:id="214" w:name="_Toc18516"/>
      <w:r>
        <w:rPr>
          <w:rFonts w:hint="eastAsia" w:ascii="Times New Roman" w:hAnsi="仿宋" w:eastAsia="宋体" w:cs="仿宋"/>
          <w:b/>
          <w:bCs/>
          <w:color w:val="auto"/>
          <w:kern w:val="2"/>
          <w:sz w:val="30"/>
          <w:szCs w:val="32"/>
          <w:lang w:val="en-US" w:eastAsia="zh-CN" w:bidi="zh-TW"/>
        </w:rPr>
        <w:t>（三）简化投保程序和手续</w:t>
      </w:r>
      <w:bookmarkEnd w:id="214"/>
    </w:p>
    <w:p w14:paraId="211EA4CB">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560" w:firstLineChars="200"/>
        <w:textAlignment w:val="auto"/>
        <w:outlineLvl w:val="1"/>
        <w:rPr>
          <w:rFonts w:hint="eastAsia" w:ascii="Times New Roman" w:hAnsi="仿宋" w:eastAsia="宋体" w:cs="仿宋"/>
          <w:b w:val="0"/>
          <w:bCs w:val="0"/>
          <w:color w:val="auto"/>
          <w:kern w:val="2"/>
          <w:sz w:val="28"/>
          <w:szCs w:val="32"/>
          <w:lang w:val="en-US" w:eastAsia="zh-CN" w:bidi="zh-TW"/>
        </w:rPr>
      </w:pPr>
      <w:bookmarkStart w:id="215" w:name="_Toc20408"/>
      <w:r>
        <w:rPr>
          <w:rFonts w:hint="eastAsia" w:ascii="Times New Roman" w:hAnsi="仿宋" w:eastAsia="宋体" w:cs="仿宋"/>
          <w:b w:val="0"/>
          <w:bCs w:val="0"/>
          <w:color w:val="auto"/>
          <w:kern w:val="2"/>
          <w:sz w:val="28"/>
          <w:szCs w:val="32"/>
          <w:lang w:val="en-US" w:eastAsia="zh-CN" w:bidi="zh-TW"/>
        </w:rPr>
        <w:t>在面对渔业承保验标程序繁琐的问题时，建议石狮市农业农村局能够与保险公司联系沟通，并多了解渔船情况。尽量简化投保程序和手续，从而提高服务质量和资金效率。同时，共同推进建立合适的赔偿机制和额度，以解决赔偿金额，提升整体的投保体验。</w:t>
      </w:r>
      <w:bookmarkEnd w:id="215"/>
    </w:p>
    <w:p w14:paraId="0F069515">
      <w:pPr>
        <w:pStyle w:val="2"/>
        <w:keepNext w:val="0"/>
        <w:keepLines w:val="0"/>
        <w:pageBreakBefore w:val="0"/>
        <w:widowControl w:val="0"/>
        <w:kinsoku/>
        <w:wordWrap/>
        <w:overflowPunct/>
        <w:topLinePunct w:val="0"/>
        <w:autoSpaceDE/>
        <w:autoSpaceDN/>
        <w:bidi w:val="0"/>
        <w:adjustRightInd/>
        <w:snapToGrid/>
        <w:spacing w:before="156" w:beforeLines="50" w:beforeAutospacing="0" w:afterAutospacing="0" w:line="360" w:lineRule="auto"/>
        <w:ind w:left="0" w:leftChars="0" w:right="0" w:rightChars="0" w:firstLine="0" w:firstLineChars="0"/>
        <w:jc w:val="left"/>
        <w:textAlignment w:val="auto"/>
        <w:outlineLvl w:val="1"/>
        <w:rPr>
          <w:rFonts w:hint="eastAsia" w:ascii="Times New Roman" w:hAnsi="仿宋" w:eastAsia="宋体" w:cs="仿宋"/>
          <w:b/>
          <w:bCs w:val="0"/>
          <w:color w:val="auto"/>
          <w:kern w:val="2"/>
          <w:sz w:val="30"/>
          <w:szCs w:val="32"/>
          <w:lang w:val="en-US" w:eastAsia="zh-CN" w:bidi="zh-TW"/>
        </w:rPr>
      </w:pPr>
      <w:bookmarkStart w:id="216" w:name="_Toc27485"/>
      <w:r>
        <w:rPr>
          <w:rFonts w:hint="eastAsia" w:ascii="Times New Roman" w:hAnsi="仿宋" w:eastAsia="宋体" w:cs="仿宋"/>
          <w:b/>
          <w:bCs/>
          <w:color w:val="auto"/>
          <w:kern w:val="2"/>
          <w:sz w:val="30"/>
          <w:szCs w:val="32"/>
          <w:lang w:val="en-US" w:eastAsia="zh-CN" w:bidi="zh-TW"/>
        </w:rPr>
        <w:t>（四）优化土地资源配置，提高土地利用效率</w:t>
      </w:r>
      <w:bookmarkEnd w:id="216"/>
    </w:p>
    <w:p w14:paraId="2B55534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0" w:firstLineChars="200"/>
        <w:textAlignment w:val="auto"/>
        <w:outlineLvl w:val="1"/>
        <w:rPr>
          <w:rFonts w:hint="eastAsia" w:ascii="Times New Roman" w:hAnsi="仿宋" w:eastAsia="宋体" w:cs="仿宋"/>
          <w:b w:val="0"/>
          <w:bCs w:val="0"/>
          <w:color w:val="auto"/>
          <w:kern w:val="2"/>
          <w:sz w:val="28"/>
          <w:szCs w:val="32"/>
          <w:lang w:val="en-US" w:eastAsia="zh-CN" w:bidi="zh-TW"/>
        </w:rPr>
      </w:pPr>
      <w:bookmarkStart w:id="217" w:name="_Toc5803"/>
      <w:r>
        <w:rPr>
          <w:rFonts w:hint="eastAsia" w:ascii="Times New Roman" w:hAnsi="仿宋" w:eastAsia="宋体" w:cs="仿宋"/>
          <w:b w:val="0"/>
          <w:bCs w:val="0"/>
          <w:color w:val="auto"/>
          <w:kern w:val="2"/>
          <w:sz w:val="28"/>
          <w:szCs w:val="32"/>
          <w:lang w:val="en-US" w:eastAsia="zh-CN" w:bidi="zh-TW"/>
        </w:rPr>
        <w:t>为了解决土地资源紧张和农地租金上涨问题，建议一是通过合理规划和管理土地资源，确保农民有足够的土地可供耕种。并探索建立租金补贴机制，降低土地租赁成本，减轻农民的租金负担。二是发展现代农业技术，通过引进先进的农业技术和设备，提高土地利用效率和产量水平，降低生产成本，增加农民的收入来源。</w:t>
      </w:r>
      <w:bookmarkEnd w:id="217"/>
    </w:p>
    <w:p w14:paraId="3DFBD36F">
      <w:pPr>
        <w:keepNext w:val="0"/>
        <w:keepLines w:val="0"/>
        <w:pageBreakBefore w:val="0"/>
        <w:widowControl w:val="0"/>
        <w:kinsoku/>
        <w:wordWrap/>
        <w:overflowPunct/>
        <w:topLinePunct w:val="0"/>
        <w:autoSpaceDE/>
        <w:autoSpaceDN/>
        <w:bidi w:val="0"/>
        <w:adjustRightInd/>
        <w:snapToGrid/>
        <w:spacing w:before="312" w:beforeLines="100" w:beforeAutospacing="0" w:after="156" w:afterLines="50" w:afterAutospacing="0" w:line="360" w:lineRule="auto"/>
        <w:ind w:left="0" w:leftChars="0" w:right="0" w:rightChars="0" w:firstLine="0" w:firstLineChars="0"/>
        <w:jc w:val="left"/>
        <w:textAlignment w:val="auto"/>
        <w:outlineLvl w:val="0"/>
        <w:rPr>
          <w:rFonts w:hint="eastAsia" w:ascii="Times New Roman" w:hAnsi="仿宋" w:eastAsia="宋体" w:cs="仿宋"/>
          <w:b/>
          <w:color w:val="auto"/>
          <w:sz w:val="32"/>
          <w:szCs w:val="32"/>
          <w:lang w:bidi="zh-TW"/>
        </w:rPr>
      </w:pPr>
      <w:bookmarkStart w:id="218" w:name="_Toc7933"/>
      <w:r>
        <w:rPr>
          <w:rFonts w:hint="eastAsia" w:ascii="Times New Roman" w:hAnsi="仿宋" w:eastAsia="宋体" w:cs="仿宋"/>
          <w:b/>
          <w:color w:val="auto"/>
          <w:spacing w:val="4"/>
          <w:sz w:val="32"/>
          <w:szCs w:val="32"/>
        </w:rPr>
        <w:t>八、其他需要说明的问题</w:t>
      </w:r>
      <w:bookmarkEnd w:id="194"/>
      <w:bookmarkEnd w:id="195"/>
      <w:bookmarkEnd w:id="218"/>
    </w:p>
    <w:p w14:paraId="09095CAA">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76" w:firstLineChars="200"/>
        <w:textAlignment w:val="auto"/>
        <w:rPr>
          <w:rFonts w:hint="eastAsia" w:ascii="Times New Roman" w:hAnsi="仿宋" w:eastAsia="宋体" w:cs="仿宋"/>
          <w:spacing w:val="4"/>
          <w:sz w:val="28"/>
          <w:szCs w:val="32"/>
        </w:rPr>
      </w:pPr>
      <w:r>
        <w:rPr>
          <w:rFonts w:hint="eastAsia" w:ascii="Times New Roman" w:hAnsi="仿宋" w:eastAsia="宋体" w:cs="仿宋"/>
          <w:spacing w:val="4"/>
          <w:sz w:val="28"/>
          <w:szCs w:val="32"/>
        </w:rPr>
        <w:t>本报告中“2022年度石狮市农业农村局部门整体支出”相关数据，均以项目单位提供的项目支出明细账、财务报表为来源依据。</w:t>
      </w:r>
    </w:p>
    <w:p w14:paraId="6BD1638B">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0"/>
        <w:textAlignment w:val="auto"/>
        <w:rPr>
          <w:rFonts w:hint="eastAsia" w:ascii="Times New Roman" w:hAnsi="仿宋" w:eastAsia="宋体" w:cs="仿宋"/>
          <w:spacing w:val="4"/>
          <w:sz w:val="28"/>
          <w:szCs w:val="32"/>
        </w:rPr>
      </w:pPr>
    </w:p>
    <w:p w14:paraId="242E22C5">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0"/>
        <w:jc w:val="right"/>
        <w:textAlignment w:val="auto"/>
        <w:rPr>
          <w:rFonts w:hint="eastAsia" w:ascii="Times New Roman" w:hAnsi="仿宋" w:eastAsia="宋体" w:cs="仿宋"/>
          <w:spacing w:val="4"/>
          <w:sz w:val="28"/>
          <w:szCs w:val="32"/>
        </w:rPr>
      </w:pPr>
    </w:p>
    <w:p w14:paraId="587E2ED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0"/>
        <w:jc w:val="right"/>
        <w:textAlignment w:val="auto"/>
        <w:rPr>
          <w:rFonts w:hint="eastAsia" w:ascii="Times New Roman" w:hAnsi="仿宋" w:eastAsia="宋体" w:cs="仿宋"/>
          <w:spacing w:val="4"/>
          <w:sz w:val="28"/>
          <w:szCs w:val="32"/>
        </w:rPr>
      </w:pPr>
    </w:p>
    <w:p w14:paraId="6CA2442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0"/>
        <w:jc w:val="right"/>
        <w:textAlignment w:val="auto"/>
        <w:rPr>
          <w:rFonts w:hint="eastAsia" w:ascii="Times New Roman" w:hAnsi="仿宋" w:eastAsia="宋体" w:cs="仿宋"/>
          <w:spacing w:val="4"/>
          <w:sz w:val="28"/>
          <w:szCs w:val="32"/>
        </w:rPr>
      </w:pPr>
      <w:r>
        <w:rPr>
          <w:rFonts w:hint="eastAsia" w:ascii="Times New Roman" w:hAnsi="仿宋" w:eastAsia="宋体" w:cs="仿宋"/>
          <w:spacing w:val="4"/>
          <w:sz w:val="28"/>
          <w:szCs w:val="32"/>
        </w:rPr>
        <w:t>泉州市启程财务咨询有限公司</w:t>
      </w:r>
    </w:p>
    <w:p w14:paraId="6E7B39A5">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76" w:firstLineChars="200"/>
        <w:jc w:val="center"/>
        <w:textAlignment w:val="auto"/>
        <w:rPr>
          <w:rFonts w:ascii="Times New Roman" w:hAnsi="宋体" w:eastAsia="宋体" w:cs="宋体"/>
          <w:sz w:val="28"/>
          <w:szCs w:val="28"/>
        </w:rPr>
      </w:pPr>
      <w:r>
        <w:rPr>
          <w:rFonts w:hint="eastAsia" w:ascii="Times New Roman" w:hAnsi="仿宋" w:cs="仿宋"/>
          <w:spacing w:val="4"/>
          <w:sz w:val="28"/>
          <w:szCs w:val="32"/>
          <w:lang w:val="en-US" w:eastAsia="zh-CN"/>
        </w:rPr>
        <w:t xml:space="preserve">                              </w:t>
      </w:r>
      <w:r>
        <w:rPr>
          <w:rFonts w:hint="eastAsia" w:ascii="Times New Roman" w:hAnsi="仿宋" w:eastAsia="宋体" w:cs="仿宋"/>
          <w:spacing w:val="4"/>
          <w:sz w:val="28"/>
          <w:szCs w:val="32"/>
        </w:rPr>
        <w:t>2023年6月20日</w:t>
      </w:r>
    </w:p>
    <w:p w14:paraId="7FB6B82B">
      <w:pPr>
        <w:pStyle w:val="2"/>
        <w:snapToGrid/>
        <w:spacing w:beforeAutospacing="0" w:afterAutospacing="0" w:line="360" w:lineRule="auto"/>
        <w:ind w:left="0" w:leftChars="0" w:firstLine="0"/>
        <w:rPr>
          <w:rFonts w:ascii="Times New Roman" w:eastAsia="宋体"/>
          <w:sz w:val="28"/>
        </w:rPr>
      </w:pPr>
    </w:p>
    <w:p w14:paraId="5ED692E7">
      <w:pPr>
        <w:pStyle w:val="18"/>
        <w:snapToGrid/>
        <w:spacing w:beforeAutospacing="0" w:afterAutospacing="0" w:line="360" w:lineRule="auto"/>
        <w:ind w:left="0" w:leftChars="0" w:firstLine="560" w:firstLineChars="200"/>
        <w:rPr>
          <w:rFonts w:ascii="Times New Roman" w:eastAsia="宋体"/>
          <w:sz w:val="28"/>
        </w:rPr>
      </w:pPr>
    </w:p>
    <w:p w14:paraId="3D778435">
      <w:pPr>
        <w:snapToGrid/>
        <w:spacing w:beforeAutospacing="0" w:afterAutospacing="0" w:line="360" w:lineRule="auto"/>
        <w:ind w:left="0" w:leftChars="0" w:firstLine="0"/>
        <w:rPr>
          <w:rFonts w:hint="eastAsia" w:ascii="Times New Roman" w:eastAsia="宋体"/>
          <w:sz w:val="28"/>
          <w:szCs w:val="28"/>
        </w:rPr>
      </w:pPr>
    </w:p>
    <w:p w14:paraId="1B7F164F">
      <w:pPr>
        <w:pStyle w:val="2"/>
        <w:snapToGrid/>
        <w:spacing w:beforeAutospacing="0" w:afterAutospacing="0" w:line="360" w:lineRule="auto"/>
        <w:ind w:left="0" w:leftChars="0" w:firstLine="0"/>
        <w:rPr>
          <w:rFonts w:hint="eastAsia" w:ascii="Times New Roman" w:eastAsia="宋体"/>
          <w:sz w:val="28"/>
          <w:szCs w:val="28"/>
        </w:rPr>
      </w:pPr>
    </w:p>
    <w:p w14:paraId="170A18D4">
      <w:pPr>
        <w:pStyle w:val="3"/>
        <w:snapToGrid/>
        <w:spacing w:beforeAutospacing="0" w:afterAutospacing="0" w:line="360" w:lineRule="auto"/>
        <w:ind w:left="0" w:leftChars="0" w:firstLine="0"/>
        <w:rPr>
          <w:rFonts w:hint="eastAsia" w:ascii="Times New Roman" w:eastAsia="宋体"/>
          <w:sz w:val="28"/>
          <w:szCs w:val="28"/>
        </w:rPr>
      </w:pPr>
    </w:p>
    <w:p w14:paraId="0A440802">
      <w:pPr>
        <w:pStyle w:val="3"/>
        <w:snapToGrid/>
        <w:spacing w:beforeAutospacing="0" w:afterAutospacing="0" w:line="360" w:lineRule="auto"/>
        <w:ind w:left="0" w:leftChars="0" w:firstLine="0"/>
        <w:rPr>
          <w:rFonts w:hint="eastAsia" w:ascii="Times New Roman" w:eastAsia="宋体"/>
          <w:sz w:val="28"/>
          <w:szCs w:val="28"/>
        </w:rPr>
      </w:pPr>
    </w:p>
    <w:p w14:paraId="3FA1524F">
      <w:pPr>
        <w:snapToGrid/>
        <w:spacing w:beforeAutospacing="0" w:afterAutospacing="0" w:line="360" w:lineRule="auto"/>
        <w:ind w:left="0" w:leftChars="0" w:firstLine="0"/>
        <w:rPr>
          <w:rFonts w:ascii="Times New Roman" w:eastAsia="宋体"/>
          <w:sz w:val="28"/>
          <w:szCs w:val="28"/>
        </w:rPr>
      </w:pPr>
      <w:r>
        <w:rPr>
          <w:rFonts w:hint="eastAsia" w:ascii="Times New Roman" w:eastAsia="宋体"/>
          <w:sz w:val="28"/>
          <w:szCs w:val="28"/>
        </w:rPr>
        <w:t>附件一：</w:t>
      </w:r>
    </w:p>
    <w:p w14:paraId="1A16BABA">
      <w:pPr>
        <w:snapToGrid/>
        <w:spacing w:beforeAutospacing="0" w:afterAutospacing="0" w:line="360" w:lineRule="auto"/>
        <w:ind w:left="0" w:leftChars="0" w:firstLine="0"/>
        <w:jc w:val="center"/>
        <w:outlineLvl w:val="0"/>
        <w:rPr>
          <w:rFonts w:ascii="Times New Roman" w:eastAsia="宋体"/>
          <w:b/>
          <w:sz w:val="28"/>
          <w:szCs w:val="36"/>
        </w:rPr>
      </w:pPr>
      <w:bookmarkStart w:id="219" w:name="_Toc27630"/>
      <w:bookmarkStart w:id="220" w:name="_Toc6278"/>
      <w:bookmarkStart w:id="221" w:name="_Toc4002"/>
      <w:r>
        <w:rPr>
          <w:rFonts w:hint="eastAsia" w:ascii="Times New Roman" w:eastAsia="宋体"/>
          <w:b/>
          <w:sz w:val="28"/>
          <w:szCs w:val="36"/>
        </w:rPr>
        <w:t>石狮市农业农村局部门整体支出</w:t>
      </w:r>
      <w:bookmarkEnd w:id="219"/>
      <w:bookmarkEnd w:id="220"/>
      <w:bookmarkEnd w:id="221"/>
    </w:p>
    <w:p w14:paraId="08717B64">
      <w:pPr>
        <w:snapToGrid/>
        <w:spacing w:beforeAutospacing="0" w:afterAutospacing="0" w:line="360" w:lineRule="auto"/>
        <w:ind w:left="0" w:leftChars="0" w:firstLine="0"/>
        <w:jc w:val="center"/>
        <w:rPr>
          <w:rFonts w:ascii="Times New Roman" w:eastAsia="宋体"/>
          <w:b/>
          <w:sz w:val="28"/>
          <w:szCs w:val="36"/>
        </w:rPr>
      </w:pPr>
      <w:r>
        <w:rPr>
          <w:rFonts w:hint="eastAsia" w:ascii="Times New Roman" w:eastAsia="宋体"/>
          <w:b/>
          <w:sz w:val="28"/>
          <w:szCs w:val="36"/>
        </w:rPr>
        <w:t>满意度调查问卷</w:t>
      </w:r>
    </w:p>
    <w:p w14:paraId="0F6514BC">
      <w:pPr>
        <w:snapToGrid/>
        <w:spacing w:beforeAutospacing="0" w:afterAutospacing="0" w:line="360" w:lineRule="auto"/>
        <w:ind w:left="0" w:leftChars="0" w:firstLine="0"/>
        <w:rPr>
          <w:rFonts w:hint="eastAsia" w:ascii="Times New Roman" w:hAnsi="仿宋" w:eastAsia="宋体" w:cs="仿宋"/>
          <w:sz w:val="28"/>
          <w:szCs w:val="32"/>
        </w:rPr>
      </w:pPr>
      <w:r>
        <w:rPr>
          <w:rFonts w:hint="eastAsia" w:ascii="Times New Roman" w:hAnsi="仿宋" w:eastAsia="宋体" w:cs="仿宋"/>
          <w:sz w:val="28"/>
          <w:szCs w:val="32"/>
        </w:rPr>
        <w:t>尊敬的填表人：</w:t>
      </w:r>
    </w:p>
    <w:p w14:paraId="6DBF1A56">
      <w:pPr>
        <w:snapToGrid/>
        <w:spacing w:beforeAutospacing="0" w:afterAutospacing="0" w:line="360" w:lineRule="auto"/>
        <w:ind w:left="0" w:leftChars="0" w:firstLine="560" w:firstLineChars="200"/>
        <w:rPr>
          <w:rFonts w:hint="eastAsia" w:ascii="Times New Roman" w:hAnsi="仿宋" w:eastAsia="宋体" w:cs="仿宋"/>
          <w:sz w:val="28"/>
          <w:szCs w:val="32"/>
        </w:rPr>
      </w:pPr>
      <w:r>
        <w:rPr>
          <w:rFonts w:hint="eastAsia" w:ascii="Times New Roman" w:hAnsi="仿宋" w:eastAsia="宋体" w:cs="仿宋"/>
          <w:sz w:val="28"/>
          <w:szCs w:val="32"/>
        </w:rPr>
        <w:t>我们接受石狮市财政局委托，正在对石狮市农业农村局部门整体支出进行绩效评价。为了充分了解部门整体支出的产出效益，现需进行该项目满意度调查，敬请配合，不胜感谢！</w:t>
      </w:r>
    </w:p>
    <w:p w14:paraId="50DA0637">
      <w:pPr>
        <w:snapToGrid/>
        <w:spacing w:beforeAutospacing="0" w:afterAutospacing="0" w:line="360" w:lineRule="auto"/>
        <w:ind w:left="0" w:leftChars="0" w:firstLine="560" w:firstLineChars="200"/>
        <w:rPr>
          <w:rFonts w:hint="eastAsia" w:ascii="Times New Roman" w:hAnsi="仿宋" w:eastAsia="宋体" w:cs="仿宋"/>
          <w:sz w:val="28"/>
          <w:szCs w:val="32"/>
        </w:rPr>
      </w:pPr>
      <w:r>
        <w:rPr>
          <w:rFonts w:hint="eastAsia" w:ascii="Times New Roman" w:hAnsi="仿宋" w:eastAsia="宋体" w:cs="仿宋"/>
          <w:sz w:val="28"/>
          <w:szCs w:val="32"/>
        </w:rPr>
        <w:t>致礼！</w:t>
      </w:r>
    </w:p>
    <w:p w14:paraId="5FC7EA96">
      <w:pPr>
        <w:snapToGrid/>
        <w:spacing w:beforeAutospacing="0" w:afterAutospacing="0" w:line="360" w:lineRule="auto"/>
        <w:ind w:left="0" w:leftChars="0" w:firstLine="560" w:firstLineChars="200"/>
        <w:rPr>
          <w:rFonts w:hint="eastAsia" w:ascii="Times New Roman" w:hAnsi="仿宋" w:eastAsia="宋体" w:cs="仿宋"/>
          <w:sz w:val="28"/>
          <w:szCs w:val="32"/>
        </w:rPr>
      </w:pPr>
    </w:p>
    <w:p w14:paraId="1D89B433">
      <w:pPr>
        <w:snapToGrid/>
        <w:spacing w:beforeAutospacing="0" w:afterAutospacing="0" w:line="360" w:lineRule="auto"/>
        <w:ind w:left="0" w:leftChars="0" w:firstLine="4480" w:firstLineChars="1600"/>
        <w:rPr>
          <w:rFonts w:hint="eastAsia" w:ascii="Times New Roman" w:hAnsi="仿宋" w:eastAsia="宋体" w:cs="仿宋"/>
          <w:sz w:val="28"/>
          <w:szCs w:val="32"/>
        </w:rPr>
      </w:pPr>
    </w:p>
    <w:p w14:paraId="226D76B7">
      <w:pPr>
        <w:snapToGrid/>
        <w:spacing w:beforeAutospacing="0" w:afterAutospacing="0" w:line="360" w:lineRule="auto"/>
        <w:ind w:left="0" w:leftChars="0" w:firstLine="4480" w:firstLineChars="1600"/>
        <w:rPr>
          <w:rFonts w:hint="eastAsia" w:ascii="Times New Roman" w:hAnsi="仿宋" w:eastAsia="宋体" w:cs="仿宋"/>
          <w:sz w:val="28"/>
          <w:szCs w:val="32"/>
        </w:rPr>
      </w:pPr>
      <w:r>
        <w:rPr>
          <w:rFonts w:hint="eastAsia" w:ascii="Times New Roman" w:hAnsi="仿宋" w:eastAsia="宋体" w:cs="仿宋"/>
          <w:sz w:val="28"/>
          <w:szCs w:val="32"/>
        </w:rPr>
        <w:t>泉州市启程财务咨询有限公司</w:t>
      </w:r>
    </w:p>
    <w:p w14:paraId="782E1C34">
      <w:pPr>
        <w:snapToGrid/>
        <w:spacing w:beforeAutospacing="0" w:afterAutospacing="0" w:line="360" w:lineRule="auto"/>
        <w:ind w:left="0" w:leftChars="0" w:firstLine="560" w:firstLineChars="200"/>
        <w:jc w:val="center"/>
        <w:rPr>
          <w:rFonts w:hint="eastAsia" w:ascii="Times New Roman" w:hAnsi="仿宋" w:eastAsia="宋体" w:cs="仿宋"/>
          <w:sz w:val="28"/>
          <w:szCs w:val="32"/>
        </w:rPr>
      </w:pPr>
      <w:r>
        <w:rPr>
          <w:rFonts w:hint="eastAsia" w:ascii="Times New Roman" w:hAnsi="仿宋" w:cs="仿宋"/>
          <w:sz w:val="28"/>
          <w:szCs w:val="32"/>
          <w:lang w:val="en-US" w:eastAsia="zh-CN"/>
        </w:rPr>
        <w:t xml:space="preserve">                            </w:t>
      </w:r>
      <w:r>
        <w:rPr>
          <w:rFonts w:hint="eastAsia" w:ascii="Times New Roman" w:hAnsi="仿宋" w:eastAsia="宋体" w:cs="仿宋"/>
          <w:sz w:val="28"/>
          <w:szCs w:val="32"/>
        </w:rPr>
        <w:t xml:space="preserve">年 </w:t>
      </w:r>
      <w:r>
        <w:rPr>
          <w:rFonts w:hint="eastAsia" w:ascii="Times New Roman" w:hAnsi="仿宋" w:eastAsia="宋体" w:cs="仿宋"/>
          <w:sz w:val="28"/>
          <w:szCs w:val="32"/>
          <w:lang w:val="en-US" w:eastAsia="zh-CN"/>
        </w:rPr>
        <w:t xml:space="preserve">  </w:t>
      </w:r>
      <w:r>
        <w:rPr>
          <w:rFonts w:hint="eastAsia" w:ascii="Times New Roman" w:hAnsi="仿宋" w:eastAsia="宋体" w:cs="仿宋"/>
          <w:sz w:val="28"/>
          <w:szCs w:val="32"/>
        </w:rPr>
        <w:t xml:space="preserve"> 月     日</w:t>
      </w:r>
    </w:p>
    <w:p w14:paraId="4DC8C167">
      <w:pPr>
        <w:snapToGrid/>
        <w:spacing w:beforeAutospacing="0" w:afterAutospacing="0" w:line="360" w:lineRule="auto"/>
        <w:ind w:left="0" w:leftChars="0" w:firstLine="560" w:firstLineChars="200"/>
        <w:jc w:val="center"/>
        <w:rPr>
          <w:rFonts w:hint="eastAsia" w:ascii="Times New Roman" w:hAnsi="宋体" w:eastAsia="宋体" w:cs="宋体"/>
          <w:sz w:val="28"/>
          <w:szCs w:val="28"/>
        </w:rPr>
      </w:pPr>
    </w:p>
    <w:p w14:paraId="0A6F7680">
      <w:pPr>
        <w:snapToGrid/>
        <w:spacing w:beforeAutospacing="0" w:afterAutospacing="0" w:line="360" w:lineRule="auto"/>
        <w:ind w:left="0" w:leftChars="0" w:firstLine="560" w:firstLineChars="200"/>
        <w:jc w:val="center"/>
        <w:rPr>
          <w:rFonts w:hint="eastAsia" w:ascii="Times New Roman" w:hAnsi="宋体" w:eastAsia="宋体" w:cs="宋体"/>
          <w:sz w:val="28"/>
          <w:szCs w:val="28"/>
        </w:rPr>
      </w:pPr>
    </w:p>
    <w:p w14:paraId="3639448C">
      <w:pPr>
        <w:snapToGrid/>
        <w:spacing w:beforeAutospacing="0" w:afterAutospacing="0" w:line="360" w:lineRule="auto"/>
        <w:ind w:left="0" w:leftChars="0" w:firstLine="560" w:firstLineChars="200"/>
        <w:jc w:val="center"/>
        <w:rPr>
          <w:rFonts w:hint="eastAsia" w:ascii="Times New Roman" w:hAnsi="宋体" w:eastAsia="宋体" w:cs="宋体"/>
          <w:sz w:val="28"/>
          <w:szCs w:val="28"/>
        </w:rPr>
      </w:pPr>
    </w:p>
    <w:p w14:paraId="7C9FDEAE">
      <w:pPr>
        <w:snapToGrid/>
        <w:spacing w:beforeAutospacing="0" w:afterAutospacing="0" w:line="360" w:lineRule="auto"/>
        <w:ind w:left="0" w:leftChars="0" w:firstLine="560" w:firstLineChars="200"/>
        <w:jc w:val="center"/>
        <w:rPr>
          <w:rFonts w:hint="eastAsia" w:ascii="Times New Roman" w:hAnsi="宋体" w:eastAsia="宋体" w:cs="宋体"/>
          <w:sz w:val="28"/>
          <w:szCs w:val="28"/>
        </w:rPr>
      </w:pPr>
    </w:p>
    <w:p w14:paraId="03778CD7">
      <w:pPr>
        <w:snapToGrid/>
        <w:spacing w:beforeAutospacing="0" w:afterAutospacing="0" w:line="360" w:lineRule="auto"/>
        <w:ind w:left="0" w:leftChars="0" w:firstLine="560" w:firstLineChars="200"/>
        <w:jc w:val="center"/>
        <w:rPr>
          <w:rFonts w:hint="eastAsia" w:ascii="Times New Roman" w:hAnsi="宋体" w:eastAsia="宋体" w:cs="宋体"/>
          <w:sz w:val="28"/>
          <w:szCs w:val="28"/>
        </w:rPr>
      </w:pPr>
    </w:p>
    <w:p w14:paraId="2C50CC3C">
      <w:pPr>
        <w:snapToGrid/>
        <w:spacing w:beforeAutospacing="0" w:afterAutospacing="0" w:line="360" w:lineRule="auto"/>
        <w:ind w:left="0" w:leftChars="0" w:firstLine="560" w:firstLineChars="200"/>
        <w:jc w:val="center"/>
        <w:rPr>
          <w:rFonts w:hint="eastAsia" w:ascii="Times New Roman" w:hAnsi="宋体" w:eastAsia="宋体" w:cs="宋体"/>
          <w:sz w:val="28"/>
          <w:szCs w:val="28"/>
        </w:rPr>
      </w:pPr>
    </w:p>
    <w:p w14:paraId="2E7BA77C">
      <w:pPr>
        <w:snapToGrid/>
        <w:spacing w:beforeAutospacing="0" w:afterAutospacing="0" w:line="360" w:lineRule="auto"/>
        <w:ind w:left="0" w:leftChars="0" w:firstLine="560" w:firstLineChars="200"/>
        <w:jc w:val="center"/>
        <w:rPr>
          <w:rFonts w:hint="eastAsia" w:ascii="Times New Roman" w:hAnsi="宋体" w:eastAsia="宋体" w:cs="宋体"/>
          <w:sz w:val="28"/>
          <w:szCs w:val="28"/>
        </w:rPr>
      </w:pPr>
    </w:p>
    <w:p w14:paraId="63AD295C">
      <w:pPr>
        <w:snapToGrid/>
        <w:spacing w:beforeAutospacing="0" w:afterAutospacing="0" w:line="360" w:lineRule="auto"/>
        <w:ind w:left="0" w:leftChars="0" w:firstLine="560" w:firstLineChars="200"/>
        <w:jc w:val="center"/>
        <w:rPr>
          <w:rFonts w:hint="eastAsia" w:ascii="Times New Roman" w:hAnsi="宋体" w:eastAsia="宋体" w:cs="宋体"/>
          <w:sz w:val="28"/>
          <w:szCs w:val="28"/>
        </w:rPr>
      </w:pPr>
    </w:p>
    <w:p w14:paraId="33C8B42A">
      <w:pPr>
        <w:pStyle w:val="2"/>
        <w:rPr>
          <w:rFonts w:hint="eastAsia" w:ascii="Times New Roman" w:hAnsi="宋体" w:eastAsia="宋体" w:cs="宋体"/>
          <w:sz w:val="28"/>
          <w:szCs w:val="28"/>
        </w:rPr>
      </w:pPr>
    </w:p>
    <w:p w14:paraId="3D7533D9">
      <w:pPr>
        <w:pStyle w:val="3"/>
        <w:rPr>
          <w:rFonts w:hint="eastAsia"/>
        </w:rPr>
      </w:pPr>
    </w:p>
    <w:p w14:paraId="6F21816B">
      <w:pPr>
        <w:snapToGrid/>
        <w:spacing w:beforeAutospacing="0" w:afterAutospacing="0" w:line="360" w:lineRule="auto"/>
        <w:ind w:left="0" w:leftChars="0" w:firstLine="0"/>
        <w:jc w:val="both"/>
        <w:rPr>
          <w:rFonts w:hint="eastAsia" w:ascii="Times New Roman" w:hAnsi="宋体" w:eastAsia="宋体" w:cs="宋体"/>
          <w:sz w:val="28"/>
          <w:szCs w:val="28"/>
        </w:rPr>
      </w:pPr>
    </w:p>
    <w:p w14:paraId="0ECA681D">
      <w:pPr>
        <w:snapToGrid/>
        <w:spacing w:beforeAutospacing="0" w:afterAutospacing="0" w:line="360" w:lineRule="auto"/>
        <w:ind w:left="0" w:leftChars="0" w:firstLine="0"/>
        <w:jc w:val="left"/>
        <w:rPr>
          <w:rFonts w:ascii="Times New Roman" w:hAnsi="宋体" w:eastAsia="宋体" w:cs="宋体"/>
          <w:sz w:val="28"/>
          <w:szCs w:val="28"/>
        </w:rPr>
      </w:pPr>
      <w:r>
        <w:rPr>
          <w:rFonts w:hint="eastAsia" w:ascii="Times New Roman" w:hAnsi="宋体" w:eastAsia="宋体" w:cs="宋体"/>
          <w:sz w:val="28"/>
          <w:szCs w:val="28"/>
        </w:rPr>
        <w:t xml:space="preserve">姓名（可匿名）：                             填写日期： 年  月  日 </w:t>
      </w:r>
    </w:p>
    <w:tbl>
      <w:tblPr>
        <w:tblStyle w:val="13"/>
        <w:tblW w:w="93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6024"/>
        <w:gridCol w:w="788"/>
        <w:gridCol w:w="768"/>
        <w:gridCol w:w="1250"/>
      </w:tblGrid>
      <w:tr w14:paraId="7C0DB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507" w:type="dxa"/>
            <w:vAlign w:val="center"/>
          </w:tcPr>
          <w:p w14:paraId="1929679F">
            <w:pPr>
              <w:spacing w:line="360" w:lineRule="auto"/>
              <w:jc w:val="center"/>
              <w:rPr>
                <w:rFonts w:ascii="宋体" w:hAnsi="宋体" w:cs="宋体"/>
                <w:sz w:val="22"/>
                <w:szCs w:val="22"/>
              </w:rPr>
            </w:pPr>
            <w:r>
              <w:rPr>
                <w:rFonts w:hint="eastAsia" w:ascii="宋体" w:hAnsi="宋体" w:cs="宋体"/>
                <w:sz w:val="22"/>
                <w:szCs w:val="22"/>
              </w:rPr>
              <w:t>序号</w:t>
            </w:r>
          </w:p>
        </w:tc>
        <w:tc>
          <w:tcPr>
            <w:tcW w:w="6024" w:type="dxa"/>
            <w:vAlign w:val="center"/>
          </w:tcPr>
          <w:p w14:paraId="7CB11722">
            <w:pPr>
              <w:spacing w:line="360" w:lineRule="auto"/>
              <w:ind w:firstLine="480"/>
              <w:jc w:val="center"/>
              <w:rPr>
                <w:rFonts w:ascii="宋体" w:hAnsi="宋体" w:cs="宋体"/>
                <w:sz w:val="22"/>
                <w:szCs w:val="22"/>
              </w:rPr>
            </w:pPr>
            <w:r>
              <w:rPr>
                <w:rFonts w:hint="eastAsia" w:ascii="宋体" w:hAnsi="宋体" w:cs="宋体"/>
                <w:sz w:val="22"/>
                <w:szCs w:val="22"/>
              </w:rPr>
              <w:t>调查项目</w:t>
            </w:r>
          </w:p>
        </w:tc>
        <w:tc>
          <w:tcPr>
            <w:tcW w:w="788" w:type="dxa"/>
            <w:vAlign w:val="center"/>
          </w:tcPr>
          <w:p w14:paraId="69D06654">
            <w:pPr>
              <w:spacing w:line="360" w:lineRule="auto"/>
              <w:jc w:val="center"/>
              <w:rPr>
                <w:rFonts w:ascii="宋体" w:hAnsi="宋体" w:cs="宋体"/>
                <w:sz w:val="22"/>
                <w:szCs w:val="22"/>
              </w:rPr>
            </w:pPr>
            <w:r>
              <w:rPr>
                <w:rFonts w:hint="eastAsia" w:ascii="宋体" w:hAnsi="宋体" w:cs="宋体"/>
                <w:sz w:val="22"/>
                <w:szCs w:val="22"/>
              </w:rPr>
              <w:t>标准分数</w:t>
            </w:r>
          </w:p>
        </w:tc>
        <w:tc>
          <w:tcPr>
            <w:tcW w:w="768" w:type="dxa"/>
            <w:vAlign w:val="center"/>
          </w:tcPr>
          <w:p w14:paraId="5799EA64">
            <w:pPr>
              <w:spacing w:line="360" w:lineRule="auto"/>
              <w:jc w:val="center"/>
              <w:rPr>
                <w:rFonts w:ascii="宋体" w:hAnsi="宋体" w:cs="宋体"/>
                <w:sz w:val="22"/>
                <w:szCs w:val="22"/>
              </w:rPr>
            </w:pPr>
            <w:r>
              <w:rPr>
                <w:rFonts w:hint="eastAsia" w:ascii="宋体" w:hAnsi="宋体" w:cs="宋体"/>
                <w:sz w:val="22"/>
                <w:szCs w:val="22"/>
              </w:rPr>
              <w:t>得分</w:t>
            </w:r>
          </w:p>
        </w:tc>
        <w:tc>
          <w:tcPr>
            <w:tcW w:w="1250" w:type="dxa"/>
            <w:vAlign w:val="center"/>
          </w:tcPr>
          <w:p w14:paraId="655CDDB3">
            <w:pPr>
              <w:spacing w:line="360" w:lineRule="auto"/>
              <w:jc w:val="center"/>
              <w:rPr>
                <w:rFonts w:ascii="宋体" w:hAnsi="宋体" w:cs="宋体"/>
                <w:sz w:val="22"/>
                <w:szCs w:val="22"/>
              </w:rPr>
            </w:pPr>
            <w:r>
              <w:rPr>
                <w:rFonts w:hint="eastAsia" w:ascii="宋体" w:hAnsi="宋体" w:cs="宋体"/>
                <w:sz w:val="22"/>
                <w:szCs w:val="22"/>
              </w:rPr>
              <w:t>备注</w:t>
            </w:r>
          </w:p>
        </w:tc>
      </w:tr>
      <w:tr w14:paraId="40CB5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exact"/>
          <w:jc w:val="center"/>
        </w:trPr>
        <w:tc>
          <w:tcPr>
            <w:tcW w:w="507" w:type="dxa"/>
            <w:vAlign w:val="center"/>
          </w:tcPr>
          <w:p w14:paraId="2B2F7426">
            <w:pPr>
              <w:spacing w:line="360" w:lineRule="auto"/>
              <w:jc w:val="center"/>
              <w:rPr>
                <w:rFonts w:ascii="宋体" w:hAnsi="宋体" w:cs="宋体"/>
                <w:sz w:val="22"/>
                <w:szCs w:val="22"/>
              </w:rPr>
            </w:pPr>
            <w:r>
              <w:rPr>
                <w:rFonts w:hint="eastAsia" w:ascii="宋体" w:hAnsi="宋体" w:cs="宋体"/>
                <w:sz w:val="22"/>
                <w:szCs w:val="22"/>
              </w:rPr>
              <w:t>1</w:t>
            </w:r>
          </w:p>
        </w:tc>
        <w:tc>
          <w:tcPr>
            <w:tcW w:w="6024" w:type="dxa"/>
            <w:vAlign w:val="center"/>
          </w:tcPr>
          <w:p w14:paraId="6D0FDB57">
            <w:pPr>
              <w:spacing w:line="360" w:lineRule="auto"/>
              <w:rPr>
                <w:rFonts w:ascii="宋体" w:hAnsi="宋体" w:cs="宋体"/>
                <w:sz w:val="22"/>
                <w:szCs w:val="22"/>
              </w:rPr>
            </w:pPr>
            <w:r>
              <w:rPr>
                <w:rFonts w:hint="eastAsia" w:ascii="宋体" w:hAnsi="宋体" w:cs="宋体"/>
                <w:sz w:val="22"/>
                <w:szCs w:val="22"/>
              </w:rPr>
              <w:t>您认为石狮市美丽乡村建设项目质量如何？（质量好10分；较好6-9分；一般1-5分；没有0分）</w:t>
            </w:r>
          </w:p>
        </w:tc>
        <w:tc>
          <w:tcPr>
            <w:tcW w:w="788" w:type="dxa"/>
            <w:vAlign w:val="center"/>
          </w:tcPr>
          <w:p w14:paraId="14FB2F66">
            <w:pPr>
              <w:spacing w:line="360" w:lineRule="auto"/>
              <w:jc w:val="center"/>
              <w:rPr>
                <w:rFonts w:ascii="宋体" w:hAnsi="宋体" w:cs="宋体"/>
                <w:sz w:val="22"/>
                <w:szCs w:val="22"/>
              </w:rPr>
            </w:pPr>
            <w:r>
              <w:rPr>
                <w:rFonts w:hint="eastAsia" w:ascii="宋体" w:hAnsi="宋体" w:cs="宋体"/>
                <w:sz w:val="22"/>
                <w:szCs w:val="22"/>
              </w:rPr>
              <w:t>10</w:t>
            </w:r>
          </w:p>
        </w:tc>
        <w:tc>
          <w:tcPr>
            <w:tcW w:w="768" w:type="dxa"/>
            <w:vAlign w:val="center"/>
          </w:tcPr>
          <w:p w14:paraId="570987D1">
            <w:pPr>
              <w:spacing w:line="360" w:lineRule="auto"/>
              <w:ind w:firstLine="480"/>
              <w:jc w:val="center"/>
              <w:rPr>
                <w:rFonts w:ascii="宋体" w:hAnsi="宋体" w:cs="宋体"/>
                <w:sz w:val="22"/>
                <w:szCs w:val="22"/>
              </w:rPr>
            </w:pPr>
          </w:p>
        </w:tc>
        <w:tc>
          <w:tcPr>
            <w:tcW w:w="1250" w:type="dxa"/>
            <w:vAlign w:val="center"/>
          </w:tcPr>
          <w:p w14:paraId="68906BEA">
            <w:pPr>
              <w:spacing w:line="360" w:lineRule="auto"/>
              <w:ind w:firstLine="480"/>
              <w:jc w:val="center"/>
              <w:rPr>
                <w:rFonts w:ascii="宋体" w:hAnsi="宋体" w:cs="宋体"/>
                <w:sz w:val="22"/>
                <w:szCs w:val="22"/>
              </w:rPr>
            </w:pPr>
          </w:p>
        </w:tc>
      </w:tr>
      <w:tr w14:paraId="06B2F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0" w:hRule="exact"/>
          <w:jc w:val="center"/>
        </w:trPr>
        <w:tc>
          <w:tcPr>
            <w:tcW w:w="507" w:type="dxa"/>
            <w:vAlign w:val="center"/>
          </w:tcPr>
          <w:p w14:paraId="344EC27C">
            <w:pPr>
              <w:spacing w:line="360" w:lineRule="auto"/>
              <w:jc w:val="center"/>
              <w:rPr>
                <w:rFonts w:ascii="宋体" w:hAnsi="宋体" w:cs="宋体"/>
                <w:sz w:val="22"/>
                <w:szCs w:val="22"/>
              </w:rPr>
            </w:pPr>
            <w:r>
              <w:rPr>
                <w:rFonts w:hint="eastAsia" w:ascii="宋体" w:hAnsi="宋体" w:cs="宋体"/>
                <w:sz w:val="22"/>
                <w:szCs w:val="22"/>
              </w:rPr>
              <w:t>2</w:t>
            </w:r>
          </w:p>
        </w:tc>
        <w:tc>
          <w:tcPr>
            <w:tcW w:w="6024" w:type="dxa"/>
            <w:vAlign w:val="center"/>
          </w:tcPr>
          <w:p w14:paraId="62818C1F">
            <w:pPr>
              <w:spacing w:line="360" w:lineRule="auto"/>
              <w:rPr>
                <w:rFonts w:ascii="宋体" w:hAnsi="宋体" w:cs="宋体"/>
                <w:sz w:val="22"/>
                <w:szCs w:val="22"/>
              </w:rPr>
            </w:pPr>
            <w:r>
              <w:rPr>
                <w:rFonts w:hint="eastAsia" w:ascii="宋体" w:hAnsi="宋体" w:cs="宋体"/>
                <w:sz w:val="22"/>
                <w:szCs w:val="22"/>
              </w:rPr>
              <w:t>您认为石狮市美丽乡村建设项目产出生态效益如何？（效益明显10分；较明显6-9分；一般1-5分；无0分）</w:t>
            </w:r>
          </w:p>
        </w:tc>
        <w:tc>
          <w:tcPr>
            <w:tcW w:w="788" w:type="dxa"/>
            <w:vAlign w:val="center"/>
          </w:tcPr>
          <w:p w14:paraId="1CBD664B">
            <w:pPr>
              <w:spacing w:line="360" w:lineRule="auto"/>
              <w:jc w:val="center"/>
              <w:rPr>
                <w:rFonts w:ascii="宋体" w:hAnsi="宋体" w:cs="宋体"/>
                <w:sz w:val="22"/>
                <w:szCs w:val="22"/>
              </w:rPr>
            </w:pPr>
            <w:r>
              <w:rPr>
                <w:rFonts w:hint="eastAsia" w:ascii="宋体" w:hAnsi="宋体" w:cs="宋体"/>
                <w:sz w:val="22"/>
                <w:szCs w:val="22"/>
              </w:rPr>
              <w:t>10</w:t>
            </w:r>
          </w:p>
        </w:tc>
        <w:tc>
          <w:tcPr>
            <w:tcW w:w="768" w:type="dxa"/>
            <w:vAlign w:val="center"/>
          </w:tcPr>
          <w:p w14:paraId="2F4E97A6">
            <w:pPr>
              <w:spacing w:line="360" w:lineRule="auto"/>
              <w:ind w:firstLine="480"/>
              <w:rPr>
                <w:rFonts w:ascii="宋体" w:hAnsi="宋体" w:cs="宋体"/>
                <w:sz w:val="22"/>
                <w:szCs w:val="22"/>
              </w:rPr>
            </w:pPr>
          </w:p>
        </w:tc>
        <w:tc>
          <w:tcPr>
            <w:tcW w:w="1250" w:type="dxa"/>
            <w:vAlign w:val="center"/>
          </w:tcPr>
          <w:p w14:paraId="6C3A86C1">
            <w:pPr>
              <w:spacing w:line="360" w:lineRule="auto"/>
              <w:ind w:firstLine="480"/>
              <w:jc w:val="center"/>
              <w:rPr>
                <w:rFonts w:ascii="宋体" w:hAnsi="宋体" w:cs="宋体"/>
                <w:sz w:val="22"/>
                <w:szCs w:val="22"/>
              </w:rPr>
            </w:pPr>
          </w:p>
        </w:tc>
      </w:tr>
      <w:tr w14:paraId="68627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exact"/>
          <w:jc w:val="center"/>
        </w:trPr>
        <w:tc>
          <w:tcPr>
            <w:tcW w:w="507" w:type="dxa"/>
            <w:vAlign w:val="center"/>
          </w:tcPr>
          <w:p w14:paraId="6E88CAA2">
            <w:pPr>
              <w:spacing w:line="360" w:lineRule="auto"/>
              <w:jc w:val="center"/>
              <w:rPr>
                <w:rFonts w:ascii="宋体" w:hAnsi="宋体" w:cs="宋体"/>
                <w:sz w:val="22"/>
                <w:szCs w:val="22"/>
              </w:rPr>
            </w:pPr>
            <w:r>
              <w:rPr>
                <w:rFonts w:hint="eastAsia" w:ascii="宋体" w:hAnsi="宋体" w:cs="宋体"/>
                <w:sz w:val="22"/>
                <w:szCs w:val="22"/>
              </w:rPr>
              <w:t>3</w:t>
            </w:r>
          </w:p>
        </w:tc>
        <w:tc>
          <w:tcPr>
            <w:tcW w:w="6024" w:type="dxa"/>
            <w:vAlign w:val="center"/>
          </w:tcPr>
          <w:p w14:paraId="5B7632E6">
            <w:pPr>
              <w:spacing w:line="360" w:lineRule="auto"/>
              <w:rPr>
                <w:rFonts w:ascii="宋体" w:hAnsi="宋体" w:cs="宋体"/>
                <w:sz w:val="22"/>
                <w:szCs w:val="22"/>
              </w:rPr>
            </w:pPr>
            <w:r>
              <w:rPr>
                <w:rFonts w:hint="eastAsia" w:ascii="宋体" w:hAnsi="宋体" w:cs="宋体"/>
                <w:sz w:val="22"/>
                <w:szCs w:val="22"/>
              </w:rPr>
              <w:t>您认为石狮农产品可持续发展情况如何？（质量合格，持续发展效果明显10分；较明显6-9分；一般1-5分；无0分）</w:t>
            </w:r>
          </w:p>
        </w:tc>
        <w:tc>
          <w:tcPr>
            <w:tcW w:w="788" w:type="dxa"/>
            <w:vAlign w:val="center"/>
          </w:tcPr>
          <w:p w14:paraId="1087E9FE">
            <w:pPr>
              <w:spacing w:line="360" w:lineRule="auto"/>
              <w:jc w:val="center"/>
              <w:rPr>
                <w:rFonts w:ascii="宋体" w:hAnsi="宋体" w:cs="宋体"/>
                <w:sz w:val="22"/>
                <w:szCs w:val="22"/>
              </w:rPr>
            </w:pPr>
            <w:r>
              <w:rPr>
                <w:rFonts w:hint="eastAsia" w:ascii="宋体" w:hAnsi="宋体" w:cs="宋体"/>
                <w:sz w:val="22"/>
                <w:szCs w:val="22"/>
              </w:rPr>
              <w:t>10</w:t>
            </w:r>
          </w:p>
        </w:tc>
        <w:tc>
          <w:tcPr>
            <w:tcW w:w="768" w:type="dxa"/>
            <w:vAlign w:val="center"/>
          </w:tcPr>
          <w:p w14:paraId="0BC38670">
            <w:pPr>
              <w:spacing w:line="360" w:lineRule="auto"/>
              <w:ind w:firstLine="480"/>
              <w:jc w:val="center"/>
              <w:rPr>
                <w:rFonts w:ascii="宋体" w:hAnsi="宋体" w:cs="宋体"/>
                <w:sz w:val="22"/>
                <w:szCs w:val="22"/>
              </w:rPr>
            </w:pPr>
          </w:p>
        </w:tc>
        <w:tc>
          <w:tcPr>
            <w:tcW w:w="1250" w:type="dxa"/>
            <w:vAlign w:val="center"/>
          </w:tcPr>
          <w:p w14:paraId="37195196">
            <w:pPr>
              <w:spacing w:line="360" w:lineRule="auto"/>
              <w:rPr>
                <w:rFonts w:ascii="宋体" w:hAnsi="宋体" w:cs="宋体"/>
                <w:sz w:val="22"/>
                <w:szCs w:val="22"/>
              </w:rPr>
            </w:pPr>
          </w:p>
        </w:tc>
      </w:tr>
      <w:tr w14:paraId="424C4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exact"/>
          <w:jc w:val="center"/>
        </w:trPr>
        <w:tc>
          <w:tcPr>
            <w:tcW w:w="507" w:type="dxa"/>
            <w:vAlign w:val="center"/>
          </w:tcPr>
          <w:p w14:paraId="78135F10">
            <w:pPr>
              <w:spacing w:line="360" w:lineRule="auto"/>
              <w:jc w:val="center"/>
              <w:rPr>
                <w:rFonts w:ascii="宋体" w:hAnsi="宋体" w:cs="宋体"/>
                <w:sz w:val="22"/>
                <w:szCs w:val="22"/>
              </w:rPr>
            </w:pPr>
            <w:r>
              <w:rPr>
                <w:rFonts w:hint="eastAsia" w:ascii="宋体" w:hAnsi="宋体" w:cs="宋体"/>
                <w:sz w:val="22"/>
                <w:szCs w:val="22"/>
              </w:rPr>
              <w:t>4</w:t>
            </w:r>
          </w:p>
        </w:tc>
        <w:tc>
          <w:tcPr>
            <w:tcW w:w="6024" w:type="dxa"/>
            <w:vAlign w:val="center"/>
          </w:tcPr>
          <w:p w14:paraId="7688E406">
            <w:pPr>
              <w:spacing w:line="360" w:lineRule="auto"/>
              <w:rPr>
                <w:rFonts w:ascii="宋体" w:hAnsi="宋体" w:cs="宋体"/>
                <w:sz w:val="22"/>
                <w:szCs w:val="22"/>
              </w:rPr>
            </w:pPr>
            <w:r>
              <w:rPr>
                <w:rFonts w:hint="eastAsia" w:ascii="宋体" w:hAnsi="宋体" w:cs="宋体"/>
                <w:sz w:val="22"/>
                <w:szCs w:val="22"/>
              </w:rPr>
              <w:t>您认为渔工渔船参保工作情况如何？（好10分；较好6-9分；一般1-5分；不好0分）</w:t>
            </w:r>
          </w:p>
        </w:tc>
        <w:tc>
          <w:tcPr>
            <w:tcW w:w="788" w:type="dxa"/>
            <w:vAlign w:val="center"/>
          </w:tcPr>
          <w:p w14:paraId="43C582F3">
            <w:pPr>
              <w:spacing w:line="360" w:lineRule="auto"/>
              <w:jc w:val="center"/>
              <w:rPr>
                <w:rFonts w:ascii="宋体" w:hAnsi="宋体" w:cs="宋体"/>
                <w:sz w:val="22"/>
                <w:szCs w:val="22"/>
              </w:rPr>
            </w:pPr>
            <w:r>
              <w:rPr>
                <w:rFonts w:hint="eastAsia" w:ascii="宋体" w:hAnsi="宋体" w:cs="宋体"/>
                <w:sz w:val="22"/>
                <w:szCs w:val="22"/>
              </w:rPr>
              <w:t>10</w:t>
            </w:r>
          </w:p>
        </w:tc>
        <w:tc>
          <w:tcPr>
            <w:tcW w:w="768" w:type="dxa"/>
            <w:vAlign w:val="center"/>
          </w:tcPr>
          <w:p w14:paraId="59B233F3">
            <w:pPr>
              <w:spacing w:line="360" w:lineRule="auto"/>
              <w:ind w:firstLine="480"/>
              <w:jc w:val="center"/>
              <w:rPr>
                <w:rFonts w:ascii="宋体" w:hAnsi="宋体" w:cs="宋体"/>
                <w:sz w:val="22"/>
                <w:szCs w:val="22"/>
              </w:rPr>
            </w:pPr>
          </w:p>
        </w:tc>
        <w:tc>
          <w:tcPr>
            <w:tcW w:w="1250" w:type="dxa"/>
            <w:vAlign w:val="center"/>
          </w:tcPr>
          <w:p w14:paraId="6554B87A">
            <w:pPr>
              <w:spacing w:line="360" w:lineRule="auto"/>
              <w:rPr>
                <w:rFonts w:ascii="宋体" w:hAnsi="宋体" w:cs="宋体"/>
                <w:sz w:val="22"/>
                <w:szCs w:val="22"/>
              </w:rPr>
            </w:pPr>
          </w:p>
        </w:tc>
      </w:tr>
      <w:tr w14:paraId="3DDD5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07" w:type="dxa"/>
            <w:vAlign w:val="center"/>
          </w:tcPr>
          <w:p w14:paraId="460080AD">
            <w:pPr>
              <w:spacing w:line="360" w:lineRule="auto"/>
              <w:jc w:val="center"/>
              <w:rPr>
                <w:rFonts w:ascii="宋体" w:hAnsi="宋体" w:cs="宋体"/>
                <w:sz w:val="22"/>
                <w:szCs w:val="22"/>
              </w:rPr>
            </w:pPr>
            <w:r>
              <w:rPr>
                <w:rFonts w:hint="eastAsia" w:ascii="宋体" w:hAnsi="宋体" w:cs="宋体"/>
                <w:sz w:val="22"/>
                <w:szCs w:val="22"/>
              </w:rPr>
              <w:t>5</w:t>
            </w:r>
          </w:p>
        </w:tc>
        <w:tc>
          <w:tcPr>
            <w:tcW w:w="6024" w:type="dxa"/>
            <w:vAlign w:val="center"/>
          </w:tcPr>
          <w:p w14:paraId="2419D7C2">
            <w:pPr>
              <w:spacing w:line="360" w:lineRule="auto"/>
              <w:rPr>
                <w:rFonts w:ascii="宋体" w:hAnsi="宋体" w:cs="宋体"/>
                <w:sz w:val="22"/>
                <w:szCs w:val="22"/>
              </w:rPr>
            </w:pPr>
            <w:r>
              <w:rPr>
                <w:rFonts w:hint="eastAsia" w:ascii="宋体" w:hAnsi="宋体" w:cs="宋体"/>
                <w:sz w:val="22"/>
                <w:szCs w:val="22"/>
              </w:rPr>
              <w:t>您认为示范点建设质量如何？（好10分；较好6-9分；一般1-5分；不好0分）</w:t>
            </w:r>
          </w:p>
        </w:tc>
        <w:tc>
          <w:tcPr>
            <w:tcW w:w="788" w:type="dxa"/>
            <w:vAlign w:val="center"/>
          </w:tcPr>
          <w:p w14:paraId="645046D3">
            <w:pPr>
              <w:spacing w:line="360" w:lineRule="auto"/>
              <w:jc w:val="center"/>
              <w:rPr>
                <w:rFonts w:ascii="宋体" w:hAnsi="宋体" w:cs="宋体"/>
                <w:sz w:val="22"/>
                <w:szCs w:val="22"/>
              </w:rPr>
            </w:pPr>
            <w:r>
              <w:rPr>
                <w:rFonts w:hint="eastAsia" w:ascii="宋体" w:hAnsi="宋体" w:cs="宋体"/>
                <w:sz w:val="22"/>
                <w:szCs w:val="22"/>
              </w:rPr>
              <w:t>10</w:t>
            </w:r>
          </w:p>
        </w:tc>
        <w:tc>
          <w:tcPr>
            <w:tcW w:w="768" w:type="dxa"/>
            <w:vAlign w:val="center"/>
          </w:tcPr>
          <w:p w14:paraId="20737E01">
            <w:pPr>
              <w:spacing w:line="360" w:lineRule="auto"/>
              <w:ind w:firstLine="480"/>
              <w:jc w:val="center"/>
              <w:rPr>
                <w:rFonts w:ascii="宋体" w:hAnsi="宋体" w:cs="宋体"/>
                <w:sz w:val="22"/>
                <w:szCs w:val="22"/>
              </w:rPr>
            </w:pPr>
          </w:p>
        </w:tc>
        <w:tc>
          <w:tcPr>
            <w:tcW w:w="1250" w:type="dxa"/>
            <w:vAlign w:val="center"/>
          </w:tcPr>
          <w:p w14:paraId="6CB7C0AC">
            <w:pPr>
              <w:spacing w:line="360" w:lineRule="auto"/>
              <w:ind w:firstLine="480"/>
              <w:jc w:val="center"/>
              <w:rPr>
                <w:rFonts w:ascii="宋体" w:hAnsi="宋体" w:cs="宋体"/>
                <w:sz w:val="22"/>
                <w:szCs w:val="22"/>
              </w:rPr>
            </w:pPr>
          </w:p>
        </w:tc>
      </w:tr>
      <w:tr w14:paraId="6DE48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 w:hRule="exact"/>
          <w:jc w:val="center"/>
        </w:trPr>
        <w:tc>
          <w:tcPr>
            <w:tcW w:w="507" w:type="dxa"/>
            <w:vAlign w:val="center"/>
          </w:tcPr>
          <w:p w14:paraId="421A107E">
            <w:pPr>
              <w:spacing w:line="360" w:lineRule="auto"/>
              <w:jc w:val="center"/>
              <w:rPr>
                <w:rFonts w:ascii="宋体" w:hAnsi="宋体" w:cs="宋体"/>
                <w:sz w:val="22"/>
                <w:szCs w:val="22"/>
              </w:rPr>
            </w:pPr>
            <w:r>
              <w:rPr>
                <w:rFonts w:hint="eastAsia" w:ascii="宋体" w:hAnsi="宋体" w:cs="宋体"/>
                <w:sz w:val="22"/>
                <w:szCs w:val="22"/>
              </w:rPr>
              <w:t>6</w:t>
            </w:r>
          </w:p>
        </w:tc>
        <w:tc>
          <w:tcPr>
            <w:tcW w:w="6024" w:type="dxa"/>
            <w:vAlign w:val="center"/>
          </w:tcPr>
          <w:p w14:paraId="3B0F8ECF">
            <w:pPr>
              <w:spacing w:line="360" w:lineRule="auto"/>
              <w:rPr>
                <w:rFonts w:ascii="宋体" w:hAnsi="宋体" w:cs="宋体"/>
                <w:sz w:val="22"/>
                <w:szCs w:val="22"/>
              </w:rPr>
            </w:pPr>
            <w:r>
              <w:rPr>
                <w:rFonts w:hint="eastAsia" w:ascii="宋体" w:hAnsi="宋体" w:cs="宋体"/>
                <w:sz w:val="22"/>
                <w:szCs w:val="22"/>
              </w:rPr>
              <w:t>您认为石狮薄弱村是否全部消除？（全部消除10分，消除50%以上8-9分，消除50%以下1-7分，没有消除0分）</w:t>
            </w:r>
          </w:p>
        </w:tc>
        <w:tc>
          <w:tcPr>
            <w:tcW w:w="788" w:type="dxa"/>
            <w:vAlign w:val="center"/>
          </w:tcPr>
          <w:p w14:paraId="344ECA6D">
            <w:pPr>
              <w:spacing w:line="360" w:lineRule="auto"/>
              <w:jc w:val="center"/>
              <w:rPr>
                <w:rFonts w:ascii="宋体" w:hAnsi="宋体" w:cs="宋体"/>
                <w:sz w:val="22"/>
                <w:szCs w:val="22"/>
              </w:rPr>
            </w:pPr>
            <w:r>
              <w:rPr>
                <w:rFonts w:hint="eastAsia" w:ascii="宋体" w:hAnsi="宋体" w:cs="宋体"/>
                <w:sz w:val="22"/>
                <w:szCs w:val="22"/>
              </w:rPr>
              <w:t>10</w:t>
            </w:r>
          </w:p>
        </w:tc>
        <w:tc>
          <w:tcPr>
            <w:tcW w:w="768" w:type="dxa"/>
            <w:vAlign w:val="center"/>
          </w:tcPr>
          <w:p w14:paraId="1B932D77">
            <w:pPr>
              <w:spacing w:line="360" w:lineRule="auto"/>
              <w:ind w:firstLine="480"/>
              <w:jc w:val="center"/>
              <w:rPr>
                <w:rFonts w:ascii="宋体" w:hAnsi="宋体" w:cs="宋体"/>
                <w:sz w:val="22"/>
                <w:szCs w:val="22"/>
              </w:rPr>
            </w:pPr>
          </w:p>
        </w:tc>
        <w:tc>
          <w:tcPr>
            <w:tcW w:w="1250" w:type="dxa"/>
            <w:vAlign w:val="center"/>
          </w:tcPr>
          <w:p w14:paraId="7AA86C9E">
            <w:pPr>
              <w:spacing w:line="360" w:lineRule="auto"/>
              <w:rPr>
                <w:rFonts w:ascii="宋体" w:hAnsi="宋体" w:cs="宋体"/>
                <w:sz w:val="22"/>
                <w:szCs w:val="22"/>
              </w:rPr>
            </w:pPr>
          </w:p>
        </w:tc>
      </w:tr>
      <w:tr w14:paraId="368E4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exact"/>
          <w:jc w:val="center"/>
        </w:trPr>
        <w:tc>
          <w:tcPr>
            <w:tcW w:w="507" w:type="dxa"/>
            <w:vAlign w:val="center"/>
          </w:tcPr>
          <w:p w14:paraId="44ED459C">
            <w:pPr>
              <w:spacing w:line="360" w:lineRule="auto"/>
              <w:jc w:val="center"/>
              <w:rPr>
                <w:rFonts w:ascii="宋体" w:hAnsi="宋体" w:cs="宋体"/>
                <w:sz w:val="22"/>
                <w:szCs w:val="22"/>
              </w:rPr>
            </w:pPr>
            <w:r>
              <w:rPr>
                <w:rFonts w:hint="eastAsia" w:ascii="宋体" w:hAnsi="宋体" w:cs="宋体"/>
                <w:sz w:val="22"/>
                <w:szCs w:val="22"/>
              </w:rPr>
              <w:t>7</w:t>
            </w:r>
          </w:p>
        </w:tc>
        <w:tc>
          <w:tcPr>
            <w:tcW w:w="6024" w:type="dxa"/>
            <w:vAlign w:val="center"/>
          </w:tcPr>
          <w:p w14:paraId="3C1E82D4">
            <w:pPr>
              <w:spacing w:line="360" w:lineRule="auto"/>
              <w:rPr>
                <w:rFonts w:ascii="宋体" w:hAnsi="宋体" w:cs="宋体"/>
                <w:sz w:val="22"/>
                <w:szCs w:val="22"/>
              </w:rPr>
            </w:pPr>
            <w:r>
              <w:rPr>
                <w:rFonts w:hint="eastAsia" w:ascii="宋体" w:hAnsi="宋体" w:cs="宋体"/>
                <w:sz w:val="22"/>
                <w:szCs w:val="22"/>
              </w:rPr>
              <w:t>您认为石狮市农业农村局办事效率如何？（优10分，良8-9分，合格1-7分，差0分）</w:t>
            </w:r>
          </w:p>
        </w:tc>
        <w:tc>
          <w:tcPr>
            <w:tcW w:w="788" w:type="dxa"/>
            <w:vAlign w:val="center"/>
          </w:tcPr>
          <w:p w14:paraId="496D2158">
            <w:pPr>
              <w:spacing w:line="360" w:lineRule="auto"/>
              <w:jc w:val="center"/>
              <w:rPr>
                <w:rFonts w:ascii="宋体" w:hAnsi="宋体" w:cs="宋体"/>
                <w:sz w:val="22"/>
                <w:szCs w:val="22"/>
              </w:rPr>
            </w:pPr>
            <w:r>
              <w:rPr>
                <w:rFonts w:hint="eastAsia" w:ascii="宋体" w:hAnsi="宋体" w:cs="宋体"/>
                <w:sz w:val="22"/>
                <w:szCs w:val="22"/>
              </w:rPr>
              <w:t>10</w:t>
            </w:r>
          </w:p>
        </w:tc>
        <w:tc>
          <w:tcPr>
            <w:tcW w:w="768" w:type="dxa"/>
            <w:vAlign w:val="center"/>
          </w:tcPr>
          <w:p w14:paraId="5D0C3100">
            <w:pPr>
              <w:spacing w:line="360" w:lineRule="auto"/>
              <w:ind w:firstLine="480"/>
              <w:jc w:val="center"/>
              <w:rPr>
                <w:rFonts w:ascii="宋体" w:hAnsi="宋体" w:cs="宋体"/>
                <w:sz w:val="22"/>
                <w:szCs w:val="22"/>
              </w:rPr>
            </w:pPr>
          </w:p>
        </w:tc>
        <w:tc>
          <w:tcPr>
            <w:tcW w:w="1250" w:type="dxa"/>
            <w:vAlign w:val="center"/>
          </w:tcPr>
          <w:p w14:paraId="59100865">
            <w:pPr>
              <w:spacing w:line="360" w:lineRule="auto"/>
              <w:rPr>
                <w:rFonts w:ascii="宋体" w:hAnsi="宋体" w:cs="宋体"/>
                <w:sz w:val="22"/>
                <w:szCs w:val="22"/>
              </w:rPr>
            </w:pPr>
          </w:p>
        </w:tc>
      </w:tr>
      <w:tr w14:paraId="75D6F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exact"/>
          <w:jc w:val="center"/>
        </w:trPr>
        <w:tc>
          <w:tcPr>
            <w:tcW w:w="507" w:type="dxa"/>
            <w:vAlign w:val="center"/>
          </w:tcPr>
          <w:p w14:paraId="72EA8739">
            <w:pPr>
              <w:spacing w:line="360" w:lineRule="auto"/>
              <w:jc w:val="center"/>
              <w:rPr>
                <w:rFonts w:ascii="宋体" w:hAnsi="宋体" w:cs="宋体"/>
                <w:sz w:val="22"/>
                <w:szCs w:val="22"/>
              </w:rPr>
            </w:pPr>
            <w:r>
              <w:rPr>
                <w:rFonts w:hint="eastAsia" w:ascii="宋体" w:hAnsi="宋体" w:cs="宋体"/>
                <w:sz w:val="22"/>
                <w:szCs w:val="22"/>
              </w:rPr>
              <w:t>8</w:t>
            </w:r>
          </w:p>
        </w:tc>
        <w:tc>
          <w:tcPr>
            <w:tcW w:w="6024" w:type="dxa"/>
            <w:vAlign w:val="center"/>
          </w:tcPr>
          <w:p w14:paraId="15B279D2">
            <w:pPr>
              <w:spacing w:line="360" w:lineRule="auto"/>
              <w:rPr>
                <w:rFonts w:ascii="宋体" w:hAnsi="宋体" w:cs="宋体"/>
                <w:sz w:val="22"/>
                <w:szCs w:val="22"/>
              </w:rPr>
            </w:pPr>
            <w:r>
              <w:rPr>
                <w:rFonts w:hint="eastAsia" w:ascii="宋体" w:hAnsi="宋体" w:cs="宋体"/>
                <w:sz w:val="22"/>
                <w:szCs w:val="22"/>
              </w:rPr>
              <w:t>您认为石狮农业农村局工作是否存在不足之处？存在3项及以上（0分），存在1-2项（1-9分），不存在（10分）</w:t>
            </w:r>
          </w:p>
        </w:tc>
        <w:tc>
          <w:tcPr>
            <w:tcW w:w="788" w:type="dxa"/>
            <w:vAlign w:val="center"/>
          </w:tcPr>
          <w:p w14:paraId="5895F45F">
            <w:pPr>
              <w:spacing w:line="360" w:lineRule="auto"/>
              <w:jc w:val="center"/>
              <w:rPr>
                <w:rFonts w:ascii="宋体" w:hAnsi="宋体" w:cs="宋体"/>
                <w:sz w:val="22"/>
                <w:szCs w:val="22"/>
              </w:rPr>
            </w:pPr>
            <w:r>
              <w:rPr>
                <w:rFonts w:hint="eastAsia" w:ascii="宋体" w:hAnsi="宋体" w:cs="宋体"/>
                <w:sz w:val="22"/>
                <w:szCs w:val="22"/>
              </w:rPr>
              <w:t>10</w:t>
            </w:r>
          </w:p>
        </w:tc>
        <w:tc>
          <w:tcPr>
            <w:tcW w:w="768" w:type="dxa"/>
            <w:vAlign w:val="center"/>
          </w:tcPr>
          <w:p w14:paraId="28D03354">
            <w:pPr>
              <w:spacing w:line="360" w:lineRule="auto"/>
              <w:ind w:firstLine="480"/>
              <w:jc w:val="center"/>
              <w:rPr>
                <w:rFonts w:ascii="宋体" w:hAnsi="宋体" w:cs="宋体"/>
                <w:sz w:val="22"/>
                <w:szCs w:val="22"/>
              </w:rPr>
            </w:pPr>
          </w:p>
        </w:tc>
        <w:tc>
          <w:tcPr>
            <w:tcW w:w="1250" w:type="dxa"/>
            <w:vAlign w:val="center"/>
          </w:tcPr>
          <w:p w14:paraId="02F7D7AB">
            <w:pPr>
              <w:spacing w:line="360" w:lineRule="auto"/>
              <w:rPr>
                <w:rFonts w:ascii="宋体" w:hAnsi="宋体" w:cs="宋体"/>
                <w:sz w:val="22"/>
                <w:szCs w:val="22"/>
              </w:rPr>
            </w:pPr>
          </w:p>
        </w:tc>
      </w:tr>
      <w:tr w14:paraId="38ADF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4" w:hRule="exact"/>
          <w:jc w:val="center"/>
        </w:trPr>
        <w:tc>
          <w:tcPr>
            <w:tcW w:w="507" w:type="dxa"/>
            <w:vAlign w:val="center"/>
          </w:tcPr>
          <w:p w14:paraId="47A734EB">
            <w:pPr>
              <w:spacing w:line="360" w:lineRule="auto"/>
              <w:jc w:val="center"/>
              <w:rPr>
                <w:rFonts w:ascii="宋体" w:hAnsi="宋体" w:cs="宋体"/>
                <w:sz w:val="22"/>
                <w:szCs w:val="22"/>
              </w:rPr>
            </w:pPr>
            <w:r>
              <w:rPr>
                <w:rFonts w:hint="eastAsia" w:ascii="宋体" w:hAnsi="宋体" w:cs="宋体"/>
                <w:sz w:val="22"/>
                <w:szCs w:val="22"/>
              </w:rPr>
              <w:t>9</w:t>
            </w:r>
          </w:p>
        </w:tc>
        <w:tc>
          <w:tcPr>
            <w:tcW w:w="6024" w:type="dxa"/>
            <w:vAlign w:val="center"/>
          </w:tcPr>
          <w:p w14:paraId="38120AE7">
            <w:pPr>
              <w:spacing w:line="360" w:lineRule="auto"/>
              <w:rPr>
                <w:rFonts w:ascii="宋体" w:hAnsi="宋体" w:cs="宋体"/>
                <w:sz w:val="22"/>
                <w:szCs w:val="22"/>
              </w:rPr>
            </w:pPr>
            <w:r>
              <w:rPr>
                <w:rFonts w:hint="eastAsia" w:ascii="宋体" w:hAnsi="宋体" w:cs="宋体"/>
                <w:sz w:val="22"/>
                <w:szCs w:val="22"/>
              </w:rPr>
              <w:t>您认为石狮农业农村局工作产生社会效益如何？（效果显著10分，较显著6-9分，一般1-5分，无效0分）</w:t>
            </w:r>
          </w:p>
        </w:tc>
        <w:tc>
          <w:tcPr>
            <w:tcW w:w="788" w:type="dxa"/>
            <w:vAlign w:val="center"/>
          </w:tcPr>
          <w:p w14:paraId="14A7453A">
            <w:pPr>
              <w:spacing w:line="360" w:lineRule="auto"/>
              <w:jc w:val="center"/>
              <w:rPr>
                <w:rFonts w:ascii="宋体" w:hAnsi="宋体" w:cs="宋体"/>
                <w:sz w:val="22"/>
                <w:szCs w:val="22"/>
              </w:rPr>
            </w:pPr>
            <w:r>
              <w:rPr>
                <w:rFonts w:hint="eastAsia" w:ascii="宋体" w:hAnsi="宋体" w:cs="宋体"/>
                <w:sz w:val="22"/>
                <w:szCs w:val="22"/>
              </w:rPr>
              <w:t>10</w:t>
            </w:r>
          </w:p>
        </w:tc>
        <w:tc>
          <w:tcPr>
            <w:tcW w:w="768" w:type="dxa"/>
            <w:vAlign w:val="center"/>
          </w:tcPr>
          <w:p w14:paraId="1CDFDC5D">
            <w:pPr>
              <w:spacing w:line="360" w:lineRule="auto"/>
              <w:ind w:firstLine="480"/>
              <w:jc w:val="center"/>
              <w:rPr>
                <w:rFonts w:ascii="宋体" w:hAnsi="宋体" w:cs="宋体"/>
                <w:sz w:val="22"/>
                <w:szCs w:val="22"/>
              </w:rPr>
            </w:pPr>
          </w:p>
        </w:tc>
        <w:tc>
          <w:tcPr>
            <w:tcW w:w="1250" w:type="dxa"/>
            <w:vAlign w:val="center"/>
          </w:tcPr>
          <w:p w14:paraId="0B465F88">
            <w:pPr>
              <w:spacing w:line="360" w:lineRule="auto"/>
              <w:ind w:firstLine="480"/>
              <w:jc w:val="center"/>
              <w:rPr>
                <w:rFonts w:ascii="宋体" w:hAnsi="宋体" w:cs="宋体"/>
                <w:sz w:val="22"/>
                <w:szCs w:val="22"/>
              </w:rPr>
            </w:pPr>
          </w:p>
        </w:tc>
      </w:tr>
      <w:tr w14:paraId="18FF5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6" w:hRule="exact"/>
          <w:jc w:val="center"/>
        </w:trPr>
        <w:tc>
          <w:tcPr>
            <w:tcW w:w="507" w:type="dxa"/>
            <w:vAlign w:val="center"/>
          </w:tcPr>
          <w:p w14:paraId="785859D0">
            <w:pPr>
              <w:spacing w:line="360" w:lineRule="auto"/>
              <w:jc w:val="center"/>
              <w:rPr>
                <w:rFonts w:ascii="宋体" w:hAnsi="宋体" w:cs="宋体"/>
                <w:sz w:val="22"/>
                <w:szCs w:val="22"/>
              </w:rPr>
            </w:pPr>
            <w:r>
              <w:rPr>
                <w:rFonts w:hint="eastAsia" w:ascii="宋体" w:hAnsi="宋体" w:cs="宋体"/>
                <w:sz w:val="22"/>
                <w:szCs w:val="22"/>
              </w:rPr>
              <w:t>10</w:t>
            </w:r>
          </w:p>
        </w:tc>
        <w:tc>
          <w:tcPr>
            <w:tcW w:w="6024" w:type="dxa"/>
            <w:vAlign w:val="center"/>
          </w:tcPr>
          <w:p w14:paraId="23E235D2">
            <w:pPr>
              <w:spacing w:line="360" w:lineRule="auto"/>
              <w:rPr>
                <w:rFonts w:ascii="宋体" w:hAnsi="宋体" w:cs="宋体"/>
                <w:sz w:val="22"/>
                <w:szCs w:val="22"/>
              </w:rPr>
            </w:pPr>
            <w:r>
              <w:rPr>
                <w:rFonts w:hint="eastAsia" w:ascii="宋体" w:hAnsi="宋体" w:cs="宋体"/>
                <w:sz w:val="22"/>
                <w:szCs w:val="22"/>
              </w:rPr>
              <w:t>您对石狮农业农村局开展工作是否满意？（很满意10分，满意7-9分，一般1-6分，不满意0分）</w:t>
            </w:r>
          </w:p>
        </w:tc>
        <w:tc>
          <w:tcPr>
            <w:tcW w:w="788" w:type="dxa"/>
            <w:vAlign w:val="center"/>
          </w:tcPr>
          <w:p w14:paraId="4A75B6FA">
            <w:pPr>
              <w:spacing w:line="360" w:lineRule="auto"/>
              <w:jc w:val="center"/>
              <w:rPr>
                <w:rFonts w:ascii="宋体" w:hAnsi="宋体" w:cs="宋体"/>
                <w:sz w:val="22"/>
                <w:szCs w:val="22"/>
              </w:rPr>
            </w:pPr>
            <w:r>
              <w:rPr>
                <w:rFonts w:hint="eastAsia" w:ascii="宋体" w:hAnsi="宋体" w:cs="宋体"/>
                <w:sz w:val="22"/>
                <w:szCs w:val="22"/>
              </w:rPr>
              <w:t>10</w:t>
            </w:r>
          </w:p>
        </w:tc>
        <w:tc>
          <w:tcPr>
            <w:tcW w:w="768" w:type="dxa"/>
            <w:vAlign w:val="center"/>
          </w:tcPr>
          <w:p w14:paraId="18C2C993">
            <w:pPr>
              <w:spacing w:line="360" w:lineRule="auto"/>
              <w:ind w:firstLine="480"/>
              <w:jc w:val="center"/>
              <w:rPr>
                <w:rFonts w:ascii="宋体" w:hAnsi="宋体" w:cs="宋体"/>
                <w:sz w:val="22"/>
                <w:szCs w:val="22"/>
              </w:rPr>
            </w:pPr>
          </w:p>
        </w:tc>
        <w:tc>
          <w:tcPr>
            <w:tcW w:w="1250" w:type="dxa"/>
            <w:vAlign w:val="center"/>
          </w:tcPr>
          <w:p w14:paraId="51E14495">
            <w:pPr>
              <w:spacing w:line="360" w:lineRule="auto"/>
              <w:ind w:firstLine="480"/>
              <w:jc w:val="center"/>
              <w:rPr>
                <w:rFonts w:ascii="宋体" w:hAnsi="宋体" w:cs="宋体"/>
                <w:sz w:val="22"/>
                <w:szCs w:val="22"/>
              </w:rPr>
            </w:pPr>
          </w:p>
        </w:tc>
      </w:tr>
      <w:tr w14:paraId="3B48E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07" w:type="dxa"/>
            <w:vAlign w:val="center"/>
          </w:tcPr>
          <w:p w14:paraId="562A54FB">
            <w:pPr>
              <w:spacing w:line="360" w:lineRule="auto"/>
              <w:ind w:firstLine="480"/>
              <w:jc w:val="center"/>
              <w:rPr>
                <w:rFonts w:ascii="宋体" w:hAnsi="宋体" w:cs="宋体"/>
                <w:sz w:val="22"/>
                <w:szCs w:val="22"/>
              </w:rPr>
            </w:pPr>
          </w:p>
        </w:tc>
        <w:tc>
          <w:tcPr>
            <w:tcW w:w="6024" w:type="dxa"/>
            <w:vAlign w:val="center"/>
          </w:tcPr>
          <w:p w14:paraId="5742AFDA">
            <w:pPr>
              <w:spacing w:line="360" w:lineRule="auto"/>
              <w:ind w:firstLine="480"/>
              <w:jc w:val="center"/>
              <w:rPr>
                <w:rFonts w:ascii="宋体" w:hAnsi="宋体" w:cs="宋体"/>
                <w:sz w:val="22"/>
                <w:szCs w:val="22"/>
              </w:rPr>
            </w:pPr>
            <w:r>
              <w:rPr>
                <w:rFonts w:hint="eastAsia" w:ascii="宋体" w:hAnsi="宋体" w:cs="宋体"/>
                <w:sz w:val="22"/>
                <w:szCs w:val="22"/>
              </w:rPr>
              <w:t>合计</w:t>
            </w:r>
          </w:p>
        </w:tc>
        <w:tc>
          <w:tcPr>
            <w:tcW w:w="788" w:type="dxa"/>
            <w:vAlign w:val="center"/>
          </w:tcPr>
          <w:p w14:paraId="27CEE36B">
            <w:pPr>
              <w:spacing w:line="360" w:lineRule="auto"/>
              <w:jc w:val="center"/>
              <w:rPr>
                <w:rFonts w:ascii="宋体" w:hAnsi="宋体" w:cs="宋体"/>
                <w:sz w:val="22"/>
                <w:szCs w:val="22"/>
              </w:rPr>
            </w:pPr>
            <w:r>
              <w:rPr>
                <w:rFonts w:hint="eastAsia" w:ascii="宋体" w:hAnsi="宋体" w:cs="宋体"/>
                <w:sz w:val="22"/>
                <w:szCs w:val="22"/>
              </w:rPr>
              <w:t>100</w:t>
            </w:r>
          </w:p>
        </w:tc>
        <w:tc>
          <w:tcPr>
            <w:tcW w:w="768" w:type="dxa"/>
            <w:vAlign w:val="center"/>
          </w:tcPr>
          <w:p w14:paraId="48FFC282">
            <w:pPr>
              <w:spacing w:line="360" w:lineRule="auto"/>
              <w:ind w:firstLine="480"/>
              <w:jc w:val="center"/>
              <w:rPr>
                <w:rFonts w:ascii="宋体" w:hAnsi="宋体" w:cs="宋体"/>
                <w:sz w:val="22"/>
                <w:szCs w:val="22"/>
              </w:rPr>
            </w:pPr>
          </w:p>
        </w:tc>
        <w:tc>
          <w:tcPr>
            <w:tcW w:w="1250" w:type="dxa"/>
            <w:vAlign w:val="center"/>
          </w:tcPr>
          <w:p w14:paraId="1816D88E">
            <w:pPr>
              <w:spacing w:line="360" w:lineRule="auto"/>
              <w:ind w:firstLine="480"/>
              <w:jc w:val="center"/>
              <w:rPr>
                <w:rFonts w:ascii="宋体" w:hAnsi="宋体" w:cs="宋体"/>
                <w:sz w:val="22"/>
                <w:szCs w:val="22"/>
              </w:rPr>
            </w:pPr>
          </w:p>
        </w:tc>
      </w:tr>
    </w:tbl>
    <w:p w14:paraId="2D5DAB83">
      <w:pPr>
        <w:spacing w:line="360" w:lineRule="auto"/>
        <w:rPr>
          <w:rFonts w:ascii="宋体" w:hAnsi="宋体" w:cs="宋体"/>
          <w:sz w:val="22"/>
          <w:szCs w:val="28"/>
        </w:rPr>
      </w:pPr>
    </w:p>
    <w:sectPr>
      <w:footerReference r:id="rId3" w:type="default"/>
      <w:pgSz w:w="11906" w:h="16838"/>
      <w:pgMar w:top="1418" w:right="1417" w:bottom="1418" w:left="1701"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18E46">
    <w:pPr>
      <w:pStyle w:val="8"/>
      <w:jc w:val="center"/>
      <w:rPr>
        <w:rFonts w:hint="default" w:eastAsia="宋体"/>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CAD6BE">
                          <w:pPr>
                            <w:pStyle w:val="8"/>
                          </w:pPr>
                          <w:r>
                            <w:fldChar w:fldCharType="begin"/>
                          </w:r>
                          <w:r>
                            <w:instrText xml:space="preserve"> PAGE  \* MERGEFORMAT </w:instrText>
                          </w:r>
                          <w:r>
                            <w:fldChar w:fldCharType="separate"/>
                          </w:r>
                          <w:r>
                            <w:t>１</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1CAD6BE">
                    <w:pPr>
                      <w:pStyle w:val="8"/>
                    </w:pPr>
                    <w:r>
                      <w:fldChar w:fldCharType="begin"/>
                    </w:r>
                    <w:r>
                      <w:instrText xml:space="preserve"> PAGE  \* MERGEFORMAT </w:instrText>
                    </w:r>
                    <w:r>
                      <w:fldChar w:fldCharType="separate"/>
                    </w:r>
                    <w:r>
                      <w:t>１</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4F585B"/>
    <w:multiLevelType w:val="singleLevel"/>
    <w:tmpl w:val="CF4F585B"/>
    <w:lvl w:ilvl="0" w:tentative="0">
      <w:start w:val="2"/>
      <w:numFmt w:val="decimal"/>
      <w:lvlText w:val="%1."/>
      <w:lvlJc w:val="left"/>
      <w:pPr>
        <w:tabs>
          <w:tab w:val="left" w:pos="312"/>
        </w:tabs>
      </w:pPr>
    </w:lvl>
  </w:abstractNum>
  <w:abstractNum w:abstractNumId="1">
    <w:nsid w:val="3CFE37D9"/>
    <w:multiLevelType w:val="singleLevel"/>
    <w:tmpl w:val="3CFE37D9"/>
    <w:lvl w:ilvl="0" w:tentative="0">
      <w:start w:val="4"/>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MjNlOTA3ZmQ4NDc3NzAxZjI4OGU3OGM4OGU5MGMifQ=="/>
  </w:docVars>
  <w:rsids>
    <w:rsidRoot w:val="00962648"/>
    <w:rsid w:val="00005273"/>
    <w:rsid w:val="000647F7"/>
    <w:rsid w:val="000B0BD1"/>
    <w:rsid w:val="000C014B"/>
    <w:rsid w:val="00112DB0"/>
    <w:rsid w:val="00217C7F"/>
    <w:rsid w:val="002A59B5"/>
    <w:rsid w:val="002D269B"/>
    <w:rsid w:val="00381064"/>
    <w:rsid w:val="00390EAC"/>
    <w:rsid w:val="003F2DF5"/>
    <w:rsid w:val="00403CDF"/>
    <w:rsid w:val="005142B1"/>
    <w:rsid w:val="00514CF2"/>
    <w:rsid w:val="00576EE2"/>
    <w:rsid w:val="00776F4A"/>
    <w:rsid w:val="00816C9A"/>
    <w:rsid w:val="008E7EDC"/>
    <w:rsid w:val="00962648"/>
    <w:rsid w:val="00A004B9"/>
    <w:rsid w:val="00BB751B"/>
    <w:rsid w:val="00EE7E5B"/>
    <w:rsid w:val="03653EFA"/>
    <w:rsid w:val="04F72D74"/>
    <w:rsid w:val="062434E7"/>
    <w:rsid w:val="06AD62E4"/>
    <w:rsid w:val="07E15254"/>
    <w:rsid w:val="08362309"/>
    <w:rsid w:val="086F1103"/>
    <w:rsid w:val="0A6E46F6"/>
    <w:rsid w:val="10C7559C"/>
    <w:rsid w:val="11FC3C7B"/>
    <w:rsid w:val="1209342D"/>
    <w:rsid w:val="120B318C"/>
    <w:rsid w:val="150115A9"/>
    <w:rsid w:val="150C0FCB"/>
    <w:rsid w:val="16A9014A"/>
    <w:rsid w:val="16FA09A5"/>
    <w:rsid w:val="182324D2"/>
    <w:rsid w:val="185E0D18"/>
    <w:rsid w:val="189425C0"/>
    <w:rsid w:val="18DC5216"/>
    <w:rsid w:val="1D1E3640"/>
    <w:rsid w:val="1F6C50F8"/>
    <w:rsid w:val="23D06D16"/>
    <w:rsid w:val="23FE3883"/>
    <w:rsid w:val="2690456D"/>
    <w:rsid w:val="28680B8D"/>
    <w:rsid w:val="28A569C3"/>
    <w:rsid w:val="28B07116"/>
    <w:rsid w:val="293B38CF"/>
    <w:rsid w:val="29622B06"/>
    <w:rsid w:val="2BF423FB"/>
    <w:rsid w:val="2C3047F6"/>
    <w:rsid w:val="2E394EE1"/>
    <w:rsid w:val="2FD025E4"/>
    <w:rsid w:val="2FD26EA8"/>
    <w:rsid w:val="302F8C22"/>
    <w:rsid w:val="31647D90"/>
    <w:rsid w:val="332F716F"/>
    <w:rsid w:val="36D71C33"/>
    <w:rsid w:val="394A0EC1"/>
    <w:rsid w:val="39E6508D"/>
    <w:rsid w:val="3A5820F4"/>
    <w:rsid w:val="3CCA47F2"/>
    <w:rsid w:val="3D485F29"/>
    <w:rsid w:val="3EF73899"/>
    <w:rsid w:val="41E41EB2"/>
    <w:rsid w:val="4343494E"/>
    <w:rsid w:val="449A3FB7"/>
    <w:rsid w:val="4AAA7A11"/>
    <w:rsid w:val="4C9778C2"/>
    <w:rsid w:val="4F503331"/>
    <w:rsid w:val="52831274"/>
    <w:rsid w:val="54E83559"/>
    <w:rsid w:val="57447F74"/>
    <w:rsid w:val="586B5688"/>
    <w:rsid w:val="59CD1026"/>
    <w:rsid w:val="5AF076C2"/>
    <w:rsid w:val="5B1C4013"/>
    <w:rsid w:val="5BA61FE7"/>
    <w:rsid w:val="5CF8285E"/>
    <w:rsid w:val="5E1E5868"/>
    <w:rsid w:val="61A3723C"/>
    <w:rsid w:val="65716B9A"/>
    <w:rsid w:val="65B31A18"/>
    <w:rsid w:val="67706700"/>
    <w:rsid w:val="688F051A"/>
    <w:rsid w:val="6D3D6C44"/>
    <w:rsid w:val="70422316"/>
    <w:rsid w:val="707753D6"/>
    <w:rsid w:val="71327C95"/>
    <w:rsid w:val="71F96A05"/>
    <w:rsid w:val="725145CE"/>
    <w:rsid w:val="725A2B0E"/>
    <w:rsid w:val="761E0C35"/>
    <w:rsid w:val="77324E93"/>
    <w:rsid w:val="7851759A"/>
    <w:rsid w:val="799F5EA3"/>
    <w:rsid w:val="79AF3AEA"/>
    <w:rsid w:val="7C115CF0"/>
    <w:rsid w:val="7F8F23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5">
    <w:name w:val="Default Paragraph Font"/>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alloon Text"/>
    <w:basedOn w:val="1"/>
    <w:next w:val="3"/>
    <w:qFormat/>
    <w:uiPriority w:val="0"/>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annotation text"/>
    <w:basedOn w:val="1"/>
    <w:link w:val="25"/>
    <w:qFormat/>
    <w:uiPriority w:val="0"/>
    <w:pPr>
      <w:jc w:val="left"/>
    </w:pPr>
  </w:style>
  <w:style w:type="paragraph" w:styleId="7">
    <w:name w:val="toc 3"/>
    <w:basedOn w:val="1"/>
    <w:next w:val="1"/>
    <w:qFormat/>
    <w:uiPriority w:val="0"/>
    <w:pPr>
      <w:ind w:left="840" w:leftChars="400"/>
    </w:pPr>
  </w:style>
  <w:style w:type="paragraph" w:styleId="8">
    <w:name w:val="footer"/>
    <w:basedOn w:val="1"/>
    <w:qFormat/>
    <w:uiPriority w:val="99"/>
    <w:pPr>
      <w:tabs>
        <w:tab w:val="center" w:pos="4153"/>
        <w:tab w:val="right" w:pos="8306"/>
      </w:tabs>
      <w:snapToGrid w:val="0"/>
      <w:jc w:val="left"/>
    </w:pPr>
    <w:rPr>
      <w:sz w:val="18"/>
      <w:szCs w:val="18"/>
    </w:rPr>
  </w:style>
  <w:style w:type="paragraph" w:styleId="9">
    <w:name w:val="toc 1"/>
    <w:basedOn w:val="1"/>
    <w:next w:val="1"/>
    <w:qFormat/>
    <w:uiPriority w:val="39"/>
    <w:pPr>
      <w:tabs>
        <w:tab w:val="right" w:leader="dot" w:pos="8777"/>
      </w:tabs>
      <w:spacing w:line="360" w:lineRule="auto"/>
    </w:pPr>
  </w:style>
  <w:style w:type="paragraph" w:styleId="10">
    <w:name w:val="toc 2"/>
    <w:basedOn w:val="1"/>
    <w:next w:val="1"/>
    <w:qFormat/>
    <w:uiPriority w:val="39"/>
    <w:pPr>
      <w:ind w:left="420" w:leftChars="200"/>
    </w:pPr>
  </w:style>
  <w:style w:type="paragraph" w:styleId="11">
    <w:name w:val="Normal (Web)"/>
    <w:basedOn w:val="1"/>
    <w:qFormat/>
    <w:uiPriority w:val="0"/>
    <w:pPr>
      <w:spacing w:beforeAutospacing="1" w:afterAutospacing="1"/>
      <w:jc w:val="left"/>
    </w:pPr>
    <w:rPr>
      <w:kern w:val="0"/>
      <w:sz w:val="24"/>
    </w:rPr>
  </w:style>
  <w:style w:type="paragraph" w:styleId="12">
    <w:name w:val="annotation subject"/>
    <w:basedOn w:val="6"/>
    <w:next w:val="6"/>
    <w:link w:val="26"/>
    <w:qFormat/>
    <w:uiPriority w:val="0"/>
    <w:rPr>
      <w:b/>
      <w:bCs/>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rPr>
      <w:rFonts w:hint="default"/>
      <w:sz w:val="24"/>
    </w:rPr>
  </w:style>
  <w:style w:type="character" w:styleId="17">
    <w:name w:val="annotation reference"/>
    <w:basedOn w:val="15"/>
    <w:qFormat/>
    <w:uiPriority w:val="0"/>
    <w:rPr>
      <w:sz w:val="21"/>
      <w:szCs w:val="21"/>
    </w:rPr>
  </w:style>
  <w:style w:type="paragraph" w:customStyle="1" w:styleId="18">
    <w:name w:val="正文缩进311"/>
    <w:next w:val="1"/>
    <w:qFormat/>
    <w:uiPriority w:val="0"/>
    <w:pPr>
      <w:wordWrap w:val="0"/>
      <w:ind w:left="3400"/>
      <w:jc w:val="both"/>
    </w:pPr>
    <w:rPr>
      <w:rFonts w:ascii="Calibri" w:hAnsi="Calibri" w:eastAsia="宋体" w:cs="Times New Roman"/>
      <w:sz w:val="21"/>
      <w:szCs w:val="22"/>
      <w:lang w:val="en-US" w:eastAsia="zh-CN" w:bidi="ar-SA"/>
    </w:rPr>
  </w:style>
  <w:style w:type="paragraph" w:customStyle="1" w:styleId="19">
    <w:name w:val="正文文本首行缩进 21"/>
    <w:basedOn w:val="20"/>
    <w:qFormat/>
    <w:uiPriority w:val="0"/>
    <w:pPr>
      <w:ind w:firstLine="420"/>
    </w:pPr>
  </w:style>
  <w:style w:type="paragraph" w:customStyle="1" w:styleId="20">
    <w:name w:val="正文文本缩进1"/>
    <w:basedOn w:val="1"/>
    <w:qFormat/>
    <w:uiPriority w:val="0"/>
    <w:pPr>
      <w:spacing w:line="520" w:lineRule="exact"/>
      <w:ind w:firstLine="640" w:firstLineChars="200"/>
    </w:pPr>
    <w:rPr>
      <w:rFonts w:ascii="仿宋_GB2312" w:eastAsia="仿宋_GB2312"/>
      <w:sz w:val="32"/>
    </w:rPr>
  </w:style>
  <w:style w:type="paragraph" w:customStyle="1" w:styleId="21">
    <w:name w:val="Body text|1"/>
    <w:basedOn w:val="1"/>
    <w:qFormat/>
    <w:uiPriority w:val="0"/>
    <w:pPr>
      <w:spacing w:after="200" w:line="430" w:lineRule="auto"/>
      <w:ind w:firstLine="400"/>
    </w:pPr>
    <w:rPr>
      <w:rFonts w:ascii="宋体" w:hAnsi="宋体" w:cs="宋体"/>
      <w:sz w:val="22"/>
      <w:szCs w:val="22"/>
      <w:lang w:val="zh-TW" w:eastAsia="zh-TW" w:bidi="zh-TW"/>
    </w:rPr>
  </w:style>
  <w:style w:type="paragraph" w:customStyle="1" w:styleId="22">
    <w:name w:val="Body text|2"/>
    <w:basedOn w:val="1"/>
    <w:qFormat/>
    <w:uiPriority w:val="0"/>
    <w:pPr>
      <w:spacing w:after="300"/>
      <w:ind w:left="1270"/>
      <w:jc w:val="center"/>
    </w:pPr>
    <w:rPr>
      <w:sz w:val="26"/>
      <w:szCs w:val="26"/>
      <w:lang w:val="zh-TW" w:eastAsia="zh-TW" w:bidi="zh-TW"/>
    </w:rPr>
  </w:style>
  <w:style w:type="paragraph" w:customStyle="1" w:styleId="23">
    <w:name w:val="Heading #4|1"/>
    <w:basedOn w:val="1"/>
    <w:qFormat/>
    <w:uiPriority w:val="0"/>
    <w:pPr>
      <w:spacing w:after="60"/>
      <w:ind w:firstLine="760"/>
      <w:outlineLvl w:val="3"/>
    </w:pPr>
    <w:rPr>
      <w:rFonts w:ascii="宋体" w:hAnsi="宋体" w:cs="宋体"/>
      <w:sz w:val="26"/>
      <w:szCs w:val="26"/>
      <w:lang w:val="zh-TW" w:eastAsia="zh-TW" w:bidi="zh-TW"/>
    </w:rPr>
  </w:style>
  <w:style w:type="paragraph" w:customStyle="1" w:styleId="24">
    <w:name w:val="Header or footer|1"/>
    <w:basedOn w:val="1"/>
    <w:qFormat/>
    <w:uiPriority w:val="0"/>
    <w:pPr>
      <w:spacing w:line="319" w:lineRule="auto"/>
    </w:pPr>
    <w:rPr>
      <w:lang w:val="zh-TW" w:eastAsia="zh-TW" w:bidi="zh-TW"/>
    </w:rPr>
  </w:style>
  <w:style w:type="character" w:customStyle="1" w:styleId="25">
    <w:name w:val="批注文字 Char"/>
    <w:basedOn w:val="15"/>
    <w:link w:val="6"/>
    <w:qFormat/>
    <w:uiPriority w:val="0"/>
    <w:rPr>
      <w:rFonts w:ascii="Calibri" w:hAnsi="Calibri"/>
      <w:kern w:val="2"/>
      <w:sz w:val="21"/>
      <w:szCs w:val="24"/>
    </w:rPr>
  </w:style>
  <w:style w:type="character" w:customStyle="1" w:styleId="26">
    <w:name w:val="批注主题 Char"/>
    <w:basedOn w:val="25"/>
    <w:link w:val="12"/>
    <w:qFormat/>
    <w:uiPriority w:val="0"/>
    <w:rPr>
      <w:rFonts w:ascii="Calibri" w:hAnsi="Calibri"/>
      <w:b/>
      <w:bCs/>
      <w:kern w:val="2"/>
      <w:sz w:val="21"/>
      <w:szCs w:val="24"/>
    </w:rPr>
  </w:style>
  <w:style w:type="paragraph" w:customStyle="1" w:styleId="27">
    <w:name w:val="WPSOffice手动目录 1"/>
    <w:qFormat/>
    <w:uiPriority w:val="0"/>
    <w:rPr>
      <w:rFonts w:ascii="Times New Roman" w:hAnsi="Times New Roman" w:eastAsia="宋体" w:cs="Times New Roman"/>
      <w:lang w:val="en-US" w:eastAsia="zh-CN" w:bidi="ar-SA"/>
    </w:rPr>
  </w:style>
  <w:style w:type="paragraph" w:customStyle="1" w:styleId="28">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9">
    <w:name w:val="WPSOffice手动目录 3"/>
    <w:qFormat/>
    <w:uiPriority w:val="0"/>
    <w:pPr>
      <w:ind w:left="400" w:leftChars="4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EB0B9F-406A-46FC-8CE5-3D9AF651647E}">
  <ds:schemaRefs/>
</ds:datastoreItem>
</file>

<file path=docProps/app.xml><?xml version="1.0" encoding="utf-8"?>
<Properties xmlns="http://schemas.openxmlformats.org/officeDocument/2006/extended-properties" xmlns:vt="http://schemas.openxmlformats.org/officeDocument/2006/docPropsVTypes">
  <Template>Normal</Template>
  <Pages>43</Pages>
  <Words>5207</Words>
  <Characters>5579</Characters>
  <Lines>187</Lines>
  <Paragraphs>52</Paragraphs>
  <TotalTime>3</TotalTime>
  <ScaleCrop>false</ScaleCrop>
  <LinksUpToDate>false</LinksUpToDate>
  <CharactersWithSpaces>5736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2023-06-28T10:48:00Z</dcterms:created>
  <dc:creator>Administrator</dc:creator>
  <cp:lastModifiedBy>Day丶17</cp:lastModifiedBy>
  <cp:lastPrinted>2023-07-10T08:52:00Z</cp:lastPrinted>
  <dcterms:modified xsi:type="dcterms:W3CDTF">2026-06-30T01:08:52Z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CB206BC6F62B4BA39A6947CBF604B5F4_13</vt:lpwstr>
  </property>
  <property fmtid="{D5CDD505-2E9C-101B-9397-08002B2CF9AE}" pid="4" name="KSOTemplateDocerSaveRecord">
    <vt:lpwstr>eyJoZGlkIjoiZDI1YTc4ZGRlZTE4ZWFlMjI5YmQ4MzczOGY3NmZhOGMiLCJ1c2VySWQiOiI0Njc0NjIyMzcifQ==</vt:lpwstr>
  </property>
</Properties>
</file>