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600" w:lineRule="atLeast"/>
        <w:jc w:val="right"/>
        <w:rPr>
          <w:rFonts w:ascii="宋体" w:hAnsi="宋体" w:cs="黑体"/>
          <w:sz w:val="30"/>
          <w:szCs w:val="30"/>
        </w:rPr>
      </w:pPr>
      <w:r>
        <w:rPr>
          <w:rFonts w:hint="eastAsia" w:ascii="宋体" w:hAnsi="宋体"/>
          <w:bCs/>
          <w:sz w:val="28"/>
          <w:szCs w:val="28"/>
        </w:rPr>
        <w:t xml:space="preserve"> </w:t>
      </w:r>
      <w:bookmarkStart w:id="0" w:name="_Hlk497168988"/>
      <w:bookmarkEnd w:id="0"/>
      <w:r>
        <w:rPr>
          <w:rFonts w:hint="eastAsia" w:ascii="宋体" w:hAnsi="宋体" w:cs="仿宋"/>
          <w:sz w:val="24"/>
          <w:szCs w:val="30"/>
        </w:rPr>
        <w:t>厦恒</w:t>
      </w:r>
      <w:r>
        <w:rPr>
          <w:rFonts w:hint="eastAsia" w:ascii="宋体" w:hAnsi="宋体" w:cs="Calibri"/>
          <w:sz w:val="24"/>
          <w:szCs w:val="30"/>
        </w:rPr>
        <w:t>咨字[2023]</w:t>
      </w:r>
      <w:r>
        <w:rPr>
          <w:rFonts w:hint="eastAsia" w:ascii="宋体" w:hAnsi="宋体" w:cs="仿宋"/>
          <w:sz w:val="24"/>
          <w:szCs w:val="30"/>
        </w:rPr>
        <w:t>第</w:t>
      </w:r>
      <w:r>
        <w:rPr>
          <w:rFonts w:ascii="宋体" w:hAnsi="宋体" w:cs="仿宋"/>
          <w:sz w:val="24"/>
          <w:szCs w:val="30"/>
        </w:rPr>
        <w:t>1</w:t>
      </w:r>
      <w:r>
        <w:rPr>
          <w:rFonts w:hint="eastAsia" w:ascii="宋体" w:hAnsi="宋体" w:cs="Calibri"/>
          <w:sz w:val="24"/>
          <w:szCs w:val="30"/>
        </w:rPr>
        <w:t>0**</w:t>
      </w:r>
      <w:r>
        <w:rPr>
          <w:rFonts w:hint="eastAsia" w:ascii="宋体" w:hAnsi="宋体" w:cs="仿宋"/>
          <w:sz w:val="24"/>
          <w:szCs w:val="30"/>
        </w:rPr>
        <w:t>号</w:t>
      </w:r>
    </w:p>
    <w:p>
      <w:pPr>
        <w:rPr>
          <w:rFonts w:ascii="宋体" w:hAnsi="宋体"/>
          <w:bCs/>
          <w:sz w:val="28"/>
          <w:szCs w:val="28"/>
        </w:rPr>
      </w:pPr>
    </w:p>
    <w:p>
      <w:pPr>
        <w:rPr>
          <w:rFonts w:ascii="宋体" w:hAnsi="宋体"/>
          <w:bCs/>
          <w:sz w:val="28"/>
          <w:szCs w:val="28"/>
        </w:rPr>
      </w:pPr>
    </w:p>
    <w:p>
      <w:pPr>
        <w:snapToGrid w:val="0"/>
        <w:spacing w:line="360" w:lineRule="auto"/>
        <w:jc w:val="center"/>
        <w:rPr>
          <w:rFonts w:ascii="仿宋" w:hAnsi="仿宋" w:eastAsia="仿宋"/>
          <w:b/>
          <w:bCs/>
          <w:sz w:val="52"/>
          <w:szCs w:val="52"/>
        </w:rPr>
      </w:pPr>
    </w:p>
    <w:p>
      <w:pPr>
        <w:snapToGrid w:val="0"/>
        <w:spacing w:line="360" w:lineRule="auto"/>
        <w:jc w:val="center"/>
        <w:rPr>
          <w:rFonts w:ascii="仿宋" w:hAnsi="仿宋" w:eastAsia="仿宋"/>
          <w:b/>
          <w:bCs/>
          <w:sz w:val="52"/>
          <w:szCs w:val="52"/>
        </w:rPr>
      </w:pPr>
      <w:r>
        <w:rPr>
          <w:rFonts w:hint="eastAsia" w:ascii="仿宋" w:hAnsi="仿宋" w:eastAsia="仿宋"/>
          <w:b/>
          <w:bCs/>
          <w:sz w:val="52"/>
          <w:szCs w:val="52"/>
        </w:rPr>
        <w:t>石狮市财政支出项目</w:t>
      </w:r>
    </w:p>
    <w:p>
      <w:pPr>
        <w:snapToGrid w:val="0"/>
        <w:spacing w:line="360" w:lineRule="auto"/>
        <w:jc w:val="center"/>
        <w:rPr>
          <w:rFonts w:ascii="仿宋" w:hAnsi="仿宋" w:eastAsia="仿宋"/>
          <w:b/>
          <w:bCs/>
          <w:sz w:val="52"/>
          <w:szCs w:val="52"/>
        </w:rPr>
      </w:pPr>
      <w:r>
        <w:rPr>
          <w:rFonts w:hint="eastAsia" w:ascii="仿宋" w:hAnsi="仿宋" w:eastAsia="仿宋"/>
          <w:b/>
          <w:bCs/>
          <w:sz w:val="52"/>
          <w:szCs w:val="52"/>
        </w:rPr>
        <w:t>绩效评价报告</w:t>
      </w:r>
    </w:p>
    <w:p>
      <w:pPr>
        <w:pStyle w:val="2"/>
        <w:ind w:firstLine="0" w:firstLineChars="0"/>
        <w:jc w:val="center"/>
        <w:rPr>
          <w:rFonts w:eastAsia="仿宋"/>
        </w:rPr>
      </w:pPr>
      <w:r>
        <w:rPr>
          <w:rFonts w:hint="eastAsia" w:ascii="仿宋" w:hAnsi="仿宋" w:eastAsia="仿宋"/>
          <w:b/>
          <w:bCs/>
          <w:sz w:val="52"/>
          <w:szCs w:val="52"/>
        </w:rPr>
        <w:t>（征求意见稿）</w:t>
      </w:r>
    </w:p>
    <w:p>
      <w:pPr>
        <w:snapToGrid w:val="0"/>
        <w:spacing w:line="360" w:lineRule="auto"/>
        <w:jc w:val="center"/>
        <w:rPr>
          <w:rFonts w:ascii="宋体" w:hAnsi="宋体"/>
          <w:b/>
          <w:sz w:val="52"/>
        </w:rPr>
      </w:pPr>
      <w:r>
        <w:rPr>
          <w:rFonts w:hint="eastAsia" w:ascii="宋体" w:hAnsi="宋体"/>
          <w:b/>
          <w:sz w:val="52"/>
        </w:rPr>
        <w:t xml:space="preserve"> </w:t>
      </w:r>
    </w:p>
    <w:p>
      <w:pPr>
        <w:snapToGrid w:val="0"/>
        <w:spacing w:line="360" w:lineRule="auto"/>
        <w:rPr>
          <w:rFonts w:ascii="宋体" w:hAnsi="宋体"/>
          <w:b/>
          <w:sz w:val="52"/>
        </w:rPr>
      </w:pPr>
    </w:p>
    <w:p>
      <w:pPr>
        <w:snapToGrid w:val="0"/>
        <w:spacing w:line="360" w:lineRule="auto"/>
        <w:ind w:left="210" w:leftChars="100" w:firstLine="214" w:firstLineChars="67"/>
        <w:rPr>
          <w:rFonts w:ascii="仿宋" w:hAnsi="仿宋" w:eastAsia="仿宋"/>
          <w:sz w:val="32"/>
          <w:szCs w:val="32"/>
          <w:u w:val="single"/>
        </w:rPr>
      </w:pPr>
      <w:r>
        <w:rPr>
          <w:rFonts w:hint="eastAsia" w:ascii="宋体" w:hAnsi="宋体" w:eastAsia="仿宋_GB2312"/>
          <w:sz w:val="32"/>
          <w:szCs w:val="32"/>
        </w:rPr>
        <w:t>主管部门</w:t>
      </w:r>
      <w:r>
        <w:rPr>
          <w:rFonts w:hint="eastAsia" w:ascii="仿宋" w:hAnsi="仿宋" w:eastAsia="仿宋"/>
          <w:sz w:val="32"/>
          <w:szCs w:val="32"/>
        </w:rPr>
        <w:t>：</w:t>
      </w:r>
      <w:r>
        <w:rPr>
          <w:rFonts w:hint="eastAsia" w:ascii="宋体" w:hAnsi="宋体"/>
          <w:sz w:val="32"/>
          <w:szCs w:val="32"/>
        </w:rPr>
        <w:t xml:space="preserve">  </w:t>
      </w:r>
      <w:r>
        <w:rPr>
          <w:rFonts w:ascii="宋体" w:hAnsi="宋体"/>
          <w:sz w:val="32"/>
          <w:szCs w:val="32"/>
          <w:u w:val="single"/>
        </w:rPr>
        <w:t xml:space="preserve">   </w:t>
      </w:r>
      <w:r>
        <w:rPr>
          <w:rFonts w:hint="eastAsia" w:ascii="宋体" w:hAnsi="宋体"/>
          <w:sz w:val="32"/>
          <w:szCs w:val="32"/>
          <w:u w:val="single"/>
        </w:rPr>
        <w:t xml:space="preserve">         </w:t>
      </w:r>
      <w:r>
        <w:rPr>
          <w:rFonts w:hint="eastAsia" w:ascii="仿宋" w:hAnsi="仿宋" w:eastAsia="仿宋"/>
          <w:sz w:val="32"/>
          <w:szCs w:val="32"/>
          <w:u w:val="single"/>
        </w:rPr>
        <w:t xml:space="preserve">石狮市民政局                                   </w:t>
      </w:r>
    </w:p>
    <w:p>
      <w:pPr>
        <w:snapToGrid w:val="0"/>
        <w:spacing w:line="360" w:lineRule="auto"/>
        <w:ind w:left="210" w:leftChars="100" w:firstLine="214" w:firstLineChars="67"/>
        <w:rPr>
          <w:rFonts w:ascii="仿宋" w:hAnsi="仿宋" w:eastAsia="仿宋"/>
          <w:sz w:val="32"/>
          <w:szCs w:val="32"/>
          <w:u w:val="single"/>
        </w:rPr>
      </w:pPr>
      <w:r>
        <w:rPr>
          <w:rFonts w:hint="eastAsia" w:ascii="仿宋" w:hAnsi="仿宋" w:eastAsia="仿宋"/>
          <w:sz w:val="32"/>
          <w:szCs w:val="32"/>
        </w:rPr>
        <w:t xml:space="preserve">项目单位：  </w:t>
      </w:r>
      <w:r>
        <w:rPr>
          <w:rFonts w:ascii="仿宋" w:hAnsi="仿宋" w:eastAsia="仿宋"/>
          <w:sz w:val="32"/>
          <w:szCs w:val="32"/>
          <w:u w:val="single"/>
        </w:rPr>
        <w:t xml:space="preserve">   </w:t>
      </w:r>
      <w:r>
        <w:rPr>
          <w:rFonts w:hint="eastAsia" w:ascii="仿宋" w:hAnsi="仿宋" w:eastAsia="仿宋"/>
          <w:sz w:val="32"/>
          <w:szCs w:val="32"/>
          <w:u w:val="single"/>
        </w:rPr>
        <w:t xml:space="preserve">         石狮市民政局                                   </w:t>
      </w:r>
    </w:p>
    <w:p>
      <w:pPr>
        <w:snapToGrid w:val="0"/>
        <w:spacing w:line="360" w:lineRule="auto"/>
        <w:ind w:left="210" w:leftChars="100" w:firstLine="214" w:firstLineChars="67"/>
        <w:rPr>
          <w:rFonts w:ascii="仿宋" w:hAnsi="仿宋" w:eastAsia="仿宋"/>
          <w:sz w:val="32"/>
          <w:szCs w:val="32"/>
          <w:u w:val="single"/>
        </w:rPr>
      </w:pPr>
      <w:r>
        <w:rPr>
          <w:rFonts w:hint="eastAsia" w:ascii="仿宋" w:hAnsi="仿宋" w:eastAsia="仿宋"/>
          <w:sz w:val="32"/>
          <w:szCs w:val="32"/>
        </w:rPr>
        <w:t xml:space="preserve">项目名称：  </w:t>
      </w:r>
      <w:r>
        <w:rPr>
          <w:rFonts w:hint="eastAsia" w:ascii="仿宋" w:hAnsi="仿宋" w:eastAsia="仿宋"/>
          <w:sz w:val="32"/>
          <w:szCs w:val="32"/>
          <w:u w:val="single"/>
        </w:rPr>
        <w:t xml:space="preserve">   2022年度石狮市养老服务业补助项目  </w:t>
      </w:r>
    </w:p>
    <w:p>
      <w:pPr>
        <w:spacing w:line="340" w:lineRule="exact"/>
        <w:ind w:firstLine="425" w:firstLineChars="133"/>
        <w:rPr>
          <w:rFonts w:ascii="仿宋" w:hAnsi="仿宋" w:eastAsia="仿宋"/>
          <w:sz w:val="32"/>
          <w:szCs w:val="32"/>
          <w:u w:val="single"/>
        </w:rPr>
      </w:pPr>
      <w:r>
        <w:rPr>
          <w:rFonts w:hint="eastAsia" w:ascii="仿宋" w:hAnsi="仿宋" w:eastAsia="仿宋"/>
          <w:sz w:val="32"/>
          <w:szCs w:val="32"/>
        </w:rPr>
        <w:t xml:space="preserve">评价机构：  </w:t>
      </w:r>
      <w:r>
        <w:rPr>
          <w:rFonts w:hint="eastAsia" w:ascii="仿宋" w:hAnsi="仿宋" w:eastAsia="仿宋"/>
          <w:sz w:val="32"/>
          <w:szCs w:val="32"/>
          <w:u w:val="single"/>
        </w:rPr>
        <w:t xml:space="preserve">      厦门市恒</w:t>
      </w:r>
      <w:r>
        <w:rPr>
          <w:rFonts w:hint="eastAsia" w:ascii="仿宋" w:hAnsi="仿宋" w:eastAsia="仿宋" w:cs="微软雅黑"/>
          <w:sz w:val="32"/>
          <w:szCs w:val="32"/>
          <w:u w:val="single"/>
        </w:rPr>
        <w:t>璟</w:t>
      </w:r>
      <w:r>
        <w:rPr>
          <w:rFonts w:hint="eastAsia" w:ascii="仿宋" w:hAnsi="仿宋" w:eastAsia="仿宋" w:cs="仿宋_GB2312"/>
          <w:sz w:val="32"/>
          <w:szCs w:val="32"/>
          <w:u w:val="single"/>
        </w:rPr>
        <w:t xml:space="preserve">管理顾问有限公司         </w:t>
      </w:r>
    </w:p>
    <w:p>
      <w:pPr>
        <w:jc w:val="center"/>
        <w:rPr>
          <w:rFonts w:ascii="仿宋" w:hAnsi="仿宋" w:eastAsia="仿宋" w:cs="仿宋"/>
          <w:b/>
          <w:szCs w:val="30"/>
        </w:rPr>
      </w:pPr>
      <w:r>
        <w:rPr>
          <w:rFonts w:hint="eastAsia" w:ascii="仿宋" w:hAnsi="仿宋" w:eastAsia="仿宋" w:cs="仿宋"/>
          <w:szCs w:val="30"/>
        </w:rPr>
        <w:t xml:space="preserve">    </w:t>
      </w:r>
      <w:r>
        <w:rPr>
          <w:rFonts w:hint="eastAsia" w:ascii="仿宋" w:hAnsi="仿宋" w:eastAsia="仿宋" w:cs="仿宋"/>
          <w:b/>
          <w:szCs w:val="30"/>
        </w:rPr>
        <w:t xml:space="preserve">                  </w:t>
      </w:r>
    </w:p>
    <w:p>
      <w:pPr>
        <w:rPr>
          <w:rFonts w:ascii="黑体" w:hAnsi="宋体" w:eastAsia="黑体"/>
          <w:b/>
          <w:sz w:val="32"/>
          <w:szCs w:val="32"/>
        </w:rPr>
      </w:pPr>
    </w:p>
    <w:p>
      <w:pPr>
        <w:rPr>
          <w:rFonts w:ascii="黑体" w:eastAsia="黑体"/>
          <w:sz w:val="36"/>
          <w:szCs w:val="36"/>
        </w:rPr>
      </w:pPr>
    </w:p>
    <w:p>
      <w:pPr>
        <w:jc w:val="center"/>
        <w:rPr>
          <w:rFonts w:ascii="黑体" w:eastAsia="黑体"/>
          <w:sz w:val="36"/>
          <w:szCs w:val="36"/>
        </w:rPr>
      </w:pPr>
      <w:r>
        <w:rPr>
          <w:rFonts w:hint="eastAsia" w:ascii="黑体" w:eastAsia="黑体"/>
          <w:sz w:val="36"/>
          <w:szCs w:val="36"/>
        </w:rPr>
        <w:t>石狮市财政局</w:t>
      </w:r>
    </w:p>
    <w:p>
      <w:pPr>
        <w:jc w:val="center"/>
        <w:rPr>
          <w:rFonts w:ascii="黑体" w:eastAsia="黑体"/>
          <w:sz w:val="36"/>
          <w:szCs w:val="36"/>
        </w:rPr>
      </w:pPr>
    </w:p>
    <w:p>
      <w:pPr>
        <w:jc w:val="center"/>
        <w:rPr>
          <w:rFonts w:ascii="黑体" w:eastAsia="黑体"/>
          <w:sz w:val="36"/>
          <w:szCs w:val="36"/>
        </w:rPr>
        <w:sectPr>
          <w:footerReference r:id="rId3" w:type="default"/>
          <w:footerReference r:id="rId4" w:type="even"/>
          <w:pgSz w:w="11906" w:h="16838"/>
          <w:pgMar w:top="1440" w:right="1800" w:bottom="1440" w:left="1800" w:header="851" w:footer="992" w:gutter="0"/>
          <w:cols w:space="720" w:num="1"/>
          <w:docGrid w:type="lines" w:linePitch="312" w:charSpace="0"/>
        </w:sectPr>
      </w:pPr>
      <w:r>
        <w:rPr>
          <w:rFonts w:ascii="黑体" w:eastAsia="黑体"/>
          <w:sz w:val="36"/>
          <w:szCs w:val="36"/>
        </w:rPr>
        <w:t>202</w:t>
      </w:r>
      <w:r>
        <w:rPr>
          <w:rFonts w:hint="eastAsia" w:ascii="黑体" w:eastAsia="黑体"/>
          <w:sz w:val="36"/>
          <w:szCs w:val="36"/>
        </w:rPr>
        <w:t>3年6月</w:t>
      </w:r>
    </w:p>
    <w:p>
      <w:pPr>
        <w:jc w:val="center"/>
        <w:rPr>
          <w:rFonts w:ascii="黑体" w:eastAsia="黑体"/>
          <w:sz w:val="36"/>
          <w:szCs w:val="36"/>
        </w:rPr>
      </w:pPr>
      <w:r>
        <w:rPr>
          <w:rFonts w:hint="eastAsia" w:ascii="黑体" w:eastAsia="黑体"/>
          <w:sz w:val="36"/>
          <w:szCs w:val="36"/>
        </w:rPr>
        <w:t xml:space="preserve">摘 </w:t>
      </w:r>
      <w:r>
        <w:rPr>
          <w:rFonts w:ascii="黑体" w:eastAsia="黑体"/>
          <w:sz w:val="36"/>
          <w:szCs w:val="36"/>
        </w:rPr>
        <w:t xml:space="preserve"> </w:t>
      </w:r>
      <w:r>
        <w:rPr>
          <w:rFonts w:hint="eastAsia" w:ascii="黑体" w:eastAsia="黑体"/>
          <w:sz w:val="36"/>
          <w:szCs w:val="36"/>
        </w:rPr>
        <w:t>要</w:t>
      </w:r>
    </w:p>
    <w:p>
      <w:pPr>
        <w:widowControl/>
        <w:ind w:firstLine="620" w:firstLineChars="200"/>
      </w:pPr>
      <w:r>
        <w:rPr>
          <w:rFonts w:ascii="仿宋_GB2312" w:hAnsi="宋体" w:eastAsia="仿宋_GB2312" w:cs="仿宋_GB2312"/>
          <w:color w:val="000000"/>
          <w:kern w:val="0"/>
          <w:sz w:val="31"/>
          <w:szCs w:val="31"/>
          <w:lang w:bidi="ar"/>
        </w:rPr>
        <w:t>受石狮市财政局委托，我司（厦门市恒</w:t>
      </w:r>
      <w:r>
        <w:rPr>
          <w:rFonts w:ascii="仿宋" w:hAnsi="仿宋" w:eastAsia="仿宋" w:cs="仿宋"/>
          <w:color w:val="000000"/>
          <w:kern w:val="0"/>
          <w:sz w:val="31"/>
          <w:szCs w:val="31"/>
          <w:lang w:bidi="ar"/>
        </w:rPr>
        <w:t>璟</w:t>
      </w:r>
      <w:r>
        <w:rPr>
          <w:rFonts w:hint="eastAsia" w:ascii="仿宋_GB2312" w:hAnsi="宋体" w:eastAsia="仿宋_GB2312" w:cs="仿宋_GB2312"/>
          <w:color w:val="000000"/>
          <w:kern w:val="0"/>
          <w:sz w:val="31"/>
          <w:szCs w:val="31"/>
          <w:lang w:bidi="ar"/>
        </w:rPr>
        <w:t xml:space="preserve">管理顾问有限公司）对石狮市民政局“2022 年度养老服务业补助”项目开展事后绩效评价，形成评价报告。 </w:t>
      </w:r>
    </w:p>
    <w:p>
      <w:pPr>
        <w:widowControl/>
        <w:ind w:firstLine="620" w:firstLineChars="200"/>
      </w:pPr>
      <w:r>
        <w:rPr>
          <w:rFonts w:hint="eastAsia" w:ascii="仿宋_GB2312" w:hAnsi="宋体" w:eastAsia="仿宋_GB2312" w:cs="仿宋_GB2312"/>
          <w:color w:val="000000"/>
          <w:kern w:val="0"/>
          <w:sz w:val="31"/>
          <w:szCs w:val="31"/>
          <w:lang w:bidi="ar"/>
        </w:rPr>
        <w:t xml:space="preserve">本次评价的目的在于：通过事后绩效评价，衡量政策资金支出的产出与效益，了解、分析、检验项目资金是否能够达到预期目标，为预算安排提供重要依据。同时促进项目单位及时总结经验，发现问题、改进工作，进一步加强项目管理，提高财政资金使用效益。 </w:t>
      </w:r>
    </w:p>
    <w:p>
      <w:pPr>
        <w:widowControl/>
        <w:ind w:firstLine="620" w:firstLineChars="200"/>
      </w:pPr>
      <w:r>
        <w:rPr>
          <w:rFonts w:hint="eastAsia" w:ascii="仿宋_GB2312" w:hAnsi="宋体" w:eastAsia="仿宋_GB2312" w:cs="仿宋_GB2312"/>
          <w:color w:val="000000"/>
          <w:kern w:val="0"/>
          <w:sz w:val="31"/>
          <w:szCs w:val="31"/>
          <w:lang w:bidi="ar"/>
        </w:rPr>
        <w:t xml:space="preserve">本次评价对象即资金使用与管理的责任主体为石狮市民政局，评价范围为“2022 年度养老服务业补助”，2022年项目年初预算 397 万元，实际支出金额合计 194.0148 万元。 </w:t>
      </w:r>
    </w:p>
    <w:p>
      <w:pPr>
        <w:widowControl/>
        <w:ind w:firstLine="620" w:firstLineChars="200"/>
        <w:rPr>
          <w:rFonts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基于资金属性及评价目的，采取主观评价与客观评价相结合，设计并建立包括决策、过程、产出、效益 4 个一级指标，在此基础上建立 3 级指标体系，结合书面评价、现场走访及问卷调查结果对项目实施事后绩效评价进行打分。</w:t>
      </w:r>
    </w:p>
    <w:p>
      <w:pPr>
        <w:widowControl/>
        <w:ind w:firstLine="620" w:firstLineChars="200"/>
      </w:pPr>
      <w:r>
        <w:rPr>
          <w:rFonts w:hint="eastAsia" w:ascii="仿宋_GB2312" w:hAnsi="宋体" w:eastAsia="仿宋_GB2312" w:cs="仿宋_GB2312"/>
          <w:color w:val="000000"/>
          <w:kern w:val="0"/>
          <w:sz w:val="31"/>
          <w:szCs w:val="31"/>
          <w:lang w:bidi="ar"/>
        </w:rPr>
        <w:t xml:space="preserve">经评价，“2022 年度养老服务业补助”项目得分为 80.87 </w:t>
      </w:r>
    </w:p>
    <w:p>
      <w:pPr>
        <w:widowControl/>
      </w:pPr>
      <w:r>
        <w:rPr>
          <w:rFonts w:hint="eastAsia" w:ascii="仿宋_GB2312" w:hAnsi="宋体" w:eastAsia="仿宋_GB2312" w:cs="仿宋_GB2312"/>
          <w:color w:val="000000"/>
          <w:kern w:val="0"/>
          <w:sz w:val="31"/>
          <w:szCs w:val="31"/>
          <w:lang w:bidi="ar"/>
        </w:rPr>
        <w:t xml:space="preserve">分,等级为“良”。 </w:t>
      </w:r>
    </w:p>
    <w:p>
      <w:pPr>
        <w:widowControl/>
        <w:ind w:firstLine="620" w:firstLineChars="200"/>
        <w:rPr>
          <w:rFonts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该项目实施后取得成效有：一是鼓励社会资本流入养老行业，创建出适应新时代养老需求的基础设施；二是为老人建设多元化养老场所，提高了养老服务质量。</w:t>
      </w:r>
    </w:p>
    <w:p>
      <w:pPr>
        <w:widowControl/>
        <w:ind w:firstLine="620" w:firstLineChars="200"/>
      </w:pPr>
      <w:r>
        <w:rPr>
          <w:rFonts w:hint="eastAsia" w:ascii="仿宋_GB2312" w:hAnsi="宋体" w:eastAsia="仿宋_GB2312" w:cs="仿宋_GB2312"/>
          <w:color w:val="000000"/>
          <w:kern w:val="0"/>
          <w:sz w:val="31"/>
          <w:szCs w:val="31"/>
          <w:lang w:bidi="ar"/>
        </w:rPr>
        <w:t xml:space="preserve">同时，评价也发现一些问题：一是部分项目未验收款项提前拨付；二是蚶江镇收到财政资金未及时拨付至项目单位；三是养老场所使用率有待进一步提升；四是档案管理需进一步加强。 </w:t>
      </w:r>
    </w:p>
    <w:p>
      <w:pPr>
        <w:widowControl/>
        <w:ind w:firstLine="620" w:firstLineChars="200"/>
        <w:rPr>
          <w:rFonts w:ascii="仿宋_GB2312" w:eastAsia="仿宋_GB2312"/>
          <w:sz w:val="32"/>
          <w:szCs w:val="32"/>
          <w:highlight w:val="yellow"/>
        </w:rPr>
        <w:sectPr>
          <w:footerReference r:id="rId5" w:type="default"/>
          <w:pgSz w:w="11906" w:h="16838"/>
          <w:pgMar w:top="1440" w:right="1800" w:bottom="1440" w:left="1800" w:header="851" w:footer="992" w:gutter="0"/>
          <w:cols w:space="720" w:num="1"/>
          <w:docGrid w:type="lines" w:linePitch="312" w:charSpace="0"/>
        </w:sectPr>
      </w:pPr>
      <w:r>
        <w:rPr>
          <w:rFonts w:hint="eastAsia" w:ascii="仿宋_GB2312" w:hAnsi="宋体" w:eastAsia="仿宋_GB2312" w:cs="仿宋_GB2312"/>
          <w:color w:val="000000"/>
          <w:kern w:val="0"/>
          <w:sz w:val="31"/>
          <w:szCs w:val="31"/>
          <w:lang w:bidi="ar"/>
        </w:rPr>
        <w:t>针对存在的主要问题，报告提出主要相关建议：一是明确资金拨付日期；二是加强资金拨付监管；三是增加养老场所使用率；四是加强档案管理。</w:t>
      </w:r>
    </w:p>
    <w:p>
      <w:pPr>
        <w:pStyle w:val="2"/>
        <w:ind w:firstLine="0" w:firstLineChars="0"/>
        <w:sectPr>
          <w:type w:val="continuous"/>
          <w:pgSz w:w="11906" w:h="16838"/>
          <w:pgMar w:top="1440" w:right="1800" w:bottom="1440" w:left="1800" w:header="851" w:footer="992" w:gutter="0"/>
          <w:cols w:space="720" w:num="1"/>
          <w:docGrid w:type="lines" w:linePitch="312" w:charSpace="0"/>
        </w:sectPr>
      </w:pPr>
    </w:p>
    <w:p>
      <w:pPr>
        <w:pStyle w:val="24"/>
        <w:jc w:val="center"/>
        <w:rPr>
          <w:rFonts w:ascii="仿宋_GB2312" w:hAnsi="仿宋_GB2312" w:eastAsia="仿宋_GB2312" w:cs="仿宋_GB2312"/>
          <w:bCs/>
          <w:color w:val="auto"/>
        </w:rPr>
      </w:pPr>
      <w:r>
        <w:rPr>
          <w:rFonts w:hint="eastAsia" w:ascii="仿宋_GB2312" w:hAnsi="仿宋_GB2312" w:eastAsia="仿宋_GB2312" w:cs="仿宋_GB2312"/>
          <w:bCs/>
          <w:color w:val="auto"/>
          <w:lang w:val="zh-CN"/>
        </w:rPr>
        <w:t>目  录</w:t>
      </w:r>
    </w:p>
    <w:p>
      <w:pPr>
        <w:pStyle w:val="8"/>
        <w:tabs>
          <w:tab w:val="right" w:leader="dot" w:pos="8296"/>
        </w:tabs>
        <w:rPr>
          <w:rFonts w:ascii="仿宋_GB2312" w:eastAsia="仿宋_GB2312" w:hAnsiTheme="minorHAnsi" w:cstheme="minorBidi"/>
          <w:bCs/>
          <w:sz w:val="32"/>
          <w:szCs w:val="32"/>
          <w14:ligatures w14:val="standardContextual"/>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TOC \o "1-3" \h \z \u </w:instrText>
      </w:r>
      <w:r>
        <w:rPr>
          <w:rFonts w:hint="eastAsia" w:ascii="仿宋_GB2312" w:hAnsi="仿宋_GB2312" w:eastAsia="仿宋_GB2312" w:cs="仿宋_GB2312"/>
          <w:bCs/>
          <w:sz w:val="32"/>
          <w:szCs w:val="32"/>
        </w:rPr>
        <w:fldChar w:fldCharType="separate"/>
      </w:r>
      <w:r>
        <w:fldChar w:fldCharType="begin"/>
      </w:r>
      <w:r>
        <w:instrText xml:space="preserve"> HYPERLINK \l "_Toc142059676" </w:instrText>
      </w:r>
      <w:r>
        <w:fldChar w:fldCharType="separate"/>
      </w:r>
      <w:r>
        <w:rPr>
          <w:rStyle w:val="16"/>
          <w:rFonts w:hint="eastAsia" w:ascii="仿宋_GB2312" w:eastAsia="仿宋_GB2312"/>
          <w:bCs/>
          <w:sz w:val="32"/>
          <w:szCs w:val="32"/>
        </w:rPr>
        <w:t>一、项目概述</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_Toc142059676 \h </w:instrText>
      </w:r>
      <w:r>
        <w:rPr>
          <w:rFonts w:hint="eastAsia" w:ascii="仿宋_GB2312" w:eastAsia="仿宋_GB2312"/>
          <w:bCs/>
          <w:sz w:val="32"/>
          <w:szCs w:val="32"/>
        </w:rPr>
        <w:fldChar w:fldCharType="separate"/>
      </w:r>
      <w:r>
        <w:rPr>
          <w:rFonts w:ascii="仿宋_GB2312" w:eastAsia="仿宋_GB2312"/>
          <w:bCs/>
          <w:sz w:val="32"/>
          <w:szCs w:val="32"/>
        </w:rPr>
        <w:t>1</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"_Toc142059677" </w:instrText>
      </w:r>
      <w:r>
        <w:fldChar w:fldCharType="separate"/>
      </w:r>
      <w:r>
        <w:rPr>
          <w:rStyle w:val="16"/>
          <w:rFonts w:hint="eastAsia" w:ascii="仿宋_GB2312" w:hAnsi="黑体" w:eastAsia="仿宋_GB2312"/>
          <w:bCs/>
          <w:kern w:val="44"/>
          <w:sz w:val="32"/>
          <w:szCs w:val="32"/>
        </w:rPr>
        <w:t>（一）项目概况</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_Toc142059677 \h </w:instrText>
      </w:r>
      <w:r>
        <w:rPr>
          <w:rFonts w:hint="eastAsia" w:ascii="仿宋_GB2312" w:eastAsia="仿宋_GB2312"/>
          <w:bCs/>
          <w:sz w:val="32"/>
          <w:szCs w:val="32"/>
        </w:rPr>
        <w:fldChar w:fldCharType="separate"/>
      </w:r>
      <w:r>
        <w:rPr>
          <w:rFonts w:ascii="仿宋_GB2312" w:eastAsia="仿宋_GB2312"/>
          <w:bCs/>
          <w:sz w:val="32"/>
          <w:szCs w:val="32"/>
        </w:rPr>
        <w:t>1</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"_Toc142059678" </w:instrText>
      </w:r>
      <w:r>
        <w:fldChar w:fldCharType="separate"/>
      </w:r>
      <w:r>
        <w:rPr>
          <w:rStyle w:val="16"/>
          <w:rFonts w:hint="eastAsia" w:ascii="仿宋_GB2312" w:hAnsi="黑体" w:eastAsia="仿宋_GB2312"/>
          <w:bCs/>
          <w:kern w:val="44"/>
          <w:sz w:val="32"/>
          <w:szCs w:val="32"/>
        </w:rPr>
        <w:t>（二）项目补贴标准</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_Toc142059678 \h </w:instrText>
      </w:r>
      <w:r>
        <w:rPr>
          <w:rFonts w:hint="eastAsia" w:ascii="仿宋_GB2312" w:eastAsia="仿宋_GB2312"/>
          <w:bCs/>
          <w:sz w:val="32"/>
          <w:szCs w:val="32"/>
        </w:rPr>
        <w:fldChar w:fldCharType="separate"/>
      </w:r>
      <w:r>
        <w:rPr>
          <w:rFonts w:ascii="仿宋_GB2312" w:eastAsia="仿宋_GB2312"/>
          <w:bCs/>
          <w:sz w:val="32"/>
          <w:szCs w:val="32"/>
        </w:rPr>
        <w:t>2</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"_Toc142059679" </w:instrText>
      </w:r>
      <w:r>
        <w:fldChar w:fldCharType="separate"/>
      </w:r>
      <w:r>
        <w:rPr>
          <w:rStyle w:val="16"/>
          <w:rFonts w:hint="eastAsia" w:ascii="仿宋_GB2312" w:hAnsi="黑体" w:eastAsia="仿宋_GB2312"/>
          <w:bCs/>
          <w:kern w:val="44"/>
          <w:sz w:val="32"/>
          <w:szCs w:val="32"/>
        </w:rPr>
        <w:t>（三）项目资金情况</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_Toc142059679 \h </w:instrText>
      </w:r>
      <w:r>
        <w:rPr>
          <w:rFonts w:hint="eastAsia" w:ascii="仿宋_GB2312" w:eastAsia="仿宋_GB2312"/>
          <w:bCs/>
          <w:sz w:val="32"/>
          <w:szCs w:val="32"/>
        </w:rPr>
        <w:fldChar w:fldCharType="separate"/>
      </w:r>
      <w:r>
        <w:rPr>
          <w:rFonts w:ascii="仿宋_GB2312" w:eastAsia="仿宋_GB2312"/>
          <w:bCs/>
          <w:sz w:val="32"/>
          <w:szCs w:val="32"/>
        </w:rPr>
        <w:t>5</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"_Toc142059680" </w:instrText>
      </w:r>
      <w:r>
        <w:fldChar w:fldCharType="separate"/>
      </w:r>
      <w:r>
        <w:rPr>
          <w:rStyle w:val="16"/>
          <w:rFonts w:hint="eastAsia" w:ascii="仿宋_GB2312" w:hAnsi="黑体" w:eastAsia="仿宋_GB2312"/>
          <w:bCs/>
          <w:kern w:val="44"/>
          <w:sz w:val="32"/>
          <w:szCs w:val="32"/>
        </w:rPr>
        <w:t>（四）项目绩效目标</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_Toc142059680 \h </w:instrText>
      </w:r>
      <w:r>
        <w:rPr>
          <w:rFonts w:hint="eastAsia" w:ascii="仿宋_GB2312" w:eastAsia="仿宋_GB2312"/>
          <w:bCs/>
          <w:sz w:val="32"/>
          <w:szCs w:val="32"/>
        </w:rPr>
        <w:fldChar w:fldCharType="separate"/>
      </w:r>
      <w:r>
        <w:rPr>
          <w:rFonts w:ascii="仿宋_GB2312" w:eastAsia="仿宋_GB2312"/>
          <w:bCs/>
          <w:sz w:val="32"/>
          <w:szCs w:val="32"/>
        </w:rPr>
        <w:t>10</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"_Toc142059681" </w:instrText>
      </w:r>
      <w:r>
        <w:fldChar w:fldCharType="separate"/>
      </w:r>
      <w:r>
        <w:rPr>
          <w:rStyle w:val="16"/>
          <w:rFonts w:hint="eastAsia" w:ascii="仿宋_GB2312" w:hAnsi="黑体" w:eastAsia="仿宋_GB2312"/>
          <w:bCs/>
          <w:kern w:val="44"/>
          <w:sz w:val="32"/>
          <w:szCs w:val="32"/>
        </w:rPr>
        <w:t>（五）项目组织管理与业务流程</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_Toc142059681 \h </w:instrText>
      </w:r>
      <w:r>
        <w:rPr>
          <w:rFonts w:hint="eastAsia" w:ascii="仿宋_GB2312" w:eastAsia="仿宋_GB2312"/>
          <w:bCs/>
          <w:sz w:val="32"/>
          <w:szCs w:val="32"/>
        </w:rPr>
        <w:fldChar w:fldCharType="separate"/>
      </w:r>
      <w:r>
        <w:rPr>
          <w:rFonts w:ascii="仿宋_GB2312" w:eastAsia="仿宋_GB2312"/>
          <w:bCs/>
          <w:sz w:val="32"/>
          <w:szCs w:val="32"/>
        </w:rPr>
        <w:t>10</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8"/>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"_Toc142059682" </w:instrText>
      </w:r>
      <w:r>
        <w:fldChar w:fldCharType="separate"/>
      </w:r>
      <w:r>
        <w:rPr>
          <w:rStyle w:val="16"/>
          <w:rFonts w:hint="eastAsia" w:ascii="仿宋_GB2312" w:eastAsia="仿宋_GB2312"/>
          <w:bCs/>
          <w:sz w:val="32"/>
          <w:szCs w:val="32"/>
        </w:rPr>
        <w:t>二、评价工作简述</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_Toc142059682 \h </w:instrText>
      </w:r>
      <w:r>
        <w:rPr>
          <w:rFonts w:hint="eastAsia" w:ascii="仿宋_GB2312" w:eastAsia="仿宋_GB2312"/>
          <w:bCs/>
          <w:sz w:val="32"/>
          <w:szCs w:val="32"/>
        </w:rPr>
        <w:fldChar w:fldCharType="separate"/>
      </w:r>
      <w:r>
        <w:rPr>
          <w:rFonts w:ascii="仿宋_GB2312" w:eastAsia="仿宋_GB2312"/>
          <w:bCs/>
          <w:sz w:val="32"/>
          <w:szCs w:val="32"/>
        </w:rPr>
        <w:t>11</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"_Toc142059683" </w:instrText>
      </w:r>
      <w:r>
        <w:fldChar w:fldCharType="separate"/>
      </w:r>
      <w:r>
        <w:rPr>
          <w:rStyle w:val="16"/>
          <w:rFonts w:hint="eastAsia" w:ascii="仿宋_GB2312" w:hAnsi="黑体" w:eastAsia="仿宋_GB2312"/>
          <w:bCs/>
          <w:kern w:val="44"/>
          <w:sz w:val="32"/>
          <w:szCs w:val="32"/>
        </w:rPr>
        <w:t>（一）基本情况</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_Toc142059683 \h </w:instrText>
      </w:r>
      <w:r>
        <w:rPr>
          <w:rFonts w:hint="eastAsia" w:ascii="仿宋_GB2312" w:eastAsia="仿宋_GB2312"/>
          <w:bCs/>
          <w:sz w:val="32"/>
          <w:szCs w:val="32"/>
        </w:rPr>
        <w:fldChar w:fldCharType="separate"/>
      </w:r>
      <w:r>
        <w:rPr>
          <w:rFonts w:ascii="仿宋_GB2312" w:eastAsia="仿宋_GB2312"/>
          <w:bCs/>
          <w:sz w:val="32"/>
          <w:szCs w:val="32"/>
        </w:rPr>
        <w:t>11</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"_Toc142059684" </w:instrText>
      </w:r>
      <w:r>
        <w:fldChar w:fldCharType="separate"/>
      </w:r>
      <w:r>
        <w:rPr>
          <w:rStyle w:val="16"/>
          <w:rFonts w:hint="eastAsia" w:ascii="仿宋_GB2312" w:hAnsi="黑体" w:eastAsia="仿宋_GB2312"/>
          <w:bCs/>
          <w:kern w:val="44"/>
          <w:sz w:val="32"/>
          <w:szCs w:val="32"/>
        </w:rPr>
        <w:t>（二）绩效评价原则和评价方法</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_Toc142059684 \h </w:instrText>
      </w:r>
      <w:r>
        <w:rPr>
          <w:rFonts w:hint="eastAsia" w:ascii="仿宋_GB2312" w:eastAsia="仿宋_GB2312"/>
          <w:bCs/>
          <w:sz w:val="32"/>
          <w:szCs w:val="32"/>
        </w:rPr>
        <w:fldChar w:fldCharType="separate"/>
      </w:r>
      <w:r>
        <w:rPr>
          <w:rFonts w:ascii="仿宋_GB2312" w:eastAsia="仿宋_GB2312"/>
          <w:bCs/>
          <w:sz w:val="32"/>
          <w:szCs w:val="32"/>
        </w:rPr>
        <w:t>12</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"_Toc142059685" </w:instrText>
      </w:r>
      <w:r>
        <w:fldChar w:fldCharType="separate"/>
      </w:r>
      <w:r>
        <w:rPr>
          <w:rStyle w:val="16"/>
          <w:rFonts w:hint="eastAsia" w:ascii="仿宋_GB2312" w:hAnsi="黑体" w:eastAsia="仿宋_GB2312"/>
          <w:bCs/>
          <w:kern w:val="44"/>
          <w:sz w:val="32"/>
          <w:szCs w:val="32"/>
        </w:rPr>
        <w:t>（三）现场评价及满意度评价</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_Toc142059685 \h </w:instrText>
      </w:r>
      <w:r>
        <w:rPr>
          <w:rFonts w:hint="eastAsia" w:ascii="仿宋_GB2312" w:eastAsia="仿宋_GB2312"/>
          <w:bCs/>
          <w:sz w:val="32"/>
          <w:szCs w:val="32"/>
        </w:rPr>
        <w:fldChar w:fldCharType="separate"/>
      </w:r>
      <w:r>
        <w:rPr>
          <w:rFonts w:ascii="仿宋_GB2312" w:eastAsia="仿宋_GB2312"/>
          <w:bCs/>
          <w:sz w:val="32"/>
          <w:szCs w:val="32"/>
        </w:rPr>
        <w:t>13</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"_Toc142059686" </w:instrText>
      </w:r>
      <w:r>
        <w:fldChar w:fldCharType="separate"/>
      </w:r>
      <w:r>
        <w:rPr>
          <w:rStyle w:val="16"/>
          <w:rFonts w:hint="eastAsia" w:ascii="仿宋_GB2312" w:hAnsi="黑体" w:eastAsia="仿宋_GB2312"/>
          <w:bCs/>
          <w:kern w:val="44"/>
          <w:sz w:val="32"/>
          <w:szCs w:val="32"/>
        </w:rPr>
        <w:t>（四）评价标准</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_Toc142059686 \h </w:instrText>
      </w:r>
      <w:r>
        <w:rPr>
          <w:rFonts w:hint="eastAsia" w:ascii="仿宋_GB2312" w:eastAsia="仿宋_GB2312"/>
          <w:bCs/>
          <w:sz w:val="32"/>
          <w:szCs w:val="32"/>
        </w:rPr>
        <w:fldChar w:fldCharType="separate"/>
      </w:r>
      <w:r>
        <w:rPr>
          <w:rFonts w:ascii="仿宋_GB2312" w:eastAsia="仿宋_GB2312"/>
          <w:bCs/>
          <w:sz w:val="32"/>
          <w:szCs w:val="32"/>
        </w:rPr>
        <w:t>14</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8"/>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"_Toc142059687" </w:instrText>
      </w:r>
      <w:r>
        <w:fldChar w:fldCharType="separate"/>
      </w:r>
      <w:r>
        <w:rPr>
          <w:rStyle w:val="16"/>
          <w:rFonts w:hint="eastAsia" w:ascii="仿宋_GB2312" w:eastAsia="仿宋_GB2312"/>
          <w:bCs/>
          <w:sz w:val="32"/>
          <w:szCs w:val="32"/>
        </w:rPr>
        <w:t>三、总体评价结论</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_Toc142059687 \h </w:instrText>
      </w:r>
      <w:r>
        <w:rPr>
          <w:rFonts w:hint="eastAsia" w:ascii="仿宋_GB2312" w:eastAsia="仿宋_GB2312"/>
          <w:bCs/>
          <w:sz w:val="32"/>
          <w:szCs w:val="32"/>
        </w:rPr>
        <w:fldChar w:fldCharType="separate"/>
      </w:r>
      <w:r>
        <w:rPr>
          <w:rFonts w:ascii="仿宋_GB2312" w:eastAsia="仿宋_GB2312"/>
          <w:bCs/>
          <w:sz w:val="32"/>
          <w:szCs w:val="32"/>
        </w:rPr>
        <w:t>14</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"_Toc142059688" </w:instrText>
      </w:r>
      <w:r>
        <w:fldChar w:fldCharType="separate"/>
      </w:r>
      <w:r>
        <w:rPr>
          <w:rStyle w:val="16"/>
          <w:rFonts w:hint="eastAsia" w:ascii="仿宋_GB2312" w:hAnsi="黑体" w:eastAsia="仿宋_GB2312"/>
          <w:bCs/>
          <w:kern w:val="44"/>
          <w:sz w:val="32"/>
          <w:szCs w:val="32"/>
        </w:rPr>
        <w:t>（一）评价得分情况</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_Toc142059688 \h </w:instrText>
      </w:r>
      <w:r>
        <w:rPr>
          <w:rFonts w:hint="eastAsia" w:ascii="仿宋_GB2312" w:eastAsia="仿宋_GB2312"/>
          <w:bCs/>
          <w:sz w:val="32"/>
          <w:szCs w:val="32"/>
        </w:rPr>
        <w:fldChar w:fldCharType="separate"/>
      </w:r>
      <w:r>
        <w:rPr>
          <w:rFonts w:ascii="仿宋_GB2312" w:eastAsia="仿宋_GB2312"/>
          <w:bCs/>
          <w:sz w:val="32"/>
          <w:szCs w:val="32"/>
        </w:rPr>
        <w:t>14</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"_Toc142059689" </w:instrText>
      </w:r>
      <w:r>
        <w:fldChar w:fldCharType="separate"/>
      </w:r>
      <w:r>
        <w:rPr>
          <w:rStyle w:val="16"/>
          <w:rFonts w:hint="eastAsia" w:ascii="仿宋_GB2312" w:hAnsi="黑体" w:eastAsia="仿宋_GB2312"/>
          <w:bCs/>
          <w:kern w:val="44"/>
          <w:sz w:val="32"/>
          <w:szCs w:val="32"/>
        </w:rPr>
        <w:t>（二）项目支出所实现的主要绩效</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_Toc142059689 \h </w:instrText>
      </w:r>
      <w:r>
        <w:rPr>
          <w:rFonts w:hint="eastAsia" w:ascii="仿宋_GB2312" w:eastAsia="仿宋_GB2312"/>
          <w:bCs/>
          <w:sz w:val="32"/>
          <w:szCs w:val="32"/>
        </w:rPr>
        <w:fldChar w:fldCharType="separate"/>
      </w:r>
      <w:r>
        <w:rPr>
          <w:rFonts w:ascii="仿宋_GB2312" w:eastAsia="仿宋_GB2312"/>
          <w:bCs/>
          <w:sz w:val="32"/>
          <w:szCs w:val="32"/>
        </w:rPr>
        <w:t>16</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8"/>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"_Toc142059690" </w:instrText>
      </w:r>
      <w:r>
        <w:fldChar w:fldCharType="separate"/>
      </w:r>
      <w:r>
        <w:rPr>
          <w:rStyle w:val="16"/>
          <w:rFonts w:hint="eastAsia" w:ascii="仿宋_GB2312" w:eastAsia="仿宋_GB2312"/>
          <w:bCs/>
          <w:sz w:val="32"/>
          <w:szCs w:val="32"/>
        </w:rPr>
        <w:t>四、绩效管理和实现过程分析</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_Toc142059690 \h </w:instrText>
      </w:r>
      <w:r>
        <w:rPr>
          <w:rFonts w:hint="eastAsia" w:ascii="仿宋_GB2312" w:eastAsia="仿宋_GB2312"/>
          <w:bCs/>
          <w:sz w:val="32"/>
          <w:szCs w:val="32"/>
        </w:rPr>
        <w:fldChar w:fldCharType="separate"/>
      </w:r>
      <w:r>
        <w:rPr>
          <w:rFonts w:ascii="仿宋_GB2312" w:eastAsia="仿宋_GB2312"/>
          <w:bCs/>
          <w:sz w:val="32"/>
          <w:szCs w:val="32"/>
        </w:rPr>
        <w:t>17</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"_Toc142059691" </w:instrText>
      </w:r>
      <w:r>
        <w:fldChar w:fldCharType="separate"/>
      </w:r>
      <w:r>
        <w:rPr>
          <w:rStyle w:val="16"/>
          <w:rFonts w:hint="eastAsia" w:ascii="仿宋_GB2312" w:hAnsi="黑体" w:eastAsia="仿宋_GB2312"/>
          <w:bCs/>
          <w:kern w:val="44"/>
          <w:sz w:val="32"/>
          <w:szCs w:val="32"/>
        </w:rPr>
        <w:t>（一）绩效目标评价分析</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_Toc142059691 \h </w:instrText>
      </w:r>
      <w:r>
        <w:rPr>
          <w:rFonts w:hint="eastAsia" w:ascii="仿宋_GB2312" w:eastAsia="仿宋_GB2312"/>
          <w:bCs/>
          <w:sz w:val="32"/>
          <w:szCs w:val="32"/>
        </w:rPr>
        <w:fldChar w:fldCharType="separate"/>
      </w:r>
      <w:r>
        <w:rPr>
          <w:rFonts w:ascii="仿宋_GB2312" w:eastAsia="仿宋_GB2312"/>
          <w:bCs/>
          <w:sz w:val="32"/>
          <w:szCs w:val="32"/>
        </w:rPr>
        <w:t>17</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"_Toc142059692" </w:instrText>
      </w:r>
      <w:r>
        <w:fldChar w:fldCharType="separate"/>
      </w:r>
      <w:r>
        <w:rPr>
          <w:rStyle w:val="16"/>
          <w:rFonts w:hint="eastAsia" w:ascii="仿宋_GB2312" w:hAnsi="黑体" w:eastAsia="仿宋_GB2312"/>
          <w:bCs/>
          <w:kern w:val="44"/>
          <w:sz w:val="32"/>
          <w:szCs w:val="32"/>
        </w:rPr>
        <w:t>（二）预算管理评价分析</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_Toc142059692 \h </w:instrText>
      </w:r>
      <w:r>
        <w:rPr>
          <w:rFonts w:hint="eastAsia" w:ascii="仿宋_GB2312" w:eastAsia="仿宋_GB2312"/>
          <w:bCs/>
          <w:sz w:val="32"/>
          <w:szCs w:val="32"/>
        </w:rPr>
        <w:fldChar w:fldCharType="separate"/>
      </w:r>
      <w:r>
        <w:rPr>
          <w:rFonts w:ascii="仿宋_GB2312" w:eastAsia="仿宋_GB2312"/>
          <w:bCs/>
          <w:sz w:val="32"/>
          <w:szCs w:val="32"/>
        </w:rPr>
        <w:t>17</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"_Toc142059693" </w:instrText>
      </w:r>
      <w:r>
        <w:fldChar w:fldCharType="separate"/>
      </w:r>
      <w:r>
        <w:rPr>
          <w:rStyle w:val="16"/>
          <w:rFonts w:hint="eastAsia" w:ascii="仿宋_GB2312" w:hAnsi="黑体" w:eastAsia="仿宋_GB2312"/>
          <w:bCs/>
          <w:kern w:val="44"/>
          <w:sz w:val="32"/>
          <w:szCs w:val="32"/>
        </w:rPr>
        <w:t>（三）决策及过程评价分析</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_Toc142059693 \h </w:instrText>
      </w:r>
      <w:r>
        <w:rPr>
          <w:rFonts w:hint="eastAsia" w:ascii="仿宋_GB2312" w:eastAsia="仿宋_GB2312"/>
          <w:bCs/>
          <w:sz w:val="32"/>
          <w:szCs w:val="32"/>
        </w:rPr>
        <w:fldChar w:fldCharType="separate"/>
      </w:r>
      <w:r>
        <w:rPr>
          <w:rFonts w:ascii="仿宋_GB2312" w:eastAsia="仿宋_GB2312"/>
          <w:bCs/>
          <w:sz w:val="32"/>
          <w:szCs w:val="32"/>
        </w:rPr>
        <w:t>18</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"_Toc142059694" </w:instrText>
      </w:r>
      <w:r>
        <w:fldChar w:fldCharType="separate"/>
      </w:r>
      <w:r>
        <w:rPr>
          <w:rStyle w:val="16"/>
          <w:rFonts w:hint="eastAsia" w:ascii="仿宋_GB2312" w:hAnsi="黑体" w:eastAsia="仿宋_GB2312"/>
          <w:bCs/>
          <w:kern w:val="44"/>
          <w:sz w:val="32"/>
          <w:szCs w:val="32"/>
        </w:rPr>
        <w:t>（四）产出及效果评价分析</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_Toc142059694 \h </w:instrText>
      </w:r>
      <w:r>
        <w:rPr>
          <w:rFonts w:hint="eastAsia" w:ascii="仿宋_GB2312" w:eastAsia="仿宋_GB2312"/>
          <w:bCs/>
          <w:sz w:val="32"/>
          <w:szCs w:val="32"/>
        </w:rPr>
        <w:fldChar w:fldCharType="separate"/>
      </w:r>
      <w:r>
        <w:rPr>
          <w:rFonts w:ascii="仿宋_GB2312" w:eastAsia="仿宋_GB2312"/>
          <w:bCs/>
          <w:sz w:val="32"/>
          <w:szCs w:val="32"/>
        </w:rPr>
        <w:t>21</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8"/>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"_Toc142059695" </w:instrText>
      </w:r>
      <w:r>
        <w:fldChar w:fldCharType="separate"/>
      </w:r>
      <w:r>
        <w:rPr>
          <w:rStyle w:val="16"/>
          <w:rFonts w:hint="eastAsia" w:ascii="仿宋_GB2312" w:eastAsia="仿宋_GB2312"/>
          <w:bCs/>
          <w:snapToGrid w:val="0"/>
          <w:kern w:val="0"/>
          <w:sz w:val="32"/>
          <w:szCs w:val="32"/>
        </w:rPr>
        <w:t>五、存在的主要问题</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_Toc142059695 \h </w:instrText>
      </w:r>
      <w:r>
        <w:rPr>
          <w:rFonts w:hint="eastAsia" w:ascii="仿宋_GB2312" w:eastAsia="仿宋_GB2312"/>
          <w:bCs/>
          <w:sz w:val="32"/>
          <w:szCs w:val="32"/>
        </w:rPr>
        <w:fldChar w:fldCharType="separate"/>
      </w:r>
      <w:r>
        <w:rPr>
          <w:rFonts w:ascii="仿宋_GB2312" w:eastAsia="仿宋_GB2312"/>
          <w:bCs/>
          <w:sz w:val="32"/>
          <w:szCs w:val="32"/>
        </w:rPr>
        <w:t>24</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"_Toc142059696" </w:instrText>
      </w:r>
      <w:r>
        <w:fldChar w:fldCharType="separate"/>
      </w:r>
      <w:r>
        <w:rPr>
          <w:rStyle w:val="16"/>
          <w:rFonts w:hint="eastAsia" w:ascii="仿宋_GB2312" w:hAnsi="黑体" w:eastAsia="仿宋_GB2312"/>
          <w:bCs/>
          <w:kern w:val="44"/>
          <w:sz w:val="32"/>
          <w:szCs w:val="32"/>
        </w:rPr>
        <w:t>（一）部分项目未验收款项提前拨付</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_Toc142059696 \h </w:instrText>
      </w:r>
      <w:r>
        <w:rPr>
          <w:rFonts w:hint="eastAsia" w:ascii="仿宋_GB2312" w:eastAsia="仿宋_GB2312"/>
          <w:bCs/>
          <w:sz w:val="32"/>
          <w:szCs w:val="32"/>
        </w:rPr>
        <w:fldChar w:fldCharType="separate"/>
      </w:r>
      <w:r>
        <w:rPr>
          <w:rFonts w:ascii="仿宋_GB2312" w:eastAsia="仿宋_GB2312"/>
          <w:bCs/>
          <w:sz w:val="32"/>
          <w:szCs w:val="32"/>
        </w:rPr>
        <w:t>24</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"_Toc142059697" </w:instrText>
      </w:r>
      <w:r>
        <w:fldChar w:fldCharType="separate"/>
      </w:r>
      <w:r>
        <w:rPr>
          <w:rStyle w:val="16"/>
          <w:rFonts w:hint="eastAsia" w:ascii="仿宋_GB2312" w:hAnsi="黑体" w:eastAsia="仿宋_GB2312"/>
          <w:bCs/>
          <w:kern w:val="44"/>
          <w:sz w:val="32"/>
          <w:szCs w:val="32"/>
        </w:rPr>
        <w:t>（二）蚶江镇收到财政资金未及时拨付至项目单位</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_Toc142059697 \h </w:instrText>
      </w:r>
      <w:r>
        <w:rPr>
          <w:rFonts w:hint="eastAsia" w:ascii="仿宋_GB2312" w:eastAsia="仿宋_GB2312"/>
          <w:bCs/>
          <w:sz w:val="32"/>
          <w:szCs w:val="32"/>
        </w:rPr>
        <w:fldChar w:fldCharType="separate"/>
      </w:r>
      <w:r>
        <w:rPr>
          <w:rFonts w:ascii="仿宋_GB2312" w:eastAsia="仿宋_GB2312"/>
          <w:bCs/>
          <w:sz w:val="32"/>
          <w:szCs w:val="32"/>
        </w:rPr>
        <w:t>24</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"_Toc142059698" </w:instrText>
      </w:r>
      <w:r>
        <w:fldChar w:fldCharType="separate"/>
      </w:r>
      <w:r>
        <w:rPr>
          <w:rStyle w:val="16"/>
          <w:rFonts w:hint="eastAsia" w:ascii="仿宋_GB2312" w:hAnsi="黑体" w:eastAsia="仿宋_GB2312"/>
          <w:bCs/>
          <w:kern w:val="44"/>
          <w:sz w:val="32"/>
          <w:szCs w:val="32"/>
        </w:rPr>
        <w:t>（三）养老场所使用率有待进一步提升</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_Toc142059698 \h </w:instrText>
      </w:r>
      <w:r>
        <w:rPr>
          <w:rFonts w:hint="eastAsia" w:ascii="仿宋_GB2312" w:eastAsia="仿宋_GB2312"/>
          <w:bCs/>
          <w:sz w:val="32"/>
          <w:szCs w:val="32"/>
        </w:rPr>
        <w:fldChar w:fldCharType="separate"/>
      </w:r>
      <w:r>
        <w:rPr>
          <w:rFonts w:ascii="仿宋_GB2312" w:eastAsia="仿宋_GB2312"/>
          <w:bCs/>
          <w:sz w:val="32"/>
          <w:szCs w:val="32"/>
        </w:rPr>
        <w:t>25</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"_Toc142059699" </w:instrText>
      </w:r>
      <w:r>
        <w:fldChar w:fldCharType="separate"/>
      </w:r>
      <w:r>
        <w:rPr>
          <w:rStyle w:val="16"/>
          <w:rFonts w:hint="eastAsia" w:ascii="仿宋_GB2312" w:hAnsi="黑体" w:eastAsia="仿宋_GB2312"/>
          <w:bCs/>
          <w:kern w:val="44"/>
          <w:sz w:val="32"/>
          <w:szCs w:val="32"/>
        </w:rPr>
        <w:t>（四）档案管理需进一步加强</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_Toc142059699 \h </w:instrText>
      </w:r>
      <w:r>
        <w:rPr>
          <w:rFonts w:hint="eastAsia" w:ascii="仿宋_GB2312" w:eastAsia="仿宋_GB2312"/>
          <w:bCs/>
          <w:sz w:val="32"/>
          <w:szCs w:val="32"/>
        </w:rPr>
        <w:fldChar w:fldCharType="separate"/>
      </w:r>
      <w:r>
        <w:rPr>
          <w:rFonts w:ascii="仿宋_GB2312" w:eastAsia="仿宋_GB2312"/>
          <w:bCs/>
          <w:sz w:val="32"/>
          <w:szCs w:val="32"/>
        </w:rPr>
        <w:t>25</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8"/>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"_Toc142059700" </w:instrText>
      </w:r>
      <w:r>
        <w:fldChar w:fldCharType="separate"/>
      </w:r>
      <w:r>
        <w:rPr>
          <w:rStyle w:val="16"/>
          <w:rFonts w:hint="eastAsia" w:ascii="仿宋_GB2312" w:hAnsi="黑体" w:eastAsia="仿宋_GB2312"/>
          <w:bCs/>
          <w:kern w:val="44"/>
          <w:sz w:val="32"/>
          <w:szCs w:val="32"/>
        </w:rPr>
        <w:t>六、主要相关建议</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_Toc142059700 \h </w:instrText>
      </w:r>
      <w:r>
        <w:rPr>
          <w:rFonts w:hint="eastAsia" w:ascii="仿宋_GB2312" w:eastAsia="仿宋_GB2312"/>
          <w:bCs/>
          <w:sz w:val="32"/>
          <w:szCs w:val="32"/>
        </w:rPr>
        <w:fldChar w:fldCharType="separate"/>
      </w:r>
      <w:r>
        <w:rPr>
          <w:rFonts w:ascii="仿宋_GB2312" w:eastAsia="仿宋_GB2312"/>
          <w:bCs/>
          <w:sz w:val="32"/>
          <w:szCs w:val="32"/>
        </w:rPr>
        <w:t>26</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"_Toc142059701" </w:instrText>
      </w:r>
      <w:r>
        <w:fldChar w:fldCharType="separate"/>
      </w:r>
      <w:r>
        <w:rPr>
          <w:rStyle w:val="16"/>
          <w:rFonts w:hint="eastAsia" w:ascii="仿宋_GB2312" w:hAnsi="黑体" w:eastAsia="仿宋_GB2312"/>
          <w:bCs/>
          <w:kern w:val="44"/>
          <w:sz w:val="32"/>
          <w:szCs w:val="32"/>
        </w:rPr>
        <w:t>（一）明确资金拨款日期</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_Toc142059701 \h </w:instrText>
      </w:r>
      <w:r>
        <w:rPr>
          <w:rFonts w:hint="eastAsia" w:ascii="仿宋_GB2312" w:eastAsia="仿宋_GB2312"/>
          <w:bCs/>
          <w:sz w:val="32"/>
          <w:szCs w:val="32"/>
        </w:rPr>
        <w:fldChar w:fldCharType="separate"/>
      </w:r>
      <w:r>
        <w:rPr>
          <w:rFonts w:ascii="仿宋_GB2312" w:eastAsia="仿宋_GB2312"/>
          <w:bCs/>
          <w:sz w:val="32"/>
          <w:szCs w:val="32"/>
        </w:rPr>
        <w:t>26</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"_Toc142059702" </w:instrText>
      </w:r>
      <w:r>
        <w:fldChar w:fldCharType="separate"/>
      </w:r>
      <w:r>
        <w:rPr>
          <w:rStyle w:val="16"/>
          <w:rFonts w:hint="eastAsia" w:ascii="仿宋_GB2312" w:hAnsi="黑体" w:eastAsia="仿宋_GB2312"/>
          <w:bCs/>
          <w:kern w:val="44"/>
          <w:sz w:val="32"/>
          <w:szCs w:val="32"/>
        </w:rPr>
        <w:t>（二）加强资金拨付监管</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_Toc142059702 \h </w:instrText>
      </w:r>
      <w:r>
        <w:rPr>
          <w:rFonts w:hint="eastAsia" w:ascii="仿宋_GB2312" w:eastAsia="仿宋_GB2312"/>
          <w:bCs/>
          <w:sz w:val="32"/>
          <w:szCs w:val="32"/>
        </w:rPr>
        <w:fldChar w:fldCharType="separate"/>
      </w:r>
      <w:r>
        <w:rPr>
          <w:rFonts w:ascii="仿宋_GB2312" w:eastAsia="仿宋_GB2312"/>
          <w:bCs/>
          <w:sz w:val="32"/>
          <w:szCs w:val="32"/>
        </w:rPr>
        <w:t>26</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"_Toc142059703" </w:instrText>
      </w:r>
      <w:r>
        <w:fldChar w:fldCharType="separate"/>
      </w:r>
      <w:r>
        <w:rPr>
          <w:rStyle w:val="16"/>
          <w:rFonts w:hint="eastAsia" w:ascii="仿宋_GB2312" w:hAnsi="黑体" w:eastAsia="仿宋_GB2312"/>
          <w:bCs/>
          <w:kern w:val="44"/>
          <w:sz w:val="32"/>
          <w:szCs w:val="32"/>
        </w:rPr>
        <w:t>（三）增加养老场所使用率</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_Toc142059703 \h </w:instrText>
      </w:r>
      <w:r>
        <w:rPr>
          <w:rFonts w:hint="eastAsia" w:ascii="仿宋_GB2312" w:eastAsia="仿宋_GB2312"/>
          <w:bCs/>
          <w:sz w:val="32"/>
          <w:szCs w:val="32"/>
        </w:rPr>
        <w:fldChar w:fldCharType="separate"/>
      </w:r>
      <w:r>
        <w:rPr>
          <w:rFonts w:ascii="仿宋_GB2312" w:eastAsia="仿宋_GB2312"/>
          <w:bCs/>
          <w:sz w:val="32"/>
          <w:szCs w:val="32"/>
        </w:rPr>
        <w:t>27</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"_Toc142059704" </w:instrText>
      </w:r>
      <w:r>
        <w:fldChar w:fldCharType="separate"/>
      </w:r>
      <w:r>
        <w:rPr>
          <w:rStyle w:val="16"/>
          <w:rFonts w:hint="eastAsia" w:ascii="仿宋_GB2312" w:hAnsi="黑体" w:eastAsia="仿宋_GB2312"/>
          <w:bCs/>
          <w:kern w:val="44"/>
          <w:sz w:val="32"/>
          <w:szCs w:val="32"/>
        </w:rPr>
        <w:t>（四）加强档案管理</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_Toc142059704 \h </w:instrText>
      </w:r>
      <w:r>
        <w:rPr>
          <w:rFonts w:hint="eastAsia" w:ascii="仿宋_GB2312" w:eastAsia="仿宋_GB2312"/>
          <w:bCs/>
          <w:sz w:val="32"/>
          <w:szCs w:val="32"/>
        </w:rPr>
        <w:fldChar w:fldCharType="separate"/>
      </w:r>
      <w:r>
        <w:rPr>
          <w:rFonts w:ascii="仿宋_GB2312" w:eastAsia="仿宋_GB2312"/>
          <w:bCs/>
          <w:sz w:val="32"/>
          <w:szCs w:val="32"/>
        </w:rPr>
        <w:t>27</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8"/>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"_Toc142059705" </w:instrText>
      </w:r>
      <w:r>
        <w:fldChar w:fldCharType="separate"/>
      </w:r>
      <w:r>
        <w:rPr>
          <w:rStyle w:val="16"/>
          <w:rFonts w:hint="eastAsia" w:ascii="仿宋_GB2312" w:hAnsi="黑体" w:eastAsia="仿宋_GB2312"/>
          <w:bCs/>
          <w:kern w:val="44"/>
          <w:sz w:val="32"/>
          <w:szCs w:val="32"/>
        </w:rPr>
        <w:t>七、 其他说明</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_Toc142059705 \h </w:instrText>
      </w:r>
      <w:r>
        <w:rPr>
          <w:rFonts w:hint="eastAsia" w:ascii="仿宋_GB2312" w:eastAsia="仿宋_GB2312"/>
          <w:bCs/>
          <w:sz w:val="32"/>
          <w:szCs w:val="32"/>
        </w:rPr>
        <w:fldChar w:fldCharType="separate"/>
      </w:r>
      <w:r>
        <w:rPr>
          <w:rFonts w:ascii="仿宋_GB2312" w:eastAsia="仿宋_GB2312"/>
          <w:bCs/>
          <w:sz w:val="32"/>
          <w:szCs w:val="32"/>
        </w:rPr>
        <w:t>27</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8"/>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"_Toc142059706" </w:instrText>
      </w:r>
      <w:r>
        <w:fldChar w:fldCharType="separate"/>
      </w:r>
      <w:r>
        <w:rPr>
          <w:rStyle w:val="16"/>
          <w:rFonts w:hint="eastAsia" w:ascii="仿宋_GB2312" w:eastAsia="仿宋_GB2312"/>
          <w:bCs/>
          <w:sz w:val="32"/>
          <w:szCs w:val="32"/>
        </w:rPr>
        <w:t>八、附件</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_Toc142059706 \h </w:instrText>
      </w:r>
      <w:r>
        <w:rPr>
          <w:rFonts w:hint="eastAsia" w:ascii="仿宋_GB2312" w:eastAsia="仿宋_GB2312"/>
          <w:bCs/>
          <w:sz w:val="32"/>
          <w:szCs w:val="32"/>
        </w:rPr>
        <w:fldChar w:fldCharType="separate"/>
      </w:r>
      <w:r>
        <w:rPr>
          <w:rFonts w:ascii="仿宋_GB2312" w:eastAsia="仿宋_GB2312"/>
          <w:bCs/>
          <w:sz w:val="32"/>
          <w:szCs w:val="32"/>
        </w:rPr>
        <w:t>30</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"_Toc142059707" </w:instrText>
      </w:r>
      <w:r>
        <w:fldChar w:fldCharType="separate"/>
      </w:r>
      <w:r>
        <w:rPr>
          <w:rStyle w:val="16"/>
          <w:rFonts w:hint="eastAsia" w:ascii="仿宋_GB2312" w:hAnsi="黑体" w:eastAsia="仿宋_GB2312"/>
          <w:bCs/>
          <w:kern w:val="44"/>
          <w:sz w:val="32"/>
          <w:szCs w:val="32"/>
        </w:rPr>
        <w:t>附件（一）2022年度石狮市养老服务业补助项目绩效评价指标体系</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_Toc142059707 \h </w:instrText>
      </w:r>
      <w:r>
        <w:rPr>
          <w:rFonts w:hint="eastAsia" w:ascii="仿宋_GB2312" w:eastAsia="仿宋_GB2312"/>
          <w:bCs/>
          <w:sz w:val="32"/>
          <w:szCs w:val="32"/>
        </w:rPr>
        <w:fldChar w:fldCharType="separate"/>
      </w:r>
      <w:r>
        <w:rPr>
          <w:rFonts w:ascii="仿宋_GB2312" w:eastAsia="仿宋_GB2312"/>
          <w:bCs/>
          <w:sz w:val="32"/>
          <w:szCs w:val="32"/>
        </w:rPr>
        <w:t>30</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pStyle w:val="10"/>
        <w:tabs>
          <w:tab w:val="right" w:leader="dot" w:pos="8296"/>
        </w:tabs>
        <w:rPr>
          <w:rFonts w:ascii="仿宋_GB2312" w:eastAsia="仿宋_GB2312" w:hAnsiTheme="minorHAnsi" w:cstheme="minorBidi"/>
          <w:bCs/>
          <w:sz w:val="32"/>
          <w:szCs w:val="32"/>
          <w14:ligatures w14:val="standardContextual"/>
        </w:rPr>
      </w:pPr>
      <w:r>
        <w:fldChar w:fldCharType="begin"/>
      </w:r>
      <w:r>
        <w:instrText xml:space="preserve"> HYPERLINK \l "_Toc142059708" </w:instrText>
      </w:r>
      <w:r>
        <w:fldChar w:fldCharType="separate"/>
      </w:r>
      <w:r>
        <w:rPr>
          <w:rStyle w:val="16"/>
          <w:rFonts w:hint="eastAsia" w:ascii="仿宋_GB2312" w:hAnsi="黑体" w:eastAsia="仿宋_GB2312"/>
          <w:bCs/>
          <w:kern w:val="44"/>
          <w:sz w:val="32"/>
          <w:szCs w:val="32"/>
        </w:rPr>
        <w:t>附件（二）石狮市民政局2022年养老服务业项目各项目实际支出情况表</w:t>
      </w:r>
      <w:r>
        <w:rPr>
          <w:rFonts w:hint="eastAsia" w:ascii="仿宋_GB2312" w:eastAsia="仿宋_GB2312"/>
          <w:bCs/>
          <w:sz w:val="32"/>
          <w:szCs w:val="32"/>
        </w:rPr>
        <w:tab/>
      </w:r>
      <w:r>
        <w:rPr>
          <w:rFonts w:hint="eastAsia" w:ascii="仿宋_GB2312" w:eastAsia="仿宋_GB2312"/>
          <w:bCs/>
          <w:sz w:val="32"/>
          <w:szCs w:val="32"/>
        </w:rPr>
        <w:fldChar w:fldCharType="begin"/>
      </w:r>
      <w:r>
        <w:rPr>
          <w:rFonts w:hint="eastAsia" w:ascii="仿宋_GB2312" w:eastAsia="仿宋_GB2312"/>
          <w:bCs/>
          <w:sz w:val="32"/>
          <w:szCs w:val="32"/>
        </w:rPr>
        <w:instrText xml:space="preserve"> PAGEREF _Toc142059708 \h </w:instrText>
      </w:r>
      <w:r>
        <w:rPr>
          <w:rFonts w:hint="eastAsia" w:ascii="仿宋_GB2312" w:eastAsia="仿宋_GB2312"/>
          <w:bCs/>
          <w:sz w:val="32"/>
          <w:szCs w:val="32"/>
        </w:rPr>
        <w:fldChar w:fldCharType="separate"/>
      </w:r>
      <w:r>
        <w:rPr>
          <w:rFonts w:ascii="仿宋_GB2312" w:eastAsia="仿宋_GB2312"/>
          <w:bCs/>
          <w:sz w:val="32"/>
          <w:szCs w:val="32"/>
        </w:rPr>
        <w:t>37</w:t>
      </w:r>
      <w:r>
        <w:rPr>
          <w:rFonts w:hint="eastAsia" w:ascii="仿宋_GB2312" w:eastAsia="仿宋_GB2312"/>
          <w:bCs/>
          <w:sz w:val="32"/>
          <w:szCs w:val="32"/>
        </w:rPr>
        <w:fldChar w:fldCharType="end"/>
      </w:r>
      <w:r>
        <w:rPr>
          <w:rFonts w:hint="eastAsia" w:ascii="仿宋_GB2312" w:eastAsia="仿宋_GB2312"/>
          <w:bCs/>
          <w:sz w:val="32"/>
          <w:szCs w:val="32"/>
        </w:rPr>
        <w:fldChar w:fldCharType="end"/>
      </w:r>
    </w:p>
    <w:p>
      <w:pPr>
        <w:spacing w:line="276" w:lineRule="auto"/>
        <w:rPr>
          <w:rFonts w:ascii="仿宋_GB2312" w:hAnsi="仿宋_GB2312" w:eastAsia="仿宋_GB2312" w:cs="仿宋_GB2312"/>
          <w:sz w:val="32"/>
          <w:szCs w:val="32"/>
        </w:rPr>
      </w:pPr>
      <w:r>
        <w:rPr>
          <w:rFonts w:hint="eastAsia" w:ascii="仿宋_GB2312" w:hAnsi="仿宋_GB2312" w:eastAsia="仿宋_GB2312" w:cs="仿宋_GB2312"/>
          <w:bCs/>
          <w:sz w:val="32"/>
          <w:szCs w:val="32"/>
          <w:lang w:val="zh-CN"/>
        </w:rPr>
        <w:fldChar w:fldCharType="end"/>
      </w:r>
    </w:p>
    <w:p>
      <w:pPr>
        <w:rPr>
          <w:rFonts w:ascii="黑体" w:hAnsi="黑体" w:eastAsia="黑体"/>
          <w:sz w:val="36"/>
          <w:szCs w:val="36"/>
        </w:rPr>
      </w:pPr>
    </w:p>
    <w:p>
      <w:pPr>
        <w:rPr>
          <w:rFonts w:ascii="黑体" w:hAnsi="黑体" w:eastAsia="黑体"/>
          <w:sz w:val="36"/>
          <w:szCs w:val="36"/>
        </w:rPr>
      </w:pPr>
    </w:p>
    <w:p>
      <w:pPr>
        <w:rPr>
          <w:rFonts w:ascii="黑体" w:hAnsi="黑体" w:eastAsia="黑体"/>
          <w:sz w:val="36"/>
          <w:szCs w:val="36"/>
        </w:rPr>
        <w:sectPr>
          <w:pgSz w:w="11906" w:h="16838"/>
          <w:pgMar w:top="1440" w:right="1800" w:bottom="1440" w:left="1800" w:header="851" w:footer="992" w:gutter="0"/>
          <w:cols w:space="720" w:num="1"/>
          <w:docGrid w:type="lines" w:linePitch="312" w:charSpace="0"/>
        </w:sectPr>
      </w:pPr>
    </w:p>
    <w:p>
      <w:pPr>
        <w:jc w:val="center"/>
        <w:rPr>
          <w:rFonts w:ascii="黑体" w:hAnsi="黑体" w:eastAsia="黑体"/>
          <w:color w:val="000000"/>
          <w:sz w:val="36"/>
          <w:szCs w:val="36"/>
        </w:rPr>
      </w:pPr>
      <w:r>
        <w:rPr>
          <w:rFonts w:hint="eastAsia" w:ascii="黑体" w:hAnsi="黑体" w:eastAsia="黑体"/>
          <w:color w:val="000000"/>
          <w:sz w:val="36"/>
          <w:szCs w:val="36"/>
        </w:rPr>
        <w:t>财政支出重点绩效评价报告</w:t>
      </w:r>
    </w:p>
    <w:p>
      <w:pPr>
        <w:widowControl/>
        <w:ind w:firstLine="620" w:firstLineChars="200"/>
        <w:rPr>
          <w:rFonts w:ascii="仿宋_GB2312" w:eastAsia="仿宋_GB2312"/>
          <w:sz w:val="32"/>
          <w:szCs w:val="32"/>
        </w:rPr>
      </w:pPr>
      <w:r>
        <w:rPr>
          <w:rFonts w:ascii="仿宋_GB2312" w:hAnsi="宋体" w:eastAsia="仿宋_GB2312" w:cs="仿宋_GB2312"/>
          <w:color w:val="000000"/>
          <w:kern w:val="0"/>
          <w:sz w:val="31"/>
          <w:szCs w:val="31"/>
          <w:lang w:bidi="ar"/>
        </w:rPr>
        <w:t>为全面了解项目财政支出资金使用绩效，加强财政资金</w:t>
      </w:r>
      <w:r>
        <w:rPr>
          <w:rFonts w:hint="eastAsia" w:ascii="仿宋_GB2312" w:hAnsi="宋体" w:eastAsia="仿宋_GB2312" w:cs="仿宋_GB2312"/>
          <w:color w:val="000000"/>
          <w:kern w:val="0"/>
          <w:sz w:val="31"/>
          <w:szCs w:val="31"/>
          <w:lang w:bidi="ar"/>
        </w:rPr>
        <w:t>使用情况的绩效考核，根据《项目支出绩效评价管理办法》（财预〔2020〕10 号）、《中共泉州市委办公室、泉州市人民政府办公室关于印发&lt;关于全面实施预算绩效管理的若干措施&gt;的通知》（泉委办发〔2019〕42号）、《中共石狮市委办公室、石狮市人民政府办公室关于印发&lt;石狮市全面实施预算绩效管理工作措施&gt;的通知》（狮委办发〔2019〕12 号）文件要求，石狮市财政局委托第三方机构厦门市恒</w:t>
      </w:r>
      <w:r>
        <w:rPr>
          <w:rFonts w:ascii="仿宋" w:hAnsi="仿宋" w:eastAsia="仿宋" w:cs="仿宋"/>
          <w:color w:val="000000"/>
          <w:kern w:val="0"/>
          <w:sz w:val="31"/>
          <w:szCs w:val="31"/>
          <w:lang w:bidi="ar"/>
        </w:rPr>
        <w:t>璟</w:t>
      </w:r>
      <w:r>
        <w:rPr>
          <w:rFonts w:hint="eastAsia" w:ascii="仿宋_GB2312" w:hAnsi="宋体" w:eastAsia="仿宋_GB2312" w:cs="仿宋_GB2312"/>
          <w:color w:val="000000"/>
          <w:kern w:val="0"/>
          <w:sz w:val="31"/>
          <w:szCs w:val="31"/>
          <w:lang w:bidi="ar"/>
        </w:rPr>
        <w:t xml:space="preserve">管理顾问有限公司对 </w:t>
      </w:r>
      <w:r>
        <w:rPr>
          <w:rFonts w:hint="eastAsia" w:ascii="仿宋_GB2312" w:eastAsia="仿宋_GB2312"/>
          <w:sz w:val="32"/>
          <w:szCs w:val="32"/>
        </w:rPr>
        <w:t>2022年度石狮市养老服务业补助项目</w:t>
      </w:r>
      <w:r>
        <w:rPr>
          <w:rFonts w:hint="eastAsia" w:ascii="仿宋_GB2312" w:hAnsi="宋体" w:eastAsia="仿宋_GB2312" w:cs="仿宋_GB2312"/>
          <w:color w:val="000000"/>
          <w:kern w:val="0"/>
          <w:sz w:val="31"/>
          <w:szCs w:val="31"/>
          <w:lang w:bidi="ar"/>
        </w:rPr>
        <w:t>开展财政重点绩效评价。现将评价情况报告如下：</w:t>
      </w:r>
    </w:p>
    <w:p>
      <w:pPr>
        <w:pStyle w:val="4"/>
      </w:pPr>
      <w:bookmarkStart w:id="1" w:name="_Toc142059676"/>
      <w:r>
        <w:rPr>
          <w:rFonts w:hint="eastAsia"/>
        </w:rPr>
        <w:t>一、项目概述</w:t>
      </w:r>
      <w:bookmarkEnd w:id="1"/>
    </w:p>
    <w:p>
      <w:pPr>
        <w:pStyle w:val="5"/>
        <w:spacing w:before="0" w:after="0" w:line="560" w:lineRule="exact"/>
        <w:ind w:firstLine="642" w:firstLineChars="200"/>
        <w:rPr>
          <w:rFonts w:ascii="黑体" w:hAnsi="黑体" w:eastAsia="楷体"/>
          <w:kern w:val="44"/>
          <w:szCs w:val="30"/>
        </w:rPr>
      </w:pPr>
      <w:bookmarkStart w:id="2" w:name="_Toc142059677"/>
      <w:r>
        <w:rPr>
          <w:rFonts w:hint="eastAsia" w:ascii="黑体" w:hAnsi="黑体" w:eastAsia="楷体"/>
          <w:kern w:val="44"/>
          <w:szCs w:val="30"/>
        </w:rPr>
        <w:t>（一）项目概况</w:t>
      </w:r>
      <w:bookmarkEnd w:id="2"/>
    </w:p>
    <w:p>
      <w:pPr>
        <w:adjustRightInd w:val="0"/>
        <w:snapToGrid w:val="0"/>
        <w:spacing w:line="360" w:lineRule="auto"/>
        <w:ind w:firstLine="640" w:firstLineChars="200"/>
        <w:rPr>
          <w:rFonts w:ascii="宋体" w:hAnsi="宋体" w:cs="宋体"/>
          <w:sz w:val="24"/>
        </w:rPr>
      </w:pPr>
      <w:r>
        <w:rPr>
          <w:rFonts w:hint="eastAsia" w:ascii="仿宋_GB2312" w:eastAsia="仿宋_GB2312"/>
          <w:sz w:val="32"/>
          <w:szCs w:val="32"/>
        </w:rPr>
        <w:t>为深入贯彻落实党中央</w:t>
      </w:r>
      <w:r>
        <w:rPr>
          <w:rFonts w:hint="eastAsia" w:ascii="仿宋_GB2312" w:eastAsia="仿宋_GB2312"/>
          <w:sz w:val="32"/>
          <w:szCs w:val="32"/>
          <w:lang w:eastAsia="zh-CN"/>
        </w:rPr>
        <w:t>、</w:t>
      </w:r>
      <w:r>
        <w:rPr>
          <w:rFonts w:hint="eastAsia" w:ascii="仿宋_GB2312" w:eastAsia="仿宋_GB2312"/>
          <w:sz w:val="32"/>
          <w:szCs w:val="32"/>
        </w:rPr>
        <w:t>国务院</w:t>
      </w:r>
      <w:r>
        <w:rPr>
          <w:rFonts w:hint="eastAsia" w:ascii="仿宋_GB2312" w:eastAsia="仿宋_GB2312"/>
          <w:sz w:val="32"/>
          <w:szCs w:val="32"/>
          <w:lang w:eastAsia="zh-CN"/>
        </w:rPr>
        <w:t>，</w:t>
      </w:r>
      <w:r>
        <w:rPr>
          <w:rFonts w:hint="eastAsia" w:ascii="仿宋_GB2312" w:eastAsia="仿宋_GB2312"/>
          <w:sz w:val="32"/>
          <w:szCs w:val="32"/>
        </w:rPr>
        <w:t>省委</w:t>
      </w:r>
      <w:r>
        <w:rPr>
          <w:rFonts w:hint="eastAsia" w:ascii="仿宋_GB2312" w:eastAsia="仿宋_GB2312"/>
          <w:sz w:val="32"/>
          <w:szCs w:val="32"/>
          <w:lang w:eastAsia="zh-CN"/>
        </w:rPr>
        <w:t>、</w:t>
      </w:r>
      <w:r>
        <w:rPr>
          <w:rFonts w:hint="eastAsia" w:ascii="仿宋_GB2312" w:eastAsia="仿宋_GB2312"/>
          <w:sz w:val="32"/>
          <w:szCs w:val="32"/>
        </w:rPr>
        <w:t>省政府和市委</w:t>
      </w:r>
      <w:r>
        <w:rPr>
          <w:rFonts w:hint="eastAsia" w:ascii="仿宋_GB2312" w:eastAsia="仿宋_GB2312"/>
          <w:sz w:val="32"/>
          <w:szCs w:val="32"/>
          <w:lang w:eastAsia="zh-CN"/>
        </w:rPr>
        <w:t>、</w:t>
      </w:r>
      <w:bookmarkStart w:id="43" w:name="_GoBack"/>
      <w:bookmarkEnd w:id="43"/>
      <w:r>
        <w:rPr>
          <w:rFonts w:hint="eastAsia" w:ascii="仿宋_GB2312" w:eastAsia="仿宋_GB2312"/>
          <w:sz w:val="32"/>
          <w:szCs w:val="32"/>
        </w:rPr>
        <w:t>市政府关于养老行业的决策部署，石狮市民政局按照福建省《养老服务专项业务管理办法的通知》（闽民养老〔2019〕87号）、泉州市《泉州市民政局关于印发2021年泉州市养老服务工作要点的通知》（泉民养老〔2021〕4号）、泉州市《泉州市民政局关于印发2022年泉州市养老服务工作要点的通知》（泉民养老〔2022〕4 号）及石狮市人民政府关于印发《石狮市推进养老事业发展奖励补助标准》（狮政综〔2018〕13号）等文件要求积极响应，根据政策内容配套相应资金，并根据实际情况增加相应奖补，最后通过会议决定通过该项目。石狮市民政局通过奖补相关养老企业及机构，鼓励社会资本流入养老行业，创建出适应新时代养老需求的基础设施。</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根据石狮市养老服务业补助项目重点任务清单中的具体要求，2022年度石狮市养老服务业补助项目需要做到对符合标准的机构应补尽补。2022年度共奖补了1家养老院、1家改造提升养老服务中心、3家农村幸福院、3家长者食堂项目及114.53个年入住床位数（年入住床位数＝一年内实际占用总床日数÷一年内实际开放总床日数），成功引导了更多社会资本参与养老服务发展，为老人建设多元化养老场所，提高了养老服务质量，为“老有所养”做出实质性作用。</w:t>
      </w:r>
    </w:p>
    <w:p>
      <w:pPr>
        <w:pStyle w:val="5"/>
        <w:spacing w:before="0" w:after="0" w:line="560" w:lineRule="exact"/>
        <w:ind w:firstLine="642" w:firstLineChars="200"/>
        <w:rPr>
          <w:rFonts w:ascii="黑体" w:hAnsi="黑体" w:eastAsia="楷体"/>
          <w:kern w:val="44"/>
          <w:szCs w:val="30"/>
        </w:rPr>
        <w:sectPr>
          <w:footerReference r:id="rId6" w:type="default"/>
          <w:pgSz w:w="11906" w:h="16838"/>
          <w:pgMar w:top="1440" w:right="1800" w:bottom="1440" w:left="1800" w:header="851" w:footer="992" w:gutter="0"/>
          <w:pgNumType w:start="1"/>
          <w:cols w:space="720" w:num="1"/>
          <w:docGrid w:type="lines" w:linePitch="312" w:charSpace="0"/>
        </w:sectPr>
      </w:pPr>
      <w:bookmarkStart w:id="3" w:name="_Toc142059678"/>
      <w:r>
        <w:rPr>
          <w:rFonts w:hint="eastAsia" w:ascii="黑体" w:hAnsi="黑体" w:eastAsia="楷体"/>
          <w:kern w:val="44"/>
          <w:szCs w:val="30"/>
        </w:rPr>
        <w:t>（二）项目补贴标准</w:t>
      </w:r>
      <w:bookmarkEnd w:id="3"/>
    </w:p>
    <w:p>
      <w:pPr>
        <w:pStyle w:val="2"/>
        <w:ind w:firstLine="200"/>
      </w:pP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916"/>
        <w:gridCol w:w="3799"/>
        <w:gridCol w:w="1483"/>
        <w:gridCol w:w="4099"/>
        <w:gridCol w:w="3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00" w:type="pct"/>
            <w:gridSpan w:val="6"/>
            <w:vAlign w:val="center"/>
          </w:tcPr>
          <w:p>
            <w:pPr>
              <w:adjustRightInd w:val="0"/>
              <w:snapToGrid w:val="0"/>
              <w:jc w:val="center"/>
              <w:rPr>
                <w:rFonts w:ascii="宋体" w:hAnsi="宋体" w:cs="宋体"/>
                <w:sz w:val="28"/>
                <w:szCs w:val="28"/>
              </w:rPr>
            </w:pPr>
            <w:r>
              <w:rPr>
                <w:rFonts w:hint="eastAsia" w:ascii="宋体" w:hAnsi="宋体" w:cs="宋体"/>
                <w:sz w:val="28"/>
                <w:szCs w:val="28"/>
              </w:rPr>
              <w:t>2022年度石狮市养老服务业补助项目补贴条件及标准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5" w:type="pct"/>
            <w:vAlign w:val="center"/>
          </w:tcPr>
          <w:p>
            <w:pPr>
              <w:adjustRightInd w:val="0"/>
              <w:snapToGrid w:val="0"/>
              <w:jc w:val="center"/>
              <w:rPr>
                <w:rFonts w:ascii="宋体" w:hAnsi="宋体" w:cs="宋体"/>
                <w:szCs w:val="21"/>
              </w:rPr>
            </w:pPr>
            <w:r>
              <w:rPr>
                <w:rFonts w:hint="eastAsia" w:ascii="宋体" w:hAnsi="宋体" w:cs="宋体"/>
                <w:szCs w:val="21"/>
              </w:rPr>
              <w:t>序号</w:t>
            </w:r>
          </w:p>
        </w:tc>
        <w:tc>
          <w:tcPr>
            <w:tcW w:w="323" w:type="pct"/>
            <w:vAlign w:val="center"/>
          </w:tcPr>
          <w:p>
            <w:pPr>
              <w:adjustRightInd w:val="0"/>
              <w:snapToGrid w:val="0"/>
              <w:rPr>
                <w:rFonts w:ascii="宋体" w:hAnsi="宋体" w:cs="宋体"/>
                <w:szCs w:val="21"/>
              </w:rPr>
            </w:pPr>
            <w:r>
              <w:rPr>
                <w:rFonts w:hint="eastAsia" w:ascii="宋体" w:hAnsi="宋体" w:cs="宋体"/>
                <w:szCs w:val="21"/>
              </w:rPr>
              <w:t>项目名称</w:t>
            </w:r>
          </w:p>
        </w:tc>
        <w:tc>
          <w:tcPr>
            <w:tcW w:w="1340" w:type="pct"/>
            <w:vAlign w:val="center"/>
          </w:tcPr>
          <w:p>
            <w:pPr>
              <w:adjustRightInd w:val="0"/>
              <w:snapToGrid w:val="0"/>
              <w:jc w:val="center"/>
              <w:rPr>
                <w:rFonts w:ascii="宋体" w:hAnsi="宋体" w:cs="宋体"/>
                <w:szCs w:val="21"/>
              </w:rPr>
            </w:pPr>
            <w:r>
              <w:rPr>
                <w:rFonts w:hint="eastAsia" w:ascii="宋体" w:hAnsi="宋体" w:cs="宋体"/>
                <w:szCs w:val="21"/>
              </w:rPr>
              <w:t>条件</w:t>
            </w:r>
          </w:p>
        </w:tc>
        <w:tc>
          <w:tcPr>
            <w:tcW w:w="523" w:type="pct"/>
            <w:vAlign w:val="center"/>
          </w:tcPr>
          <w:p>
            <w:pPr>
              <w:adjustRightInd w:val="0"/>
              <w:snapToGrid w:val="0"/>
              <w:jc w:val="center"/>
              <w:rPr>
                <w:rFonts w:ascii="宋体" w:hAnsi="宋体" w:cs="宋体"/>
                <w:szCs w:val="21"/>
              </w:rPr>
            </w:pPr>
            <w:r>
              <w:rPr>
                <w:rFonts w:hint="eastAsia" w:ascii="宋体" w:hAnsi="宋体" w:cs="宋体"/>
                <w:szCs w:val="21"/>
              </w:rPr>
              <w:t>标准</w:t>
            </w:r>
          </w:p>
        </w:tc>
        <w:tc>
          <w:tcPr>
            <w:tcW w:w="1446" w:type="pct"/>
            <w:vAlign w:val="center"/>
          </w:tcPr>
          <w:p>
            <w:pPr>
              <w:adjustRightInd w:val="0"/>
              <w:snapToGrid w:val="0"/>
              <w:jc w:val="center"/>
              <w:rPr>
                <w:rFonts w:ascii="宋体" w:hAnsi="宋体" w:cs="宋体"/>
                <w:szCs w:val="21"/>
              </w:rPr>
            </w:pPr>
            <w:r>
              <w:rPr>
                <w:rFonts w:hint="eastAsia" w:ascii="宋体" w:hAnsi="宋体" w:cs="宋体"/>
                <w:szCs w:val="21"/>
              </w:rPr>
              <w:t>补贴政策依据</w:t>
            </w:r>
          </w:p>
        </w:tc>
        <w:tc>
          <w:tcPr>
            <w:tcW w:w="1120" w:type="pct"/>
            <w:vAlign w:val="center"/>
          </w:tcPr>
          <w:p>
            <w:pPr>
              <w:adjustRightInd w:val="0"/>
              <w:snapToGrid w:val="0"/>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45" w:type="pct"/>
            <w:vAlign w:val="center"/>
          </w:tcPr>
          <w:p>
            <w:pPr>
              <w:adjustRightInd w:val="0"/>
              <w:snapToGrid w:val="0"/>
              <w:jc w:val="center"/>
              <w:rPr>
                <w:rFonts w:ascii="宋体" w:hAnsi="宋体" w:cs="宋体"/>
                <w:szCs w:val="21"/>
              </w:rPr>
            </w:pPr>
            <w:r>
              <w:rPr>
                <w:rFonts w:hint="eastAsia" w:ascii="宋体" w:hAnsi="宋体" w:cs="宋体"/>
                <w:szCs w:val="21"/>
              </w:rPr>
              <w:t>1</w:t>
            </w:r>
          </w:p>
        </w:tc>
        <w:tc>
          <w:tcPr>
            <w:tcW w:w="323" w:type="pct"/>
            <w:vAlign w:val="center"/>
          </w:tcPr>
          <w:p>
            <w:pPr>
              <w:adjustRightInd w:val="0"/>
              <w:snapToGrid w:val="0"/>
              <w:jc w:val="center"/>
              <w:rPr>
                <w:rFonts w:ascii="宋体" w:hAnsi="宋体" w:cs="宋体"/>
                <w:szCs w:val="21"/>
              </w:rPr>
            </w:pPr>
            <w:r>
              <w:rPr>
                <w:rFonts w:hint="eastAsia" w:ascii="宋体" w:hAnsi="宋体" w:cs="宋体"/>
                <w:szCs w:val="21"/>
              </w:rPr>
              <w:t>一次性开办补助</w:t>
            </w:r>
          </w:p>
        </w:tc>
        <w:tc>
          <w:tcPr>
            <w:tcW w:w="1340" w:type="pct"/>
          </w:tcPr>
          <w:p>
            <w:pPr>
              <w:adjustRightInd w:val="0"/>
              <w:snapToGrid w:val="0"/>
              <w:ind w:firstLine="420" w:firstLineChars="200"/>
              <w:rPr>
                <w:rFonts w:ascii="宋体" w:hAnsi="宋体" w:cs="宋体"/>
                <w:szCs w:val="21"/>
              </w:rPr>
            </w:pPr>
            <w:r>
              <w:rPr>
                <w:rFonts w:hint="eastAsia" w:ascii="宋体" w:hAnsi="宋体" w:cs="宋体"/>
                <w:szCs w:val="21"/>
              </w:rPr>
              <w:t>公建民营，租房且租期 5年(含)以上，床位 50张(含)以上，法定手续齐全。</w:t>
            </w:r>
          </w:p>
        </w:tc>
        <w:tc>
          <w:tcPr>
            <w:tcW w:w="523" w:type="pct"/>
          </w:tcPr>
          <w:p>
            <w:pPr>
              <w:adjustRightInd w:val="0"/>
              <w:snapToGrid w:val="0"/>
              <w:ind w:firstLine="420" w:firstLineChars="200"/>
              <w:rPr>
                <w:rFonts w:ascii="宋体" w:hAnsi="宋体" w:cs="宋体"/>
                <w:szCs w:val="21"/>
              </w:rPr>
            </w:pPr>
            <w:r>
              <w:rPr>
                <w:rFonts w:hint="eastAsia" w:ascii="宋体" w:hAnsi="宋体" w:cs="宋体"/>
                <w:szCs w:val="21"/>
              </w:rPr>
              <w:t>1万元/床，分5年支付。</w:t>
            </w:r>
          </w:p>
        </w:tc>
        <w:tc>
          <w:tcPr>
            <w:tcW w:w="1446" w:type="pct"/>
          </w:tcPr>
          <w:p>
            <w:pPr>
              <w:adjustRightInd w:val="0"/>
              <w:snapToGrid w:val="0"/>
              <w:ind w:firstLine="420" w:firstLineChars="200"/>
              <w:rPr>
                <w:rFonts w:ascii="宋体" w:hAnsi="宋体" w:cs="宋体"/>
                <w:szCs w:val="21"/>
              </w:rPr>
            </w:pPr>
            <w:r>
              <w:rPr>
                <w:rFonts w:hint="eastAsia" w:ascii="宋体" w:hAnsi="宋体" w:cs="宋体"/>
                <w:szCs w:val="21"/>
              </w:rPr>
              <w:t>石狮市人民政府关于印发《石狮市推进养老事业发展奖励补助标准》的通知（狮政综〔2018〕13号）</w:t>
            </w:r>
          </w:p>
        </w:tc>
        <w:tc>
          <w:tcPr>
            <w:tcW w:w="1120" w:type="pct"/>
          </w:tcPr>
          <w:p>
            <w:pPr>
              <w:adjustRightInd w:val="0"/>
              <w:snapToGrid w:val="0"/>
              <w:ind w:firstLine="420" w:firstLineChars="200"/>
              <w:rPr>
                <w:rFonts w:ascii="宋体" w:hAnsi="宋体" w:cs="宋体"/>
                <w:szCs w:val="21"/>
              </w:rPr>
            </w:pPr>
            <w:r>
              <w:rPr>
                <w:rFonts w:hint="eastAsia" w:ascii="宋体" w:hAnsi="宋体" w:cs="宋体"/>
                <w:szCs w:val="21"/>
              </w:rPr>
              <w:t>社会力量与政府合作举办，社会力量出资比例不低于 50%的非营利性养老机构同等适用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 w:type="pct"/>
            <w:vAlign w:val="center"/>
          </w:tcPr>
          <w:p>
            <w:pPr>
              <w:adjustRightInd w:val="0"/>
              <w:snapToGrid w:val="0"/>
              <w:jc w:val="center"/>
              <w:rPr>
                <w:rFonts w:ascii="宋体" w:hAnsi="宋体" w:cs="宋体"/>
                <w:szCs w:val="21"/>
              </w:rPr>
            </w:pPr>
            <w:r>
              <w:rPr>
                <w:rFonts w:hint="eastAsia" w:ascii="宋体" w:hAnsi="宋体" w:cs="宋体"/>
                <w:szCs w:val="21"/>
              </w:rPr>
              <w:t>2</w:t>
            </w:r>
          </w:p>
        </w:tc>
        <w:tc>
          <w:tcPr>
            <w:tcW w:w="323" w:type="pct"/>
            <w:vAlign w:val="center"/>
          </w:tcPr>
          <w:p>
            <w:pPr>
              <w:adjustRightInd w:val="0"/>
              <w:snapToGrid w:val="0"/>
              <w:jc w:val="center"/>
              <w:rPr>
                <w:rFonts w:ascii="宋体" w:hAnsi="宋体" w:cs="宋体"/>
                <w:szCs w:val="21"/>
              </w:rPr>
            </w:pPr>
            <w:r>
              <w:rPr>
                <w:rFonts w:hint="eastAsia" w:ascii="宋体" w:hAnsi="宋体" w:cs="宋体"/>
                <w:szCs w:val="21"/>
              </w:rPr>
              <w:t>床位补贴</w:t>
            </w:r>
          </w:p>
        </w:tc>
        <w:tc>
          <w:tcPr>
            <w:tcW w:w="1340" w:type="pct"/>
          </w:tcPr>
          <w:p>
            <w:pPr>
              <w:adjustRightInd w:val="0"/>
              <w:snapToGrid w:val="0"/>
              <w:ind w:firstLine="420" w:firstLineChars="200"/>
              <w:rPr>
                <w:rFonts w:ascii="宋体" w:hAnsi="宋体" w:cs="宋体"/>
                <w:szCs w:val="21"/>
              </w:rPr>
            </w:pPr>
            <w:r>
              <w:rPr>
                <w:rFonts w:hint="eastAsia" w:ascii="宋体" w:hAnsi="宋体" w:cs="宋体"/>
                <w:szCs w:val="21"/>
              </w:rPr>
              <w:t>1.收住本市户籍的老年人，按年平均实际入住的床位数计算。2.护理型床位养老护理员或医护人员与半护理、全护理老年人的比例不低于 1:5。</w:t>
            </w:r>
          </w:p>
        </w:tc>
        <w:tc>
          <w:tcPr>
            <w:tcW w:w="523" w:type="pct"/>
          </w:tcPr>
          <w:p>
            <w:pPr>
              <w:adjustRightInd w:val="0"/>
              <w:snapToGrid w:val="0"/>
              <w:ind w:firstLine="420" w:firstLineChars="200"/>
              <w:rPr>
                <w:rFonts w:ascii="宋体" w:hAnsi="宋体" w:cs="宋体"/>
                <w:szCs w:val="21"/>
              </w:rPr>
            </w:pPr>
            <w:r>
              <w:rPr>
                <w:rFonts w:hint="eastAsia" w:ascii="宋体" w:hAnsi="宋体" w:cs="宋体"/>
                <w:szCs w:val="21"/>
              </w:rPr>
              <w:t>自理老年人2400元/年/床，半护理老年人3600 元/年/床，全护理老年人4800 元/年/床。</w:t>
            </w:r>
          </w:p>
        </w:tc>
        <w:tc>
          <w:tcPr>
            <w:tcW w:w="1446" w:type="pct"/>
          </w:tcPr>
          <w:p>
            <w:pPr>
              <w:numPr>
                <w:ilvl w:val="0"/>
                <w:numId w:val="1"/>
              </w:numPr>
              <w:adjustRightInd w:val="0"/>
              <w:snapToGrid w:val="0"/>
              <w:ind w:firstLine="420" w:firstLineChars="200"/>
              <w:rPr>
                <w:rFonts w:ascii="宋体" w:hAnsi="宋体" w:cs="宋体"/>
                <w:szCs w:val="21"/>
              </w:rPr>
            </w:pPr>
            <w:r>
              <w:rPr>
                <w:rFonts w:hint="eastAsia" w:ascii="宋体" w:hAnsi="宋体" w:cs="宋体"/>
                <w:szCs w:val="21"/>
              </w:rPr>
              <w:t>养老服务专项业务管理办法的通知（闽民养老〔2019〕87号）</w:t>
            </w:r>
          </w:p>
          <w:p>
            <w:pPr>
              <w:numPr>
                <w:ilvl w:val="0"/>
                <w:numId w:val="1"/>
              </w:numPr>
              <w:adjustRightInd w:val="0"/>
              <w:snapToGrid w:val="0"/>
              <w:ind w:firstLine="420" w:firstLineChars="200"/>
              <w:rPr>
                <w:rFonts w:ascii="宋体" w:hAnsi="宋体" w:cs="宋体"/>
                <w:szCs w:val="21"/>
              </w:rPr>
            </w:pPr>
            <w:r>
              <w:rPr>
                <w:rFonts w:hint="eastAsia" w:ascii="宋体" w:hAnsi="宋体" w:cs="宋体"/>
                <w:szCs w:val="21"/>
              </w:rPr>
              <w:t>关石狮市人民政府关于印发《石狮市推进养老事业发展奖励补助标准》的通知（狮政综〔2018〕13号）</w:t>
            </w:r>
          </w:p>
          <w:p>
            <w:pPr>
              <w:numPr>
                <w:ilvl w:val="0"/>
                <w:numId w:val="1"/>
              </w:numPr>
              <w:adjustRightInd w:val="0"/>
              <w:snapToGrid w:val="0"/>
              <w:ind w:firstLine="420" w:firstLineChars="200"/>
              <w:rPr>
                <w:rFonts w:ascii="宋体" w:hAnsi="宋体" w:cs="宋体"/>
                <w:szCs w:val="21"/>
              </w:rPr>
            </w:pPr>
            <w:r>
              <w:rPr>
                <w:rFonts w:hint="eastAsia" w:ascii="宋体" w:hAnsi="宋体" w:cs="宋体"/>
                <w:szCs w:val="21"/>
              </w:rPr>
              <w:t>福建省财政厅 福建省民政厅关于下达2021年民办养老机构开办及床位运营补贴和援建对口帮扶资金的通知（闽财社指〔2021〕62号）</w:t>
            </w:r>
          </w:p>
          <w:p>
            <w:pPr>
              <w:numPr>
                <w:ilvl w:val="0"/>
                <w:numId w:val="1"/>
              </w:numPr>
              <w:adjustRightInd w:val="0"/>
              <w:snapToGrid w:val="0"/>
              <w:ind w:firstLine="420" w:firstLineChars="200"/>
              <w:rPr>
                <w:rFonts w:ascii="宋体" w:hAnsi="宋体" w:cs="宋体"/>
                <w:szCs w:val="21"/>
              </w:rPr>
            </w:pPr>
            <w:r>
              <w:rPr>
                <w:rFonts w:hint="eastAsia" w:ascii="宋体" w:hAnsi="宋体" w:cs="宋体"/>
                <w:szCs w:val="21"/>
              </w:rPr>
              <w:t>泉州市财政局_泉州市民政局关于下达2020年泉州民办养老机构市级床位运营补助资金的通知（泉财指标〔2021〕766号）</w:t>
            </w:r>
          </w:p>
        </w:tc>
        <w:tc>
          <w:tcPr>
            <w:tcW w:w="1120" w:type="pct"/>
          </w:tcPr>
          <w:p>
            <w:pPr>
              <w:adjustRightInd w:val="0"/>
              <w:snapToGrid w:val="0"/>
              <w:ind w:firstLine="420" w:firstLineChars="200"/>
              <w:rPr>
                <w:rFonts w:ascii="宋体" w:hAnsi="宋体" w:cs="宋体"/>
                <w:szCs w:val="21"/>
              </w:rPr>
            </w:pPr>
            <w:r>
              <w:rPr>
                <w:rFonts w:hint="eastAsia" w:ascii="宋体" w:hAnsi="宋体" w:cs="宋体"/>
                <w:szCs w:val="21"/>
              </w:rPr>
              <w:t>营利性养老机构护理型床位数达30%以上的，以实际入住的全护理老年人床位数参照执行。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 w:type="pct"/>
            <w:vAlign w:val="center"/>
          </w:tcPr>
          <w:p>
            <w:pPr>
              <w:adjustRightInd w:val="0"/>
              <w:snapToGrid w:val="0"/>
              <w:jc w:val="center"/>
              <w:rPr>
                <w:rFonts w:ascii="宋体" w:hAnsi="宋体" w:cs="宋体"/>
                <w:szCs w:val="21"/>
              </w:rPr>
            </w:pPr>
            <w:r>
              <w:rPr>
                <w:rFonts w:hint="eastAsia" w:ascii="宋体" w:hAnsi="宋体" w:cs="宋体"/>
                <w:szCs w:val="21"/>
              </w:rPr>
              <w:t>3</w:t>
            </w:r>
          </w:p>
        </w:tc>
        <w:tc>
          <w:tcPr>
            <w:tcW w:w="323" w:type="pct"/>
            <w:vAlign w:val="center"/>
          </w:tcPr>
          <w:p>
            <w:pPr>
              <w:adjustRightInd w:val="0"/>
              <w:snapToGrid w:val="0"/>
              <w:jc w:val="center"/>
              <w:rPr>
                <w:rFonts w:ascii="宋体" w:hAnsi="宋体" w:cs="宋体"/>
                <w:szCs w:val="21"/>
              </w:rPr>
            </w:pPr>
            <w:r>
              <w:rPr>
                <w:rFonts w:hint="eastAsia" w:ascii="宋体" w:hAnsi="宋体" w:cs="宋体"/>
                <w:szCs w:val="21"/>
              </w:rPr>
              <w:t>农村幸福院</w:t>
            </w:r>
          </w:p>
        </w:tc>
        <w:tc>
          <w:tcPr>
            <w:tcW w:w="1340" w:type="pct"/>
          </w:tcPr>
          <w:p>
            <w:pPr>
              <w:widowControl/>
              <w:ind w:firstLine="420" w:firstLineChars="200"/>
              <w:jc w:val="left"/>
              <w:rPr>
                <w:rFonts w:ascii="宋体" w:hAnsi="宋体" w:cs="宋体"/>
                <w:szCs w:val="21"/>
              </w:rPr>
            </w:pPr>
            <w:r>
              <w:rPr>
                <w:rFonts w:hint="eastAsia" w:ascii="宋体" w:hAnsi="宋体" w:cs="宋体"/>
                <w:color w:val="000000"/>
                <w:kern w:val="0"/>
                <w:szCs w:val="21"/>
                <w:lang w:bidi="ar"/>
              </w:rPr>
              <w:t>要求房屋应符合抗震标准， 建筑面积 200平方米左右，设置10张机构养老床位或日间照料床位，建成具备为农村老年人提供就餐、短期托养、家政服务、文化娱乐等服务的公益性服务场所，应 达 到 “七个有”要求。已有的农村幸福院提升为示范点，提升工程应按福建省地方标准《农村幸福院等级划分与评定》四星级及以上标准进行提升。如已评定四星级，则需按五星级标准进行提升。</w:t>
            </w:r>
          </w:p>
        </w:tc>
        <w:tc>
          <w:tcPr>
            <w:tcW w:w="523" w:type="pct"/>
          </w:tcPr>
          <w:p>
            <w:pPr>
              <w:widowControl/>
              <w:ind w:firstLine="420" w:firstLineChars="200"/>
              <w:jc w:val="left"/>
              <w:rPr>
                <w:rFonts w:ascii="宋体" w:hAnsi="宋体" w:cs="宋体"/>
                <w:szCs w:val="21"/>
              </w:rPr>
            </w:pPr>
            <w:r>
              <w:rPr>
                <w:rFonts w:hint="eastAsia" w:ascii="宋体" w:hAnsi="宋体" w:cs="宋体"/>
                <w:color w:val="000000"/>
                <w:kern w:val="0"/>
                <w:szCs w:val="21"/>
                <w:lang w:bidi="ar"/>
              </w:rPr>
              <w:t>每个市级财政补助 1 5 万元，县级财政补助 1 5万元。</w:t>
            </w:r>
          </w:p>
          <w:p>
            <w:pPr>
              <w:adjustRightInd w:val="0"/>
              <w:snapToGrid w:val="0"/>
              <w:ind w:firstLine="420" w:firstLineChars="200"/>
              <w:rPr>
                <w:rFonts w:ascii="宋体" w:hAnsi="宋体" w:cs="宋体"/>
                <w:szCs w:val="21"/>
              </w:rPr>
            </w:pPr>
          </w:p>
        </w:tc>
        <w:tc>
          <w:tcPr>
            <w:tcW w:w="1446" w:type="pct"/>
          </w:tcPr>
          <w:p>
            <w:pPr>
              <w:adjustRightInd w:val="0"/>
              <w:snapToGrid w:val="0"/>
              <w:ind w:firstLine="420" w:firstLineChars="200"/>
              <w:rPr>
                <w:rFonts w:ascii="宋体" w:hAnsi="宋体" w:cs="宋体"/>
                <w:szCs w:val="21"/>
              </w:rPr>
            </w:pPr>
            <w:r>
              <w:rPr>
                <w:rFonts w:hint="eastAsia" w:ascii="宋体" w:hAnsi="宋体" w:cs="宋体"/>
                <w:szCs w:val="21"/>
              </w:rPr>
              <w:t>1.《泉州市民政局关于印发2022年泉州市养老服务工作要点的通知（泉民养老〔2022〕4 号 》</w:t>
            </w:r>
          </w:p>
          <w:p>
            <w:pPr>
              <w:adjustRightInd w:val="0"/>
              <w:snapToGrid w:val="0"/>
              <w:ind w:firstLine="420" w:firstLineChars="200"/>
              <w:rPr>
                <w:rFonts w:ascii="宋体" w:hAnsi="宋体" w:cs="宋体"/>
                <w:szCs w:val="21"/>
              </w:rPr>
            </w:pPr>
            <w:r>
              <w:rPr>
                <w:rFonts w:hint="eastAsia" w:ascii="宋体" w:hAnsi="宋体" w:cs="宋体"/>
                <w:szCs w:val="21"/>
              </w:rPr>
              <w:t>2.《石狮市民政局关于下达2022年长者食堂和农村幸福院建设项目泉州市级补助资金的通知》（狮民〔2022〕43号）</w:t>
            </w:r>
          </w:p>
        </w:tc>
        <w:tc>
          <w:tcPr>
            <w:tcW w:w="1120" w:type="pct"/>
          </w:tcPr>
          <w:p>
            <w:pPr>
              <w:adjustRightInd w:val="0"/>
              <w:snapToGrid w:val="0"/>
              <w:ind w:firstLine="420" w:firstLineChars="200"/>
              <w:rPr>
                <w:rFonts w:ascii="宋体" w:hAnsi="宋体" w:cs="宋体"/>
                <w:szCs w:val="21"/>
              </w:rPr>
            </w:pPr>
            <w:r>
              <w:rPr>
                <w:rFonts w:hint="eastAsia" w:ascii="宋体" w:hAnsi="宋体" w:cs="宋体"/>
                <w:color w:val="000000"/>
                <w:kern w:val="0"/>
                <w:szCs w:val="21"/>
                <w:lang w:bidi="ar"/>
              </w:rPr>
              <w:t>“七个有”要求即:有日间照料场所、有厨房和餐厅、有文化娱乐场所、有老年服务队伍、有服务内容和老年服务热线、有管理制度、有筹资渠道。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245" w:type="pct"/>
            <w:vAlign w:val="center"/>
          </w:tcPr>
          <w:p>
            <w:pPr>
              <w:adjustRightInd w:val="0"/>
              <w:snapToGrid w:val="0"/>
              <w:jc w:val="center"/>
              <w:rPr>
                <w:rFonts w:ascii="宋体" w:hAnsi="宋体" w:cs="宋体"/>
                <w:szCs w:val="21"/>
              </w:rPr>
            </w:pPr>
            <w:r>
              <w:rPr>
                <w:rFonts w:hint="eastAsia" w:ascii="宋体" w:hAnsi="宋体" w:cs="宋体"/>
                <w:szCs w:val="21"/>
              </w:rPr>
              <w:t>4</w:t>
            </w:r>
          </w:p>
        </w:tc>
        <w:tc>
          <w:tcPr>
            <w:tcW w:w="323" w:type="pct"/>
            <w:vAlign w:val="center"/>
          </w:tcPr>
          <w:p>
            <w:pPr>
              <w:adjustRightInd w:val="0"/>
              <w:snapToGrid w:val="0"/>
              <w:jc w:val="center"/>
              <w:rPr>
                <w:rFonts w:ascii="宋体" w:hAnsi="宋体" w:cs="宋体"/>
                <w:szCs w:val="21"/>
              </w:rPr>
            </w:pPr>
            <w:r>
              <w:rPr>
                <w:rFonts w:hint="eastAsia" w:ascii="宋体" w:hAnsi="宋体" w:cs="宋体"/>
                <w:szCs w:val="21"/>
              </w:rPr>
              <w:t>长者食堂</w:t>
            </w:r>
          </w:p>
        </w:tc>
        <w:tc>
          <w:tcPr>
            <w:tcW w:w="1340" w:type="pct"/>
          </w:tcPr>
          <w:p>
            <w:pPr>
              <w:pStyle w:val="11"/>
              <w:widowControl w:val="0"/>
              <w:spacing w:before="0" w:beforeAutospacing="0" w:after="0" w:afterAutospacing="0"/>
              <w:ind w:firstLine="420" w:firstLineChars="200"/>
              <w:rPr>
                <w:rFonts w:hAnsi="宋体"/>
                <w:color w:val="000000"/>
                <w:sz w:val="21"/>
                <w:szCs w:val="21"/>
                <w:lang w:bidi="ar"/>
              </w:rPr>
            </w:pPr>
            <w:r>
              <w:rPr>
                <w:rFonts w:hint="eastAsia" w:hAnsi="宋体"/>
                <w:color w:val="000000"/>
                <w:sz w:val="21"/>
                <w:szCs w:val="21"/>
                <w:lang w:bidi="ar"/>
              </w:rPr>
              <w:t xml:space="preserve">1.使用面积原则上不少于 80 平方米，能同时容纳20人及以上老年人用餐，并配备与之相应的助餐工作人员。 </w:t>
            </w:r>
          </w:p>
          <w:p>
            <w:pPr>
              <w:pStyle w:val="11"/>
              <w:widowControl w:val="0"/>
              <w:spacing w:before="0" w:beforeAutospacing="0" w:after="0" w:afterAutospacing="0"/>
              <w:ind w:firstLine="420" w:firstLineChars="200"/>
              <w:rPr>
                <w:rFonts w:hAnsi="宋体"/>
                <w:color w:val="000000"/>
                <w:sz w:val="21"/>
                <w:szCs w:val="21"/>
                <w:lang w:bidi="ar"/>
              </w:rPr>
            </w:pPr>
            <w:r>
              <w:rPr>
                <w:rFonts w:hint="eastAsia" w:hAnsi="宋体"/>
                <w:color w:val="000000"/>
                <w:sz w:val="21"/>
                <w:szCs w:val="21"/>
                <w:lang w:bidi="ar"/>
              </w:rPr>
              <w:t>2.按照“四区、八有”规范建设。</w:t>
            </w:r>
          </w:p>
          <w:p>
            <w:pPr>
              <w:widowControl/>
              <w:ind w:firstLine="420" w:firstLineChars="200"/>
              <w:jc w:val="left"/>
              <w:rPr>
                <w:rFonts w:ascii="宋体" w:hAnsi="宋体" w:cs="宋体"/>
                <w:szCs w:val="21"/>
              </w:rPr>
            </w:pPr>
            <w:r>
              <w:rPr>
                <w:rFonts w:hint="eastAsia" w:ascii="宋体" w:hAnsi="宋体" w:cs="宋体"/>
                <w:color w:val="000000"/>
                <w:kern w:val="0"/>
                <w:szCs w:val="21"/>
                <w:lang w:bidi="ar"/>
              </w:rPr>
              <w:t>3.就餐场所应当进行适老化改造，环境温馨、灯光明亮、清洁卫生、标识清晰。有条件的地方，可适当添置轮椅、拐杖等日常生活类辅助器具。</w:t>
            </w:r>
          </w:p>
        </w:tc>
        <w:tc>
          <w:tcPr>
            <w:tcW w:w="523" w:type="pct"/>
          </w:tcPr>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每个长者食堂，市级财政补助15 万元，县级财政补助 1 5 万元。</w:t>
            </w:r>
          </w:p>
          <w:p>
            <w:pPr>
              <w:adjustRightInd w:val="0"/>
              <w:snapToGrid w:val="0"/>
              <w:ind w:firstLine="420" w:firstLineChars="200"/>
              <w:rPr>
                <w:rFonts w:ascii="宋体" w:hAnsi="宋体" w:cs="宋体"/>
                <w:szCs w:val="21"/>
              </w:rPr>
            </w:pPr>
          </w:p>
        </w:tc>
        <w:tc>
          <w:tcPr>
            <w:tcW w:w="1446" w:type="pct"/>
          </w:tcPr>
          <w:p>
            <w:pPr>
              <w:adjustRightInd w:val="0"/>
              <w:snapToGrid w:val="0"/>
              <w:ind w:firstLine="420" w:firstLineChars="200"/>
              <w:rPr>
                <w:rFonts w:ascii="宋体" w:hAnsi="宋体" w:cs="宋体"/>
                <w:szCs w:val="21"/>
              </w:rPr>
            </w:pPr>
            <w:r>
              <w:rPr>
                <w:rFonts w:hint="eastAsia" w:ascii="宋体" w:hAnsi="宋体" w:cs="宋体"/>
                <w:szCs w:val="21"/>
              </w:rPr>
              <w:t>1.《泉州市民政局关于印发2021年泉州市养老服务工作要点的通知》（泉民养老〔2021〕4号 )</w:t>
            </w:r>
          </w:p>
          <w:p>
            <w:pPr>
              <w:adjustRightInd w:val="0"/>
              <w:snapToGrid w:val="0"/>
              <w:ind w:firstLine="420" w:firstLineChars="200"/>
              <w:rPr>
                <w:rFonts w:ascii="宋体" w:hAnsi="宋体" w:cs="宋体"/>
                <w:szCs w:val="21"/>
              </w:rPr>
            </w:pPr>
            <w:r>
              <w:rPr>
                <w:rFonts w:hint="eastAsia" w:ascii="宋体" w:hAnsi="宋体" w:cs="宋体"/>
                <w:szCs w:val="21"/>
              </w:rPr>
              <w:t>2.《石狮市民政局关于下达2021年为民办实事项目及养老贴心工程项目石狮市级补助资金的通知》(狮民〔2021〕99号)</w:t>
            </w:r>
          </w:p>
        </w:tc>
        <w:tc>
          <w:tcPr>
            <w:tcW w:w="1120" w:type="pct"/>
          </w:tcPr>
          <w:p>
            <w:pPr>
              <w:pStyle w:val="11"/>
              <w:widowControl w:val="0"/>
              <w:spacing w:before="0" w:beforeAutospacing="0" w:after="0" w:afterAutospacing="0"/>
              <w:ind w:firstLine="420" w:firstLineChars="200"/>
              <w:rPr>
                <w:rFonts w:hAnsi="宋体"/>
                <w:color w:val="000000"/>
                <w:sz w:val="21"/>
                <w:szCs w:val="21"/>
                <w:lang w:bidi="ar"/>
              </w:rPr>
            </w:pPr>
            <w:r>
              <w:rPr>
                <w:rFonts w:hint="eastAsia" w:hAnsi="宋体"/>
                <w:color w:val="000000"/>
                <w:sz w:val="21"/>
                <w:szCs w:val="21"/>
                <w:lang w:bidi="ar"/>
              </w:rPr>
              <w:t>“四区”：即一个食品加工制作区、一个选餐配餐区、一个就餐区、一个卫生洗漱区；“八有”：即有一套实用的炊食器具、有一套满足需求的餐具桌椅、有一台消毒碗柜、有一台保鲜冰柜、有一台留样冰箱、有一套供暖降温设备、有一套电子监控设备、有一套消防器材。</w:t>
            </w:r>
          </w:p>
          <w:p>
            <w:pPr>
              <w:adjustRightInd w:val="0"/>
              <w:snapToGrid w:val="0"/>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 w:type="pct"/>
            <w:shd w:val="clear" w:color="auto" w:fill="auto"/>
            <w:vAlign w:val="center"/>
          </w:tcPr>
          <w:p>
            <w:pPr>
              <w:adjustRightInd w:val="0"/>
              <w:snapToGrid w:val="0"/>
              <w:jc w:val="center"/>
              <w:rPr>
                <w:rFonts w:ascii="宋体" w:hAnsi="宋体" w:cs="宋体"/>
                <w:szCs w:val="21"/>
              </w:rPr>
            </w:pPr>
            <w:r>
              <w:rPr>
                <w:rFonts w:hint="eastAsia" w:ascii="宋体" w:hAnsi="宋体" w:cs="宋体"/>
                <w:szCs w:val="21"/>
              </w:rPr>
              <w:t>5</w:t>
            </w:r>
          </w:p>
        </w:tc>
        <w:tc>
          <w:tcPr>
            <w:tcW w:w="323" w:type="pct"/>
            <w:shd w:val="clear" w:color="auto" w:fill="auto"/>
            <w:vAlign w:val="center"/>
          </w:tcPr>
          <w:p>
            <w:pPr>
              <w:adjustRightInd w:val="0"/>
              <w:snapToGrid w:val="0"/>
              <w:jc w:val="center"/>
              <w:rPr>
                <w:rFonts w:ascii="宋体" w:hAnsi="宋体" w:cs="宋体"/>
                <w:szCs w:val="21"/>
              </w:rPr>
            </w:pPr>
            <w:r>
              <w:rPr>
                <w:rFonts w:hint="eastAsia" w:ascii="宋体" w:hAnsi="宋体" w:cs="宋体"/>
                <w:szCs w:val="21"/>
              </w:rPr>
              <w:t>居家养老服务照料中心</w:t>
            </w:r>
          </w:p>
        </w:tc>
        <w:tc>
          <w:tcPr>
            <w:tcW w:w="1340" w:type="pct"/>
            <w:shd w:val="clear" w:color="auto" w:fill="auto"/>
          </w:tcPr>
          <w:p>
            <w:pPr>
              <w:pStyle w:val="11"/>
              <w:widowControl w:val="0"/>
              <w:spacing w:before="0" w:beforeAutospacing="0" w:after="0" w:afterAutospacing="0"/>
              <w:ind w:firstLine="420" w:firstLineChars="200"/>
              <w:rPr>
                <w:rFonts w:hAnsi="宋体"/>
                <w:sz w:val="21"/>
                <w:szCs w:val="21"/>
                <w:lang w:bidi="ar"/>
              </w:rPr>
            </w:pPr>
            <w:r>
              <w:rPr>
                <w:rFonts w:hAnsi="宋体"/>
                <w:sz w:val="21"/>
                <w:szCs w:val="21"/>
                <w:lang w:bidi="ar"/>
              </w:rPr>
              <w:t>标准参照《福建省社区居家养老服务照料中心星级评定暂行办法》(闽民福</w:t>
            </w:r>
            <w:r>
              <w:rPr>
                <w:rFonts w:hint="eastAsia" w:hAnsi="宋体"/>
                <w:sz w:val="21"/>
                <w:szCs w:val="21"/>
                <w:lang w:bidi="ar"/>
              </w:rPr>
              <w:t>〔2018〕66号</w:t>
            </w:r>
            <w:r>
              <w:rPr>
                <w:rFonts w:hAnsi="宋体"/>
                <w:sz w:val="21"/>
                <w:szCs w:val="21"/>
                <w:lang w:bidi="ar"/>
              </w:rPr>
              <w:t>)四星级及以上标准建设</w:t>
            </w:r>
            <w:r>
              <w:rPr>
                <w:rFonts w:hint="eastAsia" w:hAnsi="宋体"/>
                <w:sz w:val="21"/>
                <w:szCs w:val="21"/>
                <w:lang w:bidi="ar"/>
              </w:rPr>
              <w:t>。</w:t>
            </w:r>
          </w:p>
          <w:p>
            <w:pPr>
              <w:adjustRightInd w:val="0"/>
              <w:snapToGrid w:val="0"/>
              <w:ind w:firstLine="420" w:firstLineChars="200"/>
              <w:rPr>
                <w:rFonts w:ascii="宋体" w:hAnsi="宋体" w:cs="宋体"/>
                <w:szCs w:val="21"/>
              </w:rPr>
            </w:pPr>
          </w:p>
        </w:tc>
        <w:tc>
          <w:tcPr>
            <w:tcW w:w="523" w:type="pct"/>
            <w:shd w:val="clear" w:color="auto" w:fill="auto"/>
          </w:tcPr>
          <w:p>
            <w:pPr>
              <w:widowControl/>
              <w:ind w:firstLine="420" w:firstLineChars="200"/>
              <w:jc w:val="left"/>
              <w:rPr>
                <w:rFonts w:ascii="宋体" w:hAnsi="宋体" w:cs="宋体"/>
                <w:kern w:val="0"/>
                <w:szCs w:val="21"/>
                <w:lang w:bidi="ar"/>
              </w:rPr>
            </w:pPr>
            <w:r>
              <w:rPr>
                <w:rFonts w:ascii="宋体" w:hAnsi="宋体" w:cs="宋体"/>
                <w:kern w:val="0"/>
                <w:szCs w:val="21"/>
                <w:lang w:bidi="ar"/>
              </w:rPr>
              <w:t>每个项目补助60万元，市、县(市、区)两级财政按</w:t>
            </w:r>
            <w:r>
              <w:rPr>
                <w:rFonts w:hint="eastAsia" w:ascii="宋体" w:hAnsi="宋体" w:cs="宋体"/>
                <w:kern w:val="0"/>
                <w:szCs w:val="21"/>
                <w:lang w:bidi="ar"/>
              </w:rPr>
              <w:t>1：</w:t>
            </w:r>
            <w:r>
              <w:rPr>
                <w:rFonts w:ascii="宋体" w:hAnsi="宋体" w:cs="宋体"/>
                <w:kern w:val="0"/>
                <w:szCs w:val="21"/>
                <w:lang w:bidi="ar"/>
              </w:rPr>
              <w:t xml:space="preserve">1比例负担。 </w:t>
            </w:r>
          </w:p>
          <w:p>
            <w:pPr>
              <w:adjustRightInd w:val="0"/>
              <w:snapToGrid w:val="0"/>
              <w:ind w:firstLine="420" w:firstLineChars="200"/>
              <w:rPr>
                <w:rFonts w:ascii="宋体" w:hAnsi="宋体" w:cs="宋体"/>
                <w:szCs w:val="21"/>
              </w:rPr>
            </w:pPr>
          </w:p>
        </w:tc>
        <w:tc>
          <w:tcPr>
            <w:tcW w:w="1446" w:type="pct"/>
            <w:shd w:val="clear" w:color="auto" w:fill="auto"/>
          </w:tcPr>
          <w:p>
            <w:pPr>
              <w:adjustRightInd w:val="0"/>
              <w:snapToGrid w:val="0"/>
              <w:ind w:firstLine="420" w:firstLineChars="200"/>
              <w:rPr>
                <w:rFonts w:ascii="宋体" w:hAnsi="宋体" w:cs="宋体"/>
                <w:szCs w:val="21"/>
              </w:rPr>
            </w:pPr>
            <w:r>
              <w:rPr>
                <w:rFonts w:hint="eastAsia" w:ascii="宋体" w:hAnsi="宋体" w:cs="宋体"/>
                <w:szCs w:val="21"/>
              </w:rPr>
              <w:t>1.泉</w:t>
            </w:r>
            <w:r>
              <w:rPr>
                <w:rFonts w:ascii="宋体" w:hAnsi="宋体" w:cs="宋体"/>
                <w:szCs w:val="21"/>
              </w:rPr>
              <w:t>州市财政局 泉州市民政局关于下达2020年度农村居家养老服务站 (农村幸福院)和居家社区养老服务照料中心市级补助资金的通知</w:t>
            </w:r>
            <w:r>
              <w:rPr>
                <w:rFonts w:hint="eastAsia" w:ascii="宋体" w:hAnsi="宋体" w:cs="宋体"/>
                <w:szCs w:val="21"/>
              </w:rPr>
              <w:t>（泉</w:t>
            </w:r>
            <w:r>
              <w:rPr>
                <w:rFonts w:ascii="宋体" w:hAnsi="宋体" w:cs="宋体"/>
                <w:szCs w:val="21"/>
              </w:rPr>
              <w:t>财指标</w:t>
            </w:r>
            <w:r>
              <w:rPr>
                <w:rFonts w:hint="eastAsia" w:ascii="宋体" w:hAnsi="宋体" w:cs="宋体"/>
                <w:szCs w:val="21"/>
              </w:rPr>
              <w:t>〔2020〕0148</w:t>
            </w:r>
            <w:r>
              <w:rPr>
                <w:rFonts w:ascii="宋体" w:hAnsi="宋体" w:cs="宋体"/>
                <w:szCs w:val="21"/>
              </w:rPr>
              <w:t xml:space="preserve"> 号</w:t>
            </w:r>
            <w:r>
              <w:rPr>
                <w:rFonts w:hint="eastAsia" w:ascii="宋体" w:hAnsi="宋体" w:cs="宋体"/>
                <w:szCs w:val="21"/>
              </w:rPr>
              <w:t>）</w:t>
            </w:r>
          </w:p>
          <w:p>
            <w:pPr>
              <w:adjustRightInd w:val="0"/>
              <w:snapToGrid w:val="0"/>
              <w:ind w:firstLine="420" w:firstLineChars="200"/>
              <w:rPr>
                <w:rFonts w:ascii="宋体" w:hAnsi="宋体" w:cs="宋体"/>
                <w:szCs w:val="21"/>
              </w:rPr>
            </w:pPr>
            <w:r>
              <w:rPr>
                <w:rFonts w:hint="eastAsia" w:ascii="宋体" w:hAnsi="宋体" w:cs="宋体"/>
                <w:szCs w:val="21"/>
              </w:rPr>
              <w:t>2.石狮市人民政府关于印发《石狮市推进养老事业发展奖励补助标准》的通知（狮政综〔2018〕13号）</w:t>
            </w:r>
          </w:p>
        </w:tc>
        <w:tc>
          <w:tcPr>
            <w:tcW w:w="1120" w:type="pct"/>
            <w:shd w:val="clear" w:color="auto" w:fill="auto"/>
          </w:tcPr>
          <w:p>
            <w:pPr>
              <w:adjustRightInd w:val="0"/>
              <w:snapToGrid w:val="0"/>
              <w:ind w:firstLine="420" w:firstLineChars="200"/>
              <w:rPr>
                <w:rFonts w:ascii="宋体" w:hAnsi="宋体" w:cs="宋体"/>
                <w:szCs w:val="21"/>
              </w:rPr>
            </w:pPr>
          </w:p>
        </w:tc>
      </w:tr>
    </w:tbl>
    <w:p>
      <w:pPr>
        <w:adjustRightInd w:val="0"/>
        <w:snapToGrid w:val="0"/>
        <w:spacing w:line="360" w:lineRule="auto"/>
        <w:ind w:firstLine="640" w:firstLineChars="200"/>
        <w:rPr>
          <w:rFonts w:ascii="仿宋_GB2312" w:eastAsia="仿宋_GB2312"/>
          <w:sz w:val="32"/>
          <w:szCs w:val="32"/>
        </w:rPr>
        <w:sectPr>
          <w:pgSz w:w="16838" w:h="11906" w:orient="landscape"/>
          <w:pgMar w:top="1800" w:right="1440" w:bottom="1800" w:left="1440" w:header="851" w:footer="992" w:gutter="0"/>
          <w:cols w:space="720" w:num="1"/>
          <w:docGrid w:type="lines" w:linePitch="312" w:charSpace="0"/>
        </w:sectPr>
      </w:pPr>
    </w:p>
    <w:p>
      <w:pPr>
        <w:pStyle w:val="5"/>
        <w:spacing w:before="0" w:after="0" w:line="560" w:lineRule="exact"/>
        <w:ind w:firstLine="642" w:firstLineChars="200"/>
        <w:rPr>
          <w:rFonts w:ascii="黑体" w:hAnsi="黑体" w:eastAsia="楷体"/>
          <w:kern w:val="44"/>
          <w:szCs w:val="30"/>
        </w:rPr>
      </w:pPr>
      <w:bookmarkStart w:id="4" w:name="_Toc142059679"/>
      <w:r>
        <w:rPr>
          <w:rFonts w:hint="eastAsia" w:ascii="黑体" w:hAnsi="黑体" w:eastAsia="楷体"/>
          <w:kern w:val="44"/>
          <w:szCs w:val="30"/>
        </w:rPr>
        <w:t>（三）项目资金</w:t>
      </w:r>
      <w:r>
        <w:rPr>
          <w:rFonts w:ascii="黑体" w:hAnsi="黑体" w:eastAsia="楷体"/>
          <w:kern w:val="44"/>
          <w:szCs w:val="30"/>
        </w:rPr>
        <w:t>情况</w:t>
      </w:r>
      <w:bookmarkEnd w:id="4"/>
    </w:p>
    <w:p>
      <w:pPr>
        <w:spacing w:line="560" w:lineRule="exact"/>
        <w:ind w:right="67" w:rightChars="32" w:firstLine="640" w:firstLineChars="200"/>
        <w:rPr>
          <w:rFonts w:ascii="仿宋_GB2312" w:eastAsia="仿宋_GB2312"/>
          <w:sz w:val="32"/>
          <w:szCs w:val="32"/>
        </w:rPr>
      </w:pPr>
      <w:r>
        <w:rPr>
          <w:rFonts w:hint="eastAsia" w:ascii="仿宋_GB2312" w:eastAsia="仿宋_GB2312"/>
          <w:sz w:val="32"/>
          <w:szCs w:val="32"/>
        </w:rPr>
        <w:t>（1）项目</w:t>
      </w:r>
      <w:r>
        <w:rPr>
          <w:rFonts w:ascii="仿宋_GB2312" w:eastAsia="仿宋_GB2312"/>
          <w:sz w:val="32"/>
          <w:szCs w:val="32"/>
        </w:rPr>
        <w:t>资金</w:t>
      </w:r>
      <w:r>
        <w:rPr>
          <w:rFonts w:hint="eastAsia" w:ascii="仿宋_GB2312" w:eastAsia="仿宋_GB2312"/>
          <w:sz w:val="32"/>
          <w:szCs w:val="32"/>
        </w:rPr>
        <w:t>预算</w:t>
      </w:r>
      <w:r>
        <w:rPr>
          <w:rFonts w:ascii="仿宋_GB2312" w:eastAsia="仿宋_GB2312"/>
          <w:sz w:val="32"/>
          <w:szCs w:val="32"/>
        </w:rPr>
        <w:t>情况</w:t>
      </w:r>
    </w:p>
    <w:p>
      <w:pPr>
        <w:spacing w:line="560" w:lineRule="exact"/>
        <w:ind w:right="67" w:rightChars="32" w:firstLine="640" w:firstLineChars="200"/>
        <w:rPr>
          <w:rFonts w:ascii="仿宋_GB2312" w:eastAsia="仿宋_GB2312"/>
          <w:sz w:val="32"/>
          <w:szCs w:val="32"/>
        </w:rPr>
      </w:pPr>
      <w:r>
        <w:rPr>
          <w:rFonts w:ascii="仿宋_GB2312" w:eastAsia="仿宋_GB2312"/>
          <w:sz w:val="32"/>
          <w:szCs w:val="32"/>
        </w:rPr>
        <w:t>本项目</w:t>
      </w:r>
      <w:r>
        <w:rPr>
          <w:rFonts w:hint="eastAsia" w:ascii="仿宋_GB2312" w:eastAsia="仿宋_GB2312"/>
          <w:sz w:val="32"/>
          <w:szCs w:val="32"/>
        </w:rPr>
        <w:t>主要管理单位</w:t>
      </w:r>
      <w:r>
        <w:rPr>
          <w:rFonts w:ascii="仿宋_GB2312" w:eastAsia="仿宋_GB2312"/>
          <w:sz w:val="32"/>
          <w:szCs w:val="32"/>
        </w:rPr>
        <w:t>为</w:t>
      </w:r>
      <w:r>
        <w:rPr>
          <w:rFonts w:hint="eastAsia" w:ascii="仿宋_GB2312" w:eastAsia="仿宋_GB2312"/>
          <w:sz w:val="32"/>
          <w:szCs w:val="32"/>
        </w:rPr>
        <w:t>石狮市民政局</w:t>
      </w:r>
      <w:r>
        <w:rPr>
          <w:rFonts w:ascii="仿宋_GB2312" w:eastAsia="仿宋_GB2312"/>
          <w:sz w:val="32"/>
          <w:szCs w:val="32"/>
        </w:rPr>
        <w:t>，</w:t>
      </w:r>
      <w:r>
        <w:rPr>
          <w:rFonts w:hint="eastAsia" w:ascii="仿宋_GB2312" w:eastAsia="仿宋_GB2312"/>
          <w:sz w:val="32"/>
          <w:szCs w:val="32"/>
        </w:rPr>
        <w:t>“2022年度石狮市养老服务业补助项目”预算资金397万元。</w:t>
      </w:r>
    </w:p>
    <w:p>
      <w:pPr>
        <w:spacing w:line="560" w:lineRule="exact"/>
        <w:ind w:right="67" w:rightChars="32" w:firstLine="640" w:firstLineChars="200"/>
        <w:rPr>
          <w:rFonts w:ascii="仿宋_GB2312" w:eastAsia="仿宋_GB2312"/>
          <w:sz w:val="32"/>
          <w:szCs w:val="32"/>
        </w:rPr>
      </w:pPr>
      <w:r>
        <w:rPr>
          <w:rFonts w:hint="eastAsia" w:ascii="仿宋_GB2312" w:eastAsia="仿宋_GB2312"/>
          <w:sz w:val="32"/>
          <w:szCs w:val="32"/>
        </w:rPr>
        <w:t>（2）项目资金执行</w:t>
      </w:r>
      <w:r>
        <w:rPr>
          <w:rFonts w:ascii="仿宋_GB2312" w:eastAsia="仿宋_GB2312"/>
          <w:sz w:val="32"/>
          <w:szCs w:val="32"/>
        </w:rPr>
        <w:t>情况</w:t>
      </w:r>
    </w:p>
    <w:p>
      <w:pPr>
        <w:spacing w:line="560" w:lineRule="exact"/>
        <w:ind w:right="67" w:rightChars="32" w:firstLine="640" w:firstLineChars="200"/>
        <w:rPr>
          <w:rFonts w:ascii="仿宋_GB2312" w:eastAsia="仿宋_GB2312"/>
          <w:sz w:val="32"/>
          <w:szCs w:val="32"/>
        </w:rPr>
        <w:sectPr>
          <w:type w:val="continuous"/>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本项目</w:t>
      </w:r>
      <w:r>
        <w:rPr>
          <w:rFonts w:ascii="仿宋_GB2312" w:eastAsia="仿宋_GB2312"/>
          <w:sz w:val="32"/>
          <w:szCs w:val="32"/>
        </w:rPr>
        <w:t>202</w:t>
      </w:r>
      <w:r>
        <w:rPr>
          <w:rFonts w:hint="eastAsia" w:ascii="仿宋_GB2312" w:eastAsia="仿宋_GB2312"/>
          <w:sz w:val="32"/>
          <w:szCs w:val="32"/>
        </w:rPr>
        <w:t>2年度全年共奖补9项申请，合计194.0148万元。2022年度实际支出资金194.0148万元，预算执行率为48.87%。</w:t>
      </w:r>
    </w:p>
    <w:tbl>
      <w:tblPr>
        <w:tblStyle w:val="12"/>
        <w:tblW w:w="5000" w:type="pct"/>
        <w:tblInd w:w="0" w:type="dxa"/>
        <w:tblLayout w:type="fixed"/>
        <w:tblCellMar>
          <w:top w:w="0" w:type="dxa"/>
          <w:left w:w="108" w:type="dxa"/>
          <w:bottom w:w="0" w:type="dxa"/>
          <w:right w:w="108" w:type="dxa"/>
        </w:tblCellMar>
      </w:tblPr>
      <w:tblGrid>
        <w:gridCol w:w="626"/>
        <w:gridCol w:w="766"/>
        <w:gridCol w:w="2977"/>
        <w:gridCol w:w="1275"/>
        <w:gridCol w:w="1522"/>
        <w:gridCol w:w="4584"/>
        <w:gridCol w:w="2423"/>
      </w:tblGrid>
      <w:tr>
        <w:tblPrEx>
          <w:tblCellMar>
            <w:top w:w="0" w:type="dxa"/>
            <w:left w:w="108" w:type="dxa"/>
            <w:bottom w:w="0" w:type="dxa"/>
            <w:right w:w="108" w:type="dxa"/>
          </w:tblCellMar>
        </w:tblPrEx>
        <w:trPr>
          <w:trHeight w:val="630" w:hRule="atLeast"/>
          <w:tblHeader/>
        </w:trPr>
        <w:tc>
          <w:tcPr>
            <w:tcW w:w="5000" w:type="pct"/>
            <w:gridSpan w:val="7"/>
            <w:tcBorders>
              <w:top w:val="single" w:color="000000" w:sz="8" w:space="0"/>
              <w:left w:val="single" w:color="000000" w:sz="8" w:space="0"/>
              <w:bottom w:val="single" w:color="000000" w:sz="4" w:space="0"/>
              <w:right w:val="single" w:color="000000" w:sz="8" w:space="0"/>
            </w:tcBorders>
            <w:shd w:val="clear" w:color="auto" w:fill="auto"/>
            <w:noWrap/>
            <w:vAlign w:val="center"/>
          </w:tcPr>
          <w:p>
            <w:pPr>
              <w:widowControl/>
              <w:jc w:val="center"/>
              <w:textAlignment w:val="center"/>
              <w:rPr>
                <w:rFonts w:ascii="宋体" w:hAnsi="宋体" w:cs="宋体"/>
                <w:color w:val="000000"/>
                <w:sz w:val="36"/>
                <w:szCs w:val="36"/>
              </w:rPr>
            </w:pPr>
            <w:r>
              <w:rPr>
                <w:rFonts w:hint="eastAsia" w:ascii="宋体" w:hAnsi="宋体" w:cs="宋体"/>
                <w:color w:val="000000"/>
                <w:kern w:val="0"/>
                <w:sz w:val="36"/>
                <w:szCs w:val="36"/>
                <w:lang w:bidi="ar"/>
              </w:rPr>
              <w:t>石狮市民政局2022年养老服务业项目各项目实际支出情况表</w:t>
            </w:r>
          </w:p>
        </w:tc>
      </w:tr>
      <w:tr>
        <w:tblPrEx>
          <w:tblCellMar>
            <w:top w:w="0" w:type="dxa"/>
            <w:left w:w="108" w:type="dxa"/>
            <w:bottom w:w="0" w:type="dxa"/>
            <w:right w:w="108" w:type="dxa"/>
          </w:tblCellMar>
        </w:tblPrEx>
        <w:trPr>
          <w:trHeight w:val="540" w:hRule="atLeast"/>
          <w:tblHeader/>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序号</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年份</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项目名称</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补贴金额（万元）</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拨款时间</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补贴政策</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备注</w:t>
            </w:r>
          </w:p>
        </w:tc>
      </w:tr>
      <w:tr>
        <w:tblPrEx>
          <w:tblCellMar>
            <w:top w:w="0" w:type="dxa"/>
            <w:left w:w="108" w:type="dxa"/>
            <w:bottom w:w="0" w:type="dxa"/>
            <w:right w:w="108" w:type="dxa"/>
          </w:tblCellMar>
        </w:tblPrEx>
        <w:trPr>
          <w:trHeight w:val="270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民办养老机构床位运营补助</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14.0148</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1.养老服务专项业务管理办法的通知（闽民养老〔2019〕87号）</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2.关石狮市人民政府关于印发《石狮市推进养老事业发展奖励补助标准》的通知（狮政综〔2018〕13号）</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3.福建省财政厅 福建省民政厅关于下达2021年民办养老机构开办及床位运营补贴和援建对口帮扶资金的通知（闽财社指〔2021〕62号）</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4.泉州市财政局_泉州市民政局关于下达2020年泉州民办养老机构市级床位运营补助资金的通知（泉财指标〔2021〕766号）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2"/>
                <w:szCs w:val="22"/>
              </w:rPr>
            </w:pPr>
          </w:p>
        </w:tc>
      </w:tr>
      <w:tr>
        <w:tblPrEx>
          <w:tblCellMar>
            <w:top w:w="0" w:type="dxa"/>
            <w:left w:w="108" w:type="dxa"/>
            <w:bottom w:w="0" w:type="dxa"/>
            <w:right w:w="108" w:type="dxa"/>
          </w:tblCellMar>
        </w:tblPrEx>
        <w:trPr>
          <w:trHeight w:val="54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居家养老服务照料中心补助</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2022.11.11</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泉</w:t>
            </w:r>
            <w:r>
              <w:rPr>
                <w:rFonts w:ascii="宋体" w:hAnsi="宋体" w:cs="宋体"/>
                <w:color w:val="000000"/>
                <w:kern w:val="0"/>
                <w:sz w:val="22"/>
                <w:szCs w:val="22"/>
                <w:lang w:bidi="ar"/>
              </w:rPr>
              <w:t>州市财政局 泉州市民政局关于下达2020年度农村居家养老服务站 (农村幸福院)和居家社区养老服务照料中心市级补助资金的通知</w:t>
            </w:r>
            <w:r>
              <w:rPr>
                <w:rFonts w:hint="eastAsia" w:ascii="宋体" w:hAnsi="宋体" w:cs="宋体"/>
                <w:color w:val="000000"/>
                <w:kern w:val="0"/>
                <w:sz w:val="22"/>
                <w:szCs w:val="22"/>
                <w:lang w:bidi="ar"/>
              </w:rPr>
              <w:t>（泉</w:t>
            </w:r>
            <w:r>
              <w:rPr>
                <w:rFonts w:ascii="宋体" w:hAnsi="宋体" w:cs="宋体"/>
                <w:color w:val="000000"/>
                <w:kern w:val="0"/>
                <w:sz w:val="22"/>
                <w:szCs w:val="22"/>
                <w:lang w:bidi="ar"/>
              </w:rPr>
              <w:t>财指标</w:t>
            </w:r>
            <w:r>
              <w:rPr>
                <w:rFonts w:hint="eastAsia" w:ascii="宋体" w:hAnsi="宋体" w:cs="宋体"/>
                <w:color w:val="000000"/>
                <w:kern w:val="0"/>
                <w:sz w:val="22"/>
                <w:szCs w:val="22"/>
                <w:lang w:bidi="ar"/>
              </w:rPr>
              <w:t>〔2020〕0148</w:t>
            </w:r>
            <w:r>
              <w:rPr>
                <w:rFonts w:ascii="宋体" w:hAnsi="宋体" w:cs="宋体"/>
                <w:color w:val="000000"/>
                <w:kern w:val="0"/>
                <w:sz w:val="22"/>
                <w:szCs w:val="22"/>
                <w:lang w:bidi="ar"/>
              </w:rPr>
              <w:t xml:space="preserve"> 号</w:t>
            </w:r>
            <w:r>
              <w:rPr>
                <w:rFonts w:hint="eastAsia" w:ascii="宋体" w:hAnsi="宋体" w:cs="宋体"/>
                <w:color w:val="000000"/>
                <w:kern w:val="0"/>
                <w:sz w:val="22"/>
                <w:szCs w:val="22"/>
                <w:lang w:bidi="ar"/>
              </w:rPr>
              <w:t>）</w:t>
            </w:r>
          </w:p>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石狮市人民政府关于印发《石狮市推进养老事业发展奖励补助标准》的通知（狮政综〔2018〕13号）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2"/>
                <w:szCs w:val="22"/>
              </w:rPr>
            </w:pPr>
          </w:p>
        </w:tc>
      </w:tr>
      <w:tr>
        <w:tblPrEx>
          <w:tblCellMar>
            <w:top w:w="0" w:type="dxa"/>
            <w:left w:w="108" w:type="dxa"/>
            <w:bottom w:w="0" w:type="dxa"/>
            <w:right w:w="108" w:type="dxa"/>
          </w:tblCellMar>
        </w:tblPrEx>
        <w:trPr>
          <w:trHeight w:val="54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一次性开办补助</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（红景天雅园）</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2022.12.19</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石狮市人民政府关于印发《石狮市推进养老事业发展奖励补助标准》的通知（狮政综〔2018〕13号）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300万元，分五年支付</w:t>
            </w:r>
          </w:p>
        </w:tc>
      </w:tr>
      <w:tr>
        <w:tblPrEx>
          <w:tblCellMar>
            <w:top w:w="0" w:type="dxa"/>
            <w:left w:w="108" w:type="dxa"/>
            <w:bottom w:w="0" w:type="dxa"/>
            <w:right w:w="108" w:type="dxa"/>
          </w:tblCellMar>
        </w:tblPrEx>
        <w:trPr>
          <w:trHeight w:val="141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农村幸福院项目（莲中）</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《泉州市民政局关于印发2021年泉州市养老服务工作要点的通知》（泉民养老〔2021〕4号) </w:t>
            </w:r>
          </w:p>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《石狮市民政局关于下达2021年为民办实事项目及养老贴心工程项目石狮市级补助资金的通知》(狮民〔2021〕99号)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新建或改扩建30个农村居家养老服务站(农村幸福院）市级财政投入450万元、县级财政配套450万元，新建或改扩建30个居家养老服务站(农村幸福院)，每个补助30万元。（市与县级各占50%）</w:t>
            </w:r>
          </w:p>
        </w:tc>
      </w:tr>
      <w:tr>
        <w:tblPrEx>
          <w:tblCellMar>
            <w:top w:w="0" w:type="dxa"/>
            <w:left w:w="108" w:type="dxa"/>
            <w:bottom w:w="0" w:type="dxa"/>
            <w:right w:w="108" w:type="dxa"/>
          </w:tblCellMar>
        </w:tblPrEx>
        <w:trPr>
          <w:trHeight w:val="141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农村幸福院项目（莲厝）</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《泉州市民政局关于印发2021年泉州市养老服务工作要点的通知》（泉民养老〔2021〕4号) </w:t>
            </w:r>
          </w:p>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《石狮市民政局关于下达2021年为民办实事项目及养老贴心工程项目石狮市级补助资金的通知》(狮民〔2021〕99号)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每个补助30万元。（市与县级各占50%）</w:t>
            </w:r>
          </w:p>
        </w:tc>
      </w:tr>
      <w:tr>
        <w:tblPrEx>
          <w:tblCellMar>
            <w:top w:w="0" w:type="dxa"/>
            <w:left w:w="108" w:type="dxa"/>
            <w:bottom w:w="0" w:type="dxa"/>
            <w:right w:w="108" w:type="dxa"/>
          </w:tblCellMar>
        </w:tblPrEx>
        <w:trPr>
          <w:trHeight w:val="111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长者食堂项目（金埭）</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《泉州市民政局关于印发2021年泉州市养老服务工作要点的通知》（泉民养老〔2021〕4号 )</w:t>
            </w:r>
          </w:p>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《石狮市民政局关于下达2021年为民办实事项目及养老贴心工程项目石狮市级补助资金的通知》(狮民〔2021〕99号)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在街道和重点乡镇的居家社区养老服务照料中心、农村幸福院或养老服务机构中，新办或改扩建20个长者食堂，每个补助30万元。（市与县级各占</w:t>
            </w:r>
            <w:r>
              <w:rPr>
                <w:rFonts w:ascii="宋体" w:hAnsi="宋体" w:cs="宋体"/>
                <w:color w:val="000000"/>
                <w:kern w:val="0"/>
                <w:sz w:val="22"/>
                <w:szCs w:val="22"/>
                <w:lang w:bidi="ar"/>
              </w:rPr>
              <w:t>50%</w:t>
            </w:r>
            <w:r>
              <w:rPr>
                <w:rFonts w:hint="eastAsia" w:ascii="宋体" w:hAnsi="宋体" w:cs="宋体"/>
                <w:color w:val="000000"/>
                <w:kern w:val="0"/>
                <w:sz w:val="22"/>
                <w:szCs w:val="22"/>
                <w:lang w:bidi="ar"/>
              </w:rPr>
              <w:t>）</w:t>
            </w:r>
          </w:p>
        </w:tc>
      </w:tr>
      <w:tr>
        <w:tblPrEx>
          <w:tblCellMar>
            <w:top w:w="0" w:type="dxa"/>
            <w:left w:w="108" w:type="dxa"/>
            <w:bottom w:w="0" w:type="dxa"/>
            <w:right w:w="108" w:type="dxa"/>
          </w:tblCellMar>
        </w:tblPrEx>
        <w:trPr>
          <w:trHeight w:val="111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长者食堂项目（洪厝）</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《泉州市民政局关于印发2021年泉州市养老服务工作要点的通知》（泉民养老〔2021〕4号)</w:t>
            </w:r>
          </w:p>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《石狮市民政局关于下达2021年为民办实事项目及养老贴心工程项目石狮市级补助资金的通知》(狮民〔2021〕99号）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每个补助30万元。（市与县级各占</w:t>
            </w:r>
            <w:r>
              <w:rPr>
                <w:rFonts w:ascii="宋体" w:hAnsi="宋体" w:cs="宋体"/>
                <w:color w:val="000000"/>
                <w:kern w:val="0"/>
                <w:sz w:val="22"/>
                <w:szCs w:val="22"/>
                <w:lang w:bidi="ar"/>
              </w:rPr>
              <w:t>50%</w:t>
            </w:r>
            <w:r>
              <w:rPr>
                <w:rFonts w:hint="eastAsia" w:ascii="宋体" w:hAnsi="宋体" w:cs="宋体"/>
                <w:color w:val="000000"/>
                <w:kern w:val="0"/>
                <w:sz w:val="22"/>
                <w:szCs w:val="22"/>
                <w:lang w:bidi="ar"/>
              </w:rPr>
              <w:t>）</w:t>
            </w:r>
          </w:p>
        </w:tc>
      </w:tr>
      <w:tr>
        <w:tblPrEx>
          <w:tblCellMar>
            <w:top w:w="0" w:type="dxa"/>
            <w:left w:w="108" w:type="dxa"/>
            <w:bottom w:w="0" w:type="dxa"/>
            <w:right w:w="108" w:type="dxa"/>
          </w:tblCellMar>
        </w:tblPrEx>
        <w:trPr>
          <w:trHeight w:val="1110"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长者食堂项目（港边）</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2022.11/</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2023.02</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《泉州市民政局关于印发2022年泉州市养老服务工作要点的通知》（泉民养老〔2022〕4 号）                                《石狮市民政局关于下达2022年长者食堂和农村幸福院建设项目泉州市级补助资金的通知》（狮民〔2022〕43号）</w:t>
            </w:r>
          </w:p>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《泉州市财政局 泉州市民政局 关于下达2022年为民办实事项目市级补助资金的通知》（泉财指标〔2022〕80号）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每个补助30万元。（市与县级各占</w:t>
            </w:r>
            <w:r>
              <w:rPr>
                <w:rFonts w:ascii="宋体" w:hAnsi="宋体" w:cs="宋体"/>
                <w:color w:val="000000"/>
                <w:kern w:val="0"/>
                <w:sz w:val="22"/>
                <w:szCs w:val="22"/>
                <w:lang w:bidi="ar"/>
              </w:rPr>
              <w:t>50%</w:t>
            </w:r>
            <w:r>
              <w:rPr>
                <w:rFonts w:hint="eastAsia" w:ascii="宋体" w:hAnsi="宋体" w:cs="宋体"/>
                <w:color w:val="000000"/>
                <w:kern w:val="0"/>
                <w:sz w:val="22"/>
                <w:szCs w:val="22"/>
                <w:lang w:bidi="ar"/>
              </w:rPr>
              <w:t>）</w:t>
            </w:r>
          </w:p>
        </w:tc>
      </w:tr>
      <w:tr>
        <w:tblPrEx>
          <w:tblCellMar>
            <w:top w:w="0" w:type="dxa"/>
            <w:left w:w="108" w:type="dxa"/>
            <w:bottom w:w="0" w:type="dxa"/>
            <w:right w:w="108" w:type="dxa"/>
          </w:tblCellMar>
        </w:tblPrEx>
        <w:trPr>
          <w:trHeight w:val="1425" w:hRule="atLeast"/>
        </w:trPr>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w:t>
            </w:r>
          </w:p>
        </w:tc>
        <w:tc>
          <w:tcPr>
            <w:tcW w:w="10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农村幸福院项目（东店）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2022.12.19</w:t>
            </w: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《泉州市民政局关于印发2022年泉州市养老服务工作要点的通知（泉民养老〔2022〕4 号 》                               《石狮市民政局关于下达2022年长者食堂和农村幸福院建设项目泉州市级补助资金的通知》（狮民〔2022〕43号）</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每个补助30万元。（市与县级各占</w:t>
            </w:r>
            <w:r>
              <w:rPr>
                <w:rFonts w:ascii="宋体" w:hAnsi="宋体" w:cs="宋体"/>
                <w:color w:val="000000"/>
                <w:kern w:val="0"/>
                <w:sz w:val="22"/>
                <w:szCs w:val="22"/>
                <w:lang w:bidi="ar"/>
              </w:rPr>
              <w:t>50%</w:t>
            </w:r>
            <w:r>
              <w:rPr>
                <w:rFonts w:hint="eastAsia" w:ascii="宋体" w:hAnsi="宋体" w:cs="宋体"/>
                <w:color w:val="000000"/>
                <w:kern w:val="0"/>
                <w:sz w:val="22"/>
                <w:szCs w:val="22"/>
                <w:lang w:bidi="ar"/>
              </w:rPr>
              <w:t>）</w:t>
            </w:r>
          </w:p>
        </w:tc>
      </w:tr>
      <w:tr>
        <w:tblPrEx>
          <w:tblCellMar>
            <w:top w:w="0" w:type="dxa"/>
            <w:left w:w="108" w:type="dxa"/>
            <w:bottom w:w="0" w:type="dxa"/>
            <w:right w:w="108" w:type="dxa"/>
          </w:tblCellMar>
        </w:tblPrEx>
        <w:trPr>
          <w:trHeight w:val="700" w:hRule="atLeast"/>
        </w:trPr>
        <w:tc>
          <w:tcPr>
            <w:tcW w:w="15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2627"/>
              </w:tabs>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合计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sz w:val="24"/>
              </w:rPr>
              <w:t>194.0148</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kern w:val="0"/>
                <w:sz w:val="22"/>
                <w:szCs w:val="22"/>
                <w:lang w:bidi="ar"/>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2"/>
                <w:szCs w:val="22"/>
                <w:lang w:bidi="ar"/>
              </w:rPr>
            </w:pPr>
          </w:p>
        </w:tc>
      </w:tr>
    </w:tbl>
    <w:p>
      <w:pPr>
        <w:spacing w:line="560" w:lineRule="exact"/>
        <w:ind w:right="67" w:rightChars="32" w:firstLine="640" w:firstLineChars="200"/>
        <w:rPr>
          <w:rFonts w:ascii="仿宋_GB2312" w:eastAsia="仿宋_GB2312"/>
          <w:sz w:val="32"/>
          <w:szCs w:val="32"/>
        </w:rPr>
        <w:sectPr>
          <w:pgSz w:w="16838" w:h="11906" w:orient="landscape"/>
          <w:pgMar w:top="1800" w:right="1440" w:bottom="1800" w:left="1440" w:header="851" w:footer="992" w:gutter="0"/>
          <w:cols w:space="720" w:num="1"/>
          <w:docGrid w:type="lines" w:linePitch="312" w:charSpace="0"/>
        </w:sectPr>
      </w:pPr>
    </w:p>
    <w:p>
      <w:pPr>
        <w:spacing w:line="560" w:lineRule="exact"/>
        <w:ind w:right="67" w:rightChars="32" w:firstLine="640" w:firstLineChars="200"/>
        <w:rPr>
          <w:rFonts w:ascii="仿宋_GB2312" w:eastAsia="仿宋_GB2312"/>
          <w:sz w:val="32"/>
          <w:szCs w:val="32"/>
        </w:rPr>
      </w:pPr>
    </w:p>
    <w:p>
      <w:pPr>
        <w:pStyle w:val="5"/>
        <w:spacing w:before="0" w:after="0" w:line="560" w:lineRule="exact"/>
        <w:ind w:left="630"/>
        <w:rPr>
          <w:rFonts w:ascii="黑体" w:hAnsi="黑体" w:eastAsia="楷体"/>
          <w:kern w:val="44"/>
          <w:szCs w:val="30"/>
        </w:rPr>
      </w:pPr>
      <w:bookmarkStart w:id="5" w:name="_Toc142059680"/>
      <w:r>
        <w:rPr>
          <w:rFonts w:hint="eastAsia" w:ascii="黑体" w:hAnsi="黑体" w:eastAsia="楷体"/>
          <w:kern w:val="44"/>
          <w:szCs w:val="30"/>
        </w:rPr>
        <w:t>（四）项目绩效目标</w:t>
      </w:r>
      <w:bookmarkEnd w:id="5"/>
    </w:p>
    <w:p>
      <w:pPr>
        <w:spacing w:line="560" w:lineRule="exact"/>
        <w:ind w:right="67" w:rightChars="32" w:firstLine="640" w:firstLineChars="200"/>
      </w:pPr>
      <w:r>
        <w:rPr>
          <w:rFonts w:hint="eastAsia" w:ascii="仿宋_GB2312" w:eastAsia="仿宋_GB2312"/>
          <w:sz w:val="32"/>
          <w:szCs w:val="32"/>
        </w:rPr>
        <w:t>根据石狮市民政局反馈，未能找到相应材料。</w:t>
      </w:r>
    </w:p>
    <w:p>
      <w:pPr>
        <w:pStyle w:val="5"/>
        <w:spacing w:before="0" w:after="0" w:line="560" w:lineRule="exact"/>
        <w:ind w:firstLine="642" w:firstLineChars="200"/>
        <w:rPr>
          <w:rFonts w:ascii="黑体" w:hAnsi="黑体" w:eastAsia="楷体"/>
          <w:kern w:val="44"/>
          <w:szCs w:val="30"/>
        </w:rPr>
      </w:pPr>
      <w:bookmarkStart w:id="6" w:name="_Toc142059681"/>
      <w:r>
        <w:rPr>
          <w:rFonts w:hint="eastAsia" w:ascii="黑体" w:hAnsi="黑体" w:eastAsia="楷体"/>
          <w:kern w:val="44"/>
          <w:szCs w:val="30"/>
        </w:rPr>
        <w:t>（五）项目</w:t>
      </w:r>
      <w:r>
        <w:rPr>
          <w:rFonts w:ascii="黑体" w:hAnsi="黑体" w:eastAsia="楷体"/>
          <w:kern w:val="44"/>
          <w:szCs w:val="30"/>
        </w:rPr>
        <w:t>组织</w:t>
      </w:r>
      <w:r>
        <w:rPr>
          <w:rFonts w:hint="eastAsia" w:ascii="黑体" w:hAnsi="黑体" w:eastAsia="楷体"/>
          <w:kern w:val="44"/>
          <w:szCs w:val="30"/>
        </w:rPr>
        <w:t>管理与</w:t>
      </w:r>
      <w:r>
        <w:rPr>
          <w:rFonts w:ascii="黑体" w:hAnsi="黑体" w:eastAsia="楷体"/>
          <w:kern w:val="44"/>
          <w:szCs w:val="30"/>
        </w:rPr>
        <w:t>业务流程</w:t>
      </w:r>
      <w:bookmarkEnd w:id="6"/>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1.相关组织情况</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（1）项目主管单位</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石狮市民政局：作为项目主管单位，做好2022年度石狮市养老服务业补助项目立项、预算编制、预算执行、预算调整（或有）、决算等工作。具体包括：下达资金补助通知、实地调研项目建设条件、审核《建设项目申请表》、定期现场查看建设进度、项目验收、资金拨付下达等工作。</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（2）项目协助单位</w:t>
      </w:r>
    </w:p>
    <w:p>
      <w:pPr>
        <w:adjustRightInd w:val="0"/>
        <w:snapToGrid w:val="0"/>
        <w:spacing w:line="360" w:lineRule="auto"/>
        <w:ind w:firstLine="640" w:firstLineChars="200"/>
        <w:rPr>
          <w:rFonts w:eastAsia="仿宋_GB2312"/>
          <w:sz w:val="32"/>
          <w:szCs w:val="32"/>
        </w:rPr>
      </w:pPr>
      <w:r>
        <w:rPr>
          <w:rFonts w:hint="eastAsia" w:ascii="仿宋_GB2312" w:eastAsia="仿宋_GB2312"/>
          <w:sz w:val="32"/>
          <w:szCs w:val="32"/>
        </w:rPr>
        <w:t>石狮市各镇（街道）：</w:t>
      </w:r>
      <w:r>
        <w:rPr>
          <w:rFonts w:hint="eastAsia" w:eastAsia="仿宋_GB2312"/>
          <w:sz w:val="32"/>
          <w:szCs w:val="32"/>
        </w:rPr>
        <w:t>调查摸底报送条件成熟并且已动工建设或近期可动工的项目，能够确保今年投入运营的项目。</w:t>
      </w:r>
      <w:r>
        <w:rPr>
          <w:rFonts w:hint="eastAsia" w:ascii="仿宋_GB2312" w:eastAsia="仿宋_GB2312"/>
          <w:sz w:val="32"/>
          <w:szCs w:val="32"/>
        </w:rPr>
        <w:t>镇（街道）审核汇总后，将《建设项目申请表》报送市民政局福利保障股。</w:t>
      </w:r>
    </w:p>
    <w:p>
      <w:pPr>
        <w:numPr>
          <w:ilvl w:val="0"/>
          <w:numId w:val="2"/>
        </w:numPr>
        <w:adjustRightInd w:val="0"/>
        <w:snapToGrid w:val="0"/>
        <w:spacing w:line="360" w:lineRule="auto"/>
        <w:ind w:firstLine="640" w:firstLineChars="200"/>
        <w:rPr>
          <w:rFonts w:eastAsia="仿宋_GB2312"/>
          <w:sz w:val="32"/>
          <w:szCs w:val="32"/>
        </w:rPr>
      </w:pPr>
      <w:r>
        <w:rPr>
          <w:rFonts w:hint="eastAsia" w:eastAsia="仿宋_GB2312"/>
          <w:sz w:val="32"/>
          <w:szCs w:val="32"/>
        </w:rPr>
        <w:t>申报单位：</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申报单位填写《建设项目申请表》（一式三份）。</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2.项目业务流程</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石狮市民政局下达石狮市各镇（街道）资金补助通知，各镇（街道）</w:t>
      </w:r>
      <w:r>
        <w:rPr>
          <w:rFonts w:hint="eastAsia" w:eastAsia="仿宋_GB2312"/>
          <w:sz w:val="32"/>
          <w:szCs w:val="32"/>
        </w:rPr>
        <w:t>调查摸底报送条件成熟并且已动工建设或近期可动工的项目，能够确保今年投入运营的项目。申报单位</w:t>
      </w:r>
      <w:r>
        <w:rPr>
          <w:rFonts w:hint="eastAsia" w:ascii="仿宋_GB2312" w:eastAsia="仿宋_GB2312"/>
          <w:sz w:val="32"/>
          <w:szCs w:val="32"/>
        </w:rPr>
        <w:t>填写《建设项目申请表》（一式三份）等相关申请表格。各镇（街道）汇总审核申报材料，并报送市民政局福利保障股。石狮市民政局审核《建设项目申请表》等相关申报材料、在项目建设期间抽查现场查看建设进度，待项目建设完成后对项目依据政策标准进行验收，验收合格后对申报单位拨付资金补助。</w:t>
      </w:r>
    </w:p>
    <w:p>
      <w:pPr>
        <w:pStyle w:val="4"/>
      </w:pPr>
      <w:bookmarkStart w:id="7" w:name="_Toc142059682"/>
      <w:r>
        <w:rPr>
          <w:rFonts w:hint="eastAsia"/>
        </w:rPr>
        <w:t>二、评价工作简述</w:t>
      </w:r>
      <w:bookmarkEnd w:id="7"/>
    </w:p>
    <w:p>
      <w:pPr>
        <w:pStyle w:val="5"/>
        <w:spacing w:before="0" w:after="0" w:line="560" w:lineRule="exact"/>
        <w:ind w:firstLine="642" w:firstLineChars="200"/>
        <w:rPr>
          <w:rFonts w:ascii="黑体" w:hAnsi="黑体" w:eastAsia="楷体"/>
          <w:kern w:val="44"/>
          <w:szCs w:val="30"/>
        </w:rPr>
      </w:pPr>
      <w:bookmarkStart w:id="8" w:name="_Toc142059683"/>
      <w:r>
        <w:rPr>
          <w:rFonts w:hint="eastAsia" w:ascii="黑体" w:hAnsi="黑体" w:eastAsia="楷体"/>
          <w:kern w:val="44"/>
          <w:szCs w:val="30"/>
        </w:rPr>
        <w:t>（一）基本情况</w:t>
      </w:r>
      <w:bookmarkEnd w:id="8"/>
    </w:p>
    <w:p>
      <w:pPr>
        <w:spacing w:line="560" w:lineRule="exact"/>
        <w:ind w:firstLine="640" w:firstLineChars="200"/>
        <w:rPr>
          <w:rFonts w:ascii="仿宋_GB2312" w:eastAsia="仿宋_GB2312"/>
          <w:sz w:val="32"/>
          <w:szCs w:val="32"/>
        </w:rPr>
      </w:pPr>
      <w:r>
        <w:rPr>
          <w:rFonts w:hint="eastAsia" w:ascii="仿宋_GB2312" w:eastAsia="仿宋_GB2312"/>
          <w:sz w:val="32"/>
          <w:szCs w:val="32"/>
        </w:rPr>
        <w:t>1.根据评价项目实际情况，确定公司评价小组成员名单，并对评价小组成员进行业务培训，包括对项目财政支出政策的梳理，了解2022年度石狮市养老服务业补助项目基本情况，统一评价思路和方法，落实评价任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2.基本情况调研：与石狮市民政局、石狮市社区办事处相关人员联系，举办沟通会，收集相关资料。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3.撰写评价计划及相关表单初稿，包括梳理项目的基本情况、评价方案、评价指标和满意度问卷调查方案等。</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4.征求委托方及项目实施单位意见，完善评价方案及相关表单。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5.与相关方达成共识后向委托方提交评价方案及相关表单。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6.评价小组根据委托方意见进行了修订，完善了项目背景和评价思路，使产出、效果和影响力指标与项目更为贴切。</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7.进一步内部审核后向委托方提交评价计划及相关表单（正式稿）。</w:t>
      </w:r>
    </w:p>
    <w:p>
      <w:pPr>
        <w:keepNext/>
        <w:keepLines/>
        <w:spacing w:line="560" w:lineRule="exact"/>
        <w:ind w:firstLine="642" w:firstLineChars="200"/>
        <w:outlineLvl w:val="1"/>
        <w:rPr>
          <w:rFonts w:ascii="黑体" w:hAnsi="黑体" w:eastAsia="楷体"/>
          <w:b/>
          <w:bCs/>
          <w:kern w:val="44"/>
          <w:sz w:val="32"/>
          <w:szCs w:val="30"/>
        </w:rPr>
      </w:pPr>
      <w:bookmarkStart w:id="9" w:name="_Toc5900047"/>
      <w:bookmarkStart w:id="10" w:name="_Toc142059684"/>
      <w:bookmarkStart w:id="11" w:name="_Toc6563720"/>
      <w:r>
        <w:rPr>
          <w:rFonts w:hint="eastAsia" w:ascii="黑体" w:hAnsi="黑体" w:eastAsia="楷体"/>
          <w:b/>
          <w:bCs/>
          <w:kern w:val="44"/>
          <w:sz w:val="32"/>
          <w:szCs w:val="30"/>
        </w:rPr>
        <w:t>（二）绩效评价原则和评价方法</w:t>
      </w:r>
      <w:bookmarkEnd w:id="9"/>
      <w:bookmarkEnd w:id="10"/>
      <w:bookmarkEnd w:id="11"/>
    </w:p>
    <w:p>
      <w:pPr>
        <w:spacing w:line="560" w:lineRule="exact"/>
        <w:ind w:firstLine="642" w:firstLineChars="200"/>
        <w:rPr>
          <w:rFonts w:ascii="仿宋_GB2312" w:eastAsia="仿宋"/>
          <w:b/>
          <w:sz w:val="32"/>
          <w:szCs w:val="32"/>
        </w:rPr>
      </w:pPr>
      <w:r>
        <w:rPr>
          <w:rFonts w:hint="eastAsia" w:ascii="仿宋_GB2312" w:eastAsia="仿宋"/>
          <w:b/>
          <w:sz w:val="32"/>
          <w:szCs w:val="32"/>
        </w:rPr>
        <w:t>1.评价原则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次绩效评价以客观、公正、科学和规范为评价原则，从项目财政支出的政策梳理入手，在分析政策文件的基础上，综合考虑项目的背景、目的、内容、预算和资金使用、管理机制等因素，围绕本项目的特点，进行本次绩效评价实施方案的设计，旨在全面考察该项目的项目决策、项目管理和项目绩效，并以此为依据，设计基础表和社会调查方案，以全面支持绩效评价工作的开展。</w:t>
      </w:r>
    </w:p>
    <w:p>
      <w:pPr>
        <w:spacing w:line="560" w:lineRule="exact"/>
        <w:ind w:firstLine="642" w:firstLineChars="200"/>
        <w:rPr>
          <w:rFonts w:ascii="仿宋_GB2312" w:eastAsia="仿宋"/>
          <w:b/>
          <w:sz w:val="32"/>
          <w:szCs w:val="32"/>
        </w:rPr>
      </w:pPr>
      <w:r>
        <w:rPr>
          <w:rFonts w:hint="eastAsia" w:ascii="仿宋_GB2312" w:eastAsia="仿宋"/>
          <w:b/>
          <w:sz w:val="32"/>
          <w:szCs w:val="32"/>
        </w:rPr>
        <w:t>2.评价方法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（1）政策、文献研究法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通过学习和研究国家、泉州市关于项目支出的相关政策和文献，获得项目背景、范围、内容、绩效目标及预算资金安排等信息，据以评价项目决策和项目管理。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（2）比较法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通过与历史数值和项目计划数值进行比较，算出绩效值。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（3）公众评判法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主要包括通过问卷调查、实地勘察、专家评估等方法对项目效果进行评判，得出绩效目标的实现度。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（4）现场调研法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通过对石狮市民政局项目支出执行情况和资金使用情况进行实地调研，结合相关负责人的访谈和有关满意度问卷调查，提升本次绩效评价的准确性。</w:t>
      </w:r>
    </w:p>
    <w:p>
      <w:pPr>
        <w:spacing w:line="560" w:lineRule="exact"/>
        <w:ind w:firstLine="642" w:firstLineChars="200"/>
        <w:rPr>
          <w:rFonts w:ascii="仿宋_GB2312" w:eastAsia="仿宋"/>
          <w:b/>
          <w:sz w:val="32"/>
          <w:szCs w:val="32"/>
        </w:rPr>
      </w:pPr>
      <w:r>
        <w:rPr>
          <w:rFonts w:hint="eastAsia" w:ascii="仿宋_GB2312" w:eastAsia="仿宋"/>
          <w:b/>
          <w:sz w:val="32"/>
          <w:szCs w:val="32"/>
        </w:rPr>
        <w:t>3.数据采集方法及过程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（1）走访项目实施单位和主管单位，采集以下数据：</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与评价项目相关的法律法规和规章政策包括预算下达文件；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项目具体实施进展情况；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rPr>
        <w:fldChar w:fldCharType="begin"/>
      </w:r>
      <w:r>
        <w:rPr>
          <w:rFonts w:hint="eastAsia" w:ascii="仿宋_GB2312" w:eastAsia="仿宋_GB2312"/>
          <w:sz w:val="32"/>
          <w:szCs w:val="32"/>
        </w:rPr>
        <w:instrText xml:space="preserve"> = 3 \* GB3 </w:instrText>
      </w:r>
      <w:r>
        <w:rPr>
          <w:rFonts w:hint="eastAsia" w:ascii="仿宋_GB2312" w:eastAsia="仿宋_GB2312"/>
          <w:sz w:val="32"/>
          <w:szCs w:val="32"/>
        </w:rPr>
        <w:fldChar w:fldCharType="separate"/>
      </w:r>
      <w:r>
        <w:rPr>
          <w:rFonts w:hint="eastAsia" w:ascii="仿宋_GB2312" w:eastAsia="仿宋_GB2312"/>
          <w:sz w:val="32"/>
          <w:szCs w:val="32"/>
        </w:rPr>
        <w:t>③</w:t>
      </w:r>
      <w:r>
        <w:rPr>
          <w:rFonts w:hint="eastAsia" w:ascii="仿宋_GB2312" w:eastAsia="仿宋_GB2312"/>
          <w:sz w:val="32"/>
          <w:szCs w:val="32"/>
        </w:rPr>
        <w:fldChar w:fldCharType="end"/>
      </w:r>
      <w:r>
        <w:rPr>
          <w:rFonts w:hint="eastAsia" w:ascii="仿宋_GB2312" w:eastAsia="仿宋_GB2312"/>
          <w:sz w:val="32"/>
          <w:szCs w:val="32"/>
        </w:rPr>
        <w:t>项目资金规模、使用方向等；</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rPr>
        <w:fldChar w:fldCharType="begin"/>
      </w:r>
      <w:r>
        <w:rPr>
          <w:rFonts w:hint="eastAsia" w:ascii="仿宋_GB2312" w:eastAsia="仿宋_GB2312"/>
          <w:sz w:val="32"/>
          <w:szCs w:val="32"/>
        </w:rPr>
        <w:instrText xml:space="preserve"> = 4 \* GB3 </w:instrText>
      </w:r>
      <w:r>
        <w:rPr>
          <w:rFonts w:hint="eastAsia" w:ascii="仿宋_GB2312" w:eastAsia="仿宋_GB2312"/>
          <w:sz w:val="32"/>
          <w:szCs w:val="32"/>
        </w:rPr>
        <w:fldChar w:fldCharType="separate"/>
      </w:r>
      <w:r>
        <w:rPr>
          <w:rFonts w:hint="eastAsia" w:ascii="仿宋_GB2312" w:eastAsia="仿宋_GB2312"/>
          <w:sz w:val="32"/>
          <w:szCs w:val="32"/>
        </w:rPr>
        <w:t>④</w:t>
      </w:r>
      <w:r>
        <w:rPr>
          <w:rFonts w:hint="eastAsia" w:ascii="仿宋_GB2312" w:eastAsia="仿宋_GB2312"/>
          <w:sz w:val="32"/>
          <w:szCs w:val="32"/>
        </w:rPr>
        <w:fldChar w:fldCharType="end"/>
      </w:r>
      <w:r>
        <w:rPr>
          <w:rFonts w:hint="eastAsia" w:ascii="仿宋_GB2312" w:eastAsia="仿宋_GB2312"/>
          <w:sz w:val="32"/>
          <w:szCs w:val="32"/>
        </w:rPr>
        <w:t>项目实施内控、管理等制度；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rPr>
        <w:fldChar w:fldCharType="begin"/>
      </w:r>
      <w:r>
        <w:rPr>
          <w:rFonts w:hint="eastAsia" w:ascii="仿宋_GB2312" w:eastAsia="仿宋_GB2312"/>
          <w:sz w:val="32"/>
          <w:szCs w:val="32"/>
        </w:rPr>
        <w:instrText xml:space="preserve"> = 5 \* GB3 </w:instrText>
      </w:r>
      <w:r>
        <w:rPr>
          <w:rFonts w:hint="eastAsia" w:ascii="仿宋_GB2312" w:eastAsia="仿宋_GB2312"/>
          <w:sz w:val="32"/>
          <w:szCs w:val="32"/>
        </w:rPr>
        <w:fldChar w:fldCharType="separate"/>
      </w:r>
      <w:r>
        <w:rPr>
          <w:rFonts w:hint="eastAsia" w:ascii="仿宋_GB2312" w:eastAsia="仿宋_GB2312"/>
          <w:sz w:val="32"/>
          <w:szCs w:val="32"/>
        </w:rPr>
        <w:t>⑤</w:t>
      </w:r>
      <w:r>
        <w:rPr>
          <w:rFonts w:hint="eastAsia" w:ascii="仿宋_GB2312" w:eastAsia="仿宋_GB2312"/>
          <w:sz w:val="32"/>
          <w:szCs w:val="32"/>
        </w:rPr>
        <w:fldChar w:fldCharType="end"/>
      </w:r>
      <w:r>
        <w:rPr>
          <w:rFonts w:hint="eastAsia" w:ascii="仿宋_GB2312" w:eastAsia="仿宋_GB2312"/>
          <w:sz w:val="32"/>
          <w:szCs w:val="32"/>
        </w:rPr>
        <w:t>项目前期申报材料和批复；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rPr>
        <w:fldChar w:fldCharType="begin"/>
      </w:r>
      <w:r>
        <w:rPr>
          <w:rFonts w:hint="eastAsia" w:ascii="仿宋_GB2312" w:eastAsia="仿宋_GB2312"/>
          <w:sz w:val="32"/>
          <w:szCs w:val="32"/>
        </w:rPr>
        <w:instrText xml:space="preserve"> = 6 \* GB3 </w:instrText>
      </w:r>
      <w:r>
        <w:rPr>
          <w:rFonts w:hint="eastAsia" w:ascii="仿宋_GB2312" w:eastAsia="仿宋_GB2312"/>
          <w:sz w:val="32"/>
          <w:szCs w:val="32"/>
        </w:rPr>
        <w:fldChar w:fldCharType="separate"/>
      </w:r>
      <w:r>
        <w:rPr>
          <w:rFonts w:hint="eastAsia" w:ascii="仿宋_GB2312" w:eastAsia="仿宋_GB2312"/>
          <w:sz w:val="32"/>
          <w:szCs w:val="32"/>
        </w:rPr>
        <w:t>⑥</w:t>
      </w:r>
      <w:r>
        <w:rPr>
          <w:rFonts w:hint="eastAsia" w:ascii="仿宋_GB2312" w:eastAsia="仿宋_GB2312"/>
          <w:sz w:val="32"/>
          <w:szCs w:val="32"/>
        </w:rPr>
        <w:fldChar w:fldCharType="end"/>
      </w:r>
      <w:r>
        <w:rPr>
          <w:rFonts w:hint="eastAsia" w:ascii="仿宋_GB2312" w:eastAsia="仿宋_GB2312"/>
          <w:sz w:val="32"/>
          <w:szCs w:val="32"/>
        </w:rPr>
        <w:t>对项目的绩效目标设置和社会效益期望等。</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（2）文献资料查找和学习：收集国家、市级及区级层面项目支出政策，获得项目背景、范围、内容、绩效目标及预算资金安排等信息，据以评价项目实施和项目管理。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（3）社会调查：评价人员通过对项目实施单位现场走访并进行问卷调查，对项目产出和效果进行评判，得出绩效目标的实现程度。</w:t>
      </w:r>
    </w:p>
    <w:p>
      <w:pPr>
        <w:pStyle w:val="5"/>
        <w:spacing w:before="0" w:after="0" w:line="560" w:lineRule="exact"/>
        <w:ind w:firstLine="642" w:firstLineChars="200"/>
        <w:rPr>
          <w:rFonts w:ascii="黑体" w:hAnsi="黑体" w:eastAsia="楷体"/>
          <w:kern w:val="44"/>
          <w:szCs w:val="30"/>
        </w:rPr>
      </w:pPr>
      <w:bookmarkStart w:id="12" w:name="_Toc6563721"/>
      <w:bookmarkStart w:id="13" w:name="_Toc142059685"/>
      <w:r>
        <w:rPr>
          <w:rFonts w:hint="eastAsia" w:ascii="黑体" w:hAnsi="黑体" w:eastAsia="楷体"/>
          <w:kern w:val="44"/>
          <w:szCs w:val="30"/>
        </w:rPr>
        <w:t>（三）现场评价及满意度评价</w:t>
      </w:r>
      <w:bookmarkEnd w:id="12"/>
      <w:bookmarkEnd w:id="13"/>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本次绩效评价工作是由石狮市财政局委托厦门市恒</w:t>
      </w:r>
      <w:r>
        <w:rPr>
          <w:rFonts w:hint="eastAsia" w:ascii="仿宋" w:hAnsi="仿宋" w:eastAsia="仿宋" w:cs="仿宋"/>
          <w:sz w:val="32"/>
          <w:szCs w:val="32"/>
        </w:rPr>
        <w:t>璟</w:t>
      </w:r>
      <w:r>
        <w:rPr>
          <w:rFonts w:hint="eastAsia" w:ascii="仿宋_GB2312" w:hAnsi="仿宋_GB2312" w:eastAsia="仿宋_GB2312" w:cs="仿宋_GB2312"/>
          <w:sz w:val="32"/>
          <w:szCs w:val="32"/>
        </w:rPr>
        <w:t>管理顾问有限公司实施。</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项目前期，评价小组走访了石狮市民政局，了解并收集到专项资金管理办法、预算批复文件等文件和资料，在对相关文件和资料进行整理分析的基础上起草了评价计划及相关表单。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在后续评价过程中，与民政局项目负责人通过网络电话等方式多次沟通，评价小组根据修改意见完成评价计划及相关表单的最终修改，审核确认后提交了评价计划及相关表单正式稿。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评价小组前往石狮市随机挑选四家受补机构并</w:t>
      </w:r>
      <w:r>
        <w:rPr>
          <w:rFonts w:hint="eastAsia" w:ascii="仿宋_GB2312" w:eastAsia="仿宋_GB2312"/>
          <w:sz w:val="32"/>
          <w:szCs w:val="32"/>
          <w:lang w:eastAsia="zh-CN"/>
        </w:rPr>
        <w:t>与</w:t>
      </w:r>
      <w:r>
        <w:rPr>
          <w:rFonts w:hint="eastAsia" w:ascii="仿宋_GB2312" w:eastAsia="仿宋_GB2312"/>
          <w:sz w:val="32"/>
          <w:szCs w:val="32"/>
        </w:rPr>
        <w:t>民政局进行评价沟通交流。针对业务数据表、评价所需资料清单方面存在的分歧与理解偏差进行充分沟通。</w:t>
      </w:r>
    </w:p>
    <w:tbl>
      <w:tblPr>
        <w:tblStyle w:val="1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2"/>
        <w:gridCol w:w="1878"/>
        <w:gridCol w:w="1585"/>
        <w:gridCol w:w="1115"/>
        <w:gridCol w:w="1575"/>
        <w:gridCol w:w="16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blHeader/>
        </w:trPr>
        <w:tc>
          <w:tcPr>
            <w:tcW w:w="423" w:type="pct"/>
            <w:tcBorders>
              <w:tl2br w:val="nil"/>
              <w:tr2bl w:val="nil"/>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序号</w:t>
            </w:r>
          </w:p>
        </w:tc>
        <w:tc>
          <w:tcPr>
            <w:tcW w:w="1101" w:type="pct"/>
            <w:tcBorders>
              <w:tl2br w:val="nil"/>
              <w:tr2bl w:val="nil"/>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项目名称</w:t>
            </w:r>
          </w:p>
        </w:tc>
        <w:tc>
          <w:tcPr>
            <w:tcW w:w="930" w:type="pct"/>
            <w:tcBorders>
              <w:tl2br w:val="nil"/>
              <w:tr2bl w:val="nil"/>
            </w:tcBorders>
            <w:shd w:val="clear" w:color="auto" w:fill="auto"/>
            <w:vAlign w:val="center"/>
          </w:tcPr>
          <w:p>
            <w:pPr>
              <w:widowControl/>
              <w:jc w:val="center"/>
              <w:textAlignment w:val="center"/>
              <w:rPr>
                <w:rFonts w:ascii="宋体" w:hAnsi="宋体" w:cs="宋体"/>
                <w:b/>
                <w:bCs/>
                <w:color w:val="000000"/>
                <w:kern w:val="0"/>
                <w:sz w:val="22"/>
                <w:szCs w:val="22"/>
                <w:lang w:bidi="ar"/>
              </w:rPr>
            </w:pPr>
            <w:r>
              <w:rPr>
                <w:rFonts w:hint="eastAsia" w:ascii="宋体" w:hAnsi="宋体" w:cs="宋体"/>
                <w:b/>
                <w:bCs/>
                <w:color w:val="000000"/>
                <w:kern w:val="0"/>
                <w:sz w:val="22"/>
                <w:szCs w:val="22"/>
                <w:lang w:bidi="ar"/>
              </w:rPr>
              <w:t>补贴金额</w:t>
            </w:r>
          </w:p>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（万元）</w:t>
            </w:r>
          </w:p>
        </w:tc>
        <w:tc>
          <w:tcPr>
            <w:tcW w:w="654" w:type="pct"/>
            <w:tcBorders>
              <w:tl2br w:val="nil"/>
              <w:tr2bl w:val="nil"/>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联系人</w:t>
            </w:r>
          </w:p>
        </w:tc>
        <w:tc>
          <w:tcPr>
            <w:tcW w:w="924" w:type="pct"/>
            <w:tcBorders>
              <w:tl2br w:val="nil"/>
              <w:tr2bl w:val="nil"/>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走访时间</w:t>
            </w:r>
          </w:p>
        </w:tc>
        <w:tc>
          <w:tcPr>
            <w:tcW w:w="967" w:type="pct"/>
            <w:tcBorders>
              <w:tl2br w:val="nil"/>
              <w:tr2bl w:val="nil"/>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走访地址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1101" w:type="pct"/>
            <w:tcBorders>
              <w:tl2br w:val="nil"/>
              <w:tr2bl w:val="nil"/>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一次性开办补助</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（红景天雅园）</w:t>
            </w:r>
          </w:p>
        </w:tc>
        <w:tc>
          <w:tcPr>
            <w:tcW w:w="930"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654"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石燕来</w:t>
            </w:r>
          </w:p>
        </w:tc>
        <w:tc>
          <w:tcPr>
            <w:tcW w:w="924" w:type="pct"/>
            <w:tcBorders>
              <w:tl2br w:val="nil"/>
              <w:tr2bl w:val="nil"/>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6/29</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上午10:00</w:t>
            </w:r>
          </w:p>
        </w:tc>
        <w:tc>
          <w:tcPr>
            <w:tcW w:w="967" w:type="pct"/>
            <w:tcBorders>
              <w:tl2br w:val="nil"/>
              <w:tr2bl w:val="nil"/>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福建省泉州市石狮市永宁镇沙堤村十二区1号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423"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1101"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居家养老服务照料中心（蚶江）</w:t>
            </w:r>
          </w:p>
        </w:tc>
        <w:tc>
          <w:tcPr>
            <w:tcW w:w="930"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654"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张来明</w:t>
            </w:r>
          </w:p>
        </w:tc>
        <w:tc>
          <w:tcPr>
            <w:tcW w:w="924" w:type="pct"/>
            <w:tcBorders>
              <w:tl2br w:val="nil"/>
              <w:tr2bl w:val="nil"/>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6/29</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上午11:00</w:t>
            </w:r>
          </w:p>
        </w:tc>
        <w:tc>
          <w:tcPr>
            <w:tcW w:w="967" w:type="pct"/>
            <w:tcBorders>
              <w:tl2br w:val="nil"/>
              <w:tr2bl w:val="nil"/>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福建省泉州市石狮市蚶江镇莲塘前埔南区64号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1101" w:type="pct"/>
            <w:tcBorders>
              <w:tl2br w:val="nil"/>
              <w:tr2bl w:val="nil"/>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农村幸福院项目</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（莲厝）</w:t>
            </w:r>
          </w:p>
        </w:tc>
        <w:tc>
          <w:tcPr>
            <w:tcW w:w="930"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654"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林华新</w:t>
            </w:r>
          </w:p>
        </w:tc>
        <w:tc>
          <w:tcPr>
            <w:tcW w:w="924" w:type="pct"/>
            <w:tcBorders>
              <w:tl2br w:val="nil"/>
              <w:tr2bl w:val="nil"/>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6/29</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下午</w:t>
            </w:r>
            <w:r>
              <w:rPr>
                <w:rFonts w:hint="eastAsia" w:ascii="宋体" w:hAnsi="宋体" w:cs="宋体"/>
                <w:color w:val="000000"/>
                <w:kern w:val="0"/>
                <w:sz w:val="22"/>
                <w:szCs w:val="22"/>
                <w:lang w:val="en-US" w:eastAsia="zh-CN" w:bidi="ar"/>
              </w:rPr>
              <w:t>3</w:t>
            </w:r>
            <w:r>
              <w:rPr>
                <w:rFonts w:hint="eastAsia" w:ascii="宋体" w:hAnsi="宋体" w:cs="宋体"/>
                <w:color w:val="000000"/>
                <w:kern w:val="0"/>
                <w:sz w:val="22"/>
                <w:szCs w:val="22"/>
                <w:lang w:bidi="ar"/>
              </w:rPr>
              <w:t>:00</w:t>
            </w:r>
          </w:p>
        </w:tc>
        <w:tc>
          <w:tcPr>
            <w:tcW w:w="967" w:type="pct"/>
            <w:tcBorders>
              <w:tl2br w:val="nil"/>
              <w:tr2bl w:val="nil"/>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石狮市鸿山镇莲厝村（石狮市东园大道）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1101" w:type="pct"/>
            <w:tcBorders>
              <w:tl2br w:val="nil"/>
              <w:tr2bl w:val="nil"/>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长者食堂项目</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（洪厝）</w:t>
            </w:r>
          </w:p>
        </w:tc>
        <w:tc>
          <w:tcPr>
            <w:tcW w:w="930"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654" w:type="pct"/>
            <w:tcBorders>
              <w:tl2br w:val="nil"/>
              <w:tr2bl w:val="nil"/>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纪丽卿</w:t>
            </w:r>
          </w:p>
        </w:tc>
        <w:tc>
          <w:tcPr>
            <w:tcW w:w="924" w:type="pct"/>
            <w:tcBorders>
              <w:tl2br w:val="nil"/>
              <w:tr2bl w:val="nil"/>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6/29</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下午</w:t>
            </w:r>
            <w:r>
              <w:rPr>
                <w:rFonts w:hint="eastAsia" w:ascii="宋体" w:hAnsi="宋体" w:cs="宋体"/>
                <w:color w:val="000000"/>
                <w:kern w:val="0"/>
                <w:sz w:val="22"/>
                <w:szCs w:val="22"/>
                <w:lang w:val="en-US" w:eastAsia="zh-CN" w:bidi="ar"/>
              </w:rPr>
              <w:t>4</w:t>
            </w:r>
            <w:r>
              <w:rPr>
                <w:rFonts w:hint="eastAsia" w:ascii="宋体" w:hAnsi="宋体" w:cs="宋体"/>
                <w:color w:val="000000"/>
                <w:kern w:val="0"/>
                <w:sz w:val="22"/>
                <w:szCs w:val="22"/>
                <w:lang w:bidi="ar"/>
              </w:rPr>
              <w:t>:00</w:t>
            </w:r>
          </w:p>
        </w:tc>
        <w:tc>
          <w:tcPr>
            <w:tcW w:w="967" w:type="pct"/>
            <w:tcBorders>
              <w:tl2br w:val="nil"/>
              <w:tr2bl w:val="nil"/>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石狮市洪厝西竺岩(观音宫)西50米</w:t>
            </w:r>
          </w:p>
        </w:tc>
      </w:tr>
    </w:tbl>
    <w:p>
      <w:pPr>
        <w:pStyle w:val="2"/>
        <w:ind w:firstLine="200"/>
      </w:pPr>
    </w:p>
    <w:p>
      <w:pPr>
        <w:keepNext/>
        <w:keepLines/>
        <w:spacing w:line="560" w:lineRule="exact"/>
        <w:ind w:firstLine="642" w:firstLineChars="200"/>
        <w:outlineLvl w:val="1"/>
        <w:rPr>
          <w:rFonts w:ascii="黑体" w:hAnsi="黑体" w:eastAsia="楷体"/>
          <w:b/>
          <w:bCs/>
          <w:kern w:val="44"/>
          <w:sz w:val="32"/>
          <w:szCs w:val="30"/>
        </w:rPr>
      </w:pPr>
      <w:bookmarkStart w:id="14" w:name="_Toc6563722"/>
      <w:bookmarkStart w:id="15" w:name="_Toc142059686"/>
      <w:r>
        <w:rPr>
          <w:rFonts w:hint="eastAsia" w:ascii="黑体" w:hAnsi="黑体" w:eastAsia="楷体"/>
          <w:b/>
          <w:bCs/>
          <w:kern w:val="44"/>
          <w:sz w:val="32"/>
          <w:szCs w:val="30"/>
        </w:rPr>
        <w:t>（四）评价标准</w:t>
      </w:r>
      <w:bookmarkEnd w:id="14"/>
      <w:bookmarkEnd w:id="15"/>
    </w:p>
    <w:p>
      <w:pPr>
        <w:spacing w:line="560" w:lineRule="exact"/>
        <w:ind w:firstLine="640" w:firstLineChars="200"/>
        <w:rPr>
          <w:rFonts w:ascii="仿宋_GB2312" w:eastAsia="仿宋_GB2312"/>
          <w:sz w:val="32"/>
          <w:szCs w:val="32"/>
        </w:rPr>
      </w:pPr>
      <w:r>
        <w:rPr>
          <w:rFonts w:hint="eastAsia" w:ascii="仿宋_GB2312" w:eastAsia="仿宋_GB2312"/>
          <w:sz w:val="32"/>
          <w:szCs w:val="32"/>
        </w:rPr>
        <w:t>由于本次绩效评价属于项目财政支出绩效评价，评价小组设置了绩效评价指标体系。本次第三方根据绩效评价的方法及相关理论，结合本次绩效评价设置评价标准如下：</w:t>
      </w:r>
    </w:p>
    <w:tbl>
      <w:tblPr>
        <w:tblStyle w:val="12"/>
        <w:tblW w:w="0" w:type="auto"/>
        <w:jc w:val="center"/>
        <w:tblLayout w:type="fixed"/>
        <w:tblCellMar>
          <w:top w:w="0" w:type="dxa"/>
          <w:left w:w="108" w:type="dxa"/>
          <w:bottom w:w="0" w:type="dxa"/>
          <w:right w:w="108" w:type="dxa"/>
        </w:tblCellMar>
      </w:tblPr>
      <w:tblGrid>
        <w:gridCol w:w="1575"/>
        <w:gridCol w:w="1701"/>
        <w:gridCol w:w="1842"/>
        <w:gridCol w:w="1843"/>
        <w:gridCol w:w="1843"/>
      </w:tblGrid>
      <w:tr>
        <w:tblPrEx>
          <w:tblCellMar>
            <w:top w:w="0" w:type="dxa"/>
            <w:left w:w="108" w:type="dxa"/>
            <w:bottom w:w="0" w:type="dxa"/>
            <w:right w:w="108" w:type="dxa"/>
          </w:tblCellMar>
        </w:tblPrEx>
        <w:trPr>
          <w:trHeight w:val="540" w:hRule="atLeast"/>
          <w:jc w:val="center"/>
        </w:trPr>
        <w:tc>
          <w:tcPr>
            <w:tcW w:w="1575" w:type="dxa"/>
            <w:tcBorders>
              <w:top w:val="single" w:color="auto" w:sz="4" w:space="0"/>
              <w:left w:val="single" w:color="auto" w:sz="4" w:space="0"/>
              <w:bottom w:val="single" w:color="auto" w:sz="4" w:space="0"/>
              <w:right w:val="single" w:color="auto" w:sz="4" w:space="0"/>
            </w:tcBorders>
            <w:noWrap/>
            <w:vAlign w:val="center"/>
          </w:tcPr>
          <w:p>
            <w:pPr>
              <w:widowControl/>
              <w:ind w:firstLine="240" w:firstLineChars="100"/>
              <w:jc w:val="center"/>
              <w:rPr>
                <w:rFonts w:ascii="宋体" w:hAnsi="宋体" w:cs="宋体"/>
                <w:color w:val="000000"/>
                <w:kern w:val="0"/>
                <w:sz w:val="24"/>
              </w:rPr>
            </w:pPr>
            <w:r>
              <w:rPr>
                <w:rFonts w:hint="eastAsia" w:ascii="宋体" w:hAnsi="宋体" w:cs="宋体"/>
                <w:color w:val="000000"/>
                <w:kern w:val="0"/>
                <w:sz w:val="24"/>
              </w:rPr>
              <w:t>评价等级</w:t>
            </w:r>
          </w:p>
        </w:tc>
        <w:tc>
          <w:tcPr>
            <w:tcW w:w="170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优</w:t>
            </w:r>
          </w:p>
        </w:tc>
        <w:tc>
          <w:tcPr>
            <w:tcW w:w="184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良</w:t>
            </w:r>
          </w:p>
        </w:tc>
        <w:tc>
          <w:tcPr>
            <w:tcW w:w="1843"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中</w:t>
            </w:r>
          </w:p>
        </w:tc>
        <w:tc>
          <w:tcPr>
            <w:tcW w:w="1843"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差</w:t>
            </w:r>
          </w:p>
        </w:tc>
      </w:tr>
      <w:tr>
        <w:tblPrEx>
          <w:tblCellMar>
            <w:top w:w="0" w:type="dxa"/>
            <w:left w:w="108" w:type="dxa"/>
            <w:bottom w:w="0" w:type="dxa"/>
            <w:right w:w="108" w:type="dxa"/>
          </w:tblCellMar>
        </w:tblPrEx>
        <w:trPr>
          <w:trHeight w:val="770" w:hRule="atLeast"/>
          <w:jc w:val="center"/>
        </w:trPr>
        <w:tc>
          <w:tcPr>
            <w:tcW w:w="157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综合得分</w:t>
            </w:r>
            <w:r>
              <w:rPr>
                <w:rFonts w:ascii="宋体" w:hAnsi="宋体" w:cs="宋体"/>
                <w:color w:val="000000"/>
                <w:kern w:val="0"/>
                <w:sz w:val="24"/>
              </w:rPr>
              <w:t>情况</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综合</w:t>
            </w:r>
            <w:r>
              <w:rPr>
                <w:rFonts w:ascii="宋体" w:hAnsi="宋体" w:cs="宋体"/>
                <w:color w:val="000000"/>
                <w:kern w:val="0"/>
                <w:sz w:val="24"/>
              </w:rPr>
              <w:t>评价得分</w:t>
            </w:r>
            <w:r>
              <w:rPr>
                <w:rFonts w:hint="eastAsia" w:ascii="宋体" w:hAnsi="宋体" w:cs="宋体"/>
                <w:color w:val="000000"/>
                <w:kern w:val="0"/>
                <w:sz w:val="24"/>
              </w:rPr>
              <w:t>90（含）-100分</w:t>
            </w:r>
          </w:p>
        </w:tc>
        <w:tc>
          <w:tcPr>
            <w:tcW w:w="184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综合</w:t>
            </w:r>
            <w:r>
              <w:rPr>
                <w:rFonts w:ascii="宋体" w:hAnsi="宋体" w:cs="宋体"/>
                <w:color w:val="000000"/>
                <w:kern w:val="0"/>
                <w:sz w:val="24"/>
              </w:rPr>
              <w:t>评价得分</w:t>
            </w:r>
            <w:r>
              <w:rPr>
                <w:rFonts w:hint="eastAsia" w:ascii="宋体" w:hAnsi="宋体" w:cs="宋体"/>
                <w:color w:val="000000"/>
                <w:kern w:val="0"/>
                <w:sz w:val="24"/>
              </w:rPr>
              <w:t>80（含）-90分</w:t>
            </w:r>
          </w:p>
        </w:tc>
        <w:tc>
          <w:tcPr>
            <w:tcW w:w="1843"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综合</w:t>
            </w:r>
            <w:r>
              <w:rPr>
                <w:rFonts w:ascii="宋体" w:hAnsi="宋体" w:cs="宋体"/>
                <w:color w:val="000000"/>
                <w:kern w:val="0"/>
                <w:sz w:val="24"/>
              </w:rPr>
              <w:t>评价得分</w:t>
            </w:r>
            <w:r>
              <w:rPr>
                <w:rFonts w:hint="eastAsia" w:ascii="宋体" w:hAnsi="宋体" w:cs="宋体"/>
                <w:color w:val="000000"/>
                <w:kern w:val="0"/>
                <w:sz w:val="24"/>
              </w:rPr>
              <w:t>60（含）-80分</w:t>
            </w:r>
          </w:p>
        </w:tc>
        <w:tc>
          <w:tcPr>
            <w:tcW w:w="1843"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综合</w:t>
            </w:r>
            <w:r>
              <w:rPr>
                <w:rFonts w:ascii="宋体" w:hAnsi="宋体" w:cs="宋体"/>
                <w:color w:val="000000"/>
                <w:kern w:val="0"/>
                <w:sz w:val="24"/>
              </w:rPr>
              <w:t>评价得分</w:t>
            </w:r>
            <w:r>
              <w:rPr>
                <w:rFonts w:hint="eastAsia" w:ascii="宋体" w:hAnsi="宋体" w:cs="宋体"/>
                <w:color w:val="000000"/>
                <w:kern w:val="0"/>
                <w:sz w:val="24"/>
              </w:rPr>
              <w:t>60分以下</w:t>
            </w:r>
          </w:p>
        </w:tc>
      </w:tr>
    </w:tbl>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w:t>
      </w:r>
    </w:p>
    <w:p>
      <w:pPr>
        <w:pStyle w:val="4"/>
      </w:pPr>
      <w:bookmarkStart w:id="16" w:name="_Toc142059687"/>
      <w:r>
        <w:rPr>
          <w:rFonts w:hint="eastAsia"/>
        </w:rPr>
        <w:t>三、总体评价结论</w:t>
      </w:r>
      <w:bookmarkEnd w:id="16"/>
    </w:p>
    <w:p>
      <w:pPr>
        <w:keepNext/>
        <w:keepLines/>
        <w:spacing w:line="560" w:lineRule="exact"/>
        <w:ind w:firstLine="642" w:firstLineChars="200"/>
        <w:outlineLvl w:val="1"/>
        <w:rPr>
          <w:rFonts w:ascii="黑体" w:hAnsi="黑体" w:eastAsia="楷体"/>
          <w:b/>
          <w:bCs/>
          <w:kern w:val="44"/>
          <w:sz w:val="32"/>
          <w:szCs w:val="30"/>
        </w:rPr>
      </w:pPr>
      <w:bookmarkStart w:id="17" w:name="_Toc142059688"/>
      <w:r>
        <w:rPr>
          <w:rFonts w:hint="eastAsia" w:ascii="黑体" w:hAnsi="黑体" w:eastAsia="楷体"/>
          <w:b/>
          <w:bCs/>
          <w:kern w:val="44"/>
          <w:sz w:val="32"/>
          <w:szCs w:val="30"/>
        </w:rPr>
        <w:t>（一）评价得分情况</w:t>
      </w:r>
      <w:bookmarkEnd w:id="17"/>
    </w:p>
    <w:p>
      <w:pPr>
        <w:adjustRightInd w:val="0"/>
        <w:snapToGrid w:val="0"/>
        <w:spacing w:line="360" w:lineRule="auto"/>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项目绩效评价得分为80.87分,绩效评价等级为“良”。</w:t>
      </w:r>
    </w:p>
    <w:p>
      <w:pPr>
        <w:adjustRightInd w:val="0"/>
        <w:snapToGrid w:val="0"/>
        <w:spacing w:line="360" w:lineRule="auto"/>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2022年度养老服务业补助项目通过奖补相关养老企业及机构，鼓励社会资本流入养老行业，创建出适应新时代养老需求的基础设施。2022年度共奖补了1家养老院、1家改造提升养老服务中心、3家农村幸福院、3家长者食堂该项目及114.53个年入住床位数，做到了应补尽补，成功引导了更多社会资本参与养老服务发展，为老人建设多元化养老场所，提高了养老服务质量，为“老有所养”做出实质性作用。 </w:t>
      </w:r>
    </w:p>
    <w:p>
      <w:pPr>
        <w:ind w:firstLine="648"/>
        <w:rPr>
          <w:rFonts w:ascii="仿宋_GB2312" w:eastAsia="仿宋"/>
          <w:sz w:val="32"/>
          <w:szCs w:val="32"/>
        </w:rPr>
      </w:pPr>
      <w:r>
        <w:rPr>
          <w:rFonts w:hint="eastAsia" w:ascii="仿宋_GB2312" w:eastAsia="仿宋"/>
          <w:sz w:val="32"/>
          <w:szCs w:val="32"/>
        </w:rPr>
        <w:t>得分情况见</w:t>
      </w:r>
      <w:r>
        <w:rPr>
          <w:rFonts w:ascii="仿宋_GB2312" w:eastAsia="仿宋"/>
          <w:sz w:val="32"/>
          <w:szCs w:val="32"/>
        </w:rPr>
        <w:t>下表：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631"/>
        <w:gridCol w:w="2766"/>
        <w:gridCol w:w="1392"/>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5000" w:type="pct"/>
            <w:gridSpan w:val="5"/>
            <w:shd w:val="clear" w:color="auto" w:fill="auto"/>
            <w:noWrap/>
            <w:vAlign w:val="center"/>
          </w:tcPr>
          <w:p>
            <w:pPr>
              <w:rPr>
                <w:rFonts w:ascii="宋体" w:hAnsi="宋体" w:cs="宋体"/>
                <w:b/>
                <w:bCs/>
                <w:color w:val="000000"/>
                <w:sz w:val="22"/>
                <w:szCs w:val="22"/>
              </w:rPr>
            </w:pPr>
            <w:r>
              <w:rPr>
                <w:rFonts w:hint="eastAsia" w:ascii="仿宋_GB2312" w:eastAsia="仿宋_GB2312"/>
                <w:b/>
                <w:bCs/>
                <w:sz w:val="32"/>
                <w:szCs w:val="32"/>
              </w:rPr>
              <w:t>2022年度石狮市养老服务业补助项目绩效评价指标体系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64" w:type="pct"/>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957" w:type="pct"/>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623" w:type="pct"/>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817" w:type="pct"/>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分值</w:t>
            </w:r>
          </w:p>
        </w:tc>
        <w:tc>
          <w:tcPr>
            <w:tcW w:w="939" w:type="pct"/>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restart"/>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A决策（20分）</w:t>
            </w:r>
          </w:p>
        </w:tc>
        <w:tc>
          <w:tcPr>
            <w:tcW w:w="957" w:type="pct"/>
            <w:vMerge w:val="restar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A1项目立项</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A11立项依据充分性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A12立项程序规范性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restar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A2绩效目标</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A21绩效目标合理性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A22绩效指标明确性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restar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A3资金投入</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A31预算编制科学性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A32资金分配合理性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restart"/>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B过程（20分）</w:t>
            </w:r>
          </w:p>
        </w:tc>
        <w:tc>
          <w:tcPr>
            <w:tcW w:w="957" w:type="pct"/>
            <w:vMerge w:val="restar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B1资金管理</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B11资金到位率</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B12预算执行率</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B13资金使用合规性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restar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B2组织实施</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B21管理制度健全性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B22制度执行有效性</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restart"/>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C产出（24分）</w:t>
            </w:r>
          </w:p>
        </w:tc>
        <w:tc>
          <w:tcPr>
            <w:tcW w:w="957" w:type="pct"/>
            <w:vMerge w:val="restar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C1政策兑现过程产出</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C11政策传达效果</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C12奖励扶持完成率</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C13奖励补助材料合规率</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C14奖励补助及时率</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restart"/>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D效益（36分）</w:t>
            </w:r>
          </w:p>
        </w:tc>
        <w:tc>
          <w:tcPr>
            <w:tcW w:w="957" w:type="pct"/>
            <w:vMerge w:val="restar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D1实施效益</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D11提升养老服务设施质量</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D12新增养老服务场所 </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D13增加床位数量</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vMerge w:val="continue"/>
            <w:shd w:val="clear" w:color="auto" w:fill="auto"/>
            <w:vAlign w:val="center"/>
          </w:tcPr>
          <w:p>
            <w:pPr>
              <w:jc w:val="center"/>
              <w:rPr>
                <w:rFonts w:ascii="宋体" w:hAnsi="宋体" w:cs="宋体"/>
                <w:color w:val="000000"/>
                <w:sz w:val="20"/>
                <w:szCs w:val="20"/>
              </w:rPr>
            </w:pP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D14促进养老行业发展</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4" w:type="pct"/>
            <w:vMerge w:val="continue"/>
            <w:shd w:val="clear" w:color="auto" w:fill="auto"/>
            <w:noWrap/>
            <w:textDirection w:val="tbRlV"/>
            <w:vAlign w:val="center"/>
          </w:tcPr>
          <w:p>
            <w:pPr>
              <w:jc w:val="center"/>
              <w:rPr>
                <w:rFonts w:ascii="宋体" w:hAnsi="宋体" w:cs="宋体"/>
                <w:color w:val="000000"/>
                <w:sz w:val="20"/>
                <w:szCs w:val="20"/>
              </w:rPr>
            </w:pPr>
          </w:p>
        </w:tc>
        <w:tc>
          <w:tcPr>
            <w:tcW w:w="95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D2满意度</w:t>
            </w:r>
          </w:p>
        </w:tc>
        <w:tc>
          <w:tcPr>
            <w:tcW w:w="1623" w:type="pct"/>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D21受益对象满意度</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939" w:type="pct"/>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44" w:type="pct"/>
            <w:gridSpan w:val="3"/>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817" w:type="pct"/>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39" w:type="pct"/>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80.87</w:t>
            </w:r>
          </w:p>
        </w:tc>
      </w:tr>
    </w:tbl>
    <w:p>
      <w:pPr>
        <w:keepNext/>
        <w:keepLines/>
        <w:spacing w:line="560" w:lineRule="exact"/>
        <w:ind w:firstLine="642" w:firstLineChars="200"/>
        <w:outlineLvl w:val="1"/>
        <w:rPr>
          <w:rFonts w:ascii="黑体" w:hAnsi="黑体" w:eastAsia="楷体"/>
          <w:b/>
          <w:bCs/>
          <w:kern w:val="44"/>
          <w:sz w:val="32"/>
          <w:szCs w:val="30"/>
        </w:rPr>
      </w:pPr>
      <w:bookmarkStart w:id="18" w:name="_Toc142059689"/>
      <w:r>
        <w:rPr>
          <w:rFonts w:hint="eastAsia" w:ascii="黑体" w:hAnsi="黑体" w:eastAsia="楷体"/>
          <w:b/>
          <w:bCs/>
          <w:kern w:val="44"/>
          <w:sz w:val="32"/>
          <w:szCs w:val="30"/>
        </w:rPr>
        <w:t>（二）项目支出所实现的主要绩效</w:t>
      </w:r>
      <w:bookmarkEnd w:id="18"/>
    </w:p>
    <w:p>
      <w:pPr>
        <w:adjustRightInd w:val="0"/>
        <w:snapToGrid w:val="0"/>
        <w:spacing w:line="360" w:lineRule="auto"/>
        <w:ind w:firstLine="640" w:firstLineChars="200"/>
        <w:rPr>
          <w:rFonts w:ascii="仿宋_GB2312" w:eastAsia="仿宋_GB2312"/>
          <w:kern w:val="0"/>
          <w:sz w:val="32"/>
          <w:szCs w:val="32"/>
        </w:rPr>
      </w:pPr>
      <w:bookmarkStart w:id="19" w:name="_Hlk106784795"/>
      <w:r>
        <w:rPr>
          <w:rFonts w:hint="eastAsia" w:ascii="仿宋_GB2312" w:eastAsia="仿宋_GB2312"/>
          <w:kern w:val="0"/>
          <w:sz w:val="32"/>
          <w:szCs w:val="32"/>
        </w:rPr>
        <w:t>贯彻落实2022年养老行业重点任务清单的要求，为辖区内老年人提供各类养老服务</w:t>
      </w:r>
    </w:p>
    <w:p>
      <w:pPr>
        <w:pStyle w:val="2"/>
        <w:ind w:firstLine="320"/>
        <w:rPr>
          <w:rFonts w:ascii="仿宋_GB2312"/>
          <w:sz w:val="32"/>
          <w:szCs w:val="32"/>
        </w:rPr>
      </w:pPr>
      <w:r>
        <w:rPr>
          <w:rFonts w:hint="eastAsia" w:ascii="仿宋_GB2312"/>
          <w:sz w:val="32"/>
          <w:szCs w:val="32"/>
        </w:rPr>
        <w:t>石狮市民政局按照福建省《养老服务专项业务管理办法的通知》（闽民养老〔2019〕87号）、泉州市《泉州市民政局关于印发2021年泉州市养老服务工作要点的通知》（泉民养老〔2021〕4号）、泉州市《泉州市民政局关于印发2022年泉州市养老服务工作要点的通知》（泉民养老〔2022〕4 号）及石狮市人民政府关于印发《石狮市推进养老事业发展奖励补助标准》（狮政综〔2018〕13号）等文件要求积极响应，根据政策内容配套相应资金，并根据实际情况进行奖补，认真完成了各年度石狮市工作任务清单的要求。石狮市民政局通过奖补相关养老企业及机构，鼓励社会资本流入养老行业，创建出适应新时代养老需求的基础设施，为周边老人提高了多功能养老场所</w:t>
      </w:r>
      <w:bookmarkEnd w:id="19"/>
      <w:r>
        <w:rPr>
          <w:rFonts w:hint="eastAsia" w:ascii="仿宋_GB2312"/>
          <w:sz w:val="32"/>
          <w:szCs w:val="32"/>
        </w:rPr>
        <w:t>，提供多样养老服务。</w:t>
      </w:r>
    </w:p>
    <w:p>
      <w:pPr>
        <w:pStyle w:val="4"/>
      </w:pPr>
      <w:bookmarkStart w:id="20" w:name="_Toc142059690"/>
      <w:r>
        <w:rPr>
          <w:rFonts w:hint="eastAsia"/>
        </w:rPr>
        <w:t>四、绩效管理和实现过程分析</w:t>
      </w:r>
      <w:bookmarkEnd w:id="20"/>
    </w:p>
    <w:p>
      <w:pPr>
        <w:keepNext/>
        <w:keepLines/>
        <w:spacing w:line="560" w:lineRule="exact"/>
        <w:ind w:firstLine="642" w:firstLineChars="200"/>
        <w:outlineLvl w:val="1"/>
        <w:rPr>
          <w:rFonts w:ascii="黑体" w:hAnsi="黑体" w:eastAsia="楷体"/>
          <w:b/>
          <w:bCs/>
          <w:kern w:val="44"/>
          <w:sz w:val="32"/>
          <w:szCs w:val="30"/>
        </w:rPr>
      </w:pPr>
      <w:bookmarkStart w:id="21" w:name="_Toc142059691"/>
      <w:r>
        <w:rPr>
          <w:rFonts w:hint="eastAsia" w:ascii="黑体" w:hAnsi="黑体" w:eastAsia="楷体"/>
          <w:b/>
          <w:bCs/>
          <w:kern w:val="44"/>
          <w:sz w:val="32"/>
          <w:szCs w:val="30"/>
        </w:rPr>
        <w:t>（一）绩效目标评价分析</w:t>
      </w:r>
      <w:bookmarkEnd w:id="21"/>
    </w:p>
    <w:p>
      <w:pPr>
        <w:spacing w:line="560" w:lineRule="exact"/>
        <w:ind w:firstLine="642" w:firstLineChars="200"/>
        <w:rPr>
          <w:rFonts w:ascii="仿宋_GB2312" w:eastAsia="仿宋"/>
          <w:b/>
          <w:sz w:val="32"/>
          <w:szCs w:val="32"/>
        </w:rPr>
      </w:pPr>
      <w:r>
        <w:rPr>
          <w:rFonts w:hint="eastAsia" w:ascii="仿宋_GB2312" w:eastAsia="仿宋"/>
          <w:b/>
          <w:sz w:val="32"/>
          <w:szCs w:val="32"/>
        </w:rPr>
        <w:t>1．目标设定情况分析</w:t>
      </w:r>
    </w:p>
    <w:p>
      <w:pPr>
        <w:ind w:firstLine="648"/>
        <w:rPr>
          <w:rFonts w:ascii="仿宋_GB2312" w:eastAsia="仿宋"/>
          <w:sz w:val="32"/>
          <w:szCs w:val="32"/>
        </w:rPr>
      </w:pPr>
      <w:r>
        <w:rPr>
          <w:rFonts w:hint="eastAsia" w:ascii="仿宋_GB2312" w:eastAsia="仿宋"/>
          <w:sz w:val="32"/>
          <w:szCs w:val="32"/>
        </w:rPr>
        <w:t>根据石狮市民政局反馈，未能找到相关材料。</w:t>
      </w:r>
    </w:p>
    <w:p>
      <w:pPr>
        <w:keepNext/>
        <w:keepLines/>
        <w:spacing w:line="560" w:lineRule="exact"/>
        <w:ind w:firstLine="642" w:firstLineChars="200"/>
        <w:outlineLvl w:val="1"/>
        <w:rPr>
          <w:rFonts w:ascii="黑体" w:hAnsi="黑体" w:eastAsia="楷体"/>
          <w:b/>
          <w:bCs/>
          <w:kern w:val="44"/>
          <w:sz w:val="32"/>
          <w:szCs w:val="30"/>
        </w:rPr>
      </w:pPr>
      <w:bookmarkStart w:id="22" w:name="_Toc142059692"/>
      <w:r>
        <w:rPr>
          <w:rFonts w:hint="eastAsia" w:ascii="黑体" w:hAnsi="黑体" w:eastAsia="楷体"/>
          <w:b/>
          <w:bCs/>
          <w:kern w:val="44"/>
          <w:sz w:val="32"/>
          <w:szCs w:val="30"/>
        </w:rPr>
        <w:t>（二）预算管理评价分析</w:t>
      </w:r>
      <w:bookmarkEnd w:id="22"/>
    </w:p>
    <w:p>
      <w:pPr>
        <w:spacing w:line="560" w:lineRule="exact"/>
        <w:ind w:firstLine="642" w:firstLineChars="200"/>
        <w:rPr>
          <w:rFonts w:ascii="仿宋_GB2312" w:eastAsia="仿宋"/>
          <w:b/>
          <w:sz w:val="32"/>
          <w:szCs w:val="32"/>
        </w:rPr>
      </w:pPr>
      <w:r>
        <w:rPr>
          <w:rFonts w:hint="eastAsia" w:ascii="仿宋_GB2312" w:eastAsia="仿宋"/>
          <w:b/>
          <w:sz w:val="32"/>
          <w:szCs w:val="32"/>
        </w:rPr>
        <w:t>1.预算编制情况分析</w:t>
      </w:r>
    </w:p>
    <w:p>
      <w:pPr>
        <w:spacing w:line="360" w:lineRule="auto"/>
        <w:ind w:firstLine="640" w:firstLineChars="200"/>
        <w:rPr>
          <w:rFonts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石狮市民政局在</w:t>
      </w:r>
      <w:r>
        <w:rPr>
          <w:rFonts w:ascii="仿宋_GB2312" w:hAnsi="微软雅黑" w:eastAsia="仿宋_GB2312" w:cs="宋体"/>
          <w:color w:val="000000"/>
          <w:kern w:val="0"/>
          <w:sz w:val="32"/>
          <w:szCs w:val="32"/>
        </w:rPr>
        <w:t>进行</w:t>
      </w:r>
      <w:r>
        <w:rPr>
          <w:rFonts w:hint="eastAsia" w:ascii="仿宋_GB2312" w:hAnsi="微软雅黑" w:eastAsia="仿宋_GB2312" w:cs="宋体"/>
          <w:color w:val="000000"/>
          <w:kern w:val="0"/>
          <w:sz w:val="32"/>
          <w:szCs w:val="32"/>
        </w:rPr>
        <w:t>项目</w:t>
      </w:r>
      <w:r>
        <w:rPr>
          <w:rFonts w:ascii="仿宋_GB2312" w:hAnsi="微软雅黑" w:eastAsia="仿宋_GB2312" w:cs="宋体"/>
          <w:color w:val="000000"/>
          <w:kern w:val="0"/>
          <w:sz w:val="32"/>
          <w:szCs w:val="32"/>
        </w:rPr>
        <w:t>预算编制</w:t>
      </w:r>
      <w:r>
        <w:rPr>
          <w:rFonts w:hint="eastAsia" w:ascii="仿宋_GB2312" w:hAnsi="微软雅黑" w:eastAsia="仿宋_GB2312" w:cs="宋体"/>
          <w:color w:val="000000"/>
          <w:kern w:val="0"/>
          <w:sz w:val="32"/>
          <w:szCs w:val="32"/>
        </w:rPr>
        <w:t>时</w:t>
      </w:r>
      <w:r>
        <w:rPr>
          <w:rFonts w:ascii="仿宋_GB2312" w:hAnsi="微软雅黑" w:eastAsia="仿宋_GB2312" w:cs="宋体"/>
          <w:color w:val="000000"/>
          <w:kern w:val="0"/>
          <w:sz w:val="32"/>
          <w:szCs w:val="32"/>
        </w:rPr>
        <w:t>，</w:t>
      </w:r>
      <w:bookmarkStart w:id="23" w:name="_Hlk106782550"/>
      <w:r>
        <w:rPr>
          <w:rFonts w:hint="eastAsia" w:ascii="仿宋_GB2312" w:hAnsi="微软雅黑" w:eastAsia="仿宋_GB2312" w:cs="宋体"/>
          <w:color w:val="000000"/>
          <w:kern w:val="0"/>
          <w:sz w:val="32"/>
          <w:szCs w:val="32"/>
        </w:rPr>
        <w:t>参考往年跨年拨付情况、2</w:t>
      </w:r>
      <w:r>
        <w:rPr>
          <w:rFonts w:ascii="仿宋_GB2312" w:hAnsi="微软雅黑" w:eastAsia="仿宋_GB2312" w:cs="宋体"/>
          <w:color w:val="000000"/>
          <w:kern w:val="0"/>
          <w:sz w:val="32"/>
          <w:szCs w:val="32"/>
        </w:rPr>
        <w:t>02</w:t>
      </w:r>
      <w:r>
        <w:rPr>
          <w:rFonts w:hint="eastAsia" w:ascii="仿宋_GB2312" w:hAnsi="微软雅黑" w:eastAsia="仿宋_GB2312" w:cs="宋体"/>
          <w:color w:val="000000"/>
          <w:kern w:val="0"/>
          <w:sz w:val="32"/>
          <w:szCs w:val="32"/>
        </w:rPr>
        <w:t>1年养老服务业补助项目实际执行情况以及摸排2022年申报单位作为2</w:t>
      </w:r>
      <w:r>
        <w:rPr>
          <w:rFonts w:ascii="仿宋_GB2312" w:hAnsi="微软雅黑" w:eastAsia="仿宋_GB2312" w:cs="宋体"/>
          <w:color w:val="000000"/>
          <w:kern w:val="0"/>
          <w:sz w:val="32"/>
          <w:szCs w:val="32"/>
        </w:rPr>
        <w:t>02</w:t>
      </w:r>
      <w:r>
        <w:rPr>
          <w:rFonts w:hint="eastAsia" w:ascii="仿宋_GB2312" w:hAnsi="微软雅黑" w:eastAsia="仿宋_GB2312" w:cs="宋体"/>
          <w:color w:val="000000"/>
          <w:kern w:val="0"/>
          <w:sz w:val="32"/>
          <w:szCs w:val="32"/>
        </w:rPr>
        <w:t>2年度预算资金测算的主要依据</w:t>
      </w:r>
      <w:bookmarkEnd w:id="23"/>
      <w:r>
        <w:rPr>
          <w:rFonts w:hint="eastAsia" w:ascii="仿宋_GB2312" w:hAnsi="微软雅黑" w:eastAsia="仿宋_GB2312" w:cs="宋体"/>
          <w:color w:val="000000"/>
          <w:kern w:val="0"/>
          <w:sz w:val="32"/>
          <w:szCs w:val="32"/>
        </w:rPr>
        <w:t>。</w:t>
      </w:r>
    </w:p>
    <w:p>
      <w:pPr>
        <w:spacing w:line="560" w:lineRule="exact"/>
        <w:ind w:firstLine="642" w:firstLineChars="200"/>
        <w:rPr>
          <w:rFonts w:ascii="仿宋_GB2312" w:eastAsia="仿宋"/>
          <w:b/>
          <w:sz w:val="32"/>
          <w:szCs w:val="32"/>
        </w:rPr>
      </w:pPr>
      <w:r>
        <w:rPr>
          <w:rFonts w:hint="eastAsia" w:ascii="仿宋_GB2312" w:eastAsia="仿宋"/>
          <w:b/>
          <w:sz w:val="32"/>
          <w:szCs w:val="32"/>
        </w:rPr>
        <w:t>2.预算执行情况分析</w:t>
      </w:r>
    </w:p>
    <w:p>
      <w:pPr>
        <w:widowControl/>
        <w:shd w:val="clear" w:color="auto" w:fill="FFFFFF"/>
        <w:spacing w:line="620" w:lineRule="atLeast"/>
        <w:ind w:firstLine="640"/>
        <w:rPr>
          <w:rFonts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石狮市民政局严格</w:t>
      </w:r>
      <w:r>
        <w:rPr>
          <w:rFonts w:ascii="仿宋_GB2312" w:hAnsi="微软雅黑" w:eastAsia="仿宋_GB2312" w:cs="宋体"/>
          <w:color w:val="000000"/>
          <w:kern w:val="0"/>
          <w:sz w:val="32"/>
          <w:szCs w:val="32"/>
        </w:rPr>
        <w:t>依据</w:t>
      </w:r>
      <w:bookmarkStart w:id="24" w:name="_Hlk106782796"/>
      <w:r>
        <w:rPr>
          <w:rFonts w:hint="eastAsia" w:ascii="仿宋_GB2312" w:hAnsi="微软雅黑" w:eastAsia="仿宋_GB2312" w:cs="宋体"/>
          <w:color w:val="000000"/>
          <w:kern w:val="0"/>
          <w:sz w:val="32"/>
          <w:szCs w:val="32"/>
        </w:rPr>
        <w:t>《石狮市民政局财务管理办法》</w:t>
      </w:r>
      <w:bookmarkEnd w:id="24"/>
      <w:r>
        <w:rPr>
          <w:rFonts w:hint="eastAsia" w:ascii="仿宋_GB2312" w:hAnsi="微软雅黑" w:eastAsia="仿宋_GB2312" w:cs="宋体"/>
          <w:color w:val="000000"/>
          <w:kern w:val="0"/>
          <w:sz w:val="32"/>
          <w:szCs w:val="32"/>
        </w:rPr>
        <w:t>，</w:t>
      </w:r>
      <w:r>
        <w:rPr>
          <w:rFonts w:ascii="仿宋_GB2312" w:hAnsi="微软雅黑" w:eastAsia="仿宋_GB2312" w:cs="宋体"/>
          <w:color w:val="000000"/>
          <w:kern w:val="0"/>
          <w:sz w:val="32"/>
          <w:szCs w:val="32"/>
        </w:rPr>
        <w:t>对</w:t>
      </w:r>
      <w:r>
        <w:rPr>
          <w:rFonts w:hint="eastAsia" w:ascii="仿宋_GB2312" w:hAnsi="宋体" w:eastAsia="仿宋_GB2312" w:cs="仿宋_GB2312"/>
          <w:sz w:val="32"/>
          <w:szCs w:val="32"/>
        </w:rPr>
        <w:t>2022年度养老服务业补助项目</w:t>
      </w:r>
      <w:r>
        <w:rPr>
          <w:rFonts w:hint="eastAsia" w:ascii="仿宋_GB2312" w:hAnsi="微软雅黑" w:eastAsia="仿宋_GB2312" w:cs="宋体"/>
          <w:color w:val="000000"/>
          <w:kern w:val="0"/>
          <w:sz w:val="32"/>
          <w:szCs w:val="32"/>
        </w:rPr>
        <w:t>的预算执行</w:t>
      </w:r>
      <w:r>
        <w:rPr>
          <w:rFonts w:ascii="仿宋_GB2312" w:hAnsi="微软雅黑" w:eastAsia="仿宋_GB2312" w:cs="宋体"/>
          <w:color w:val="000000"/>
          <w:kern w:val="0"/>
          <w:sz w:val="32"/>
          <w:szCs w:val="32"/>
        </w:rPr>
        <w:t>进行把控</w:t>
      </w:r>
      <w:r>
        <w:rPr>
          <w:rFonts w:hint="eastAsia" w:ascii="仿宋_GB2312" w:hAnsi="微软雅黑" w:eastAsia="仿宋_GB2312" w:cs="宋体"/>
          <w:color w:val="000000"/>
          <w:kern w:val="0"/>
          <w:sz w:val="32"/>
          <w:szCs w:val="32"/>
        </w:rPr>
        <w:t>。</w:t>
      </w:r>
    </w:p>
    <w:p>
      <w:pPr>
        <w:spacing w:line="360" w:lineRule="auto"/>
        <w:ind w:firstLine="640" w:firstLineChars="200"/>
        <w:rPr>
          <w:rFonts w:ascii="宋体" w:hAnsi="宋体" w:cs="宋体"/>
          <w:sz w:val="24"/>
        </w:rPr>
      </w:pPr>
      <w:r>
        <w:rPr>
          <w:rFonts w:hint="eastAsia" w:ascii="仿宋_GB2312" w:hAnsi="微软雅黑" w:eastAsia="仿宋_GB2312" w:cs="宋体"/>
          <w:color w:val="000000"/>
          <w:kern w:val="0"/>
          <w:sz w:val="32"/>
          <w:szCs w:val="32"/>
        </w:rPr>
        <w:t>在项目实施过程中，由于施工方未能在约定时间内完成施工，导致验收等程序超出2022年度。民政局对该项目进行事中绩效监控时未按照实际情况及时调整预算。导致预算执行率较低。</w:t>
      </w:r>
    </w:p>
    <w:p>
      <w:pPr>
        <w:spacing w:line="560" w:lineRule="exact"/>
        <w:ind w:right="67" w:rightChars="32" w:firstLine="640" w:firstLineChars="200"/>
        <w:rPr>
          <w:rFonts w:ascii="仿宋_GB2312" w:hAnsi="微软雅黑" w:eastAsia="仿宋_GB2312" w:cs="宋体"/>
          <w:color w:val="000000"/>
          <w:kern w:val="0"/>
          <w:sz w:val="32"/>
          <w:szCs w:val="32"/>
        </w:rPr>
      </w:pPr>
      <w:r>
        <w:rPr>
          <w:rFonts w:hint="eastAsia" w:ascii="仿宋_GB2312" w:eastAsia="仿宋_GB2312"/>
          <w:sz w:val="32"/>
          <w:szCs w:val="32"/>
        </w:rPr>
        <w:t>本项目</w:t>
      </w:r>
      <w:r>
        <w:rPr>
          <w:rFonts w:ascii="仿宋_GB2312" w:eastAsia="仿宋_GB2312"/>
          <w:sz w:val="32"/>
          <w:szCs w:val="32"/>
        </w:rPr>
        <w:t>202</w:t>
      </w:r>
      <w:r>
        <w:rPr>
          <w:rFonts w:hint="eastAsia" w:ascii="仿宋_GB2312" w:eastAsia="仿宋_GB2312"/>
          <w:sz w:val="32"/>
          <w:szCs w:val="32"/>
        </w:rPr>
        <w:t>2年度全年共奖补9项申请，合计194.0148万元。2022年度预算资金为397万元，实际支出资金194.0148万元，预算执行率为48.87%。</w:t>
      </w:r>
    </w:p>
    <w:p>
      <w:pPr>
        <w:spacing w:line="360" w:lineRule="auto"/>
        <w:ind w:firstLine="642" w:firstLineChars="200"/>
        <w:rPr>
          <w:rFonts w:ascii="仿宋_GB2312" w:eastAsia="仿宋"/>
          <w:b/>
          <w:sz w:val="32"/>
          <w:szCs w:val="32"/>
        </w:rPr>
      </w:pPr>
      <w:r>
        <w:rPr>
          <w:rFonts w:hint="eastAsia" w:ascii="仿宋_GB2312" w:eastAsia="仿宋"/>
          <w:b/>
          <w:sz w:val="32"/>
          <w:szCs w:val="32"/>
        </w:rPr>
        <w:t>3.预算管理情况分析</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石狮市民政局</w:t>
      </w:r>
      <w:r>
        <w:rPr>
          <w:rFonts w:ascii="仿宋_GB2312" w:eastAsia="仿宋_GB2312"/>
          <w:sz w:val="32"/>
          <w:szCs w:val="32"/>
        </w:rPr>
        <w:t>根据</w:t>
      </w:r>
      <w:r>
        <w:rPr>
          <w:rFonts w:hint="eastAsia" w:ascii="仿宋_GB2312" w:eastAsia="仿宋_GB2312"/>
          <w:sz w:val="32"/>
          <w:szCs w:val="32"/>
        </w:rPr>
        <w:t>福建省《养老服务专项业务管理办法的通知》（闽民养老〔2019〕87号）、泉州市《泉州市民政局关于印发2021年泉州市养老服务工作要点的通知》（泉民养老〔2021〕4号）、泉州市《泉州市民政局关于印发2022年泉州市养老服务工作要点的通知》（泉民养老〔2022〕4 号）及石狮市人民政府关于印发《石狮市推进养老事业发展奖励补助标准》（狮政综〔2018〕13号）等指导文件有序开展</w:t>
      </w:r>
      <w:r>
        <w:rPr>
          <w:rFonts w:hint="eastAsia" w:ascii="仿宋_GB2312" w:hAnsi="宋体" w:eastAsia="仿宋_GB2312" w:cs="仿宋_GB2312"/>
          <w:sz w:val="32"/>
          <w:szCs w:val="32"/>
        </w:rPr>
        <w:t>2022年度养老服务业补助项目</w:t>
      </w:r>
      <w:r>
        <w:rPr>
          <w:rFonts w:hint="eastAsia" w:ascii="仿宋_GB2312" w:eastAsia="仿宋_GB231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在项目实施</w:t>
      </w:r>
      <w:r>
        <w:rPr>
          <w:rFonts w:ascii="仿宋_GB2312" w:eastAsia="仿宋_GB2312"/>
          <w:sz w:val="32"/>
          <w:szCs w:val="32"/>
        </w:rPr>
        <w:t>过程中，</w:t>
      </w:r>
      <w:r>
        <w:rPr>
          <w:rFonts w:hint="eastAsia" w:ascii="仿宋_GB2312" w:eastAsia="仿宋_GB2312"/>
          <w:sz w:val="32"/>
          <w:szCs w:val="32"/>
        </w:rPr>
        <w:t>石狮市民政局、各镇（街道）对项目进度进行实时交流，督促相关建设单位把握时间节点</w:t>
      </w:r>
      <w:r>
        <w:rPr>
          <w:rFonts w:ascii="仿宋_GB2312" w:eastAsia="仿宋_GB2312"/>
          <w:sz w:val="32"/>
          <w:szCs w:val="32"/>
        </w:rPr>
        <w:t>，对项目</w:t>
      </w:r>
      <w:r>
        <w:rPr>
          <w:rFonts w:hint="eastAsia" w:ascii="仿宋_GB2312" w:eastAsia="仿宋_GB2312"/>
          <w:sz w:val="32"/>
          <w:szCs w:val="32"/>
        </w:rPr>
        <w:t>实施</w:t>
      </w:r>
      <w:r>
        <w:rPr>
          <w:rFonts w:ascii="仿宋_GB2312" w:eastAsia="仿宋_GB2312"/>
          <w:sz w:val="32"/>
          <w:szCs w:val="32"/>
        </w:rPr>
        <w:t>进行严格监督</w:t>
      </w:r>
      <w:r>
        <w:rPr>
          <w:rFonts w:hint="eastAsia" w:ascii="仿宋_GB2312" w:eastAsia="仿宋_GB2312"/>
          <w:sz w:val="32"/>
          <w:szCs w:val="32"/>
        </w:rPr>
        <w:t>，</w:t>
      </w:r>
      <w:r>
        <w:rPr>
          <w:rFonts w:ascii="仿宋_GB2312" w:eastAsia="仿宋_GB2312"/>
          <w:sz w:val="32"/>
          <w:szCs w:val="32"/>
        </w:rPr>
        <w:t>对预算资金支出层层把关</w:t>
      </w:r>
      <w:r>
        <w:rPr>
          <w:rFonts w:hint="eastAsia" w:ascii="仿宋_GB2312" w:eastAsia="仿宋_GB2312"/>
          <w:sz w:val="32"/>
          <w:szCs w:val="32"/>
        </w:rPr>
        <w:t>，</w:t>
      </w:r>
      <w:r>
        <w:rPr>
          <w:rFonts w:ascii="仿宋_GB2312" w:eastAsia="仿宋_GB2312"/>
          <w:sz w:val="32"/>
          <w:szCs w:val="32"/>
        </w:rPr>
        <w:t>充分做到专款专用。</w:t>
      </w:r>
    </w:p>
    <w:p>
      <w:pPr>
        <w:keepNext/>
        <w:keepLines/>
        <w:spacing w:line="560" w:lineRule="exact"/>
        <w:ind w:firstLine="642" w:firstLineChars="200"/>
        <w:outlineLvl w:val="1"/>
        <w:rPr>
          <w:rFonts w:ascii="黑体" w:hAnsi="黑体" w:eastAsia="楷体"/>
          <w:b/>
          <w:bCs/>
          <w:kern w:val="44"/>
          <w:sz w:val="32"/>
          <w:szCs w:val="30"/>
        </w:rPr>
      </w:pPr>
      <w:bookmarkStart w:id="25" w:name="_Toc142059693"/>
      <w:r>
        <w:rPr>
          <w:rFonts w:hint="eastAsia" w:ascii="黑体" w:hAnsi="黑体" w:eastAsia="楷体"/>
          <w:b/>
          <w:bCs/>
          <w:kern w:val="44"/>
          <w:sz w:val="32"/>
          <w:szCs w:val="30"/>
        </w:rPr>
        <w:t>（三）决策</w:t>
      </w:r>
      <w:r>
        <w:rPr>
          <w:rFonts w:ascii="黑体" w:hAnsi="黑体" w:eastAsia="楷体"/>
          <w:b/>
          <w:bCs/>
          <w:kern w:val="44"/>
          <w:sz w:val="32"/>
          <w:szCs w:val="30"/>
        </w:rPr>
        <w:t>及过程</w:t>
      </w:r>
      <w:r>
        <w:rPr>
          <w:rFonts w:hint="eastAsia" w:ascii="黑体" w:hAnsi="黑体" w:eastAsia="楷体"/>
          <w:b/>
          <w:bCs/>
          <w:kern w:val="44"/>
          <w:sz w:val="32"/>
          <w:szCs w:val="30"/>
        </w:rPr>
        <w:t>评价</w:t>
      </w:r>
      <w:r>
        <w:rPr>
          <w:rFonts w:ascii="黑体" w:hAnsi="黑体" w:eastAsia="楷体"/>
          <w:b/>
          <w:bCs/>
          <w:kern w:val="44"/>
          <w:sz w:val="32"/>
          <w:szCs w:val="30"/>
        </w:rPr>
        <w:t>分析</w:t>
      </w:r>
      <w:bookmarkEnd w:id="25"/>
    </w:p>
    <w:p>
      <w:pPr>
        <w:adjustRightInd w:val="0"/>
        <w:snapToGrid w:val="0"/>
        <w:spacing w:line="360" w:lineRule="auto"/>
        <w:ind w:firstLine="648"/>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 xml:space="preserve"> A11立项程序规范性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w:t>
      </w:r>
      <w:r>
        <w:rPr>
          <w:rFonts w:ascii="仿宋_GB2312" w:eastAsia="仿宋_GB2312"/>
          <w:sz w:val="32"/>
          <w:szCs w:val="32"/>
        </w:rPr>
        <w:t>分值为</w:t>
      </w:r>
      <w:r>
        <w:rPr>
          <w:rFonts w:hint="eastAsia" w:ascii="仿宋_GB2312" w:eastAsia="仿宋_GB2312"/>
          <w:sz w:val="32"/>
          <w:szCs w:val="32"/>
        </w:rPr>
        <w:t>5分</w:t>
      </w:r>
      <w:r>
        <w:rPr>
          <w:rFonts w:ascii="仿宋_GB2312" w:eastAsia="仿宋_GB2312"/>
          <w:sz w:val="32"/>
          <w:szCs w:val="32"/>
        </w:rPr>
        <w:t>。</w:t>
      </w:r>
      <w:r>
        <w:rPr>
          <w:rFonts w:hint="eastAsia" w:ascii="仿宋_GB2312" w:eastAsia="仿宋_GB2312"/>
          <w:sz w:val="32"/>
          <w:szCs w:val="32"/>
        </w:rPr>
        <w:t>石狮市民政局</w:t>
      </w:r>
      <w:r>
        <w:rPr>
          <w:rFonts w:ascii="仿宋_GB2312" w:eastAsia="仿宋_GB2312"/>
          <w:sz w:val="32"/>
          <w:szCs w:val="32"/>
        </w:rPr>
        <w:t>根据</w:t>
      </w:r>
      <w:r>
        <w:rPr>
          <w:rFonts w:hint="eastAsia" w:ascii="仿宋_GB2312" w:eastAsia="仿宋_GB2312"/>
          <w:sz w:val="32"/>
          <w:szCs w:val="32"/>
        </w:rPr>
        <w:t>福建省《养老服务专项业务管理办法的通知》（闽民养老〔2019〕87号）、泉州市《泉州市民政局关于印发2021年泉州市养老服务工作要点的通知》（泉民养老〔2021〕4号）、泉州市《泉州市民政局关于印发2022年泉州市养老服务工作要点的通知》（泉民养老〔2022〕4 号）及石狮市人民政府关于印发《石狮市推进养老事业发展奖励补助标准》（狮政综〔2018〕13号）等指导文件有序开展</w:t>
      </w:r>
      <w:r>
        <w:rPr>
          <w:rFonts w:hint="eastAsia" w:ascii="仿宋_GB2312" w:hAnsi="宋体" w:eastAsia="仿宋_GB2312" w:cs="仿宋_GB2312"/>
          <w:sz w:val="32"/>
          <w:szCs w:val="32"/>
        </w:rPr>
        <w:t>2022年度养老服务业补助项目,</w:t>
      </w:r>
      <w:r>
        <w:rPr>
          <w:rFonts w:ascii="仿宋_GB2312" w:eastAsia="仿宋_GB2312"/>
          <w:sz w:val="32"/>
          <w:szCs w:val="32"/>
        </w:rPr>
        <w:t>因此</w:t>
      </w:r>
      <w:r>
        <w:rPr>
          <w:rFonts w:hint="eastAsia" w:ascii="仿宋_GB2312" w:eastAsia="仿宋_GB2312"/>
          <w:sz w:val="32"/>
          <w:szCs w:val="32"/>
        </w:rPr>
        <w:t>该指标</w:t>
      </w:r>
      <w:r>
        <w:rPr>
          <w:rFonts w:ascii="仿宋_GB2312" w:eastAsia="仿宋_GB2312"/>
          <w:sz w:val="32"/>
          <w:szCs w:val="32"/>
        </w:rPr>
        <w:t>得满分。</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2.A12立项程序规范性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该指标分值为3分。项目按照规定的程序申请设立，审批文件、材料是否符合相关要求。依据石狮市民政局提供材料显示，每项补贴都经过上级政策指导，经历过会讨论，最终形成该项目。</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3.</w:t>
      </w:r>
      <w:r>
        <w:rPr>
          <w:rFonts w:hint="eastAsia"/>
        </w:rPr>
        <w:t xml:space="preserve"> </w:t>
      </w:r>
      <w:r>
        <w:rPr>
          <w:rFonts w:hint="eastAsia" w:ascii="仿宋_GB2312" w:eastAsia="仿宋_GB2312"/>
          <w:sz w:val="32"/>
          <w:szCs w:val="32"/>
        </w:rPr>
        <w:t>A21绩效目标合理性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w:t>
      </w:r>
      <w:r>
        <w:rPr>
          <w:rFonts w:ascii="仿宋_GB2312" w:eastAsia="仿宋_GB2312"/>
          <w:sz w:val="32"/>
          <w:szCs w:val="32"/>
        </w:rPr>
        <w:t>分值为</w:t>
      </w:r>
      <w:r>
        <w:rPr>
          <w:rFonts w:hint="eastAsia" w:ascii="仿宋_GB2312" w:eastAsia="仿宋_GB2312"/>
          <w:sz w:val="32"/>
          <w:szCs w:val="32"/>
        </w:rPr>
        <w:t>3分</w:t>
      </w:r>
      <w:r>
        <w:rPr>
          <w:rFonts w:ascii="仿宋_GB2312" w:eastAsia="仿宋_GB2312"/>
          <w:sz w:val="32"/>
          <w:szCs w:val="32"/>
        </w:rPr>
        <w:t>。</w:t>
      </w:r>
      <w:r>
        <w:rPr>
          <w:rFonts w:hint="eastAsia" w:ascii="仿宋_GB2312" w:eastAsia="仿宋_GB2312"/>
          <w:sz w:val="32"/>
          <w:szCs w:val="32"/>
        </w:rPr>
        <w:t>根据石狮市民政局反馈，未能找到相应材料。但实际执行中</w:t>
      </w:r>
      <w:r>
        <w:rPr>
          <w:rFonts w:ascii="仿宋_GB2312" w:eastAsia="仿宋_GB2312"/>
          <w:sz w:val="32"/>
          <w:szCs w:val="32"/>
        </w:rPr>
        <w:t>绩效目标</w:t>
      </w:r>
      <w:r>
        <w:rPr>
          <w:rFonts w:hint="eastAsia" w:ascii="仿宋_GB2312" w:eastAsia="仿宋_GB2312"/>
          <w:sz w:val="32"/>
          <w:szCs w:val="32"/>
        </w:rPr>
        <w:t>紧贴</w:t>
      </w:r>
      <w:r>
        <w:rPr>
          <w:rFonts w:ascii="仿宋_GB2312" w:eastAsia="仿宋_GB2312"/>
          <w:sz w:val="32"/>
          <w:szCs w:val="32"/>
        </w:rPr>
        <w:t>项目实际情况，能有效</w:t>
      </w:r>
      <w:r>
        <w:rPr>
          <w:rFonts w:hint="eastAsia" w:ascii="仿宋_GB2312" w:eastAsia="仿宋_GB2312"/>
          <w:sz w:val="32"/>
          <w:szCs w:val="32"/>
        </w:rPr>
        <w:t>地</w:t>
      </w:r>
      <w:r>
        <w:rPr>
          <w:rFonts w:ascii="仿宋_GB2312" w:eastAsia="仿宋_GB2312"/>
          <w:sz w:val="32"/>
          <w:szCs w:val="32"/>
        </w:rPr>
        <w:t>反映项目实际执行过程中</w:t>
      </w:r>
      <w:r>
        <w:rPr>
          <w:rFonts w:hint="eastAsia" w:ascii="仿宋_GB2312" w:eastAsia="仿宋_GB2312"/>
          <w:sz w:val="32"/>
          <w:szCs w:val="32"/>
        </w:rPr>
        <w:t>的</w:t>
      </w:r>
      <w:r>
        <w:rPr>
          <w:rFonts w:ascii="仿宋_GB2312" w:eastAsia="仿宋_GB2312"/>
          <w:sz w:val="32"/>
          <w:szCs w:val="32"/>
        </w:rPr>
        <w:t>各项产出数量</w:t>
      </w:r>
      <w:r>
        <w:rPr>
          <w:rFonts w:hint="eastAsia" w:ascii="仿宋_GB2312" w:eastAsia="仿宋_GB2312"/>
          <w:sz w:val="32"/>
          <w:szCs w:val="32"/>
        </w:rPr>
        <w:t>、</w:t>
      </w:r>
      <w:r>
        <w:rPr>
          <w:rFonts w:ascii="仿宋_GB2312" w:eastAsia="仿宋_GB2312"/>
          <w:sz w:val="32"/>
          <w:szCs w:val="32"/>
        </w:rPr>
        <w:t>质量以及社会效益</w:t>
      </w:r>
      <w:r>
        <w:rPr>
          <w:rFonts w:hint="eastAsia" w:ascii="仿宋_GB2312" w:eastAsia="仿宋_GB2312"/>
          <w:sz w:val="32"/>
          <w:szCs w:val="32"/>
        </w:rPr>
        <w:t>，因此该指标得2分</w:t>
      </w:r>
      <w:r>
        <w:rPr>
          <w:rFonts w:ascii="仿宋_GB2312" w:eastAsia="仿宋_GB2312"/>
          <w:sz w:val="32"/>
          <w:szCs w:val="32"/>
        </w:rPr>
        <w:t>。</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4.</w:t>
      </w:r>
      <w:r>
        <w:rPr>
          <w:rFonts w:hint="eastAsia"/>
        </w:rPr>
        <w:t xml:space="preserve"> </w:t>
      </w:r>
      <w:r>
        <w:rPr>
          <w:rFonts w:hint="eastAsia" w:ascii="仿宋_GB2312" w:eastAsia="仿宋_GB2312"/>
          <w:sz w:val="32"/>
          <w:szCs w:val="32"/>
        </w:rPr>
        <w:t>A22绩效指标明确性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该指标分值</w:t>
      </w:r>
      <w:r>
        <w:rPr>
          <w:rFonts w:ascii="仿宋_GB2312" w:eastAsia="仿宋_GB2312"/>
          <w:sz w:val="32"/>
          <w:szCs w:val="32"/>
        </w:rPr>
        <w:t>为</w:t>
      </w:r>
      <w:r>
        <w:rPr>
          <w:rFonts w:hint="eastAsia" w:ascii="仿宋_GB2312" w:eastAsia="仿宋_GB2312"/>
          <w:sz w:val="32"/>
          <w:szCs w:val="32"/>
        </w:rPr>
        <w:t>3分</w:t>
      </w:r>
      <w:r>
        <w:rPr>
          <w:rFonts w:ascii="仿宋_GB2312" w:eastAsia="仿宋_GB2312"/>
          <w:sz w:val="32"/>
          <w:szCs w:val="32"/>
        </w:rPr>
        <w:t>。</w:t>
      </w:r>
      <w:r>
        <w:rPr>
          <w:rFonts w:hint="eastAsia" w:ascii="仿宋_GB2312" w:eastAsia="仿宋_GB2312"/>
          <w:sz w:val="32"/>
          <w:szCs w:val="32"/>
        </w:rPr>
        <w:t>根据石狮市民政局反馈，未能找到相应材料。但</w:t>
      </w:r>
      <w:r>
        <w:rPr>
          <w:rFonts w:ascii="仿宋_GB2312" w:eastAsia="仿宋_GB2312"/>
          <w:sz w:val="32"/>
          <w:szCs w:val="32"/>
        </w:rPr>
        <w:t>从各项业务的核心数据出发，</w:t>
      </w:r>
      <w:r>
        <w:rPr>
          <w:rFonts w:hint="eastAsia" w:ascii="仿宋_GB2312" w:eastAsia="仿宋_GB2312"/>
          <w:sz w:val="32"/>
          <w:szCs w:val="32"/>
        </w:rPr>
        <w:t>实际执行中</w:t>
      </w:r>
      <w:r>
        <w:rPr>
          <w:rFonts w:ascii="仿宋_GB2312" w:eastAsia="仿宋_GB2312"/>
          <w:sz w:val="32"/>
          <w:szCs w:val="32"/>
        </w:rPr>
        <w:t>绩效目标</w:t>
      </w:r>
      <w:r>
        <w:rPr>
          <w:rFonts w:hint="eastAsia" w:ascii="仿宋_GB2312" w:eastAsia="仿宋_GB2312"/>
          <w:sz w:val="32"/>
          <w:szCs w:val="32"/>
        </w:rPr>
        <w:t>多为</w:t>
      </w:r>
      <w:r>
        <w:rPr>
          <w:rFonts w:ascii="仿宋_GB2312" w:eastAsia="仿宋_GB2312"/>
          <w:sz w:val="32"/>
          <w:szCs w:val="32"/>
        </w:rPr>
        <w:t>量化指标，能较好衡量</w:t>
      </w:r>
      <w:r>
        <w:rPr>
          <w:rFonts w:hint="eastAsia" w:ascii="仿宋_GB2312" w:eastAsia="仿宋_GB2312"/>
          <w:sz w:val="32"/>
          <w:szCs w:val="32"/>
        </w:rPr>
        <w:t>具体业务</w:t>
      </w:r>
      <w:r>
        <w:rPr>
          <w:rFonts w:ascii="仿宋_GB2312" w:eastAsia="仿宋_GB2312"/>
          <w:sz w:val="32"/>
          <w:szCs w:val="32"/>
        </w:rPr>
        <w:t>的完成情况，清晰而明确</w:t>
      </w:r>
      <w:r>
        <w:rPr>
          <w:rFonts w:hint="eastAsia" w:ascii="仿宋_GB2312" w:eastAsia="仿宋_GB2312"/>
          <w:sz w:val="32"/>
          <w:szCs w:val="32"/>
        </w:rPr>
        <w:t>，</w:t>
      </w:r>
      <w:r>
        <w:rPr>
          <w:rFonts w:ascii="仿宋_GB2312" w:eastAsia="仿宋_GB2312"/>
          <w:sz w:val="32"/>
          <w:szCs w:val="32"/>
        </w:rPr>
        <w:t>因此</w:t>
      </w:r>
      <w:r>
        <w:rPr>
          <w:rFonts w:hint="eastAsia" w:ascii="仿宋_GB2312" w:eastAsia="仿宋_GB2312"/>
          <w:sz w:val="32"/>
          <w:szCs w:val="32"/>
        </w:rPr>
        <w:t>该指标</w:t>
      </w:r>
      <w:r>
        <w:rPr>
          <w:rFonts w:ascii="仿宋_GB2312" w:eastAsia="仿宋_GB2312"/>
          <w:sz w:val="32"/>
          <w:szCs w:val="32"/>
        </w:rPr>
        <w:t>得</w:t>
      </w:r>
      <w:r>
        <w:rPr>
          <w:rFonts w:hint="eastAsia" w:ascii="仿宋_GB2312" w:eastAsia="仿宋_GB2312"/>
          <w:sz w:val="32"/>
          <w:szCs w:val="32"/>
        </w:rPr>
        <w:t>2</w:t>
      </w:r>
      <w:r>
        <w:rPr>
          <w:rFonts w:ascii="仿宋_GB2312" w:eastAsia="仿宋_GB2312"/>
          <w:sz w:val="32"/>
          <w:szCs w:val="32"/>
        </w:rPr>
        <w:t>分。</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4.</w:t>
      </w:r>
      <w:r>
        <w:rPr>
          <w:rFonts w:hint="eastAsia"/>
        </w:rPr>
        <w:t xml:space="preserve"> </w:t>
      </w:r>
      <w:r>
        <w:rPr>
          <w:rFonts w:hint="eastAsia" w:ascii="仿宋_GB2312" w:eastAsia="仿宋_GB2312"/>
          <w:sz w:val="32"/>
          <w:szCs w:val="32"/>
        </w:rPr>
        <w:t>A31预算编制科学性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w:t>
      </w:r>
      <w:r>
        <w:rPr>
          <w:rFonts w:ascii="仿宋_GB2312" w:eastAsia="仿宋_GB2312"/>
          <w:sz w:val="32"/>
          <w:szCs w:val="32"/>
        </w:rPr>
        <w:t>分值为</w:t>
      </w:r>
      <w:r>
        <w:rPr>
          <w:rFonts w:hint="eastAsia" w:ascii="仿宋_GB2312" w:eastAsia="仿宋_GB2312"/>
          <w:sz w:val="32"/>
          <w:szCs w:val="32"/>
        </w:rPr>
        <w:t>4分。根据石狮市民政局提供材料显示，关于预算编制材料较少，并且根据实际执行情况与预算金额差距较大。经过分析判断，本项目</w:t>
      </w:r>
      <w:r>
        <w:rPr>
          <w:rFonts w:ascii="仿宋_GB2312" w:eastAsia="仿宋_GB2312"/>
          <w:sz w:val="32"/>
          <w:szCs w:val="32"/>
        </w:rPr>
        <w:t>预算编制</w:t>
      </w:r>
      <w:r>
        <w:rPr>
          <w:rFonts w:hint="eastAsia" w:ascii="仿宋_GB2312" w:eastAsia="仿宋_GB2312"/>
          <w:sz w:val="32"/>
          <w:szCs w:val="32"/>
        </w:rPr>
        <w:t>有待进一步</w:t>
      </w:r>
      <w:r>
        <w:rPr>
          <w:rFonts w:ascii="仿宋_GB2312" w:eastAsia="仿宋_GB2312"/>
          <w:sz w:val="32"/>
          <w:szCs w:val="32"/>
        </w:rPr>
        <w:t>科学计算</w:t>
      </w:r>
      <w:r>
        <w:rPr>
          <w:rFonts w:hint="eastAsia" w:ascii="仿宋_GB2312" w:eastAsia="仿宋_GB2312"/>
          <w:sz w:val="32"/>
          <w:szCs w:val="32"/>
        </w:rPr>
        <w:t>，资金额度与绩效目标吻合程度仍有改进的空间，</w:t>
      </w:r>
      <w:r>
        <w:rPr>
          <w:rFonts w:ascii="仿宋_GB2312" w:eastAsia="仿宋_GB2312"/>
          <w:sz w:val="32"/>
          <w:szCs w:val="32"/>
        </w:rPr>
        <w:t>因此</w:t>
      </w:r>
      <w:r>
        <w:rPr>
          <w:rFonts w:hint="eastAsia" w:ascii="仿宋_GB2312" w:eastAsia="仿宋_GB2312"/>
          <w:sz w:val="32"/>
          <w:szCs w:val="32"/>
        </w:rPr>
        <w:t>该指标得2分</w:t>
      </w:r>
      <w:r>
        <w:rPr>
          <w:rFonts w:ascii="仿宋_GB2312" w:eastAsia="仿宋_GB2312"/>
          <w:sz w:val="32"/>
          <w:szCs w:val="32"/>
        </w:rPr>
        <w:t>。</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w:t>
      </w:r>
      <w:r>
        <w:rPr>
          <w:rFonts w:hint="eastAsia"/>
        </w:rPr>
        <w:t xml:space="preserve"> </w:t>
      </w:r>
      <w:r>
        <w:rPr>
          <w:rFonts w:hint="eastAsia" w:ascii="仿宋_GB2312" w:eastAsia="仿宋_GB2312"/>
          <w:sz w:val="32"/>
          <w:szCs w:val="32"/>
        </w:rPr>
        <w:t>A32资金分配合理性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分值为2分。石狮市民政局依据福建省《养老服务专项业务管理办法的通知》（闽民养老〔2019〕87号）、泉州市《泉州市民政局关于印发2021年泉州市养老服务工作要点的通知》（泉民养老〔2021〕4号）、泉州市《泉州市民政局关于印发2022年泉州市养老服务工作要点的通知》（泉民养老〔2022〕4 号）及石狮市人民政府关于印发《石狮市推进养老事业发展奖励补助标准》（狮政综〔2018〕13号）等指导文件确定补贴标准，但因实际执行情况与预算金额差距较大，</w:t>
      </w:r>
      <w:r>
        <w:rPr>
          <w:rFonts w:ascii="仿宋_GB2312" w:eastAsia="仿宋_GB2312"/>
          <w:sz w:val="32"/>
          <w:szCs w:val="32"/>
        </w:rPr>
        <w:t>因此</w:t>
      </w:r>
      <w:r>
        <w:rPr>
          <w:rFonts w:hint="eastAsia" w:ascii="仿宋_GB2312" w:eastAsia="仿宋_GB2312"/>
          <w:sz w:val="32"/>
          <w:szCs w:val="32"/>
        </w:rPr>
        <w:t>该指标得1分</w:t>
      </w:r>
      <w:r>
        <w:rPr>
          <w:rFonts w:ascii="仿宋_GB2312" w:eastAsia="仿宋_GB2312"/>
          <w:sz w:val="32"/>
          <w:szCs w:val="32"/>
        </w:rPr>
        <w:t>。</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6. B11资金到位率</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该指标分值为3分。本项目资金随石狮市财政局部门预算资金一道下达</w:t>
      </w:r>
      <w:r>
        <w:rPr>
          <w:rFonts w:ascii="仿宋_GB2312" w:eastAsia="仿宋_GB2312"/>
          <w:sz w:val="32"/>
          <w:szCs w:val="32"/>
        </w:rPr>
        <w:t>，</w:t>
      </w:r>
      <w:r>
        <w:rPr>
          <w:rFonts w:hint="eastAsia" w:ascii="仿宋_GB2312" w:eastAsia="仿宋_GB2312"/>
          <w:sz w:val="32"/>
          <w:szCs w:val="32"/>
        </w:rPr>
        <w:t>项目资金100</w:t>
      </w:r>
      <w:r>
        <w:rPr>
          <w:rFonts w:ascii="仿宋_GB2312" w:eastAsia="仿宋_GB2312"/>
          <w:sz w:val="32"/>
          <w:szCs w:val="32"/>
        </w:rPr>
        <w:t>%到位</w:t>
      </w:r>
      <w:r>
        <w:rPr>
          <w:rFonts w:hint="eastAsia" w:ascii="仿宋_GB2312" w:eastAsia="仿宋_GB2312"/>
          <w:sz w:val="32"/>
          <w:szCs w:val="32"/>
        </w:rPr>
        <w:t>，</w:t>
      </w:r>
      <w:r>
        <w:rPr>
          <w:rFonts w:ascii="仿宋_GB2312" w:eastAsia="仿宋_GB2312"/>
          <w:sz w:val="32"/>
          <w:szCs w:val="32"/>
        </w:rPr>
        <w:t>因此</w:t>
      </w:r>
      <w:r>
        <w:rPr>
          <w:rFonts w:hint="eastAsia" w:ascii="仿宋_GB2312" w:eastAsia="仿宋_GB2312"/>
          <w:sz w:val="32"/>
          <w:szCs w:val="32"/>
        </w:rPr>
        <w:t>该指标</w:t>
      </w:r>
      <w:r>
        <w:rPr>
          <w:rFonts w:ascii="仿宋_GB2312" w:eastAsia="仿宋_GB2312"/>
          <w:sz w:val="32"/>
          <w:szCs w:val="32"/>
        </w:rPr>
        <w:t>得满分。</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7. B12预算执行率</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该指标分值</w:t>
      </w:r>
      <w:r>
        <w:rPr>
          <w:rFonts w:ascii="仿宋_GB2312" w:eastAsia="仿宋_GB2312"/>
          <w:sz w:val="32"/>
          <w:szCs w:val="32"/>
        </w:rPr>
        <w:t>为</w:t>
      </w:r>
      <w:r>
        <w:rPr>
          <w:rFonts w:hint="eastAsia" w:ascii="仿宋_GB2312" w:eastAsia="仿宋_GB2312"/>
          <w:sz w:val="32"/>
          <w:szCs w:val="32"/>
        </w:rPr>
        <w:t>5分</w:t>
      </w:r>
      <w:r>
        <w:rPr>
          <w:rFonts w:ascii="仿宋_GB2312" w:eastAsia="仿宋_GB2312"/>
          <w:sz w:val="32"/>
          <w:szCs w:val="32"/>
        </w:rPr>
        <w:t>。</w:t>
      </w:r>
      <w:r>
        <w:rPr>
          <w:rFonts w:hint="eastAsia" w:ascii="仿宋_GB2312" w:eastAsia="仿宋_GB2312"/>
          <w:sz w:val="32"/>
          <w:szCs w:val="32"/>
        </w:rPr>
        <w:t>本项目预算资金397万元，全年实际支出194.0148万元，预算执行率为48.87</w:t>
      </w:r>
      <w:r>
        <w:rPr>
          <w:rFonts w:ascii="仿宋_GB2312" w:eastAsia="仿宋_GB2312"/>
          <w:sz w:val="32"/>
          <w:szCs w:val="32"/>
        </w:rPr>
        <w:t>%</w:t>
      </w:r>
      <w:r>
        <w:rPr>
          <w:rFonts w:hint="eastAsia" w:ascii="仿宋_GB2312" w:eastAsia="仿宋_GB2312"/>
          <w:sz w:val="32"/>
          <w:szCs w:val="32"/>
        </w:rPr>
        <w:t>，根据预算执行率得分=（实际支出资金/实际到位资金）×100%*5，因此该指标得2.44分</w:t>
      </w:r>
      <w:r>
        <w:rPr>
          <w:rFonts w:ascii="仿宋_GB2312" w:eastAsia="仿宋_GB2312"/>
          <w:sz w:val="32"/>
          <w:szCs w:val="32"/>
        </w:rPr>
        <w:t>。</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8. B13资金使用合规性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w:t>
      </w:r>
      <w:r>
        <w:rPr>
          <w:rFonts w:ascii="仿宋_GB2312" w:eastAsia="仿宋_GB2312"/>
          <w:sz w:val="32"/>
          <w:szCs w:val="32"/>
        </w:rPr>
        <w:t>分值为</w:t>
      </w:r>
      <w:r>
        <w:rPr>
          <w:rFonts w:hint="eastAsia" w:ascii="仿宋_GB2312" w:eastAsia="仿宋_GB2312"/>
          <w:sz w:val="32"/>
          <w:szCs w:val="32"/>
        </w:rPr>
        <w:t>2分</w:t>
      </w:r>
      <w:r>
        <w:rPr>
          <w:rFonts w:ascii="仿宋_GB2312" w:eastAsia="仿宋_GB2312"/>
          <w:sz w:val="32"/>
          <w:szCs w:val="32"/>
        </w:rPr>
        <w:t>。</w:t>
      </w:r>
      <w:r>
        <w:rPr>
          <w:rFonts w:hint="eastAsia" w:ascii="仿宋_GB2312" w:eastAsia="仿宋_GB2312"/>
          <w:sz w:val="32"/>
          <w:szCs w:val="32"/>
        </w:rPr>
        <w:t>石狮市民政局严格依据</w:t>
      </w:r>
      <w:bookmarkStart w:id="26" w:name="_Hlk106782827"/>
      <w:r>
        <w:rPr>
          <w:rFonts w:hint="eastAsia" w:ascii="仿宋_GB2312" w:eastAsia="仿宋_GB2312"/>
          <w:sz w:val="32"/>
          <w:szCs w:val="32"/>
        </w:rPr>
        <w:t>《石狮市民政局财务管理办法》</w:t>
      </w:r>
      <w:bookmarkEnd w:id="26"/>
      <w:r>
        <w:rPr>
          <w:rFonts w:hint="eastAsia" w:ascii="仿宋_GB2312" w:eastAsia="仿宋_GB2312"/>
          <w:sz w:val="32"/>
          <w:szCs w:val="32"/>
        </w:rPr>
        <w:t>，对</w:t>
      </w:r>
      <w:r>
        <w:rPr>
          <w:rFonts w:hint="eastAsia" w:ascii="仿宋_GB2312" w:hAnsi="宋体" w:eastAsia="仿宋_GB2312" w:cs="仿宋_GB2312"/>
          <w:sz w:val="32"/>
          <w:szCs w:val="32"/>
        </w:rPr>
        <w:t>2022年度养老服务</w:t>
      </w:r>
      <w:r>
        <w:rPr>
          <w:rFonts w:hint="eastAsia" w:ascii="仿宋_GB2312" w:eastAsia="仿宋_GB2312"/>
          <w:sz w:val="32"/>
          <w:szCs w:val="32"/>
        </w:rPr>
        <w:t>业补助项目的预算执行进行严格、审慎的把控。但根据现场走访居家养老服务照料中心补助项目情况，资金于2022年11月11日由民政局下拨到镇政府后，镇政府于2023年6月29日之前仍未下达机构，因此</w:t>
      </w:r>
      <w:r>
        <w:rPr>
          <w:rFonts w:ascii="仿宋_GB2312" w:eastAsia="仿宋_GB2312"/>
          <w:sz w:val="32"/>
          <w:szCs w:val="32"/>
        </w:rPr>
        <w:t>该指标得</w:t>
      </w:r>
      <w:r>
        <w:rPr>
          <w:rFonts w:hint="eastAsia" w:ascii="仿宋_GB2312" w:eastAsia="仿宋_GB2312"/>
          <w:sz w:val="32"/>
          <w:szCs w:val="32"/>
        </w:rPr>
        <w:t>1.5</w:t>
      </w:r>
      <w:r>
        <w:rPr>
          <w:rFonts w:ascii="仿宋_GB2312" w:eastAsia="仿宋_GB2312"/>
          <w:sz w:val="32"/>
          <w:szCs w:val="32"/>
        </w:rPr>
        <w:t>分。</w:t>
      </w:r>
    </w:p>
    <w:p>
      <w:pPr>
        <w:adjustRightInd w:val="0"/>
        <w:snapToGrid w:val="0"/>
        <w:spacing w:line="360" w:lineRule="auto"/>
        <w:ind w:firstLine="648"/>
        <w:rPr>
          <w:rFonts w:ascii="仿宋_GB2312" w:eastAsia="仿宋_GB2312"/>
          <w:sz w:val="32"/>
          <w:szCs w:val="32"/>
        </w:rPr>
      </w:pPr>
      <w:r>
        <w:rPr>
          <w:rFonts w:ascii="仿宋_GB2312" w:eastAsia="仿宋_GB2312"/>
          <w:sz w:val="32"/>
          <w:szCs w:val="32"/>
        </w:rPr>
        <w:t>9.</w:t>
      </w:r>
      <w:r>
        <w:rPr>
          <w:rFonts w:hint="eastAsia"/>
        </w:rPr>
        <w:t xml:space="preserve"> </w:t>
      </w:r>
      <w:r>
        <w:rPr>
          <w:rFonts w:hint="eastAsia" w:ascii="仿宋_GB2312" w:eastAsia="仿宋_GB2312"/>
          <w:sz w:val="32"/>
          <w:szCs w:val="32"/>
        </w:rPr>
        <w:t>B21管理制度健全性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w:t>
      </w:r>
      <w:r>
        <w:rPr>
          <w:rFonts w:ascii="仿宋_GB2312" w:eastAsia="仿宋_GB2312"/>
          <w:sz w:val="32"/>
          <w:szCs w:val="32"/>
        </w:rPr>
        <w:t>分值为</w:t>
      </w:r>
      <w:r>
        <w:rPr>
          <w:rFonts w:hint="eastAsia" w:ascii="仿宋_GB2312" w:eastAsia="仿宋_GB2312"/>
          <w:sz w:val="32"/>
          <w:szCs w:val="32"/>
        </w:rPr>
        <w:t>5分</w:t>
      </w:r>
      <w:r>
        <w:rPr>
          <w:rFonts w:ascii="仿宋_GB2312" w:eastAsia="仿宋_GB2312"/>
          <w:sz w:val="32"/>
          <w:szCs w:val="32"/>
        </w:rPr>
        <w:t>。</w:t>
      </w:r>
      <w:r>
        <w:rPr>
          <w:rFonts w:hint="eastAsia" w:ascii="仿宋_GB2312" w:eastAsia="仿宋_GB2312"/>
          <w:sz w:val="32"/>
          <w:szCs w:val="32"/>
        </w:rPr>
        <w:t>为</w:t>
      </w:r>
      <w:r>
        <w:rPr>
          <w:rFonts w:ascii="仿宋_GB2312" w:eastAsia="仿宋_GB2312"/>
          <w:sz w:val="32"/>
          <w:szCs w:val="32"/>
        </w:rPr>
        <w:t>有效管理</w:t>
      </w:r>
      <w:r>
        <w:rPr>
          <w:rFonts w:hint="eastAsia" w:ascii="仿宋_GB2312" w:eastAsia="仿宋_GB2312"/>
          <w:sz w:val="32"/>
          <w:szCs w:val="32"/>
        </w:rPr>
        <w:t>项目支出</w:t>
      </w:r>
      <w:r>
        <w:rPr>
          <w:rFonts w:ascii="仿宋_GB2312" w:eastAsia="仿宋_GB2312"/>
          <w:sz w:val="32"/>
          <w:szCs w:val="32"/>
        </w:rPr>
        <w:t>，</w:t>
      </w:r>
      <w:r>
        <w:rPr>
          <w:rFonts w:hint="eastAsia" w:ascii="仿宋_GB2312" w:eastAsia="仿宋_GB2312"/>
          <w:sz w:val="32"/>
          <w:szCs w:val="32"/>
        </w:rPr>
        <w:t>石狮市民政局严格依据《石狮市民政局财务管理办法》。该文件规定财务管理有关内容</w:t>
      </w:r>
      <w:r>
        <w:rPr>
          <w:rFonts w:ascii="仿宋_GB2312" w:eastAsia="仿宋_GB2312"/>
          <w:sz w:val="32"/>
          <w:szCs w:val="32"/>
        </w:rPr>
        <w:t>，</w:t>
      </w:r>
      <w:r>
        <w:rPr>
          <w:rFonts w:hint="eastAsia" w:ascii="仿宋_GB2312" w:eastAsia="仿宋_GB2312"/>
          <w:sz w:val="32"/>
          <w:szCs w:val="32"/>
        </w:rPr>
        <w:t>管理制度</w:t>
      </w:r>
      <w:r>
        <w:rPr>
          <w:rFonts w:ascii="仿宋_GB2312" w:eastAsia="仿宋_GB2312"/>
          <w:sz w:val="32"/>
          <w:szCs w:val="32"/>
        </w:rPr>
        <w:t>规范、健全</w:t>
      </w:r>
      <w:r>
        <w:rPr>
          <w:rFonts w:hint="eastAsia" w:ascii="仿宋_GB2312" w:eastAsia="仿宋_GB2312"/>
          <w:sz w:val="32"/>
          <w:szCs w:val="32"/>
        </w:rPr>
        <w:t>，</w:t>
      </w:r>
      <w:r>
        <w:rPr>
          <w:rFonts w:ascii="仿宋_GB2312" w:eastAsia="仿宋_GB2312"/>
          <w:sz w:val="32"/>
          <w:szCs w:val="32"/>
        </w:rPr>
        <w:t>因此</w:t>
      </w:r>
      <w:r>
        <w:rPr>
          <w:rFonts w:hint="eastAsia" w:ascii="仿宋_GB2312" w:eastAsia="仿宋_GB2312"/>
          <w:sz w:val="32"/>
          <w:szCs w:val="32"/>
        </w:rPr>
        <w:t>该指标</w:t>
      </w:r>
      <w:r>
        <w:rPr>
          <w:rFonts w:ascii="仿宋_GB2312" w:eastAsia="仿宋_GB2312"/>
          <w:sz w:val="32"/>
          <w:szCs w:val="32"/>
        </w:rPr>
        <w:t>得满分。</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10.</w:t>
      </w:r>
      <w:r>
        <w:rPr>
          <w:rFonts w:hint="eastAsia"/>
        </w:rPr>
        <w:t xml:space="preserve"> </w:t>
      </w:r>
      <w:r>
        <w:rPr>
          <w:rFonts w:hint="eastAsia" w:ascii="仿宋_GB2312" w:eastAsia="仿宋_GB2312"/>
          <w:sz w:val="32"/>
          <w:szCs w:val="32"/>
        </w:rPr>
        <w:t>B22制度执行有效性</w:t>
      </w:r>
    </w:p>
    <w:p>
      <w:pPr>
        <w:adjustRightInd w:val="0"/>
        <w:snapToGrid w:val="0"/>
        <w:spacing w:line="360" w:lineRule="auto"/>
        <w:ind w:firstLine="648"/>
        <w:rPr>
          <w:rFonts w:ascii="仿宋_GB2312" w:eastAsia="仿宋_GB2312"/>
          <w:sz w:val="32"/>
          <w:szCs w:val="32"/>
        </w:rPr>
      </w:pPr>
      <w:r>
        <w:rPr>
          <w:rFonts w:hint="eastAsia" w:ascii="仿宋_GB2312" w:eastAsia="仿宋_GB2312"/>
          <w:sz w:val="32"/>
          <w:szCs w:val="32"/>
        </w:rPr>
        <w:t>该指标</w:t>
      </w:r>
      <w:r>
        <w:rPr>
          <w:rFonts w:ascii="仿宋_GB2312" w:eastAsia="仿宋_GB2312"/>
          <w:sz w:val="32"/>
          <w:szCs w:val="32"/>
        </w:rPr>
        <w:t>分值为</w:t>
      </w:r>
      <w:r>
        <w:rPr>
          <w:rFonts w:hint="eastAsia" w:ascii="仿宋_GB2312" w:eastAsia="仿宋_GB2312"/>
          <w:sz w:val="32"/>
          <w:szCs w:val="32"/>
        </w:rPr>
        <w:t>5分</w:t>
      </w:r>
      <w:r>
        <w:rPr>
          <w:rFonts w:ascii="仿宋_GB2312" w:eastAsia="仿宋_GB2312"/>
          <w:sz w:val="32"/>
          <w:szCs w:val="32"/>
        </w:rPr>
        <w:t>。</w:t>
      </w:r>
      <w:r>
        <w:rPr>
          <w:rFonts w:hint="eastAsia" w:ascii="仿宋_GB2312" w:eastAsia="仿宋_GB2312"/>
          <w:sz w:val="32"/>
          <w:szCs w:val="32"/>
        </w:rPr>
        <w:t>在项目实施过程中，石狮市民政局严格按照政策通知及标准执行</w:t>
      </w:r>
      <w:r>
        <w:rPr>
          <w:rFonts w:ascii="仿宋_GB2312" w:eastAsia="仿宋_GB2312"/>
          <w:sz w:val="32"/>
          <w:szCs w:val="32"/>
        </w:rPr>
        <w:t>。</w:t>
      </w:r>
      <w:r>
        <w:rPr>
          <w:rFonts w:hint="eastAsia" w:ascii="仿宋_GB2312" w:eastAsia="仿宋_GB2312"/>
          <w:sz w:val="32"/>
          <w:szCs w:val="32"/>
        </w:rPr>
        <w:t>同时严格遵守《石狮市民政局财务管理办法》等相关规定。各项制度执行严谨有效，因此该指标得满分。</w:t>
      </w:r>
    </w:p>
    <w:p>
      <w:pPr>
        <w:keepNext/>
        <w:keepLines/>
        <w:spacing w:line="560" w:lineRule="exact"/>
        <w:ind w:firstLine="642" w:firstLineChars="200"/>
        <w:outlineLvl w:val="1"/>
        <w:rPr>
          <w:rFonts w:ascii="黑体" w:hAnsi="黑体" w:eastAsia="楷体"/>
          <w:b/>
          <w:bCs/>
          <w:kern w:val="44"/>
          <w:sz w:val="32"/>
          <w:szCs w:val="30"/>
        </w:rPr>
      </w:pPr>
      <w:bookmarkStart w:id="27" w:name="_Toc142059694"/>
      <w:r>
        <w:rPr>
          <w:rFonts w:hint="eastAsia" w:ascii="黑体" w:hAnsi="黑体" w:eastAsia="楷体"/>
          <w:b/>
          <w:bCs/>
          <w:kern w:val="44"/>
          <w:sz w:val="32"/>
          <w:szCs w:val="30"/>
        </w:rPr>
        <w:t>（四）产出及效果评价分析</w:t>
      </w:r>
      <w:bookmarkEnd w:id="27"/>
    </w:p>
    <w:p>
      <w:pPr>
        <w:spacing w:line="560" w:lineRule="exact"/>
        <w:ind w:firstLine="642" w:firstLineChars="200"/>
        <w:rPr>
          <w:rFonts w:ascii="仿宋_GB2312" w:eastAsia="仿宋"/>
          <w:b/>
          <w:sz w:val="32"/>
          <w:szCs w:val="32"/>
        </w:rPr>
      </w:pPr>
      <w:r>
        <w:rPr>
          <w:rFonts w:ascii="仿宋_GB2312" w:eastAsia="仿宋"/>
          <w:b/>
          <w:sz w:val="32"/>
          <w:szCs w:val="32"/>
        </w:rPr>
        <w:t>1</w:t>
      </w:r>
      <w:r>
        <w:rPr>
          <w:rFonts w:hint="eastAsia" w:ascii="仿宋_GB2312" w:eastAsia="仿宋"/>
          <w:b/>
          <w:sz w:val="32"/>
          <w:szCs w:val="32"/>
        </w:rPr>
        <w:t>.产出完成情况分析</w:t>
      </w:r>
    </w:p>
    <w:p>
      <w:pPr>
        <w:ind w:firstLine="648"/>
        <w:rPr>
          <w:rFonts w:ascii="仿宋_GB2312" w:eastAsia="仿宋_GB2312"/>
          <w:b/>
          <w:bCs/>
          <w:color w:val="000000"/>
          <w:sz w:val="32"/>
          <w:szCs w:val="32"/>
        </w:rPr>
      </w:pPr>
      <w:r>
        <w:rPr>
          <w:rFonts w:hint="eastAsia" w:ascii="仿宋_GB2312" w:eastAsia="仿宋_GB2312"/>
          <w:b/>
          <w:color w:val="000000"/>
          <w:sz w:val="32"/>
          <w:szCs w:val="32"/>
        </w:rPr>
        <w:t>C11政策传达效果</w:t>
      </w:r>
      <w:r>
        <w:rPr>
          <w:rFonts w:hint="eastAsia" w:ascii="仿宋_GB2312" w:eastAsia="仿宋_GB2312"/>
          <w:color w:val="000000"/>
          <w:sz w:val="32"/>
          <w:szCs w:val="32"/>
        </w:rPr>
        <w:t>，指标</w:t>
      </w:r>
      <w:r>
        <w:rPr>
          <w:rFonts w:ascii="仿宋_GB2312" w:eastAsia="仿宋_GB2312"/>
          <w:color w:val="000000"/>
          <w:sz w:val="32"/>
          <w:szCs w:val="32"/>
        </w:rPr>
        <w:t>分值为</w:t>
      </w:r>
      <w:r>
        <w:rPr>
          <w:rFonts w:hint="eastAsia" w:ascii="仿宋_GB2312" w:eastAsia="仿宋_GB2312"/>
          <w:color w:val="000000"/>
          <w:sz w:val="32"/>
          <w:szCs w:val="32"/>
        </w:rPr>
        <w:t>6分</w:t>
      </w:r>
      <w:r>
        <w:rPr>
          <w:rFonts w:ascii="仿宋_GB2312" w:eastAsia="仿宋_GB2312"/>
          <w:color w:val="000000"/>
          <w:sz w:val="32"/>
          <w:szCs w:val="32"/>
        </w:rPr>
        <w:t>。</w:t>
      </w:r>
      <w:r>
        <w:rPr>
          <w:rFonts w:hint="eastAsia" w:ascii="仿宋_GB2312" w:eastAsia="仿宋_GB2312"/>
          <w:color w:val="000000"/>
          <w:sz w:val="32"/>
          <w:szCs w:val="32"/>
        </w:rPr>
        <w:t>机构知晓该政策，知道从何处找到该政策相关文件（政策解读等），并且对该政策各条款都清楚，因此该指标得满分。</w:t>
      </w:r>
    </w:p>
    <w:p>
      <w:pPr>
        <w:ind w:firstLine="648"/>
        <w:rPr>
          <w:rFonts w:ascii="仿宋_GB2312" w:eastAsia="仿宋_GB2312"/>
          <w:color w:val="000000"/>
          <w:sz w:val="32"/>
          <w:szCs w:val="32"/>
        </w:rPr>
      </w:pPr>
      <w:r>
        <w:rPr>
          <w:rFonts w:hint="eastAsia" w:ascii="仿宋_GB2312" w:eastAsia="仿宋_GB2312"/>
          <w:b/>
          <w:color w:val="000000"/>
          <w:sz w:val="32"/>
          <w:szCs w:val="32"/>
        </w:rPr>
        <w:t>C12奖励扶持完成率</w:t>
      </w:r>
      <w:r>
        <w:rPr>
          <w:rFonts w:hint="eastAsia" w:ascii="仿宋_GB2312" w:eastAsia="仿宋_GB2312"/>
          <w:color w:val="000000"/>
          <w:sz w:val="32"/>
          <w:szCs w:val="32"/>
        </w:rPr>
        <w:t>，</w:t>
      </w:r>
      <w:r>
        <w:rPr>
          <w:rFonts w:ascii="仿宋_GB2312" w:eastAsia="仿宋_GB2312"/>
          <w:color w:val="000000"/>
          <w:sz w:val="32"/>
          <w:szCs w:val="32"/>
        </w:rPr>
        <w:t>指标分值为</w:t>
      </w:r>
      <w:r>
        <w:rPr>
          <w:rFonts w:hint="eastAsia" w:ascii="仿宋_GB2312" w:eastAsia="仿宋_GB2312"/>
          <w:color w:val="000000"/>
          <w:sz w:val="32"/>
          <w:szCs w:val="32"/>
        </w:rPr>
        <w:t>6分</w:t>
      </w:r>
      <w:r>
        <w:rPr>
          <w:rFonts w:ascii="仿宋_GB2312" w:eastAsia="仿宋_GB2312"/>
          <w:color w:val="000000"/>
          <w:sz w:val="32"/>
          <w:szCs w:val="32"/>
        </w:rPr>
        <w:t>。</w:t>
      </w:r>
      <w:bookmarkStart w:id="28" w:name="_Hlk106783523"/>
      <w:r>
        <w:rPr>
          <w:rFonts w:hint="eastAsia" w:ascii="仿宋_GB2312" w:eastAsia="仿宋_GB2312"/>
          <w:color w:val="000000"/>
          <w:sz w:val="32"/>
          <w:szCs w:val="32"/>
        </w:rPr>
        <w:t>根据2022年申报的项目完成奖补情况分析，老服务业补助政策（2022奖励细则是否按计划完成，计划完成率=实际奖励扶持金额/计划奖励扶持金额*100%*6。因此该指标得2.93分。</w:t>
      </w:r>
      <w:bookmarkEnd w:id="28"/>
    </w:p>
    <w:p>
      <w:pPr>
        <w:ind w:firstLine="648"/>
        <w:rPr>
          <w:rFonts w:ascii="仿宋_GB2312" w:eastAsia="仿宋_GB2312"/>
          <w:color w:val="000000"/>
          <w:sz w:val="32"/>
          <w:szCs w:val="32"/>
        </w:rPr>
      </w:pPr>
      <w:r>
        <w:rPr>
          <w:rFonts w:hint="eastAsia" w:ascii="仿宋_GB2312" w:eastAsia="仿宋_GB2312"/>
          <w:b/>
          <w:color w:val="000000"/>
          <w:sz w:val="32"/>
          <w:szCs w:val="32"/>
        </w:rPr>
        <w:t>C13奖励补助材料合规率</w:t>
      </w:r>
      <w:r>
        <w:rPr>
          <w:rFonts w:hint="eastAsia" w:ascii="仿宋_GB2312" w:eastAsia="仿宋_GB2312"/>
          <w:color w:val="000000"/>
          <w:sz w:val="32"/>
          <w:szCs w:val="32"/>
        </w:rPr>
        <w:t>，指标</w:t>
      </w:r>
      <w:r>
        <w:rPr>
          <w:rFonts w:ascii="仿宋_GB2312" w:eastAsia="仿宋_GB2312"/>
          <w:color w:val="000000"/>
          <w:sz w:val="32"/>
          <w:szCs w:val="32"/>
        </w:rPr>
        <w:t>分值为</w:t>
      </w:r>
      <w:r>
        <w:rPr>
          <w:rFonts w:hint="eastAsia" w:ascii="仿宋_GB2312" w:eastAsia="仿宋_GB2312"/>
          <w:color w:val="000000"/>
          <w:sz w:val="32"/>
          <w:szCs w:val="32"/>
        </w:rPr>
        <w:t>6分</w:t>
      </w:r>
      <w:r>
        <w:rPr>
          <w:rFonts w:ascii="仿宋_GB2312" w:eastAsia="仿宋_GB2312"/>
          <w:color w:val="000000"/>
          <w:sz w:val="32"/>
          <w:szCs w:val="32"/>
        </w:rPr>
        <w:t>。</w:t>
      </w:r>
      <w:r>
        <w:rPr>
          <w:rFonts w:hint="eastAsia" w:ascii="仿宋_GB2312" w:eastAsia="仿宋_GB2312"/>
          <w:color w:val="000000"/>
          <w:sz w:val="32"/>
          <w:szCs w:val="32"/>
        </w:rPr>
        <w:t>根据</w:t>
      </w:r>
      <w:r>
        <w:rPr>
          <w:rFonts w:hint="eastAsia" w:ascii="仿宋_GB2312" w:eastAsia="仿宋_GB2312"/>
          <w:sz w:val="32"/>
          <w:szCs w:val="32"/>
        </w:rPr>
        <w:t>福建省《养老服务专项业务管理办法的通知》（闽民养老〔2019〕87号）显示</w:t>
      </w:r>
      <w:r>
        <w:rPr>
          <w:rFonts w:hint="eastAsia" w:ascii="仿宋_GB2312" w:eastAsia="仿宋_GB2312"/>
          <w:color w:val="000000"/>
          <w:sz w:val="32"/>
          <w:szCs w:val="32"/>
        </w:rPr>
        <w:t>民办养老机构床位运营补助要提供老人花名册等材料，但根据石狮市民政局提供材料显示，该项申请未提供全过程材料，因此判断档案保管需进一步强化，因此该指标得4分。</w:t>
      </w:r>
    </w:p>
    <w:p>
      <w:pPr>
        <w:ind w:firstLine="648"/>
        <w:rPr>
          <w:rFonts w:ascii="仿宋_GB2312" w:eastAsia="仿宋_GB2312"/>
          <w:color w:val="000000"/>
          <w:sz w:val="32"/>
          <w:szCs w:val="32"/>
        </w:rPr>
      </w:pPr>
      <w:r>
        <w:rPr>
          <w:rFonts w:hint="eastAsia" w:ascii="仿宋_GB2312" w:eastAsia="仿宋_GB2312"/>
          <w:b/>
          <w:color w:val="000000"/>
          <w:sz w:val="32"/>
          <w:szCs w:val="32"/>
        </w:rPr>
        <w:t>C14奖励补助及时率，</w:t>
      </w:r>
      <w:r>
        <w:rPr>
          <w:rFonts w:hint="eastAsia" w:ascii="仿宋_GB2312" w:eastAsia="仿宋_GB2312"/>
          <w:color w:val="000000"/>
          <w:sz w:val="32"/>
          <w:szCs w:val="32"/>
        </w:rPr>
        <w:t>指标</w:t>
      </w:r>
      <w:r>
        <w:rPr>
          <w:rFonts w:ascii="仿宋_GB2312" w:eastAsia="仿宋_GB2312"/>
          <w:color w:val="000000"/>
          <w:sz w:val="32"/>
          <w:szCs w:val="32"/>
        </w:rPr>
        <w:t>分值为</w:t>
      </w:r>
      <w:r>
        <w:rPr>
          <w:rFonts w:hint="eastAsia" w:ascii="仿宋_GB2312" w:eastAsia="仿宋_GB2312"/>
          <w:color w:val="000000"/>
          <w:sz w:val="32"/>
          <w:szCs w:val="32"/>
        </w:rPr>
        <w:t>6分</w:t>
      </w:r>
      <w:r>
        <w:rPr>
          <w:rFonts w:ascii="仿宋_GB2312" w:eastAsia="仿宋_GB2312"/>
          <w:color w:val="000000"/>
          <w:sz w:val="32"/>
          <w:szCs w:val="32"/>
        </w:rPr>
        <w:t>。</w:t>
      </w:r>
      <w:r>
        <w:rPr>
          <w:rFonts w:hint="eastAsia" w:ascii="仿宋_GB2312" w:eastAsia="仿宋_GB2312"/>
          <w:sz w:val="32"/>
          <w:szCs w:val="32"/>
        </w:rPr>
        <w:t>根据现场走访居家养老服务照料中心补助项目情况，资金于2022年11月11日由民政局下拨到镇政府后，镇政府于2023年6月29日之前仍未下达机构。参考</w:t>
      </w:r>
      <w:r>
        <w:rPr>
          <w:rFonts w:hint="eastAsia" w:ascii="仿宋_GB2312" w:eastAsia="仿宋_GB2312"/>
          <w:color w:val="000000"/>
          <w:sz w:val="32"/>
          <w:szCs w:val="32"/>
        </w:rPr>
        <w:t>根据受益机构对奖励金到位时间的满意程度进行综合评价，因此该指标得4分。</w:t>
      </w:r>
    </w:p>
    <w:p>
      <w:pPr>
        <w:spacing w:line="560" w:lineRule="exact"/>
        <w:ind w:firstLine="642" w:firstLineChars="200"/>
        <w:rPr>
          <w:rFonts w:ascii="仿宋_GB2312" w:eastAsia="仿宋"/>
          <w:b/>
          <w:sz w:val="32"/>
          <w:szCs w:val="32"/>
        </w:rPr>
      </w:pPr>
      <w:r>
        <w:rPr>
          <w:rFonts w:ascii="仿宋_GB2312" w:eastAsia="仿宋"/>
          <w:b/>
          <w:sz w:val="32"/>
          <w:szCs w:val="32"/>
        </w:rPr>
        <w:t>2</w:t>
      </w:r>
      <w:r>
        <w:rPr>
          <w:rFonts w:hint="eastAsia" w:ascii="仿宋_GB2312" w:eastAsia="仿宋"/>
          <w:b/>
          <w:sz w:val="32"/>
          <w:szCs w:val="32"/>
        </w:rPr>
        <w:t>.效果实现情况分析</w:t>
      </w:r>
    </w:p>
    <w:p>
      <w:pPr>
        <w:ind w:firstLine="648"/>
      </w:pPr>
      <w:r>
        <w:rPr>
          <w:rFonts w:hint="eastAsia" w:ascii="仿宋_GB2312" w:eastAsia="仿宋_GB2312"/>
          <w:b/>
          <w:color w:val="000000"/>
          <w:sz w:val="32"/>
          <w:szCs w:val="32"/>
        </w:rPr>
        <w:t>D11提升养老服务设施质量</w:t>
      </w:r>
      <w:r>
        <w:rPr>
          <w:rFonts w:hint="eastAsia" w:ascii="仿宋_GB2312" w:eastAsia="仿宋_GB2312"/>
          <w:color w:val="000000"/>
          <w:sz w:val="32"/>
          <w:szCs w:val="32"/>
        </w:rPr>
        <w:t>，考核该项目为老人创建的多功能养老环境，2022年度该项目补贴居家养老服务照料中心补助（蚶江）</w:t>
      </w:r>
      <w:r>
        <w:rPr>
          <w:rFonts w:ascii="仿宋_GB2312" w:eastAsia="仿宋_GB2312"/>
          <w:color w:val="000000"/>
          <w:sz w:val="32"/>
          <w:szCs w:val="32"/>
        </w:rPr>
        <w:t>，</w:t>
      </w:r>
      <w:r>
        <w:rPr>
          <w:rFonts w:hint="eastAsia" w:ascii="仿宋_GB2312" w:eastAsia="仿宋_GB2312"/>
          <w:color w:val="000000"/>
          <w:sz w:val="32"/>
          <w:szCs w:val="32"/>
        </w:rPr>
        <w:t>为当地老人创建了一所多功能养老机构，因此该指标得满分。</w:t>
      </w:r>
    </w:p>
    <w:p>
      <w:pPr>
        <w:ind w:firstLine="648"/>
        <w:rPr>
          <w:rFonts w:ascii="仿宋_GB2312" w:eastAsia="仿宋_GB2312"/>
          <w:color w:val="000000"/>
          <w:sz w:val="32"/>
          <w:szCs w:val="32"/>
        </w:rPr>
      </w:pPr>
      <w:r>
        <w:rPr>
          <w:rFonts w:hint="eastAsia" w:ascii="仿宋_GB2312" w:eastAsia="仿宋_GB2312"/>
          <w:b/>
          <w:color w:val="000000"/>
          <w:sz w:val="32"/>
          <w:szCs w:val="32"/>
        </w:rPr>
        <w:t xml:space="preserve">D12新增养老服务场所 </w:t>
      </w:r>
      <w:r>
        <w:rPr>
          <w:rFonts w:hint="eastAsia" w:ascii="仿宋_GB2312" w:eastAsia="仿宋_GB2312"/>
          <w:color w:val="000000"/>
          <w:sz w:val="32"/>
          <w:szCs w:val="32"/>
        </w:rPr>
        <w:t>，指标</w:t>
      </w:r>
      <w:r>
        <w:rPr>
          <w:rFonts w:ascii="仿宋_GB2312" w:eastAsia="仿宋_GB2312"/>
          <w:color w:val="000000"/>
          <w:sz w:val="32"/>
          <w:szCs w:val="32"/>
        </w:rPr>
        <w:t>分值为</w:t>
      </w:r>
      <w:r>
        <w:rPr>
          <w:rFonts w:hint="eastAsia" w:ascii="仿宋_GB2312" w:eastAsia="仿宋_GB2312"/>
          <w:color w:val="000000"/>
          <w:sz w:val="32"/>
          <w:szCs w:val="32"/>
        </w:rPr>
        <w:t>7分</w:t>
      </w:r>
      <w:r>
        <w:rPr>
          <w:rFonts w:ascii="仿宋_GB2312" w:eastAsia="仿宋_GB2312"/>
          <w:color w:val="000000"/>
          <w:sz w:val="32"/>
          <w:szCs w:val="32"/>
        </w:rPr>
        <w:t>。</w:t>
      </w:r>
      <w:r>
        <w:rPr>
          <w:rFonts w:hint="eastAsia" w:ascii="仿宋_GB2312" w:eastAsia="仿宋_GB2312"/>
          <w:color w:val="000000"/>
          <w:sz w:val="32"/>
          <w:szCs w:val="32"/>
        </w:rPr>
        <w:t>考核该项目为老人新增的养老服务场所情况，居家养老服务照料中心补助（蚶江）、一次性开办补助（红景天雅园）、农村幸福院项目（莲中）、农村幸福院项目（莲厝）、长者食堂项目（金埭）、长者食堂项目（洪厝）、长者食堂项目（港边）及农村幸福院项目（东店），石狮市养老场所建设得到提升，因此该指标得满分</w:t>
      </w:r>
      <w:r>
        <w:rPr>
          <w:rFonts w:ascii="仿宋_GB2312" w:eastAsia="仿宋_GB2312"/>
          <w:color w:val="000000"/>
          <w:sz w:val="32"/>
          <w:szCs w:val="32"/>
        </w:rPr>
        <w:t>。</w:t>
      </w:r>
    </w:p>
    <w:p>
      <w:pPr>
        <w:ind w:firstLine="648"/>
        <w:rPr>
          <w:rFonts w:ascii="仿宋_GB2312" w:eastAsia="仿宋_GB2312"/>
          <w:color w:val="000000"/>
          <w:sz w:val="32"/>
          <w:szCs w:val="32"/>
        </w:rPr>
      </w:pPr>
      <w:r>
        <w:rPr>
          <w:rFonts w:hint="eastAsia" w:ascii="仿宋_GB2312" w:eastAsia="仿宋_GB2312"/>
          <w:b/>
          <w:color w:val="000000"/>
          <w:sz w:val="32"/>
          <w:szCs w:val="32"/>
        </w:rPr>
        <w:t>D13增加床位数量</w:t>
      </w:r>
      <w:r>
        <w:rPr>
          <w:rFonts w:hint="eastAsia" w:ascii="仿宋_GB2312" w:eastAsia="仿宋_GB2312"/>
          <w:color w:val="000000"/>
          <w:sz w:val="32"/>
          <w:szCs w:val="32"/>
        </w:rPr>
        <w:t>，指标</w:t>
      </w:r>
      <w:r>
        <w:rPr>
          <w:rFonts w:ascii="仿宋_GB2312" w:eastAsia="仿宋_GB2312"/>
          <w:color w:val="000000"/>
          <w:sz w:val="32"/>
          <w:szCs w:val="32"/>
        </w:rPr>
        <w:t>分值为7</w:t>
      </w:r>
      <w:r>
        <w:rPr>
          <w:rFonts w:hint="eastAsia" w:ascii="仿宋_GB2312" w:eastAsia="仿宋_GB2312"/>
          <w:color w:val="000000"/>
          <w:sz w:val="32"/>
          <w:szCs w:val="32"/>
        </w:rPr>
        <w:t>分。考核该项目为老人新增的养老院床位数量，依据民政局提供材料，补贴的项目共提供244个床位，因此该指标得满分</w:t>
      </w:r>
      <w:r>
        <w:rPr>
          <w:rFonts w:ascii="仿宋_GB2312" w:eastAsia="仿宋_GB2312"/>
          <w:color w:val="000000"/>
          <w:sz w:val="32"/>
          <w:szCs w:val="32"/>
        </w:rPr>
        <w:t>。</w:t>
      </w:r>
    </w:p>
    <w:p>
      <w:pPr>
        <w:ind w:firstLine="648"/>
        <w:rPr>
          <w:rFonts w:ascii="仿宋_GB2312" w:eastAsia="仿宋_GB2312"/>
          <w:b/>
          <w:bCs/>
          <w:color w:val="000000"/>
          <w:sz w:val="32"/>
          <w:szCs w:val="32"/>
        </w:rPr>
      </w:pPr>
      <w:r>
        <w:rPr>
          <w:rFonts w:hint="eastAsia" w:ascii="仿宋_GB2312" w:eastAsia="仿宋_GB2312"/>
          <w:b/>
          <w:color w:val="000000"/>
          <w:sz w:val="32"/>
          <w:szCs w:val="32"/>
        </w:rPr>
        <w:t>D14促进养老行业发展，</w:t>
      </w:r>
      <w:r>
        <w:rPr>
          <w:rFonts w:hint="eastAsia" w:ascii="仿宋_GB2312" w:eastAsia="仿宋_GB2312"/>
          <w:color w:val="000000"/>
          <w:sz w:val="32"/>
          <w:szCs w:val="32"/>
        </w:rPr>
        <w:t>指标</w:t>
      </w:r>
      <w:r>
        <w:rPr>
          <w:rFonts w:ascii="仿宋_GB2312" w:eastAsia="仿宋_GB2312"/>
          <w:color w:val="000000"/>
          <w:sz w:val="32"/>
          <w:szCs w:val="32"/>
        </w:rPr>
        <w:t>分值为7</w:t>
      </w:r>
      <w:r>
        <w:rPr>
          <w:rFonts w:hint="eastAsia" w:ascii="仿宋_GB2312" w:eastAsia="仿宋_GB2312"/>
          <w:color w:val="000000"/>
          <w:sz w:val="32"/>
          <w:szCs w:val="32"/>
        </w:rPr>
        <w:t>分。因该项目促进养老场所的建立，能够吸引到社会力量投入养老行业，拥有完善的长期运行机制，能切实服务到周边老人群体。但因养老机构实际使用率与预期目标相差较大，因此该指标得5分</w:t>
      </w:r>
      <w:r>
        <w:rPr>
          <w:rFonts w:ascii="仿宋_GB2312" w:eastAsia="仿宋_GB2312"/>
          <w:color w:val="000000"/>
          <w:sz w:val="32"/>
          <w:szCs w:val="32"/>
        </w:rPr>
        <w:t>。</w:t>
      </w:r>
    </w:p>
    <w:p>
      <w:pPr>
        <w:ind w:firstLine="648"/>
        <w:rPr>
          <w:rFonts w:ascii="仿宋_GB2312" w:eastAsia="仿宋_GB2312"/>
          <w:color w:val="000000"/>
          <w:sz w:val="32"/>
          <w:szCs w:val="32"/>
        </w:rPr>
      </w:pPr>
      <w:r>
        <w:rPr>
          <w:rFonts w:hint="eastAsia" w:ascii="仿宋_GB2312" w:eastAsia="仿宋_GB2312"/>
          <w:b/>
          <w:color w:val="000000"/>
          <w:sz w:val="32"/>
          <w:szCs w:val="32"/>
        </w:rPr>
        <w:t>D21受益对象满意度</w:t>
      </w:r>
      <w:r>
        <w:rPr>
          <w:rFonts w:hint="eastAsia" w:ascii="仿宋_GB2312" w:eastAsia="仿宋_GB2312"/>
          <w:color w:val="000000"/>
          <w:sz w:val="32"/>
          <w:szCs w:val="32"/>
        </w:rPr>
        <w:t>，指标</w:t>
      </w:r>
      <w:r>
        <w:rPr>
          <w:rFonts w:ascii="仿宋_GB2312" w:eastAsia="仿宋_GB2312"/>
          <w:color w:val="000000"/>
          <w:sz w:val="32"/>
          <w:szCs w:val="32"/>
        </w:rPr>
        <w:t>分值为</w:t>
      </w:r>
      <w:r>
        <w:rPr>
          <w:rFonts w:hint="eastAsia" w:ascii="仿宋_GB2312" w:eastAsia="仿宋_GB2312"/>
          <w:color w:val="000000"/>
          <w:sz w:val="32"/>
          <w:szCs w:val="32"/>
        </w:rPr>
        <w:t>8分</w:t>
      </w:r>
      <w:r>
        <w:rPr>
          <w:rFonts w:ascii="仿宋_GB2312" w:eastAsia="仿宋_GB2312"/>
          <w:color w:val="000000"/>
          <w:sz w:val="32"/>
          <w:szCs w:val="32"/>
        </w:rPr>
        <w:t>。评价</w:t>
      </w:r>
      <w:r>
        <w:rPr>
          <w:rFonts w:hint="eastAsia" w:ascii="仿宋_GB2312" w:eastAsia="仿宋_GB2312"/>
          <w:color w:val="000000"/>
          <w:sz w:val="32"/>
          <w:szCs w:val="32"/>
        </w:rPr>
        <w:t>小组</w:t>
      </w:r>
      <w:r>
        <w:rPr>
          <w:rFonts w:ascii="仿宋_GB2312" w:eastAsia="仿宋_GB2312"/>
          <w:color w:val="000000"/>
          <w:sz w:val="32"/>
          <w:szCs w:val="32"/>
        </w:rPr>
        <w:t>通过</w:t>
      </w:r>
      <w:r>
        <w:rPr>
          <w:rFonts w:hint="eastAsia" w:ascii="仿宋_GB2312" w:eastAsia="仿宋_GB2312"/>
          <w:color w:val="000000"/>
          <w:sz w:val="32"/>
          <w:szCs w:val="32"/>
        </w:rPr>
        <w:t>电子问卷</w:t>
      </w:r>
      <w:r>
        <w:rPr>
          <w:rFonts w:ascii="仿宋_GB2312" w:eastAsia="仿宋_GB2312"/>
          <w:color w:val="000000"/>
          <w:sz w:val="32"/>
          <w:szCs w:val="32"/>
        </w:rPr>
        <w:t>的方式对</w:t>
      </w:r>
      <w:r>
        <w:rPr>
          <w:rFonts w:hint="eastAsia" w:ascii="仿宋_GB2312" w:eastAsia="仿宋_GB2312"/>
          <w:color w:val="000000"/>
          <w:sz w:val="32"/>
          <w:szCs w:val="32"/>
        </w:rPr>
        <w:t>受补机构</w:t>
      </w:r>
      <w:r>
        <w:rPr>
          <w:rFonts w:ascii="仿宋_GB2312" w:eastAsia="仿宋_GB2312"/>
          <w:color w:val="000000"/>
          <w:sz w:val="32"/>
          <w:szCs w:val="32"/>
        </w:rPr>
        <w:t>进行了满意度问卷调查。</w:t>
      </w:r>
      <w:r>
        <w:rPr>
          <w:rFonts w:hint="eastAsia" w:ascii="仿宋_GB2312" w:eastAsia="仿宋_GB2312"/>
          <w:color w:val="000000"/>
          <w:sz w:val="32"/>
          <w:szCs w:val="32"/>
        </w:rPr>
        <w:t>经</w:t>
      </w:r>
      <w:r>
        <w:rPr>
          <w:rFonts w:ascii="仿宋_GB2312" w:eastAsia="仿宋_GB2312"/>
          <w:color w:val="000000"/>
          <w:sz w:val="32"/>
          <w:szCs w:val="32"/>
        </w:rPr>
        <w:t>过统计测算，</w:t>
      </w:r>
      <w:r>
        <w:rPr>
          <w:rFonts w:hint="eastAsia" w:ascii="仿宋_GB2312" w:eastAsia="仿宋_GB2312"/>
          <w:color w:val="000000"/>
          <w:sz w:val="32"/>
          <w:szCs w:val="32"/>
        </w:rPr>
        <w:t>受益机构综合满意度为92.78%，因此该指标得7分。</w:t>
      </w:r>
    </w:p>
    <w:p>
      <w:pPr>
        <w:ind w:firstLine="648"/>
        <w:rPr>
          <w:rFonts w:ascii="仿宋_GB2312" w:eastAsia="仿宋_GB2312"/>
          <w:color w:val="000000"/>
          <w:sz w:val="32"/>
          <w:szCs w:val="32"/>
        </w:rPr>
      </w:pPr>
      <w:r>
        <w:rPr>
          <w:rFonts w:hint="eastAsia" w:ascii="仿宋_GB2312" w:eastAsia="仿宋_GB2312"/>
          <w:color w:val="000000"/>
          <w:sz w:val="32"/>
          <w:szCs w:val="32"/>
        </w:rPr>
        <w:t>截至2023年6月30日为止，综合满意度为92.78%%。统计结果如下：</w:t>
      </w:r>
    </w:p>
    <w:tbl>
      <w:tblPr>
        <w:tblStyle w:val="12"/>
        <w:tblW w:w="9093" w:type="dxa"/>
        <w:tblInd w:w="113" w:type="dxa"/>
        <w:tblLayout w:type="autofit"/>
        <w:tblCellMar>
          <w:top w:w="0" w:type="dxa"/>
          <w:left w:w="108" w:type="dxa"/>
          <w:bottom w:w="0" w:type="dxa"/>
          <w:right w:w="108" w:type="dxa"/>
        </w:tblCellMar>
      </w:tblPr>
      <w:tblGrid>
        <w:gridCol w:w="1016"/>
        <w:gridCol w:w="6518"/>
        <w:gridCol w:w="1559"/>
      </w:tblGrid>
      <w:tr>
        <w:tblPrEx>
          <w:tblCellMar>
            <w:top w:w="0" w:type="dxa"/>
            <w:left w:w="108" w:type="dxa"/>
            <w:bottom w:w="0" w:type="dxa"/>
            <w:right w:w="108" w:type="dxa"/>
          </w:tblCellMar>
        </w:tblPrEx>
        <w:trPr>
          <w:trHeight w:val="567" w:hRule="atLeast"/>
          <w:tblHeader/>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问题内容</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统计情况</w:t>
            </w:r>
          </w:p>
        </w:tc>
      </w:tr>
      <w:tr>
        <w:tblPrEx>
          <w:tblCellMar>
            <w:top w:w="0" w:type="dxa"/>
            <w:left w:w="108" w:type="dxa"/>
            <w:bottom w:w="0" w:type="dxa"/>
            <w:right w:w="108" w:type="dxa"/>
          </w:tblCellMar>
        </w:tblPrEx>
        <w:trPr>
          <w:trHeight w:val="567" w:hRule="atLeast"/>
        </w:trPr>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w:t>
            </w:r>
            <w:r>
              <w:rPr>
                <w:rFonts w:ascii="宋体" w:hAnsi="宋体" w:cs="宋体"/>
                <w:kern w:val="0"/>
                <w:sz w:val="24"/>
              </w:rPr>
              <w:t>1</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bCs/>
                <w:kern w:val="0"/>
                <w:sz w:val="24"/>
              </w:rPr>
              <w:t>贵机构对</w:t>
            </w:r>
            <w:r>
              <w:rPr>
                <w:rFonts w:hint="eastAsia" w:ascii="宋体" w:hAnsi="宋体"/>
                <w:bCs/>
                <w:sz w:val="24"/>
              </w:rPr>
              <w:t>2022年度养老服务业补助项目</w:t>
            </w:r>
            <w:r>
              <w:rPr>
                <w:rFonts w:hint="eastAsia" w:ascii="宋体" w:hAnsi="宋体"/>
                <w:bCs/>
                <w:kern w:val="0"/>
                <w:sz w:val="24"/>
              </w:rPr>
              <w:t>宣传和介绍工作的满意程度？</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100%</w:t>
            </w:r>
          </w:p>
        </w:tc>
      </w:tr>
      <w:tr>
        <w:tblPrEx>
          <w:tblCellMar>
            <w:top w:w="0" w:type="dxa"/>
            <w:left w:w="108" w:type="dxa"/>
            <w:bottom w:w="0" w:type="dxa"/>
            <w:right w:w="108" w:type="dxa"/>
          </w:tblCellMar>
        </w:tblPrEx>
        <w:trPr>
          <w:trHeight w:val="567" w:hRule="atLeast"/>
        </w:trPr>
        <w:tc>
          <w:tcPr>
            <w:tcW w:w="10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w:t>
            </w:r>
            <w:r>
              <w:rPr>
                <w:rFonts w:ascii="宋体" w:hAnsi="宋体" w:cs="宋体"/>
                <w:kern w:val="0"/>
                <w:sz w:val="24"/>
              </w:rPr>
              <w:t>2</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bCs/>
                <w:kern w:val="0"/>
                <w:sz w:val="24"/>
              </w:rPr>
              <w:t>贵机构对2022年度养老服务业补助项目申报过程流畅度的满意程度？</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96.67%</w:t>
            </w:r>
          </w:p>
        </w:tc>
      </w:tr>
      <w:tr>
        <w:tblPrEx>
          <w:tblCellMar>
            <w:top w:w="0" w:type="dxa"/>
            <w:left w:w="108" w:type="dxa"/>
            <w:bottom w:w="0" w:type="dxa"/>
            <w:right w:w="108" w:type="dxa"/>
          </w:tblCellMar>
        </w:tblPrEx>
        <w:trPr>
          <w:trHeight w:val="567" w:hRule="atLeast"/>
        </w:trPr>
        <w:tc>
          <w:tcPr>
            <w:tcW w:w="10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w:t>
            </w:r>
            <w:r>
              <w:rPr>
                <w:rFonts w:ascii="宋体" w:hAnsi="宋体" w:cs="宋体"/>
                <w:kern w:val="0"/>
                <w:sz w:val="24"/>
              </w:rPr>
              <w:t>3</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bCs/>
                <w:kern w:val="0"/>
                <w:sz w:val="24"/>
              </w:rPr>
              <w:t>贵机构对</w:t>
            </w:r>
            <w:r>
              <w:rPr>
                <w:rFonts w:hint="eastAsia" w:ascii="宋体" w:hAnsi="宋体"/>
                <w:bCs/>
                <w:sz w:val="24"/>
              </w:rPr>
              <w:t>2022年度养老服务业补助项目</w:t>
            </w:r>
            <w:r>
              <w:rPr>
                <w:rFonts w:hint="eastAsia" w:ascii="宋体" w:hAnsi="宋体"/>
                <w:bCs/>
                <w:kern w:val="0"/>
                <w:sz w:val="24"/>
              </w:rPr>
              <w:t>资金到位时间的满意程度</w:t>
            </w:r>
            <w:r>
              <w:rPr>
                <w:rFonts w:hint="eastAsia" w:ascii="宋体" w:hAnsi="宋体" w:cs="宋体"/>
                <w:kern w:val="0"/>
                <w:sz w:val="24"/>
              </w:rPr>
              <w:t>？</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80%</w:t>
            </w:r>
          </w:p>
        </w:tc>
      </w:tr>
      <w:tr>
        <w:tblPrEx>
          <w:tblCellMar>
            <w:top w:w="0" w:type="dxa"/>
            <w:left w:w="108" w:type="dxa"/>
            <w:bottom w:w="0" w:type="dxa"/>
            <w:right w:w="108" w:type="dxa"/>
          </w:tblCellMar>
        </w:tblPrEx>
        <w:trPr>
          <w:trHeight w:val="567" w:hRule="atLeast"/>
        </w:trPr>
        <w:tc>
          <w:tcPr>
            <w:tcW w:w="10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w:t>
            </w:r>
            <w:r>
              <w:rPr>
                <w:rFonts w:ascii="宋体" w:hAnsi="宋体" w:cs="宋体"/>
                <w:kern w:val="0"/>
                <w:sz w:val="24"/>
              </w:rPr>
              <w:t>4</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bCs/>
                <w:kern w:val="0"/>
                <w:sz w:val="24"/>
              </w:rPr>
              <w:t>贵机构对2022年度养老服务业补助项目各项条款兑现情况的满意程度？</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83.33%</w:t>
            </w:r>
          </w:p>
        </w:tc>
      </w:tr>
      <w:tr>
        <w:tblPrEx>
          <w:tblCellMar>
            <w:top w:w="0" w:type="dxa"/>
            <w:left w:w="108" w:type="dxa"/>
            <w:bottom w:w="0" w:type="dxa"/>
            <w:right w:w="108" w:type="dxa"/>
          </w:tblCellMar>
        </w:tblPrEx>
        <w:trPr>
          <w:trHeight w:val="567" w:hRule="atLeast"/>
        </w:trPr>
        <w:tc>
          <w:tcPr>
            <w:tcW w:w="10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w:t>
            </w:r>
            <w:r>
              <w:rPr>
                <w:rFonts w:ascii="宋体" w:hAnsi="宋体" w:cs="宋体"/>
                <w:kern w:val="0"/>
                <w:sz w:val="24"/>
              </w:rPr>
              <w:t>5</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bCs/>
                <w:kern w:val="0"/>
                <w:sz w:val="24"/>
              </w:rPr>
              <w:t>贵机构认为</w:t>
            </w:r>
            <w:r>
              <w:rPr>
                <w:rFonts w:hint="eastAsia" w:ascii="宋体" w:hAnsi="宋体"/>
                <w:bCs/>
                <w:sz w:val="24"/>
              </w:rPr>
              <w:t>2022年度促进养老服务业</w:t>
            </w:r>
            <w:r>
              <w:rPr>
                <w:rFonts w:hint="eastAsia" w:ascii="宋体" w:hAnsi="宋体"/>
                <w:bCs/>
                <w:sz w:val="24"/>
                <w:lang w:eastAsia="zh-CN"/>
              </w:rPr>
              <w:t>补助</w:t>
            </w:r>
            <w:r>
              <w:rPr>
                <w:rFonts w:hint="eastAsia" w:ascii="宋体" w:hAnsi="宋体"/>
                <w:bCs/>
                <w:sz w:val="24"/>
              </w:rPr>
              <w:t>项目</w:t>
            </w:r>
            <w:r>
              <w:rPr>
                <w:rFonts w:hint="eastAsia" w:ascii="宋体" w:hAnsi="宋体"/>
                <w:bCs/>
                <w:kern w:val="0"/>
                <w:sz w:val="24"/>
              </w:rPr>
              <w:t>对场地建设的促进作用是否显著？</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100%</w:t>
            </w:r>
          </w:p>
        </w:tc>
      </w:tr>
      <w:tr>
        <w:tblPrEx>
          <w:tblCellMar>
            <w:top w:w="0" w:type="dxa"/>
            <w:left w:w="108" w:type="dxa"/>
            <w:bottom w:w="0" w:type="dxa"/>
            <w:right w:w="108" w:type="dxa"/>
          </w:tblCellMar>
        </w:tblPrEx>
        <w:trPr>
          <w:trHeight w:val="567" w:hRule="atLeast"/>
        </w:trPr>
        <w:tc>
          <w:tcPr>
            <w:tcW w:w="10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w:t>
            </w:r>
            <w:r>
              <w:rPr>
                <w:rFonts w:ascii="宋体" w:hAnsi="宋体" w:cs="宋体"/>
                <w:kern w:val="0"/>
                <w:sz w:val="24"/>
              </w:rPr>
              <w:t>6</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bCs/>
                <w:kern w:val="0"/>
                <w:sz w:val="24"/>
              </w:rPr>
              <w:t>贵机构对</w:t>
            </w:r>
            <w:r>
              <w:rPr>
                <w:rFonts w:hint="eastAsia" w:ascii="宋体" w:hAnsi="宋体"/>
                <w:bCs/>
                <w:sz w:val="24"/>
              </w:rPr>
              <w:t>2022年度促进养老服务业补助项目</w:t>
            </w:r>
            <w:r>
              <w:rPr>
                <w:rFonts w:hint="eastAsia" w:ascii="宋体" w:hAnsi="宋体"/>
                <w:bCs/>
                <w:kern w:val="0"/>
                <w:sz w:val="24"/>
              </w:rPr>
              <w:t>验收标准的满意程度？</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96.67%</w:t>
            </w:r>
          </w:p>
        </w:tc>
      </w:tr>
      <w:tr>
        <w:tblPrEx>
          <w:tblCellMar>
            <w:top w:w="0" w:type="dxa"/>
            <w:left w:w="108" w:type="dxa"/>
            <w:bottom w:w="0" w:type="dxa"/>
            <w:right w:w="108" w:type="dxa"/>
          </w:tblCellMar>
        </w:tblPrEx>
        <w:trPr>
          <w:trHeight w:val="567" w:hRule="atLeast"/>
        </w:trPr>
        <w:tc>
          <w:tcPr>
            <w:tcW w:w="10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问题7</w:t>
            </w:r>
          </w:p>
        </w:tc>
        <w:tc>
          <w:tcPr>
            <w:tcW w:w="651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bCs/>
                <w:kern w:val="0"/>
                <w:sz w:val="24"/>
              </w:rPr>
            </w:pPr>
            <w:r>
              <w:rPr>
                <w:rFonts w:hint="eastAsia" w:ascii="宋体" w:hAnsi="宋体"/>
                <w:bCs/>
                <w:kern w:val="0"/>
                <w:sz w:val="24"/>
              </w:rPr>
              <w:t>2022年度促进养老服务业补助项目如果需要调整或改进，贵机构希望哪些方面得到改进或调整？</w:t>
            </w:r>
          </w:p>
          <w:p>
            <w:pPr>
              <w:widowControl/>
              <w:jc w:val="left"/>
              <w:rPr>
                <w:rFonts w:ascii="宋体" w:hAnsi="宋体"/>
                <w:bCs/>
                <w:kern w:val="0"/>
                <w:sz w:val="24"/>
              </w:rPr>
            </w:pPr>
            <w:r>
              <w:rPr>
                <w:rFonts w:hint="eastAsia" w:ascii="宋体" w:hAnsi="宋体"/>
                <w:bCs/>
                <w:kern w:val="0"/>
                <w:sz w:val="24"/>
              </w:rPr>
              <w:t>A申报过程（申报程序、疑问解答）</w:t>
            </w:r>
            <w:r>
              <w:rPr>
                <w:rFonts w:hint="eastAsia" w:ascii="宋体" w:hAnsi="宋体"/>
                <w:bCs/>
                <w:kern w:val="0"/>
                <w:sz w:val="24"/>
              </w:rPr>
              <w:tab/>
            </w:r>
          </w:p>
          <w:p>
            <w:pPr>
              <w:widowControl/>
              <w:jc w:val="left"/>
              <w:rPr>
                <w:rFonts w:ascii="宋体" w:hAnsi="宋体"/>
                <w:bCs/>
                <w:kern w:val="0"/>
                <w:sz w:val="24"/>
              </w:rPr>
            </w:pPr>
            <w:r>
              <w:rPr>
                <w:rFonts w:hint="eastAsia" w:ascii="宋体" w:hAnsi="宋体"/>
                <w:bCs/>
                <w:kern w:val="0"/>
                <w:sz w:val="24"/>
              </w:rPr>
              <w:t>B扶持力度</w:t>
            </w:r>
            <w:r>
              <w:rPr>
                <w:rFonts w:ascii="宋体" w:hAnsi="宋体"/>
                <w:bCs/>
                <w:kern w:val="0"/>
                <w:sz w:val="24"/>
              </w:rPr>
              <w:t xml:space="preserve"> </w:t>
            </w:r>
            <w:r>
              <w:rPr>
                <w:rFonts w:hint="eastAsia" w:ascii="宋体" w:hAnsi="宋体"/>
                <w:bCs/>
                <w:kern w:val="0"/>
                <w:sz w:val="24"/>
              </w:rPr>
              <w:t>C资金拨付及时性</w:t>
            </w:r>
            <w:r>
              <w:rPr>
                <w:rFonts w:hint="eastAsia" w:ascii="宋体" w:hAnsi="宋体"/>
                <w:bCs/>
                <w:kern w:val="0"/>
                <w:sz w:val="24"/>
              </w:rPr>
              <w:tab/>
            </w:r>
            <w:r>
              <w:rPr>
                <w:rFonts w:hint="eastAsia" w:ascii="宋体" w:hAnsi="宋体"/>
                <w:bCs/>
                <w:kern w:val="0"/>
                <w:sz w:val="24"/>
              </w:rPr>
              <w:t>D扶持方向丰富性</w:t>
            </w:r>
          </w:p>
        </w:tc>
        <w:tc>
          <w:tcPr>
            <w:tcW w:w="1559"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其中，</w:t>
            </w:r>
            <w:r>
              <w:rPr>
                <w:rFonts w:hint="eastAsia" w:ascii="宋体" w:hAnsi="宋体"/>
                <w:bCs/>
                <w:kern w:val="0"/>
                <w:sz w:val="24"/>
              </w:rPr>
              <w:t>扶持力度与资金拨付及时性被选择次数最多</w:t>
            </w:r>
          </w:p>
        </w:tc>
      </w:tr>
      <w:tr>
        <w:tblPrEx>
          <w:tblCellMar>
            <w:top w:w="0" w:type="dxa"/>
            <w:left w:w="108" w:type="dxa"/>
            <w:bottom w:w="0" w:type="dxa"/>
            <w:right w:w="108" w:type="dxa"/>
          </w:tblCellMar>
        </w:tblPrEx>
        <w:trPr>
          <w:trHeight w:val="567" w:hRule="atLeast"/>
        </w:trPr>
        <w:tc>
          <w:tcPr>
            <w:tcW w:w="75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综合满意度</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92.78%</w:t>
            </w:r>
          </w:p>
        </w:tc>
      </w:tr>
    </w:tbl>
    <w:p>
      <w:pPr>
        <w:keepNext/>
        <w:keepLines/>
        <w:spacing w:line="560" w:lineRule="exact"/>
        <w:ind w:firstLine="420" w:firstLineChars="200"/>
        <w:outlineLvl w:val="0"/>
      </w:pPr>
      <w:r>
        <w:tab/>
      </w:r>
      <w:bookmarkStart w:id="29" w:name="_Toc142059695"/>
      <w:r>
        <w:rPr>
          <w:rFonts w:hint="eastAsia" w:ascii="黑体" w:eastAsia="黑体"/>
          <w:bCs/>
          <w:snapToGrid w:val="0"/>
          <w:kern w:val="0"/>
          <w:sz w:val="36"/>
          <w:szCs w:val="36"/>
        </w:rPr>
        <w:t>五、存在的主要问题</w:t>
      </w:r>
      <w:bookmarkEnd w:id="29"/>
    </w:p>
    <w:p>
      <w:pPr>
        <w:keepNext/>
        <w:keepLines/>
        <w:spacing w:line="560" w:lineRule="exact"/>
        <w:ind w:firstLine="642" w:firstLineChars="200"/>
        <w:outlineLvl w:val="1"/>
        <w:rPr>
          <w:rFonts w:ascii="黑体" w:hAnsi="黑体" w:eastAsia="楷体"/>
          <w:b/>
          <w:bCs/>
          <w:kern w:val="44"/>
          <w:sz w:val="32"/>
          <w:szCs w:val="30"/>
        </w:rPr>
      </w:pPr>
      <w:bookmarkStart w:id="30" w:name="_Toc142059696"/>
      <w:r>
        <w:rPr>
          <w:rFonts w:hint="eastAsia" w:ascii="黑体" w:hAnsi="黑体" w:eastAsia="楷体"/>
          <w:b/>
          <w:bCs/>
          <w:kern w:val="44"/>
          <w:sz w:val="32"/>
          <w:szCs w:val="30"/>
        </w:rPr>
        <w:t>（一）部分项目未验收款项提前拨付</w:t>
      </w:r>
      <w:bookmarkEnd w:id="30"/>
    </w:p>
    <w:tbl>
      <w:tblPr>
        <w:tblStyle w:val="12"/>
        <w:tblW w:w="4952" w:type="pct"/>
        <w:tblInd w:w="0" w:type="dxa"/>
        <w:tblLayout w:type="fixed"/>
        <w:tblCellMar>
          <w:top w:w="0" w:type="dxa"/>
          <w:left w:w="108" w:type="dxa"/>
          <w:bottom w:w="0" w:type="dxa"/>
          <w:right w:w="108" w:type="dxa"/>
        </w:tblCellMar>
      </w:tblPr>
      <w:tblGrid>
        <w:gridCol w:w="630"/>
        <w:gridCol w:w="2202"/>
        <w:gridCol w:w="2052"/>
        <w:gridCol w:w="1761"/>
        <w:gridCol w:w="1795"/>
      </w:tblGrid>
      <w:tr>
        <w:tblPrEx>
          <w:tblCellMar>
            <w:top w:w="0" w:type="dxa"/>
            <w:left w:w="108" w:type="dxa"/>
            <w:bottom w:w="0" w:type="dxa"/>
            <w:right w:w="108" w:type="dxa"/>
          </w:tblCellMar>
        </w:tblPrEx>
        <w:trPr>
          <w:trHeight w:val="280" w:hRule="atLeast"/>
          <w:tblHead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b/>
                <w:bCs/>
                <w:color w:val="000000"/>
                <w:kern w:val="0"/>
                <w:sz w:val="30"/>
                <w:szCs w:val="30"/>
                <w:lang w:bidi="ar"/>
              </w:rPr>
              <w:t>石狮市民政局养老服务业补助项目验收及拨付日期表</w:t>
            </w:r>
          </w:p>
        </w:tc>
      </w:tr>
      <w:tr>
        <w:tblPrEx>
          <w:tblCellMar>
            <w:top w:w="0" w:type="dxa"/>
            <w:left w:w="108" w:type="dxa"/>
            <w:bottom w:w="0" w:type="dxa"/>
            <w:right w:w="108" w:type="dxa"/>
          </w:tblCellMar>
        </w:tblPrEx>
        <w:trPr>
          <w:trHeight w:val="280" w:hRule="atLeast"/>
          <w:tblHeader/>
        </w:trPr>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序号</w:t>
            </w:r>
          </w:p>
        </w:tc>
        <w:tc>
          <w:tcPr>
            <w:tcW w:w="1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项目名称</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验收日期</w:t>
            </w:r>
          </w:p>
        </w:tc>
        <w:tc>
          <w:tcPr>
            <w:tcW w:w="10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石狮市民政局</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拨款日期</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补贴金额</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（万元）</w:t>
            </w:r>
          </w:p>
        </w:tc>
      </w:tr>
      <w:tr>
        <w:tblPrEx>
          <w:tblCellMar>
            <w:top w:w="0" w:type="dxa"/>
            <w:left w:w="108" w:type="dxa"/>
            <w:bottom w:w="0" w:type="dxa"/>
            <w:right w:w="108" w:type="dxa"/>
          </w:tblCellMar>
        </w:tblPrEx>
        <w:trPr>
          <w:trHeight w:val="280" w:hRule="atLeast"/>
        </w:trPr>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ascii="宋体" w:hAnsi="宋体" w:cs="宋体"/>
                <w:color w:val="000000"/>
                <w:kern w:val="0"/>
                <w:sz w:val="22"/>
                <w:szCs w:val="22"/>
                <w:lang w:bidi="ar"/>
              </w:rPr>
              <w:t>1</w:t>
            </w:r>
          </w:p>
        </w:tc>
        <w:tc>
          <w:tcPr>
            <w:tcW w:w="1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2022年长者食堂</w:t>
            </w:r>
          </w:p>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项目（港边）</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2023.6</w:t>
            </w:r>
          </w:p>
        </w:tc>
        <w:tc>
          <w:tcPr>
            <w:tcW w:w="10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w:t>
            </w:r>
            <w:r>
              <w:rPr>
                <w:rFonts w:ascii="宋体" w:hAnsi="宋体" w:cs="宋体"/>
                <w:color w:val="000000"/>
                <w:kern w:val="0"/>
                <w:sz w:val="22"/>
                <w:szCs w:val="22"/>
                <w:lang w:bidi="ar"/>
              </w:rPr>
              <w:t>12.19</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r>
      <w:tr>
        <w:tblPrEx>
          <w:tblCellMar>
            <w:top w:w="0" w:type="dxa"/>
            <w:left w:w="108" w:type="dxa"/>
            <w:bottom w:w="0" w:type="dxa"/>
            <w:right w:w="108" w:type="dxa"/>
          </w:tblCellMar>
        </w:tblPrEx>
        <w:trPr>
          <w:trHeight w:val="280" w:hRule="atLeast"/>
        </w:trPr>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ascii="宋体" w:hAnsi="宋体" w:cs="宋体"/>
                <w:color w:val="000000"/>
                <w:kern w:val="0"/>
                <w:sz w:val="22"/>
                <w:szCs w:val="22"/>
                <w:lang w:bidi="ar"/>
              </w:rPr>
              <w:t>2</w:t>
            </w:r>
          </w:p>
        </w:tc>
        <w:tc>
          <w:tcPr>
            <w:tcW w:w="1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2022年农村幸福院项目（东店）</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2023.07-2023.08</w:t>
            </w:r>
          </w:p>
        </w:tc>
        <w:tc>
          <w:tcPr>
            <w:tcW w:w="10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2022.12.19</w:t>
            </w:r>
          </w:p>
        </w:tc>
        <w:tc>
          <w:tcPr>
            <w:tcW w:w="10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r>
    </w:tbl>
    <w:p>
      <w:pPr>
        <w:widowControl/>
        <w:ind w:firstLine="640" w:firstLineChars="200"/>
        <w:jc w:val="left"/>
        <w:textAlignment w:val="center"/>
        <w:rPr>
          <w:rFonts w:ascii="仿宋_GB2312" w:eastAsia="仿宋_GB2312"/>
          <w:sz w:val="32"/>
          <w:szCs w:val="32"/>
        </w:rPr>
      </w:pPr>
      <w:r>
        <w:rPr>
          <w:rFonts w:hint="eastAsia" w:ascii="仿宋_GB2312" w:eastAsia="仿宋_GB2312"/>
          <w:sz w:val="32"/>
          <w:szCs w:val="32"/>
        </w:rPr>
        <w:t>根据石狮市民政局提供数据与现场走访情况显示，港边长者食堂项目与东店农村幸福院项目有出现提前支付情况。</w:t>
      </w:r>
    </w:p>
    <w:p>
      <w:pPr>
        <w:keepNext/>
        <w:keepLines/>
        <w:spacing w:line="560" w:lineRule="exact"/>
        <w:ind w:firstLine="642" w:firstLineChars="200"/>
        <w:outlineLvl w:val="1"/>
        <w:rPr>
          <w:rFonts w:ascii="黑体" w:hAnsi="黑体" w:eastAsia="楷体"/>
          <w:b/>
          <w:bCs/>
          <w:kern w:val="44"/>
          <w:sz w:val="32"/>
          <w:szCs w:val="30"/>
        </w:rPr>
      </w:pPr>
      <w:bookmarkStart w:id="31" w:name="_Toc142059697"/>
      <w:r>
        <w:rPr>
          <w:rFonts w:hint="eastAsia" w:ascii="黑体" w:hAnsi="黑体" w:eastAsia="楷体"/>
          <w:b/>
          <w:bCs/>
          <w:kern w:val="44"/>
          <w:sz w:val="32"/>
          <w:szCs w:val="30"/>
        </w:rPr>
        <w:t>（二）蚶江镇收到财政资金未及时拨付至项目单位</w:t>
      </w:r>
      <w:bookmarkEnd w:id="31"/>
    </w:p>
    <w:p>
      <w:pPr>
        <w:widowControl/>
        <w:ind w:firstLine="640" w:firstLineChars="200"/>
        <w:rPr>
          <w:rFonts w:ascii="仿宋_GB2312" w:eastAsia="仿宋_GB2312"/>
          <w:sz w:val="32"/>
          <w:szCs w:val="32"/>
        </w:rPr>
      </w:pPr>
      <w:r>
        <w:rPr>
          <w:rFonts w:hint="eastAsia" w:ascii="仿宋_GB2312" w:eastAsia="仿宋_GB2312"/>
          <w:sz w:val="32"/>
          <w:szCs w:val="32"/>
        </w:rPr>
        <w:t>2020年居家养老服务照料中心（蚶江）项目，项目单位：蚶江居家养老照料中心，于2021年建设与验收完毕，根据《泉</w:t>
      </w:r>
      <w:r>
        <w:rPr>
          <w:rFonts w:ascii="仿宋_GB2312" w:eastAsia="仿宋_GB2312"/>
          <w:sz w:val="32"/>
          <w:szCs w:val="32"/>
        </w:rPr>
        <w:t>州市财政局 泉州市民政局关于下达2020年度农村居家养老服务站 (农村幸福院)和居家社区养老服务照料中心市级补助资金的通知</w:t>
      </w:r>
      <w:r>
        <w:rPr>
          <w:rFonts w:hint="eastAsia" w:ascii="仿宋_GB2312" w:eastAsia="仿宋_GB2312"/>
          <w:sz w:val="32"/>
          <w:szCs w:val="32"/>
        </w:rPr>
        <w:t>》（泉</w:t>
      </w:r>
      <w:r>
        <w:rPr>
          <w:rFonts w:ascii="仿宋_GB2312" w:eastAsia="仿宋_GB2312"/>
          <w:sz w:val="32"/>
          <w:szCs w:val="32"/>
        </w:rPr>
        <w:t>财指标</w:t>
      </w:r>
      <w:r>
        <w:rPr>
          <w:rFonts w:hint="eastAsia" w:ascii="仿宋_GB2312" w:eastAsia="仿宋_GB2312"/>
          <w:sz w:val="32"/>
          <w:szCs w:val="32"/>
        </w:rPr>
        <w:t>〔2020〕0148</w:t>
      </w:r>
      <w:r>
        <w:rPr>
          <w:rFonts w:ascii="仿宋_GB2312" w:eastAsia="仿宋_GB2312"/>
          <w:sz w:val="32"/>
          <w:szCs w:val="32"/>
        </w:rPr>
        <w:t xml:space="preserve"> 号</w:t>
      </w:r>
      <w:r>
        <w:rPr>
          <w:rFonts w:hint="eastAsia" w:ascii="仿宋_GB2312" w:eastAsia="仿宋_GB2312"/>
          <w:sz w:val="32"/>
          <w:szCs w:val="32"/>
        </w:rPr>
        <w:t>）文件显示，该项目能够申请</w:t>
      </w:r>
      <w:r>
        <w:rPr>
          <w:rFonts w:ascii="仿宋_GB2312" w:eastAsia="仿宋_GB2312"/>
          <w:sz w:val="32"/>
          <w:szCs w:val="32"/>
        </w:rPr>
        <w:t>补助60万元，市、县(市、区)两级财政按</w:t>
      </w:r>
      <w:r>
        <w:rPr>
          <w:rFonts w:hint="eastAsia" w:ascii="仿宋_GB2312" w:eastAsia="仿宋_GB2312"/>
          <w:sz w:val="32"/>
          <w:szCs w:val="32"/>
        </w:rPr>
        <w:t>1：</w:t>
      </w:r>
      <w:r>
        <w:rPr>
          <w:rFonts w:ascii="仿宋_GB2312" w:eastAsia="仿宋_GB2312"/>
          <w:sz w:val="32"/>
          <w:szCs w:val="32"/>
        </w:rPr>
        <w:t>1比例负担</w:t>
      </w:r>
      <w:r>
        <w:rPr>
          <w:rFonts w:hint="eastAsia" w:ascii="仿宋_GB2312" w:eastAsia="仿宋_GB2312"/>
          <w:sz w:val="32"/>
          <w:szCs w:val="32"/>
        </w:rPr>
        <w:t>。泉州市与石狮市民政局均已于2022年11月11日前验收完毕并拨付资金至蚶江镇人民政府，截至2022年12月31日，蚶江居家养老照料中心未收到该项资金。</w:t>
      </w:r>
    </w:p>
    <w:p>
      <w:pPr>
        <w:spacing w:line="560" w:lineRule="exact"/>
        <w:ind w:firstLine="642" w:firstLineChars="200"/>
        <w:outlineLvl w:val="1"/>
        <w:rPr>
          <w:rFonts w:ascii="黑体" w:hAnsi="黑体" w:eastAsia="楷体"/>
          <w:b/>
          <w:bCs/>
          <w:kern w:val="44"/>
          <w:sz w:val="32"/>
          <w:szCs w:val="30"/>
        </w:rPr>
      </w:pPr>
      <w:bookmarkStart w:id="32" w:name="_Toc142059698"/>
      <w:r>
        <w:rPr>
          <w:rFonts w:hint="eastAsia" w:ascii="黑体" w:hAnsi="黑体" w:eastAsia="楷体"/>
          <w:b/>
          <w:bCs/>
          <w:kern w:val="44"/>
          <w:sz w:val="32"/>
          <w:szCs w:val="30"/>
        </w:rPr>
        <w:t>（三）养老场所使用率有待进一步提升</w:t>
      </w:r>
      <w:bookmarkEnd w:id="32"/>
    </w:p>
    <w:tbl>
      <w:tblPr>
        <w:tblStyle w:val="12"/>
        <w:tblW w:w="5000" w:type="pct"/>
        <w:jc w:val="center"/>
        <w:tblLayout w:type="fixed"/>
        <w:tblCellMar>
          <w:top w:w="0" w:type="dxa"/>
          <w:left w:w="108" w:type="dxa"/>
          <w:bottom w:w="0" w:type="dxa"/>
          <w:right w:w="108" w:type="dxa"/>
        </w:tblCellMar>
      </w:tblPr>
      <w:tblGrid>
        <w:gridCol w:w="869"/>
        <w:gridCol w:w="4224"/>
        <w:gridCol w:w="1309"/>
        <w:gridCol w:w="2120"/>
      </w:tblGrid>
      <w:tr>
        <w:tblPrEx>
          <w:tblCellMar>
            <w:top w:w="0" w:type="dxa"/>
            <w:left w:w="108" w:type="dxa"/>
            <w:bottom w:w="0" w:type="dxa"/>
            <w:right w:w="108" w:type="dxa"/>
          </w:tblCellMar>
        </w:tblPrEx>
        <w:trPr>
          <w:trHeight w:val="567" w:hRule="atLeast"/>
          <w:tblHeader/>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序号</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项目名称</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建造床位、餐位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每月服务老人数量（人次）</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民办养老机构床位运营补助</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2020年居家养老服务照料中心（蚶江）</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100床位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2021年度一次性开办补助（红景天雅园）</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364床位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r>
              <w:rPr>
                <w:rFonts w:hint="eastAsia" w:ascii="宋体" w:hAnsi="宋体" w:cs="宋体"/>
                <w:color w:val="000000"/>
                <w:szCs w:val="21"/>
              </w:rPr>
              <w:t>-</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2021年农村幸福院项目（莲中）</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18床位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90</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2021年农村幸福院项目（莲厝）</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10床位、60餐位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255</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2021年长者食堂项目（金埭）</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80餐位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2800</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2021年长者食堂项目（洪厝）</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10床位、50餐位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280</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2022年长者食堂项目（港边）</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60床位、250餐位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8500</w:t>
            </w:r>
          </w:p>
        </w:tc>
      </w:tr>
      <w:tr>
        <w:tblPrEx>
          <w:tblCellMar>
            <w:top w:w="0" w:type="dxa"/>
            <w:left w:w="108" w:type="dxa"/>
            <w:bottom w:w="0" w:type="dxa"/>
            <w:right w:w="108" w:type="dxa"/>
          </w:tblCellMar>
        </w:tblPrEx>
        <w:trPr>
          <w:trHeight w:val="567" w:hRule="atLeast"/>
          <w:jc w:val="center"/>
        </w:trPr>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9</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2022年农村幸福院项目（东店）</w:t>
            </w:r>
          </w:p>
        </w:tc>
        <w:tc>
          <w:tcPr>
            <w:tcW w:w="7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66床位、180餐位</w:t>
            </w:r>
          </w:p>
        </w:tc>
        <w:tc>
          <w:tcPr>
            <w:tcW w:w="1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1000</w:t>
            </w:r>
          </w:p>
        </w:tc>
      </w:tr>
    </w:tbl>
    <w:p>
      <w:pPr>
        <w:widowControl/>
        <w:jc w:val="left"/>
        <w:textAlignment w:val="center"/>
        <w:rPr>
          <w:rFonts w:ascii="宋体" w:hAnsi="宋体" w:cs="宋体"/>
          <w:color w:val="000000"/>
          <w:kern w:val="0"/>
          <w:szCs w:val="21"/>
          <w:lang w:bidi="ar"/>
        </w:rPr>
      </w:pPr>
      <w:r>
        <w:rPr>
          <w:rFonts w:hint="eastAsia" w:ascii="宋体" w:hAnsi="宋体" w:cs="宋体"/>
          <w:color w:val="000000"/>
          <w:kern w:val="0"/>
          <w:szCs w:val="21"/>
          <w:lang w:bidi="ar"/>
        </w:rPr>
        <w:t>注：1、每月服务老人数量（人次）：2022年奖补对应的年份数据，服务数量/服务月份</w:t>
      </w:r>
    </w:p>
    <w:p>
      <w:pPr>
        <w:widowControl/>
        <w:ind w:firstLine="640" w:firstLineChars="200"/>
        <w:jc w:val="left"/>
        <w:rPr>
          <w:rFonts w:ascii="仿宋_GB2312" w:eastAsia="仿宋_GB2312"/>
          <w:sz w:val="32"/>
          <w:szCs w:val="32"/>
        </w:rPr>
      </w:pPr>
      <w:r>
        <w:rPr>
          <w:rFonts w:hint="eastAsia" w:ascii="仿宋_GB2312" w:eastAsia="仿宋_GB2312"/>
          <w:sz w:val="32"/>
          <w:szCs w:val="32"/>
        </w:rPr>
        <w:t>根据石狮市民政局提供数据与现场走访情况显示，养老场所的使用率不高，如洪厝长者食堂一个月开放次数不足五次；老人很少使用莲厝农村幸福院活动设施。</w:t>
      </w:r>
    </w:p>
    <w:p>
      <w:pPr>
        <w:keepNext/>
        <w:keepLines/>
        <w:spacing w:line="560" w:lineRule="exact"/>
        <w:ind w:firstLine="642" w:firstLineChars="200"/>
        <w:outlineLvl w:val="1"/>
        <w:rPr>
          <w:rFonts w:ascii="黑体" w:hAnsi="黑体" w:eastAsia="楷体"/>
          <w:b/>
          <w:bCs/>
          <w:kern w:val="44"/>
          <w:sz w:val="32"/>
          <w:szCs w:val="30"/>
        </w:rPr>
      </w:pPr>
      <w:bookmarkStart w:id="33" w:name="_Toc142059699"/>
      <w:r>
        <w:rPr>
          <w:rFonts w:hint="eastAsia" w:ascii="黑体" w:hAnsi="黑体" w:eastAsia="楷体"/>
          <w:b/>
          <w:bCs/>
          <w:kern w:val="44"/>
          <w:sz w:val="32"/>
          <w:szCs w:val="30"/>
        </w:rPr>
        <w:t>（四）档案管理需进一步加强</w:t>
      </w:r>
      <w:bookmarkEnd w:id="33"/>
    </w:p>
    <w:p>
      <w:pPr>
        <w:widowControl/>
        <w:ind w:firstLine="640" w:firstLineChars="200"/>
        <w:rPr>
          <w:rFonts w:ascii="仿宋_GB2312" w:eastAsia="仿宋_GB2312"/>
          <w:sz w:val="32"/>
          <w:szCs w:val="32"/>
        </w:rPr>
      </w:pPr>
      <w:r>
        <w:rPr>
          <w:rFonts w:hint="eastAsia" w:ascii="仿宋_GB2312" w:eastAsia="仿宋_GB2312"/>
          <w:sz w:val="32"/>
          <w:szCs w:val="32"/>
        </w:rPr>
        <w:t>2022年度养老服务业补助项目涉及省级、泉州市级及石狮市政策，因此对验收标准、验收材料有不同要求，档案管理及全过程材料的收集有一定的困难。石狮市民政局在提供2020年度民办养老机构床位运营补助等项目时，未能提供完整的验收材料，部分材料因提交给上级单位导致归档时有欠缺，因此石狮市民政局需进一步加强档案管理。</w:t>
      </w:r>
    </w:p>
    <w:p>
      <w:pPr>
        <w:keepNext/>
        <w:keepLines/>
        <w:spacing w:line="560" w:lineRule="exact"/>
        <w:ind w:firstLine="642" w:firstLineChars="200"/>
        <w:outlineLvl w:val="0"/>
        <w:rPr>
          <w:rFonts w:ascii="黑体" w:hAnsi="黑体" w:eastAsia="楷体"/>
          <w:b/>
          <w:bCs/>
          <w:kern w:val="44"/>
          <w:sz w:val="32"/>
          <w:szCs w:val="30"/>
        </w:rPr>
      </w:pPr>
      <w:bookmarkStart w:id="34" w:name="_Toc142059700"/>
      <w:r>
        <w:rPr>
          <w:rFonts w:hint="eastAsia" w:ascii="黑体" w:hAnsi="黑体" w:eastAsia="楷体"/>
          <w:b/>
          <w:bCs/>
          <w:kern w:val="44"/>
          <w:sz w:val="32"/>
          <w:szCs w:val="30"/>
        </w:rPr>
        <w:t>六、主要相关建议</w:t>
      </w:r>
      <w:bookmarkEnd w:id="34"/>
    </w:p>
    <w:p>
      <w:pPr>
        <w:keepNext/>
        <w:keepLines/>
        <w:spacing w:line="560" w:lineRule="exact"/>
        <w:ind w:firstLine="642" w:firstLineChars="200"/>
        <w:outlineLvl w:val="1"/>
        <w:rPr>
          <w:rFonts w:ascii="黑体" w:hAnsi="黑体" w:eastAsia="楷体"/>
          <w:b/>
          <w:bCs/>
          <w:kern w:val="44"/>
          <w:sz w:val="32"/>
          <w:szCs w:val="30"/>
        </w:rPr>
      </w:pPr>
      <w:bookmarkStart w:id="35" w:name="_Toc142059701"/>
      <w:r>
        <w:rPr>
          <w:rFonts w:hint="eastAsia" w:ascii="黑体" w:hAnsi="黑体" w:eastAsia="楷体"/>
          <w:b/>
          <w:bCs/>
          <w:kern w:val="44"/>
          <w:sz w:val="32"/>
          <w:szCs w:val="30"/>
        </w:rPr>
        <w:t>（一）明确资金拨款日期</w:t>
      </w:r>
      <w:bookmarkEnd w:id="35"/>
    </w:p>
    <w:p>
      <w:pPr>
        <w:pStyle w:val="2"/>
        <w:ind w:firstLine="640" w:firstLineChars="200"/>
      </w:pPr>
      <w:r>
        <w:rPr>
          <w:rFonts w:hint="eastAsia" w:ascii="仿宋_GB2312"/>
          <w:kern w:val="2"/>
          <w:sz w:val="32"/>
          <w:szCs w:val="32"/>
        </w:rPr>
        <w:t>通过政策原文及实际走访得知出现以上情况原因有：（1）床位运营补助与一次性开办补助因需要全年数据，因此跨年拨付；（2）长者食堂项目验收时间以机构正式运营时间为准，因此当年度建造完毕仍需等待正式运营后进行验收，因此容易出现跨年补贴情况；（3）部分项目因泉州市级下达当年建设指标，因此石狮市民政局先将资金下达至当地居委会，待验收通过后，再拨付至机构。</w:t>
      </w:r>
    </w:p>
    <w:p>
      <w:pPr>
        <w:ind w:firstLine="648"/>
        <w:rPr>
          <w:rFonts w:ascii="仿宋_GB2312" w:eastAsia="仿宋_GB2312"/>
          <w:sz w:val="32"/>
          <w:szCs w:val="32"/>
        </w:rPr>
      </w:pPr>
      <w:r>
        <w:rPr>
          <w:rFonts w:hint="eastAsia" w:ascii="仿宋_GB2312" w:eastAsia="仿宋_GB2312"/>
          <w:sz w:val="32"/>
          <w:szCs w:val="32"/>
        </w:rPr>
        <w:t>石狮市民政局应在政策中明确各项目的验收标准与拨付时限，明确在完成验收后一定的工作日内拨付资金，提高石狮市民政局与各镇（街道）的紧迫性。拨付资金后，在民政局官网上应公示拨付情况，并警示进度拖沓的项目。</w:t>
      </w:r>
    </w:p>
    <w:p>
      <w:pPr>
        <w:keepNext/>
        <w:keepLines/>
        <w:spacing w:line="560" w:lineRule="exact"/>
        <w:ind w:firstLine="642" w:firstLineChars="200"/>
        <w:outlineLvl w:val="1"/>
        <w:rPr>
          <w:rFonts w:ascii="黑体" w:hAnsi="黑体" w:eastAsia="楷体"/>
          <w:b/>
          <w:bCs/>
          <w:kern w:val="44"/>
          <w:sz w:val="32"/>
          <w:szCs w:val="30"/>
        </w:rPr>
      </w:pPr>
      <w:bookmarkStart w:id="36" w:name="_Toc142059702"/>
      <w:r>
        <w:rPr>
          <w:rFonts w:hint="eastAsia" w:ascii="黑体" w:hAnsi="黑体" w:eastAsia="楷体"/>
          <w:b/>
          <w:bCs/>
          <w:kern w:val="44"/>
          <w:sz w:val="32"/>
          <w:szCs w:val="30"/>
        </w:rPr>
        <w:t>（二）加强资金拨付监管</w:t>
      </w:r>
      <w:bookmarkEnd w:id="36"/>
    </w:p>
    <w:p>
      <w:pPr>
        <w:pStyle w:val="2"/>
        <w:ind w:firstLine="640" w:firstLineChars="200"/>
        <w:rPr>
          <w:rFonts w:ascii="仿宋_GB2312"/>
          <w:kern w:val="2"/>
          <w:sz w:val="32"/>
          <w:szCs w:val="32"/>
        </w:rPr>
      </w:pPr>
      <w:r>
        <w:rPr>
          <w:rFonts w:hint="eastAsia" w:ascii="仿宋_GB2312"/>
          <w:kern w:val="2"/>
          <w:sz w:val="32"/>
          <w:szCs w:val="32"/>
        </w:rPr>
        <w:t>石狮市民政局在涉及由镇政府拨付资金的项目时，应加强对资金补贴方向的监管，关注资金补贴进度。镇政府在确定对养老机构补贴方向时，应书面给石狮市民政局报备，与机构在合同中表达清楚，避免出现补贴方向不明情况。在确定补贴方向后，应加强对资金补贴进度的监管，督促镇政府及时下拨资金，避免出现跨季度、跨年度情况发生，加快资金拨付速度，减轻机构实际运营压力。</w:t>
      </w:r>
    </w:p>
    <w:p>
      <w:pPr>
        <w:keepNext/>
        <w:keepLines/>
        <w:spacing w:line="560" w:lineRule="exact"/>
        <w:ind w:firstLine="642" w:firstLineChars="200"/>
        <w:outlineLvl w:val="1"/>
        <w:rPr>
          <w:rFonts w:ascii="黑体" w:hAnsi="黑体" w:eastAsia="楷体"/>
          <w:b/>
          <w:bCs/>
          <w:kern w:val="44"/>
          <w:sz w:val="32"/>
          <w:szCs w:val="30"/>
        </w:rPr>
      </w:pPr>
      <w:bookmarkStart w:id="37" w:name="_Toc142059703"/>
      <w:r>
        <w:rPr>
          <w:rFonts w:hint="eastAsia" w:ascii="黑体" w:hAnsi="黑体" w:eastAsia="楷体"/>
          <w:b/>
          <w:bCs/>
          <w:kern w:val="44"/>
          <w:sz w:val="32"/>
          <w:szCs w:val="30"/>
        </w:rPr>
        <w:t>（三）增加养老场所使用率</w:t>
      </w:r>
      <w:bookmarkEnd w:id="37"/>
    </w:p>
    <w:p>
      <w:pPr>
        <w:ind w:firstLine="640" w:firstLineChars="200"/>
        <w:rPr>
          <w:rFonts w:ascii="仿宋_GB2312" w:eastAsia="仿宋_GB2312"/>
          <w:sz w:val="32"/>
          <w:szCs w:val="32"/>
        </w:rPr>
      </w:pPr>
      <w:r>
        <w:rPr>
          <w:rFonts w:hint="eastAsia" w:ascii="仿宋_GB2312" w:eastAsia="仿宋_GB2312"/>
          <w:kern w:val="0"/>
          <w:sz w:val="32"/>
          <w:szCs w:val="32"/>
        </w:rPr>
        <w:t>养老场地在日常运营中会因为周边老年人需求不足而出现设备空置的情况。想要避免该情况发生，一是机构在建设初期调研好相关数据，确定周边相关需求；二是社区组织开展活动，增加养老场地的使用率；三是民政局扩大宣传，介绍养老服务给更多有需求的老年人。</w:t>
      </w:r>
    </w:p>
    <w:p>
      <w:pPr>
        <w:keepNext/>
        <w:keepLines/>
        <w:spacing w:line="560" w:lineRule="exact"/>
        <w:ind w:firstLine="642" w:firstLineChars="200"/>
        <w:outlineLvl w:val="1"/>
        <w:rPr>
          <w:rFonts w:ascii="黑体" w:hAnsi="黑体" w:eastAsia="楷体"/>
          <w:b/>
          <w:bCs/>
          <w:kern w:val="44"/>
          <w:sz w:val="32"/>
          <w:szCs w:val="30"/>
        </w:rPr>
      </w:pPr>
      <w:bookmarkStart w:id="38" w:name="_Toc142059704"/>
      <w:r>
        <w:rPr>
          <w:rFonts w:hint="eastAsia" w:ascii="黑体" w:hAnsi="黑体" w:eastAsia="楷体"/>
          <w:b/>
          <w:bCs/>
          <w:kern w:val="44"/>
          <w:sz w:val="32"/>
          <w:szCs w:val="30"/>
        </w:rPr>
        <w:t>（四）加强档案管理</w:t>
      </w:r>
      <w:bookmarkEnd w:id="38"/>
    </w:p>
    <w:p>
      <w:pPr>
        <w:pStyle w:val="2"/>
        <w:ind w:firstLine="640" w:firstLineChars="200"/>
        <w:rPr>
          <w:rFonts w:ascii="仿宋_GB2312"/>
          <w:sz w:val="32"/>
          <w:szCs w:val="32"/>
        </w:rPr>
      </w:pPr>
      <w:r>
        <w:rPr>
          <w:rFonts w:hint="eastAsia" w:ascii="仿宋_GB2312"/>
          <w:sz w:val="32"/>
          <w:szCs w:val="32"/>
        </w:rPr>
        <w:t>石狮市民政局应加强档案管理，提交给上级的材料要及时备份归档。建立材料收集情况台账，对材料收集时间、材料内容、归档人员进行详细的记录。建议建立纸质项目档案，将各阶段材料按顺序装订成册，方便查询、检查。</w:t>
      </w:r>
    </w:p>
    <w:p>
      <w:pPr>
        <w:keepNext/>
        <w:keepLines/>
        <w:numPr>
          <w:ilvl w:val="0"/>
          <w:numId w:val="3"/>
        </w:numPr>
        <w:spacing w:line="560" w:lineRule="exact"/>
        <w:ind w:firstLine="642" w:firstLineChars="200"/>
        <w:outlineLvl w:val="0"/>
        <w:rPr>
          <w:rFonts w:ascii="黑体" w:hAnsi="黑体" w:eastAsia="楷体"/>
          <w:b/>
          <w:bCs/>
          <w:kern w:val="44"/>
          <w:sz w:val="32"/>
          <w:szCs w:val="30"/>
        </w:rPr>
      </w:pPr>
      <w:bookmarkStart w:id="39" w:name="_Toc142059705"/>
      <w:r>
        <w:rPr>
          <w:rFonts w:hint="eastAsia" w:ascii="黑体" w:hAnsi="黑体" w:eastAsia="楷体"/>
          <w:b/>
          <w:bCs/>
          <w:kern w:val="44"/>
          <w:sz w:val="32"/>
          <w:szCs w:val="30"/>
        </w:rPr>
        <w:t>其他说明</w:t>
      </w:r>
      <w:bookmarkEnd w:id="39"/>
    </w:p>
    <w:p>
      <w:pPr>
        <w:pStyle w:val="2"/>
        <w:ind w:left="420" w:leftChars="200" w:firstLine="0" w:firstLineChars="0"/>
        <w:rPr>
          <w:rFonts w:ascii="仿宋_GB2312"/>
          <w:sz w:val="32"/>
          <w:szCs w:val="32"/>
        </w:rPr>
      </w:pPr>
      <w:r>
        <w:rPr>
          <w:rFonts w:hint="eastAsia" w:ascii="仿宋_GB2312"/>
          <w:sz w:val="32"/>
          <w:szCs w:val="32"/>
        </w:rPr>
        <w:t>现场评价情况：</w:t>
      </w:r>
    </w:p>
    <w:p>
      <w:pPr>
        <w:pStyle w:val="2"/>
        <w:ind w:left="420" w:leftChars="200" w:firstLine="0" w:firstLineChars="0"/>
        <w:rPr>
          <w:rFonts w:ascii="仿宋_GB2312"/>
          <w:sz w:val="32"/>
          <w:szCs w:val="32"/>
        </w:rPr>
      </w:pPr>
      <w:r>
        <w:rPr>
          <w:rFonts w:hint="eastAsia" w:ascii="仿宋_GB2312"/>
          <w:sz w:val="32"/>
          <w:szCs w:val="32"/>
        </w:rPr>
        <w:t>（一）红景天雅园（一次性开办补助）：</w:t>
      </w:r>
    </w:p>
    <w:p>
      <w:pPr>
        <w:pStyle w:val="2"/>
        <w:ind w:firstLine="0" w:firstLineChars="0"/>
        <w:jc w:val="center"/>
        <w:rPr>
          <w:rFonts w:ascii="仿宋_GB2312"/>
          <w:sz w:val="32"/>
          <w:szCs w:val="32"/>
        </w:rPr>
      </w:pPr>
      <w:r>
        <w:rPr>
          <w:rFonts w:hint="eastAsia" w:ascii="仿宋_GB2312"/>
          <w:sz w:val="32"/>
          <w:szCs w:val="32"/>
        </w:rPr>
        <w:drawing>
          <wp:inline distT="0" distB="0" distL="114300" distR="114300">
            <wp:extent cx="2550160" cy="2369820"/>
            <wp:effectExtent l="0" t="0" r="2540" b="0"/>
            <wp:docPr id="1" name="图片 1" descr="2f5a966711b2a61465217d0d4765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f5a966711b2a61465217d0d476501b"/>
                    <pic:cNvPicPr>
                      <a:picLocks noChangeAspect="1"/>
                    </pic:cNvPicPr>
                  </pic:nvPicPr>
                  <pic:blipFill>
                    <a:blip r:embed="rId8"/>
                    <a:stretch>
                      <a:fillRect/>
                    </a:stretch>
                  </pic:blipFill>
                  <pic:spPr>
                    <a:xfrm>
                      <a:off x="0" y="0"/>
                      <a:ext cx="2550160" cy="2369820"/>
                    </a:xfrm>
                    <a:prstGeom prst="rect">
                      <a:avLst/>
                    </a:prstGeom>
                  </pic:spPr>
                </pic:pic>
              </a:graphicData>
            </a:graphic>
          </wp:inline>
        </w:drawing>
      </w:r>
      <w:r>
        <w:rPr>
          <w:rFonts w:hint="eastAsia" w:ascii="仿宋_GB2312"/>
          <w:sz w:val="32"/>
          <w:szCs w:val="32"/>
        </w:rPr>
        <w:drawing>
          <wp:inline distT="0" distB="0" distL="114300" distR="114300">
            <wp:extent cx="2542540" cy="2392680"/>
            <wp:effectExtent l="0" t="0" r="0" b="7620"/>
            <wp:docPr id="3" name="图片 3" descr="1223d5351f7fde36aeaf1cd5edac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223d5351f7fde36aeaf1cd5edacde2"/>
                    <pic:cNvPicPr>
                      <a:picLocks noChangeAspect="1"/>
                    </pic:cNvPicPr>
                  </pic:nvPicPr>
                  <pic:blipFill>
                    <a:blip r:embed="rId9"/>
                    <a:stretch>
                      <a:fillRect/>
                    </a:stretch>
                  </pic:blipFill>
                  <pic:spPr>
                    <a:xfrm>
                      <a:off x="0" y="0"/>
                      <a:ext cx="2542540" cy="2392680"/>
                    </a:xfrm>
                    <a:prstGeom prst="rect">
                      <a:avLst/>
                    </a:prstGeom>
                  </pic:spPr>
                </pic:pic>
              </a:graphicData>
            </a:graphic>
          </wp:inline>
        </w:drawing>
      </w:r>
    </w:p>
    <w:p>
      <w:pPr>
        <w:pStyle w:val="2"/>
        <w:ind w:firstLine="0" w:firstLineChars="0"/>
        <w:jc w:val="center"/>
        <w:rPr>
          <w:rFonts w:ascii="仿宋_GB2312"/>
          <w:sz w:val="21"/>
          <w:szCs w:val="21"/>
        </w:rPr>
      </w:pPr>
      <w:r>
        <w:rPr>
          <w:rFonts w:hint="eastAsia" w:ascii="仿宋_GB2312"/>
          <w:sz w:val="21"/>
          <w:szCs w:val="21"/>
        </w:rPr>
        <w:t>左图：与石燕来园长交流补贴细节                 右图：养老床位展示</w:t>
      </w:r>
    </w:p>
    <w:p>
      <w:pPr>
        <w:pStyle w:val="2"/>
        <w:ind w:left="420" w:leftChars="200" w:firstLine="0" w:firstLineChars="0"/>
        <w:rPr>
          <w:rFonts w:ascii="仿宋_GB2312"/>
          <w:sz w:val="32"/>
          <w:szCs w:val="32"/>
        </w:rPr>
      </w:pPr>
      <w:r>
        <w:rPr>
          <w:rFonts w:hint="eastAsia" w:ascii="仿宋_GB2312"/>
          <w:sz w:val="32"/>
          <w:szCs w:val="32"/>
        </w:rPr>
        <w:t>（二）伍星居家养老服务照料中心（蚶江居家养老服务照料中心）：</w:t>
      </w:r>
    </w:p>
    <w:p>
      <w:pPr>
        <w:pStyle w:val="2"/>
        <w:ind w:left="420" w:leftChars="200" w:firstLine="0" w:firstLineChars="0"/>
        <w:rPr>
          <w:rFonts w:ascii="仿宋_GB2312"/>
          <w:sz w:val="32"/>
          <w:szCs w:val="32"/>
        </w:rPr>
      </w:pPr>
      <w:r>
        <w:rPr>
          <w:rFonts w:hint="eastAsia" w:ascii="仿宋_GB2312"/>
          <w:sz w:val="32"/>
          <w:szCs w:val="32"/>
        </w:rPr>
        <w:drawing>
          <wp:inline distT="0" distB="0" distL="114300" distR="114300">
            <wp:extent cx="2438400" cy="2337435"/>
            <wp:effectExtent l="0" t="0" r="0" b="5715"/>
            <wp:docPr id="4" name="图片 4" descr="7b3d9574519032020fff10e9a6c98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b3d9574519032020fff10e9a6c98a6"/>
                    <pic:cNvPicPr>
                      <a:picLocks noChangeAspect="1"/>
                    </pic:cNvPicPr>
                  </pic:nvPicPr>
                  <pic:blipFill>
                    <a:blip r:embed="rId10"/>
                    <a:stretch>
                      <a:fillRect/>
                    </a:stretch>
                  </pic:blipFill>
                  <pic:spPr>
                    <a:xfrm>
                      <a:off x="0" y="0"/>
                      <a:ext cx="2438400" cy="2337435"/>
                    </a:xfrm>
                    <a:prstGeom prst="rect">
                      <a:avLst/>
                    </a:prstGeom>
                  </pic:spPr>
                </pic:pic>
              </a:graphicData>
            </a:graphic>
          </wp:inline>
        </w:drawing>
      </w:r>
      <w:r>
        <w:rPr>
          <w:rFonts w:hint="eastAsia" w:ascii="仿宋_GB2312"/>
          <w:sz w:val="32"/>
          <w:szCs w:val="32"/>
        </w:rPr>
        <w:drawing>
          <wp:inline distT="0" distB="0" distL="114300" distR="114300">
            <wp:extent cx="2484120" cy="2353310"/>
            <wp:effectExtent l="0" t="0" r="0" b="8890"/>
            <wp:docPr id="5" name="图片 5" descr="2983373cc1f46f15e632f0edda365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983373cc1f46f15e632f0edda3651b"/>
                    <pic:cNvPicPr>
                      <a:picLocks noChangeAspect="1"/>
                    </pic:cNvPicPr>
                  </pic:nvPicPr>
                  <pic:blipFill>
                    <a:blip r:embed="rId11"/>
                    <a:stretch>
                      <a:fillRect/>
                    </a:stretch>
                  </pic:blipFill>
                  <pic:spPr>
                    <a:xfrm>
                      <a:off x="0" y="0"/>
                      <a:ext cx="2496571" cy="2365105"/>
                    </a:xfrm>
                    <a:prstGeom prst="rect">
                      <a:avLst/>
                    </a:prstGeom>
                  </pic:spPr>
                </pic:pic>
              </a:graphicData>
            </a:graphic>
          </wp:inline>
        </w:drawing>
      </w:r>
    </w:p>
    <w:p>
      <w:pPr>
        <w:pStyle w:val="2"/>
        <w:ind w:firstLine="0" w:firstLineChars="0"/>
        <w:jc w:val="center"/>
        <w:rPr>
          <w:rFonts w:ascii="仿宋_GB2312"/>
          <w:sz w:val="32"/>
          <w:szCs w:val="32"/>
        </w:rPr>
      </w:pPr>
      <w:r>
        <w:rPr>
          <w:rFonts w:hint="eastAsia" w:ascii="仿宋_GB2312"/>
          <w:sz w:val="21"/>
          <w:szCs w:val="21"/>
        </w:rPr>
        <w:t>左图：与园长交流补助难点       右图：与民政局董堆城和机构园长张来明合影</w:t>
      </w:r>
    </w:p>
    <w:p>
      <w:pPr>
        <w:pStyle w:val="2"/>
        <w:ind w:left="630" w:firstLine="0" w:firstLineChars="0"/>
        <w:rPr>
          <w:rFonts w:ascii="仿宋_GB2312"/>
          <w:sz w:val="32"/>
          <w:szCs w:val="32"/>
        </w:rPr>
      </w:pPr>
      <w:r>
        <w:rPr>
          <w:rFonts w:hint="eastAsia" w:ascii="仿宋_GB2312"/>
          <w:sz w:val="32"/>
          <w:szCs w:val="32"/>
        </w:rPr>
        <w:t>（三）莲厝（农村幸福</w:t>
      </w:r>
      <w:r>
        <w:rPr>
          <w:rFonts w:hint="eastAsia" w:ascii="仿宋_GB2312"/>
          <w:sz w:val="32"/>
          <w:szCs w:val="32"/>
          <w:lang w:eastAsia="zh-CN"/>
        </w:rPr>
        <w:t>园</w:t>
      </w:r>
      <w:r>
        <w:rPr>
          <w:rFonts w:hint="eastAsia" w:ascii="仿宋_GB2312"/>
          <w:sz w:val="32"/>
          <w:szCs w:val="32"/>
        </w:rPr>
        <w:t>）：</w:t>
      </w:r>
    </w:p>
    <w:p>
      <w:pPr>
        <w:pStyle w:val="2"/>
        <w:ind w:left="420" w:leftChars="200" w:firstLine="0" w:firstLineChars="0"/>
        <w:rPr>
          <w:rFonts w:ascii="仿宋_GB2312"/>
          <w:sz w:val="32"/>
          <w:szCs w:val="32"/>
        </w:rPr>
      </w:pPr>
      <w:r>
        <w:rPr>
          <w:rFonts w:ascii="仿宋_GB2312"/>
          <w:sz w:val="32"/>
          <w:szCs w:val="32"/>
        </w:rPr>
        <w:drawing>
          <wp:inline distT="0" distB="0" distL="114300" distR="114300">
            <wp:extent cx="2421890" cy="1920240"/>
            <wp:effectExtent l="0" t="0" r="0" b="3810"/>
            <wp:docPr id="6" name="图片 6" descr="a49a8ff0bc8ef4bd6254909aedb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49a8ff0bc8ef4bd6254909aedb4334"/>
                    <pic:cNvPicPr>
                      <a:picLocks noChangeAspect="1"/>
                    </pic:cNvPicPr>
                  </pic:nvPicPr>
                  <pic:blipFill>
                    <a:blip r:embed="rId12"/>
                    <a:stretch>
                      <a:fillRect/>
                    </a:stretch>
                  </pic:blipFill>
                  <pic:spPr>
                    <a:xfrm>
                      <a:off x="0" y="0"/>
                      <a:ext cx="2421890" cy="1920240"/>
                    </a:xfrm>
                    <a:prstGeom prst="rect">
                      <a:avLst/>
                    </a:prstGeom>
                  </pic:spPr>
                </pic:pic>
              </a:graphicData>
            </a:graphic>
          </wp:inline>
        </w:drawing>
      </w:r>
      <w:r>
        <w:rPr>
          <w:rFonts w:ascii="仿宋_GB2312"/>
          <w:sz w:val="32"/>
          <w:szCs w:val="32"/>
        </w:rPr>
        <w:drawing>
          <wp:inline distT="0" distB="0" distL="114300" distR="114300">
            <wp:extent cx="2406650" cy="1950720"/>
            <wp:effectExtent l="0" t="0" r="0" b="0"/>
            <wp:docPr id="7" name="图片 7" descr="7ad14ebb28f1075dbe574a494dfa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ad14ebb28f1075dbe574a494dfa439"/>
                    <pic:cNvPicPr>
                      <a:picLocks noChangeAspect="1"/>
                    </pic:cNvPicPr>
                  </pic:nvPicPr>
                  <pic:blipFill>
                    <a:blip r:embed="rId13"/>
                    <a:stretch>
                      <a:fillRect/>
                    </a:stretch>
                  </pic:blipFill>
                  <pic:spPr>
                    <a:xfrm>
                      <a:off x="0" y="0"/>
                      <a:ext cx="2406650" cy="1950720"/>
                    </a:xfrm>
                    <a:prstGeom prst="rect">
                      <a:avLst/>
                    </a:prstGeom>
                  </pic:spPr>
                </pic:pic>
              </a:graphicData>
            </a:graphic>
          </wp:inline>
        </w:drawing>
      </w:r>
    </w:p>
    <w:p>
      <w:pPr>
        <w:pStyle w:val="2"/>
        <w:ind w:firstLine="0" w:firstLineChars="0"/>
        <w:jc w:val="center"/>
        <w:rPr>
          <w:rFonts w:ascii="仿宋_GB2312"/>
          <w:sz w:val="21"/>
          <w:szCs w:val="21"/>
        </w:rPr>
      </w:pPr>
      <w:r>
        <w:rPr>
          <w:rFonts w:hint="eastAsia" w:ascii="仿宋_GB2312"/>
          <w:sz w:val="21"/>
          <w:szCs w:val="21"/>
        </w:rPr>
        <w:t>左图：幸福园</w:t>
      </w:r>
      <w:r>
        <w:rPr>
          <w:rFonts w:ascii="仿宋_GB2312"/>
          <w:sz w:val="21"/>
          <w:szCs w:val="21"/>
        </w:rPr>
        <w:t>林华新</w:t>
      </w:r>
      <w:r>
        <w:rPr>
          <w:rFonts w:hint="eastAsia" w:ascii="仿宋_GB2312"/>
          <w:sz w:val="21"/>
          <w:szCs w:val="21"/>
        </w:rPr>
        <w:t>园长介绍设施          右图：幸福园床位展示</w:t>
      </w:r>
    </w:p>
    <w:p>
      <w:pPr>
        <w:pStyle w:val="2"/>
        <w:ind w:left="630" w:firstLine="0" w:firstLineChars="0"/>
        <w:rPr>
          <w:rFonts w:ascii="仿宋_GB2312"/>
          <w:sz w:val="32"/>
          <w:szCs w:val="32"/>
        </w:rPr>
      </w:pPr>
      <w:r>
        <w:rPr>
          <w:rFonts w:hint="eastAsia" w:ascii="仿宋_GB2312"/>
          <w:sz w:val="32"/>
          <w:szCs w:val="32"/>
        </w:rPr>
        <w:t>（四）洪厝（长者食堂项目）：</w:t>
      </w:r>
    </w:p>
    <w:p>
      <w:pPr>
        <w:pStyle w:val="2"/>
        <w:ind w:left="420" w:leftChars="200" w:firstLine="0" w:firstLineChars="0"/>
        <w:rPr>
          <w:rFonts w:ascii="仿宋_GB2312"/>
          <w:sz w:val="32"/>
          <w:szCs w:val="32"/>
        </w:rPr>
      </w:pPr>
      <w:r>
        <w:rPr>
          <w:rFonts w:ascii="仿宋_GB2312"/>
          <w:sz w:val="32"/>
          <w:szCs w:val="32"/>
        </w:rPr>
        <w:drawing>
          <wp:inline distT="0" distB="0" distL="114300" distR="114300">
            <wp:extent cx="2452370" cy="2072640"/>
            <wp:effectExtent l="0" t="0" r="5080" b="3810"/>
            <wp:docPr id="8" name="图片 8" descr="9dc6b91326818c8b82beb50d4c594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9dc6b91326818c8b82beb50d4c594bb"/>
                    <pic:cNvPicPr>
                      <a:picLocks noChangeAspect="1"/>
                    </pic:cNvPicPr>
                  </pic:nvPicPr>
                  <pic:blipFill>
                    <a:blip r:embed="rId14"/>
                    <a:stretch>
                      <a:fillRect/>
                    </a:stretch>
                  </pic:blipFill>
                  <pic:spPr>
                    <a:xfrm>
                      <a:off x="0" y="0"/>
                      <a:ext cx="2452370" cy="2072640"/>
                    </a:xfrm>
                    <a:prstGeom prst="rect">
                      <a:avLst/>
                    </a:prstGeom>
                  </pic:spPr>
                </pic:pic>
              </a:graphicData>
            </a:graphic>
          </wp:inline>
        </w:drawing>
      </w:r>
      <w:r>
        <w:rPr>
          <w:rFonts w:ascii="仿宋_GB2312"/>
          <w:sz w:val="32"/>
          <w:szCs w:val="32"/>
        </w:rPr>
        <w:drawing>
          <wp:inline distT="0" distB="0" distL="114300" distR="114300">
            <wp:extent cx="2395220" cy="2080260"/>
            <wp:effectExtent l="0" t="0" r="5080" b="0"/>
            <wp:docPr id="9" name="图片 9" descr="5b19aee25f8dd43c40ee32e95d40c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b19aee25f8dd43c40ee32e95d40c96"/>
                    <pic:cNvPicPr>
                      <a:picLocks noChangeAspect="1"/>
                    </pic:cNvPicPr>
                  </pic:nvPicPr>
                  <pic:blipFill>
                    <a:blip r:embed="rId15"/>
                    <a:stretch>
                      <a:fillRect/>
                    </a:stretch>
                  </pic:blipFill>
                  <pic:spPr>
                    <a:xfrm>
                      <a:off x="0" y="0"/>
                      <a:ext cx="2395220" cy="2080260"/>
                    </a:xfrm>
                    <a:prstGeom prst="rect">
                      <a:avLst/>
                    </a:prstGeom>
                  </pic:spPr>
                </pic:pic>
              </a:graphicData>
            </a:graphic>
          </wp:inline>
        </w:drawing>
      </w:r>
    </w:p>
    <w:p>
      <w:pPr>
        <w:pStyle w:val="2"/>
        <w:ind w:firstLine="0" w:firstLineChars="0"/>
        <w:jc w:val="center"/>
        <w:rPr>
          <w:rFonts w:ascii="仿宋_GB2312"/>
          <w:sz w:val="21"/>
          <w:szCs w:val="21"/>
        </w:rPr>
      </w:pPr>
      <w:r>
        <w:rPr>
          <w:rFonts w:hint="eastAsia" w:ascii="仿宋_GB2312"/>
          <w:sz w:val="21"/>
          <w:szCs w:val="21"/>
        </w:rPr>
        <w:t>左图：查看长者食堂设施            右图：洪厝长者食堂规章制度</w:t>
      </w:r>
    </w:p>
    <w:p>
      <w:pPr>
        <w:pStyle w:val="2"/>
        <w:ind w:firstLine="0" w:firstLineChars="0"/>
        <w:rPr>
          <w:rFonts w:ascii="仿宋_GB2312"/>
          <w:sz w:val="21"/>
          <w:szCs w:val="21"/>
        </w:rPr>
      </w:pPr>
    </w:p>
    <w:p>
      <w:pPr>
        <w:pStyle w:val="2"/>
        <w:numPr>
          <w:ilvl w:val="0"/>
          <w:numId w:val="4"/>
        </w:numPr>
        <w:ind w:firstLine="640" w:firstLineChars="200"/>
        <w:rPr>
          <w:rFonts w:ascii="仿宋_GB2312"/>
          <w:sz w:val="32"/>
          <w:szCs w:val="32"/>
        </w:rPr>
      </w:pPr>
      <w:r>
        <w:rPr>
          <w:rFonts w:hint="eastAsia" w:ascii="仿宋_GB2312"/>
          <w:sz w:val="32"/>
          <w:szCs w:val="32"/>
        </w:rPr>
        <w:t>长者食堂改进建议：</w:t>
      </w:r>
    </w:p>
    <w:p>
      <w:pPr>
        <w:pStyle w:val="2"/>
        <w:ind w:firstLine="640" w:firstLineChars="200"/>
        <w:rPr>
          <w:rFonts w:ascii="仿宋_GB2312"/>
          <w:sz w:val="32"/>
          <w:szCs w:val="32"/>
        </w:rPr>
        <w:sectPr>
          <w:pgSz w:w="11906" w:h="16838"/>
          <w:pgMar w:top="1440" w:right="1800" w:bottom="1440" w:left="1800" w:header="851" w:footer="992" w:gutter="0"/>
          <w:cols w:space="720" w:num="1"/>
          <w:docGrid w:type="lines" w:linePitch="312" w:charSpace="0"/>
        </w:sectPr>
      </w:pPr>
      <w:r>
        <w:rPr>
          <w:rFonts w:hint="eastAsia" w:ascii="仿宋_GB2312"/>
          <w:sz w:val="32"/>
          <w:szCs w:val="32"/>
        </w:rPr>
        <w:t>本次绩效评价中通过石狮市民政局提供数据及现场走访情况发现，长者食堂使用率较低，场地及座椅设施长期空置，无常驻厨师负责长者食堂。因此建议取消或调整长者食堂项目，增加购买集中供餐服务，长者食堂仅提供用餐场地，减少烹饪设备的支出。</w:t>
      </w:r>
    </w:p>
    <w:p>
      <w:pPr>
        <w:ind w:firstLine="642" w:firstLineChars="200"/>
        <w:outlineLvl w:val="0"/>
        <w:rPr>
          <w:rFonts w:ascii="仿宋_GB2312" w:eastAsia="仿宋_GB2312"/>
          <w:b/>
          <w:bCs/>
          <w:sz w:val="32"/>
          <w:szCs w:val="32"/>
        </w:rPr>
      </w:pPr>
      <w:bookmarkStart w:id="40" w:name="_Toc142059706"/>
      <w:r>
        <w:rPr>
          <w:rFonts w:hint="eastAsia" w:ascii="仿宋_GB2312" w:eastAsia="仿宋_GB2312"/>
          <w:b/>
          <w:bCs/>
          <w:sz w:val="32"/>
          <w:szCs w:val="32"/>
        </w:rPr>
        <w:t>八、附件</w:t>
      </w:r>
      <w:bookmarkEnd w:id="40"/>
    </w:p>
    <w:p>
      <w:pPr>
        <w:keepNext/>
        <w:keepLines/>
        <w:spacing w:line="560" w:lineRule="exact"/>
        <w:ind w:firstLine="642" w:firstLineChars="200"/>
        <w:outlineLvl w:val="1"/>
        <w:rPr>
          <w:rFonts w:ascii="黑体" w:hAnsi="黑体" w:eastAsia="楷体"/>
          <w:b/>
          <w:bCs/>
          <w:kern w:val="44"/>
          <w:sz w:val="32"/>
          <w:szCs w:val="30"/>
        </w:rPr>
      </w:pPr>
      <w:bookmarkStart w:id="41" w:name="_Toc142059707"/>
      <w:r>
        <w:rPr>
          <w:rFonts w:hint="eastAsia" w:ascii="黑体" w:hAnsi="黑体" w:eastAsia="楷体"/>
          <w:b/>
          <w:bCs/>
          <w:kern w:val="44"/>
          <w:sz w:val="32"/>
          <w:szCs w:val="30"/>
        </w:rPr>
        <w:t>附件（一）2022年度石狮市养老服务业补助项目绩效评价指标体系</w:t>
      </w:r>
      <w:bookmarkEnd w:id="41"/>
    </w:p>
    <w:tbl>
      <w:tblPr>
        <w:tblStyle w:val="12"/>
        <w:tblW w:w="4998" w:type="pct"/>
        <w:tblInd w:w="0" w:type="dxa"/>
        <w:tblLayout w:type="autofit"/>
        <w:tblCellMar>
          <w:top w:w="0" w:type="dxa"/>
          <w:left w:w="108" w:type="dxa"/>
          <w:bottom w:w="0" w:type="dxa"/>
          <w:right w:w="108" w:type="dxa"/>
        </w:tblCellMar>
      </w:tblPr>
      <w:tblGrid>
        <w:gridCol w:w="528"/>
        <w:gridCol w:w="575"/>
        <w:gridCol w:w="1776"/>
        <w:gridCol w:w="693"/>
        <w:gridCol w:w="1966"/>
        <w:gridCol w:w="4866"/>
        <w:gridCol w:w="2842"/>
        <w:gridCol w:w="922"/>
      </w:tblGrid>
      <w:tr>
        <w:tblPrEx>
          <w:tblCellMar>
            <w:top w:w="0" w:type="dxa"/>
            <w:left w:w="108" w:type="dxa"/>
            <w:bottom w:w="0" w:type="dxa"/>
            <w:right w:w="108" w:type="dxa"/>
          </w:tblCellMar>
        </w:tblPrEx>
        <w:trPr>
          <w:trHeight w:val="520" w:hRule="atLeast"/>
          <w:tblHeader/>
        </w:trPr>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分值</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指标解释</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指标说明</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评分标准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得分</w:t>
            </w:r>
          </w:p>
        </w:tc>
      </w:tr>
      <w:tr>
        <w:tblPrEx>
          <w:tblCellMar>
            <w:top w:w="0" w:type="dxa"/>
            <w:left w:w="108" w:type="dxa"/>
            <w:bottom w:w="0" w:type="dxa"/>
            <w:right w:w="108" w:type="dxa"/>
          </w:tblCellMar>
        </w:tblPrEx>
        <w:trPr>
          <w:trHeight w:val="2070" w:hRule="atLeast"/>
        </w:trPr>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A决策（20分）</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A1项目立项</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A11立项依据充分性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项目立项是否符合法律法规、相关政策、发展规划以及部门职责，用以反映和考核项目立项依据情况。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符合一个要点得1分，满分5分。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1410"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A12立项程序规范性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项目申请、设立过程是否符合相关要求，用以反映和考核项目立项的规范情况。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评价要点：①项目是否按照规定的程序申请设立；②审批文件、材料是否符合相关要求；③事前是否已经过必要的可行性研究、专家论证、风险评估、绩效评估、集体决策。</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符合一个要点得1分，满分3分。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r>
      <w:tr>
        <w:tblPrEx>
          <w:tblCellMar>
            <w:top w:w="0" w:type="dxa"/>
            <w:left w:w="108" w:type="dxa"/>
            <w:bottom w:w="0" w:type="dxa"/>
            <w:right w:w="108" w:type="dxa"/>
          </w:tblCellMar>
        </w:tblPrEx>
        <w:trPr>
          <w:trHeight w:val="1620"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A2绩效目标</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A21绩效目标合理性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项目所设定的绩效目标是否依据充分，是否符合客观实际，用以反映和考核项目绩效目标与项目实施的相符情况。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如未设定预算绩效目标，也可考核其他工作任务目标）①项目是否有绩效目标；②项目绩效目标与实际工作内容是否具有相关性；③项目预期产出效益和效果是否符合正常的业绩水平；④是否与预算确定的项目投资额或资金量相匹配。</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符合一个要点得0.5分，满分2分。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CellMar>
            <w:top w:w="0" w:type="dxa"/>
            <w:left w:w="108" w:type="dxa"/>
            <w:bottom w:w="0" w:type="dxa"/>
            <w:right w:w="108" w:type="dxa"/>
          </w:tblCellMar>
        </w:tblPrEx>
        <w:trPr>
          <w:trHeight w:val="1275"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A22绩效指标明确性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依据绩效目标设定的绩效指标是否清晰、细化、可衡量等，用以反映和考核项目绩效目标的明细化情况。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评价要点：①是否将项目绩效目标细化分解为具体的绩效指标；②是否通过清晰、可衡量的指标值予以体现；③是否与项目目标任务数或计划数相对应。</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符合一个要点得1分，满分3分。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CellMar>
            <w:top w:w="0" w:type="dxa"/>
            <w:left w:w="108" w:type="dxa"/>
            <w:bottom w:w="0" w:type="dxa"/>
            <w:right w:w="108" w:type="dxa"/>
          </w:tblCellMar>
        </w:tblPrEx>
        <w:trPr>
          <w:trHeight w:val="1485"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A3资金投入</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A31预算编制科学性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项目预算编制是否经过科学论证、有明确标准，资金额度与年度目标是否相适应，用以反映和考核项目预算编制的科学性、合理性情况。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评价要点：①预算编制是否经过科学论证；②预算内容与项目内容是否匹配；③预算额度测算依据是否充分，是否按照标准编制；④预算确定的项目投资额或资金量是否与工作任务相匹配。</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符合一个要点得1分，满分4分。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CellMar>
            <w:top w:w="0" w:type="dxa"/>
            <w:left w:w="108" w:type="dxa"/>
            <w:bottom w:w="0" w:type="dxa"/>
            <w:right w:w="108" w:type="dxa"/>
          </w:tblCellMar>
        </w:tblPrEx>
        <w:trPr>
          <w:trHeight w:val="1425"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A32资金分配合理性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项目预算资金分配是否有测算依据，与补助单位或地方实际是否相适应，用以反映和考核项目预算资金分配的科学性、合理性情况。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评价要点：①预算资金分配依据是否充分；②资金分配额度是否合理，与项目单位或地方实际是否相适应。</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符合一个要点得1分，满分2分。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r>
      <w:tr>
        <w:tblPrEx>
          <w:tblCellMar>
            <w:top w:w="0" w:type="dxa"/>
            <w:left w:w="108" w:type="dxa"/>
            <w:bottom w:w="0" w:type="dxa"/>
            <w:right w:w="108" w:type="dxa"/>
          </w:tblCellMar>
        </w:tblPrEx>
        <w:trPr>
          <w:trHeight w:val="1275" w:hRule="atLeast"/>
        </w:trPr>
        <w:tc>
          <w:tcPr>
            <w:tcW w:w="181" w:type="pct"/>
            <w:vMerge w:val="restart"/>
            <w:tcBorders>
              <w:top w:val="single" w:color="000000" w:sz="4" w:space="0"/>
              <w:left w:val="single" w:color="000000" w:sz="4" w:space="0"/>
              <w:bottom w:val="nil"/>
              <w:right w:val="single" w:color="000000" w:sz="4" w:space="0"/>
            </w:tcBorders>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B过程（20分）</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B1资金管理</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B11资金到位率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实际到位资金与预算资金的比率，用以反映和考核资金落实情况对项目实施的总体保障程度。</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资金到位率=（实际到位资金/预算资金）×100%。实际到位资金：一定时期（本年度或项目期）内落实到具体项目的资金。预算资金：一定时期（本年度或项目期）内预算安排到具体项目的资金。</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资金到位率得分=（实际到位资金/预算资金）×100%*3。</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r>
      <w:tr>
        <w:tblPrEx>
          <w:tblCellMar>
            <w:top w:w="0" w:type="dxa"/>
            <w:left w:w="108" w:type="dxa"/>
            <w:bottom w:w="0" w:type="dxa"/>
            <w:right w:w="108" w:type="dxa"/>
          </w:tblCellMar>
        </w:tblPrEx>
        <w:trPr>
          <w:trHeight w:val="1230" w:hRule="atLeast"/>
        </w:trPr>
        <w:tc>
          <w:tcPr>
            <w:tcW w:w="181" w:type="pct"/>
            <w:vMerge w:val="continue"/>
            <w:tcBorders>
              <w:top w:val="single" w:color="000000" w:sz="4" w:space="0"/>
              <w:left w:val="single" w:color="000000" w:sz="4" w:space="0"/>
              <w:bottom w:val="nil"/>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B12预算执行率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项目预算资金是否按照计划执行，用以反映或考核项目预算执行情况。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预算执行率=（实际支出资金/实际到位资金）×100%。实际支出资金：一定时期（本年度或项目期）内项目实际拨付的资金。</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预算执行率得分=（实际支出资金/实际到位资金）×100%*5</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2.44</w:t>
            </w:r>
          </w:p>
        </w:tc>
      </w:tr>
      <w:tr>
        <w:tblPrEx>
          <w:tblCellMar>
            <w:top w:w="0" w:type="dxa"/>
            <w:left w:w="108" w:type="dxa"/>
            <w:bottom w:w="0" w:type="dxa"/>
            <w:right w:w="108" w:type="dxa"/>
          </w:tblCellMar>
        </w:tblPrEx>
        <w:trPr>
          <w:trHeight w:val="1695" w:hRule="atLeast"/>
        </w:trPr>
        <w:tc>
          <w:tcPr>
            <w:tcW w:w="181" w:type="pct"/>
            <w:vMerge w:val="continue"/>
            <w:tcBorders>
              <w:top w:val="single" w:color="000000" w:sz="4" w:space="0"/>
              <w:left w:val="single" w:color="000000" w:sz="4" w:space="0"/>
              <w:bottom w:val="nil"/>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B13资金使用</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合规性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项目资金使用是否符合相关的财务管理制度规定，用以反映和考核项目资金的规范运行情况。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①是否符合国家财经法规和财务管理制度以及有关专项资金管理办法的规定；</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②资金的拨付是否有完整的审批程序和手续；</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③是否符合项目预算批复或合同规定的用途；</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④是否存在截留、挤占、挪用、虚列支出等情况。</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符合一个要点得0.5分，满分2分。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1695" w:hRule="atLeast"/>
        </w:trPr>
        <w:tc>
          <w:tcPr>
            <w:tcW w:w="181" w:type="pct"/>
            <w:vMerge w:val="continue"/>
            <w:tcBorders>
              <w:top w:val="single" w:color="000000" w:sz="4" w:space="0"/>
              <w:left w:val="single" w:color="000000" w:sz="4" w:space="0"/>
              <w:bottom w:val="nil"/>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B2组织实施</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B21管理制度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健全性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项目实施单位的财务和业务管理制度是否健全，用以反映和考核财务和业务管理制度对项目顺利实施的保障情况。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①是否已制定或具有相应的财务和业务管理制度；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②财务和业务管理制度是否合法、合规、完整。</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符合一个要点得2.5分，满分5分。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1695" w:hRule="atLeast"/>
        </w:trPr>
        <w:tc>
          <w:tcPr>
            <w:tcW w:w="181" w:type="pct"/>
            <w:vMerge w:val="continue"/>
            <w:tcBorders>
              <w:top w:val="single" w:color="000000" w:sz="4" w:space="0"/>
              <w:left w:val="single" w:color="000000" w:sz="4" w:space="0"/>
              <w:bottom w:val="nil"/>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B22制度执行</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有效性</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项目实施是否符合相关管理规定，用以反映和考核相关管理制度的有效执行情况。</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①是否遵守相关法律法规和相关管理规定；</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②项目调整及支出调整手续是否完备；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③项目合同书、验收报告、技术鉴定等资料是否齐全并及时归档；</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④项目实施的人员条件、场地设备、信息支撑等是否落实到位。</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符合一个要点得1.2分，满分5分。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1515" w:hRule="atLeast"/>
        </w:trPr>
        <w:tc>
          <w:tcPr>
            <w:tcW w:w="181" w:type="pct"/>
            <w:vMerge w:val="restart"/>
            <w:tcBorders>
              <w:top w:val="single" w:color="000000" w:sz="4" w:space="0"/>
              <w:left w:val="single" w:color="000000" w:sz="4" w:space="0"/>
              <w:bottom w:val="nil"/>
              <w:right w:val="single" w:color="000000" w:sz="4" w:space="0"/>
            </w:tcBorders>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C产出（24分）</w:t>
            </w:r>
          </w:p>
        </w:tc>
        <w:tc>
          <w:tcPr>
            <w:tcW w:w="204"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C1政策兑现过程产出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C11政策传达效果</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694"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项目实施的实际产出数与计划产出数的比率，用以反映和考核项目产出目标的实现程度。</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评价要点：①企业知晓该政策②企业知道从何处找到该政策相关文件（政策解读等）③企业对该政策各条款都清楚</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每发现一处不符合扣2分,扣完为止。</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108" w:type="dxa"/>
            <w:bottom w:w="0" w:type="dxa"/>
            <w:right w:w="108" w:type="dxa"/>
          </w:tblCellMar>
        </w:tblPrEx>
        <w:trPr>
          <w:trHeight w:val="1515" w:hRule="atLeast"/>
        </w:trPr>
        <w:tc>
          <w:tcPr>
            <w:tcW w:w="181" w:type="pct"/>
            <w:vMerge w:val="continue"/>
            <w:tcBorders>
              <w:top w:val="single" w:color="000000" w:sz="4" w:space="0"/>
              <w:left w:val="single" w:color="000000" w:sz="4" w:space="0"/>
              <w:bottom w:val="nil"/>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C12奖励扶持完成率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69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评价要点：2022年申报的项目完成奖补情况</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该项分值6分。养老服务业补助政策（2022奖励细则是否按计划完成，计划完成率=实际奖励扶持金额/计划奖励扶持金额*100%*6。（&gt;100%按满分计算）</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2.93</w:t>
            </w:r>
          </w:p>
        </w:tc>
      </w:tr>
      <w:tr>
        <w:tblPrEx>
          <w:tblCellMar>
            <w:top w:w="0" w:type="dxa"/>
            <w:left w:w="108" w:type="dxa"/>
            <w:bottom w:w="0" w:type="dxa"/>
            <w:right w:w="108" w:type="dxa"/>
          </w:tblCellMar>
        </w:tblPrEx>
        <w:trPr>
          <w:trHeight w:val="1515" w:hRule="atLeast"/>
        </w:trPr>
        <w:tc>
          <w:tcPr>
            <w:tcW w:w="181" w:type="pct"/>
            <w:vMerge w:val="continue"/>
            <w:tcBorders>
              <w:top w:val="single" w:color="000000" w:sz="4" w:space="0"/>
              <w:left w:val="single" w:color="000000" w:sz="4" w:space="0"/>
              <w:bottom w:val="nil"/>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C13奖励补助材料合规率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69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评价要点：考核申请奖励金企业是否合乎相关政策标准①申请对象是否符合相关政策标准；②是否有完整的申请文件;③能够提供完整的全过程材料。</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符合一个要点得3分。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r>
      <w:tr>
        <w:tblPrEx>
          <w:tblCellMar>
            <w:top w:w="0" w:type="dxa"/>
            <w:left w:w="108" w:type="dxa"/>
            <w:bottom w:w="0" w:type="dxa"/>
            <w:right w:w="108" w:type="dxa"/>
          </w:tblCellMar>
        </w:tblPrEx>
        <w:trPr>
          <w:trHeight w:val="1515" w:hRule="atLeast"/>
        </w:trPr>
        <w:tc>
          <w:tcPr>
            <w:tcW w:w="181" w:type="pct"/>
            <w:vMerge w:val="continue"/>
            <w:tcBorders>
              <w:top w:val="single" w:color="000000" w:sz="4" w:space="0"/>
              <w:left w:val="single" w:color="000000" w:sz="4" w:space="0"/>
              <w:bottom w:val="nil"/>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C14奖励补助及时率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69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评价要点：考核奖励补贴是否在计划时间内发放，是否按照计划进度完成建设。并根据受益企业对奖励金到位时间的满意程度进行评价。</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符合要点得6分。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r>
      <w:tr>
        <w:tblPrEx>
          <w:tblCellMar>
            <w:top w:w="0" w:type="dxa"/>
            <w:left w:w="108" w:type="dxa"/>
            <w:bottom w:w="0" w:type="dxa"/>
            <w:right w:w="108" w:type="dxa"/>
          </w:tblCellMar>
        </w:tblPrEx>
        <w:trPr>
          <w:trHeight w:val="1635" w:hRule="atLeast"/>
        </w:trPr>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D效益（36分）</w:t>
            </w:r>
          </w:p>
        </w:tc>
        <w:tc>
          <w:tcPr>
            <w:tcW w:w="204"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D1实施效益</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D11提升养老服务设施质量</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694" w:type="pct"/>
            <w:vMerge w:val="restart"/>
            <w:tcBorders>
              <w:top w:val="single" w:color="000000" w:sz="4" w:space="0"/>
              <w:left w:val="single" w:color="000000" w:sz="4" w:space="0"/>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项目实施所产生的效益。</w:t>
            </w:r>
          </w:p>
        </w:tc>
        <w:tc>
          <w:tcPr>
            <w:tcW w:w="17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评价要点：考核该项目为老人提升创建的多功能养老环境数量。</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奖补目标数量1所提升奖补得满分，否则不得分。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108" w:type="dxa"/>
            <w:bottom w:w="0" w:type="dxa"/>
            <w:right w:w="108" w:type="dxa"/>
          </w:tblCellMar>
        </w:tblPrEx>
        <w:trPr>
          <w:trHeight w:val="1050"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D12新增养老服务场所 </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694" w:type="pct"/>
            <w:vMerge w:val="continue"/>
            <w:tcBorders>
              <w:top w:val="single" w:color="000000" w:sz="4" w:space="0"/>
              <w:left w:val="single" w:color="000000" w:sz="4" w:space="0"/>
              <w:bottom w:val="nil"/>
              <w:right w:val="nil"/>
            </w:tcBorders>
            <w:shd w:val="clear" w:color="auto" w:fill="auto"/>
            <w:vAlign w:val="center"/>
          </w:tcPr>
          <w:p>
            <w:pPr>
              <w:jc w:val="center"/>
              <w:rPr>
                <w:rFonts w:ascii="宋体" w:hAnsi="宋体" w:cs="宋体"/>
                <w:color w:val="000000"/>
                <w:sz w:val="20"/>
                <w:szCs w:val="20"/>
              </w:rPr>
            </w:pPr>
          </w:p>
        </w:tc>
        <w:tc>
          <w:tcPr>
            <w:tcW w:w="17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评价要点：考核该项目为老人新增的养老服务场所数量。</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奖补目标数量达到8所得满分，否则按照实际完成目标/预期目标百分比*7得分。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108" w:type="dxa"/>
            <w:bottom w:w="0" w:type="dxa"/>
            <w:right w:w="108" w:type="dxa"/>
          </w:tblCellMar>
        </w:tblPrEx>
        <w:trPr>
          <w:trHeight w:val="1050"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D13增加床位数量</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694" w:type="pct"/>
            <w:vMerge w:val="continue"/>
            <w:tcBorders>
              <w:top w:val="single" w:color="000000" w:sz="4" w:space="0"/>
              <w:left w:val="single" w:color="000000" w:sz="4" w:space="0"/>
              <w:bottom w:val="nil"/>
              <w:right w:val="nil"/>
            </w:tcBorders>
            <w:shd w:val="clear" w:color="auto" w:fill="auto"/>
            <w:vAlign w:val="center"/>
          </w:tcPr>
          <w:p>
            <w:pPr>
              <w:jc w:val="center"/>
              <w:rPr>
                <w:rFonts w:ascii="宋体" w:hAnsi="宋体" w:cs="宋体"/>
                <w:color w:val="000000"/>
                <w:sz w:val="20"/>
                <w:szCs w:val="20"/>
              </w:rPr>
            </w:pPr>
          </w:p>
        </w:tc>
        <w:tc>
          <w:tcPr>
            <w:tcW w:w="17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评价要点：考核该项目为老人新增的养老院床位数量。</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奖补目标数量达到240个得满分，否则按照实际完成目标/预期目标百分比*7得分。</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108" w:type="dxa"/>
            <w:bottom w:w="0" w:type="dxa"/>
            <w:right w:w="108" w:type="dxa"/>
          </w:tblCellMar>
        </w:tblPrEx>
        <w:trPr>
          <w:trHeight w:val="780"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cs="宋体"/>
                <w:color w:val="000000"/>
                <w:sz w:val="20"/>
                <w:szCs w:val="20"/>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D14促进养老行业发展</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694" w:type="pct"/>
            <w:vMerge w:val="continue"/>
            <w:tcBorders>
              <w:top w:val="single" w:color="000000" w:sz="4" w:space="0"/>
              <w:left w:val="single" w:color="000000" w:sz="4" w:space="0"/>
              <w:bottom w:val="nil"/>
              <w:right w:val="nil"/>
            </w:tcBorders>
            <w:shd w:val="clear" w:color="auto" w:fill="auto"/>
            <w:vAlign w:val="center"/>
          </w:tcPr>
          <w:p>
            <w:pPr>
              <w:jc w:val="center"/>
              <w:rPr>
                <w:rFonts w:ascii="宋体" w:hAnsi="宋体" w:cs="宋体"/>
                <w:color w:val="000000"/>
                <w:sz w:val="20"/>
                <w:szCs w:val="20"/>
              </w:rPr>
            </w:pPr>
          </w:p>
        </w:tc>
        <w:tc>
          <w:tcPr>
            <w:tcW w:w="171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评价要点：①该项目促进养老场所的建立；②该项目吸引到社会力量投入养老行业；③该项目有完善的长期运行机制；④切实服务到周边老人群体。</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每发现一处不符合扣2分,扣完为止。</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80" w:hRule="atLeast"/>
        </w:trPr>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cs="宋体"/>
                <w:color w:val="000000"/>
                <w:sz w:val="20"/>
                <w:szCs w:val="20"/>
              </w:rPr>
            </w:pPr>
          </w:p>
        </w:tc>
        <w:tc>
          <w:tcPr>
            <w:tcW w:w="204"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D2满意度</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D21受益对象满意度</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社会公众或服务对象对项目实施效果的满意程度。</w:t>
            </w:r>
          </w:p>
        </w:tc>
        <w:tc>
          <w:tcPr>
            <w:tcW w:w="1717"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社会公众或服务对象是指因该项目实施而受到影响的部门（单位）、群体或个人。一般采取社会调查的方式。</w:t>
            </w:r>
          </w:p>
        </w:tc>
        <w:tc>
          <w:tcPr>
            <w:tcW w:w="10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①95≤满意度调查问卷得分≤100，得8分②90≤满意度调查问卷得分＜95，得7分③85≤满意度调查问卷得分＜90，得6分④80≤满意度调查问卷得分＜85，得5分⑤满意度调查问卷得分＜80，得4分.以此类推。</w:t>
            </w: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108" w:type="dxa"/>
            <w:bottom w:w="0" w:type="dxa"/>
            <w:right w:w="108" w:type="dxa"/>
          </w:tblCellMar>
        </w:tblPrEx>
        <w:trPr>
          <w:trHeight w:val="1050" w:hRule="atLeast"/>
        </w:trPr>
        <w:tc>
          <w:tcPr>
            <w:tcW w:w="101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合计</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694" w:type="pct"/>
            <w:tcBorders>
              <w:top w:val="single" w:color="000000" w:sz="4" w:space="0"/>
              <w:left w:val="single" w:color="000000" w:sz="4" w:space="0"/>
              <w:bottom w:val="single" w:color="000000" w:sz="4" w:space="0"/>
              <w:right w:val="nil"/>
            </w:tcBorders>
            <w:shd w:val="clear" w:color="auto" w:fill="auto"/>
            <w:vAlign w:val="center"/>
          </w:tcPr>
          <w:p>
            <w:pPr>
              <w:jc w:val="center"/>
              <w:rPr>
                <w:rFonts w:ascii="宋体" w:hAnsi="宋体" w:cs="宋体"/>
                <w:color w:val="000000"/>
                <w:sz w:val="20"/>
                <w:szCs w:val="20"/>
              </w:rPr>
            </w:pPr>
          </w:p>
        </w:tc>
        <w:tc>
          <w:tcPr>
            <w:tcW w:w="1717" w:type="pct"/>
            <w:tcBorders>
              <w:top w:val="single" w:color="000000" w:sz="4" w:space="0"/>
              <w:left w:val="single" w:color="000000" w:sz="4" w:space="0"/>
              <w:bottom w:val="single" w:color="000000" w:sz="4" w:space="0"/>
              <w:right w:val="nil"/>
            </w:tcBorders>
            <w:shd w:val="clear" w:color="auto" w:fill="auto"/>
            <w:vAlign w:val="center"/>
          </w:tcPr>
          <w:p>
            <w:pPr>
              <w:jc w:val="left"/>
              <w:rPr>
                <w:rFonts w:ascii="宋体" w:hAnsi="宋体" w:cs="宋体"/>
                <w:color w:val="000000"/>
                <w:sz w:val="20"/>
                <w:szCs w:val="20"/>
              </w:rPr>
            </w:pP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326"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80.87</w:t>
            </w:r>
          </w:p>
        </w:tc>
      </w:tr>
    </w:tbl>
    <w:p>
      <w:pPr>
        <w:ind w:firstLine="640" w:firstLineChars="200"/>
        <w:rPr>
          <w:rFonts w:ascii="仿宋_GB2312" w:eastAsia="仿宋_GB2312"/>
          <w:sz w:val="32"/>
          <w:szCs w:val="32"/>
        </w:rPr>
      </w:pPr>
    </w:p>
    <w:p>
      <w:pPr>
        <w:rPr>
          <w:rFonts w:ascii="仿宋_GB2312" w:eastAsia="仿宋_GB2312"/>
          <w:b/>
          <w:bCs/>
          <w:sz w:val="32"/>
          <w:szCs w:val="32"/>
        </w:rPr>
        <w:sectPr>
          <w:pgSz w:w="16838" w:h="11906" w:orient="landscape"/>
          <w:pgMar w:top="1800" w:right="1440" w:bottom="1800" w:left="1440" w:header="851" w:footer="992" w:gutter="0"/>
          <w:cols w:space="720" w:num="1"/>
          <w:docGrid w:type="lines" w:linePitch="312" w:charSpace="0"/>
        </w:sectPr>
      </w:pPr>
    </w:p>
    <w:p>
      <w:pPr>
        <w:keepNext/>
        <w:keepLines/>
        <w:spacing w:line="560" w:lineRule="exact"/>
        <w:ind w:firstLine="642" w:firstLineChars="200"/>
        <w:outlineLvl w:val="1"/>
        <w:rPr>
          <w:rFonts w:ascii="黑体" w:hAnsi="黑体" w:eastAsia="楷体"/>
          <w:b/>
          <w:bCs/>
          <w:kern w:val="44"/>
          <w:sz w:val="32"/>
          <w:szCs w:val="30"/>
        </w:rPr>
      </w:pPr>
      <w:bookmarkStart w:id="42" w:name="_Toc142059708"/>
      <w:r>
        <w:rPr>
          <w:rFonts w:hint="eastAsia" w:ascii="黑体" w:hAnsi="黑体" w:eastAsia="楷体"/>
          <w:b/>
          <w:bCs/>
          <w:kern w:val="44"/>
          <w:sz w:val="32"/>
          <w:szCs w:val="30"/>
        </w:rPr>
        <w:t>附件（二）石狮市民政局2022年养老服务业项目各项目实际支出情况表</w:t>
      </w:r>
      <w:bookmarkEnd w:id="42"/>
    </w:p>
    <w:tbl>
      <w:tblPr>
        <w:tblStyle w:val="12"/>
        <w:tblW w:w="5000" w:type="pct"/>
        <w:tblInd w:w="0" w:type="dxa"/>
        <w:tblLayout w:type="fixed"/>
        <w:tblCellMar>
          <w:top w:w="0" w:type="dxa"/>
          <w:left w:w="108" w:type="dxa"/>
          <w:bottom w:w="0" w:type="dxa"/>
          <w:right w:w="108" w:type="dxa"/>
        </w:tblCellMar>
      </w:tblPr>
      <w:tblGrid>
        <w:gridCol w:w="654"/>
        <w:gridCol w:w="658"/>
        <w:gridCol w:w="3002"/>
        <w:gridCol w:w="726"/>
        <w:gridCol w:w="1091"/>
        <w:gridCol w:w="1120"/>
        <w:gridCol w:w="1112"/>
        <w:gridCol w:w="2729"/>
        <w:gridCol w:w="1781"/>
        <w:gridCol w:w="1302"/>
      </w:tblGrid>
      <w:tr>
        <w:tblPrEx>
          <w:tblCellMar>
            <w:top w:w="0" w:type="dxa"/>
            <w:left w:w="108" w:type="dxa"/>
            <w:bottom w:w="0" w:type="dxa"/>
            <w:right w:w="108" w:type="dxa"/>
          </w:tblCellMar>
        </w:tblPrEx>
        <w:trPr>
          <w:trHeight w:val="630" w:hRule="atLeast"/>
          <w:tblHeader/>
        </w:trPr>
        <w:tc>
          <w:tcPr>
            <w:tcW w:w="5000" w:type="pct"/>
            <w:gridSpan w:val="10"/>
            <w:tcBorders>
              <w:top w:val="single" w:color="000000" w:sz="8" w:space="0"/>
              <w:left w:val="single" w:color="000000" w:sz="8" w:space="0"/>
              <w:bottom w:val="single" w:color="000000" w:sz="4" w:space="0"/>
              <w:right w:val="single" w:color="000000" w:sz="8" w:space="0"/>
            </w:tcBorders>
            <w:shd w:val="clear" w:color="auto" w:fill="auto"/>
            <w:noWrap/>
            <w:vAlign w:val="center"/>
          </w:tcPr>
          <w:p>
            <w:pPr>
              <w:widowControl/>
              <w:jc w:val="center"/>
              <w:textAlignment w:val="center"/>
              <w:rPr>
                <w:rFonts w:ascii="宋体" w:hAnsi="宋体" w:cs="宋体"/>
                <w:color w:val="000000"/>
                <w:sz w:val="48"/>
                <w:szCs w:val="48"/>
              </w:rPr>
            </w:pPr>
            <w:r>
              <w:rPr>
                <w:rFonts w:hint="eastAsia" w:ascii="仿宋_GB2312" w:eastAsia="仿宋_GB2312"/>
                <w:b/>
                <w:bCs/>
                <w:sz w:val="32"/>
                <w:szCs w:val="32"/>
              </w:rPr>
              <w:t>石狮市民政局2022年养老服务业项目各项目实际支出情况表</w:t>
            </w:r>
          </w:p>
        </w:tc>
      </w:tr>
      <w:tr>
        <w:tblPrEx>
          <w:tblCellMar>
            <w:top w:w="0" w:type="dxa"/>
            <w:left w:w="108" w:type="dxa"/>
            <w:bottom w:w="0" w:type="dxa"/>
            <w:right w:w="108" w:type="dxa"/>
          </w:tblCellMar>
        </w:tblPrEx>
        <w:trPr>
          <w:trHeight w:val="540" w:hRule="atLeast"/>
          <w:tblHeader/>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序号</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年份</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项目名称</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补贴方向</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补贴金额（万元）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验收时间</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拨付时间</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补贴政策</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相关要求</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备注</w:t>
            </w:r>
          </w:p>
        </w:tc>
      </w:tr>
      <w:tr>
        <w:tblPrEx>
          <w:tblCellMar>
            <w:top w:w="0" w:type="dxa"/>
            <w:left w:w="108" w:type="dxa"/>
            <w:bottom w:w="0" w:type="dxa"/>
            <w:right w:w="108" w:type="dxa"/>
          </w:tblCellMar>
        </w:tblPrEx>
        <w:trPr>
          <w:trHeight w:val="27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民办养老机构床位运营补助</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床位补贴</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14.0148</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1.养老服务专项业务管理办法的通知（闽民养老〔2019〕87号）</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2.关石狮市人民政府关于印发《石狮市推进养老事业发展奖励补助标准》的通知（狮政综〔2018〕13号）</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3.福建省财政厅 福建省民政厅关于下达2021年民办养老机构开办及床位运营补贴和援建对口帮扶资金的通知（闽财社指〔2021〕62号）</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4.泉州市财政局_泉州市民政局关于下达2020年泉州民办养老机构市级床位运营补助资金的通知（泉财指标〔2021〕766号）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申请床位运营补贴的，应当提供老年人花名册（含自理老人和失能老人），其中属公建民营的养老服务机构，应当提供公建民营的合作协议和主管部门审批文件；营利性养老机构还应当提供护理型床位达到30%以上的相关证明材料；居家社区养老服务照料中心还应当提供与街道（乡镇）的合作协议、自有产权证明或场所租赁合同证明；</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2"/>
                <w:szCs w:val="22"/>
              </w:rPr>
            </w:pPr>
          </w:p>
        </w:tc>
      </w:tr>
      <w:tr>
        <w:tblPrEx>
          <w:tblCellMar>
            <w:top w:w="0" w:type="dxa"/>
            <w:left w:w="108" w:type="dxa"/>
            <w:bottom w:w="0" w:type="dxa"/>
            <w:right w:w="108" w:type="dxa"/>
          </w:tblCellMar>
        </w:tblPrEx>
        <w:trPr>
          <w:trHeight w:val="54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居家养老服务照料中心补助</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改造提升养老服务中心</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2022.11.11</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石狮市人民政府关于印发《石狮市推进养老事业发展奖励补助标准》的通知  狮政综〔2018〕13号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2"/>
                <w:szCs w:val="22"/>
              </w:rPr>
            </w:pPr>
          </w:p>
        </w:tc>
      </w:tr>
      <w:tr>
        <w:tblPrEx>
          <w:tblCellMar>
            <w:top w:w="0" w:type="dxa"/>
            <w:left w:w="108" w:type="dxa"/>
            <w:bottom w:w="0" w:type="dxa"/>
            <w:right w:w="108" w:type="dxa"/>
          </w:tblCellMar>
        </w:tblPrEx>
        <w:trPr>
          <w:trHeight w:val="54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一次性开办补助（红景天雅园）</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开办养老院</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2018</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2022.12.19</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石狮市人民政府关于印发《石狮市推进养老事业发展奖励补助标准》的通知  狮政综〔2018〕13号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公建民营，租房且租期5年(含)以上，床位50张(含)以上，法定手续齐全。</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300万元，分五年支付</w:t>
            </w:r>
          </w:p>
        </w:tc>
      </w:tr>
      <w:tr>
        <w:tblPrEx>
          <w:tblCellMar>
            <w:top w:w="0" w:type="dxa"/>
            <w:left w:w="108" w:type="dxa"/>
            <w:bottom w:w="0" w:type="dxa"/>
            <w:right w:w="108" w:type="dxa"/>
          </w:tblCellMar>
        </w:tblPrEx>
        <w:trPr>
          <w:trHeight w:val="141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农村幸福院项目（莲中）</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泉州市民政局关于印发2021年泉州市养老服务工作要点的通知（泉民养老〔2021〕4号                                 石狮市民政局关于下达2021年为民办实事项目及养老贴心工程项目石狮市级补助资金的通知狮民〔2021〕99号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要求建筑面积200平方米左右，设置10张机构养老床位或日间照料床位，建成具备为农村老年人提供就餐、短期托养、家政服务、文化娱乐等服务的公益性服务场所。</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新建或改扩建</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个农村居家养老服务站</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农村幸福院）市级财政投入</w:t>
            </w:r>
            <w:r>
              <w:rPr>
                <w:rFonts w:ascii="STSong-Light" w:hAnsi="STSong-Light" w:eastAsia="STSong-Light" w:cs="STSong-Light"/>
                <w:color w:val="000000"/>
                <w:kern w:val="0"/>
                <w:sz w:val="22"/>
                <w:szCs w:val="22"/>
                <w:lang w:bidi="ar"/>
              </w:rPr>
              <w:t>450</w:t>
            </w:r>
            <w:r>
              <w:rPr>
                <w:rFonts w:hint="eastAsia" w:ascii="宋体" w:hAnsi="宋体" w:cs="宋体"/>
                <w:color w:val="000000"/>
                <w:kern w:val="0"/>
                <w:sz w:val="22"/>
                <w:szCs w:val="22"/>
                <w:lang w:bidi="ar"/>
              </w:rPr>
              <w:t>万元、县级财政配套</w:t>
            </w:r>
            <w:r>
              <w:rPr>
                <w:rFonts w:ascii="STSong-Light" w:hAnsi="STSong-Light" w:eastAsia="STSong-Light" w:cs="STSong-Light"/>
                <w:color w:val="000000"/>
                <w:kern w:val="0"/>
                <w:sz w:val="22"/>
                <w:szCs w:val="22"/>
                <w:lang w:bidi="ar"/>
              </w:rPr>
              <w:t>450</w:t>
            </w:r>
            <w:r>
              <w:rPr>
                <w:rFonts w:hint="eastAsia" w:ascii="宋体" w:hAnsi="宋体" w:cs="宋体"/>
                <w:color w:val="000000"/>
                <w:kern w:val="0"/>
                <w:sz w:val="22"/>
                <w:szCs w:val="22"/>
                <w:lang w:bidi="ar"/>
              </w:rPr>
              <w:t>万元，新建或改扩建</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个居家养老服务站</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农村幸福院</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，每个补助</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万元。</w:t>
            </w:r>
            <w:r>
              <w:rPr>
                <w:rFonts w:hint="eastAsia" w:ascii="宋体" w:hAnsi="宋体" w:cs="宋体"/>
                <w:color w:val="00B0F0"/>
                <w:kern w:val="0"/>
                <w:sz w:val="22"/>
                <w:szCs w:val="22"/>
                <w:lang w:bidi="ar"/>
              </w:rPr>
              <w:t>（市与县级各占50%）</w:t>
            </w:r>
          </w:p>
        </w:tc>
      </w:tr>
      <w:tr>
        <w:tblPrEx>
          <w:tblCellMar>
            <w:top w:w="0" w:type="dxa"/>
            <w:left w:w="108" w:type="dxa"/>
            <w:bottom w:w="0" w:type="dxa"/>
            <w:right w:w="108" w:type="dxa"/>
          </w:tblCellMar>
        </w:tblPrEx>
        <w:trPr>
          <w:trHeight w:val="141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农村幸福院项目（莲厝）</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泉州市民政局关于印发2021年泉州市养老服务工作要点的通知（泉民养老〔2021〕4号                                 石狮市民政局关于下达2021年为民办实事项目及养老贴心工程项目石狮市级补助资金的通知狮民〔2021〕99号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要求建筑面积200平方米左右，设置10张机构养老床位或日间照料床位，建成具备为农村老年人提供就餐、短期托养、家政服务、文化娱乐等服务的公益性服务场所。</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新建或改扩建</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个农村居家养老服务站</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农村幸福院）市级财政投入</w:t>
            </w:r>
            <w:r>
              <w:rPr>
                <w:rFonts w:ascii="STSong-Light" w:hAnsi="STSong-Light" w:eastAsia="STSong-Light" w:cs="STSong-Light"/>
                <w:color w:val="000000"/>
                <w:kern w:val="0"/>
                <w:sz w:val="22"/>
                <w:szCs w:val="22"/>
                <w:lang w:bidi="ar"/>
              </w:rPr>
              <w:t>450</w:t>
            </w:r>
            <w:r>
              <w:rPr>
                <w:rFonts w:hint="eastAsia" w:ascii="宋体" w:hAnsi="宋体" w:cs="宋体"/>
                <w:color w:val="000000"/>
                <w:kern w:val="0"/>
                <w:sz w:val="22"/>
                <w:szCs w:val="22"/>
                <w:lang w:bidi="ar"/>
              </w:rPr>
              <w:t>万元、县级财政配套</w:t>
            </w:r>
            <w:r>
              <w:rPr>
                <w:rFonts w:ascii="STSong-Light" w:hAnsi="STSong-Light" w:eastAsia="STSong-Light" w:cs="STSong-Light"/>
                <w:color w:val="000000"/>
                <w:kern w:val="0"/>
                <w:sz w:val="22"/>
                <w:szCs w:val="22"/>
                <w:lang w:bidi="ar"/>
              </w:rPr>
              <w:t>450</w:t>
            </w:r>
            <w:r>
              <w:rPr>
                <w:rFonts w:hint="eastAsia" w:ascii="宋体" w:hAnsi="宋体" w:cs="宋体"/>
                <w:color w:val="000000"/>
                <w:kern w:val="0"/>
                <w:sz w:val="22"/>
                <w:szCs w:val="22"/>
                <w:lang w:bidi="ar"/>
              </w:rPr>
              <w:t>万元，新建或改扩建</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个居家养老服务站</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农村幸福院</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，每个补助</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万元。</w:t>
            </w:r>
            <w:r>
              <w:rPr>
                <w:rFonts w:hint="eastAsia" w:ascii="宋体" w:hAnsi="宋体" w:cs="宋体"/>
                <w:color w:val="00B0F0"/>
                <w:kern w:val="0"/>
                <w:sz w:val="22"/>
                <w:szCs w:val="22"/>
                <w:lang w:bidi="ar"/>
              </w:rPr>
              <w:t>（市与县级各占50%）</w:t>
            </w:r>
          </w:p>
        </w:tc>
      </w:tr>
      <w:tr>
        <w:tblPrEx>
          <w:tblCellMar>
            <w:top w:w="0" w:type="dxa"/>
            <w:left w:w="108" w:type="dxa"/>
            <w:bottom w:w="0" w:type="dxa"/>
            <w:right w:w="108" w:type="dxa"/>
          </w:tblCellMar>
        </w:tblPrEx>
        <w:trPr>
          <w:trHeight w:val="111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长者食堂项目（金埭）</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2020.9</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泉州市民政局关于印发2021年泉州市养老服务工作要点的通知（泉民养老〔2021〕4号                                 石狮市民政局关于下达2021年为民办实事项目及养老贴心工程项目石狮市级补助资金的通知狮民〔2021〕99号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在街道和重点乡镇的居家社区养老服务照料中心、农村幸福院或养老服务机构中，新办或改扩建</w:t>
            </w:r>
            <w:r>
              <w:rPr>
                <w:rFonts w:ascii="STSong-Light" w:hAnsi="STSong-Light" w:eastAsia="STSong-Light" w:cs="STSong-Light"/>
                <w:color w:val="000000"/>
                <w:kern w:val="0"/>
                <w:sz w:val="22"/>
                <w:szCs w:val="22"/>
                <w:lang w:bidi="ar"/>
              </w:rPr>
              <w:t>20</w:t>
            </w:r>
            <w:r>
              <w:rPr>
                <w:rFonts w:hint="eastAsia" w:ascii="宋体" w:hAnsi="宋体" w:cs="宋体"/>
                <w:color w:val="000000"/>
                <w:kern w:val="0"/>
                <w:sz w:val="22"/>
                <w:szCs w:val="22"/>
                <w:lang w:bidi="ar"/>
              </w:rPr>
              <w:t>个长者食堂，每个补助</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万元。</w:t>
            </w:r>
            <w:r>
              <w:rPr>
                <w:rFonts w:hint="eastAsia" w:ascii="宋体" w:hAnsi="宋体" w:cs="宋体"/>
                <w:color w:val="00B0F0"/>
                <w:kern w:val="0"/>
                <w:sz w:val="22"/>
                <w:szCs w:val="22"/>
                <w:lang w:bidi="ar"/>
              </w:rPr>
              <w:t>（市与县级各占</w:t>
            </w:r>
            <w:r>
              <w:rPr>
                <w:rFonts w:ascii="STSong-Light" w:hAnsi="STSong-Light" w:eastAsia="STSong-Light" w:cs="STSong-Light"/>
                <w:color w:val="00B0F0"/>
                <w:kern w:val="0"/>
                <w:sz w:val="22"/>
                <w:szCs w:val="22"/>
                <w:lang w:bidi="ar"/>
              </w:rPr>
              <w:t>50%</w:t>
            </w:r>
            <w:r>
              <w:rPr>
                <w:rFonts w:hint="eastAsia" w:ascii="宋体" w:hAnsi="宋体" w:cs="宋体"/>
                <w:color w:val="00B0F0"/>
                <w:kern w:val="0"/>
                <w:sz w:val="22"/>
                <w:szCs w:val="22"/>
                <w:lang w:bidi="ar"/>
              </w:rPr>
              <w:t>）</w:t>
            </w:r>
          </w:p>
        </w:tc>
      </w:tr>
      <w:tr>
        <w:tblPrEx>
          <w:tblCellMar>
            <w:top w:w="0" w:type="dxa"/>
            <w:left w:w="108" w:type="dxa"/>
            <w:bottom w:w="0" w:type="dxa"/>
            <w:right w:w="108" w:type="dxa"/>
          </w:tblCellMar>
        </w:tblPrEx>
        <w:trPr>
          <w:trHeight w:val="111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2021</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长者食堂项目（洪厝）</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2022.1.6</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2022.04.27</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泉州市民政局关于印发2021年泉州市养老服务工作要点的通知（泉民养老〔2021〕4号                                 石狮市民政局关于下达2021年为民办实事项目及养老贴心工程项目石狮市级补助资金的通知狮民〔2021〕99号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在街道和重点乡镇的居家社区养老服务照料中心、农村幸福院或养老服务机构中，新办或改扩建</w:t>
            </w:r>
            <w:r>
              <w:rPr>
                <w:rFonts w:ascii="STSong-Light" w:hAnsi="STSong-Light" w:eastAsia="STSong-Light" w:cs="STSong-Light"/>
                <w:color w:val="000000"/>
                <w:kern w:val="0"/>
                <w:sz w:val="22"/>
                <w:szCs w:val="22"/>
                <w:lang w:bidi="ar"/>
              </w:rPr>
              <w:t>20</w:t>
            </w:r>
            <w:r>
              <w:rPr>
                <w:rFonts w:hint="eastAsia" w:ascii="宋体" w:hAnsi="宋体" w:cs="宋体"/>
                <w:color w:val="000000"/>
                <w:kern w:val="0"/>
                <w:sz w:val="22"/>
                <w:szCs w:val="22"/>
                <w:lang w:bidi="ar"/>
              </w:rPr>
              <w:t>个长者食堂，每个补助</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万元。</w:t>
            </w:r>
            <w:r>
              <w:rPr>
                <w:rFonts w:hint="eastAsia" w:ascii="宋体" w:hAnsi="宋体" w:cs="宋体"/>
                <w:color w:val="00B0F0"/>
                <w:kern w:val="0"/>
                <w:sz w:val="22"/>
                <w:szCs w:val="22"/>
                <w:lang w:bidi="ar"/>
              </w:rPr>
              <w:t>（市与县级各占</w:t>
            </w:r>
            <w:r>
              <w:rPr>
                <w:rFonts w:ascii="STSong-Light" w:hAnsi="STSong-Light" w:eastAsia="STSong-Light" w:cs="STSong-Light"/>
                <w:color w:val="00B0F0"/>
                <w:kern w:val="0"/>
                <w:sz w:val="22"/>
                <w:szCs w:val="22"/>
                <w:lang w:bidi="ar"/>
              </w:rPr>
              <w:t>50%</w:t>
            </w:r>
            <w:r>
              <w:rPr>
                <w:rFonts w:hint="eastAsia" w:ascii="宋体" w:hAnsi="宋体" w:cs="宋体"/>
                <w:color w:val="00B0F0"/>
                <w:kern w:val="0"/>
                <w:sz w:val="22"/>
                <w:szCs w:val="22"/>
                <w:lang w:bidi="ar"/>
              </w:rPr>
              <w:t>）</w:t>
            </w:r>
          </w:p>
        </w:tc>
      </w:tr>
      <w:tr>
        <w:tblPrEx>
          <w:tblCellMar>
            <w:top w:w="0" w:type="dxa"/>
            <w:left w:w="108" w:type="dxa"/>
            <w:bottom w:w="0" w:type="dxa"/>
            <w:right w:w="108" w:type="dxa"/>
          </w:tblCellMar>
        </w:tblPrEx>
        <w:trPr>
          <w:trHeight w:val="111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长者食堂项目（港边）</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长者食堂</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2023.6</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2022.11/2023.02</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泉州市民政局关于印发2022年泉州市养老服务工作要点的通知（泉民养老〔2022〕4 号                                石狮市民政局关于下达2022年长者食堂和农村幸福院建设项目泉州市级补助资金的通知狮民〔2022〕43号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在街道和重点乡镇的居家社区养老服务照料中心、农村幸福院或养老服务机构中，新办或改扩建</w:t>
            </w:r>
            <w:r>
              <w:rPr>
                <w:rFonts w:ascii="STSong-Light" w:hAnsi="STSong-Light" w:eastAsia="STSong-Light" w:cs="STSong-Light"/>
                <w:color w:val="000000"/>
                <w:kern w:val="0"/>
                <w:sz w:val="22"/>
                <w:szCs w:val="22"/>
                <w:lang w:bidi="ar"/>
              </w:rPr>
              <w:t>20</w:t>
            </w:r>
            <w:r>
              <w:rPr>
                <w:rFonts w:hint="eastAsia" w:ascii="宋体" w:hAnsi="宋体" w:cs="宋体"/>
                <w:color w:val="000000"/>
                <w:kern w:val="0"/>
                <w:sz w:val="22"/>
                <w:szCs w:val="22"/>
                <w:lang w:bidi="ar"/>
              </w:rPr>
              <w:t>个长者食堂，每个补助</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万元。</w:t>
            </w:r>
            <w:r>
              <w:rPr>
                <w:rFonts w:hint="eastAsia" w:ascii="宋体" w:hAnsi="宋体" w:cs="宋体"/>
                <w:color w:val="00B0F0"/>
                <w:kern w:val="0"/>
                <w:sz w:val="22"/>
                <w:szCs w:val="22"/>
                <w:lang w:bidi="ar"/>
              </w:rPr>
              <w:t>（市与县级</w:t>
            </w:r>
            <w:r>
              <w:rPr>
                <w:rFonts w:ascii="STSong-Light" w:hAnsi="STSong-Light" w:eastAsia="STSong-Light" w:cs="STSong-Light"/>
                <w:color w:val="00B0F0"/>
                <w:kern w:val="0"/>
                <w:sz w:val="22"/>
                <w:szCs w:val="22"/>
                <w:lang w:bidi="ar"/>
              </w:rPr>
              <w:t>50%</w:t>
            </w:r>
            <w:r>
              <w:rPr>
                <w:rFonts w:hint="eastAsia" w:ascii="宋体" w:hAnsi="宋体" w:cs="宋体"/>
                <w:color w:val="00B0F0"/>
                <w:kern w:val="0"/>
                <w:sz w:val="22"/>
                <w:szCs w:val="22"/>
                <w:lang w:bidi="ar"/>
              </w:rPr>
              <w:t>）</w:t>
            </w:r>
          </w:p>
        </w:tc>
      </w:tr>
      <w:tr>
        <w:tblPrEx>
          <w:tblCellMar>
            <w:top w:w="0" w:type="dxa"/>
            <w:left w:w="108" w:type="dxa"/>
            <w:bottom w:w="0" w:type="dxa"/>
            <w:right w:w="108" w:type="dxa"/>
          </w:tblCellMar>
        </w:tblPrEx>
        <w:trPr>
          <w:trHeight w:val="1425"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w:t>
            </w: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农村幸福院项目（东店）</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农村幸福院</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2023.07-2023.08</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2022.12.19</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泉州市民政局关于印发2022年泉州市养老服务工作要点的通知（泉民养老〔2022〕4 号                                石狮市民政局关于下达2022年长者食堂和农村幸福院建设项目泉州市级补助资金的通知狮民〔2022〕43号</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要求建筑面积200平方米左右，设置10张机构养老床位或日间照料床位，建成具备为农村老年人提供就餐、短期托养、家政服务、文化娱乐等服务的公益性服务场所。</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新建或改扩建</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个农村居家养老服务站</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农村幸福院）市级财政投入</w:t>
            </w:r>
            <w:r>
              <w:rPr>
                <w:rFonts w:ascii="STSong-Light" w:hAnsi="STSong-Light" w:eastAsia="STSong-Light" w:cs="STSong-Light"/>
                <w:color w:val="000000"/>
                <w:kern w:val="0"/>
                <w:sz w:val="22"/>
                <w:szCs w:val="22"/>
                <w:lang w:bidi="ar"/>
              </w:rPr>
              <w:t>450</w:t>
            </w:r>
            <w:r>
              <w:rPr>
                <w:rFonts w:hint="eastAsia" w:ascii="宋体" w:hAnsi="宋体" w:cs="宋体"/>
                <w:color w:val="000000"/>
                <w:kern w:val="0"/>
                <w:sz w:val="22"/>
                <w:szCs w:val="22"/>
                <w:lang w:bidi="ar"/>
              </w:rPr>
              <w:t>万元、县级财政配套</w:t>
            </w:r>
            <w:r>
              <w:rPr>
                <w:rFonts w:ascii="STSong-Light" w:hAnsi="STSong-Light" w:eastAsia="STSong-Light" w:cs="STSong-Light"/>
                <w:color w:val="000000"/>
                <w:kern w:val="0"/>
                <w:sz w:val="22"/>
                <w:szCs w:val="22"/>
                <w:lang w:bidi="ar"/>
              </w:rPr>
              <w:t>450</w:t>
            </w:r>
            <w:r>
              <w:rPr>
                <w:rFonts w:hint="eastAsia" w:ascii="宋体" w:hAnsi="宋体" w:cs="宋体"/>
                <w:color w:val="000000"/>
                <w:kern w:val="0"/>
                <w:sz w:val="22"/>
                <w:szCs w:val="22"/>
                <w:lang w:bidi="ar"/>
              </w:rPr>
              <w:t>万元，新建或改扩建</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个居家养老服务站</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农村幸福院</w:t>
            </w:r>
            <w:r>
              <w:rPr>
                <w:rFonts w:ascii="STSong-Light" w:hAnsi="STSong-Light" w:eastAsia="STSong-Light" w:cs="STSong-Light"/>
                <w:color w:val="000000"/>
                <w:kern w:val="0"/>
                <w:sz w:val="22"/>
                <w:szCs w:val="22"/>
                <w:lang w:bidi="ar"/>
              </w:rPr>
              <w:t>)</w:t>
            </w:r>
            <w:r>
              <w:rPr>
                <w:rFonts w:hint="eastAsia" w:ascii="宋体" w:hAnsi="宋体" w:cs="宋体"/>
                <w:color w:val="000000"/>
                <w:kern w:val="0"/>
                <w:sz w:val="22"/>
                <w:szCs w:val="22"/>
                <w:lang w:bidi="ar"/>
              </w:rPr>
              <w:t>，每个补助</w:t>
            </w:r>
            <w:r>
              <w:rPr>
                <w:rFonts w:ascii="STSong-Light" w:hAnsi="STSong-Light" w:eastAsia="STSong-Light" w:cs="STSong-Light"/>
                <w:color w:val="000000"/>
                <w:kern w:val="0"/>
                <w:sz w:val="22"/>
                <w:szCs w:val="22"/>
                <w:lang w:bidi="ar"/>
              </w:rPr>
              <w:t>30</w:t>
            </w:r>
            <w:r>
              <w:rPr>
                <w:rFonts w:hint="eastAsia" w:ascii="宋体" w:hAnsi="宋体" w:cs="宋体"/>
                <w:color w:val="000000"/>
                <w:kern w:val="0"/>
                <w:sz w:val="22"/>
                <w:szCs w:val="22"/>
                <w:lang w:bidi="ar"/>
              </w:rPr>
              <w:t>万元。</w:t>
            </w:r>
            <w:r>
              <w:rPr>
                <w:rFonts w:hint="eastAsia" w:ascii="宋体" w:hAnsi="宋体" w:cs="宋体"/>
                <w:color w:val="00B0F0"/>
                <w:kern w:val="0"/>
                <w:sz w:val="22"/>
                <w:szCs w:val="22"/>
                <w:lang w:bidi="ar"/>
              </w:rPr>
              <w:t>（市与县级各</w:t>
            </w:r>
            <w:r>
              <w:rPr>
                <w:rFonts w:ascii="STSong-Light" w:hAnsi="STSong-Light" w:eastAsia="STSong-Light" w:cs="STSong-Light"/>
                <w:color w:val="00B0F0"/>
                <w:kern w:val="0"/>
                <w:sz w:val="22"/>
                <w:szCs w:val="22"/>
                <w:lang w:bidi="ar"/>
              </w:rPr>
              <w:t>50%</w:t>
            </w:r>
            <w:r>
              <w:rPr>
                <w:rFonts w:hint="eastAsia" w:ascii="宋体" w:hAnsi="宋体" w:cs="宋体"/>
                <w:color w:val="00B0F0"/>
                <w:kern w:val="0"/>
                <w:sz w:val="22"/>
                <w:szCs w:val="22"/>
                <w:lang w:bidi="ar"/>
              </w:rPr>
              <w:t>）</w:t>
            </w:r>
          </w:p>
        </w:tc>
      </w:tr>
      <w:tr>
        <w:tblPrEx>
          <w:tblCellMar>
            <w:top w:w="0" w:type="dxa"/>
            <w:left w:w="108" w:type="dxa"/>
            <w:bottom w:w="0" w:type="dxa"/>
            <w:right w:w="108" w:type="dxa"/>
          </w:tblCellMar>
        </w:tblPrEx>
        <w:trPr>
          <w:trHeight w:val="27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0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合计</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194.0148</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r>
    </w:tbl>
    <w:p>
      <w:pPr>
        <w:rPr>
          <w:rFonts w:ascii="仿宋_GB2312" w:eastAsia="仿宋_GB2312"/>
          <w:b/>
          <w:bCs/>
          <w:sz w:val="32"/>
          <w:szCs w:val="32"/>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0000019F" w:csb1="00000000"/>
  </w:font>
  <w:font w:name="FreeSerif">
    <w:panose1 w:val="02020603050405020304"/>
    <w:charset w:val="00"/>
    <w:family w:val="auto"/>
    <w:pitch w:val="default"/>
    <w:sig w:usb0="E59FAFFF" w:usb1="C200FDFF" w:usb2="43501B29" w:usb3="04000043" w:csb0="600101FF" w:csb1="FFFF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STSong-Light">
    <w:altName w:val="Times New Roman"/>
    <w:panose1 w:val="00000000000000000000"/>
    <w:charset w:val="00"/>
    <w:family w:val="auto"/>
    <w:pitch w:val="default"/>
    <w:sig w:usb0="00000000" w:usb1="00000000" w:usb2="00000000" w:usb3="00000000" w:csb0="00000000" w:csb1="00000000"/>
  </w:font>
  <w:font w:name="仿宋">
    <w:altName w:val="仿宋_GB2312"/>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5"/>
        <w:rFonts w:ascii="仿宋_GB2312" w:eastAsia="仿宋_GB2312"/>
        <w:sz w:val="28"/>
        <w:szCs w:val="28"/>
      </w:rPr>
    </w:pPr>
    <w:r>
      <w:rPr>
        <w:rFonts w:hint="eastAsia" w:ascii="仿宋_GB2312" w:eastAsia="仿宋_GB2312"/>
        <w:sz w:val="28"/>
        <w:szCs w:val="28"/>
      </w:rPr>
      <w:fldChar w:fldCharType="begin"/>
    </w:r>
    <w:r>
      <w:rPr>
        <w:rStyle w:val="15"/>
        <w:rFonts w:hint="eastAsia" w:ascii="仿宋_GB2312" w:eastAsia="仿宋_GB2312"/>
        <w:sz w:val="28"/>
        <w:szCs w:val="28"/>
      </w:rPr>
      <w:instrText xml:space="preserve">PAGE  </w:instrText>
    </w:r>
    <w:r>
      <w:rPr>
        <w:rFonts w:hint="eastAsia" w:ascii="仿宋_GB2312" w:eastAsia="仿宋_GB2312"/>
        <w:sz w:val="28"/>
        <w:szCs w:val="28"/>
      </w:rPr>
      <w:fldChar w:fldCharType="separate"/>
    </w:r>
    <w:r>
      <w:rPr>
        <w:rStyle w:val="15"/>
        <w:rFonts w:ascii="仿宋_GB2312" w:eastAsia="仿宋_GB2312"/>
        <w:sz w:val="28"/>
        <w:szCs w:val="28"/>
      </w:rPr>
      <w:t>- 6 -</w:t>
    </w:r>
    <w:r>
      <w:rPr>
        <w:rFonts w:hint="eastAsia" w:ascii="仿宋_GB2312" w:eastAsia="仿宋_GB2312"/>
        <w:sz w:val="28"/>
        <w:szCs w:val="28"/>
      </w:rP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6"/>
          <w:jc w:val="center"/>
        </w:pPr>
        <w:r>
          <w:fldChar w:fldCharType="begin"/>
        </w:r>
        <w:r>
          <w:instrText xml:space="preserve">PAGE   \* MERGEFORMAT</w:instrText>
        </w:r>
        <w:r>
          <w:fldChar w:fldCharType="separate"/>
        </w:r>
        <w:r>
          <w:rPr>
            <w:lang w:val="zh-CN"/>
          </w:rPr>
          <w:t>25</w:t>
        </w:r>
        <w:r>
          <w:fldChar w:fldCharType="end"/>
        </w:r>
      </w:p>
    </w:sdtContent>
  </w:sdt>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D7D75"/>
    <w:multiLevelType w:val="singleLevel"/>
    <w:tmpl w:val="C89D7D75"/>
    <w:lvl w:ilvl="0" w:tentative="0">
      <w:start w:val="1"/>
      <w:numFmt w:val="decimal"/>
      <w:lvlText w:val="%1."/>
      <w:lvlJc w:val="left"/>
      <w:pPr>
        <w:tabs>
          <w:tab w:val="left" w:pos="312"/>
        </w:tabs>
      </w:pPr>
    </w:lvl>
  </w:abstractNum>
  <w:abstractNum w:abstractNumId="1">
    <w:nsid w:val="20F98BFB"/>
    <w:multiLevelType w:val="singleLevel"/>
    <w:tmpl w:val="20F98BFB"/>
    <w:lvl w:ilvl="0" w:tentative="0">
      <w:start w:val="7"/>
      <w:numFmt w:val="chineseCounting"/>
      <w:suff w:val="nothing"/>
      <w:lvlText w:val="%1、"/>
      <w:lvlJc w:val="left"/>
      <w:rPr>
        <w:rFonts w:hint="eastAsia"/>
      </w:rPr>
    </w:lvl>
  </w:abstractNum>
  <w:abstractNum w:abstractNumId="2">
    <w:nsid w:val="2C1BEAB8"/>
    <w:multiLevelType w:val="singleLevel"/>
    <w:tmpl w:val="2C1BEAB8"/>
    <w:lvl w:ilvl="0" w:tentative="0">
      <w:start w:val="5"/>
      <w:numFmt w:val="chineseCounting"/>
      <w:suff w:val="nothing"/>
      <w:lvlText w:val="(%1）"/>
      <w:lvlJc w:val="left"/>
      <w:rPr>
        <w:rFonts w:hint="eastAsia"/>
      </w:rPr>
    </w:lvl>
  </w:abstractNum>
  <w:abstractNum w:abstractNumId="3">
    <w:nsid w:val="6D6AB197"/>
    <w:multiLevelType w:val="singleLevel"/>
    <w:tmpl w:val="6D6AB197"/>
    <w:lvl w:ilvl="0" w:tentative="0">
      <w:start w:val="3"/>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kNTA2YjcwMjQzYzg3NjM4Y2U1MDE2ZDg2ZjBmZmMifQ=="/>
  </w:docVars>
  <w:rsids>
    <w:rsidRoot w:val="00172A27"/>
    <w:rsid w:val="000017D8"/>
    <w:rsid w:val="000038B8"/>
    <w:rsid w:val="00003BC7"/>
    <w:rsid w:val="00004D8B"/>
    <w:rsid w:val="000115FA"/>
    <w:rsid w:val="00014C8A"/>
    <w:rsid w:val="00015FB6"/>
    <w:rsid w:val="000165FC"/>
    <w:rsid w:val="00043035"/>
    <w:rsid w:val="0005715E"/>
    <w:rsid w:val="00064705"/>
    <w:rsid w:val="00070045"/>
    <w:rsid w:val="00072E87"/>
    <w:rsid w:val="00075ABD"/>
    <w:rsid w:val="00080B53"/>
    <w:rsid w:val="00086569"/>
    <w:rsid w:val="0009540E"/>
    <w:rsid w:val="000A784B"/>
    <w:rsid w:val="000B4388"/>
    <w:rsid w:val="000B50C2"/>
    <w:rsid w:val="000B6650"/>
    <w:rsid w:val="000B7339"/>
    <w:rsid w:val="000B7968"/>
    <w:rsid w:val="000C0980"/>
    <w:rsid w:val="000C1D9C"/>
    <w:rsid w:val="000D2F44"/>
    <w:rsid w:val="000D3C9E"/>
    <w:rsid w:val="000D4CE1"/>
    <w:rsid w:val="000D578F"/>
    <w:rsid w:val="000F102F"/>
    <w:rsid w:val="000F15ED"/>
    <w:rsid w:val="000F7A9C"/>
    <w:rsid w:val="00100BE7"/>
    <w:rsid w:val="001128AE"/>
    <w:rsid w:val="00126EE8"/>
    <w:rsid w:val="00140E36"/>
    <w:rsid w:val="001609A0"/>
    <w:rsid w:val="00171C56"/>
    <w:rsid w:val="00172A27"/>
    <w:rsid w:val="001868B4"/>
    <w:rsid w:val="00192263"/>
    <w:rsid w:val="0019725F"/>
    <w:rsid w:val="001A1061"/>
    <w:rsid w:val="001A23DD"/>
    <w:rsid w:val="001B13DF"/>
    <w:rsid w:val="001B7741"/>
    <w:rsid w:val="001C23AA"/>
    <w:rsid w:val="001C2ACC"/>
    <w:rsid w:val="001E42F3"/>
    <w:rsid w:val="001E4D4D"/>
    <w:rsid w:val="001F02F0"/>
    <w:rsid w:val="00201B6B"/>
    <w:rsid w:val="00213AF7"/>
    <w:rsid w:val="00217878"/>
    <w:rsid w:val="002224CC"/>
    <w:rsid w:val="00224121"/>
    <w:rsid w:val="002335EC"/>
    <w:rsid w:val="00235230"/>
    <w:rsid w:val="0024579E"/>
    <w:rsid w:val="00267822"/>
    <w:rsid w:val="00267FDE"/>
    <w:rsid w:val="002730CB"/>
    <w:rsid w:val="00275028"/>
    <w:rsid w:val="00291922"/>
    <w:rsid w:val="00297282"/>
    <w:rsid w:val="002A0335"/>
    <w:rsid w:val="002A0A60"/>
    <w:rsid w:val="002C16DB"/>
    <w:rsid w:val="002C3B8C"/>
    <w:rsid w:val="002C422A"/>
    <w:rsid w:val="002E4EE6"/>
    <w:rsid w:val="002F131C"/>
    <w:rsid w:val="00311C74"/>
    <w:rsid w:val="00311D71"/>
    <w:rsid w:val="003160F1"/>
    <w:rsid w:val="00330E20"/>
    <w:rsid w:val="0033615D"/>
    <w:rsid w:val="00361FAE"/>
    <w:rsid w:val="0036343E"/>
    <w:rsid w:val="00367838"/>
    <w:rsid w:val="003757A3"/>
    <w:rsid w:val="00380340"/>
    <w:rsid w:val="00380C3A"/>
    <w:rsid w:val="00382ADC"/>
    <w:rsid w:val="0038538F"/>
    <w:rsid w:val="0038586A"/>
    <w:rsid w:val="00385B6F"/>
    <w:rsid w:val="003B0128"/>
    <w:rsid w:val="003B157E"/>
    <w:rsid w:val="003B38EA"/>
    <w:rsid w:val="003B713C"/>
    <w:rsid w:val="003D06D5"/>
    <w:rsid w:val="003E15EF"/>
    <w:rsid w:val="003E2B41"/>
    <w:rsid w:val="003E4CDC"/>
    <w:rsid w:val="003F00AD"/>
    <w:rsid w:val="003F1A82"/>
    <w:rsid w:val="003F285B"/>
    <w:rsid w:val="003F6BB6"/>
    <w:rsid w:val="0040576D"/>
    <w:rsid w:val="00405A4C"/>
    <w:rsid w:val="00413F35"/>
    <w:rsid w:val="00427D8C"/>
    <w:rsid w:val="004302FA"/>
    <w:rsid w:val="00430FE7"/>
    <w:rsid w:val="00432082"/>
    <w:rsid w:val="00432C68"/>
    <w:rsid w:val="00445950"/>
    <w:rsid w:val="00451618"/>
    <w:rsid w:val="00453419"/>
    <w:rsid w:val="00453A0A"/>
    <w:rsid w:val="004579ED"/>
    <w:rsid w:val="00463E95"/>
    <w:rsid w:val="004A15E0"/>
    <w:rsid w:val="004A6913"/>
    <w:rsid w:val="004B3EBC"/>
    <w:rsid w:val="004B51CC"/>
    <w:rsid w:val="004B78FD"/>
    <w:rsid w:val="004C15C5"/>
    <w:rsid w:val="004C483F"/>
    <w:rsid w:val="004D068B"/>
    <w:rsid w:val="004D18EC"/>
    <w:rsid w:val="004F1683"/>
    <w:rsid w:val="004F4014"/>
    <w:rsid w:val="005000A6"/>
    <w:rsid w:val="00511D56"/>
    <w:rsid w:val="00512F9F"/>
    <w:rsid w:val="00514299"/>
    <w:rsid w:val="00514C61"/>
    <w:rsid w:val="0053477A"/>
    <w:rsid w:val="005439DB"/>
    <w:rsid w:val="00562C25"/>
    <w:rsid w:val="00572B75"/>
    <w:rsid w:val="005850F6"/>
    <w:rsid w:val="00595D6B"/>
    <w:rsid w:val="005A4ABD"/>
    <w:rsid w:val="005B1DA0"/>
    <w:rsid w:val="005B34AA"/>
    <w:rsid w:val="005B73AC"/>
    <w:rsid w:val="005C60A4"/>
    <w:rsid w:val="005C75ED"/>
    <w:rsid w:val="005D6FFD"/>
    <w:rsid w:val="005F1F08"/>
    <w:rsid w:val="005F4D80"/>
    <w:rsid w:val="005F5492"/>
    <w:rsid w:val="00603819"/>
    <w:rsid w:val="0061208B"/>
    <w:rsid w:val="00615C6F"/>
    <w:rsid w:val="006218C8"/>
    <w:rsid w:val="00624551"/>
    <w:rsid w:val="00627419"/>
    <w:rsid w:val="00627739"/>
    <w:rsid w:val="00627EB9"/>
    <w:rsid w:val="0063497C"/>
    <w:rsid w:val="00636467"/>
    <w:rsid w:val="00636A37"/>
    <w:rsid w:val="006451BE"/>
    <w:rsid w:val="00657389"/>
    <w:rsid w:val="0066523F"/>
    <w:rsid w:val="00670888"/>
    <w:rsid w:val="00675364"/>
    <w:rsid w:val="00690705"/>
    <w:rsid w:val="00695788"/>
    <w:rsid w:val="006A58B0"/>
    <w:rsid w:val="006B5B43"/>
    <w:rsid w:val="006C0122"/>
    <w:rsid w:val="006C0F65"/>
    <w:rsid w:val="006C1E1E"/>
    <w:rsid w:val="006C483C"/>
    <w:rsid w:val="006D417B"/>
    <w:rsid w:val="006D4ED7"/>
    <w:rsid w:val="006D7283"/>
    <w:rsid w:val="006D72E8"/>
    <w:rsid w:val="006E0623"/>
    <w:rsid w:val="006E2C08"/>
    <w:rsid w:val="006E4A1F"/>
    <w:rsid w:val="007003E3"/>
    <w:rsid w:val="00702366"/>
    <w:rsid w:val="00704D8D"/>
    <w:rsid w:val="007170C3"/>
    <w:rsid w:val="007170F4"/>
    <w:rsid w:val="00723311"/>
    <w:rsid w:val="00724EB0"/>
    <w:rsid w:val="007252F0"/>
    <w:rsid w:val="00730DB8"/>
    <w:rsid w:val="0073508F"/>
    <w:rsid w:val="00762909"/>
    <w:rsid w:val="0077517B"/>
    <w:rsid w:val="00776F03"/>
    <w:rsid w:val="00777607"/>
    <w:rsid w:val="00786CBA"/>
    <w:rsid w:val="007A542B"/>
    <w:rsid w:val="007B0506"/>
    <w:rsid w:val="007B24C1"/>
    <w:rsid w:val="007C4EA6"/>
    <w:rsid w:val="007D1566"/>
    <w:rsid w:val="007E1B31"/>
    <w:rsid w:val="007E751C"/>
    <w:rsid w:val="007F35AA"/>
    <w:rsid w:val="00806AA2"/>
    <w:rsid w:val="00807BF4"/>
    <w:rsid w:val="008131EB"/>
    <w:rsid w:val="00822BA1"/>
    <w:rsid w:val="0082522B"/>
    <w:rsid w:val="00836419"/>
    <w:rsid w:val="00840762"/>
    <w:rsid w:val="00840D06"/>
    <w:rsid w:val="00846395"/>
    <w:rsid w:val="00856C17"/>
    <w:rsid w:val="00856D36"/>
    <w:rsid w:val="00862BEC"/>
    <w:rsid w:val="0086514A"/>
    <w:rsid w:val="00866E14"/>
    <w:rsid w:val="00887982"/>
    <w:rsid w:val="008B3F4E"/>
    <w:rsid w:val="008C13EF"/>
    <w:rsid w:val="008C523F"/>
    <w:rsid w:val="008C646D"/>
    <w:rsid w:val="008C6507"/>
    <w:rsid w:val="008D2D3B"/>
    <w:rsid w:val="008F5F98"/>
    <w:rsid w:val="00906BD8"/>
    <w:rsid w:val="0091001E"/>
    <w:rsid w:val="00976BEB"/>
    <w:rsid w:val="009944D8"/>
    <w:rsid w:val="00995283"/>
    <w:rsid w:val="009968D2"/>
    <w:rsid w:val="009A1653"/>
    <w:rsid w:val="009A3EC1"/>
    <w:rsid w:val="009B0075"/>
    <w:rsid w:val="009C41B4"/>
    <w:rsid w:val="009C43B0"/>
    <w:rsid w:val="009C57BA"/>
    <w:rsid w:val="009D5BB2"/>
    <w:rsid w:val="009E0C9A"/>
    <w:rsid w:val="009E6F4E"/>
    <w:rsid w:val="009F0905"/>
    <w:rsid w:val="009F26A6"/>
    <w:rsid w:val="009F4498"/>
    <w:rsid w:val="00A11480"/>
    <w:rsid w:val="00A117B3"/>
    <w:rsid w:val="00A2372F"/>
    <w:rsid w:val="00A24DC1"/>
    <w:rsid w:val="00A300B5"/>
    <w:rsid w:val="00A413F6"/>
    <w:rsid w:val="00A50C8C"/>
    <w:rsid w:val="00A60F2E"/>
    <w:rsid w:val="00A81D57"/>
    <w:rsid w:val="00AA3D6A"/>
    <w:rsid w:val="00AA5CC7"/>
    <w:rsid w:val="00AB1D08"/>
    <w:rsid w:val="00AC4181"/>
    <w:rsid w:val="00AD1319"/>
    <w:rsid w:val="00AD2DA5"/>
    <w:rsid w:val="00AD7195"/>
    <w:rsid w:val="00AE7710"/>
    <w:rsid w:val="00AF3D7E"/>
    <w:rsid w:val="00B01FBA"/>
    <w:rsid w:val="00B1168F"/>
    <w:rsid w:val="00B133E4"/>
    <w:rsid w:val="00B24E6F"/>
    <w:rsid w:val="00B331CD"/>
    <w:rsid w:val="00B33C6A"/>
    <w:rsid w:val="00B474DD"/>
    <w:rsid w:val="00B60E8D"/>
    <w:rsid w:val="00B70AB5"/>
    <w:rsid w:val="00BA045D"/>
    <w:rsid w:val="00BA38E1"/>
    <w:rsid w:val="00BA5061"/>
    <w:rsid w:val="00BC2540"/>
    <w:rsid w:val="00BD178E"/>
    <w:rsid w:val="00BE3D61"/>
    <w:rsid w:val="00BE7CFB"/>
    <w:rsid w:val="00BF0427"/>
    <w:rsid w:val="00BF2D1B"/>
    <w:rsid w:val="00BF6A89"/>
    <w:rsid w:val="00C0548D"/>
    <w:rsid w:val="00C05625"/>
    <w:rsid w:val="00C11575"/>
    <w:rsid w:val="00C25726"/>
    <w:rsid w:val="00C30BDF"/>
    <w:rsid w:val="00C35D8D"/>
    <w:rsid w:val="00C56EFC"/>
    <w:rsid w:val="00C614D7"/>
    <w:rsid w:val="00C63B56"/>
    <w:rsid w:val="00C70440"/>
    <w:rsid w:val="00C74159"/>
    <w:rsid w:val="00C86934"/>
    <w:rsid w:val="00C87FB7"/>
    <w:rsid w:val="00CB2525"/>
    <w:rsid w:val="00CB3FC1"/>
    <w:rsid w:val="00CB73E1"/>
    <w:rsid w:val="00CC0AE6"/>
    <w:rsid w:val="00CC4B7F"/>
    <w:rsid w:val="00CD0FC3"/>
    <w:rsid w:val="00CD4AB3"/>
    <w:rsid w:val="00CE5612"/>
    <w:rsid w:val="00D25B84"/>
    <w:rsid w:val="00D573B6"/>
    <w:rsid w:val="00D57414"/>
    <w:rsid w:val="00D62D20"/>
    <w:rsid w:val="00D66A2B"/>
    <w:rsid w:val="00D704A5"/>
    <w:rsid w:val="00D81EDE"/>
    <w:rsid w:val="00D85DE1"/>
    <w:rsid w:val="00D96ACE"/>
    <w:rsid w:val="00D97180"/>
    <w:rsid w:val="00DA2457"/>
    <w:rsid w:val="00DA2ACB"/>
    <w:rsid w:val="00DB1EEF"/>
    <w:rsid w:val="00DB3EF5"/>
    <w:rsid w:val="00DB53F9"/>
    <w:rsid w:val="00DD19FC"/>
    <w:rsid w:val="00E12CAF"/>
    <w:rsid w:val="00E21185"/>
    <w:rsid w:val="00E34DB6"/>
    <w:rsid w:val="00E4001D"/>
    <w:rsid w:val="00E468C4"/>
    <w:rsid w:val="00E57E6C"/>
    <w:rsid w:val="00E61088"/>
    <w:rsid w:val="00E632FC"/>
    <w:rsid w:val="00E6447F"/>
    <w:rsid w:val="00E718EB"/>
    <w:rsid w:val="00E71BAA"/>
    <w:rsid w:val="00E756DB"/>
    <w:rsid w:val="00E77751"/>
    <w:rsid w:val="00E82FDC"/>
    <w:rsid w:val="00E83C60"/>
    <w:rsid w:val="00EA01A6"/>
    <w:rsid w:val="00EA71A0"/>
    <w:rsid w:val="00EB7334"/>
    <w:rsid w:val="00EE3CC2"/>
    <w:rsid w:val="00EE4344"/>
    <w:rsid w:val="00EE74B5"/>
    <w:rsid w:val="00EF6DC0"/>
    <w:rsid w:val="00EF7282"/>
    <w:rsid w:val="00EF7863"/>
    <w:rsid w:val="00F0032B"/>
    <w:rsid w:val="00F03D10"/>
    <w:rsid w:val="00F04253"/>
    <w:rsid w:val="00F37102"/>
    <w:rsid w:val="00F440A9"/>
    <w:rsid w:val="00F45548"/>
    <w:rsid w:val="00F45FE6"/>
    <w:rsid w:val="00F4702A"/>
    <w:rsid w:val="00F5326D"/>
    <w:rsid w:val="00F54FC1"/>
    <w:rsid w:val="00F5669A"/>
    <w:rsid w:val="00F626E7"/>
    <w:rsid w:val="00F644AE"/>
    <w:rsid w:val="00F731F3"/>
    <w:rsid w:val="00F75C43"/>
    <w:rsid w:val="00F766B5"/>
    <w:rsid w:val="00F83FDB"/>
    <w:rsid w:val="00F85AB4"/>
    <w:rsid w:val="00F90307"/>
    <w:rsid w:val="00FA3048"/>
    <w:rsid w:val="00FB18FC"/>
    <w:rsid w:val="00FB49A0"/>
    <w:rsid w:val="00FC013F"/>
    <w:rsid w:val="00FC10FC"/>
    <w:rsid w:val="00FD13FE"/>
    <w:rsid w:val="00FD23B0"/>
    <w:rsid w:val="00FD3E83"/>
    <w:rsid w:val="00FE283C"/>
    <w:rsid w:val="00FF11BD"/>
    <w:rsid w:val="027959A1"/>
    <w:rsid w:val="034619CA"/>
    <w:rsid w:val="03BD65FD"/>
    <w:rsid w:val="0BDA3B09"/>
    <w:rsid w:val="0CF64B11"/>
    <w:rsid w:val="14E441BF"/>
    <w:rsid w:val="189C68AB"/>
    <w:rsid w:val="1ED66624"/>
    <w:rsid w:val="26912BE9"/>
    <w:rsid w:val="27FB6432"/>
    <w:rsid w:val="29592E01"/>
    <w:rsid w:val="328D6600"/>
    <w:rsid w:val="32F86E10"/>
    <w:rsid w:val="38407826"/>
    <w:rsid w:val="3BD86255"/>
    <w:rsid w:val="3E8E27F8"/>
    <w:rsid w:val="40506C01"/>
    <w:rsid w:val="45FC6B46"/>
    <w:rsid w:val="4AC601DF"/>
    <w:rsid w:val="508A621F"/>
    <w:rsid w:val="51964E12"/>
    <w:rsid w:val="55D9172F"/>
    <w:rsid w:val="5B7C2497"/>
    <w:rsid w:val="67F0386F"/>
    <w:rsid w:val="68186322"/>
    <w:rsid w:val="6842491F"/>
    <w:rsid w:val="6E8D0D2A"/>
    <w:rsid w:val="74481C69"/>
    <w:rsid w:val="76B97A4B"/>
    <w:rsid w:val="79456BBD"/>
    <w:rsid w:val="7A7F336E"/>
    <w:rsid w:val="7D516F3F"/>
    <w:rsid w:val="EF7D4E4F"/>
    <w:rsid w:val="FFBFC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8"/>
    <w:qFormat/>
    <w:uiPriority w:val="0"/>
    <w:pPr>
      <w:keepNext/>
      <w:keepLines/>
      <w:spacing w:line="360" w:lineRule="auto"/>
      <w:ind w:firstLine="720" w:firstLineChars="200"/>
      <w:outlineLvl w:val="0"/>
    </w:pPr>
    <w:rPr>
      <w:rFonts w:ascii="黑体" w:eastAsia="黑体"/>
      <w:bCs/>
      <w:snapToGrid w:val="0"/>
      <w:kern w:val="0"/>
      <w:sz w:val="36"/>
      <w:szCs w:val="36"/>
    </w:rPr>
  </w:style>
  <w:style w:type="paragraph" w:styleId="5">
    <w:name w:val="heading 2"/>
    <w:basedOn w:val="1"/>
    <w:next w:val="1"/>
    <w:link w:val="20"/>
    <w:qFormat/>
    <w:uiPriority w:val="9"/>
    <w:pPr>
      <w:keepNext/>
      <w:keepLines/>
      <w:spacing w:before="260" w:after="260" w:line="416" w:lineRule="auto"/>
      <w:outlineLvl w:val="1"/>
    </w:pPr>
    <w:rPr>
      <w:rFonts w:ascii="Calibri Light" w:hAnsi="Calibri Light"/>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100" w:firstLineChars="100"/>
    </w:pPr>
    <w:rPr>
      <w:kern w:val="0"/>
      <w:sz w:val="20"/>
    </w:rPr>
  </w:style>
  <w:style w:type="paragraph" w:styleId="3">
    <w:name w:val="Body Text"/>
    <w:basedOn w:val="1"/>
    <w:qFormat/>
    <w:uiPriority w:val="0"/>
    <w:rPr>
      <w:rFonts w:eastAsia="仿宋_GB2312"/>
      <w:sz w:val="32"/>
      <w:szCs w:val="20"/>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39"/>
  </w:style>
  <w:style w:type="paragraph" w:styleId="9">
    <w:name w:val="Subtitle"/>
    <w:basedOn w:val="1"/>
    <w:next w:val="1"/>
    <w:link w:val="21"/>
    <w:qFormat/>
    <w:uiPriority w:val="0"/>
    <w:pPr>
      <w:ind w:firstLine="200" w:firstLineChars="200"/>
      <w:jc w:val="left"/>
      <w:outlineLvl w:val="2"/>
    </w:pPr>
    <w:rPr>
      <w:rFonts w:ascii="Cambria" w:hAnsi="Cambria" w:eastAsia="黑体"/>
      <w:bCs/>
      <w:kern w:val="28"/>
      <w:sz w:val="28"/>
      <w:szCs w:val="32"/>
    </w:rPr>
  </w:style>
  <w:style w:type="paragraph" w:styleId="10">
    <w:name w:val="toc 2"/>
    <w:basedOn w:val="1"/>
    <w:next w:val="1"/>
    <w:qFormat/>
    <w:uiPriority w:val="39"/>
    <w:pPr>
      <w:ind w:left="420" w:leftChars="200"/>
    </w:pPr>
  </w:style>
  <w:style w:type="paragraph" w:styleId="11">
    <w:name w:val="Normal (Web)"/>
    <w:basedOn w:val="1"/>
    <w:qFormat/>
    <w:uiPriority w:val="0"/>
    <w:pPr>
      <w:widowControl/>
      <w:spacing w:before="100" w:beforeAutospacing="1" w:after="100" w:afterAutospacing="1"/>
      <w:jc w:val="left"/>
    </w:pPr>
    <w:rPr>
      <w:rFonts w:ascii="宋体" w:cs="宋体"/>
      <w:kern w:val="0"/>
      <w:sz w:val="24"/>
    </w:rPr>
  </w:style>
  <w:style w:type="table" w:styleId="13">
    <w:name w:val="Table Grid"/>
    <w:basedOn w:val="1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unhideWhenUsed/>
    <w:qFormat/>
    <w:uiPriority w:val="99"/>
    <w:rPr>
      <w:color w:val="0563C1"/>
      <w:u w:val="single"/>
    </w:rPr>
  </w:style>
  <w:style w:type="character" w:customStyle="1" w:styleId="17">
    <w:name w:val="页脚 字符"/>
    <w:link w:val="6"/>
    <w:qFormat/>
    <w:uiPriority w:val="99"/>
    <w:rPr>
      <w:kern w:val="2"/>
      <w:sz w:val="18"/>
      <w:szCs w:val="18"/>
    </w:rPr>
  </w:style>
  <w:style w:type="character" w:customStyle="1" w:styleId="18">
    <w:name w:val="标题 1 字符"/>
    <w:link w:val="4"/>
    <w:qFormat/>
    <w:uiPriority w:val="0"/>
    <w:rPr>
      <w:rFonts w:ascii="黑体" w:eastAsia="黑体"/>
      <w:bCs/>
      <w:snapToGrid w:val="0"/>
      <w:sz w:val="36"/>
      <w:szCs w:val="36"/>
    </w:rPr>
  </w:style>
  <w:style w:type="character" w:customStyle="1" w:styleId="19">
    <w:name w:val="页眉 字符"/>
    <w:link w:val="7"/>
    <w:qFormat/>
    <w:uiPriority w:val="0"/>
    <w:rPr>
      <w:kern w:val="2"/>
      <w:sz w:val="18"/>
      <w:szCs w:val="18"/>
    </w:rPr>
  </w:style>
  <w:style w:type="character" w:customStyle="1" w:styleId="20">
    <w:name w:val="标题 2 字符"/>
    <w:link w:val="5"/>
    <w:qFormat/>
    <w:uiPriority w:val="9"/>
    <w:rPr>
      <w:rFonts w:ascii="Calibri Light" w:hAnsi="Calibri Light" w:eastAsia="宋体" w:cs="Times New Roman"/>
      <w:b/>
      <w:bCs/>
      <w:kern w:val="2"/>
      <w:sz w:val="32"/>
      <w:szCs w:val="32"/>
    </w:rPr>
  </w:style>
  <w:style w:type="character" w:customStyle="1" w:styleId="21">
    <w:name w:val="副标题 字符"/>
    <w:link w:val="9"/>
    <w:qFormat/>
    <w:uiPriority w:val="0"/>
    <w:rPr>
      <w:rFonts w:ascii="Cambria" w:hAnsi="Cambria" w:eastAsia="黑体"/>
      <w:bCs/>
      <w:kern w:val="28"/>
      <w:sz w:val="28"/>
      <w:szCs w:val="32"/>
    </w:rPr>
  </w:style>
  <w:style w:type="paragraph" w:customStyle="1" w:styleId="22">
    <w:name w:val="目录 11"/>
    <w:basedOn w:val="1"/>
    <w:next w:val="1"/>
    <w:qFormat/>
    <w:uiPriority w:val="39"/>
  </w:style>
  <w:style w:type="paragraph" w:customStyle="1" w:styleId="23">
    <w:name w:val="目录 21"/>
    <w:basedOn w:val="1"/>
    <w:next w:val="1"/>
    <w:qFormat/>
    <w:uiPriority w:val="39"/>
    <w:pPr>
      <w:ind w:left="420" w:leftChars="200"/>
    </w:pPr>
  </w:style>
  <w:style w:type="paragraph" w:customStyle="1" w:styleId="24">
    <w:name w:val="TOC 标题1"/>
    <w:basedOn w:val="4"/>
    <w:next w:val="1"/>
    <w:qFormat/>
    <w:uiPriority w:val="39"/>
    <w:pPr>
      <w:widowControl/>
      <w:spacing w:before="240" w:line="259" w:lineRule="auto"/>
      <w:ind w:firstLine="0" w:firstLineChars="0"/>
      <w:jc w:val="left"/>
      <w:outlineLvl w:val="9"/>
    </w:pPr>
    <w:rPr>
      <w:rFonts w:ascii="Calibri Light" w:hAnsi="Calibri Light" w:eastAsia="宋体"/>
      <w:bCs w:val="0"/>
      <w:snapToGrid/>
      <w:color w:val="2E74B5"/>
      <w:sz w:val="32"/>
      <w:szCs w:val="32"/>
    </w:rPr>
  </w:style>
  <w:style w:type="paragraph" w:customStyle="1" w:styleId="25">
    <w:name w:val="列出段落1"/>
    <w:basedOn w:val="1"/>
    <w:qFormat/>
    <w:uiPriority w:val="34"/>
    <w:pPr>
      <w:ind w:firstLine="420" w:firstLineChars="200"/>
    </w:pPr>
    <w:rPr>
      <w:rFonts w:ascii="Calibri" w:hAnsi="Calibri"/>
      <w:szCs w:val="22"/>
    </w:rPr>
  </w:style>
  <w:style w:type="paragraph" w:styleId="26">
    <w:name w:val="List Paragraph"/>
    <w:basedOn w:val="1"/>
    <w:qFormat/>
    <w:uiPriority w:val="34"/>
    <w:pPr>
      <w:ind w:firstLine="420" w:firstLineChars="200"/>
    </w:pPr>
  </w:style>
  <w:style w:type="character" w:customStyle="1" w:styleId="27">
    <w:name w:val="未处理的提及1"/>
    <w:basedOn w:val="14"/>
    <w:semiHidden/>
    <w:unhideWhenUsed/>
    <w:qFormat/>
    <w:uiPriority w:val="99"/>
    <w:rPr>
      <w:color w:val="605E5C"/>
      <w:shd w:val="clear" w:color="auto" w:fill="E1DFDD"/>
    </w:rPr>
  </w:style>
  <w:style w:type="table" w:customStyle="1" w:styleId="28">
    <w:name w:val="网格型1"/>
    <w:basedOn w:val="12"/>
    <w:qFormat/>
    <w:locked/>
    <w:uiPriority w:val="59"/>
    <w:pPr>
      <w:widowControl w:val="0"/>
      <w:jc w:val="both"/>
    </w:pPr>
    <w:rPr>
      <w:rFonts w:hint="eastAsia" w:ascii="Calibri" w:hAnsi="Calibri"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29">
    <w:name w:val="font21"/>
    <w:basedOn w:val="14"/>
    <w:qFormat/>
    <w:uiPriority w:val="0"/>
    <w:rPr>
      <w:rFonts w:hint="eastAsia" w:ascii="宋体" w:hAnsi="宋体" w:eastAsia="宋体" w:cs="宋体"/>
      <w:color w:val="000000"/>
      <w:sz w:val="48"/>
      <w:szCs w:val="48"/>
      <w:u w:val="none"/>
    </w:rPr>
  </w:style>
  <w:style w:type="character" w:customStyle="1" w:styleId="30">
    <w:name w:val="font01"/>
    <w:basedOn w:val="14"/>
    <w:qFormat/>
    <w:uiPriority w:val="0"/>
    <w:rPr>
      <w:rFonts w:hint="eastAsia" w:ascii="宋体" w:hAnsi="宋体" w:eastAsia="宋体" w:cs="宋体"/>
      <w:color w:val="000000"/>
      <w:sz w:val="22"/>
      <w:szCs w:val="22"/>
      <w:u w:val="none"/>
    </w:rPr>
  </w:style>
  <w:style w:type="character" w:customStyle="1" w:styleId="31">
    <w:name w:val="font51"/>
    <w:basedOn w:val="14"/>
    <w:qFormat/>
    <w:uiPriority w:val="0"/>
    <w:rPr>
      <w:rFonts w:hint="eastAsia" w:ascii="宋体" w:hAnsi="宋体" w:eastAsia="宋体" w:cs="宋体"/>
      <w:color w:val="000000"/>
      <w:sz w:val="22"/>
      <w:szCs w:val="22"/>
      <w:u w:val="none"/>
    </w:rPr>
  </w:style>
  <w:style w:type="character" w:customStyle="1" w:styleId="32">
    <w:name w:val="font41"/>
    <w:basedOn w:val="14"/>
    <w:qFormat/>
    <w:uiPriority w:val="0"/>
    <w:rPr>
      <w:rFonts w:ascii="STSong-Light" w:hAnsi="STSong-Light" w:eastAsia="STSong-Light" w:cs="STSong-Light"/>
      <w:color w:val="000000"/>
      <w:sz w:val="22"/>
      <w:szCs w:val="22"/>
      <w:u w:val="none"/>
    </w:rPr>
  </w:style>
  <w:style w:type="character" w:customStyle="1" w:styleId="33">
    <w:name w:val="font61"/>
    <w:basedOn w:val="14"/>
    <w:qFormat/>
    <w:uiPriority w:val="0"/>
    <w:rPr>
      <w:rFonts w:hint="eastAsia" w:ascii="宋体" w:hAnsi="宋体" w:eastAsia="宋体" w:cs="宋体"/>
      <w:color w:val="00B0F0"/>
      <w:sz w:val="22"/>
      <w:szCs w:val="22"/>
      <w:u w:val="none"/>
    </w:rPr>
  </w:style>
  <w:style w:type="character" w:customStyle="1" w:styleId="34">
    <w:name w:val="font71"/>
    <w:basedOn w:val="14"/>
    <w:qFormat/>
    <w:uiPriority w:val="0"/>
    <w:rPr>
      <w:rFonts w:hint="default" w:ascii="STSong-Light" w:hAnsi="STSong-Light" w:eastAsia="STSong-Light" w:cs="STSong-Light"/>
      <w:color w:val="00B0F0"/>
      <w:sz w:val="22"/>
      <w:szCs w:val="22"/>
      <w:u w:val="none"/>
    </w:rPr>
  </w:style>
  <w:style w:type="character" w:customStyle="1" w:styleId="35">
    <w:name w:val="font31"/>
    <w:basedOn w:val="14"/>
    <w:qFormat/>
    <w:uiPriority w:val="0"/>
    <w:rPr>
      <w:rFonts w:hint="eastAsia" w:ascii="宋体" w:hAnsi="宋体" w:eastAsia="宋体" w:cs="宋体"/>
      <w:color w:val="000000"/>
      <w:sz w:val="20"/>
      <w:szCs w:val="20"/>
      <w:u w:val="none"/>
    </w:rPr>
  </w:style>
  <w:style w:type="character" w:customStyle="1" w:styleId="36">
    <w:name w:val="font11"/>
    <w:basedOn w:val="14"/>
    <w:qFormat/>
    <w:uiPriority w:val="0"/>
    <w:rPr>
      <w:rFonts w:hint="eastAsia" w:ascii="宋体" w:hAnsi="宋体" w:eastAsia="宋体" w:cs="宋体"/>
      <w:color w:val="00B0F0"/>
      <w:sz w:val="22"/>
      <w:szCs w:val="22"/>
      <w:u w:val="none"/>
    </w:rPr>
  </w:style>
  <w:style w:type="character" w:customStyle="1" w:styleId="37">
    <w:name w:val="font81"/>
    <w:basedOn w:val="14"/>
    <w:qFormat/>
    <w:uiPriority w:val="0"/>
    <w:rPr>
      <w:rFonts w:hint="default" w:ascii="STSong-Light" w:hAnsi="STSong-Light" w:eastAsia="STSong-Light" w:cs="STSong-Light"/>
      <w:color w:val="00B0F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andalone='no'?>
<b:Sources xmlns:b="http://schemas.openxmlformats.org/officeDocument/2006/bibliography" StyleName="APA" Version="6" xmlns:b="http://schemas.openxmlformats.org/officeDocument/2006/bibliography" SelectedStyle="\APASixthEditionOfficeOnline.xsl"/>

</file>

<file path=customXml/itemProps1.xml><?xml version="1.0" encoding="utf-8"?>
<ds:datastoreItem xmlns:ds="http://schemas.openxmlformats.org/officeDocument/2006/customXml" ds:itemID="{B6DC7186-8FC5-4C64-9706-7F1F9BC612F4}">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17532</Words>
  <Characters>5381</Characters>
  <Lines>44</Lines>
  <Paragraphs>45</Paragraphs>
  <TotalTime>126</TotalTime>
  <ScaleCrop>false</ScaleCrop>
  <LinksUpToDate>false</LinksUpToDate>
  <CharactersWithSpaces>22868</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2023-07-26T00:37:00Z</dcterms:created>
  <dc:creator>陈栋</dc:creator>
  <cp:lastModifiedBy>thtf</cp:lastModifiedBy>
  <cp:lastPrinted>2023-07-26T00:51:00Z</cp:lastPrinted>
  <dcterms:modified xsi:type="dcterms:W3CDTF">2024-12-09T17:40:01Z</dcterms:modified>
  <dc:title>附件5-1：</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7D688DF88FEF4CA59938EA9743D8E78A</vt:lpwstr>
  </property>
</Properties>
</file>