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rPr>
          <w:rFonts w:hint="eastAsia"/>
          <w:color w:val="auto"/>
          <w:spacing w:val="0"/>
          <w:w w:val="100"/>
        </w:rPr>
      </w:pPr>
    </w:p>
    <w:p>
      <w:pPr>
        <w:pStyle w:val="2"/>
        <w:ind w:left="0" w:leftChars="0" w:firstLine="0" w:firstLineChars="0"/>
        <w:rPr>
          <w:rFonts w:hint="eastAsia"/>
          <w:color w:val="auto"/>
          <w:spacing w:val="0"/>
          <w:w w:val="100"/>
        </w:rPr>
      </w:pPr>
    </w:p>
    <w:p>
      <w:pPr>
        <w:pStyle w:val="2"/>
        <w:ind w:left="0" w:leftChars="0" w:firstLine="0" w:firstLineChars="0"/>
        <w:rPr>
          <w:rFonts w:hint="eastAsia"/>
          <w:color w:val="auto"/>
          <w:spacing w:val="0"/>
          <w:w w:val="100"/>
        </w:rPr>
      </w:pPr>
    </w:p>
    <w:p>
      <w:pPr>
        <w:pStyle w:val="2"/>
        <w:ind w:left="0" w:leftChars="0" w:firstLine="0" w:firstLineChars="0"/>
        <w:rPr>
          <w:rFonts w:hint="eastAsia" w:ascii="方正小标宋简体" w:hAnsi="宋体" w:eastAsia="方正小标宋简体" w:cs="Arial"/>
          <w:color w:val="auto"/>
          <w:spacing w:val="0"/>
          <w:w w:val="100"/>
          <w:sz w:val="52"/>
          <w:szCs w:val="52"/>
        </w:rPr>
      </w:pPr>
    </w:p>
    <w:p>
      <w:pPr>
        <w:pStyle w:val="2"/>
        <w:ind w:left="0" w:leftChars="0" w:firstLine="0" w:firstLineChars="0"/>
        <w:jc w:val="center"/>
        <w:rPr>
          <w:rFonts w:hint="eastAsia" w:ascii="仿宋" w:hAnsi="仿宋" w:eastAsia="仿宋" w:cs="仿宋"/>
          <w:b/>
          <w:color w:val="auto"/>
          <w:spacing w:val="0"/>
          <w:w w:val="100"/>
          <w:sz w:val="52"/>
          <w:szCs w:val="52"/>
          <w:lang w:val="en-US" w:eastAsia="zh-CN"/>
        </w:rPr>
      </w:pPr>
      <w:r>
        <w:rPr>
          <w:rFonts w:hint="eastAsia" w:ascii="仿宋" w:hAnsi="仿宋" w:eastAsia="仿宋" w:cs="仿宋"/>
          <w:b/>
          <w:color w:val="auto"/>
          <w:spacing w:val="0"/>
          <w:w w:val="100"/>
          <w:sz w:val="52"/>
          <w:szCs w:val="52"/>
          <w:lang w:val="en-US" w:eastAsia="zh-CN"/>
        </w:rPr>
        <w:t>2022年度石狮市全市控制性规划</w:t>
      </w:r>
    </w:p>
    <w:p>
      <w:pPr>
        <w:pStyle w:val="2"/>
        <w:ind w:left="0" w:leftChars="0" w:firstLine="0" w:firstLineChars="0"/>
        <w:jc w:val="center"/>
        <w:rPr>
          <w:rFonts w:hint="default" w:ascii="仿宋" w:hAnsi="仿宋" w:eastAsia="仿宋" w:cs="仿宋"/>
          <w:b/>
          <w:color w:val="auto"/>
          <w:spacing w:val="0"/>
          <w:w w:val="100"/>
          <w:sz w:val="52"/>
          <w:szCs w:val="52"/>
          <w:lang w:val="en-US" w:eastAsia="zh-CN"/>
        </w:rPr>
      </w:pPr>
      <w:r>
        <w:rPr>
          <w:rFonts w:hint="eastAsia" w:ascii="仿宋" w:hAnsi="仿宋" w:eastAsia="仿宋" w:cs="仿宋"/>
          <w:b/>
          <w:color w:val="auto"/>
          <w:spacing w:val="0"/>
          <w:w w:val="100"/>
          <w:sz w:val="52"/>
          <w:szCs w:val="52"/>
          <w:lang w:val="en-US" w:eastAsia="zh-CN"/>
        </w:rPr>
        <w:t>编制资金</w:t>
      </w:r>
    </w:p>
    <w:p>
      <w:pPr>
        <w:pStyle w:val="2"/>
        <w:ind w:left="0" w:leftChars="0" w:firstLine="0" w:firstLineChars="0"/>
        <w:rPr>
          <w:rFonts w:hint="eastAsia" w:ascii="方正小标宋简体" w:hAnsi="宋体" w:eastAsia="方正小标宋简体" w:cs="Arial"/>
          <w:color w:val="auto"/>
          <w:spacing w:val="0"/>
          <w:w w:val="100"/>
          <w:sz w:val="52"/>
          <w:szCs w:val="52"/>
        </w:rPr>
      </w:pPr>
    </w:p>
    <w:p>
      <w:pPr>
        <w:pStyle w:val="2"/>
        <w:ind w:left="0" w:leftChars="0" w:firstLine="0" w:firstLineChars="0"/>
        <w:jc w:val="center"/>
        <w:rPr>
          <w:rFonts w:hint="eastAsia" w:ascii="华文行楷" w:hAnsi="楷体" w:eastAsia="华文行楷" w:cs="Arial"/>
          <w:b/>
          <w:color w:val="auto"/>
          <w:spacing w:val="0"/>
          <w:w w:val="100"/>
          <w:sz w:val="84"/>
          <w:szCs w:val="84"/>
        </w:rPr>
      </w:pPr>
      <w:r>
        <w:rPr>
          <w:rFonts w:hint="eastAsia" w:ascii="华文行楷" w:hAnsi="楷体" w:eastAsia="华文行楷" w:cs="Arial"/>
          <w:b/>
          <w:color w:val="auto"/>
          <w:spacing w:val="0"/>
          <w:w w:val="100"/>
          <w:sz w:val="84"/>
          <w:szCs w:val="84"/>
        </w:rPr>
        <w:t>绩效评价报告</w:t>
      </w:r>
    </w:p>
    <w:p>
      <w:pPr>
        <w:pStyle w:val="2"/>
        <w:ind w:left="0" w:leftChars="0" w:firstLine="0" w:firstLineChars="0"/>
        <w:jc w:val="center"/>
        <w:rPr>
          <w:rFonts w:hint="eastAsia" w:ascii="方正小标宋简体" w:hAnsi="宋体" w:eastAsia="方正小标宋简体" w:cs="Arial"/>
          <w:color w:val="auto"/>
          <w:spacing w:val="0"/>
          <w:w w:val="100"/>
          <w:sz w:val="32"/>
          <w:szCs w:val="32"/>
        </w:rPr>
      </w:pPr>
    </w:p>
    <w:p>
      <w:pPr>
        <w:pStyle w:val="2"/>
        <w:ind w:left="0" w:leftChars="0" w:firstLine="0" w:firstLineChars="0"/>
        <w:jc w:val="center"/>
        <w:rPr>
          <w:rFonts w:hint="eastAsia" w:ascii="方正小标宋简体" w:hAnsi="宋体" w:eastAsia="方正小标宋简体" w:cs="Arial"/>
          <w:color w:val="auto"/>
          <w:spacing w:val="0"/>
          <w:w w:val="100"/>
          <w:sz w:val="32"/>
          <w:szCs w:val="32"/>
        </w:rPr>
      </w:pPr>
      <w:r>
        <w:rPr>
          <w:rFonts w:hint="eastAsia" w:ascii="方正小标宋简体" w:hAnsi="宋体" w:eastAsia="方正小标宋简体" w:cs="Arial"/>
          <w:color w:val="auto"/>
          <w:spacing w:val="0"/>
          <w:w w:val="100"/>
          <w:sz w:val="32"/>
          <w:szCs w:val="32"/>
        </w:rPr>
        <w:t>编号：泉招咨绩</w:t>
      </w:r>
      <w:r>
        <w:rPr>
          <w:rFonts w:hint="eastAsia" w:ascii="方正小标宋简体" w:hAnsi="宋体" w:eastAsia="方正小标宋简体" w:cs="Arial"/>
          <w:color w:val="auto"/>
          <w:spacing w:val="0"/>
          <w:w w:val="100"/>
          <w:sz w:val="32"/>
          <w:szCs w:val="32"/>
          <w:lang w:eastAsia="zh-CN"/>
        </w:rPr>
        <w:t>【</w:t>
      </w:r>
      <w:r>
        <w:rPr>
          <w:rFonts w:hint="eastAsia" w:ascii="方正小标宋简体" w:hAnsi="宋体" w:eastAsia="方正小标宋简体" w:cs="Arial"/>
          <w:color w:val="auto"/>
          <w:spacing w:val="0"/>
          <w:w w:val="100"/>
          <w:sz w:val="32"/>
          <w:szCs w:val="32"/>
        </w:rPr>
        <w:t>202</w:t>
      </w:r>
      <w:r>
        <w:rPr>
          <w:rFonts w:hint="eastAsia" w:ascii="方正小标宋简体" w:hAnsi="宋体" w:eastAsia="方正小标宋简体" w:cs="Arial"/>
          <w:color w:val="auto"/>
          <w:spacing w:val="0"/>
          <w:w w:val="100"/>
          <w:sz w:val="32"/>
          <w:szCs w:val="32"/>
          <w:lang w:val="en-US" w:eastAsia="zh-CN"/>
        </w:rPr>
        <w:t>3</w:t>
      </w:r>
      <w:r>
        <w:rPr>
          <w:rFonts w:hint="eastAsia" w:ascii="方正小标宋简体" w:hAnsi="宋体" w:eastAsia="方正小标宋简体" w:cs="Arial"/>
          <w:color w:val="auto"/>
          <w:spacing w:val="0"/>
          <w:w w:val="100"/>
          <w:sz w:val="32"/>
          <w:szCs w:val="32"/>
          <w:lang w:eastAsia="zh-CN"/>
        </w:rPr>
        <w:t>】</w:t>
      </w:r>
      <w:r>
        <w:rPr>
          <w:rFonts w:hint="eastAsia" w:ascii="方正小标宋简体" w:hAnsi="宋体" w:eastAsia="方正小标宋简体" w:cs="Arial"/>
          <w:color w:val="auto"/>
          <w:spacing w:val="0"/>
          <w:w w:val="100"/>
          <w:sz w:val="32"/>
          <w:szCs w:val="32"/>
          <w:lang w:val="en-US" w:eastAsia="zh-CN"/>
        </w:rPr>
        <w:t>6-1</w:t>
      </w:r>
      <w:r>
        <w:rPr>
          <w:rFonts w:hint="eastAsia" w:ascii="方正小标宋简体" w:hAnsi="宋体" w:eastAsia="方正小标宋简体" w:cs="Arial"/>
          <w:color w:val="auto"/>
          <w:spacing w:val="0"/>
          <w:w w:val="100"/>
          <w:sz w:val="32"/>
          <w:szCs w:val="32"/>
        </w:rPr>
        <w:t>号</w:t>
      </w:r>
    </w:p>
    <w:p>
      <w:pPr>
        <w:pStyle w:val="2"/>
        <w:ind w:left="0" w:leftChars="0" w:firstLine="0" w:firstLineChars="0"/>
        <w:rPr>
          <w:rFonts w:hint="eastAsia" w:ascii="方正小标宋简体" w:hAnsi="宋体" w:eastAsia="方正小标宋简体" w:cs="Arial"/>
          <w:color w:val="auto"/>
          <w:spacing w:val="0"/>
          <w:w w:val="100"/>
          <w:szCs w:val="21"/>
        </w:rPr>
      </w:pPr>
    </w:p>
    <w:p>
      <w:pPr>
        <w:pStyle w:val="2"/>
        <w:ind w:left="0" w:leftChars="0" w:firstLine="0" w:firstLineChars="0"/>
        <w:rPr>
          <w:rFonts w:hint="eastAsia" w:ascii="方正小标宋简体" w:hAnsi="宋体" w:eastAsia="方正小标宋简体" w:cs="Arial"/>
          <w:color w:val="auto"/>
          <w:spacing w:val="0"/>
          <w:w w:val="100"/>
          <w:szCs w:val="21"/>
        </w:rPr>
      </w:pPr>
    </w:p>
    <w:p>
      <w:pPr>
        <w:pStyle w:val="2"/>
        <w:ind w:left="0" w:leftChars="0" w:firstLine="0" w:firstLineChars="0"/>
        <w:rPr>
          <w:rFonts w:hint="eastAsia" w:ascii="方正小标宋简体" w:hAnsi="宋体" w:eastAsia="方正小标宋简体" w:cs="Arial"/>
          <w:color w:val="auto"/>
          <w:spacing w:val="0"/>
          <w:w w:val="100"/>
          <w:szCs w:val="21"/>
        </w:rPr>
      </w:pPr>
    </w:p>
    <w:tbl>
      <w:tblPr>
        <w:tblStyle w:val="12"/>
        <w:tblW w:w="749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01"/>
        <w:gridCol w:w="57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1" w:type="dxa"/>
            <w:vAlign w:val="center"/>
          </w:tcPr>
          <w:p>
            <w:pPr>
              <w:pStyle w:val="2"/>
              <w:ind w:left="0" w:leftChars="0" w:firstLine="0" w:firstLineChars="0"/>
              <w:jc w:val="center"/>
              <w:rPr>
                <w:rFonts w:hint="eastAsia" w:ascii="仿宋" w:hAnsi="仿宋" w:eastAsia="仿宋" w:cs="仿宋"/>
                <w:color w:val="auto"/>
                <w:spacing w:val="0"/>
                <w:w w:val="100"/>
                <w:sz w:val="32"/>
                <w:szCs w:val="32"/>
              </w:rPr>
            </w:pPr>
            <w:r>
              <w:rPr>
                <w:rFonts w:hint="eastAsia" w:ascii="仿宋" w:hAnsi="仿宋" w:eastAsia="仿宋" w:cs="仿宋"/>
                <w:color w:val="auto"/>
                <w:spacing w:val="0"/>
                <w:w w:val="100"/>
                <w:sz w:val="32"/>
                <w:szCs w:val="32"/>
              </w:rPr>
              <w:t>委托单位：</w:t>
            </w:r>
          </w:p>
        </w:tc>
        <w:tc>
          <w:tcPr>
            <w:tcW w:w="5792" w:type="dxa"/>
            <w:vAlign w:val="center"/>
          </w:tcPr>
          <w:p>
            <w:pPr>
              <w:pStyle w:val="2"/>
              <w:ind w:left="0" w:leftChars="0" w:firstLine="0" w:firstLineChars="0"/>
              <w:rPr>
                <w:rFonts w:hint="eastAsia" w:ascii="仿宋" w:hAnsi="仿宋" w:eastAsia="仿宋" w:cs="仿宋"/>
                <w:color w:val="auto"/>
                <w:spacing w:val="0"/>
                <w:w w:val="100"/>
                <w:sz w:val="32"/>
                <w:szCs w:val="32"/>
                <w:lang w:val="en-US" w:eastAsia="zh-CN"/>
              </w:rPr>
            </w:pPr>
            <w:r>
              <w:rPr>
                <w:rFonts w:hint="eastAsia" w:ascii="仿宋" w:hAnsi="仿宋" w:eastAsia="仿宋" w:cs="仿宋"/>
                <w:color w:val="auto"/>
                <w:spacing w:val="0"/>
                <w:w w:val="100"/>
                <w:sz w:val="32"/>
                <w:szCs w:val="32"/>
                <w:lang w:val="en-US" w:eastAsia="zh-CN"/>
              </w:rPr>
              <w:t>石狮市财政局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1" w:type="dxa"/>
            <w:vAlign w:val="center"/>
          </w:tcPr>
          <w:p>
            <w:pPr>
              <w:pStyle w:val="2"/>
              <w:ind w:left="0" w:leftChars="0" w:firstLine="0" w:firstLineChars="0"/>
              <w:jc w:val="center"/>
              <w:rPr>
                <w:rFonts w:hint="eastAsia" w:ascii="仿宋" w:hAnsi="仿宋" w:eastAsia="仿宋" w:cs="仿宋"/>
                <w:color w:val="auto"/>
                <w:spacing w:val="0"/>
                <w:w w:val="100"/>
                <w:sz w:val="32"/>
                <w:szCs w:val="32"/>
              </w:rPr>
            </w:pPr>
            <w:r>
              <w:rPr>
                <w:rFonts w:hint="eastAsia" w:ascii="仿宋" w:hAnsi="仿宋" w:eastAsia="仿宋" w:cs="仿宋"/>
                <w:color w:val="auto"/>
                <w:spacing w:val="0"/>
                <w:w w:val="100"/>
                <w:sz w:val="32"/>
                <w:szCs w:val="32"/>
                <w:lang w:val="en-US" w:eastAsia="zh-CN"/>
              </w:rPr>
              <w:t>实施</w:t>
            </w:r>
            <w:r>
              <w:rPr>
                <w:rFonts w:hint="eastAsia" w:ascii="仿宋" w:hAnsi="仿宋" w:eastAsia="仿宋" w:cs="仿宋"/>
                <w:color w:val="auto"/>
                <w:spacing w:val="0"/>
                <w:w w:val="100"/>
                <w:sz w:val="32"/>
                <w:szCs w:val="32"/>
              </w:rPr>
              <w:t>单位：</w:t>
            </w:r>
          </w:p>
        </w:tc>
        <w:tc>
          <w:tcPr>
            <w:tcW w:w="5792" w:type="dxa"/>
            <w:vAlign w:val="center"/>
          </w:tcPr>
          <w:p>
            <w:pPr>
              <w:pStyle w:val="2"/>
              <w:ind w:left="0" w:leftChars="0" w:firstLine="0" w:firstLineChars="0"/>
              <w:rPr>
                <w:rFonts w:hint="default" w:ascii="仿宋" w:hAnsi="仿宋" w:eastAsia="仿宋" w:cs="仿宋"/>
                <w:color w:val="auto"/>
                <w:spacing w:val="0"/>
                <w:w w:val="100"/>
                <w:sz w:val="32"/>
                <w:szCs w:val="32"/>
                <w:lang w:val="en-US" w:eastAsia="zh-CN"/>
              </w:rPr>
            </w:pPr>
            <w:r>
              <w:rPr>
                <w:rFonts w:hint="eastAsia" w:ascii="仿宋" w:hAnsi="仿宋" w:eastAsia="仿宋" w:cs="仿宋"/>
                <w:color w:val="auto"/>
                <w:spacing w:val="0"/>
                <w:w w:val="100"/>
                <w:sz w:val="32"/>
                <w:szCs w:val="32"/>
                <w:lang w:val="en-US" w:eastAsia="zh-CN"/>
              </w:rPr>
              <w:t>石狮市自然资源局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701" w:type="dxa"/>
            <w:vAlign w:val="center"/>
          </w:tcPr>
          <w:p>
            <w:pPr>
              <w:pStyle w:val="2"/>
              <w:ind w:left="0" w:leftChars="0" w:firstLine="0" w:firstLineChars="0"/>
              <w:jc w:val="center"/>
              <w:rPr>
                <w:rFonts w:hint="eastAsia" w:ascii="仿宋" w:hAnsi="仿宋" w:eastAsia="仿宋" w:cs="仿宋"/>
                <w:color w:val="auto"/>
                <w:spacing w:val="0"/>
                <w:w w:val="100"/>
                <w:sz w:val="32"/>
                <w:szCs w:val="32"/>
              </w:rPr>
            </w:pPr>
            <w:r>
              <w:rPr>
                <w:rFonts w:hint="eastAsia" w:ascii="仿宋" w:hAnsi="仿宋" w:eastAsia="仿宋" w:cs="仿宋"/>
                <w:color w:val="auto"/>
                <w:spacing w:val="0"/>
                <w:w w:val="100"/>
                <w:sz w:val="32"/>
                <w:szCs w:val="32"/>
              </w:rPr>
              <w:t>编制单位：</w:t>
            </w:r>
          </w:p>
        </w:tc>
        <w:tc>
          <w:tcPr>
            <w:tcW w:w="5792" w:type="dxa"/>
            <w:vAlign w:val="center"/>
          </w:tcPr>
          <w:p>
            <w:pPr>
              <w:pStyle w:val="2"/>
              <w:ind w:left="0" w:leftChars="0" w:firstLine="0" w:firstLineChars="0"/>
              <w:rPr>
                <w:rFonts w:hint="eastAsia" w:ascii="仿宋" w:hAnsi="仿宋" w:eastAsia="仿宋" w:cs="仿宋"/>
                <w:color w:val="auto"/>
                <w:spacing w:val="0"/>
                <w:w w:val="100"/>
                <w:sz w:val="32"/>
                <w:szCs w:val="32"/>
                <w:lang w:val="en-US" w:eastAsia="zh-CN"/>
              </w:rPr>
            </w:pPr>
            <w:r>
              <w:rPr>
                <w:rFonts w:hint="eastAsia" w:ascii="仿宋" w:hAnsi="仿宋" w:eastAsia="仿宋" w:cs="仿宋"/>
                <w:color w:val="auto"/>
                <w:spacing w:val="0"/>
                <w:w w:val="100"/>
                <w:sz w:val="32"/>
                <w:szCs w:val="32"/>
              </w:rPr>
              <w:t>泉州市招标咨询中心</w:t>
            </w:r>
            <w:r>
              <w:rPr>
                <w:rFonts w:hint="eastAsia" w:ascii="仿宋" w:hAnsi="仿宋" w:eastAsia="仿宋" w:cs="仿宋"/>
                <w:color w:val="auto"/>
                <w:spacing w:val="0"/>
                <w:w w:val="100"/>
                <w:sz w:val="32"/>
                <w:szCs w:val="32"/>
                <w:lang w:val="en-US" w:eastAsia="zh-CN"/>
              </w:rPr>
              <w:t>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7493" w:type="dxa"/>
            <w:gridSpan w:val="2"/>
            <w:vAlign w:val="center"/>
          </w:tcPr>
          <w:p>
            <w:pPr>
              <w:pStyle w:val="2"/>
              <w:ind w:left="0" w:leftChars="0" w:firstLine="0" w:firstLineChars="0"/>
              <w:jc w:val="center"/>
              <w:rPr>
                <w:rFonts w:hint="eastAsia" w:ascii="仿宋" w:hAnsi="仿宋" w:eastAsia="仿宋" w:cs="仿宋"/>
                <w:color w:val="auto"/>
                <w:spacing w:val="0"/>
                <w:w w:val="100"/>
                <w:sz w:val="32"/>
                <w:szCs w:val="32"/>
              </w:rPr>
            </w:pPr>
            <w:r>
              <w:rPr>
                <w:rFonts w:hint="eastAsia" w:ascii="仿宋" w:hAnsi="仿宋" w:eastAsia="仿宋" w:cs="仿宋"/>
                <w:color w:val="auto"/>
                <w:spacing w:val="0"/>
                <w:w w:val="100"/>
                <w:sz w:val="32"/>
                <w:szCs w:val="32"/>
              </w:rPr>
              <w:t>20</w:t>
            </w:r>
            <w:r>
              <w:rPr>
                <w:rFonts w:hint="eastAsia" w:ascii="仿宋" w:hAnsi="仿宋" w:eastAsia="仿宋" w:cs="仿宋"/>
                <w:color w:val="auto"/>
                <w:spacing w:val="0"/>
                <w:w w:val="100"/>
                <w:sz w:val="32"/>
                <w:szCs w:val="32"/>
                <w:lang w:val="en-US" w:eastAsia="zh-CN"/>
              </w:rPr>
              <w:t>23</w:t>
            </w:r>
            <w:r>
              <w:rPr>
                <w:rFonts w:hint="eastAsia" w:ascii="仿宋" w:hAnsi="仿宋" w:eastAsia="仿宋" w:cs="仿宋"/>
                <w:color w:val="auto"/>
                <w:spacing w:val="0"/>
                <w:w w:val="100"/>
                <w:sz w:val="32"/>
                <w:szCs w:val="32"/>
              </w:rPr>
              <w:t>年</w:t>
            </w:r>
            <w:r>
              <w:rPr>
                <w:rFonts w:hint="eastAsia" w:ascii="仿宋" w:hAnsi="仿宋" w:eastAsia="仿宋" w:cs="仿宋"/>
                <w:color w:val="auto"/>
                <w:spacing w:val="0"/>
                <w:w w:val="100"/>
                <w:sz w:val="32"/>
                <w:szCs w:val="32"/>
                <w:lang w:val="en-US" w:eastAsia="zh-CN"/>
              </w:rPr>
              <w:t>7</w:t>
            </w:r>
            <w:r>
              <w:rPr>
                <w:rFonts w:hint="eastAsia" w:ascii="仿宋" w:hAnsi="仿宋" w:eastAsia="仿宋" w:cs="仿宋"/>
                <w:color w:val="auto"/>
                <w:spacing w:val="0"/>
                <w:w w:val="100"/>
                <w:sz w:val="32"/>
                <w:szCs w:val="32"/>
              </w:rPr>
              <w:t>月</w:t>
            </w:r>
          </w:p>
        </w:tc>
      </w:tr>
    </w:tbl>
    <w:p>
      <w:pPr>
        <w:jc w:val="center"/>
        <w:rPr>
          <w:rFonts w:hint="eastAsia" w:ascii="仿宋" w:hAnsi="仿宋" w:eastAsia="仿宋" w:cs="仿宋"/>
          <w:b/>
          <w:bCs w:val="0"/>
          <w:color w:val="auto"/>
          <w:sz w:val="28"/>
          <w:szCs w:val="28"/>
          <w:highlight w:val="none"/>
          <w:lang w:val="en-US" w:eastAsia="zh-CN"/>
        </w:rPr>
        <w:sectPr>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2"/>
          <w:lang w:val="en-US" w:eastAsia="zh-CN" w:bidi="ar-SA"/>
        </w:rPr>
        <w:id w:val="147463048"/>
        <w15:color w:val="DBDBDB"/>
        <w:docPartObj>
          <w:docPartGallery w:val="Table of Contents"/>
          <w:docPartUnique/>
        </w:docPartObj>
      </w:sdtPr>
      <w:sdtEndPr>
        <w:rPr>
          <w:rFonts w:ascii="宋体" w:hAnsi="宋体" w:eastAsia="宋体" w:cstheme="minorBidi"/>
          <w:kern w:val="2"/>
          <w:sz w:val="21"/>
          <w:szCs w:val="22"/>
          <w:lang w:val="en-US" w:eastAsia="zh-CN" w:bidi="ar-SA"/>
        </w:rPr>
      </w:sdtEndPr>
      <w:sdtContent>
        <w:p>
          <w:pPr>
            <w:spacing w:before="0" w:beforeLines="0" w:after="0" w:afterLines="0" w:line="240" w:lineRule="auto"/>
            <w:ind w:left="0" w:leftChars="0" w:right="0" w:rightChars="0" w:firstLine="0" w:firstLineChars="0"/>
            <w:jc w:val="center"/>
          </w:pPr>
          <w:bookmarkStart w:id="0" w:name="_Toc15754"/>
          <w:bookmarkStart w:id="1" w:name="_Toc32157"/>
          <w:bookmarkStart w:id="2" w:name="_Toc23665"/>
          <w:r>
            <w:rPr>
              <w:rFonts w:ascii="宋体" w:hAnsi="宋体" w:eastAsia="宋体"/>
              <w:sz w:val="21"/>
            </w:rPr>
            <w:t>目录</w:t>
          </w:r>
        </w:p>
        <w:p>
          <w:pPr>
            <w:pStyle w:val="15"/>
            <w:tabs>
              <w:tab w:val="right" w:leader="dot" w:pos="8306"/>
            </w:tabs>
          </w:pPr>
          <w:r>
            <w:fldChar w:fldCharType="begin"/>
          </w:r>
          <w:r>
            <w:instrText xml:space="preserve">TOC \o "1-3" \h \u </w:instrText>
          </w:r>
          <w:r>
            <w:fldChar w:fldCharType="separate"/>
          </w:r>
          <w:r>
            <w:fldChar w:fldCharType="begin"/>
          </w:r>
          <w:r>
            <w:instrText xml:space="preserve"> HYPERLINK \l _Toc10853 </w:instrText>
          </w:r>
          <w:r>
            <w:fldChar w:fldCharType="separate"/>
          </w:r>
          <w:r>
            <w:rPr>
              <w:rFonts w:hint="eastAsia" w:ascii="仿宋" w:hAnsi="仿宋" w:eastAsia="仿宋" w:cs="仿宋"/>
              <w:bCs/>
              <w:szCs w:val="28"/>
              <w:highlight w:val="none"/>
              <w:lang w:val="en-US" w:eastAsia="zh-CN"/>
            </w:rPr>
            <w:t>前 言</w:t>
          </w:r>
          <w:r>
            <w:tab/>
          </w:r>
          <w:r>
            <w:fldChar w:fldCharType="begin"/>
          </w:r>
          <w:r>
            <w:instrText xml:space="preserve"> PAGEREF _Toc10853 \h </w:instrText>
          </w:r>
          <w:r>
            <w:fldChar w:fldCharType="separate"/>
          </w:r>
          <w:r>
            <w:t>1</w:t>
          </w:r>
          <w:r>
            <w:fldChar w:fldCharType="end"/>
          </w:r>
          <w:r>
            <w:fldChar w:fldCharType="end"/>
          </w:r>
        </w:p>
        <w:p>
          <w:pPr>
            <w:pStyle w:val="15"/>
            <w:tabs>
              <w:tab w:val="right" w:leader="dot" w:pos="8306"/>
            </w:tabs>
          </w:pPr>
          <w:r>
            <w:fldChar w:fldCharType="begin"/>
          </w:r>
          <w:r>
            <w:instrText xml:space="preserve"> HYPERLINK \l _Toc4497 </w:instrText>
          </w:r>
          <w:r>
            <w:fldChar w:fldCharType="separate"/>
          </w:r>
          <w:r>
            <w:rPr>
              <w:rFonts w:hint="eastAsia" w:ascii="黑体" w:hAnsi="黑体" w:eastAsia="黑体" w:cs="黑体"/>
              <w:bCs/>
              <w:szCs w:val="36"/>
            </w:rPr>
            <w:t>一、基本情况</w:t>
          </w:r>
          <w:r>
            <w:tab/>
          </w:r>
          <w:r>
            <w:fldChar w:fldCharType="begin"/>
          </w:r>
          <w:r>
            <w:instrText xml:space="preserve"> PAGEREF _Toc4497 \h </w:instrText>
          </w:r>
          <w:r>
            <w:fldChar w:fldCharType="separate"/>
          </w:r>
          <w:r>
            <w:t>2</w:t>
          </w:r>
          <w:r>
            <w:fldChar w:fldCharType="end"/>
          </w:r>
          <w:r>
            <w:fldChar w:fldCharType="end"/>
          </w:r>
        </w:p>
        <w:p>
          <w:pPr>
            <w:pStyle w:val="16"/>
            <w:tabs>
              <w:tab w:val="right" w:leader="dot" w:pos="8306"/>
            </w:tabs>
          </w:pPr>
          <w:r>
            <w:fldChar w:fldCharType="begin"/>
          </w:r>
          <w:r>
            <w:instrText xml:space="preserve"> HYPERLINK \l _Toc32296 </w:instrText>
          </w:r>
          <w:r>
            <w:fldChar w:fldCharType="separate"/>
          </w:r>
          <w:r>
            <w:rPr>
              <w:rFonts w:hint="eastAsia" w:ascii="楷体" w:hAnsi="楷体" w:eastAsia="楷体" w:cs="楷体"/>
              <w:bCs/>
              <w:szCs w:val="36"/>
            </w:rPr>
            <w:t>（一）项目概况</w:t>
          </w:r>
          <w:r>
            <w:tab/>
          </w:r>
          <w:r>
            <w:fldChar w:fldCharType="begin"/>
          </w:r>
          <w:r>
            <w:instrText xml:space="preserve"> PAGEREF _Toc32296 \h </w:instrText>
          </w:r>
          <w:r>
            <w:fldChar w:fldCharType="separate"/>
          </w:r>
          <w:r>
            <w:t>2</w:t>
          </w:r>
          <w:r>
            <w:fldChar w:fldCharType="end"/>
          </w:r>
          <w:r>
            <w:fldChar w:fldCharType="end"/>
          </w:r>
        </w:p>
        <w:p>
          <w:pPr>
            <w:pStyle w:val="17"/>
            <w:tabs>
              <w:tab w:val="right" w:leader="dot" w:pos="8306"/>
            </w:tabs>
          </w:pPr>
          <w:r>
            <w:fldChar w:fldCharType="begin"/>
          </w:r>
          <w:r>
            <w:instrText xml:space="preserve"> HYPERLINK \l _Toc25598 </w:instrText>
          </w:r>
          <w:r>
            <w:fldChar w:fldCharType="separate"/>
          </w:r>
          <w:r>
            <w:rPr>
              <w:rFonts w:hint="eastAsia" w:ascii="仿宋" w:hAnsi="仿宋" w:eastAsia="仿宋" w:cs="仿宋"/>
              <w:bCs/>
              <w:szCs w:val="36"/>
            </w:rPr>
            <w:t>1、项目背景</w:t>
          </w:r>
          <w:r>
            <w:tab/>
          </w:r>
          <w:r>
            <w:fldChar w:fldCharType="begin"/>
          </w:r>
          <w:r>
            <w:instrText xml:space="preserve"> PAGEREF _Toc25598 \h </w:instrText>
          </w:r>
          <w:r>
            <w:fldChar w:fldCharType="separate"/>
          </w:r>
          <w:r>
            <w:t>2</w:t>
          </w:r>
          <w:r>
            <w:fldChar w:fldCharType="end"/>
          </w:r>
          <w:r>
            <w:fldChar w:fldCharType="end"/>
          </w:r>
        </w:p>
        <w:p>
          <w:pPr>
            <w:pStyle w:val="17"/>
            <w:tabs>
              <w:tab w:val="right" w:leader="dot" w:pos="8306"/>
            </w:tabs>
          </w:pPr>
          <w:r>
            <w:fldChar w:fldCharType="begin"/>
          </w:r>
          <w:r>
            <w:instrText xml:space="preserve"> HYPERLINK \l _Toc14807 </w:instrText>
          </w:r>
          <w:r>
            <w:fldChar w:fldCharType="separate"/>
          </w:r>
          <w:r>
            <w:rPr>
              <w:rFonts w:hint="eastAsia" w:ascii="仿宋" w:hAnsi="仿宋" w:eastAsia="仿宋" w:cs="仿宋"/>
              <w:bCs/>
              <w:szCs w:val="36"/>
            </w:rPr>
            <w:t>2、主要采购内容</w:t>
          </w:r>
          <w:r>
            <w:tab/>
          </w:r>
          <w:r>
            <w:fldChar w:fldCharType="begin"/>
          </w:r>
          <w:r>
            <w:instrText xml:space="preserve"> PAGEREF _Toc14807 \h </w:instrText>
          </w:r>
          <w:r>
            <w:fldChar w:fldCharType="separate"/>
          </w:r>
          <w:r>
            <w:t>2</w:t>
          </w:r>
          <w:r>
            <w:fldChar w:fldCharType="end"/>
          </w:r>
          <w:r>
            <w:fldChar w:fldCharType="end"/>
          </w:r>
        </w:p>
        <w:p>
          <w:pPr>
            <w:pStyle w:val="17"/>
            <w:tabs>
              <w:tab w:val="right" w:leader="dot" w:pos="8306"/>
            </w:tabs>
          </w:pPr>
          <w:r>
            <w:fldChar w:fldCharType="begin"/>
          </w:r>
          <w:r>
            <w:instrText xml:space="preserve"> HYPERLINK \l _Toc17327 </w:instrText>
          </w:r>
          <w:r>
            <w:fldChar w:fldCharType="separate"/>
          </w:r>
          <w:r>
            <w:rPr>
              <w:rFonts w:hint="eastAsia" w:ascii="仿宋" w:hAnsi="仿宋" w:eastAsia="仿宋" w:cs="仿宋"/>
              <w:bCs/>
              <w:szCs w:val="36"/>
            </w:rPr>
            <w:t>3、采购预算</w:t>
          </w:r>
          <w:r>
            <w:tab/>
          </w:r>
          <w:r>
            <w:fldChar w:fldCharType="begin"/>
          </w:r>
          <w:r>
            <w:instrText xml:space="preserve"> PAGEREF _Toc17327 \h </w:instrText>
          </w:r>
          <w:r>
            <w:fldChar w:fldCharType="separate"/>
          </w:r>
          <w:r>
            <w:t>3</w:t>
          </w:r>
          <w:r>
            <w:fldChar w:fldCharType="end"/>
          </w:r>
          <w:r>
            <w:fldChar w:fldCharType="end"/>
          </w:r>
        </w:p>
        <w:p>
          <w:pPr>
            <w:pStyle w:val="16"/>
            <w:tabs>
              <w:tab w:val="right" w:leader="dot" w:pos="8306"/>
            </w:tabs>
          </w:pPr>
          <w:r>
            <w:fldChar w:fldCharType="begin"/>
          </w:r>
          <w:r>
            <w:instrText xml:space="preserve"> HYPERLINK \l _Toc24495 </w:instrText>
          </w:r>
          <w:r>
            <w:fldChar w:fldCharType="separate"/>
          </w:r>
          <w:r>
            <w:rPr>
              <w:rFonts w:hint="eastAsia" w:ascii="楷体" w:hAnsi="楷体" w:eastAsia="楷体" w:cs="楷体"/>
              <w:bCs/>
              <w:szCs w:val="36"/>
            </w:rPr>
            <w:t>（二）采购实施过程</w:t>
          </w:r>
          <w:r>
            <w:tab/>
          </w:r>
          <w:r>
            <w:fldChar w:fldCharType="begin"/>
          </w:r>
          <w:r>
            <w:instrText xml:space="preserve"> PAGEREF _Toc24495 \h </w:instrText>
          </w:r>
          <w:r>
            <w:fldChar w:fldCharType="separate"/>
          </w:r>
          <w:r>
            <w:t>3</w:t>
          </w:r>
          <w:r>
            <w:fldChar w:fldCharType="end"/>
          </w:r>
          <w:r>
            <w:fldChar w:fldCharType="end"/>
          </w:r>
        </w:p>
        <w:p>
          <w:pPr>
            <w:pStyle w:val="17"/>
            <w:tabs>
              <w:tab w:val="right" w:leader="dot" w:pos="8306"/>
            </w:tabs>
          </w:pPr>
          <w:r>
            <w:fldChar w:fldCharType="begin"/>
          </w:r>
          <w:r>
            <w:instrText xml:space="preserve"> HYPERLINK \l _Toc3082 </w:instrText>
          </w:r>
          <w:r>
            <w:fldChar w:fldCharType="separate"/>
          </w:r>
          <w:r>
            <w:rPr>
              <w:rFonts w:hint="eastAsia" w:ascii="仿宋" w:hAnsi="仿宋" w:eastAsia="仿宋" w:cs="仿宋"/>
              <w:bCs/>
              <w:szCs w:val="36"/>
            </w:rPr>
            <w:t>1、采购过程</w:t>
          </w:r>
          <w:r>
            <w:tab/>
          </w:r>
          <w:r>
            <w:fldChar w:fldCharType="begin"/>
          </w:r>
          <w:r>
            <w:instrText xml:space="preserve"> PAGEREF _Toc3082 \h </w:instrText>
          </w:r>
          <w:r>
            <w:fldChar w:fldCharType="separate"/>
          </w:r>
          <w:r>
            <w:t>3</w:t>
          </w:r>
          <w:r>
            <w:fldChar w:fldCharType="end"/>
          </w:r>
          <w:r>
            <w:fldChar w:fldCharType="end"/>
          </w:r>
        </w:p>
        <w:p>
          <w:pPr>
            <w:pStyle w:val="17"/>
            <w:tabs>
              <w:tab w:val="right" w:leader="dot" w:pos="8306"/>
            </w:tabs>
          </w:pPr>
          <w:r>
            <w:fldChar w:fldCharType="begin"/>
          </w:r>
          <w:r>
            <w:instrText xml:space="preserve"> HYPERLINK \l _Toc16147 </w:instrText>
          </w:r>
          <w:r>
            <w:fldChar w:fldCharType="separate"/>
          </w:r>
          <w:r>
            <w:rPr>
              <w:rFonts w:hint="eastAsia" w:ascii="仿宋" w:hAnsi="仿宋" w:eastAsia="仿宋" w:cs="仿宋"/>
              <w:bCs/>
              <w:szCs w:val="36"/>
            </w:rPr>
            <w:t>2、采购评审结果</w:t>
          </w:r>
          <w:r>
            <w:tab/>
          </w:r>
          <w:r>
            <w:fldChar w:fldCharType="begin"/>
          </w:r>
          <w:r>
            <w:instrText xml:space="preserve"> PAGEREF _Toc16147 \h </w:instrText>
          </w:r>
          <w:r>
            <w:fldChar w:fldCharType="separate"/>
          </w:r>
          <w:r>
            <w:t>4</w:t>
          </w:r>
          <w:r>
            <w:fldChar w:fldCharType="end"/>
          </w:r>
          <w:r>
            <w:fldChar w:fldCharType="end"/>
          </w:r>
        </w:p>
        <w:p>
          <w:pPr>
            <w:pStyle w:val="17"/>
            <w:tabs>
              <w:tab w:val="right" w:leader="dot" w:pos="8306"/>
            </w:tabs>
          </w:pPr>
          <w:r>
            <w:fldChar w:fldCharType="begin"/>
          </w:r>
          <w:r>
            <w:instrText xml:space="preserve"> HYPERLINK \l _Toc22356 </w:instrText>
          </w:r>
          <w:r>
            <w:fldChar w:fldCharType="separate"/>
          </w:r>
          <w:r>
            <w:rPr>
              <w:rFonts w:hint="eastAsia" w:ascii="仿宋" w:hAnsi="仿宋" w:eastAsia="仿宋" w:cs="仿宋"/>
              <w:bCs/>
              <w:szCs w:val="36"/>
            </w:rPr>
            <w:t>3、合同签订</w:t>
          </w:r>
          <w:r>
            <w:tab/>
          </w:r>
          <w:r>
            <w:fldChar w:fldCharType="begin"/>
          </w:r>
          <w:r>
            <w:instrText xml:space="preserve"> PAGEREF _Toc22356 \h </w:instrText>
          </w:r>
          <w:r>
            <w:fldChar w:fldCharType="separate"/>
          </w:r>
          <w:r>
            <w:t>5</w:t>
          </w:r>
          <w:r>
            <w:fldChar w:fldCharType="end"/>
          </w:r>
          <w:r>
            <w:fldChar w:fldCharType="end"/>
          </w:r>
        </w:p>
        <w:p>
          <w:pPr>
            <w:pStyle w:val="17"/>
            <w:tabs>
              <w:tab w:val="right" w:leader="dot" w:pos="8306"/>
            </w:tabs>
          </w:pPr>
          <w:r>
            <w:fldChar w:fldCharType="begin"/>
          </w:r>
          <w:r>
            <w:instrText xml:space="preserve"> HYPERLINK \l _Toc1197 </w:instrText>
          </w:r>
          <w:r>
            <w:fldChar w:fldCharType="separate"/>
          </w:r>
          <w:r>
            <w:rPr>
              <w:rFonts w:hint="eastAsia" w:ascii="仿宋" w:hAnsi="仿宋" w:eastAsia="仿宋" w:cs="仿宋"/>
              <w:bCs/>
              <w:szCs w:val="36"/>
            </w:rPr>
            <w:t>4、合同履行</w:t>
          </w:r>
          <w:r>
            <w:tab/>
          </w:r>
          <w:r>
            <w:fldChar w:fldCharType="begin"/>
          </w:r>
          <w:r>
            <w:instrText xml:space="preserve"> PAGEREF _Toc1197 \h </w:instrText>
          </w:r>
          <w:r>
            <w:fldChar w:fldCharType="separate"/>
          </w:r>
          <w:r>
            <w:t>6</w:t>
          </w:r>
          <w:r>
            <w:fldChar w:fldCharType="end"/>
          </w:r>
          <w:r>
            <w:fldChar w:fldCharType="end"/>
          </w:r>
        </w:p>
        <w:p>
          <w:pPr>
            <w:pStyle w:val="15"/>
            <w:tabs>
              <w:tab w:val="right" w:leader="dot" w:pos="8306"/>
            </w:tabs>
          </w:pPr>
          <w:r>
            <w:fldChar w:fldCharType="begin"/>
          </w:r>
          <w:r>
            <w:instrText xml:space="preserve"> HYPERLINK \l _Toc7607 </w:instrText>
          </w:r>
          <w:r>
            <w:fldChar w:fldCharType="separate"/>
          </w:r>
          <w:r>
            <w:rPr>
              <w:rFonts w:hint="eastAsia" w:ascii="黑体" w:hAnsi="黑体" w:eastAsia="黑体" w:cs="黑体"/>
              <w:szCs w:val="28"/>
              <w:lang w:val="en-US" w:eastAsia="zh-CN"/>
            </w:rPr>
            <w:t>二、</w:t>
          </w:r>
          <w:r>
            <w:rPr>
              <w:rFonts w:hint="eastAsia" w:ascii="黑体" w:hAnsi="黑体" w:eastAsia="黑体" w:cs="黑体"/>
              <w:szCs w:val="28"/>
            </w:rPr>
            <w:t>绩效</w:t>
          </w:r>
          <w:r>
            <w:rPr>
              <w:rFonts w:hint="eastAsia" w:ascii="黑体" w:hAnsi="黑体" w:eastAsia="黑体" w:cs="黑体"/>
              <w:bCs w:val="0"/>
              <w:szCs w:val="28"/>
            </w:rPr>
            <w:t>评价</w:t>
          </w:r>
          <w:r>
            <w:rPr>
              <w:rFonts w:hint="eastAsia" w:ascii="黑体" w:hAnsi="黑体" w:eastAsia="黑体" w:cs="黑体"/>
              <w:szCs w:val="28"/>
            </w:rPr>
            <w:t>工作情况</w:t>
          </w:r>
          <w:r>
            <w:tab/>
          </w:r>
          <w:r>
            <w:fldChar w:fldCharType="begin"/>
          </w:r>
          <w:r>
            <w:instrText xml:space="preserve"> PAGEREF _Toc7607 \h </w:instrText>
          </w:r>
          <w:r>
            <w:fldChar w:fldCharType="separate"/>
          </w:r>
          <w:r>
            <w:t>8</w:t>
          </w:r>
          <w:r>
            <w:fldChar w:fldCharType="end"/>
          </w:r>
          <w:r>
            <w:fldChar w:fldCharType="end"/>
          </w:r>
        </w:p>
        <w:p>
          <w:pPr>
            <w:pStyle w:val="15"/>
            <w:tabs>
              <w:tab w:val="right" w:leader="dot" w:pos="8306"/>
            </w:tabs>
          </w:pPr>
          <w:r>
            <w:fldChar w:fldCharType="begin"/>
          </w:r>
          <w:r>
            <w:instrText xml:space="preserve"> HYPERLINK \l _Toc26308 </w:instrText>
          </w:r>
          <w:r>
            <w:fldChar w:fldCharType="separate"/>
          </w:r>
          <w:r>
            <w:rPr>
              <w:rFonts w:hint="eastAsia" w:ascii="楷体" w:hAnsi="楷体" w:eastAsia="楷体" w:cs="楷体"/>
              <w:bCs w:val="0"/>
              <w:szCs w:val="28"/>
            </w:rPr>
            <w:t>（一）评价目的</w:t>
          </w:r>
          <w:r>
            <w:tab/>
          </w:r>
          <w:r>
            <w:fldChar w:fldCharType="begin"/>
          </w:r>
          <w:r>
            <w:instrText xml:space="preserve"> PAGEREF _Toc26308 \h </w:instrText>
          </w:r>
          <w:r>
            <w:fldChar w:fldCharType="separate"/>
          </w:r>
          <w:r>
            <w:t>8</w:t>
          </w:r>
          <w:r>
            <w:fldChar w:fldCharType="end"/>
          </w:r>
          <w:r>
            <w:fldChar w:fldCharType="end"/>
          </w:r>
        </w:p>
        <w:p>
          <w:pPr>
            <w:pStyle w:val="15"/>
            <w:tabs>
              <w:tab w:val="right" w:leader="dot" w:pos="8306"/>
            </w:tabs>
          </w:pPr>
          <w:r>
            <w:fldChar w:fldCharType="begin"/>
          </w:r>
          <w:r>
            <w:instrText xml:space="preserve"> HYPERLINK \l _Toc10445 </w:instrText>
          </w:r>
          <w:r>
            <w:fldChar w:fldCharType="separate"/>
          </w:r>
          <w:r>
            <w:rPr>
              <w:rFonts w:hint="eastAsia" w:ascii="楷体" w:hAnsi="楷体" w:eastAsia="楷体" w:cs="楷体"/>
              <w:bCs w:val="0"/>
              <w:szCs w:val="28"/>
            </w:rPr>
            <w:t>（</w:t>
          </w:r>
          <w:r>
            <w:rPr>
              <w:rFonts w:hint="eastAsia" w:ascii="楷体" w:hAnsi="楷体" w:eastAsia="楷体" w:cs="楷体"/>
              <w:bCs w:val="0"/>
              <w:szCs w:val="28"/>
              <w:lang w:val="en-US" w:eastAsia="zh-CN"/>
            </w:rPr>
            <w:t>二</w:t>
          </w:r>
          <w:r>
            <w:rPr>
              <w:rFonts w:hint="eastAsia" w:ascii="楷体" w:hAnsi="楷体" w:eastAsia="楷体" w:cs="楷体"/>
              <w:bCs w:val="0"/>
              <w:szCs w:val="28"/>
            </w:rPr>
            <w:t>）评价依据</w:t>
          </w:r>
          <w:r>
            <w:tab/>
          </w:r>
          <w:r>
            <w:fldChar w:fldCharType="begin"/>
          </w:r>
          <w:r>
            <w:instrText xml:space="preserve"> PAGEREF _Toc10445 \h </w:instrText>
          </w:r>
          <w:r>
            <w:fldChar w:fldCharType="separate"/>
          </w:r>
          <w:r>
            <w:t>9</w:t>
          </w:r>
          <w:r>
            <w:fldChar w:fldCharType="end"/>
          </w:r>
          <w:r>
            <w:fldChar w:fldCharType="end"/>
          </w:r>
        </w:p>
        <w:p>
          <w:pPr>
            <w:pStyle w:val="15"/>
            <w:tabs>
              <w:tab w:val="right" w:leader="dot" w:pos="8306"/>
            </w:tabs>
          </w:pPr>
          <w:r>
            <w:fldChar w:fldCharType="begin"/>
          </w:r>
          <w:r>
            <w:instrText xml:space="preserve"> HYPERLINK \l _Toc7902 </w:instrText>
          </w:r>
          <w:r>
            <w:fldChar w:fldCharType="separate"/>
          </w:r>
          <w:r>
            <w:rPr>
              <w:rFonts w:hint="eastAsia" w:ascii="楷体" w:hAnsi="楷体" w:eastAsia="楷体" w:cs="楷体"/>
              <w:bCs w:val="0"/>
              <w:szCs w:val="28"/>
            </w:rPr>
            <w:t>（</w:t>
          </w:r>
          <w:r>
            <w:rPr>
              <w:rFonts w:hint="eastAsia" w:ascii="楷体" w:hAnsi="楷体" w:eastAsia="楷体" w:cs="楷体"/>
              <w:bCs w:val="0"/>
              <w:szCs w:val="28"/>
              <w:lang w:val="en-US" w:eastAsia="zh-CN"/>
            </w:rPr>
            <w:t>三</w:t>
          </w:r>
          <w:r>
            <w:rPr>
              <w:rFonts w:hint="eastAsia" w:ascii="楷体" w:hAnsi="楷体" w:eastAsia="楷体" w:cs="楷体"/>
              <w:bCs w:val="0"/>
              <w:szCs w:val="28"/>
            </w:rPr>
            <w:t>）评价原则</w:t>
          </w:r>
          <w:r>
            <w:tab/>
          </w:r>
          <w:r>
            <w:fldChar w:fldCharType="begin"/>
          </w:r>
          <w:r>
            <w:instrText xml:space="preserve"> PAGEREF _Toc7902 \h </w:instrText>
          </w:r>
          <w:r>
            <w:fldChar w:fldCharType="separate"/>
          </w:r>
          <w:r>
            <w:t>10</w:t>
          </w:r>
          <w:r>
            <w:fldChar w:fldCharType="end"/>
          </w:r>
          <w:r>
            <w:fldChar w:fldCharType="end"/>
          </w:r>
        </w:p>
        <w:p>
          <w:pPr>
            <w:pStyle w:val="15"/>
            <w:tabs>
              <w:tab w:val="right" w:leader="dot" w:pos="8306"/>
            </w:tabs>
          </w:pPr>
          <w:r>
            <w:fldChar w:fldCharType="begin"/>
          </w:r>
          <w:r>
            <w:instrText xml:space="preserve"> HYPERLINK \l _Toc15135 </w:instrText>
          </w:r>
          <w:r>
            <w:fldChar w:fldCharType="separate"/>
          </w:r>
          <w:r>
            <w:rPr>
              <w:rFonts w:hint="eastAsia" w:ascii="楷体" w:hAnsi="楷体" w:eastAsia="楷体" w:cs="楷体"/>
              <w:bCs w:val="0"/>
              <w:szCs w:val="28"/>
            </w:rPr>
            <w:t>（</w:t>
          </w:r>
          <w:r>
            <w:rPr>
              <w:rFonts w:hint="eastAsia" w:ascii="楷体" w:hAnsi="楷体" w:eastAsia="楷体" w:cs="楷体"/>
              <w:bCs w:val="0"/>
              <w:szCs w:val="28"/>
              <w:lang w:val="en-US" w:eastAsia="zh-CN"/>
            </w:rPr>
            <w:t>四</w:t>
          </w:r>
          <w:r>
            <w:rPr>
              <w:rFonts w:hint="eastAsia" w:ascii="楷体" w:hAnsi="楷体" w:eastAsia="楷体" w:cs="楷体"/>
              <w:bCs w:val="0"/>
              <w:szCs w:val="28"/>
            </w:rPr>
            <w:t>）评定方法</w:t>
          </w:r>
          <w:r>
            <w:tab/>
          </w:r>
          <w:r>
            <w:fldChar w:fldCharType="begin"/>
          </w:r>
          <w:r>
            <w:instrText xml:space="preserve"> PAGEREF _Toc15135 \h </w:instrText>
          </w:r>
          <w:r>
            <w:fldChar w:fldCharType="separate"/>
          </w:r>
          <w:r>
            <w:t>10</w:t>
          </w:r>
          <w:r>
            <w:fldChar w:fldCharType="end"/>
          </w:r>
          <w:r>
            <w:fldChar w:fldCharType="end"/>
          </w:r>
        </w:p>
        <w:p>
          <w:pPr>
            <w:pStyle w:val="15"/>
            <w:tabs>
              <w:tab w:val="right" w:leader="dot" w:pos="8306"/>
            </w:tabs>
          </w:pPr>
          <w:r>
            <w:fldChar w:fldCharType="begin"/>
          </w:r>
          <w:r>
            <w:instrText xml:space="preserve"> HYPERLINK \l _Toc25893 </w:instrText>
          </w:r>
          <w:r>
            <w:fldChar w:fldCharType="separate"/>
          </w:r>
          <w:r>
            <w:rPr>
              <w:rFonts w:hint="eastAsia" w:ascii="楷体" w:hAnsi="楷体" w:eastAsia="楷体" w:cs="楷体"/>
              <w:bCs w:val="0"/>
              <w:szCs w:val="28"/>
            </w:rPr>
            <w:t>（</w:t>
          </w:r>
          <w:r>
            <w:rPr>
              <w:rFonts w:hint="eastAsia" w:ascii="楷体" w:hAnsi="楷体" w:eastAsia="楷体" w:cs="楷体"/>
              <w:bCs w:val="0"/>
              <w:szCs w:val="28"/>
              <w:lang w:val="en-US" w:eastAsia="zh-CN"/>
            </w:rPr>
            <w:t>五</w:t>
          </w:r>
          <w:r>
            <w:rPr>
              <w:rFonts w:hint="eastAsia" w:ascii="楷体" w:hAnsi="楷体" w:eastAsia="楷体" w:cs="楷体"/>
              <w:bCs w:val="0"/>
              <w:szCs w:val="28"/>
            </w:rPr>
            <w:t>）组织实施</w:t>
          </w:r>
          <w:r>
            <w:tab/>
          </w:r>
          <w:r>
            <w:fldChar w:fldCharType="begin"/>
          </w:r>
          <w:r>
            <w:instrText xml:space="preserve"> PAGEREF _Toc25893 \h </w:instrText>
          </w:r>
          <w:r>
            <w:fldChar w:fldCharType="separate"/>
          </w:r>
          <w:r>
            <w:t>10</w:t>
          </w:r>
          <w:r>
            <w:fldChar w:fldCharType="end"/>
          </w:r>
          <w:r>
            <w:fldChar w:fldCharType="end"/>
          </w:r>
        </w:p>
        <w:p>
          <w:pPr>
            <w:pStyle w:val="15"/>
            <w:tabs>
              <w:tab w:val="right" w:leader="dot" w:pos="8306"/>
            </w:tabs>
          </w:pPr>
          <w:r>
            <w:fldChar w:fldCharType="begin"/>
          </w:r>
          <w:r>
            <w:instrText xml:space="preserve"> HYPERLINK \l _Toc20819 </w:instrText>
          </w:r>
          <w:r>
            <w:fldChar w:fldCharType="separate"/>
          </w:r>
          <w:r>
            <w:rPr>
              <w:rFonts w:hint="eastAsia" w:ascii="黑体" w:hAnsi="黑体" w:eastAsia="黑体" w:cs="黑体"/>
              <w:bCs/>
              <w:szCs w:val="36"/>
            </w:rPr>
            <w:t>三、综合评价情况及评价结论</w:t>
          </w:r>
          <w:r>
            <w:tab/>
          </w:r>
          <w:r>
            <w:fldChar w:fldCharType="begin"/>
          </w:r>
          <w:r>
            <w:instrText xml:space="preserve"> PAGEREF _Toc20819 \h </w:instrText>
          </w:r>
          <w:r>
            <w:fldChar w:fldCharType="separate"/>
          </w:r>
          <w:r>
            <w:t>11</w:t>
          </w:r>
          <w:r>
            <w:fldChar w:fldCharType="end"/>
          </w:r>
          <w:r>
            <w:fldChar w:fldCharType="end"/>
          </w:r>
        </w:p>
        <w:p>
          <w:pPr>
            <w:pStyle w:val="15"/>
            <w:tabs>
              <w:tab w:val="right" w:leader="dot" w:pos="8306"/>
            </w:tabs>
          </w:pPr>
          <w:r>
            <w:fldChar w:fldCharType="begin"/>
          </w:r>
          <w:r>
            <w:instrText xml:space="preserve"> HYPERLINK \l _Toc21778 </w:instrText>
          </w:r>
          <w:r>
            <w:fldChar w:fldCharType="separate"/>
          </w:r>
          <w:r>
            <w:rPr>
              <w:rFonts w:hint="eastAsia" w:ascii="黑体" w:hAnsi="黑体" w:eastAsia="黑体" w:cs="黑体"/>
              <w:bCs/>
              <w:szCs w:val="28"/>
            </w:rPr>
            <w:t>四、绩效评价指标分析</w:t>
          </w:r>
          <w:r>
            <w:tab/>
          </w:r>
          <w:r>
            <w:fldChar w:fldCharType="begin"/>
          </w:r>
          <w:r>
            <w:instrText xml:space="preserve"> PAGEREF _Toc21778 \h </w:instrText>
          </w:r>
          <w:r>
            <w:fldChar w:fldCharType="separate"/>
          </w:r>
          <w:r>
            <w:t>12</w:t>
          </w:r>
          <w:r>
            <w:fldChar w:fldCharType="end"/>
          </w:r>
          <w:r>
            <w:fldChar w:fldCharType="end"/>
          </w:r>
        </w:p>
        <w:p>
          <w:pPr>
            <w:pStyle w:val="16"/>
            <w:tabs>
              <w:tab w:val="right" w:leader="dot" w:pos="8306"/>
            </w:tabs>
          </w:pPr>
          <w:r>
            <w:fldChar w:fldCharType="begin"/>
          </w:r>
          <w:r>
            <w:instrText xml:space="preserve"> HYPERLINK \l _Toc27113 </w:instrText>
          </w:r>
          <w:r>
            <w:fldChar w:fldCharType="separate"/>
          </w:r>
          <w:r>
            <w:rPr>
              <w:rFonts w:hint="eastAsia" w:ascii="楷体" w:hAnsi="楷体" w:eastAsia="楷体" w:cs="楷体"/>
              <w:bCs/>
              <w:szCs w:val="28"/>
            </w:rPr>
            <w:t>（一）决策管理（</w:t>
          </w:r>
          <w:r>
            <w:rPr>
              <w:rFonts w:hint="eastAsia" w:ascii="楷体" w:hAnsi="楷体" w:eastAsia="楷体" w:cs="楷体"/>
              <w:bCs/>
              <w:szCs w:val="28"/>
              <w:lang w:val="en-US" w:eastAsia="zh-CN"/>
            </w:rPr>
            <w:t>总分</w:t>
          </w:r>
          <w:r>
            <w:rPr>
              <w:rFonts w:hint="eastAsia" w:ascii="楷体" w:hAnsi="楷体" w:eastAsia="楷体" w:cs="楷体"/>
              <w:bCs/>
              <w:szCs w:val="28"/>
            </w:rPr>
            <w:t>1</w:t>
          </w:r>
          <w:r>
            <w:rPr>
              <w:rFonts w:hint="eastAsia" w:ascii="楷体" w:hAnsi="楷体" w:eastAsia="楷体" w:cs="楷体"/>
              <w:bCs/>
              <w:szCs w:val="28"/>
              <w:lang w:val="en-US" w:eastAsia="zh-CN"/>
            </w:rPr>
            <w:t>3</w:t>
          </w:r>
          <w:r>
            <w:rPr>
              <w:rFonts w:hint="eastAsia" w:ascii="楷体" w:hAnsi="楷体" w:eastAsia="楷体" w:cs="楷体"/>
              <w:bCs/>
              <w:szCs w:val="28"/>
            </w:rPr>
            <w:t>分</w:t>
          </w:r>
          <w:r>
            <w:rPr>
              <w:rFonts w:hint="eastAsia" w:ascii="楷体" w:hAnsi="楷体" w:eastAsia="楷体" w:cs="楷体"/>
              <w:bCs/>
              <w:szCs w:val="28"/>
              <w:lang w:eastAsia="zh-CN"/>
            </w:rPr>
            <w:t>，</w:t>
          </w:r>
          <w:r>
            <w:rPr>
              <w:rFonts w:hint="eastAsia" w:ascii="楷体" w:hAnsi="楷体" w:eastAsia="楷体" w:cs="楷体"/>
              <w:bCs/>
              <w:szCs w:val="28"/>
              <w:lang w:val="en-US" w:eastAsia="zh-CN"/>
            </w:rPr>
            <w:t>得13分</w:t>
          </w:r>
          <w:r>
            <w:rPr>
              <w:rFonts w:hint="eastAsia" w:ascii="楷体" w:hAnsi="楷体" w:eastAsia="楷体" w:cs="楷体"/>
              <w:bCs/>
              <w:szCs w:val="28"/>
            </w:rPr>
            <w:t>）</w:t>
          </w:r>
          <w:r>
            <w:tab/>
          </w:r>
          <w:r>
            <w:fldChar w:fldCharType="begin"/>
          </w:r>
          <w:r>
            <w:instrText xml:space="preserve"> PAGEREF _Toc27113 \h </w:instrText>
          </w:r>
          <w:r>
            <w:fldChar w:fldCharType="separate"/>
          </w:r>
          <w:r>
            <w:t>12</w:t>
          </w:r>
          <w:r>
            <w:fldChar w:fldCharType="end"/>
          </w:r>
          <w:r>
            <w:fldChar w:fldCharType="end"/>
          </w:r>
        </w:p>
        <w:p>
          <w:pPr>
            <w:pStyle w:val="17"/>
            <w:tabs>
              <w:tab w:val="right" w:leader="dot" w:pos="8306"/>
            </w:tabs>
          </w:pPr>
          <w:r>
            <w:fldChar w:fldCharType="begin"/>
          </w:r>
          <w:r>
            <w:instrText xml:space="preserve"> HYPERLINK \l _Toc8283 </w:instrText>
          </w:r>
          <w:r>
            <w:fldChar w:fldCharType="separate"/>
          </w:r>
          <w:r>
            <w:rPr>
              <w:rFonts w:hint="eastAsia" w:ascii="仿宋" w:hAnsi="仿宋" w:eastAsia="仿宋" w:cs="仿宋"/>
              <w:bCs/>
              <w:szCs w:val="28"/>
            </w:rPr>
            <w:t>1、项目决策（</w:t>
          </w:r>
          <w:r>
            <w:rPr>
              <w:rFonts w:hint="eastAsia" w:ascii="仿宋" w:hAnsi="仿宋" w:eastAsia="仿宋" w:cs="仿宋"/>
              <w:bCs/>
              <w:szCs w:val="28"/>
              <w:lang w:val="en-US" w:eastAsia="zh-CN"/>
            </w:rPr>
            <w:t>10</w:t>
          </w:r>
          <w:r>
            <w:rPr>
              <w:rFonts w:hint="eastAsia" w:ascii="仿宋" w:hAnsi="仿宋" w:eastAsia="仿宋" w:cs="仿宋"/>
              <w:bCs/>
              <w:szCs w:val="28"/>
            </w:rPr>
            <w:t>分）</w:t>
          </w:r>
          <w:r>
            <w:tab/>
          </w:r>
          <w:r>
            <w:fldChar w:fldCharType="begin"/>
          </w:r>
          <w:r>
            <w:instrText xml:space="preserve"> PAGEREF _Toc8283 \h </w:instrText>
          </w:r>
          <w:r>
            <w:fldChar w:fldCharType="separate"/>
          </w:r>
          <w:r>
            <w:t>12</w:t>
          </w:r>
          <w:r>
            <w:fldChar w:fldCharType="end"/>
          </w:r>
          <w:r>
            <w:fldChar w:fldCharType="end"/>
          </w:r>
        </w:p>
        <w:p>
          <w:pPr>
            <w:pStyle w:val="17"/>
            <w:tabs>
              <w:tab w:val="right" w:leader="dot" w:pos="8306"/>
            </w:tabs>
          </w:pPr>
          <w:r>
            <w:fldChar w:fldCharType="begin"/>
          </w:r>
          <w:r>
            <w:instrText xml:space="preserve"> HYPERLINK \l _Toc24214 </w:instrText>
          </w:r>
          <w:r>
            <w:fldChar w:fldCharType="separate"/>
          </w:r>
          <w:r>
            <w:rPr>
              <w:rFonts w:hint="eastAsia" w:ascii="仿宋" w:hAnsi="仿宋" w:eastAsia="仿宋" w:cs="仿宋"/>
              <w:szCs w:val="28"/>
            </w:rPr>
            <w:t>2、绩效目标（</w:t>
          </w:r>
          <w:r>
            <w:rPr>
              <w:rFonts w:hint="eastAsia" w:ascii="仿宋" w:hAnsi="仿宋" w:eastAsia="仿宋" w:cs="仿宋"/>
              <w:szCs w:val="28"/>
              <w:lang w:val="en-US" w:eastAsia="zh-CN"/>
            </w:rPr>
            <w:t>2</w:t>
          </w:r>
          <w:r>
            <w:rPr>
              <w:rFonts w:hint="eastAsia" w:ascii="仿宋" w:hAnsi="仿宋" w:eastAsia="仿宋" w:cs="仿宋"/>
              <w:szCs w:val="28"/>
            </w:rPr>
            <w:t>分）</w:t>
          </w:r>
          <w:r>
            <w:tab/>
          </w:r>
          <w:r>
            <w:fldChar w:fldCharType="begin"/>
          </w:r>
          <w:r>
            <w:instrText xml:space="preserve"> PAGEREF _Toc24214 \h </w:instrText>
          </w:r>
          <w:r>
            <w:fldChar w:fldCharType="separate"/>
          </w:r>
          <w:r>
            <w:t>13</w:t>
          </w:r>
          <w:r>
            <w:fldChar w:fldCharType="end"/>
          </w:r>
          <w:r>
            <w:fldChar w:fldCharType="end"/>
          </w:r>
        </w:p>
        <w:p>
          <w:pPr>
            <w:pStyle w:val="16"/>
            <w:tabs>
              <w:tab w:val="right" w:leader="dot" w:pos="8306"/>
            </w:tabs>
          </w:pPr>
          <w:r>
            <w:fldChar w:fldCharType="begin"/>
          </w:r>
          <w:r>
            <w:instrText xml:space="preserve"> HYPERLINK \l _Toc32227 </w:instrText>
          </w:r>
          <w:r>
            <w:fldChar w:fldCharType="separate"/>
          </w:r>
          <w:r>
            <w:rPr>
              <w:rFonts w:hint="eastAsia" w:ascii="楷体" w:hAnsi="楷体" w:eastAsia="楷体" w:cs="楷体"/>
              <w:bCs/>
              <w:szCs w:val="28"/>
            </w:rPr>
            <w:t>（二）项目购买与监管（总分</w:t>
          </w:r>
          <w:r>
            <w:rPr>
              <w:rFonts w:hint="eastAsia" w:ascii="楷体" w:hAnsi="楷体" w:eastAsia="楷体" w:cs="楷体"/>
              <w:bCs/>
              <w:szCs w:val="28"/>
              <w:lang w:val="en-US" w:eastAsia="zh-CN"/>
            </w:rPr>
            <w:t>35</w:t>
          </w:r>
          <w:r>
            <w:rPr>
              <w:rFonts w:hint="eastAsia" w:ascii="楷体" w:hAnsi="楷体" w:eastAsia="楷体" w:cs="楷体"/>
              <w:bCs/>
              <w:szCs w:val="28"/>
            </w:rPr>
            <w:t>分，计</w:t>
          </w:r>
          <w:r>
            <w:rPr>
              <w:rFonts w:hint="eastAsia" w:ascii="楷体" w:hAnsi="楷体" w:eastAsia="楷体" w:cs="楷体"/>
              <w:bCs/>
              <w:szCs w:val="28"/>
              <w:lang w:val="en-US" w:eastAsia="zh-CN"/>
            </w:rPr>
            <w:t>26.2</w:t>
          </w:r>
          <w:r>
            <w:rPr>
              <w:rFonts w:hint="eastAsia" w:ascii="楷体" w:hAnsi="楷体" w:eastAsia="楷体" w:cs="楷体"/>
              <w:bCs/>
              <w:szCs w:val="28"/>
            </w:rPr>
            <w:t>分）</w:t>
          </w:r>
          <w:r>
            <w:tab/>
          </w:r>
          <w:r>
            <w:fldChar w:fldCharType="begin"/>
          </w:r>
          <w:r>
            <w:instrText xml:space="preserve"> PAGEREF _Toc32227 \h </w:instrText>
          </w:r>
          <w:r>
            <w:fldChar w:fldCharType="separate"/>
          </w:r>
          <w:r>
            <w:t>13</w:t>
          </w:r>
          <w:r>
            <w:fldChar w:fldCharType="end"/>
          </w:r>
          <w:r>
            <w:fldChar w:fldCharType="end"/>
          </w:r>
        </w:p>
        <w:p>
          <w:pPr>
            <w:pStyle w:val="17"/>
            <w:tabs>
              <w:tab w:val="right" w:leader="dot" w:pos="8306"/>
            </w:tabs>
          </w:pPr>
          <w:r>
            <w:fldChar w:fldCharType="begin"/>
          </w:r>
          <w:r>
            <w:instrText xml:space="preserve"> HYPERLINK \l _Toc21995 </w:instrText>
          </w:r>
          <w:r>
            <w:fldChar w:fldCharType="separate"/>
          </w:r>
          <w:r>
            <w:rPr>
              <w:rFonts w:hint="eastAsia" w:ascii="仿宋" w:hAnsi="仿宋" w:eastAsia="仿宋" w:cs="仿宋"/>
              <w:bCs/>
              <w:szCs w:val="28"/>
            </w:rPr>
            <w:t>1、</w:t>
          </w:r>
          <w:r>
            <w:rPr>
              <w:rFonts w:hint="eastAsia" w:ascii="仿宋" w:hAnsi="仿宋" w:eastAsia="仿宋" w:cs="仿宋"/>
              <w:bCs/>
              <w:szCs w:val="28"/>
              <w:lang w:val="en-US" w:eastAsia="zh-CN"/>
            </w:rPr>
            <w:t>采购</w:t>
          </w:r>
          <w:r>
            <w:rPr>
              <w:rFonts w:hint="eastAsia" w:ascii="仿宋" w:hAnsi="仿宋" w:eastAsia="仿宋" w:cs="仿宋"/>
              <w:bCs/>
              <w:szCs w:val="28"/>
            </w:rPr>
            <w:t>管理（</w:t>
          </w:r>
          <w:r>
            <w:rPr>
              <w:rFonts w:hint="eastAsia" w:ascii="仿宋" w:hAnsi="仿宋" w:eastAsia="仿宋" w:cs="仿宋"/>
              <w:bCs/>
              <w:szCs w:val="28"/>
              <w:lang w:val="en-US" w:eastAsia="zh-CN"/>
            </w:rPr>
            <w:t>23</w:t>
          </w:r>
          <w:r>
            <w:rPr>
              <w:rFonts w:hint="eastAsia" w:ascii="仿宋" w:hAnsi="仿宋" w:eastAsia="仿宋" w:cs="仿宋"/>
              <w:bCs/>
              <w:szCs w:val="28"/>
            </w:rPr>
            <w:t>分）</w:t>
          </w:r>
          <w:r>
            <w:tab/>
          </w:r>
          <w:r>
            <w:fldChar w:fldCharType="begin"/>
          </w:r>
          <w:r>
            <w:instrText xml:space="preserve"> PAGEREF _Toc21995 \h </w:instrText>
          </w:r>
          <w:r>
            <w:fldChar w:fldCharType="separate"/>
          </w:r>
          <w:r>
            <w:t>13</w:t>
          </w:r>
          <w:r>
            <w:fldChar w:fldCharType="end"/>
          </w:r>
          <w:r>
            <w:fldChar w:fldCharType="end"/>
          </w:r>
        </w:p>
        <w:p>
          <w:pPr>
            <w:pStyle w:val="17"/>
            <w:tabs>
              <w:tab w:val="right" w:leader="dot" w:pos="8306"/>
            </w:tabs>
          </w:pPr>
          <w:r>
            <w:fldChar w:fldCharType="begin"/>
          </w:r>
          <w:r>
            <w:instrText xml:space="preserve"> HYPERLINK \l _Toc8246 </w:instrText>
          </w:r>
          <w:r>
            <w:fldChar w:fldCharType="separate"/>
          </w:r>
          <w:r>
            <w:rPr>
              <w:rFonts w:hint="eastAsia" w:ascii="仿宋" w:hAnsi="仿宋" w:eastAsia="仿宋" w:cs="仿宋"/>
              <w:bCs/>
              <w:szCs w:val="28"/>
            </w:rPr>
            <w:t>2、资金管理（8分）</w:t>
          </w:r>
          <w:r>
            <w:tab/>
          </w:r>
          <w:r>
            <w:fldChar w:fldCharType="begin"/>
          </w:r>
          <w:r>
            <w:instrText xml:space="preserve"> PAGEREF _Toc8246 \h </w:instrText>
          </w:r>
          <w:r>
            <w:fldChar w:fldCharType="separate"/>
          </w:r>
          <w:r>
            <w:t>14</w:t>
          </w:r>
          <w:r>
            <w:fldChar w:fldCharType="end"/>
          </w:r>
          <w:r>
            <w:fldChar w:fldCharType="end"/>
          </w:r>
        </w:p>
        <w:p>
          <w:pPr>
            <w:pStyle w:val="17"/>
            <w:tabs>
              <w:tab w:val="right" w:leader="dot" w:pos="8306"/>
            </w:tabs>
          </w:pPr>
          <w:r>
            <w:fldChar w:fldCharType="begin"/>
          </w:r>
          <w:r>
            <w:instrText xml:space="preserve"> HYPERLINK \l _Toc11678 </w:instrText>
          </w:r>
          <w:r>
            <w:fldChar w:fldCharType="separate"/>
          </w:r>
          <w:r>
            <w:rPr>
              <w:rFonts w:hint="eastAsia" w:ascii="仿宋" w:hAnsi="仿宋" w:eastAsia="仿宋" w:cs="仿宋"/>
              <w:bCs/>
              <w:szCs w:val="28"/>
              <w:lang w:val="en-US" w:eastAsia="zh-CN"/>
            </w:rPr>
            <w:t>3、</w:t>
          </w:r>
          <w:r>
            <w:rPr>
              <w:rFonts w:hint="eastAsia" w:ascii="仿宋" w:hAnsi="仿宋" w:eastAsia="仿宋" w:cs="仿宋"/>
              <w:bCs/>
              <w:szCs w:val="28"/>
            </w:rPr>
            <w:t>项目监管（4分）</w:t>
          </w:r>
          <w:r>
            <w:tab/>
          </w:r>
          <w:r>
            <w:fldChar w:fldCharType="begin"/>
          </w:r>
          <w:r>
            <w:instrText xml:space="preserve"> PAGEREF _Toc11678 \h </w:instrText>
          </w:r>
          <w:r>
            <w:fldChar w:fldCharType="separate"/>
          </w:r>
          <w:r>
            <w:t>15</w:t>
          </w:r>
          <w:r>
            <w:fldChar w:fldCharType="end"/>
          </w:r>
          <w:r>
            <w:fldChar w:fldCharType="end"/>
          </w:r>
        </w:p>
        <w:p>
          <w:pPr>
            <w:pStyle w:val="16"/>
            <w:tabs>
              <w:tab w:val="right" w:leader="dot" w:pos="8306"/>
            </w:tabs>
          </w:pPr>
          <w:r>
            <w:fldChar w:fldCharType="begin"/>
          </w:r>
          <w:r>
            <w:instrText xml:space="preserve"> HYPERLINK \l _Toc22074 </w:instrText>
          </w:r>
          <w:r>
            <w:fldChar w:fldCharType="separate"/>
          </w:r>
          <w:r>
            <w:rPr>
              <w:rFonts w:hint="eastAsia" w:ascii="楷体" w:hAnsi="楷体" w:eastAsia="楷体" w:cs="楷体"/>
              <w:bCs/>
              <w:szCs w:val="28"/>
            </w:rPr>
            <w:t>（三）组织管理（</w:t>
          </w:r>
          <w:r>
            <w:rPr>
              <w:rFonts w:hint="eastAsia" w:ascii="楷体" w:hAnsi="楷体" w:eastAsia="楷体" w:cs="楷体"/>
              <w:bCs/>
              <w:szCs w:val="28"/>
              <w:lang w:val="en-US" w:eastAsia="zh-CN"/>
            </w:rPr>
            <w:t>总分3</w:t>
          </w:r>
          <w:r>
            <w:rPr>
              <w:rFonts w:hint="eastAsia" w:ascii="楷体" w:hAnsi="楷体" w:eastAsia="楷体" w:cs="楷体"/>
              <w:bCs/>
              <w:szCs w:val="28"/>
            </w:rPr>
            <w:t>分</w:t>
          </w:r>
          <w:r>
            <w:rPr>
              <w:rFonts w:hint="eastAsia" w:ascii="楷体" w:hAnsi="楷体" w:eastAsia="楷体" w:cs="楷体"/>
              <w:bCs/>
              <w:szCs w:val="28"/>
              <w:lang w:eastAsia="zh-CN"/>
            </w:rPr>
            <w:t>，</w:t>
          </w:r>
          <w:r>
            <w:rPr>
              <w:rFonts w:hint="eastAsia" w:ascii="楷体" w:hAnsi="楷体" w:eastAsia="楷体" w:cs="楷体"/>
              <w:bCs/>
              <w:szCs w:val="28"/>
              <w:lang w:val="en-US" w:eastAsia="zh-CN"/>
            </w:rPr>
            <w:t>计3分</w:t>
          </w:r>
          <w:r>
            <w:rPr>
              <w:rFonts w:hint="eastAsia" w:ascii="楷体" w:hAnsi="楷体" w:eastAsia="楷体" w:cs="楷体"/>
              <w:bCs/>
              <w:szCs w:val="28"/>
            </w:rPr>
            <w:t>）</w:t>
          </w:r>
          <w:r>
            <w:tab/>
          </w:r>
          <w:r>
            <w:fldChar w:fldCharType="begin"/>
          </w:r>
          <w:r>
            <w:instrText xml:space="preserve"> PAGEREF _Toc22074 \h </w:instrText>
          </w:r>
          <w:r>
            <w:fldChar w:fldCharType="separate"/>
          </w:r>
          <w:r>
            <w:t>15</w:t>
          </w:r>
          <w:r>
            <w:fldChar w:fldCharType="end"/>
          </w:r>
          <w:r>
            <w:fldChar w:fldCharType="end"/>
          </w:r>
        </w:p>
        <w:p>
          <w:pPr>
            <w:pStyle w:val="17"/>
            <w:tabs>
              <w:tab w:val="right" w:leader="dot" w:pos="8306"/>
            </w:tabs>
          </w:pPr>
          <w:r>
            <w:fldChar w:fldCharType="begin"/>
          </w:r>
          <w:r>
            <w:instrText xml:space="preserve"> HYPERLINK \l _Toc26846 </w:instrText>
          </w:r>
          <w:r>
            <w:fldChar w:fldCharType="separate"/>
          </w:r>
          <w:r>
            <w:rPr>
              <w:rFonts w:hint="eastAsia" w:ascii="仿宋" w:hAnsi="仿宋" w:eastAsia="仿宋" w:cs="仿宋"/>
              <w:bCs/>
              <w:szCs w:val="28"/>
              <w:lang w:val="en-US" w:eastAsia="zh-CN"/>
            </w:rPr>
            <w:t>1.</w:t>
          </w:r>
          <w:r>
            <w:rPr>
              <w:rFonts w:hint="eastAsia" w:ascii="仿宋" w:hAnsi="仿宋" w:eastAsia="仿宋" w:cs="仿宋"/>
              <w:bCs/>
              <w:szCs w:val="28"/>
            </w:rPr>
            <w:t>组织管理科学性</w:t>
          </w:r>
          <w:r>
            <w:tab/>
          </w:r>
          <w:r>
            <w:fldChar w:fldCharType="begin"/>
          </w:r>
          <w:r>
            <w:instrText xml:space="preserve"> PAGEREF _Toc26846 \h </w:instrText>
          </w:r>
          <w:r>
            <w:fldChar w:fldCharType="separate"/>
          </w:r>
          <w:r>
            <w:t>15</w:t>
          </w:r>
          <w:r>
            <w:fldChar w:fldCharType="end"/>
          </w:r>
          <w:r>
            <w:fldChar w:fldCharType="end"/>
          </w:r>
        </w:p>
        <w:p>
          <w:pPr>
            <w:pStyle w:val="17"/>
            <w:tabs>
              <w:tab w:val="right" w:leader="dot" w:pos="8306"/>
            </w:tabs>
          </w:pPr>
          <w:r>
            <w:fldChar w:fldCharType="begin"/>
          </w:r>
          <w:r>
            <w:instrText xml:space="preserve"> HYPERLINK \l _Toc14895 </w:instrText>
          </w:r>
          <w:r>
            <w:fldChar w:fldCharType="separate"/>
          </w:r>
          <w:r>
            <w:rPr>
              <w:rFonts w:hint="eastAsia" w:ascii="仿宋" w:hAnsi="仿宋" w:eastAsia="仿宋" w:cs="仿宋"/>
              <w:bCs/>
              <w:szCs w:val="28"/>
              <w:lang w:val="en-US" w:eastAsia="zh-CN"/>
            </w:rPr>
            <w:t>2.</w:t>
          </w:r>
          <w:r>
            <w:rPr>
              <w:rFonts w:hint="eastAsia" w:ascii="仿宋" w:hAnsi="仿宋" w:eastAsia="仿宋" w:cs="仿宋"/>
              <w:bCs/>
              <w:szCs w:val="28"/>
            </w:rPr>
            <w:t>档案管理规范性</w:t>
          </w:r>
          <w:r>
            <w:tab/>
          </w:r>
          <w:r>
            <w:fldChar w:fldCharType="begin"/>
          </w:r>
          <w:r>
            <w:instrText xml:space="preserve"> PAGEREF _Toc14895 \h </w:instrText>
          </w:r>
          <w:r>
            <w:fldChar w:fldCharType="separate"/>
          </w:r>
          <w:r>
            <w:t>15</w:t>
          </w:r>
          <w:r>
            <w:fldChar w:fldCharType="end"/>
          </w:r>
          <w:r>
            <w:fldChar w:fldCharType="end"/>
          </w:r>
        </w:p>
        <w:p>
          <w:pPr>
            <w:pStyle w:val="16"/>
            <w:tabs>
              <w:tab w:val="right" w:leader="dot" w:pos="8306"/>
            </w:tabs>
          </w:pPr>
          <w:r>
            <w:fldChar w:fldCharType="begin"/>
          </w:r>
          <w:r>
            <w:instrText xml:space="preserve"> HYPERLINK \l _Toc19776 </w:instrText>
          </w:r>
          <w:r>
            <w:fldChar w:fldCharType="separate"/>
          </w:r>
          <w:r>
            <w:rPr>
              <w:rFonts w:hint="eastAsia" w:ascii="楷体" w:hAnsi="楷体" w:eastAsia="楷体" w:cs="楷体"/>
              <w:bCs/>
              <w:szCs w:val="28"/>
            </w:rPr>
            <w:t>（四）</w:t>
          </w:r>
          <w:r>
            <w:rPr>
              <w:rFonts w:hint="eastAsia" w:ascii="楷体" w:hAnsi="楷体" w:eastAsia="楷体" w:cs="楷体"/>
              <w:bCs/>
              <w:szCs w:val="28"/>
              <w:lang w:val="en-US" w:eastAsia="zh-CN"/>
            </w:rPr>
            <w:t>项目产出</w:t>
          </w:r>
          <w:r>
            <w:rPr>
              <w:rFonts w:hint="eastAsia" w:ascii="楷体" w:hAnsi="楷体" w:eastAsia="楷体" w:cs="楷体"/>
              <w:bCs/>
              <w:szCs w:val="28"/>
            </w:rPr>
            <w:t>（</w:t>
          </w:r>
          <w:r>
            <w:rPr>
              <w:rFonts w:hint="eastAsia" w:ascii="楷体" w:hAnsi="楷体" w:eastAsia="楷体" w:cs="楷体"/>
              <w:bCs/>
              <w:szCs w:val="28"/>
              <w:lang w:val="en-US" w:eastAsia="zh-CN"/>
            </w:rPr>
            <w:t>总分29</w:t>
          </w:r>
          <w:r>
            <w:rPr>
              <w:rFonts w:hint="eastAsia" w:ascii="楷体" w:hAnsi="楷体" w:eastAsia="楷体" w:cs="楷体"/>
              <w:bCs/>
              <w:szCs w:val="28"/>
            </w:rPr>
            <w:t>分</w:t>
          </w:r>
          <w:r>
            <w:rPr>
              <w:rFonts w:hint="eastAsia" w:ascii="楷体" w:hAnsi="楷体" w:eastAsia="楷体" w:cs="楷体"/>
              <w:bCs/>
              <w:szCs w:val="28"/>
              <w:lang w:eastAsia="zh-CN"/>
            </w:rPr>
            <w:t>，</w:t>
          </w:r>
          <w:r>
            <w:rPr>
              <w:rFonts w:hint="eastAsia" w:ascii="楷体" w:hAnsi="楷体" w:eastAsia="楷体" w:cs="楷体"/>
              <w:bCs/>
              <w:szCs w:val="28"/>
              <w:lang w:val="en-US" w:eastAsia="zh-CN"/>
            </w:rPr>
            <w:t>计19.46分</w:t>
          </w:r>
          <w:r>
            <w:rPr>
              <w:rFonts w:hint="eastAsia" w:ascii="楷体" w:hAnsi="楷体" w:eastAsia="楷体" w:cs="楷体"/>
              <w:bCs/>
              <w:szCs w:val="28"/>
            </w:rPr>
            <w:t>）</w:t>
          </w:r>
          <w:r>
            <w:tab/>
          </w:r>
          <w:r>
            <w:fldChar w:fldCharType="begin"/>
          </w:r>
          <w:r>
            <w:instrText xml:space="preserve"> PAGEREF _Toc19776 \h </w:instrText>
          </w:r>
          <w:r>
            <w:fldChar w:fldCharType="separate"/>
          </w:r>
          <w:r>
            <w:t>15</w:t>
          </w:r>
          <w:r>
            <w:fldChar w:fldCharType="end"/>
          </w:r>
          <w:r>
            <w:fldChar w:fldCharType="end"/>
          </w:r>
        </w:p>
        <w:p>
          <w:pPr>
            <w:pStyle w:val="17"/>
            <w:tabs>
              <w:tab w:val="right" w:leader="dot" w:pos="8306"/>
            </w:tabs>
          </w:pPr>
          <w:r>
            <w:fldChar w:fldCharType="begin"/>
          </w:r>
          <w:r>
            <w:instrText xml:space="preserve"> HYPERLINK \l _Toc21379 </w:instrText>
          </w:r>
          <w:r>
            <w:fldChar w:fldCharType="separate"/>
          </w:r>
          <w:r>
            <w:rPr>
              <w:rFonts w:hint="eastAsia" w:ascii="仿宋" w:hAnsi="仿宋" w:eastAsia="仿宋" w:cs="仿宋"/>
              <w:bCs/>
              <w:szCs w:val="28"/>
              <w:lang w:val="en-US" w:eastAsia="zh-CN"/>
            </w:rPr>
            <w:t>1.</w:t>
          </w:r>
          <w:r>
            <w:rPr>
              <w:rFonts w:hint="eastAsia" w:ascii="仿宋" w:hAnsi="仿宋" w:eastAsia="仿宋" w:cs="仿宋"/>
              <w:bCs/>
              <w:szCs w:val="28"/>
            </w:rPr>
            <w:t>采购执行效率（</w:t>
          </w:r>
          <w:r>
            <w:rPr>
              <w:rFonts w:hint="eastAsia" w:ascii="仿宋" w:hAnsi="仿宋" w:eastAsia="仿宋" w:cs="仿宋"/>
              <w:bCs/>
              <w:szCs w:val="28"/>
              <w:lang w:val="en-US" w:eastAsia="zh-CN"/>
            </w:rPr>
            <w:t>8</w:t>
          </w:r>
          <w:r>
            <w:rPr>
              <w:rFonts w:hint="eastAsia" w:ascii="仿宋" w:hAnsi="仿宋" w:eastAsia="仿宋" w:cs="仿宋"/>
              <w:bCs/>
              <w:szCs w:val="28"/>
            </w:rPr>
            <w:t>分）</w:t>
          </w:r>
          <w:r>
            <w:tab/>
          </w:r>
          <w:r>
            <w:fldChar w:fldCharType="begin"/>
          </w:r>
          <w:r>
            <w:instrText xml:space="preserve"> PAGEREF _Toc21379 \h </w:instrText>
          </w:r>
          <w:r>
            <w:fldChar w:fldCharType="separate"/>
          </w:r>
          <w:r>
            <w:t>16</w:t>
          </w:r>
          <w:r>
            <w:fldChar w:fldCharType="end"/>
          </w:r>
          <w:r>
            <w:fldChar w:fldCharType="end"/>
          </w:r>
        </w:p>
        <w:p>
          <w:pPr>
            <w:pStyle w:val="17"/>
            <w:tabs>
              <w:tab w:val="right" w:leader="dot" w:pos="8306"/>
            </w:tabs>
          </w:pPr>
          <w:r>
            <w:fldChar w:fldCharType="begin"/>
          </w:r>
          <w:r>
            <w:instrText xml:space="preserve"> HYPERLINK \l _Toc22618 </w:instrText>
          </w:r>
          <w:r>
            <w:fldChar w:fldCharType="separate"/>
          </w:r>
          <w:r>
            <w:rPr>
              <w:rFonts w:hint="eastAsia" w:ascii="仿宋" w:hAnsi="仿宋" w:eastAsia="仿宋" w:cs="仿宋"/>
              <w:bCs/>
              <w:szCs w:val="28"/>
              <w:lang w:val="en-US" w:eastAsia="zh-CN"/>
            </w:rPr>
            <w:t>2.合同履约效率（21分）</w:t>
          </w:r>
          <w:r>
            <w:tab/>
          </w:r>
          <w:r>
            <w:fldChar w:fldCharType="begin"/>
          </w:r>
          <w:r>
            <w:instrText xml:space="preserve"> PAGEREF _Toc22618 \h </w:instrText>
          </w:r>
          <w:r>
            <w:fldChar w:fldCharType="separate"/>
          </w:r>
          <w:r>
            <w:t>16</w:t>
          </w:r>
          <w:r>
            <w:fldChar w:fldCharType="end"/>
          </w:r>
          <w:r>
            <w:fldChar w:fldCharType="end"/>
          </w:r>
        </w:p>
        <w:p>
          <w:pPr>
            <w:pStyle w:val="16"/>
            <w:tabs>
              <w:tab w:val="right" w:leader="dot" w:pos="8306"/>
            </w:tabs>
          </w:pPr>
          <w:r>
            <w:fldChar w:fldCharType="begin"/>
          </w:r>
          <w:r>
            <w:instrText xml:space="preserve"> HYPERLINK \l _Toc22176 </w:instrText>
          </w:r>
          <w:r>
            <w:fldChar w:fldCharType="separate"/>
          </w:r>
          <w:r>
            <w:rPr>
              <w:rFonts w:hint="eastAsia" w:ascii="楷体" w:hAnsi="楷体" w:eastAsia="楷体" w:cs="楷体"/>
              <w:bCs/>
              <w:szCs w:val="28"/>
            </w:rPr>
            <w:t>（四）</w:t>
          </w:r>
          <w:r>
            <w:rPr>
              <w:rFonts w:hint="eastAsia" w:ascii="楷体" w:hAnsi="楷体" w:eastAsia="楷体" w:cs="楷体"/>
              <w:bCs/>
              <w:szCs w:val="28"/>
              <w:lang w:val="en-US" w:eastAsia="zh-CN"/>
            </w:rPr>
            <w:t>项目效益</w:t>
          </w:r>
          <w:r>
            <w:rPr>
              <w:rFonts w:hint="eastAsia" w:ascii="楷体" w:hAnsi="楷体" w:eastAsia="楷体" w:cs="楷体"/>
              <w:bCs/>
              <w:szCs w:val="28"/>
            </w:rPr>
            <w:t>（</w:t>
          </w:r>
          <w:r>
            <w:rPr>
              <w:rFonts w:hint="eastAsia" w:ascii="楷体" w:hAnsi="楷体" w:eastAsia="楷体" w:cs="楷体"/>
              <w:bCs/>
              <w:szCs w:val="28"/>
              <w:lang w:val="en-US" w:eastAsia="zh-CN"/>
            </w:rPr>
            <w:t>总分17</w:t>
          </w:r>
          <w:r>
            <w:rPr>
              <w:rFonts w:hint="eastAsia" w:ascii="楷体" w:hAnsi="楷体" w:eastAsia="楷体" w:cs="楷体"/>
              <w:bCs/>
              <w:szCs w:val="28"/>
            </w:rPr>
            <w:t>分</w:t>
          </w:r>
          <w:r>
            <w:rPr>
              <w:rFonts w:hint="eastAsia" w:ascii="楷体" w:hAnsi="楷体" w:eastAsia="楷体" w:cs="楷体"/>
              <w:bCs/>
              <w:szCs w:val="28"/>
              <w:lang w:eastAsia="zh-CN"/>
            </w:rPr>
            <w:t>，</w:t>
          </w:r>
          <w:r>
            <w:rPr>
              <w:rFonts w:hint="eastAsia" w:ascii="楷体" w:hAnsi="楷体" w:eastAsia="楷体" w:cs="楷体"/>
              <w:bCs/>
              <w:szCs w:val="28"/>
              <w:lang w:val="en-US" w:eastAsia="zh-CN"/>
            </w:rPr>
            <w:t>计16.17分</w:t>
          </w:r>
          <w:r>
            <w:rPr>
              <w:rFonts w:hint="eastAsia" w:ascii="楷体" w:hAnsi="楷体" w:eastAsia="楷体" w:cs="楷体"/>
              <w:bCs/>
              <w:szCs w:val="28"/>
            </w:rPr>
            <w:t>）</w:t>
          </w:r>
          <w:r>
            <w:tab/>
          </w:r>
          <w:r>
            <w:fldChar w:fldCharType="begin"/>
          </w:r>
          <w:r>
            <w:instrText xml:space="preserve"> PAGEREF _Toc22176 \h </w:instrText>
          </w:r>
          <w:r>
            <w:fldChar w:fldCharType="separate"/>
          </w:r>
          <w:r>
            <w:t>17</w:t>
          </w:r>
          <w:r>
            <w:fldChar w:fldCharType="end"/>
          </w:r>
          <w:r>
            <w:fldChar w:fldCharType="end"/>
          </w:r>
        </w:p>
        <w:p>
          <w:pPr>
            <w:pStyle w:val="17"/>
            <w:tabs>
              <w:tab w:val="right" w:leader="dot" w:pos="8306"/>
            </w:tabs>
          </w:pPr>
          <w:r>
            <w:fldChar w:fldCharType="begin"/>
          </w:r>
          <w:r>
            <w:instrText xml:space="preserve"> HYPERLINK \l _Toc31320 </w:instrText>
          </w:r>
          <w:r>
            <w:fldChar w:fldCharType="separate"/>
          </w:r>
          <w:r>
            <w:rPr>
              <w:rFonts w:hint="eastAsia" w:ascii="仿宋" w:hAnsi="仿宋" w:eastAsia="仿宋" w:cs="仿宋"/>
              <w:bCs/>
              <w:szCs w:val="28"/>
              <w:lang w:val="en-US" w:eastAsia="zh-CN"/>
            </w:rPr>
            <w:t>1.社会效益（14分）</w:t>
          </w:r>
          <w:r>
            <w:tab/>
          </w:r>
          <w:r>
            <w:fldChar w:fldCharType="begin"/>
          </w:r>
          <w:r>
            <w:instrText xml:space="preserve"> PAGEREF _Toc31320 \h </w:instrText>
          </w:r>
          <w:r>
            <w:fldChar w:fldCharType="separate"/>
          </w:r>
          <w:r>
            <w:t>17</w:t>
          </w:r>
          <w:r>
            <w:fldChar w:fldCharType="end"/>
          </w:r>
          <w:r>
            <w:fldChar w:fldCharType="end"/>
          </w:r>
        </w:p>
        <w:p>
          <w:pPr>
            <w:pStyle w:val="17"/>
            <w:tabs>
              <w:tab w:val="right" w:leader="dot" w:pos="8306"/>
            </w:tabs>
          </w:pPr>
          <w:r>
            <w:fldChar w:fldCharType="begin"/>
          </w:r>
          <w:r>
            <w:instrText xml:space="preserve"> HYPERLINK \l _Toc9409 </w:instrText>
          </w:r>
          <w:r>
            <w:fldChar w:fldCharType="separate"/>
          </w:r>
          <w:r>
            <w:rPr>
              <w:rFonts w:hint="eastAsia" w:ascii="仿宋" w:hAnsi="仿宋" w:eastAsia="仿宋" w:cs="仿宋"/>
              <w:bCs/>
              <w:szCs w:val="28"/>
              <w:lang w:val="en-US" w:eastAsia="zh-CN"/>
            </w:rPr>
            <w:t>2.</w:t>
          </w:r>
          <w:r>
            <w:rPr>
              <w:rFonts w:hint="eastAsia" w:ascii="仿宋" w:hAnsi="仿宋" w:eastAsia="仿宋" w:cs="仿宋"/>
              <w:bCs/>
              <w:szCs w:val="28"/>
            </w:rPr>
            <w:t>生态效益（</w:t>
          </w:r>
          <w:r>
            <w:rPr>
              <w:rFonts w:hint="eastAsia" w:ascii="仿宋" w:hAnsi="仿宋" w:eastAsia="仿宋" w:cs="仿宋"/>
              <w:bCs/>
              <w:szCs w:val="28"/>
              <w:lang w:val="en-US" w:eastAsia="zh-CN"/>
            </w:rPr>
            <w:t>3</w:t>
          </w:r>
          <w:r>
            <w:rPr>
              <w:rFonts w:hint="eastAsia" w:ascii="仿宋" w:hAnsi="仿宋" w:eastAsia="仿宋" w:cs="仿宋"/>
              <w:bCs/>
              <w:szCs w:val="28"/>
            </w:rPr>
            <w:t>分）</w:t>
          </w:r>
          <w:r>
            <w:tab/>
          </w:r>
          <w:r>
            <w:fldChar w:fldCharType="begin"/>
          </w:r>
          <w:r>
            <w:instrText xml:space="preserve"> PAGEREF _Toc9409 \h </w:instrText>
          </w:r>
          <w:r>
            <w:fldChar w:fldCharType="separate"/>
          </w:r>
          <w:r>
            <w:t>19</w:t>
          </w:r>
          <w:r>
            <w:fldChar w:fldCharType="end"/>
          </w:r>
          <w:r>
            <w:fldChar w:fldCharType="end"/>
          </w:r>
        </w:p>
        <w:p>
          <w:pPr>
            <w:pStyle w:val="15"/>
            <w:tabs>
              <w:tab w:val="right" w:leader="dot" w:pos="8306"/>
            </w:tabs>
          </w:pPr>
          <w:r>
            <w:fldChar w:fldCharType="begin"/>
          </w:r>
          <w:r>
            <w:instrText xml:space="preserve"> HYPERLINK \l _Toc20807 </w:instrText>
          </w:r>
          <w:r>
            <w:fldChar w:fldCharType="separate"/>
          </w:r>
          <w:r>
            <w:rPr>
              <w:rFonts w:hint="eastAsia" w:ascii="黑体" w:hAnsi="黑体" w:eastAsia="黑体" w:cs="黑体"/>
              <w:bCs/>
              <w:szCs w:val="36"/>
              <w:lang w:val="en-US" w:eastAsia="zh-CN"/>
            </w:rPr>
            <w:t>五、项目总结</w:t>
          </w:r>
          <w:r>
            <w:tab/>
          </w:r>
          <w:r>
            <w:fldChar w:fldCharType="begin"/>
          </w:r>
          <w:r>
            <w:instrText xml:space="preserve"> PAGEREF _Toc20807 \h </w:instrText>
          </w:r>
          <w:r>
            <w:fldChar w:fldCharType="separate"/>
          </w:r>
          <w:r>
            <w:t>19</w:t>
          </w:r>
          <w:r>
            <w:fldChar w:fldCharType="end"/>
          </w:r>
          <w:r>
            <w:fldChar w:fldCharType="end"/>
          </w:r>
        </w:p>
        <w:p>
          <w:pPr>
            <w:pStyle w:val="15"/>
            <w:tabs>
              <w:tab w:val="right" w:leader="dot" w:pos="8306"/>
            </w:tabs>
          </w:pPr>
          <w:r>
            <w:fldChar w:fldCharType="begin"/>
          </w:r>
          <w:r>
            <w:instrText xml:space="preserve"> HYPERLINK \l _Toc17191 </w:instrText>
          </w:r>
          <w:r>
            <w:fldChar w:fldCharType="separate"/>
          </w:r>
          <w:r>
            <w:rPr>
              <w:rFonts w:hint="eastAsia" w:ascii="黑体" w:hAnsi="黑体" w:eastAsia="黑体" w:cs="黑体"/>
              <w:bCs/>
              <w:szCs w:val="36"/>
              <w:lang w:val="en-US" w:eastAsia="zh-CN"/>
            </w:rPr>
            <w:t>六</w:t>
          </w:r>
          <w:r>
            <w:rPr>
              <w:rFonts w:hint="eastAsia" w:ascii="黑体" w:hAnsi="黑体" w:eastAsia="黑体" w:cs="黑体"/>
              <w:bCs/>
              <w:szCs w:val="36"/>
            </w:rPr>
            <w:t>、存在的问题及原因分析</w:t>
          </w:r>
          <w:r>
            <w:tab/>
          </w:r>
          <w:r>
            <w:fldChar w:fldCharType="begin"/>
          </w:r>
          <w:r>
            <w:instrText xml:space="preserve"> PAGEREF _Toc17191 \h </w:instrText>
          </w:r>
          <w:r>
            <w:fldChar w:fldCharType="separate"/>
          </w:r>
          <w:r>
            <w:t>20</w:t>
          </w:r>
          <w:r>
            <w:fldChar w:fldCharType="end"/>
          </w:r>
          <w:r>
            <w:fldChar w:fldCharType="end"/>
          </w:r>
        </w:p>
        <w:p>
          <w:pPr>
            <w:pStyle w:val="16"/>
            <w:tabs>
              <w:tab w:val="right" w:leader="dot" w:pos="8306"/>
            </w:tabs>
          </w:pPr>
          <w:r>
            <w:fldChar w:fldCharType="begin"/>
          </w:r>
          <w:r>
            <w:instrText xml:space="preserve"> HYPERLINK \l _Toc22301 </w:instrText>
          </w:r>
          <w:r>
            <w:fldChar w:fldCharType="separate"/>
          </w:r>
          <w:r>
            <w:rPr>
              <w:rFonts w:hint="eastAsia" w:ascii="楷体" w:hAnsi="楷体" w:eastAsia="楷体" w:cs="楷体"/>
              <w:bCs/>
              <w:szCs w:val="36"/>
              <w:lang w:val="en-US" w:eastAsia="zh-CN"/>
            </w:rPr>
            <w:t>（一）未编制政府采购</w:t>
          </w:r>
          <w:r>
            <w:rPr>
              <w:rFonts w:hint="eastAsia" w:ascii="楷体" w:hAnsi="楷体" w:eastAsia="楷体" w:cs="楷体"/>
              <w:bCs/>
              <w:szCs w:val="28"/>
              <w:lang w:val="en-US" w:eastAsia="zh-CN"/>
            </w:rPr>
            <w:t>计划及</w:t>
          </w:r>
          <w:r>
            <w:rPr>
              <w:rFonts w:hint="eastAsia" w:ascii="楷体" w:hAnsi="楷体" w:eastAsia="楷体" w:cs="楷体"/>
              <w:bCs/>
              <w:szCs w:val="36"/>
              <w:lang w:val="en-US" w:eastAsia="zh-CN"/>
            </w:rPr>
            <w:t>资金预算</w:t>
          </w:r>
          <w:r>
            <w:tab/>
          </w:r>
          <w:r>
            <w:fldChar w:fldCharType="begin"/>
          </w:r>
          <w:r>
            <w:instrText xml:space="preserve"> PAGEREF _Toc22301 \h </w:instrText>
          </w:r>
          <w:r>
            <w:fldChar w:fldCharType="separate"/>
          </w:r>
          <w:r>
            <w:t>20</w:t>
          </w:r>
          <w:r>
            <w:fldChar w:fldCharType="end"/>
          </w:r>
          <w:r>
            <w:fldChar w:fldCharType="end"/>
          </w:r>
        </w:p>
        <w:p>
          <w:pPr>
            <w:pStyle w:val="16"/>
            <w:tabs>
              <w:tab w:val="right" w:leader="dot" w:pos="8306"/>
            </w:tabs>
          </w:pPr>
          <w:r>
            <w:fldChar w:fldCharType="begin"/>
          </w:r>
          <w:r>
            <w:instrText xml:space="preserve"> HYPERLINK \l _Toc11943 </w:instrText>
          </w:r>
          <w:r>
            <w:fldChar w:fldCharType="separate"/>
          </w:r>
          <w:r>
            <w:rPr>
              <w:rFonts w:hint="eastAsia" w:ascii="楷体" w:hAnsi="楷体" w:eastAsia="楷体" w:cs="楷体"/>
              <w:kern w:val="2"/>
              <w:szCs w:val="36"/>
              <w:lang w:val="en-US" w:eastAsia="zh-CN" w:bidi="ar-SA"/>
            </w:rPr>
            <w:t>（二）合同签订规范性不足</w:t>
          </w:r>
          <w:r>
            <w:tab/>
          </w:r>
          <w:r>
            <w:fldChar w:fldCharType="begin"/>
          </w:r>
          <w:r>
            <w:instrText xml:space="preserve"> PAGEREF _Toc11943 \h </w:instrText>
          </w:r>
          <w:r>
            <w:fldChar w:fldCharType="separate"/>
          </w:r>
          <w:r>
            <w:t>20</w:t>
          </w:r>
          <w:r>
            <w:fldChar w:fldCharType="end"/>
          </w:r>
          <w:r>
            <w:fldChar w:fldCharType="end"/>
          </w:r>
        </w:p>
        <w:p>
          <w:pPr>
            <w:pStyle w:val="16"/>
            <w:tabs>
              <w:tab w:val="right" w:leader="dot" w:pos="8306"/>
            </w:tabs>
          </w:pPr>
          <w:r>
            <w:fldChar w:fldCharType="begin"/>
          </w:r>
          <w:r>
            <w:instrText xml:space="preserve"> HYPERLINK \l _Toc15666 </w:instrText>
          </w:r>
          <w:r>
            <w:fldChar w:fldCharType="separate"/>
          </w:r>
          <w:r>
            <w:rPr>
              <w:rFonts w:hint="eastAsia" w:ascii="楷体" w:hAnsi="楷体" w:eastAsia="楷体" w:cs="楷体"/>
              <w:kern w:val="2"/>
              <w:szCs w:val="36"/>
              <w:lang w:val="en-US" w:eastAsia="zh-CN" w:bidi="ar-SA"/>
            </w:rPr>
            <w:t>（三）对项目过程管控力度不够，存在进度拖沓、履约验收手续缺失等情况</w:t>
          </w:r>
          <w:r>
            <w:tab/>
          </w:r>
          <w:r>
            <w:fldChar w:fldCharType="begin"/>
          </w:r>
          <w:r>
            <w:instrText xml:space="preserve"> PAGEREF _Toc15666 \h </w:instrText>
          </w:r>
          <w:r>
            <w:fldChar w:fldCharType="separate"/>
          </w:r>
          <w:r>
            <w:t>21</w:t>
          </w:r>
          <w:r>
            <w:fldChar w:fldCharType="end"/>
          </w:r>
          <w:r>
            <w:fldChar w:fldCharType="end"/>
          </w:r>
        </w:p>
        <w:p>
          <w:pPr>
            <w:pStyle w:val="15"/>
            <w:tabs>
              <w:tab w:val="right" w:leader="dot" w:pos="8306"/>
            </w:tabs>
          </w:pPr>
          <w:r>
            <w:fldChar w:fldCharType="begin"/>
          </w:r>
          <w:r>
            <w:instrText xml:space="preserve"> HYPERLINK \l _Toc9160 </w:instrText>
          </w:r>
          <w:r>
            <w:fldChar w:fldCharType="separate"/>
          </w:r>
          <w:r>
            <w:rPr>
              <w:rFonts w:hint="eastAsia" w:ascii="黑体" w:hAnsi="黑体" w:eastAsia="黑体" w:cs="黑体"/>
              <w:bCs/>
              <w:szCs w:val="36"/>
            </w:rPr>
            <w:t>六、有关建议</w:t>
          </w:r>
          <w:r>
            <w:tab/>
          </w:r>
          <w:r>
            <w:fldChar w:fldCharType="begin"/>
          </w:r>
          <w:r>
            <w:instrText xml:space="preserve"> PAGEREF _Toc9160 \h </w:instrText>
          </w:r>
          <w:r>
            <w:fldChar w:fldCharType="separate"/>
          </w:r>
          <w:r>
            <w:t>22</w:t>
          </w:r>
          <w:r>
            <w:fldChar w:fldCharType="end"/>
          </w:r>
          <w:r>
            <w:fldChar w:fldCharType="end"/>
          </w:r>
        </w:p>
        <w:p>
          <w:pPr>
            <w:pStyle w:val="16"/>
            <w:tabs>
              <w:tab w:val="right" w:leader="dot" w:pos="8306"/>
            </w:tabs>
          </w:pPr>
          <w:r>
            <w:fldChar w:fldCharType="begin"/>
          </w:r>
          <w:r>
            <w:instrText xml:space="preserve"> HYPERLINK \l _Toc1109 </w:instrText>
          </w:r>
          <w:r>
            <w:fldChar w:fldCharType="separate"/>
          </w:r>
          <w:r>
            <w:rPr>
              <w:rFonts w:hint="eastAsia" w:ascii="楷体" w:hAnsi="楷体" w:eastAsia="楷体" w:cs="楷体"/>
              <w:bCs/>
              <w:kern w:val="2"/>
              <w:szCs w:val="28"/>
              <w:lang w:val="en-US" w:eastAsia="zh-CN" w:bidi="ar-SA"/>
            </w:rPr>
            <w:t>（一）提高政府采购预算编制的完整性和科学性</w:t>
          </w:r>
          <w:r>
            <w:tab/>
          </w:r>
          <w:r>
            <w:fldChar w:fldCharType="begin"/>
          </w:r>
          <w:r>
            <w:instrText xml:space="preserve"> PAGEREF _Toc1109 \h </w:instrText>
          </w:r>
          <w:r>
            <w:fldChar w:fldCharType="separate"/>
          </w:r>
          <w:r>
            <w:t>22</w:t>
          </w:r>
          <w:r>
            <w:fldChar w:fldCharType="end"/>
          </w:r>
          <w:r>
            <w:fldChar w:fldCharType="end"/>
          </w:r>
        </w:p>
        <w:p>
          <w:pPr>
            <w:pStyle w:val="16"/>
            <w:tabs>
              <w:tab w:val="right" w:leader="dot" w:pos="8306"/>
            </w:tabs>
          </w:pPr>
          <w:r>
            <w:fldChar w:fldCharType="begin"/>
          </w:r>
          <w:r>
            <w:instrText xml:space="preserve"> HYPERLINK \l _Toc1268 </w:instrText>
          </w:r>
          <w:r>
            <w:fldChar w:fldCharType="separate"/>
          </w:r>
          <w:r>
            <w:rPr>
              <w:rFonts w:hint="eastAsia" w:ascii="楷体" w:hAnsi="楷体" w:eastAsia="楷体" w:cs="楷体"/>
              <w:bCs/>
              <w:kern w:val="2"/>
              <w:szCs w:val="36"/>
              <w:lang w:val="en-US" w:eastAsia="zh-CN" w:bidi="ar-SA"/>
            </w:rPr>
            <w:t>（二）按规定进行合同签订</w:t>
          </w:r>
          <w:r>
            <w:tab/>
          </w:r>
          <w:r>
            <w:fldChar w:fldCharType="begin"/>
          </w:r>
          <w:r>
            <w:instrText xml:space="preserve"> PAGEREF _Toc1268 \h </w:instrText>
          </w:r>
          <w:r>
            <w:fldChar w:fldCharType="separate"/>
          </w:r>
          <w:r>
            <w:t>22</w:t>
          </w:r>
          <w:r>
            <w:fldChar w:fldCharType="end"/>
          </w:r>
          <w:r>
            <w:fldChar w:fldCharType="end"/>
          </w:r>
        </w:p>
        <w:p>
          <w:pPr>
            <w:pStyle w:val="16"/>
            <w:tabs>
              <w:tab w:val="right" w:leader="dot" w:pos="8306"/>
            </w:tabs>
          </w:pPr>
          <w:r>
            <w:fldChar w:fldCharType="begin"/>
          </w:r>
          <w:r>
            <w:instrText xml:space="preserve"> HYPERLINK \l _Toc16052 </w:instrText>
          </w:r>
          <w:r>
            <w:fldChar w:fldCharType="separate"/>
          </w:r>
          <w:r>
            <w:rPr>
              <w:rFonts w:hint="eastAsia" w:ascii="楷体" w:hAnsi="楷体" w:eastAsia="楷体" w:cs="楷体"/>
              <w:bCs/>
              <w:kern w:val="2"/>
              <w:szCs w:val="36"/>
              <w:lang w:val="en-US" w:eastAsia="zh-CN" w:bidi="ar-SA"/>
            </w:rPr>
            <w:t>（三）加强项目过程管控，合理把控合同进度，完善履约验收手续</w:t>
          </w:r>
          <w:r>
            <w:tab/>
          </w:r>
          <w:r>
            <w:fldChar w:fldCharType="begin"/>
          </w:r>
          <w:r>
            <w:instrText xml:space="preserve"> PAGEREF _Toc16052 \h </w:instrText>
          </w:r>
          <w:r>
            <w:fldChar w:fldCharType="separate"/>
          </w:r>
          <w:r>
            <w:t>22</w:t>
          </w:r>
          <w:r>
            <w:fldChar w:fldCharType="end"/>
          </w:r>
          <w:r>
            <w:fldChar w:fldCharType="end"/>
          </w:r>
        </w:p>
        <w:p>
          <w:pPr>
            <w:pStyle w:val="15"/>
            <w:tabs>
              <w:tab w:val="right" w:leader="dot" w:pos="8306"/>
            </w:tabs>
          </w:pPr>
          <w:r>
            <w:fldChar w:fldCharType="begin"/>
          </w:r>
          <w:r>
            <w:instrText xml:space="preserve"> HYPERLINK \l _Toc14154 </w:instrText>
          </w:r>
          <w:r>
            <w:fldChar w:fldCharType="separate"/>
          </w:r>
          <w:r>
            <w:rPr>
              <w:rFonts w:hint="eastAsia" w:ascii="黑体" w:hAnsi="黑体" w:eastAsia="黑体" w:cs="黑体"/>
              <w:bCs w:val="0"/>
              <w:szCs w:val="28"/>
              <w:highlight w:val="none"/>
              <w:lang w:val="en-US" w:eastAsia="zh-CN"/>
            </w:rPr>
            <w:t>七、其他需说明的事项</w:t>
          </w:r>
          <w:r>
            <w:tab/>
          </w:r>
          <w:r>
            <w:fldChar w:fldCharType="begin"/>
          </w:r>
          <w:r>
            <w:instrText xml:space="preserve"> PAGEREF _Toc14154 \h </w:instrText>
          </w:r>
          <w:r>
            <w:fldChar w:fldCharType="separate"/>
          </w:r>
          <w:r>
            <w:t>23</w:t>
          </w:r>
          <w:r>
            <w:fldChar w:fldCharType="end"/>
          </w:r>
          <w:r>
            <w:fldChar w:fldCharType="end"/>
          </w:r>
        </w:p>
        <w:p>
          <w:pPr>
            <w:pStyle w:val="15"/>
            <w:tabs>
              <w:tab w:val="right" w:leader="dot" w:pos="8306"/>
            </w:tabs>
          </w:pPr>
          <w:r>
            <w:fldChar w:fldCharType="begin"/>
          </w:r>
          <w:r>
            <w:instrText xml:space="preserve"> HYPERLINK \l _Toc4602 </w:instrText>
          </w:r>
          <w:r>
            <w:fldChar w:fldCharType="separate"/>
          </w:r>
          <w:r>
            <w:rPr>
              <w:rFonts w:hint="eastAsia" w:ascii="黑体" w:hAnsi="黑体" w:eastAsia="黑体" w:cs="黑体"/>
              <w:bCs/>
              <w:spacing w:val="0"/>
              <w:szCs w:val="28"/>
              <w:highlight w:val="none"/>
              <w:lang w:val="en-US" w:eastAsia="zh-CN"/>
            </w:rPr>
            <w:t>八、附件</w:t>
          </w:r>
          <w:r>
            <w:tab/>
          </w:r>
          <w:r>
            <w:fldChar w:fldCharType="begin"/>
          </w:r>
          <w:r>
            <w:instrText xml:space="preserve"> PAGEREF _Toc4602 \h </w:instrText>
          </w:r>
          <w:r>
            <w:fldChar w:fldCharType="separate"/>
          </w:r>
          <w:r>
            <w:t>23</w:t>
          </w:r>
          <w:r>
            <w:fldChar w:fldCharType="end"/>
          </w:r>
          <w:r>
            <w:fldChar w:fldCharType="end"/>
          </w:r>
        </w:p>
        <w:p>
          <w:pPr>
            <w:pStyle w:val="15"/>
            <w:tabs>
              <w:tab w:val="right" w:leader="dot" w:pos="8306"/>
            </w:tabs>
          </w:pPr>
          <w:r>
            <w:fldChar w:fldCharType="begin"/>
          </w:r>
          <w:r>
            <w:instrText xml:space="preserve"> HYPERLINK \l _Toc836 </w:instrText>
          </w:r>
          <w:r>
            <w:fldChar w:fldCharType="separate"/>
          </w:r>
          <w:r>
            <w:rPr>
              <w:rFonts w:hint="eastAsia" w:ascii="仿宋" w:hAnsi="仿宋" w:eastAsia="仿宋" w:cs="仿宋"/>
              <w:bCs/>
              <w:spacing w:val="0"/>
              <w:w w:val="100"/>
              <w:szCs w:val="28"/>
              <w:highlight w:val="none"/>
              <w:lang w:val="en-US" w:eastAsia="zh-CN"/>
            </w:rPr>
            <w:t>附件1：2022年度石狮市全市控制性规划编制资金绩效评价指标体系分析表</w:t>
          </w:r>
          <w:r>
            <w:tab/>
          </w:r>
          <w:r>
            <w:fldChar w:fldCharType="begin"/>
          </w:r>
          <w:r>
            <w:instrText xml:space="preserve"> PAGEREF _Toc836 \h </w:instrText>
          </w:r>
          <w:r>
            <w:fldChar w:fldCharType="separate"/>
          </w:r>
          <w:r>
            <w:t>24</w:t>
          </w:r>
          <w:r>
            <w:fldChar w:fldCharType="end"/>
          </w:r>
          <w:r>
            <w:fldChar w:fldCharType="end"/>
          </w:r>
        </w:p>
        <w:p>
          <w:r>
            <w:fldChar w:fldCharType="end"/>
          </w:r>
        </w:p>
      </w:sdtContent>
    </w:sdt>
    <w:p>
      <w:pPr>
        <w:pageBreakBefore w:val="0"/>
        <w:shd w:val="clear" w:fill="FFFFFF" w:themeFill="background1"/>
        <w:kinsoku/>
        <w:wordWrap/>
        <w:topLinePunct w:val="0"/>
        <w:bidi w:val="0"/>
        <w:snapToGrid/>
        <w:spacing w:line="240" w:lineRule="auto"/>
        <w:ind w:right="0"/>
        <w:jc w:val="center"/>
        <w:outlineLvl w:val="0"/>
        <w:rPr>
          <w:rFonts w:hint="eastAsia" w:ascii="仿宋" w:hAnsi="仿宋" w:eastAsia="仿宋" w:cs="仿宋"/>
          <w:b/>
          <w:bCs/>
          <w:color w:val="auto"/>
          <w:sz w:val="28"/>
          <w:szCs w:val="28"/>
          <w:highlight w:val="none"/>
          <w:lang w:val="en-US" w:eastAsia="zh-CN"/>
        </w:rPr>
        <w:sectPr>
          <w:footerReference r:id="rId3" w:type="default"/>
          <w:pgSz w:w="11906" w:h="16838"/>
          <w:pgMar w:top="1440" w:right="1800" w:bottom="1440" w:left="1800" w:header="851" w:footer="992" w:gutter="0"/>
          <w:pgNumType w:fmt="upperRoman" w:start="1"/>
          <w:cols w:space="425" w:num="1"/>
          <w:docGrid w:type="lines" w:linePitch="312" w:charSpace="0"/>
        </w:sectPr>
      </w:pPr>
      <w:bookmarkStart w:id="3" w:name="_Toc10853"/>
    </w:p>
    <w:p>
      <w:pPr>
        <w:pageBreakBefore w:val="0"/>
        <w:shd w:val="clear" w:fill="FFFFFF" w:themeFill="background1"/>
        <w:kinsoku/>
        <w:wordWrap/>
        <w:topLinePunct w:val="0"/>
        <w:bidi w:val="0"/>
        <w:snapToGrid/>
        <w:spacing w:line="240" w:lineRule="auto"/>
        <w:ind w:right="0"/>
        <w:jc w:val="center"/>
        <w:outlineLvl w:val="0"/>
        <w:rPr>
          <w:rFonts w:hint="eastAsia" w:ascii="仿宋" w:hAnsi="仿宋" w:eastAsia="仿宋" w:cs="仿宋"/>
          <w:color w:val="auto"/>
          <w:sz w:val="28"/>
          <w:szCs w:val="28"/>
        </w:rPr>
      </w:pPr>
      <w:r>
        <w:rPr>
          <w:rFonts w:hint="eastAsia" w:ascii="仿宋" w:hAnsi="仿宋" w:eastAsia="仿宋" w:cs="仿宋"/>
          <w:b/>
          <w:bCs/>
          <w:color w:val="auto"/>
          <w:sz w:val="28"/>
          <w:szCs w:val="28"/>
          <w:highlight w:val="none"/>
          <w:lang w:val="en-US" w:eastAsia="zh-CN"/>
        </w:rPr>
        <w:t>前 言</w:t>
      </w:r>
      <w:bookmarkEnd w:id="0"/>
      <w:bookmarkEnd w:id="1"/>
      <w:bookmarkEnd w:id="2"/>
      <w:bookmarkEnd w:id="3"/>
    </w:p>
    <w:p>
      <w:pPr>
        <w:pageBreakBefore w:val="0"/>
        <w:kinsoku/>
        <w:wordWrap/>
        <w:overflowPunct/>
        <w:topLinePunct w:val="0"/>
        <w:autoSpaceDE/>
        <w:autoSpaceDN/>
        <w:bidi w:val="0"/>
        <w:adjustRightInd/>
        <w:snapToGrid/>
        <w:spacing w:line="240" w:lineRule="auto"/>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highlight w:val="none"/>
        </w:rPr>
        <w:t>为加强财政资金管理，强化支出责任，提高财政资金的使用效益，建立科学、合理的财政支出绩效评价管理体系，为领导决策提供科学有力的依据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泉州市招标咨询中心地方财政绩效评价所接受</w:t>
      </w:r>
      <w:r>
        <w:rPr>
          <w:rFonts w:hint="eastAsia" w:ascii="仿宋" w:hAnsi="仿宋" w:eastAsia="仿宋" w:cs="仿宋"/>
          <w:color w:val="auto"/>
          <w:sz w:val="28"/>
          <w:szCs w:val="28"/>
          <w:highlight w:val="none"/>
          <w:lang w:val="en-US" w:eastAsia="zh-CN"/>
        </w:rPr>
        <w:t>石狮市财政局</w:t>
      </w:r>
      <w:r>
        <w:rPr>
          <w:rFonts w:hint="eastAsia" w:ascii="仿宋" w:hAnsi="仿宋" w:eastAsia="仿宋" w:cs="仿宋"/>
          <w:color w:val="auto"/>
          <w:sz w:val="28"/>
          <w:szCs w:val="28"/>
          <w:highlight w:val="none"/>
        </w:rPr>
        <w:t>委托，组织专业人员成立绩效评价工作组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rPr>
        <w:t>根据《中华人民共和国预算法》《中共中央国务院关于全面实施预算绩效管理的意见》规定，按照财政部《关于印发&lt;项目支出绩效评价管理办法&gt;的通知》（财预〔2020〕10号）、《福建省财政支出绩效评价管理办法》（闽财绩〔2015〕4号）等有关文件要求，对</w:t>
      </w:r>
      <w:r>
        <w:rPr>
          <w:rFonts w:hint="eastAsia" w:ascii="仿宋" w:hAnsi="仿宋" w:eastAsia="仿宋" w:cs="仿宋"/>
          <w:color w:val="auto"/>
          <w:sz w:val="28"/>
          <w:szCs w:val="28"/>
          <w:lang w:val="en-US" w:eastAsia="zh-CN"/>
        </w:rPr>
        <w:t>2022年度石狮市全市控制性规划编制资金开展</w:t>
      </w:r>
      <w:r>
        <w:rPr>
          <w:rFonts w:hint="eastAsia" w:ascii="仿宋" w:hAnsi="仿宋" w:eastAsia="仿宋" w:cs="仿宋"/>
          <w:color w:val="auto"/>
          <w:sz w:val="28"/>
          <w:szCs w:val="28"/>
        </w:rPr>
        <w:t>绩效评价工作。按照财政部《第三方机构预算绩效评价业务监督管理暂行办法》（财监〔2021〕4号）的要求，以第三方身份出具报告。评价报告主要供</w:t>
      </w:r>
      <w:r>
        <w:rPr>
          <w:rFonts w:hint="eastAsia" w:ascii="仿宋" w:hAnsi="仿宋" w:eastAsia="仿宋" w:cs="仿宋"/>
          <w:color w:val="auto"/>
          <w:sz w:val="28"/>
          <w:szCs w:val="28"/>
          <w:lang w:val="en-US" w:eastAsia="zh-CN"/>
        </w:rPr>
        <w:t>石狮市财政局</w:t>
      </w:r>
      <w:r>
        <w:rPr>
          <w:rFonts w:hint="eastAsia" w:ascii="仿宋" w:hAnsi="仿宋" w:eastAsia="仿宋" w:cs="仿宋"/>
          <w:color w:val="auto"/>
          <w:sz w:val="28"/>
          <w:szCs w:val="28"/>
        </w:rPr>
        <w:t>了解</w:t>
      </w:r>
      <w:r>
        <w:rPr>
          <w:rFonts w:hint="eastAsia" w:ascii="仿宋" w:hAnsi="仿宋" w:eastAsia="仿宋" w:cs="仿宋"/>
          <w:color w:val="auto"/>
          <w:sz w:val="28"/>
          <w:szCs w:val="28"/>
          <w:lang w:val="en-US" w:eastAsia="zh-CN"/>
        </w:rPr>
        <w:t>2022年石狮市控制性规划编制资金</w:t>
      </w:r>
      <w:r>
        <w:rPr>
          <w:rFonts w:hint="eastAsia" w:ascii="仿宋" w:hAnsi="仿宋" w:eastAsia="仿宋" w:cs="仿宋"/>
          <w:color w:val="auto"/>
          <w:sz w:val="28"/>
          <w:szCs w:val="28"/>
        </w:rPr>
        <w:t>的绩效情况，并据以加强对未来该项资金拨付、使用的管理。</w:t>
      </w:r>
    </w:p>
    <w:p>
      <w:pPr>
        <w:pageBreakBefore w:val="0"/>
        <w:kinsoku/>
        <w:wordWrap/>
        <w:overflowPunct/>
        <w:topLinePunct w:val="0"/>
        <w:autoSpaceDE/>
        <w:autoSpaceDN/>
        <w:bidi w:val="0"/>
        <w:adjustRightInd/>
        <w:snapToGrid/>
        <w:spacing w:line="240" w:lineRule="auto"/>
        <w:ind w:firstLine="560" w:firstLineChars="200"/>
        <w:jc w:val="both"/>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绩效评价工作小组在收集、整理、汇总、分析相关资料的基础上，通过查账、实地调研和问卷调查等方式进行了解核实，并对相关评价指标进行汇总分析，对照评价指标和标准进行评议打分，形成《</w:t>
      </w:r>
      <w:r>
        <w:rPr>
          <w:rFonts w:hint="eastAsia" w:ascii="仿宋" w:hAnsi="仿宋" w:eastAsia="仿宋" w:cs="仿宋"/>
          <w:color w:val="auto"/>
          <w:sz w:val="28"/>
          <w:szCs w:val="28"/>
          <w:highlight w:val="none"/>
          <w:lang w:eastAsia="zh-CN"/>
        </w:rPr>
        <w:t>2022年度石狮市全市控制性规划编制资金</w:t>
      </w:r>
      <w:r>
        <w:rPr>
          <w:rFonts w:hint="eastAsia" w:ascii="仿宋" w:hAnsi="仿宋" w:eastAsia="仿宋" w:cs="仿宋"/>
          <w:b w:val="0"/>
          <w:bCs w:val="0"/>
          <w:color w:val="auto"/>
          <w:sz w:val="28"/>
          <w:szCs w:val="28"/>
          <w:highlight w:val="none"/>
        </w:rPr>
        <w:t>绩效评价报告》。</w:t>
      </w:r>
    </w:p>
    <w:p>
      <w:pPr>
        <w:pageBreakBefore w:val="0"/>
        <w:kinsoku/>
        <w:wordWrap/>
        <w:overflowPunct/>
        <w:topLinePunct w:val="0"/>
        <w:autoSpaceDE/>
        <w:autoSpaceDN/>
        <w:bidi w:val="0"/>
        <w:adjustRightInd/>
        <w:snapToGrid/>
        <w:ind w:left="0" w:leftChars="0"/>
        <w:jc w:val="center"/>
        <w:rPr>
          <w:rFonts w:hint="eastAsia" w:ascii="黑体" w:hAnsi="黑体" w:eastAsia="黑体" w:cs="黑体"/>
          <w:b/>
          <w:bCs w:val="0"/>
          <w:color w:val="auto"/>
          <w:sz w:val="28"/>
          <w:szCs w:val="28"/>
          <w:highlight w:val="none"/>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p>
    <w:p>
      <w:pPr>
        <w:keepLines w:val="0"/>
        <w:pageBreakBefore w:val="0"/>
        <w:widowControl w:val="0"/>
        <w:kinsoku/>
        <w:wordWrap/>
        <w:overflowPunct/>
        <w:topLinePunct w:val="0"/>
        <w:autoSpaceDE/>
        <w:autoSpaceDN/>
        <w:bidi w:val="0"/>
        <w:adjustRightInd/>
        <w:snapToGrid/>
        <w:ind w:left="0" w:leftChars="0"/>
        <w:jc w:val="center"/>
        <w:rPr>
          <w:rFonts w:hint="eastAsia" w:ascii="黑体" w:hAnsi="黑体" w:eastAsia="黑体" w:cs="黑体"/>
          <w:b/>
          <w:bCs w:val="0"/>
          <w:color w:val="auto"/>
          <w:sz w:val="28"/>
          <w:szCs w:val="28"/>
          <w:highlight w:val="none"/>
          <w:lang w:val="en-US" w:eastAsia="zh-CN"/>
        </w:rPr>
      </w:pPr>
      <w:r>
        <w:rPr>
          <w:rFonts w:hint="eastAsia" w:ascii="黑体" w:hAnsi="黑体" w:eastAsia="黑体" w:cs="黑体"/>
          <w:b/>
          <w:bCs w:val="0"/>
          <w:color w:val="auto"/>
          <w:sz w:val="28"/>
          <w:szCs w:val="28"/>
          <w:highlight w:val="none"/>
          <w:lang w:val="en-US" w:eastAsia="zh-CN"/>
        </w:rPr>
        <w:t>报告正文</w:t>
      </w:r>
    </w:p>
    <w:p>
      <w:pPr>
        <w:pStyle w:val="2"/>
        <w:keepLines w:val="0"/>
        <w:pageBreakBefore w:val="0"/>
        <w:widowControl w:val="0"/>
        <w:kinsoku/>
        <w:wordWrap/>
        <w:overflowPunct/>
        <w:topLinePunct w:val="0"/>
        <w:autoSpaceDE/>
        <w:autoSpaceDN/>
        <w:bidi w:val="0"/>
        <w:adjustRightInd/>
        <w:snapToGrid/>
        <w:spacing w:after="0"/>
        <w:ind w:left="0" w:leftChars="0"/>
        <w:rPr>
          <w:rFonts w:hint="default"/>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0"/>
        <w:rPr>
          <w:rFonts w:hint="eastAsia" w:ascii="黑体" w:hAnsi="黑体" w:eastAsia="黑体" w:cs="黑体"/>
          <w:b/>
          <w:bCs/>
          <w:sz w:val="28"/>
          <w:szCs w:val="36"/>
        </w:rPr>
      </w:pPr>
      <w:bookmarkStart w:id="4" w:name="_Toc3847"/>
      <w:bookmarkStart w:id="5" w:name="_Toc18966"/>
      <w:bookmarkStart w:id="6" w:name="_Toc4497"/>
      <w:r>
        <w:rPr>
          <w:rFonts w:hint="eastAsia" w:ascii="黑体" w:hAnsi="黑体" w:eastAsia="黑体" w:cs="黑体"/>
          <w:b/>
          <w:bCs/>
          <w:sz w:val="28"/>
          <w:szCs w:val="36"/>
        </w:rPr>
        <w:t>一、基本情况</w:t>
      </w:r>
      <w:bookmarkEnd w:id="4"/>
      <w:bookmarkEnd w:id="5"/>
      <w:bookmarkEnd w:id="6"/>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1"/>
        <w:rPr>
          <w:rFonts w:hint="eastAsia" w:ascii="楷体" w:hAnsi="楷体" w:eastAsia="楷体" w:cs="楷体"/>
          <w:b/>
          <w:bCs/>
          <w:sz w:val="28"/>
          <w:szCs w:val="36"/>
        </w:rPr>
      </w:pPr>
      <w:bookmarkStart w:id="7" w:name="_Toc23167"/>
      <w:bookmarkStart w:id="8" w:name="_Toc3195"/>
      <w:bookmarkStart w:id="9" w:name="_Toc32296"/>
      <w:r>
        <w:rPr>
          <w:rFonts w:hint="eastAsia" w:ascii="楷体" w:hAnsi="楷体" w:eastAsia="楷体" w:cs="楷体"/>
          <w:b/>
          <w:bCs/>
          <w:sz w:val="28"/>
          <w:szCs w:val="36"/>
        </w:rPr>
        <w:t>（一）项目概况</w:t>
      </w:r>
      <w:bookmarkEnd w:id="7"/>
      <w:bookmarkEnd w:id="8"/>
      <w:bookmarkEnd w:id="9"/>
      <w:r>
        <w:rPr>
          <w:rFonts w:hint="eastAsia" w:ascii="楷体" w:hAnsi="楷体" w:eastAsia="楷体" w:cs="楷体"/>
          <w:b/>
          <w:bCs/>
          <w:sz w:val="28"/>
          <w:szCs w:val="36"/>
        </w:rPr>
        <w:tab/>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2"/>
        <w:rPr>
          <w:rFonts w:hint="eastAsia" w:ascii="仿宋" w:hAnsi="仿宋" w:eastAsia="仿宋" w:cs="仿宋"/>
          <w:b/>
          <w:bCs/>
          <w:sz w:val="28"/>
          <w:szCs w:val="36"/>
        </w:rPr>
      </w:pPr>
      <w:bookmarkStart w:id="10" w:name="_Toc25598"/>
      <w:bookmarkStart w:id="11" w:name="_Toc18516"/>
      <w:bookmarkStart w:id="12" w:name="_Toc1178"/>
      <w:r>
        <w:rPr>
          <w:rFonts w:hint="eastAsia" w:ascii="仿宋" w:hAnsi="仿宋" w:eastAsia="仿宋" w:cs="仿宋"/>
          <w:b/>
          <w:bCs/>
          <w:sz w:val="28"/>
          <w:szCs w:val="36"/>
        </w:rPr>
        <w:t>1、项目背景</w:t>
      </w:r>
      <w:bookmarkEnd w:id="10"/>
      <w:bookmarkEnd w:id="11"/>
      <w:bookmarkEnd w:id="12"/>
      <w:r>
        <w:rPr>
          <w:rFonts w:hint="eastAsia" w:ascii="仿宋" w:hAnsi="仿宋" w:eastAsia="仿宋" w:cs="仿宋"/>
          <w:b/>
          <w:bCs/>
          <w:sz w:val="28"/>
          <w:szCs w:val="36"/>
        </w:rPr>
        <w:tab/>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本项目涉及两种政府采购服务：控制性详细规划编制服务采购及土地征收成片开发方案编制服务采购。</w:t>
      </w:r>
    </w:p>
    <w:p>
      <w:pPr>
        <w:keepNext w:val="0"/>
        <w:keepLines w:val="0"/>
        <w:pageBreakBefore w:val="0"/>
        <w:widowControl w:val="0"/>
        <w:suppressLineNumbers w:val="0"/>
        <w:kinsoku/>
        <w:wordWrap/>
        <w:overflowPunct/>
        <w:topLinePunct w:val="0"/>
        <w:autoSpaceDE/>
        <w:autoSpaceDN/>
        <w:bidi w:val="0"/>
        <w:adjustRightInd/>
        <w:snapToGrid/>
        <w:ind w:left="0" w:leftChars="0" w:firstLine="560" w:firstLineChars="200"/>
        <w:jc w:val="left"/>
        <w:textAlignment w:val="auto"/>
        <w:rPr>
          <w:rFonts w:hint="default"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根据福建省实施《中华人民共和国城乡规划法》办法规定，城市、乡镇总体规划批准后应当及时组织编制控制性详细规划。为推动各类规划在村域层面多规合一，通过科学规划和合理布局，进一步优化城乡生产生活生态空间，促进城乡融合发展。</w:t>
      </w:r>
      <w:r>
        <w:rPr>
          <w:rFonts w:hint="eastAsia" w:ascii="仿宋" w:hAnsi="仿宋" w:eastAsia="仿宋" w:cs="仿宋"/>
          <w:sz w:val="28"/>
          <w:szCs w:val="36"/>
          <w:lang w:val="en-US" w:eastAsia="zh-CN"/>
        </w:rPr>
        <w:t>石狮市自然资源局通过</w:t>
      </w:r>
      <w:r>
        <w:rPr>
          <w:rFonts w:hint="eastAsia" w:ascii="仿宋" w:hAnsi="仿宋" w:eastAsia="仿宋" w:cs="仿宋"/>
          <w:color w:val="000000"/>
          <w:kern w:val="0"/>
          <w:sz w:val="28"/>
          <w:szCs w:val="28"/>
          <w:lang w:val="en-US" w:eastAsia="zh-CN" w:bidi="ar"/>
        </w:rPr>
        <w:t>政府购买服务的方式向有资质的单位购买控制性详细规划编制服务。同时，根据《福建省土地征收成片开发方案报批实施细则（试行）》的有关要求，结合石狮市5510项目建设实际和土地出让开发工作的需要，组织土地征收成片开发方案的编制工作。</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2"/>
        <w:rPr>
          <w:rFonts w:hint="eastAsia" w:ascii="仿宋" w:hAnsi="仿宋" w:eastAsia="仿宋" w:cs="仿宋"/>
          <w:b/>
          <w:bCs/>
          <w:sz w:val="28"/>
          <w:szCs w:val="36"/>
        </w:rPr>
      </w:pPr>
      <w:bookmarkStart w:id="13" w:name="_Toc5688"/>
      <w:bookmarkStart w:id="14" w:name="_Toc16281"/>
      <w:bookmarkStart w:id="15" w:name="_Toc14807"/>
      <w:r>
        <w:rPr>
          <w:rFonts w:hint="eastAsia" w:ascii="仿宋" w:hAnsi="仿宋" w:eastAsia="仿宋" w:cs="仿宋"/>
          <w:b/>
          <w:bCs/>
          <w:sz w:val="28"/>
          <w:szCs w:val="36"/>
        </w:rPr>
        <w:t>2、主要采购内容</w:t>
      </w:r>
      <w:bookmarkEnd w:id="13"/>
      <w:bookmarkEnd w:id="14"/>
      <w:bookmarkEnd w:id="15"/>
      <w:r>
        <w:rPr>
          <w:rFonts w:hint="eastAsia" w:ascii="仿宋" w:hAnsi="仿宋" w:eastAsia="仿宋" w:cs="仿宋"/>
          <w:b/>
          <w:bCs/>
          <w:sz w:val="28"/>
          <w:szCs w:val="36"/>
        </w:rPr>
        <w:tab/>
      </w:r>
    </w:p>
    <w:p>
      <w:pPr>
        <w:keepNext w:val="0"/>
        <w:keepLines w:val="0"/>
        <w:pageBreakBefore w:val="0"/>
        <w:widowControl w:val="0"/>
        <w:kinsoku/>
        <w:wordWrap/>
        <w:overflowPunct/>
        <w:topLinePunct w:val="0"/>
        <w:autoSpaceDE/>
        <w:autoSpaceDN/>
        <w:bidi w:val="0"/>
        <w:adjustRightInd/>
        <w:snapToGrid/>
        <w:ind w:left="0" w:leftChars="0" w:firstLine="562" w:firstLineChars="200"/>
        <w:jc w:val="center"/>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表1：石狮2022年全市控制性规划项目涉及采购内容</w:t>
      </w:r>
    </w:p>
    <w:tbl>
      <w:tblPr>
        <w:tblStyle w:val="11"/>
        <w:tblW w:w="8428"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1"/>
        <w:gridCol w:w="73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00" w:hRule="atLeast"/>
          <w:tblHeader/>
        </w:trPr>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序号</w:t>
            </w:r>
          </w:p>
        </w:tc>
        <w:tc>
          <w:tcPr>
            <w:tcW w:w="7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2"/>
                <w:szCs w:val="22"/>
                <w:u w:val="none"/>
                <w:lang w:val="en-US" w:eastAsia="zh-CN"/>
              </w:rPr>
            </w:pPr>
            <w:r>
              <w:rPr>
                <w:rFonts w:hint="eastAsia" w:ascii="仿宋" w:hAnsi="仿宋" w:eastAsia="仿宋" w:cs="仿宋"/>
                <w:b/>
                <w:bCs/>
                <w:i w:val="0"/>
                <w:iCs w:val="0"/>
                <w:color w:val="000000"/>
                <w:sz w:val="22"/>
                <w:szCs w:val="22"/>
                <w:u w:val="none"/>
                <w:lang w:val="en-US" w:eastAsia="zh-CN"/>
              </w:rPr>
              <w:t>采购服务内容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w:t>
            </w:r>
          </w:p>
        </w:tc>
        <w:tc>
          <w:tcPr>
            <w:tcW w:w="7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石狮市加油站专项规划编制服务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w:t>
            </w:r>
          </w:p>
        </w:tc>
        <w:tc>
          <w:tcPr>
            <w:tcW w:w="7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石狮市城东片区控制性详细规划编制服务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3</w:t>
            </w:r>
          </w:p>
        </w:tc>
        <w:tc>
          <w:tcPr>
            <w:tcW w:w="7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龙穴村村庄规划及景胜别墅周边历史地段保护规划编制服务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4</w:t>
            </w:r>
          </w:p>
        </w:tc>
        <w:tc>
          <w:tcPr>
            <w:tcW w:w="7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石狮市新能源产业园片区土地征收开发方案编制服务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5</w:t>
            </w:r>
          </w:p>
        </w:tc>
        <w:tc>
          <w:tcPr>
            <w:tcW w:w="7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石狮市大仑东片区土地征收成本开发方案编制服务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4"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6</w:t>
            </w:r>
          </w:p>
        </w:tc>
        <w:tc>
          <w:tcPr>
            <w:tcW w:w="7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石狮市港塘北环片区土地征收成片开发方案编制服务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7</w:t>
            </w:r>
          </w:p>
        </w:tc>
        <w:tc>
          <w:tcPr>
            <w:tcW w:w="7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石狮市鸿山人民公园西侧片区土地征收成片开发方案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8</w:t>
            </w:r>
          </w:p>
        </w:tc>
        <w:tc>
          <w:tcPr>
            <w:tcW w:w="7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石狮市加曾寨片区（石狮网商园）土地征收成片开发方案编制服务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9</w:t>
            </w:r>
          </w:p>
        </w:tc>
        <w:tc>
          <w:tcPr>
            <w:tcW w:w="7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石狮市龟湖公园东侧片区土地征收成片开发方案编制服务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10</w:t>
            </w:r>
          </w:p>
        </w:tc>
        <w:tc>
          <w:tcPr>
            <w:tcW w:w="7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石狮市石湖港片区土地征收成片开发方案编制服务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11</w:t>
            </w:r>
          </w:p>
        </w:tc>
        <w:tc>
          <w:tcPr>
            <w:tcW w:w="7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石狮市祥芝大堡片区土地征收成片开发方案编制服务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12</w:t>
            </w:r>
          </w:p>
        </w:tc>
        <w:tc>
          <w:tcPr>
            <w:tcW w:w="7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石狮市服装纺织基地控制性详细规划编制服务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10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13</w:t>
            </w:r>
          </w:p>
        </w:tc>
        <w:tc>
          <w:tcPr>
            <w:tcW w:w="7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石狮永宁滨海（新沙堤—西岑）片区城市设计方案编制服务</w:t>
            </w:r>
          </w:p>
        </w:tc>
      </w:tr>
    </w:tbl>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2"/>
        <w:rPr>
          <w:rFonts w:hint="eastAsia" w:ascii="仿宋" w:hAnsi="仿宋" w:eastAsia="仿宋" w:cs="仿宋"/>
          <w:b/>
          <w:bCs/>
          <w:sz w:val="28"/>
          <w:szCs w:val="36"/>
        </w:rPr>
      </w:pPr>
      <w:bookmarkStart w:id="16" w:name="_Toc32174"/>
      <w:bookmarkStart w:id="17" w:name="_Toc20762"/>
      <w:bookmarkStart w:id="18" w:name="_Toc17327"/>
      <w:r>
        <w:rPr>
          <w:rFonts w:hint="eastAsia" w:ascii="仿宋" w:hAnsi="仿宋" w:eastAsia="仿宋" w:cs="仿宋"/>
          <w:b/>
          <w:bCs/>
          <w:sz w:val="28"/>
          <w:szCs w:val="36"/>
        </w:rPr>
        <w:t>3、采购预算</w:t>
      </w:r>
      <w:bookmarkEnd w:id="16"/>
      <w:bookmarkEnd w:id="17"/>
      <w:bookmarkEnd w:id="18"/>
      <w:r>
        <w:rPr>
          <w:rFonts w:hint="eastAsia" w:ascii="仿宋" w:hAnsi="仿宋" w:eastAsia="仿宋" w:cs="仿宋"/>
          <w:b/>
          <w:bCs/>
          <w:sz w:val="28"/>
          <w:szCs w:val="36"/>
        </w:rPr>
        <w:tab/>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石狮市全市控制性规划项目入库申请的金额2967.43万元，2022年财政下达指标499.87万元。</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1"/>
        <w:rPr>
          <w:rFonts w:hint="eastAsia" w:ascii="楷体" w:hAnsi="楷体" w:eastAsia="楷体" w:cs="楷体"/>
          <w:b/>
          <w:bCs/>
          <w:sz w:val="28"/>
          <w:szCs w:val="36"/>
        </w:rPr>
      </w:pPr>
      <w:bookmarkStart w:id="19" w:name="_Toc24495"/>
      <w:bookmarkStart w:id="20" w:name="_Toc25905"/>
      <w:bookmarkStart w:id="21" w:name="_Toc30766"/>
      <w:r>
        <w:rPr>
          <w:rFonts w:hint="eastAsia" w:ascii="楷体" w:hAnsi="楷体" w:eastAsia="楷体" w:cs="楷体"/>
          <w:b/>
          <w:bCs/>
          <w:sz w:val="28"/>
          <w:szCs w:val="36"/>
        </w:rPr>
        <w:t>（二）采购实施过程</w:t>
      </w:r>
      <w:bookmarkEnd w:id="19"/>
      <w:bookmarkEnd w:id="20"/>
      <w:bookmarkEnd w:id="21"/>
      <w:r>
        <w:rPr>
          <w:rFonts w:hint="eastAsia" w:ascii="楷体" w:hAnsi="楷体" w:eastAsia="楷体" w:cs="楷体"/>
          <w:b/>
          <w:bCs/>
          <w:sz w:val="28"/>
          <w:szCs w:val="36"/>
        </w:rPr>
        <w:tab/>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2"/>
        <w:rPr>
          <w:rFonts w:hint="eastAsia" w:ascii="仿宋" w:hAnsi="仿宋" w:eastAsia="仿宋" w:cs="仿宋"/>
          <w:b/>
          <w:bCs/>
          <w:sz w:val="28"/>
          <w:szCs w:val="36"/>
        </w:rPr>
      </w:pPr>
      <w:bookmarkStart w:id="22" w:name="_Toc24851"/>
      <w:bookmarkStart w:id="23" w:name="_Toc3082"/>
      <w:bookmarkStart w:id="24" w:name="_Toc18167"/>
      <w:r>
        <w:rPr>
          <w:rFonts w:hint="eastAsia" w:ascii="仿宋" w:hAnsi="仿宋" w:eastAsia="仿宋" w:cs="仿宋"/>
          <w:b/>
          <w:bCs/>
          <w:sz w:val="28"/>
          <w:szCs w:val="36"/>
        </w:rPr>
        <w:t>1、采购过程</w:t>
      </w:r>
      <w:bookmarkEnd w:id="22"/>
      <w:bookmarkEnd w:id="23"/>
      <w:bookmarkEnd w:id="24"/>
      <w:r>
        <w:rPr>
          <w:rFonts w:hint="eastAsia" w:ascii="仿宋" w:hAnsi="仿宋" w:eastAsia="仿宋" w:cs="仿宋"/>
          <w:b/>
          <w:bCs/>
          <w:sz w:val="28"/>
          <w:szCs w:val="36"/>
        </w:rPr>
        <w:tab/>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（1）石狮永宁滨海（新沙堤—西岑）片区城市设计方案</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rPr>
      </w:pPr>
      <w:r>
        <w:rPr>
          <w:rFonts w:hint="eastAsia" w:ascii="仿宋" w:hAnsi="仿宋" w:eastAsia="仿宋" w:cs="仿宋"/>
          <w:sz w:val="28"/>
          <w:szCs w:val="36"/>
          <w:lang w:val="en-US" w:eastAsia="zh-CN"/>
        </w:rPr>
        <w:t>该方案采取国际竞赛形式向国内外设计机构公开征集项目方案，分为两个阶段，第一阶段为资格预审及概念提案，第二阶段为城市设计方案竞赛，由石狮市自然资源局按照规定委托符合条件的招标代理公司和专业顾问团队负责本竞赛全流程组织，招标代理公司主要负责招标文件制定、信息发布，专业顾问团队负责本竞赛组织总方案策划，如参与标书制定、资料准备、资格审查、设计单位邀请、专家邀请等竞赛相关事宜。</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（2）其他规划方案采购通过有限邀请的询价采购方式，邀请符合资质要求的规划编制单位参与比选，在统一规划编制深度的情况下，选择价格最低的单位。</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2"/>
        <w:rPr>
          <w:rFonts w:hint="eastAsia" w:ascii="仿宋" w:hAnsi="仿宋" w:eastAsia="仿宋" w:cs="仿宋"/>
          <w:b/>
          <w:bCs/>
          <w:sz w:val="28"/>
          <w:szCs w:val="36"/>
        </w:rPr>
      </w:pPr>
      <w:bookmarkStart w:id="25" w:name="_Toc27903"/>
      <w:bookmarkStart w:id="26" w:name="_Toc16147"/>
      <w:bookmarkStart w:id="27" w:name="_Toc20254"/>
      <w:r>
        <w:rPr>
          <w:rFonts w:hint="eastAsia" w:ascii="仿宋" w:hAnsi="仿宋" w:eastAsia="仿宋" w:cs="仿宋"/>
          <w:b/>
          <w:bCs/>
          <w:sz w:val="28"/>
          <w:szCs w:val="36"/>
        </w:rPr>
        <w:t>2、采购评审结果</w:t>
      </w:r>
      <w:bookmarkEnd w:id="25"/>
      <w:bookmarkEnd w:id="26"/>
      <w:bookmarkEnd w:id="27"/>
      <w:r>
        <w:rPr>
          <w:rFonts w:hint="eastAsia" w:ascii="仿宋" w:hAnsi="仿宋" w:eastAsia="仿宋" w:cs="仿宋"/>
          <w:b/>
          <w:bCs/>
          <w:sz w:val="28"/>
          <w:szCs w:val="36"/>
        </w:rPr>
        <w:tab/>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i w:val="0"/>
          <w:iCs w:val="0"/>
          <w:color w:val="000000"/>
          <w:kern w:val="0"/>
          <w:sz w:val="28"/>
          <w:szCs w:val="28"/>
          <w:u w:val="none"/>
          <w:lang w:val="en-US" w:eastAsia="zh-CN" w:bidi="ar"/>
        </w:rPr>
        <w:t>石狮永宁滨海（新沙堤—西岑）片区城市设计方案</w:t>
      </w:r>
    </w:p>
    <w:p>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left"/>
        <w:textAlignment w:val="auto"/>
        <w:rPr>
          <w:rFonts w:hint="eastAsia" w:ascii="仿宋" w:hAnsi="仿宋" w:eastAsia="仿宋" w:cs="仿宋"/>
          <w:b w:val="0"/>
          <w:bCs w:val="0"/>
          <w:color w:val="auto"/>
          <w:sz w:val="28"/>
          <w:szCs w:val="28"/>
          <w:shd w:val="clear" w:color="auto" w:fill="auto"/>
        </w:rPr>
      </w:pPr>
      <w:r>
        <w:rPr>
          <w:rFonts w:hint="eastAsia" w:ascii="仿宋" w:hAnsi="仿宋" w:eastAsia="仿宋" w:cs="仿宋"/>
          <w:b w:val="0"/>
          <w:bCs w:val="0"/>
          <w:i w:val="0"/>
          <w:iCs w:val="0"/>
          <w:caps w:val="0"/>
          <w:color w:val="auto"/>
          <w:spacing w:val="0"/>
          <w:sz w:val="28"/>
          <w:szCs w:val="28"/>
          <w:shd w:val="clear" w:color="auto" w:fill="auto"/>
        </w:rPr>
        <w:t>2021年11月26日，石狮永宁滨海（新沙堤-西岑）片区城市设计方案国际征集方案评审会在石狮市举行。评审委员会由5名资深专家组成，根据《征集文件》规定的评审办法，对5家入围应征机构提交的应征设计文件进行了评选。</w:t>
      </w:r>
      <w:r>
        <w:rPr>
          <w:rStyle w:val="14"/>
          <w:rFonts w:hint="eastAsia" w:ascii="仿宋" w:hAnsi="仿宋" w:eastAsia="仿宋" w:cs="仿宋"/>
          <w:b w:val="0"/>
          <w:bCs w:val="0"/>
          <w:i w:val="0"/>
          <w:iCs w:val="0"/>
          <w:caps w:val="0"/>
          <w:color w:val="auto"/>
          <w:spacing w:val="0"/>
          <w:sz w:val="28"/>
          <w:szCs w:val="28"/>
          <w:shd w:val="clear" w:color="auto" w:fill="auto"/>
        </w:rPr>
        <w:t>评选结果如下：</w:t>
      </w:r>
    </w:p>
    <w:p>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left"/>
        <w:textAlignment w:val="auto"/>
        <w:rPr>
          <w:rFonts w:hint="eastAsia" w:ascii="仿宋" w:hAnsi="仿宋" w:eastAsia="仿宋" w:cs="仿宋"/>
          <w:b w:val="0"/>
          <w:bCs w:val="0"/>
          <w:color w:val="auto"/>
          <w:sz w:val="28"/>
          <w:szCs w:val="28"/>
          <w:shd w:val="clear" w:color="auto" w:fill="auto"/>
        </w:rPr>
      </w:pPr>
      <w:r>
        <w:rPr>
          <w:rFonts w:hint="eastAsia" w:ascii="仿宋" w:hAnsi="仿宋" w:eastAsia="仿宋" w:cs="仿宋"/>
          <w:b w:val="0"/>
          <w:bCs w:val="0"/>
          <w:i w:val="0"/>
          <w:iCs w:val="0"/>
          <w:caps w:val="0"/>
          <w:color w:val="auto"/>
          <w:spacing w:val="0"/>
          <w:sz w:val="28"/>
          <w:szCs w:val="28"/>
          <w:shd w:val="clear" w:color="auto" w:fill="auto"/>
        </w:rPr>
        <w:t>第一名：5号方案 中国城市规划设计研究院、中国建筑科学研究院有限公司联合体</w:t>
      </w:r>
    </w:p>
    <w:p>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left"/>
        <w:textAlignment w:val="auto"/>
        <w:rPr>
          <w:rFonts w:hint="eastAsia" w:ascii="仿宋" w:hAnsi="仿宋" w:eastAsia="仿宋" w:cs="仿宋"/>
          <w:b w:val="0"/>
          <w:bCs w:val="0"/>
          <w:color w:val="auto"/>
          <w:sz w:val="28"/>
          <w:szCs w:val="28"/>
          <w:shd w:val="clear" w:color="auto" w:fill="auto"/>
        </w:rPr>
      </w:pPr>
      <w:r>
        <w:rPr>
          <w:rFonts w:hint="eastAsia" w:ascii="仿宋" w:hAnsi="仿宋" w:eastAsia="仿宋" w:cs="仿宋"/>
          <w:b w:val="0"/>
          <w:bCs w:val="0"/>
          <w:i w:val="0"/>
          <w:iCs w:val="0"/>
          <w:caps w:val="0"/>
          <w:color w:val="auto"/>
          <w:spacing w:val="0"/>
          <w:sz w:val="28"/>
          <w:szCs w:val="28"/>
          <w:shd w:val="clear" w:color="auto" w:fill="auto"/>
        </w:rPr>
        <w:t>第二名：3号方案 深圳市蕾奥规划设计咨询股份有限公司、北京中外建建筑设计有限公司）联合体</w:t>
      </w:r>
    </w:p>
    <w:p>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left"/>
        <w:textAlignment w:val="auto"/>
        <w:rPr>
          <w:rFonts w:hint="eastAsia" w:ascii="仿宋" w:hAnsi="仿宋" w:eastAsia="仿宋" w:cs="仿宋"/>
          <w:b w:val="0"/>
          <w:bCs w:val="0"/>
          <w:color w:val="auto"/>
          <w:sz w:val="28"/>
          <w:szCs w:val="28"/>
          <w:shd w:val="clear" w:color="auto" w:fill="auto"/>
        </w:rPr>
      </w:pPr>
      <w:r>
        <w:rPr>
          <w:rFonts w:hint="eastAsia" w:ascii="仿宋" w:hAnsi="仿宋" w:eastAsia="仿宋" w:cs="仿宋"/>
          <w:b w:val="0"/>
          <w:bCs w:val="0"/>
          <w:i w:val="0"/>
          <w:iCs w:val="0"/>
          <w:caps w:val="0"/>
          <w:color w:val="auto"/>
          <w:spacing w:val="0"/>
          <w:sz w:val="28"/>
          <w:szCs w:val="28"/>
          <w:shd w:val="clear" w:color="auto" w:fill="auto"/>
        </w:rPr>
        <w:t>第三名：4号方案 南京东南大学城市规划设计研究院有限公司、潘卢杨沈企业顾问（上海）有限公司、上海集合建筑设计咨询有限公司联合体</w:t>
      </w:r>
    </w:p>
    <w:p>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left"/>
        <w:textAlignment w:val="auto"/>
        <w:rPr>
          <w:rFonts w:hint="eastAsia" w:ascii="仿宋" w:hAnsi="仿宋" w:eastAsia="仿宋" w:cs="仿宋"/>
          <w:b w:val="0"/>
          <w:bCs w:val="0"/>
          <w:color w:val="auto"/>
          <w:sz w:val="28"/>
          <w:szCs w:val="28"/>
          <w:shd w:val="clear" w:color="auto" w:fill="auto"/>
        </w:rPr>
      </w:pPr>
      <w:r>
        <w:rPr>
          <w:rStyle w:val="14"/>
          <w:rFonts w:hint="eastAsia" w:ascii="仿宋" w:hAnsi="仿宋" w:eastAsia="仿宋" w:cs="仿宋"/>
          <w:b w:val="0"/>
          <w:bCs w:val="0"/>
          <w:i w:val="0"/>
          <w:iCs w:val="0"/>
          <w:caps w:val="0"/>
          <w:color w:val="auto"/>
          <w:spacing w:val="0"/>
          <w:sz w:val="28"/>
          <w:szCs w:val="28"/>
          <w:shd w:val="clear" w:color="auto" w:fill="auto"/>
        </w:rPr>
        <w:t>入围奖（排名不分先后）：</w:t>
      </w:r>
    </w:p>
    <w:p>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left"/>
        <w:textAlignment w:val="auto"/>
        <w:rPr>
          <w:rFonts w:hint="eastAsia" w:ascii="仿宋" w:hAnsi="仿宋" w:eastAsia="仿宋" w:cs="仿宋"/>
          <w:b w:val="0"/>
          <w:bCs w:val="0"/>
          <w:color w:val="auto"/>
          <w:sz w:val="28"/>
          <w:szCs w:val="28"/>
          <w:shd w:val="clear" w:color="auto" w:fill="auto"/>
        </w:rPr>
      </w:pPr>
      <w:r>
        <w:rPr>
          <w:rFonts w:hint="eastAsia" w:ascii="仿宋" w:hAnsi="仿宋" w:eastAsia="仿宋" w:cs="仿宋"/>
          <w:b w:val="0"/>
          <w:bCs w:val="0"/>
          <w:i w:val="0"/>
          <w:iCs w:val="0"/>
          <w:caps w:val="0"/>
          <w:color w:val="auto"/>
          <w:spacing w:val="0"/>
          <w:sz w:val="28"/>
          <w:szCs w:val="28"/>
          <w:shd w:val="clear" w:color="auto" w:fill="auto"/>
        </w:rPr>
        <w:t>1号方案 天津市城市规划设计研究总院有限公司、艾奕康（天津）工程咨询有限公司（AECOM（Tianjin） Engineering Consultants Co Ltd）联合体</w:t>
      </w:r>
    </w:p>
    <w:p>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left"/>
        <w:textAlignment w:val="auto"/>
        <w:rPr>
          <w:rFonts w:hint="eastAsia" w:ascii="仿宋" w:hAnsi="仿宋" w:eastAsia="仿宋" w:cs="仿宋"/>
          <w:b w:val="0"/>
          <w:bCs w:val="0"/>
          <w:color w:val="auto"/>
          <w:sz w:val="28"/>
          <w:szCs w:val="28"/>
          <w:shd w:val="clear" w:color="auto" w:fill="auto"/>
        </w:rPr>
      </w:pPr>
      <w:r>
        <w:rPr>
          <w:rFonts w:hint="eastAsia" w:ascii="仿宋" w:hAnsi="仿宋" w:eastAsia="仿宋" w:cs="仿宋"/>
          <w:b w:val="0"/>
          <w:bCs w:val="0"/>
          <w:i w:val="0"/>
          <w:iCs w:val="0"/>
          <w:caps w:val="0"/>
          <w:color w:val="auto"/>
          <w:spacing w:val="0"/>
          <w:sz w:val="28"/>
          <w:szCs w:val="28"/>
          <w:shd w:val="clear" w:color="auto" w:fill="auto"/>
        </w:rPr>
        <w:t>2号方案 广州市城市规划勘测设计研究院、凯达环球（亚洲）有限公司（Aedas Asia Limited）联合体</w:t>
      </w:r>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（2）其他规划方案编制采购结果</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outlineLvl w:val="2"/>
        <w:rPr>
          <w:rFonts w:hint="eastAsia" w:ascii="仿宋" w:hAnsi="仿宋" w:eastAsia="仿宋" w:cs="仿宋"/>
          <w:b/>
          <w:bCs/>
          <w:i w:val="0"/>
          <w:iCs w:val="0"/>
          <w:color w:val="000000"/>
          <w:kern w:val="0"/>
          <w:sz w:val="28"/>
          <w:szCs w:val="28"/>
          <w:u w:val="none"/>
          <w:lang w:val="en-US" w:eastAsia="zh-CN" w:bidi="ar"/>
        </w:rPr>
      </w:pPr>
      <w:bookmarkStart w:id="28" w:name="_Toc13587"/>
      <w:bookmarkStart w:id="29" w:name="_Toc4525"/>
      <w:bookmarkStart w:id="30" w:name="_Toc4633"/>
      <w:bookmarkStart w:id="31" w:name="_Toc26738"/>
      <w:r>
        <w:rPr>
          <w:rFonts w:hint="eastAsia" w:ascii="仿宋" w:hAnsi="仿宋" w:eastAsia="仿宋" w:cs="仿宋"/>
          <w:b/>
          <w:bCs/>
          <w:i w:val="0"/>
          <w:iCs w:val="0"/>
          <w:color w:val="000000"/>
          <w:kern w:val="0"/>
          <w:sz w:val="28"/>
          <w:szCs w:val="28"/>
          <w:u w:val="none"/>
          <w:lang w:val="en-US" w:eastAsia="zh-CN" w:bidi="ar"/>
        </w:rPr>
        <w:t>表2：其他规划方案采购结果明细</w:t>
      </w:r>
      <w:bookmarkEnd w:id="28"/>
      <w:bookmarkEnd w:id="29"/>
      <w:bookmarkEnd w:id="30"/>
      <w:bookmarkEnd w:id="31"/>
    </w:p>
    <w:tbl>
      <w:tblPr>
        <w:tblStyle w:val="11"/>
        <w:tblW w:w="843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7"/>
        <w:gridCol w:w="3615"/>
        <w:gridCol w:w="2986"/>
        <w:gridCol w:w="11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规划/方案名称</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编制方</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石狮市加油站专项规划</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福建省城乡规划设计研究院</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39.8万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石狮市城东片区控制性详细规划</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上海开艺设计集团有限公司泉州分公司、石狮市规划设计院有限公司</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龙穴村村庄规划及景胜别墅周边历史地段保护规划</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福建省城乡规划设计研究院</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石狮市新能源产业园片区土地征收开发方案</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福建省城乡规划设计研究院</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石狮市大仑东片区土地征收成本开发方案</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福建省城乡规划设计研究院</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16.8万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石狮市港塘北环片区土地征收成片开发方案</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福建省城乡规划设计研究院</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石狮市鸿山人民公园西侧片区土地征收成片开发方案</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福建省城乡规划设计研究院</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石狮市加曾寨片区（石狮网商园）土地征收成片开发方案</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福州壕濠规划设计有限公司</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11.55万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石狮市龟湖公园东侧片区土地征收成片开发方案</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厦门天海图汇信息科技有限公司</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石狮市石湖港片区土地征收成片开发方案</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福建省城乡规划设计研究院</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石狮市祥芝大堡片区土地征收成片开发方案</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厦门天海图汇信息科技有限公司</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0" w:hRule="atLeast"/>
          <w:jc w:val="center"/>
        </w:trPr>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3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石狮市服装纺织基地控制性详细规划</w:t>
            </w:r>
          </w:p>
        </w:tc>
        <w:tc>
          <w:tcPr>
            <w:tcW w:w="2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上海开艺设计集团有限公司</w:t>
            </w:r>
          </w:p>
        </w:tc>
        <w:tc>
          <w:tcPr>
            <w:tcW w:w="1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47.25万</w:t>
            </w:r>
          </w:p>
        </w:tc>
      </w:tr>
    </w:tbl>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2"/>
        <w:rPr>
          <w:rFonts w:hint="eastAsia" w:ascii="仿宋" w:hAnsi="仿宋" w:eastAsia="仿宋" w:cs="仿宋"/>
          <w:b/>
          <w:bCs/>
          <w:sz w:val="28"/>
          <w:szCs w:val="36"/>
        </w:rPr>
      </w:pPr>
      <w:bookmarkStart w:id="32" w:name="_Toc13157"/>
      <w:bookmarkStart w:id="33" w:name="_Toc32613"/>
      <w:bookmarkStart w:id="34" w:name="_Toc22356"/>
      <w:r>
        <w:rPr>
          <w:rFonts w:hint="eastAsia" w:ascii="仿宋" w:hAnsi="仿宋" w:eastAsia="仿宋" w:cs="仿宋"/>
          <w:b/>
          <w:bCs/>
          <w:sz w:val="28"/>
          <w:szCs w:val="36"/>
        </w:rPr>
        <w:t>3、合同签订</w:t>
      </w:r>
      <w:bookmarkEnd w:id="32"/>
      <w:bookmarkEnd w:id="33"/>
      <w:bookmarkEnd w:id="34"/>
      <w:r>
        <w:rPr>
          <w:rFonts w:hint="eastAsia" w:ascii="仿宋" w:hAnsi="仿宋" w:eastAsia="仿宋" w:cs="仿宋"/>
          <w:b/>
          <w:bCs/>
          <w:sz w:val="28"/>
          <w:szCs w:val="36"/>
        </w:rPr>
        <w:tab/>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表3：2022年度石狮市全市控制性规划资金合同签订情况表</w:t>
      </w:r>
    </w:p>
    <w:tbl>
      <w:tblPr>
        <w:tblStyle w:val="11"/>
        <w:tblW w:w="9217"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40"/>
        <w:gridCol w:w="3316"/>
        <w:gridCol w:w="1420"/>
        <w:gridCol w:w="2908"/>
        <w:gridCol w:w="8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61" w:hRule="atLeast"/>
          <w:tblHeader/>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规划/方案名称</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签订日期</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编制方</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合同金额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石狮市加油站专项规划</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righ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2020年1月</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福建省城乡规划设计研究院</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39.8万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石狮市城东片区控制性详细规划</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righ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2019年9月</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上海开艺设计集团有限公司泉州分公司、石狮市规划设计院有限公司</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龙穴村村庄规划及景胜别墅周边历史地段保护规划</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righ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2020年3月</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福建省城乡规划设计研究院</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石狮市新能源产业园片区土地征收开发方案</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righ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2021年8月</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福建省城乡规划设计研究院</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石狮市大仑东片区土地征收成本开发方案</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righ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2021年9月</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福建省城乡规划设计研究院</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16.8万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石狮市港塘北环片区土地征收成片开发方案</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righ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2021年9月</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福建省城乡规划设计研究院</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9.6万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石狮市鸿山人民公园西侧片区土地征收成片开发方案</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righ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2022年1月</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福建省城乡规划设计研究院</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6"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石狮市加曾寨片区（石狮网商园）土地征收成片开发方案</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2021年6月</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福州壕濠规划设计有限公司</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11.55万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石狮市龟湖公园东侧片区土地征收成片开发方案</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lang w:val="en-US"/>
              </w:rPr>
            </w:pPr>
            <w:r>
              <w:rPr>
                <w:rFonts w:hint="eastAsia" w:ascii="仿宋" w:hAnsi="仿宋" w:eastAsia="仿宋" w:cs="仿宋"/>
                <w:i w:val="0"/>
                <w:iCs w:val="0"/>
                <w:color w:val="000000"/>
                <w:kern w:val="0"/>
                <w:sz w:val="22"/>
                <w:szCs w:val="22"/>
                <w:u w:val="none"/>
                <w:lang w:val="en-US" w:eastAsia="zh-CN" w:bidi="ar"/>
              </w:rPr>
              <w:t>2021年9月</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厦门天海图汇信息科技有限公司</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石狮市石湖港片区土地征收成片开发方案</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righ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2021年4月</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福建省城乡规划设计研究院</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7"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石狮市祥芝大堡片区土地征收成片开发方案</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righ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2021年6月</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厦门天海图汇信息科技有限公司</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9"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石狮市服装纺织基地控制性详细规划</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righ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2021年9月</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上海开艺设计集团有限公司</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47.25万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13</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石狮永宁滨海（新沙堤—西岑）片区城市设计方案国际征集</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中国城市规划设计研究院/中国建筑科学研究院有限公司</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石狮永宁滨海（新沙堤—西岑）片区城市设计方案国际征集</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天津市城市规划设计研究总院有限公司/艾奕康（天津）工程咨询有限公司</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4"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石狮永宁滨海（新沙堤—西岑）片区城市设计方案国际征集</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南京东南大学城市规划设计研究院有限公司/潘卢杨沈企业顾问（上海）有限公司/上海集合建筑设计咨询有限公司</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16</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石狮永宁滨海（新沙堤—西岑）片区城市设计方案国际征集</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广州市城市规划勘测设计研究院/凯达环球（亚洲）有限公司</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17</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石狮永宁滨海（新沙堤—西岑）片区城市设计方案国际征集</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深圳市蕾奥规划设计咨询股份有限公司/北京中外建建筑设计有限公司</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160万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18</w:t>
            </w:r>
          </w:p>
        </w:tc>
        <w:tc>
          <w:tcPr>
            <w:tcW w:w="33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石狮市永宁滨海（新沙堤-西岑）片区城市设计方案国际征集技术顾问</w:t>
            </w:r>
          </w:p>
        </w:tc>
        <w:tc>
          <w:tcPr>
            <w:tcW w:w="14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无</w:t>
            </w:r>
          </w:p>
        </w:tc>
        <w:tc>
          <w:tcPr>
            <w:tcW w:w="29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北京世纪千府国际工程设计有限公司</w:t>
            </w:r>
          </w:p>
        </w:tc>
        <w:tc>
          <w:tcPr>
            <w:tcW w:w="8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48万</w:t>
            </w:r>
          </w:p>
        </w:tc>
      </w:tr>
    </w:tbl>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2"/>
        <w:rPr>
          <w:rFonts w:hint="eastAsia" w:ascii="仿宋" w:hAnsi="仿宋" w:eastAsia="仿宋" w:cs="仿宋"/>
          <w:b/>
          <w:bCs/>
          <w:sz w:val="28"/>
          <w:szCs w:val="36"/>
        </w:rPr>
      </w:pPr>
      <w:bookmarkStart w:id="35" w:name="_Toc1197"/>
      <w:bookmarkStart w:id="36" w:name="_Toc26839"/>
      <w:bookmarkStart w:id="37" w:name="_Toc9871"/>
      <w:r>
        <w:rPr>
          <w:rFonts w:hint="eastAsia" w:ascii="仿宋" w:hAnsi="仿宋" w:eastAsia="仿宋" w:cs="仿宋"/>
          <w:b/>
          <w:bCs/>
          <w:sz w:val="28"/>
          <w:szCs w:val="36"/>
        </w:rPr>
        <w:t>4、合同履行</w:t>
      </w:r>
      <w:bookmarkEnd w:id="35"/>
      <w:bookmarkEnd w:id="36"/>
      <w:bookmarkEnd w:id="37"/>
      <w:r>
        <w:rPr>
          <w:rFonts w:hint="eastAsia" w:ascii="仿宋" w:hAnsi="仿宋" w:eastAsia="仿宋" w:cs="仿宋"/>
          <w:b/>
          <w:bCs/>
          <w:sz w:val="28"/>
          <w:szCs w:val="36"/>
        </w:rPr>
        <w:tab/>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表4：石狮市全市控制性规划项目合同履行情况表</w:t>
      </w:r>
    </w:p>
    <w:tbl>
      <w:tblPr>
        <w:tblStyle w:val="11"/>
        <w:tblW w:w="101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1"/>
        <w:gridCol w:w="2728"/>
        <w:gridCol w:w="902"/>
        <w:gridCol w:w="1005"/>
        <w:gridCol w:w="915"/>
        <w:gridCol w:w="1483"/>
        <w:gridCol w:w="930"/>
        <w:gridCol w:w="17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27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规划/方案名称</w:t>
            </w:r>
          </w:p>
        </w:tc>
        <w:tc>
          <w:tcPr>
            <w:tcW w:w="9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2022年支付金额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累计支付金额</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累计支付比例</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专家评审时间</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成果文件是否批复</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公示日期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石狮市加油站专项规划</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238800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358200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2020年12月4日</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是</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2021年1月15日至2月14日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石狮市城东片区控制性详细规划</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288000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576000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2023年4月7日</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未批复</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Lines w:val="0"/>
              <w:pageBreakBefore w:val="0"/>
              <w:widowControl w:val="0"/>
              <w:kinsoku/>
              <w:wordWrap/>
              <w:overflowPunct/>
              <w:topLinePunct w:val="0"/>
              <w:autoSpaceDE/>
              <w:autoSpaceDN/>
              <w:bidi w:val="0"/>
              <w:adjustRightInd/>
              <w:snapToGrid/>
              <w:ind w:left="0" w:leftChars="0"/>
              <w:jc w:val="center"/>
              <w:rPr>
                <w:rFonts w:hint="eastAsia" w:ascii="仿宋" w:hAnsi="仿宋" w:eastAsia="仿宋" w:cs="仿宋"/>
                <w:i w:val="0"/>
                <w:iCs w:val="0"/>
                <w:color w:val="000000"/>
                <w:spacing w:val="0"/>
                <w:sz w:val="21"/>
                <w:szCs w:val="21"/>
                <w:u w:val="none"/>
                <w:lang w:val="en-US" w:eastAsia="zh-CN"/>
              </w:rPr>
            </w:pPr>
            <w:r>
              <w:rPr>
                <w:rFonts w:hint="eastAsia" w:ascii="仿宋" w:hAnsi="仿宋" w:eastAsia="仿宋" w:cs="仿宋"/>
                <w:i w:val="0"/>
                <w:iCs w:val="0"/>
                <w:color w:val="000000"/>
                <w:spacing w:val="0"/>
                <w:sz w:val="21"/>
                <w:szCs w:val="21"/>
                <w:u w:val="none"/>
                <w:lang w:val="en-US" w:eastAsia="zh-CN"/>
              </w:rPr>
              <w:t>未公示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龙穴村村庄规划及景胜别墅周边历史地段保护规划</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320000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2020年12月23日</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是</w:t>
            </w:r>
          </w:p>
        </w:tc>
        <w:tc>
          <w:tcPr>
            <w:tcW w:w="17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2021年11月12日至11月19日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石狮市新能源产业园片区土地征收开发方案</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2021年8月12日</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是</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2021年11月12日至11月19日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石狮市大仑东片区土地征收成本开发方案</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100800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100800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2022年5月16日</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是</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2022年6月10日至6月16日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石狮市港塘北环片区土地征收成片开发方案</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57600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57600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2021年8月12日</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是</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2022年3月11日至3月17日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石狮市鸿山人民公园西侧片区土地征收成片开发方案</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72000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2021年12月8日</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是</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2022年2月15日至2月21日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石狮市加曾寨片区（石狮网商园）土地征收成片开发方案</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115500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115500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2021年7月30日</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是</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2021年8月19日至8月26日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石狮市龟湖公园东侧片区土地征收成片开发方案</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2021年7月23日</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是</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2021年9月14日至9月21日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石狮市石湖港片区土地征收成片开发方案</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200000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2021年7月16日</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是</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2021年9月10日至9月18日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石狮市祥芝大堡片区土地征收成片开发方案</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100000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2021年6月25日</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是</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2021年7月29日至8月4日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石狮市服装纺织基地控制性详细规划</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142000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283500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2022年6月10日</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是</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2022年6月14日至7月14日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石狮永宁滨海（新沙堤—西岑）片区城市设计方案国际征集-中国城市规划设计研究院/中国建筑科学研究院有限公司</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800000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800000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未评审</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否</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pacing w:val="0"/>
                <w:sz w:val="21"/>
                <w:szCs w:val="21"/>
                <w:u w:val="none"/>
              </w:rPr>
            </w:pPr>
            <w:r>
              <w:rPr>
                <w:rFonts w:hint="eastAsia" w:ascii="仿宋" w:hAnsi="仿宋" w:eastAsia="仿宋" w:cs="仿宋"/>
                <w:i w:val="0"/>
                <w:iCs w:val="0"/>
                <w:color w:val="000000"/>
                <w:spacing w:val="0"/>
                <w:kern w:val="0"/>
                <w:sz w:val="21"/>
                <w:szCs w:val="21"/>
                <w:u w:val="none"/>
                <w:lang w:val="en-US" w:eastAsia="zh-CN" w:bidi="ar"/>
              </w:rPr>
              <w:t>未公示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石狮永宁滨海（新沙堤—西岑）片区城市设计方案国际征集-天津市城市规划设计研究总院有限公司/艾奕康（天津）工程咨询有限公司</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320000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320000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不需要评审</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lang w:val="en-US"/>
              </w:rPr>
            </w:pPr>
            <w:r>
              <w:rPr>
                <w:rFonts w:hint="eastAsia" w:ascii="仿宋" w:hAnsi="仿宋" w:eastAsia="仿宋" w:cs="仿宋"/>
                <w:i w:val="0"/>
                <w:iCs w:val="0"/>
                <w:color w:val="000000"/>
                <w:kern w:val="0"/>
                <w:sz w:val="21"/>
                <w:szCs w:val="21"/>
                <w:u w:val="none"/>
                <w:lang w:val="en-US" w:eastAsia="zh-CN" w:bidi="ar"/>
              </w:rPr>
              <w:t>不需要批复</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不需要公示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石狮永宁滨海（新沙堤—西岑）片区城市设计方案国际征集-南京东南大学城市规划设计研究院有限公司/潘卢杨沈企业顾问（上海）有限公司/上海集合建筑设计咨询有限公司</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480000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480000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不需要评审</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不需要批复</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不需要公示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石狮永宁滨海（新沙堤—西岑）片区城市设计方案国际征集-广州市城市规划勘测设计研究院/凯达环球（亚洲）有限公司</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320000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320000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不需要评审</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不需要批复</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不需要公示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jc w:val="center"/>
        </w:trPr>
        <w:tc>
          <w:tcPr>
            <w:tcW w:w="501"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t>
            </w:r>
          </w:p>
        </w:tc>
        <w:tc>
          <w:tcPr>
            <w:tcW w:w="27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石狮永宁滨海（新沙堤—西岑）片区城市设计方案国际征集-深圳市蕾奥规划设计咨询股份有限公司/北京中外建建筑设计有限公司</w:t>
            </w:r>
          </w:p>
        </w:tc>
        <w:tc>
          <w:tcPr>
            <w:tcW w:w="9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640000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640000</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不需要评审</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不需要批复</w:t>
            </w:r>
          </w:p>
        </w:tc>
        <w:tc>
          <w:tcPr>
            <w:tcW w:w="17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topLinePunct w:val="0"/>
              <w:autoSpaceDE/>
              <w:autoSpaceDN/>
              <w:bidi w:val="0"/>
              <w:adjustRightInd/>
              <w:snapToGrid/>
              <w:ind w:left="0" w:left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不需要公示</w:t>
            </w:r>
          </w:p>
        </w:tc>
      </w:tr>
    </w:tbl>
    <w:p>
      <w:pPr>
        <w:pStyle w:val="2"/>
        <w:keepLines w:val="0"/>
        <w:pageBreakBefore w:val="0"/>
        <w:widowControl w:val="0"/>
        <w:kinsoku/>
        <w:wordWrap/>
        <w:overflowPunct/>
        <w:topLinePunct w:val="0"/>
        <w:autoSpaceDE/>
        <w:autoSpaceDN/>
        <w:bidi w:val="0"/>
        <w:adjustRightInd/>
        <w:snapToGrid/>
        <w:spacing w:after="0"/>
        <w:ind w:left="0" w:leftChars="0"/>
        <w:rPr>
          <w:rFonts w:hint="eastAsia" w:ascii="仿宋" w:hAnsi="仿宋" w:eastAsia="仿宋" w:cs="仿宋"/>
        </w:rPr>
      </w:pPr>
    </w:p>
    <w:p>
      <w:pPr>
        <w:pStyle w:val="4"/>
        <w:keepLines w:val="0"/>
        <w:pageBreakBefore w:val="0"/>
        <w:widowControl w:val="0"/>
        <w:kinsoku/>
        <w:wordWrap/>
        <w:overflowPunct/>
        <w:topLinePunct w:val="0"/>
        <w:autoSpaceDE/>
        <w:autoSpaceDN/>
        <w:bidi w:val="0"/>
        <w:adjustRightInd/>
        <w:snapToGrid/>
        <w:spacing w:before="0" w:after="0" w:line="240" w:lineRule="auto"/>
        <w:ind w:left="0" w:leftChars="0" w:firstLine="562" w:firstLineChars="200"/>
        <w:textAlignment w:val="auto"/>
        <w:rPr>
          <w:rFonts w:hint="eastAsia" w:ascii="黑体" w:hAnsi="黑体" w:eastAsia="黑体" w:cs="黑体"/>
          <w:b/>
          <w:color w:val="auto"/>
          <w:sz w:val="28"/>
          <w:szCs w:val="28"/>
        </w:rPr>
      </w:pPr>
      <w:bookmarkStart w:id="38" w:name="_Toc18081"/>
      <w:bookmarkStart w:id="39" w:name="_Toc787"/>
      <w:bookmarkStart w:id="40" w:name="_Toc7607"/>
      <w:r>
        <w:rPr>
          <w:rFonts w:hint="eastAsia" w:ascii="黑体" w:hAnsi="黑体" w:eastAsia="黑体" w:cs="黑体"/>
          <w:b/>
          <w:color w:val="auto"/>
          <w:sz w:val="28"/>
          <w:szCs w:val="28"/>
          <w:lang w:val="en-US" w:eastAsia="zh-CN"/>
        </w:rPr>
        <w:t>二、</w:t>
      </w:r>
      <w:r>
        <w:rPr>
          <w:rFonts w:hint="eastAsia" w:ascii="黑体" w:hAnsi="黑体" w:eastAsia="黑体" w:cs="黑体"/>
          <w:b/>
          <w:color w:val="auto"/>
          <w:sz w:val="28"/>
          <w:szCs w:val="28"/>
        </w:rPr>
        <w:t>绩效</w:t>
      </w:r>
      <w:r>
        <w:rPr>
          <w:rFonts w:hint="eastAsia" w:ascii="黑体" w:hAnsi="黑体" w:eastAsia="黑体" w:cs="黑体"/>
          <w:b/>
          <w:bCs w:val="0"/>
          <w:color w:val="auto"/>
          <w:sz w:val="28"/>
          <w:szCs w:val="28"/>
        </w:rPr>
        <w:t>评价</w:t>
      </w:r>
      <w:r>
        <w:rPr>
          <w:rFonts w:hint="eastAsia" w:ascii="黑体" w:hAnsi="黑体" w:eastAsia="黑体" w:cs="黑体"/>
          <w:b/>
          <w:color w:val="auto"/>
          <w:sz w:val="28"/>
          <w:szCs w:val="28"/>
        </w:rPr>
        <w:t>工作情况</w:t>
      </w:r>
      <w:bookmarkEnd w:id="38"/>
      <w:bookmarkEnd w:id="39"/>
      <w:bookmarkEnd w:id="40"/>
    </w:p>
    <w:p>
      <w:pPr>
        <w:pStyle w:val="4"/>
        <w:keepLines w:val="0"/>
        <w:pageBreakBefore w:val="0"/>
        <w:widowControl w:val="0"/>
        <w:kinsoku/>
        <w:wordWrap/>
        <w:overflowPunct/>
        <w:topLinePunct w:val="0"/>
        <w:autoSpaceDE/>
        <w:autoSpaceDN/>
        <w:bidi w:val="0"/>
        <w:adjustRightInd/>
        <w:snapToGrid/>
        <w:spacing w:before="0" w:after="0" w:line="240" w:lineRule="auto"/>
        <w:ind w:left="0" w:leftChars="0" w:firstLine="562" w:firstLineChars="200"/>
        <w:outlineLvl w:val="1"/>
        <w:rPr>
          <w:rFonts w:hint="eastAsia" w:ascii="楷体" w:hAnsi="楷体" w:eastAsia="楷体" w:cs="楷体"/>
          <w:b/>
          <w:bCs w:val="0"/>
          <w:color w:val="auto"/>
          <w:sz w:val="28"/>
          <w:szCs w:val="28"/>
        </w:rPr>
      </w:pPr>
      <w:bookmarkStart w:id="41" w:name="_Toc28140"/>
      <w:bookmarkStart w:id="42" w:name="_Toc11282"/>
      <w:bookmarkStart w:id="43" w:name="_Toc19541"/>
      <w:bookmarkStart w:id="44" w:name="_Toc26308"/>
      <w:bookmarkStart w:id="45" w:name="_Toc383"/>
      <w:r>
        <w:rPr>
          <w:rFonts w:hint="eastAsia" w:ascii="楷体" w:hAnsi="楷体" w:eastAsia="楷体" w:cs="楷体"/>
          <w:b/>
          <w:bCs w:val="0"/>
          <w:color w:val="auto"/>
          <w:sz w:val="28"/>
          <w:szCs w:val="28"/>
        </w:rPr>
        <w:t>（一）评价目的</w:t>
      </w:r>
      <w:bookmarkEnd w:id="41"/>
      <w:bookmarkEnd w:id="42"/>
      <w:bookmarkEnd w:id="43"/>
      <w:bookmarkEnd w:id="44"/>
      <w:bookmarkEnd w:id="45"/>
    </w:p>
    <w:p>
      <w:pPr>
        <w:keepLines w:val="0"/>
        <w:pageBreakBefore w:val="0"/>
        <w:widowControl w:val="0"/>
        <w:kinsoku/>
        <w:wordWrap/>
        <w:overflowPunct/>
        <w:topLinePunct w:val="0"/>
        <w:autoSpaceDE/>
        <w:autoSpaceDN/>
        <w:bidi w:val="0"/>
        <w:adjustRightInd/>
        <w:snapToGrid/>
        <w:ind w:left="0" w:leftChars="0"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绩效管理是政府改革的重要方向，财政支出绩效评价是建设效能、责任和廉洁政府的重要手段。为客观评价</w:t>
      </w:r>
      <w:r>
        <w:rPr>
          <w:rFonts w:hint="eastAsia" w:ascii="仿宋" w:hAnsi="仿宋" w:eastAsia="仿宋" w:cs="仿宋"/>
          <w:color w:val="auto"/>
          <w:sz w:val="28"/>
          <w:szCs w:val="28"/>
          <w:lang w:eastAsia="zh-CN"/>
        </w:rPr>
        <w:t>2022年度石狮市全市控制性规划编制资金</w:t>
      </w:r>
      <w:r>
        <w:rPr>
          <w:rFonts w:hint="eastAsia" w:ascii="仿宋" w:hAnsi="仿宋" w:eastAsia="仿宋" w:cs="仿宋"/>
          <w:color w:val="auto"/>
          <w:sz w:val="28"/>
          <w:szCs w:val="28"/>
        </w:rPr>
        <w:t>绩效，</w:t>
      </w:r>
      <w:r>
        <w:rPr>
          <w:rFonts w:hint="eastAsia" w:ascii="仿宋" w:hAnsi="仿宋" w:eastAsia="仿宋" w:cs="仿宋"/>
          <w:color w:val="auto"/>
          <w:sz w:val="28"/>
          <w:szCs w:val="28"/>
          <w:lang w:val="en-US" w:eastAsia="zh-CN"/>
        </w:rPr>
        <w:t>在</w:t>
      </w:r>
      <w:r>
        <w:rPr>
          <w:rFonts w:hint="eastAsia" w:ascii="仿宋" w:hAnsi="仿宋" w:eastAsia="仿宋" w:cs="仿宋"/>
          <w:color w:val="auto"/>
          <w:sz w:val="28"/>
          <w:szCs w:val="28"/>
        </w:rPr>
        <w:t>单位绩效</w:t>
      </w:r>
      <w:r>
        <w:rPr>
          <w:rFonts w:hint="eastAsia" w:ascii="仿宋" w:hAnsi="仿宋" w:eastAsia="仿宋" w:cs="仿宋"/>
          <w:color w:val="auto"/>
          <w:sz w:val="28"/>
          <w:szCs w:val="28"/>
          <w:lang w:val="en-US" w:eastAsia="zh-CN"/>
        </w:rPr>
        <w:t>目标表</w:t>
      </w:r>
      <w:r>
        <w:rPr>
          <w:rFonts w:hint="eastAsia" w:ascii="仿宋" w:hAnsi="仿宋" w:eastAsia="仿宋" w:cs="仿宋"/>
          <w:color w:val="auto"/>
          <w:sz w:val="28"/>
          <w:szCs w:val="28"/>
        </w:rPr>
        <w:t>的基础上，结合项目特点，制定</w:t>
      </w:r>
      <w:r>
        <w:rPr>
          <w:rFonts w:hint="eastAsia" w:ascii="仿宋" w:hAnsi="仿宋" w:eastAsia="仿宋" w:cs="仿宋"/>
          <w:color w:val="auto"/>
          <w:sz w:val="28"/>
          <w:szCs w:val="28"/>
          <w:lang w:eastAsia="zh-CN"/>
        </w:rPr>
        <w:t>2022年度石狮市全市控制性规划编制资金</w:t>
      </w:r>
      <w:r>
        <w:rPr>
          <w:rFonts w:hint="eastAsia" w:ascii="仿宋" w:hAnsi="仿宋" w:eastAsia="仿宋" w:cs="仿宋"/>
          <w:color w:val="auto"/>
          <w:sz w:val="28"/>
          <w:szCs w:val="28"/>
        </w:rPr>
        <w:t>绩效评价指标体系，运用科学、规范的评价方法，客观地对</w:t>
      </w:r>
      <w:r>
        <w:rPr>
          <w:rFonts w:hint="eastAsia" w:ascii="仿宋" w:hAnsi="仿宋" w:eastAsia="仿宋" w:cs="仿宋"/>
          <w:color w:val="auto"/>
          <w:sz w:val="28"/>
          <w:szCs w:val="28"/>
          <w:lang w:eastAsia="zh-CN"/>
        </w:rPr>
        <w:t>2022年度石狮市全市控制性规划编制资金</w:t>
      </w:r>
      <w:r>
        <w:rPr>
          <w:rFonts w:hint="eastAsia" w:ascii="仿宋" w:hAnsi="仿宋" w:eastAsia="仿宋" w:cs="仿宋"/>
          <w:color w:val="auto"/>
          <w:sz w:val="28"/>
          <w:szCs w:val="28"/>
        </w:rPr>
        <w:t>在预算、管理及项目实施过程中存在的问题，探究其可能的原因，最后提出相应的解决对策。通过绩效评价，在项目资金管理中引入绩效管理理念，规范管理方式，总结项目管理经验，同时加强项目资金管理，优化财政支出结构，进一步提升财政专项资金使用效益和政府公共服务水平，为领导科学决策提供确实有力的依据。</w:t>
      </w:r>
    </w:p>
    <w:p>
      <w:pPr>
        <w:pStyle w:val="4"/>
        <w:keepNext/>
        <w:keepLines w:val="0"/>
        <w:pageBreakBefore w:val="0"/>
        <w:widowControl w:val="0"/>
        <w:kinsoku/>
        <w:wordWrap/>
        <w:overflowPunct/>
        <w:topLinePunct w:val="0"/>
        <w:autoSpaceDE/>
        <w:autoSpaceDN/>
        <w:bidi w:val="0"/>
        <w:adjustRightInd/>
        <w:snapToGrid/>
        <w:spacing w:before="0" w:after="0" w:line="240" w:lineRule="auto"/>
        <w:ind w:left="0" w:leftChars="0" w:firstLine="562" w:firstLineChars="200"/>
        <w:textAlignment w:val="auto"/>
        <w:outlineLvl w:val="1"/>
        <w:rPr>
          <w:rFonts w:hint="eastAsia" w:ascii="楷体" w:hAnsi="楷体" w:eastAsia="楷体" w:cs="楷体"/>
          <w:b/>
          <w:bCs w:val="0"/>
          <w:color w:val="auto"/>
          <w:sz w:val="28"/>
          <w:szCs w:val="28"/>
        </w:rPr>
      </w:pPr>
      <w:bookmarkStart w:id="46" w:name="_Toc10445"/>
      <w:bookmarkStart w:id="47" w:name="_Toc12755"/>
      <w:bookmarkStart w:id="48" w:name="_Toc17653"/>
      <w:bookmarkStart w:id="49" w:name="_Toc671"/>
      <w:bookmarkStart w:id="50" w:name="_Toc5532"/>
      <w:r>
        <w:rPr>
          <w:rFonts w:hint="eastAsia" w:ascii="楷体" w:hAnsi="楷体" w:eastAsia="楷体" w:cs="楷体"/>
          <w:b/>
          <w:bCs w:val="0"/>
          <w:color w:val="auto"/>
          <w:sz w:val="28"/>
          <w:szCs w:val="28"/>
        </w:rPr>
        <w:t>（</w:t>
      </w:r>
      <w:r>
        <w:rPr>
          <w:rFonts w:hint="eastAsia" w:ascii="楷体" w:hAnsi="楷体" w:eastAsia="楷体" w:cs="楷体"/>
          <w:b/>
          <w:bCs w:val="0"/>
          <w:color w:val="auto"/>
          <w:sz w:val="28"/>
          <w:szCs w:val="28"/>
          <w:lang w:val="en-US" w:eastAsia="zh-CN"/>
        </w:rPr>
        <w:t>二</w:t>
      </w:r>
      <w:r>
        <w:rPr>
          <w:rFonts w:hint="eastAsia" w:ascii="楷体" w:hAnsi="楷体" w:eastAsia="楷体" w:cs="楷体"/>
          <w:b/>
          <w:bCs w:val="0"/>
          <w:color w:val="auto"/>
          <w:sz w:val="28"/>
          <w:szCs w:val="28"/>
        </w:rPr>
        <w:t>）评价依据</w:t>
      </w:r>
      <w:bookmarkEnd w:id="46"/>
      <w:bookmarkEnd w:id="47"/>
      <w:bookmarkEnd w:id="48"/>
      <w:bookmarkEnd w:id="49"/>
      <w:bookmarkEnd w:id="50"/>
    </w:p>
    <w:p>
      <w:pPr>
        <w:keepLines w:val="0"/>
        <w:pageBreakBefore w:val="0"/>
        <w:widowControl w:val="0"/>
        <w:kinsoku/>
        <w:wordWrap/>
        <w:overflowPunct/>
        <w:topLinePunct w:val="0"/>
        <w:autoSpaceDE/>
        <w:autoSpaceDN/>
        <w:bidi w:val="0"/>
        <w:adjustRightInd/>
        <w:snapToGrid/>
        <w:ind w:left="0" w:leftChars="0"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1.</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中华人民共和国城乡规划法</w:t>
      </w:r>
      <w:r>
        <w:rPr>
          <w:rFonts w:hint="eastAsia" w:ascii="仿宋" w:hAnsi="仿宋" w:eastAsia="仿宋" w:cs="仿宋"/>
          <w:color w:val="auto"/>
          <w:sz w:val="28"/>
          <w:szCs w:val="28"/>
          <w:lang w:eastAsia="zh-CN"/>
        </w:rPr>
        <w:t>》</w:t>
      </w:r>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lang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中华人民共和国政府采购法</w:t>
      </w:r>
      <w:r>
        <w:rPr>
          <w:rFonts w:hint="eastAsia" w:ascii="仿宋" w:hAnsi="仿宋" w:eastAsia="仿宋" w:cs="仿宋"/>
          <w:color w:val="auto"/>
          <w:sz w:val="28"/>
          <w:szCs w:val="28"/>
          <w:lang w:eastAsia="zh-CN"/>
        </w:rPr>
        <w:t>》</w:t>
      </w:r>
    </w:p>
    <w:p>
      <w:pPr>
        <w:keepLines w:val="0"/>
        <w:pageBreakBefore w:val="0"/>
        <w:widowControl w:val="0"/>
        <w:kinsoku/>
        <w:wordWrap/>
        <w:overflowPunct/>
        <w:topLinePunct w:val="0"/>
        <w:autoSpaceDE/>
        <w:autoSpaceDN/>
        <w:bidi w:val="0"/>
        <w:adjustRightInd/>
        <w:snapToGrid/>
        <w:ind w:left="0" w:leftChars="0"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《中共中央</w:t>
      </w:r>
      <w:bookmarkStart w:id="160" w:name="_GoBack"/>
      <w:bookmarkEnd w:id="160"/>
      <w:r>
        <w:rPr>
          <w:rFonts w:hint="eastAsia" w:ascii="仿宋" w:hAnsi="仿宋" w:eastAsia="仿宋" w:cs="仿宋"/>
          <w:color w:val="auto"/>
          <w:sz w:val="28"/>
          <w:szCs w:val="28"/>
        </w:rPr>
        <w:t>国务院关于全面实施预算绩效管理的意见》（中发〔2018〕34号）；</w:t>
      </w:r>
    </w:p>
    <w:p>
      <w:pPr>
        <w:keepLines w:val="0"/>
        <w:pageBreakBefore w:val="0"/>
        <w:widowControl w:val="0"/>
        <w:kinsoku/>
        <w:wordWrap/>
        <w:overflowPunct/>
        <w:topLinePunct w:val="0"/>
        <w:autoSpaceDE/>
        <w:autoSpaceDN/>
        <w:bidi w:val="0"/>
        <w:adjustRightInd/>
        <w:snapToGrid/>
        <w:ind w:left="0" w:leftChars="0"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.财政部《关于印发&lt;项目支出绩效评价管理办法&gt;的通知》（财预〔2020〕10号）；</w:t>
      </w:r>
    </w:p>
    <w:p>
      <w:pPr>
        <w:keepLines w:val="0"/>
        <w:pageBreakBefore w:val="0"/>
        <w:widowControl w:val="0"/>
        <w:kinsoku/>
        <w:wordWrap/>
        <w:overflowPunct/>
        <w:topLinePunct w:val="0"/>
        <w:autoSpaceDE/>
        <w:autoSpaceDN/>
        <w:bidi w:val="0"/>
        <w:adjustRightInd/>
        <w:snapToGrid/>
        <w:ind w:left="0" w:leftChars="0"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.《中共福建省委</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福建省人民政府印发&lt;关于全面实施预算绩效管理的实施意见&gt;的通知》（闽委发〔2019〕5号）；</w:t>
      </w:r>
    </w:p>
    <w:p>
      <w:pPr>
        <w:keepLines w:val="0"/>
        <w:pageBreakBefore w:val="0"/>
        <w:widowControl w:val="0"/>
        <w:kinsoku/>
        <w:wordWrap/>
        <w:overflowPunct/>
        <w:topLinePunct w:val="0"/>
        <w:autoSpaceDE/>
        <w:autoSpaceDN/>
        <w:bidi w:val="0"/>
        <w:adjustRightInd/>
        <w:snapToGrid/>
        <w:ind w:left="0" w:leftChars="0"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.《福建省财政厅关于印发财政支出绩效评价指标体系及使用指南的通知》（闽财绩〔2012〕13号）</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.《福建省财政厅关于印发&lt;福建省财政支出绩效评价管理暂行办法&gt;的通知》（闽财绩〔2015〕4号）；</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.《泉州市机关效能建设领导小组办公室 泉州市统计局关于印发2020年度县（市、区）、泉州开发区、泉州台商投资区绩效考核指标解释的通知》（泉效办〔2020〕4号）；</w:t>
      </w:r>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2"/>
        <w:rPr>
          <w:rFonts w:hint="eastAsia" w:ascii="仿宋" w:hAnsi="仿宋" w:eastAsia="仿宋" w:cs="仿宋"/>
          <w:color w:val="auto"/>
          <w:sz w:val="28"/>
          <w:szCs w:val="28"/>
          <w:lang w:val="en-US" w:eastAsia="zh-CN"/>
        </w:rPr>
      </w:pPr>
      <w:bookmarkStart w:id="51" w:name="_Toc28365"/>
      <w:bookmarkStart w:id="52" w:name="_Toc23445"/>
      <w:bookmarkStart w:id="53" w:name="_Toc17362"/>
      <w:bookmarkStart w:id="54" w:name="_Toc32702"/>
      <w:bookmarkStart w:id="55" w:name="_Toc15892"/>
      <w:r>
        <w:rPr>
          <w:rFonts w:hint="eastAsia" w:ascii="仿宋" w:hAnsi="仿宋" w:eastAsia="仿宋" w:cs="仿宋"/>
          <w:color w:val="auto"/>
          <w:sz w:val="28"/>
          <w:szCs w:val="28"/>
          <w:lang w:val="en-US" w:eastAsia="zh-CN"/>
        </w:rPr>
        <w:t>9.《政府购买服务管理办法》（中华人民共和国财政部令第102号）</w:t>
      </w:r>
      <w:bookmarkEnd w:id="51"/>
      <w:bookmarkEnd w:id="52"/>
      <w:bookmarkEnd w:id="53"/>
      <w:bookmarkEnd w:id="54"/>
      <w:bookmarkEnd w:id="55"/>
    </w:p>
    <w:p>
      <w:pPr>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outlineLvl w:val="2"/>
        <w:rPr>
          <w:rFonts w:hint="eastAsia" w:ascii="仿宋" w:hAnsi="仿宋" w:eastAsia="仿宋" w:cs="仿宋"/>
          <w:color w:val="auto"/>
          <w:sz w:val="28"/>
          <w:szCs w:val="28"/>
          <w:lang w:val="en-US" w:eastAsia="zh-CN"/>
        </w:rPr>
      </w:pPr>
      <w:bookmarkStart w:id="56" w:name="_Toc25435"/>
      <w:bookmarkStart w:id="57" w:name="_Toc22623"/>
      <w:bookmarkStart w:id="58" w:name="_Toc4943"/>
      <w:bookmarkStart w:id="59" w:name="_Toc28546"/>
      <w:bookmarkStart w:id="60" w:name="_Toc20453"/>
      <w:r>
        <w:rPr>
          <w:rFonts w:hint="eastAsia" w:ascii="仿宋" w:hAnsi="仿宋" w:eastAsia="仿宋" w:cs="仿宋"/>
          <w:color w:val="auto"/>
          <w:sz w:val="28"/>
          <w:szCs w:val="28"/>
          <w:lang w:val="en-US" w:eastAsia="zh-CN"/>
        </w:rPr>
        <w:t>10.《城市、镇控制性详细规划编制审批办法》（住房城乡建设部令第7号）</w:t>
      </w:r>
      <w:bookmarkEnd w:id="56"/>
      <w:bookmarkEnd w:id="57"/>
      <w:bookmarkEnd w:id="58"/>
      <w:bookmarkEnd w:id="59"/>
      <w:bookmarkEnd w:id="60"/>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11.《福建省城市控制性详细规划管理暂行办法》</w:t>
      </w:r>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color w:val="auto"/>
          <w:lang w:val="en-US" w:eastAsia="zh-CN"/>
        </w:rPr>
      </w:pPr>
      <w:r>
        <w:rPr>
          <w:rFonts w:hint="eastAsia" w:ascii="仿宋" w:hAnsi="仿宋" w:eastAsia="仿宋" w:cs="仿宋"/>
          <w:color w:val="auto"/>
          <w:sz w:val="28"/>
          <w:szCs w:val="28"/>
          <w:lang w:val="en-US" w:eastAsia="zh-CN"/>
        </w:rPr>
        <w:t>12.项目相关的立项材料、采购过程材料、实施过程材料、成果文件及相关制度、财务资料等。</w:t>
      </w:r>
    </w:p>
    <w:p>
      <w:pPr>
        <w:pStyle w:val="4"/>
        <w:keepNext w:val="0"/>
        <w:keepLines w:val="0"/>
        <w:pageBreakBefore w:val="0"/>
        <w:widowControl w:val="0"/>
        <w:kinsoku/>
        <w:wordWrap/>
        <w:overflowPunct/>
        <w:topLinePunct w:val="0"/>
        <w:autoSpaceDE/>
        <w:autoSpaceDN/>
        <w:bidi w:val="0"/>
        <w:adjustRightInd/>
        <w:snapToGrid/>
        <w:spacing w:before="0" w:after="0" w:line="240" w:lineRule="auto"/>
        <w:ind w:left="0" w:leftChars="0" w:firstLine="562" w:firstLineChars="200"/>
        <w:textAlignment w:val="auto"/>
        <w:outlineLvl w:val="1"/>
        <w:rPr>
          <w:rFonts w:hint="eastAsia" w:ascii="楷体" w:hAnsi="楷体" w:eastAsia="楷体" w:cs="楷体"/>
          <w:b/>
          <w:bCs w:val="0"/>
          <w:color w:val="auto"/>
          <w:sz w:val="28"/>
          <w:szCs w:val="28"/>
        </w:rPr>
      </w:pPr>
      <w:bookmarkStart w:id="61" w:name="_Toc7902"/>
      <w:bookmarkStart w:id="62" w:name="_Toc29342"/>
      <w:bookmarkStart w:id="63" w:name="_Toc12379"/>
      <w:bookmarkStart w:id="64" w:name="_Toc3119"/>
      <w:bookmarkStart w:id="65" w:name="_Toc3454"/>
      <w:r>
        <w:rPr>
          <w:rFonts w:hint="eastAsia" w:ascii="楷体" w:hAnsi="楷体" w:eastAsia="楷体" w:cs="楷体"/>
          <w:b/>
          <w:bCs w:val="0"/>
          <w:color w:val="auto"/>
          <w:sz w:val="28"/>
          <w:szCs w:val="28"/>
        </w:rPr>
        <w:t>（</w:t>
      </w:r>
      <w:r>
        <w:rPr>
          <w:rFonts w:hint="eastAsia" w:ascii="楷体" w:hAnsi="楷体" w:eastAsia="楷体" w:cs="楷体"/>
          <w:b/>
          <w:bCs w:val="0"/>
          <w:color w:val="auto"/>
          <w:sz w:val="28"/>
          <w:szCs w:val="28"/>
          <w:lang w:val="en-US" w:eastAsia="zh-CN"/>
        </w:rPr>
        <w:t>三</w:t>
      </w:r>
      <w:r>
        <w:rPr>
          <w:rFonts w:hint="eastAsia" w:ascii="楷体" w:hAnsi="楷体" w:eastAsia="楷体" w:cs="楷体"/>
          <w:b/>
          <w:bCs w:val="0"/>
          <w:color w:val="auto"/>
          <w:sz w:val="28"/>
          <w:szCs w:val="28"/>
        </w:rPr>
        <w:t>）评价原则</w:t>
      </w:r>
      <w:bookmarkEnd w:id="61"/>
      <w:bookmarkEnd w:id="62"/>
      <w:bookmarkEnd w:id="63"/>
      <w:bookmarkEnd w:id="64"/>
      <w:bookmarkEnd w:id="65"/>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一是科学规范原则。严格执行有关程序，按照科学可行的要求，采用定量与定性分析相结合、理论与实践相结合的方法设计评价指标体系。</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二是公正公开原则。符合真实、客观、公正的要求，依法公开并接受监督。</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三是利害关系回避原则。绩效评价工作由</w:t>
      </w:r>
      <w:r>
        <w:rPr>
          <w:rFonts w:hint="eastAsia" w:ascii="仿宋" w:hAnsi="仿宋" w:eastAsia="仿宋" w:cs="仿宋"/>
          <w:bCs/>
          <w:color w:val="auto"/>
          <w:sz w:val="28"/>
          <w:szCs w:val="28"/>
          <w:lang w:eastAsia="zh-CN"/>
        </w:rPr>
        <w:t>石狮市财政局</w:t>
      </w:r>
      <w:r>
        <w:rPr>
          <w:rFonts w:hint="eastAsia" w:ascii="仿宋" w:hAnsi="仿宋" w:eastAsia="仿宋" w:cs="仿宋"/>
          <w:bCs/>
          <w:color w:val="auto"/>
          <w:sz w:val="28"/>
          <w:szCs w:val="28"/>
        </w:rPr>
        <w:t>委托泉州招标咨询中心实施。</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四是绩效相关原则。绩效评价针对</w:t>
      </w:r>
      <w:r>
        <w:rPr>
          <w:rFonts w:hint="eastAsia" w:ascii="仿宋" w:hAnsi="仿宋" w:eastAsia="仿宋" w:cs="仿宋"/>
          <w:bCs/>
          <w:color w:val="auto"/>
          <w:sz w:val="28"/>
          <w:szCs w:val="28"/>
          <w:lang w:val="en-US" w:eastAsia="zh-CN"/>
        </w:rPr>
        <w:t>2022年度石狮市全市控制性规划编制资金</w:t>
      </w:r>
      <w:r>
        <w:rPr>
          <w:rFonts w:hint="eastAsia" w:ascii="仿宋" w:hAnsi="仿宋" w:eastAsia="仿宋" w:cs="仿宋"/>
          <w:bCs/>
          <w:color w:val="auto"/>
          <w:sz w:val="28"/>
          <w:szCs w:val="28"/>
        </w:rPr>
        <w:t>投入及其产出绩效进行，评价结果清晰地反映两者之间的紧密对应关系。</w:t>
      </w:r>
    </w:p>
    <w:p>
      <w:pPr>
        <w:pStyle w:val="4"/>
        <w:keepNext w:val="0"/>
        <w:keepLines w:val="0"/>
        <w:pageBreakBefore w:val="0"/>
        <w:widowControl w:val="0"/>
        <w:kinsoku/>
        <w:wordWrap/>
        <w:overflowPunct/>
        <w:topLinePunct w:val="0"/>
        <w:autoSpaceDE/>
        <w:autoSpaceDN/>
        <w:bidi w:val="0"/>
        <w:adjustRightInd/>
        <w:snapToGrid/>
        <w:spacing w:before="0" w:after="0" w:line="240" w:lineRule="auto"/>
        <w:ind w:left="0" w:leftChars="0" w:firstLine="562" w:firstLineChars="200"/>
        <w:textAlignment w:val="auto"/>
        <w:outlineLvl w:val="1"/>
        <w:rPr>
          <w:rFonts w:hint="eastAsia" w:ascii="楷体" w:hAnsi="楷体" w:eastAsia="楷体" w:cs="楷体"/>
          <w:b/>
          <w:bCs w:val="0"/>
          <w:color w:val="auto"/>
          <w:sz w:val="28"/>
          <w:szCs w:val="28"/>
          <w:lang w:eastAsia="zh-CN"/>
        </w:rPr>
      </w:pPr>
      <w:bookmarkStart w:id="66" w:name="_Toc25149"/>
      <w:bookmarkStart w:id="67" w:name="_Toc15135"/>
      <w:bookmarkStart w:id="68" w:name="_Toc29827"/>
      <w:bookmarkStart w:id="69" w:name="_Toc20191"/>
      <w:bookmarkStart w:id="70" w:name="_Toc19785"/>
      <w:r>
        <w:rPr>
          <w:rFonts w:hint="eastAsia" w:ascii="楷体" w:hAnsi="楷体" w:eastAsia="楷体" w:cs="楷体"/>
          <w:b/>
          <w:bCs w:val="0"/>
          <w:color w:val="auto"/>
          <w:sz w:val="28"/>
          <w:szCs w:val="28"/>
        </w:rPr>
        <w:t>（</w:t>
      </w:r>
      <w:r>
        <w:rPr>
          <w:rFonts w:hint="eastAsia" w:ascii="楷体" w:hAnsi="楷体" w:eastAsia="楷体" w:cs="楷体"/>
          <w:b/>
          <w:bCs w:val="0"/>
          <w:color w:val="auto"/>
          <w:sz w:val="28"/>
          <w:szCs w:val="28"/>
          <w:lang w:val="en-US" w:eastAsia="zh-CN"/>
        </w:rPr>
        <w:t>四</w:t>
      </w:r>
      <w:r>
        <w:rPr>
          <w:rFonts w:hint="eastAsia" w:ascii="楷体" w:hAnsi="楷体" w:eastAsia="楷体" w:cs="楷体"/>
          <w:b/>
          <w:bCs w:val="0"/>
          <w:color w:val="auto"/>
          <w:sz w:val="28"/>
          <w:szCs w:val="28"/>
        </w:rPr>
        <w:t>）评定方法</w:t>
      </w:r>
      <w:bookmarkEnd w:id="66"/>
      <w:bookmarkEnd w:id="67"/>
      <w:bookmarkEnd w:id="68"/>
      <w:bookmarkEnd w:id="69"/>
      <w:bookmarkEnd w:id="70"/>
    </w:p>
    <w:p>
      <w:pPr>
        <w:pStyle w:val="4"/>
        <w:keepNext w:val="0"/>
        <w:keepLines w:val="0"/>
        <w:pageBreakBefore w:val="0"/>
        <w:widowControl w:val="0"/>
        <w:kinsoku/>
        <w:wordWrap/>
        <w:overflowPunct/>
        <w:topLinePunct w:val="0"/>
        <w:autoSpaceDE/>
        <w:autoSpaceDN/>
        <w:bidi w:val="0"/>
        <w:adjustRightInd/>
        <w:snapToGrid/>
        <w:spacing w:before="0" w:after="0" w:line="240" w:lineRule="auto"/>
        <w:ind w:left="0" w:leftChars="0" w:firstLine="560" w:firstLineChars="200"/>
        <w:textAlignment w:val="auto"/>
        <w:rPr>
          <w:rFonts w:hint="eastAsia" w:ascii="仿宋" w:hAnsi="仿宋" w:eastAsia="仿宋" w:cs="仿宋"/>
          <w:b w:val="0"/>
          <w:bCs w:val="0"/>
          <w:color w:val="auto"/>
          <w:kern w:val="2"/>
          <w:sz w:val="28"/>
          <w:szCs w:val="28"/>
          <w:lang w:val="en-US" w:eastAsia="zh-CN" w:bidi="ar-SA"/>
        </w:rPr>
      </w:pPr>
      <w:bookmarkStart w:id="71" w:name="_Toc24489"/>
      <w:bookmarkStart w:id="72" w:name="_Toc5334"/>
      <w:bookmarkStart w:id="73" w:name="_Toc15997"/>
      <w:bookmarkStart w:id="74" w:name="_Toc18303"/>
      <w:bookmarkStart w:id="75" w:name="_Toc22568"/>
      <w:bookmarkStart w:id="76" w:name="_Toc15267"/>
      <w:bookmarkStart w:id="77" w:name="_Toc15478"/>
      <w:r>
        <w:rPr>
          <w:rFonts w:hint="eastAsia" w:ascii="仿宋" w:hAnsi="仿宋" w:eastAsia="仿宋" w:cs="仿宋"/>
          <w:b w:val="0"/>
          <w:bCs w:val="0"/>
          <w:color w:val="auto"/>
          <w:kern w:val="2"/>
          <w:sz w:val="28"/>
          <w:szCs w:val="28"/>
          <w:lang w:val="en-US" w:eastAsia="zh-CN" w:bidi="ar-SA"/>
        </w:rPr>
        <w:t>本次绩效评价通过实施单位的数据填报，辅以评价工作小组实地调查、查阅问卷、听取汇报、查看项目管理及财务管理资料等方式收集信息，采用成本效益分析法、比较法、公众评判法、问卷调查法等进行评分，以定量考核与以定性分析为相结合，汇总形成评价综合得分。</w:t>
      </w:r>
      <w:bookmarkEnd w:id="71"/>
      <w:bookmarkEnd w:id="72"/>
      <w:bookmarkEnd w:id="73"/>
      <w:bookmarkEnd w:id="74"/>
      <w:bookmarkEnd w:id="75"/>
      <w:bookmarkEnd w:id="76"/>
      <w:bookmarkEnd w:id="77"/>
      <w:bookmarkStart w:id="78" w:name="_Toc5973"/>
    </w:p>
    <w:p>
      <w:pPr>
        <w:pStyle w:val="4"/>
        <w:keepNext w:val="0"/>
        <w:keepLines w:val="0"/>
        <w:pageBreakBefore w:val="0"/>
        <w:widowControl w:val="0"/>
        <w:kinsoku/>
        <w:wordWrap/>
        <w:overflowPunct/>
        <w:topLinePunct w:val="0"/>
        <w:autoSpaceDE/>
        <w:autoSpaceDN/>
        <w:bidi w:val="0"/>
        <w:adjustRightInd/>
        <w:snapToGrid/>
        <w:spacing w:before="0" w:after="0" w:line="240" w:lineRule="auto"/>
        <w:ind w:left="0" w:leftChars="0" w:firstLine="562" w:firstLineChars="200"/>
        <w:textAlignment w:val="auto"/>
        <w:outlineLvl w:val="1"/>
        <w:rPr>
          <w:rFonts w:hint="eastAsia" w:ascii="楷体" w:hAnsi="楷体" w:eastAsia="楷体" w:cs="楷体"/>
          <w:b/>
          <w:bCs w:val="0"/>
          <w:color w:val="auto"/>
          <w:sz w:val="28"/>
          <w:szCs w:val="28"/>
        </w:rPr>
      </w:pPr>
      <w:bookmarkStart w:id="79" w:name="_Toc20557"/>
      <w:bookmarkStart w:id="80" w:name="_Toc9641"/>
      <w:bookmarkStart w:id="81" w:name="_Toc25893"/>
      <w:bookmarkStart w:id="82" w:name="_Toc14997"/>
      <w:r>
        <w:rPr>
          <w:rFonts w:hint="eastAsia" w:ascii="楷体" w:hAnsi="楷体" w:eastAsia="楷体" w:cs="楷体"/>
          <w:b/>
          <w:bCs w:val="0"/>
          <w:color w:val="auto"/>
          <w:sz w:val="28"/>
          <w:szCs w:val="28"/>
        </w:rPr>
        <w:t>（</w:t>
      </w:r>
      <w:r>
        <w:rPr>
          <w:rFonts w:hint="eastAsia" w:ascii="楷体" w:hAnsi="楷体" w:eastAsia="楷体" w:cs="楷体"/>
          <w:b/>
          <w:bCs w:val="0"/>
          <w:color w:val="auto"/>
          <w:sz w:val="28"/>
          <w:szCs w:val="28"/>
          <w:lang w:val="en-US" w:eastAsia="zh-CN"/>
        </w:rPr>
        <w:t>五</w:t>
      </w:r>
      <w:r>
        <w:rPr>
          <w:rFonts w:hint="eastAsia" w:ascii="楷体" w:hAnsi="楷体" w:eastAsia="楷体" w:cs="楷体"/>
          <w:b/>
          <w:bCs w:val="0"/>
          <w:color w:val="auto"/>
          <w:sz w:val="28"/>
          <w:szCs w:val="28"/>
        </w:rPr>
        <w:t>）组织实施</w:t>
      </w:r>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按照评价工作流程，分为准备阶段、实施阶段和评价报告撰写阶段等三个步骤实施评价工作。</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1.准备阶段（</w:t>
      </w:r>
      <w:r>
        <w:rPr>
          <w:rFonts w:hint="eastAsia" w:ascii="仿宋" w:hAnsi="仿宋" w:eastAsia="仿宋" w:cs="仿宋"/>
          <w:color w:val="auto"/>
          <w:sz w:val="28"/>
          <w:szCs w:val="28"/>
          <w:lang w:eastAsia="zh-CN"/>
        </w:rPr>
        <w:t>2023年</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上</w:t>
      </w:r>
      <w:r>
        <w:rPr>
          <w:rFonts w:hint="eastAsia" w:ascii="仿宋" w:hAnsi="仿宋" w:eastAsia="仿宋" w:cs="仿宋"/>
          <w:color w:val="auto"/>
          <w:sz w:val="28"/>
          <w:szCs w:val="28"/>
        </w:rPr>
        <w:t>旬）：泉州市招标咨询中心地方财政绩效评价所三方召开</w:t>
      </w:r>
      <w:r>
        <w:rPr>
          <w:rFonts w:hint="eastAsia" w:ascii="仿宋" w:hAnsi="仿宋" w:eastAsia="仿宋" w:cs="仿宋"/>
          <w:color w:val="auto"/>
          <w:sz w:val="28"/>
          <w:szCs w:val="28"/>
          <w:lang w:eastAsia="zh-CN"/>
        </w:rPr>
        <w:t>202</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rPr>
        <w:t>绩效评价项目启动会议。组成绩效评价工作小组，拟定项目绩效评价实施方案，制定绩效评价工作计划。</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2.基础资料收集阶段（</w:t>
      </w:r>
      <w:r>
        <w:rPr>
          <w:rFonts w:hint="eastAsia" w:ascii="仿宋" w:hAnsi="仿宋" w:eastAsia="仿宋" w:cs="仿宋"/>
          <w:color w:val="auto"/>
          <w:sz w:val="28"/>
          <w:szCs w:val="28"/>
          <w:lang w:eastAsia="zh-CN"/>
        </w:rPr>
        <w:t>2023年</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中旬前</w:t>
      </w:r>
      <w:r>
        <w:rPr>
          <w:rFonts w:hint="eastAsia" w:ascii="仿宋" w:hAnsi="仿宋" w:eastAsia="仿宋" w:cs="仿宋"/>
          <w:color w:val="auto"/>
          <w:sz w:val="28"/>
          <w:szCs w:val="28"/>
        </w:rPr>
        <w:t>）：根据实施方案，评价工作组提供资料清单给</w:t>
      </w:r>
      <w:r>
        <w:rPr>
          <w:rFonts w:hint="eastAsia" w:ascii="仿宋" w:hAnsi="仿宋" w:eastAsia="仿宋" w:cs="仿宋"/>
          <w:color w:val="auto"/>
          <w:sz w:val="28"/>
          <w:szCs w:val="28"/>
          <w:lang w:val="en-US" w:eastAsia="zh-CN"/>
        </w:rPr>
        <w:t>石狮市自然资源局</w:t>
      </w:r>
      <w:r>
        <w:rPr>
          <w:rFonts w:hint="eastAsia" w:ascii="仿宋" w:hAnsi="仿宋" w:eastAsia="仿宋" w:cs="仿宋"/>
          <w:color w:val="auto"/>
          <w:sz w:val="28"/>
          <w:szCs w:val="28"/>
        </w:rPr>
        <w:t>，我中心安排专业人员</w:t>
      </w:r>
      <w:r>
        <w:rPr>
          <w:rFonts w:hint="eastAsia" w:ascii="仿宋" w:hAnsi="仿宋" w:eastAsia="仿宋" w:cs="仿宋"/>
          <w:color w:val="auto"/>
          <w:sz w:val="28"/>
          <w:szCs w:val="28"/>
          <w:lang w:val="en-US" w:eastAsia="zh-CN"/>
        </w:rPr>
        <w:t>前往实施单位</w:t>
      </w:r>
      <w:r>
        <w:rPr>
          <w:rFonts w:hint="eastAsia" w:ascii="仿宋" w:hAnsi="仿宋" w:eastAsia="仿宋" w:cs="仿宋"/>
          <w:color w:val="auto"/>
          <w:sz w:val="28"/>
          <w:szCs w:val="28"/>
        </w:rPr>
        <w:t>进行首次调研，</w:t>
      </w:r>
      <w:r>
        <w:rPr>
          <w:rFonts w:hint="eastAsia" w:ascii="仿宋" w:hAnsi="仿宋" w:eastAsia="仿宋" w:cs="仿宋"/>
          <w:color w:val="auto"/>
          <w:sz w:val="28"/>
          <w:szCs w:val="28"/>
          <w:lang w:val="en-US" w:eastAsia="zh-CN"/>
        </w:rPr>
        <w:t>了解项目信息及资金使用基本情况，</w:t>
      </w:r>
      <w:r>
        <w:rPr>
          <w:rFonts w:hint="eastAsia" w:ascii="仿宋" w:hAnsi="仿宋" w:eastAsia="仿宋" w:cs="仿宋"/>
          <w:color w:val="auto"/>
          <w:sz w:val="28"/>
          <w:szCs w:val="28"/>
        </w:rPr>
        <w:t>解释资料清单所列资料定义、范围。</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3.实施阶段（</w:t>
      </w:r>
      <w:r>
        <w:rPr>
          <w:rFonts w:hint="eastAsia" w:ascii="仿宋" w:hAnsi="仿宋" w:eastAsia="仿宋" w:cs="仿宋"/>
          <w:color w:val="auto"/>
          <w:sz w:val="28"/>
          <w:szCs w:val="28"/>
          <w:lang w:eastAsia="zh-CN"/>
        </w:rPr>
        <w:t>2023年</w:t>
      </w:r>
      <w:r>
        <w:rPr>
          <w:rFonts w:hint="eastAsia" w:ascii="仿宋" w:hAnsi="仿宋" w:eastAsia="仿宋" w:cs="仿宋"/>
          <w:color w:val="auto"/>
          <w:sz w:val="28"/>
          <w:szCs w:val="28"/>
          <w:lang w:val="en-US" w:eastAsia="zh-CN"/>
        </w:rPr>
        <w:t>5月下旬</w:t>
      </w:r>
      <w:r>
        <w:rPr>
          <w:rFonts w:hint="eastAsia" w:ascii="仿宋" w:hAnsi="仿宋" w:eastAsia="仿宋" w:cs="仿宋"/>
          <w:color w:val="auto"/>
          <w:sz w:val="28"/>
          <w:szCs w:val="28"/>
        </w:rPr>
        <w:t>至</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上旬</w:t>
      </w:r>
      <w:r>
        <w:rPr>
          <w:rFonts w:hint="eastAsia" w:ascii="仿宋" w:hAnsi="仿宋" w:eastAsia="仿宋" w:cs="仿宋"/>
          <w:color w:val="auto"/>
          <w:sz w:val="28"/>
          <w:szCs w:val="28"/>
        </w:rPr>
        <w:t>）：根据前期收集回来的基础资料进行分析后，部署开展二次现场调研。由评价专家带队走访项目</w:t>
      </w:r>
      <w:r>
        <w:rPr>
          <w:rFonts w:hint="eastAsia" w:ascii="仿宋" w:hAnsi="仿宋" w:eastAsia="仿宋" w:cs="仿宋"/>
          <w:color w:val="auto"/>
          <w:sz w:val="28"/>
          <w:szCs w:val="28"/>
          <w:lang w:val="en-US" w:eastAsia="zh-CN"/>
        </w:rPr>
        <w:t>实施单位</w:t>
      </w:r>
      <w:r>
        <w:rPr>
          <w:rFonts w:hint="eastAsia" w:ascii="仿宋" w:hAnsi="仿宋" w:eastAsia="仿宋" w:cs="仿宋"/>
          <w:color w:val="auto"/>
          <w:sz w:val="28"/>
          <w:szCs w:val="28"/>
        </w:rPr>
        <w:t>，现场座谈交流，进一步收集项目资料，对项目相关文件进行解读，制定评价指标体系；勘验检查项目现场，听取实施单位情况汇报，查阅核实有关数据资料，开展问卷调查，实施汇总分析。</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4.报告撰写阶段（</w:t>
      </w:r>
      <w:r>
        <w:rPr>
          <w:rFonts w:hint="eastAsia" w:ascii="仿宋" w:hAnsi="仿宋" w:eastAsia="仿宋" w:cs="仿宋"/>
          <w:color w:val="auto"/>
          <w:sz w:val="28"/>
          <w:szCs w:val="28"/>
          <w:lang w:eastAsia="zh-CN"/>
        </w:rPr>
        <w:t>2023年</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中下</w:t>
      </w:r>
      <w:r>
        <w:rPr>
          <w:rFonts w:hint="eastAsia" w:ascii="仿宋" w:hAnsi="仿宋" w:eastAsia="仿宋" w:cs="仿宋"/>
          <w:color w:val="auto"/>
          <w:sz w:val="28"/>
          <w:szCs w:val="28"/>
        </w:rPr>
        <w:t>旬）：经过网络查阅、现场咨询、检查核实等步骤，在收集、整理、汇总、核实、分析相关资料和数据的基础上，对项目管理、政策制度执行以及资金的使用、产生的效果进行综合评价，形成项目绩效评价报告。</w:t>
      </w:r>
    </w:p>
    <w:p>
      <w:pPr>
        <w:keepNext w:val="0"/>
        <w:pageBreakBefore w:val="0"/>
        <w:widowControl w:val="0"/>
        <w:kinsoku/>
        <w:wordWrap/>
        <w:overflowPunct/>
        <w:topLinePunct w:val="0"/>
        <w:autoSpaceDE/>
        <w:autoSpaceDN/>
        <w:bidi w:val="0"/>
        <w:adjustRightInd/>
        <w:snapToGrid/>
        <w:ind w:left="0" w:leftChars="0" w:firstLine="562" w:firstLineChars="200"/>
        <w:textAlignment w:val="auto"/>
        <w:outlineLvl w:val="9"/>
        <w:rPr>
          <w:rFonts w:hint="eastAsia" w:ascii="仿宋" w:hAnsi="仿宋" w:eastAsia="仿宋" w:cs="仿宋"/>
          <w:b/>
          <w:bCs/>
          <w:sz w:val="28"/>
          <w:szCs w:val="36"/>
        </w:rPr>
      </w:pPr>
    </w:p>
    <w:p>
      <w:pPr>
        <w:keepNext w:val="0"/>
        <w:pageBreakBefore w:val="0"/>
        <w:widowControl w:val="0"/>
        <w:kinsoku/>
        <w:wordWrap/>
        <w:overflowPunct/>
        <w:topLinePunct w:val="0"/>
        <w:autoSpaceDE/>
        <w:autoSpaceDN/>
        <w:bidi w:val="0"/>
        <w:adjustRightInd/>
        <w:snapToGrid/>
        <w:ind w:left="0" w:leftChars="0" w:firstLine="562" w:firstLineChars="200"/>
        <w:textAlignment w:val="auto"/>
        <w:outlineLvl w:val="0"/>
        <w:rPr>
          <w:rFonts w:hint="eastAsia" w:ascii="黑体" w:hAnsi="黑体" w:eastAsia="黑体" w:cs="黑体"/>
          <w:b/>
          <w:bCs/>
          <w:sz w:val="28"/>
          <w:szCs w:val="36"/>
        </w:rPr>
      </w:pPr>
      <w:bookmarkStart w:id="83" w:name="_Toc3974"/>
      <w:bookmarkStart w:id="84" w:name="_Toc20819"/>
      <w:r>
        <w:rPr>
          <w:rFonts w:hint="eastAsia" w:ascii="黑体" w:hAnsi="黑体" w:eastAsia="黑体" w:cs="黑体"/>
          <w:b/>
          <w:bCs/>
          <w:sz w:val="28"/>
          <w:szCs w:val="36"/>
        </w:rPr>
        <w:t>三、综合评价情况及评价结论</w:t>
      </w:r>
      <w:bookmarkEnd w:id="83"/>
      <w:bookmarkEnd w:id="84"/>
      <w:r>
        <w:rPr>
          <w:rFonts w:hint="eastAsia" w:ascii="黑体" w:hAnsi="黑体" w:eastAsia="黑体" w:cs="黑体"/>
          <w:b/>
          <w:bCs/>
          <w:sz w:val="28"/>
          <w:szCs w:val="36"/>
        </w:rPr>
        <w:tab/>
      </w:r>
    </w:p>
    <w:p>
      <w:pPr>
        <w:keepNext w:val="0"/>
        <w:keepLines w:val="0"/>
        <w:pageBreakBefore w:val="0"/>
        <w:widowControl w:val="0"/>
        <w:kinsoku/>
        <w:wordWrap/>
        <w:overflowPunct/>
        <w:topLinePunct w:val="0"/>
        <w:autoSpaceDE/>
        <w:autoSpaceDN/>
        <w:bidi w:val="0"/>
        <w:adjustRightInd/>
        <w:snapToGrid/>
        <w:spacing w:line="240" w:lineRule="auto"/>
        <w:ind w:left="0" w:leftChars="0" w:firstLine="560" w:firstLineChars="200"/>
        <w:textAlignment w:val="auto"/>
        <w:rPr>
          <w:rFonts w:hint="eastAsia" w:ascii="仿宋" w:hAnsi="仿宋" w:eastAsia="仿宋" w:cs="仿宋"/>
          <w:color w:val="auto"/>
          <w:spacing w:val="0"/>
          <w:w w:val="100"/>
          <w:sz w:val="28"/>
          <w:szCs w:val="28"/>
          <w:highlight w:val="none"/>
          <w:lang w:val="en-US" w:eastAsia="zh-CN"/>
        </w:rPr>
      </w:pPr>
      <w:bookmarkStart w:id="85" w:name="OLE_LINK143"/>
      <w:bookmarkStart w:id="86" w:name="OLE_LINK144"/>
      <w:r>
        <w:rPr>
          <w:rFonts w:hint="eastAsia" w:ascii="仿宋" w:hAnsi="仿宋" w:eastAsia="仿宋" w:cs="仿宋"/>
          <w:color w:val="auto"/>
          <w:spacing w:val="0"/>
          <w:w w:val="100"/>
          <w:sz w:val="28"/>
          <w:szCs w:val="28"/>
          <w:highlight w:val="none"/>
        </w:rPr>
        <w:t>评价小组</w:t>
      </w:r>
      <w:r>
        <w:rPr>
          <w:rFonts w:hint="eastAsia" w:ascii="仿宋" w:hAnsi="仿宋" w:eastAsia="仿宋" w:cs="仿宋"/>
          <w:color w:val="auto"/>
          <w:spacing w:val="0"/>
          <w:w w:val="100"/>
          <w:sz w:val="28"/>
          <w:szCs w:val="28"/>
          <w:highlight w:val="none"/>
          <w:lang w:val="en-US" w:eastAsia="zh-CN"/>
        </w:rPr>
        <w:t>根据</w:t>
      </w:r>
      <w:r>
        <w:rPr>
          <w:rFonts w:hint="eastAsia" w:ascii="仿宋" w:hAnsi="仿宋" w:eastAsia="仿宋" w:cs="仿宋"/>
          <w:color w:val="auto"/>
          <w:spacing w:val="0"/>
          <w:w w:val="100"/>
          <w:sz w:val="28"/>
          <w:szCs w:val="28"/>
          <w:highlight w:val="none"/>
        </w:rPr>
        <w:t>评价指标体系及评分标准，通过数据采集</w:t>
      </w:r>
      <w:r>
        <w:rPr>
          <w:rFonts w:hint="eastAsia" w:ascii="仿宋" w:hAnsi="仿宋" w:eastAsia="仿宋" w:cs="仿宋"/>
          <w:color w:val="auto"/>
          <w:spacing w:val="0"/>
          <w:w w:val="100"/>
          <w:sz w:val="28"/>
          <w:szCs w:val="28"/>
          <w:highlight w:val="none"/>
          <w:lang w:eastAsia="zh-CN"/>
        </w:rPr>
        <w:t>、</w:t>
      </w:r>
      <w:r>
        <w:rPr>
          <w:rFonts w:hint="eastAsia" w:ascii="仿宋" w:hAnsi="仿宋" w:eastAsia="仿宋" w:cs="仿宋"/>
          <w:color w:val="auto"/>
          <w:spacing w:val="0"/>
          <w:w w:val="100"/>
          <w:sz w:val="28"/>
          <w:szCs w:val="28"/>
          <w:highlight w:val="none"/>
        </w:rPr>
        <w:t>实地调研</w:t>
      </w:r>
      <w:r>
        <w:rPr>
          <w:rFonts w:hint="eastAsia" w:ascii="仿宋" w:hAnsi="仿宋" w:eastAsia="仿宋" w:cs="仿宋"/>
          <w:color w:val="auto"/>
          <w:spacing w:val="0"/>
          <w:w w:val="100"/>
          <w:sz w:val="28"/>
          <w:szCs w:val="28"/>
          <w:highlight w:val="none"/>
          <w:lang w:eastAsia="zh-CN"/>
        </w:rPr>
        <w:t>、</w:t>
      </w:r>
      <w:r>
        <w:rPr>
          <w:rFonts w:hint="eastAsia" w:ascii="仿宋" w:hAnsi="仿宋" w:eastAsia="仿宋" w:cs="仿宋"/>
          <w:color w:val="auto"/>
          <w:spacing w:val="0"/>
          <w:w w:val="100"/>
          <w:sz w:val="28"/>
          <w:szCs w:val="28"/>
          <w:highlight w:val="none"/>
        </w:rPr>
        <w:t>访谈等形式</w:t>
      </w:r>
      <w:r>
        <w:rPr>
          <w:rFonts w:hint="eastAsia" w:ascii="仿宋" w:hAnsi="仿宋" w:eastAsia="仿宋" w:cs="仿宋"/>
          <w:color w:val="auto"/>
          <w:spacing w:val="0"/>
          <w:w w:val="100"/>
          <w:sz w:val="28"/>
          <w:szCs w:val="28"/>
          <w:highlight w:val="none"/>
          <w:lang w:eastAsia="zh-CN"/>
        </w:rPr>
        <w:t>，</w:t>
      </w:r>
      <w:r>
        <w:rPr>
          <w:rFonts w:hint="eastAsia" w:ascii="仿宋" w:hAnsi="仿宋" w:eastAsia="仿宋" w:cs="仿宋"/>
          <w:color w:val="auto"/>
          <w:spacing w:val="0"/>
          <w:w w:val="100"/>
          <w:sz w:val="28"/>
          <w:szCs w:val="28"/>
          <w:highlight w:val="none"/>
          <w:lang w:val="en-US" w:eastAsia="zh-CN"/>
        </w:rPr>
        <w:t>从决策管理、项目购买与监管、组织管理及项目绩效四个方面着手</w:t>
      </w:r>
      <w:r>
        <w:rPr>
          <w:rFonts w:hint="eastAsia" w:ascii="仿宋" w:hAnsi="仿宋" w:eastAsia="仿宋" w:cs="仿宋"/>
          <w:color w:val="auto"/>
          <w:spacing w:val="0"/>
          <w:w w:val="100"/>
          <w:sz w:val="28"/>
          <w:szCs w:val="28"/>
          <w:highlight w:val="none"/>
        </w:rPr>
        <w:t>，对</w:t>
      </w:r>
      <w:r>
        <w:rPr>
          <w:rFonts w:hint="eastAsia" w:ascii="仿宋" w:hAnsi="仿宋" w:eastAsia="仿宋" w:cs="仿宋"/>
          <w:color w:val="auto"/>
          <w:spacing w:val="0"/>
          <w:w w:val="100"/>
          <w:sz w:val="28"/>
          <w:szCs w:val="28"/>
          <w:highlight w:val="none"/>
          <w:lang w:val="en-US" w:eastAsia="zh-CN"/>
        </w:rPr>
        <w:t>2022年度石狮市全市控制性规划编制资金</w:t>
      </w:r>
      <w:r>
        <w:rPr>
          <w:rFonts w:hint="eastAsia" w:ascii="仿宋" w:hAnsi="仿宋" w:eastAsia="仿宋" w:cs="仿宋"/>
          <w:color w:val="auto"/>
          <w:spacing w:val="0"/>
          <w:w w:val="100"/>
          <w:sz w:val="28"/>
          <w:szCs w:val="28"/>
          <w:highlight w:val="none"/>
        </w:rPr>
        <w:t>进行客观评价</w:t>
      </w:r>
      <w:r>
        <w:rPr>
          <w:rFonts w:hint="eastAsia" w:ascii="仿宋" w:hAnsi="仿宋" w:eastAsia="仿宋" w:cs="仿宋"/>
          <w:color w:val="auto"/>
          <w:spacing w:val="0"/>
          <w:w w:val="100"/>
          <w:sz w:val="28"/>
          <w:szCs w:val="28"/>
          <w:highlight w:val="none"/>
          <w:lang w:eastAsia="zh-CN"/>
        </w:rPr>
        <w:t>。</w:t>
      </w:r>
      <w:r>
        <w:rPr>
          <w:rFonts w:hint="eastAsia" w:ascii="仿宋" w:hAnsi="仿宋" w:eastAsia="仿宋" w:cs="仿宋"/>
          <w:color w:val="auto"/>
          <w:spacing w:val="0"/>
          <w:w w:val="100"/>
          <w:sz w:val="28"/>
          <w:szCs w:val="28"/>
          <w:highlight w:val="none"/>
          <w:lang w:val="en-US" w:eastAsia="zh-CN"/>
        </w:rPr>
        <w:t>其中，石狮永宁滨海（新沙堤—西岑）片区城市设计方案国际征集项目的奖金总额800万元，金额较高，故按照《中华人民共和国政府采购法》对采购过程及履约情况进行详细评价。其他子项目因总金额未超过100万的，按照《泉州市财政局关于采用非招标采购方式提高政府采购效率的通知》（泉招采〔2022〕129号）规定，简化采购流程。</w:t>
      </w:r>
      <w:r>
        <w:rPr>
          <w:rFonts w:hint="eastAsia" w:ascii="仿宋" w:hAnsi="仿宋" w:eastAsia="仿宋" w:cs="仿宋"/>
          <w:color w:val="auto"/>
          <w:spacing w:val="0"/>
          <w:w w:val="100"/>
          <w:sz w:val="28"/>
          <w:szCs w:val="28"/>
          <w:highlight w:val="none"/>
        </w:rPr>
        <w:t>最终评分结果：总得分</w:t>
      </w:r>
      <w:r>
        <w:rPr>
          <w:rFonts w:hint="eastAsia" w:ascii="仿宋" w:hAnsi="仿宋" w:eastAsia="仿宋" w:cs="仿宋"/>
          <w:color w:val="auto"/>
          <w:spacing w:val="0"/>
          <w:w w:val="100"/>
          <w:sz w:val="28"/>
          <w:szCs w:val="28"/>
          <w:highlight w:val="none"/>
          <w:lang w:val="en-US" w:eastAsia="zh-CN"/>
        </w:rPr>
        <w:t>为79.83分，评价等级为良。</w:t>
      </w:r>
      <w:bookmarkEnd w:id="85"/>
      <w:bookmarkEnd w:id="86"/>
      <w:r>
        <w:rPr>
          <w:rFonts w:hint="eastAsia" w:ascii="仿宋" w:hAnsi="仿宋" w:eastAsia="仿宋" w:cs="仿宋"/>
          <w:color w:val="auto"/>
          <w:spacing w:val="0"/>
          <w:w w:val="100"/>
          <w:sz w:val="28"/>
          <w:szCs w:val="28"/>
          <w:highlight w:val="none"/>
          <w:lang w:val="en-US" w:eastAsia="zh-CN"/>
        </w:rPr>
        <w:t>具体指标得分情况如下表：</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仿宋" w:hAnsi="仿宋" w:eastAsia="仿宋" w:cs="仿宋"/>
          <w:b/>
          <w:bCs/>
          <w:color w:val="auto"/>
          <w:spacing w:val="0"/>
          <w:w w:val="100"/>
          <w:sz w:val="28"/>
          <w:szCs w:val="28"/>
          <w:highlight w:val="none"/>
          <w:lang w:val="en-US" w:eastAsia="zh-CN"/>
        </w:rPr>
      </w:pPr>
      <w:r>
        <w:rPr>
          <w:rFonts w:hint="eastAsia" w:ascii="仿宋" w:hAnsi="仿宋" w:eastAsia="仿宋" w:cs="仿宋"/>
          <w:b/>
          <w:bCs/>
          <w:color w:val="auto"/>
          <w:spacing w:val="0"/>
          <w:w w:val="100"/>
          <w:sz w:val="28"/>
          <w:szCs w:val="28"/>
          <w:highlight w:val="none"/>
          <w:lang w:val="en-US" w:eastAsia="zh-CN"/>
        </w:rPr>
        <w:t>表5：2022年度石狮市全市控制性规划编制资金绩效评价得分汇总表</w:t>
      </w:r>
    </w:p>
    <w:tbl>
      <w:tblPr>
        <w:tblStyle w:val="11"/>
        <w:tblW w:w="67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31"/>
        <w:gridCol w:w="1419"/>
        <w:gridCol w:w="1419"/>
        <w:gridCol w:w="1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1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一级指标</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分值</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得分</w:t>
            </w:r>
          </w:p>
        </w:tc>
        <w:tc>
          <w:tcPr>
            <w:tcW w:w="1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决策管理</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13.00 </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13.00 </w:t>
            </w:r>
          </w:p>
        </w:tc>
        <w:tc>
          <w:tcPr>
            <w:tcW w:w="1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2" w:hRule="atLeast"/>
          <w:jc w:val="center"/>
        </w:trPr>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项目购买与监管</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35.00 </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26.20 </w:t>
            </w:r>
          </w:p>
        </w:tc>
        <w:tc>
          <w:tcPr>
            <w:tcW w:w="1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组织管理</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6.00 </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5.00 </w:t>
            </w:r>
          </w:p>
        </w:tc>
        <w:tc>
          <w:tcPr>
            <w:tcW w:w="1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83.33%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项目产出</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29.00 </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 xml:space="preserve">19.46 </w:t>
            </w:r>
          </w:p>
        </w:tc>
        <w:tc>
          <w:tcPr>
            <w:tcW w:w="1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67.11%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项目效益</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17.00 </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16.17 </w:t>
            </w:r>
          </w:p>
        </w:tc>
        <w:tc>
          <w:tcPr>
            <w:tcW w:w="1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95.10%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jc w:val="center"/>
        </w:trPr>
        <w:tc>
          <w:tcPr>
            <w:tcW w:w="1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合计</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100</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 xml:space="preserve">79.83 </w:t>
            </w:r>
          </w:p>
        </w:tc>
        <w:tc>
          <w:tcPr>
            <w:tcW w:w="1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79.83%</w:t>
            </w:r>
          </w:p>
        </w:tc>
      </w:tr>
    </w:tbl>
    <w:p>
      <w:pPr>
        <w:pStyle w:val="2"/>
        <w:rPr>
          <w:rFonts w:hint="eastAsia"/>
        </w:rPr>
      </w:pP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0"/>
        <w:rPr>
          <w:rFonts w:hint="eastAsia" w:ascii="黑体" w:hAnsi="黑体" w:eastAsia="黑体" w:cs="黑体"/>
          <w:b/>
          <w:bCs/>
          <w:sz w:val="28"/>
          <w:szCs w:val="28"/>
        </w:rPr>
      </w:pPr>
      <w:bookmarkStart w:id="87" w:name="_Toc21778"/>
      <w:bookmarkStart w:id="88" w:name="_Toc28651"/>
      <w:r>
        <w:rPr>
          <w:rFonts w:hint="eastAsia" w:ascii="黑体" w:hAnsi="黑体" w:eastAsia="黑体" w:cs="黑体"/>
          <w:b/>
          <w:bCs/>
          <w:sz w:val="28"/>
          <w:szCs w:val="28"/>
        </w:rPr>
        <w:t>四、绩效评价指标分析</w:t>
      </w:r>
      <w:bookmarkEnd w:id="87"/>
      <w:bookmarkEnd w:id="88"/>
      <w:r>
        <w:rPr>
          <w:rFonts w:hint="eastAsia" w:ascii="黑体" w:hAnsi="黑体" w:eastAsia="黑体" w:cs="黑体"/>
          <w:b/>
          <w:bCs/>
          <w:sz w:val="28"/>
          <w:szCs w:val="28"/>
        </w:rPr>
        <w:tab/>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1"/>
        <w:rPr>
          <w:rFonts w:hint="eastAsia" w:ascii="楷体" w:hAnsi="楷体" w:eastAsia="楷体" w:cs="楷体"/>
          <w:b/>
          <w:bCs/>
          <w:sz w:val="28"/>
          <w:szCs w:val="28"/>
        </w:rPr>
      </w:pPr>
      <w:bookmarkStart w:id="89" w:name="_Toc23486"/>
      <w:bookmarkStart w:id="90" w:name="_Toc27113"/>
      <w:r>
        <w:rPr>
          <w:rFonts w:hint="eastAsia" w:ascii="楷体" w:hAnsi="楷体" w:eastAsia="楷体" w:cs="楷体"/>
          <w:b/>
          <w:bCs/>
          <w:sz w:val="28"/>
          <w:szCs w:val="28"/>
        </w:rPr>
        <w:t>（一）决策管理（</w:t>
      </w:r>
      <w:r>
        <w:rPr>
          <w:rFonts w:hint="eastAsia" w:ascii="楷体" w:hAnsi="楷体" w:eastAsia="楷体" w:cs="楷体"/>
          <w:b/>
          <w:bCs/>
          <w:sz w:val="28"/>
          <w:szCs w:val="28"/>
          <w:lang w:val="en-US" w:eastAsia="zh-CN"/>
        </w:rPr>
        <w:t>总分</w:t>
      </w:r>
      <w:r>
        <w:rPr>
          <w:rFonts w:hint="eastAsia" w:ascii="楷体" w:hAnsi="楷体" w:eastAsia="楷体" w:cs="楷体"/>
          <w:b/>
          <w:bCs/>
          <w:sz w:val="28"/>
          <w:szCs w:val="28"/>
        </w:rPr>
        <w:t>1</w:t>
      </w:r>
      <w:r>
        <w:rPr>
          <w:rFonts w:hint="eastAsia" w:ascii="楷体" w:hAnsi="楷体" w:eastAsia="楷体" w:cs="楷体"/>
          <w:b/>
          <w:bCs/>
          <w:sz w:val="28"/>
          <w:szCs w:val="28"/>
          <w:lang w:val="en-US" w:eastAsia="zh-CN"/>
        </w:rPr>
        <w:t>3</w:t>
      </w:r>
      <w:r>
        <w:rPr>
          <w:rFonts w:hint="eastAsia" w:ascii="楷体" w:hAnsi="楷体" w:eastAsia="楷体" w:cs="楷体"/>
          <w:b/>
          <w:bCs/>
          <w:sz w:val="28"/>
          <w:szCs w:val="28"/>
        </w:rPr>
        <w:t>分</w:t>
      </w:r>
      <w:r>
        <w:rPr>
          <w:rFonts w:hint="eastAsia" w:ascii="楷体" w:hAnsi="楷体" w:eastAsia="楷体" w:cs="楷体"/>
          <w:b/>
          <w:bCs/>
          <w:sz w:val="28"/>
          <w:szCs w:val="28"/>
          <w:lang w:eastAsia="zh-CN"/>
        </w:rPr>
        <w:t>，</w:t>
      </w:r>
      <w:r>
        <w:rPr>
          <w:rFonts w:hint="eastAsia" w:ascii="楷体" w:hAnsi="楷体" w:eastAsia="楷体" w:cs="楷体"/>
          <w:b/>
          <w:bCs/>
          <w:sz w:val="28"/>
          <w:szCs w:val="28"/>
          <w:lang w:val="en-US" w:eastAsia="zh-CN"/>
        </w:rPr>
        <w:t>得13分</w:t>
      </w:r>
      <w:r>
        <w:rPr>
          <w:rFonts w:hint="eastAsia" w:ascii="楷体" w:hAnsi="楷体" w:eastAsia="楷体" w:cs="楷体"/>
          <w:b/>
          <w:bCs/>
          <w:sz w:val="28"/>
          <w:szCs w:val="28"/>
        </w:rPr>
        <w:t>）</w:t>
      </w:r>
      <w:bookmarkEnd w:id="89"/>
      <w:bookmarkEnd w:id="90"/>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2"/>
        <w:rPr>
          <w:rFonts w:hint="eastAsia" w:ascii="仿宋" w:hAnsi="仿宋" w:eastAsia="仿宋" w:cs="仿宋"/>
          <w:b/>
          <w:bCs/>
          <w:sz w:val="28"/>
          <w:szCs w:val="28"/>
        </w:rPr>
      </w:pPr>
      <w:bookmarkStart w:id="91" w:name="_Toc31668"/>
      <w:bookmarkStart w:id="92" w:name="_Toc8283"/>
      <w:r>
        <w:rPr>
          <w:rFonts w:hint="eastAsia" w:ascii="仿宋" w:hAnsi="仿宋" w:eastAsia="仿宋" w:cs="仿宋"/>
          <w:b/>
          <w:bCs/>
          <w:sz w:val="28"/>
          <w:szCs w:val="28"/>
        </w:rPr>
        <w:t>1、项目决策（</w:t>
      </w:r>
      <w:r>
        <w:rPr>
          <w:rFonts w:hint="eastAsia" w:ascii="仿宋" w:hAnsi="仿宋" w:eastAsia="仿宋" w:cs="仿宋"/>
          <w:b/>
          <w:bCs/>
          <w:sz w:val="28"/>
          <w:szCs w:val="28"/>
          <w:lang w:val="en-US" w:eastAsia="zh-CN"/>
        </w:rPr>
        <w:t>10</w:t>
      </w:r>
      <w:r>
        <w:rPr>
          <w:rFonts w:hint="eastAsia" w:ascii="仿宋" w:hAnsi="仿宋" w:eastAsia="仿宋" w:cs="仿宋"/>
          <w:b/>
          <w:bCs/>
          <w:sz w:val="28"/>
          <w:szCs w:val="28"/>
        </w:rPr>
        <w:t>分）</w:t>
      </w:r>
      <w:bookmarkEnd w:id="91"/>
      <w:bookmarkEnd w:id="92"/>
      <w:r>
        <w:rPr>
          <w:rFonts w:hint="eastAsia" w:ascii="仿宋" w:hAnsi="仿宋" w:eastAsia="仿宋" w:cs="仿宋"/>
          <w:b/>
          <w:bCs/>
          <w:sz w:val="28"/>
          <w:szCs w:val="28"/>
        </w:rPr>
        <w:tab/>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）决策依据充分性</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根据《中华人民共和国城乡规划法》，控制性详细规划属于城乡规划的一种，进行城乡规划管理，可协调城乡空间布局，改善人居环境，促进城乡经济社会全面协调可持续发展；故购买控制性规划编制服务符合中央、省、市决策部署，符合当前经济社会发展需求。且编制控制性详细规划属于自然资源局职责范围的服务事项，属于福建省政府购买服务指导性目录中的咨询服务。该指标</w:t>
      </w:r>
      <w:r>
        <w:rPr>
          <w:rFonts w:hint="eastAsia" w:ascii="仿宋" w:hAnsi="仿宋" w:eastAsia="仿宋" w:cs="仿宋"/>
          <w:sz w:val="28"/>
          <w:szCs w:val="28"/>
          <w:lang w:val="en-US" w:eastAsia="zh-CN"/>
        </w:rPr>
        <w:t>满分4分，得4分</w:t>
      </w:r>
      <w:r>
        <w:rPr>
          <w:rFonts w:hint="eastAsia" w:ascii="仿宋" w:hAnsi="仿宋" w:eastAsia="仿宋" w:cs="仿宋"/>
          <w:sz w:val="28"/>
          <w:szCs w:val="28"/>
          <w:lang w:eastAsia="zh-CN"/>
        </w:rPr>
        <w:t>。</w:t>
      </w:r>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）决策程序规范性</w:t>
      </w:r>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各规划方案通过向政府请示、获得政府批示后设立，决策程序较为规范，</w:t>
      </w:r>
      <w:r>
        <w:rPr>
          <w:rFonts w:hint="eastAsia" w:ascii="仿宋" w:hAnsi="仿宋" w:eastAsia="仿宋" w:cs="仿宋"/>
          <w:sz w:val="28"/>
          <w:szCs w:val="28"/>
          <w:lang w:val="en-US" w:eastAsia="zh-CN"/>
        </w:rPr>
        <w:t>得4</w:t>
      </w:r>
      <w:r>
        <w:rPr>
          <w:rFonts w:hint="eastAsia" w:ascii="仿宋" w:hAnsi="仿宋" w:eastAsia="仿宋" w:cs="仿宋"/>
          <w:sz w:val="28"/>
          <w:szCs w:val="28"/>
          <w:lang w:eastAsia="zh-CN"/>
        </w:rPr>
        <w:t>分。</w:t>
      </w:r>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）购买的必要性</w:t>
      </w:r>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控制性详细规划是城市规划管理的依据和城市建设的引导，是城市政策的载体，编制控制性详细规划具有现实需求，服务对象和受益对象为石狮市广大市民，该指标</w:t>
      </w:r>
      <w:r>
        <w:rPr>
          <w:rFonts w:hint="eastAsia" w:ascii="仿宋" w:hAnsi="仿宋" w:eastAsia="仿宋" w:cs="仿宋"/>
          <w:sz w:val="28"/>
          <w:szCs w:val="28"/>
          <w:lang w:val="en-US" w:eastAsia="zh-CN"/>
        </w:rPr>
        <w:t>满分3分，</w:t>
      </w:r>
      <w:r>
        <w:rPr>
          <w:rFonts w:hint="eastAsia" w:ascii="仿宋" w:hAnsi="仿宋" w:eastAsia="仿宋" w:cs="仿宋"/>
          <w:sz w:val="28"/>
          <w:szCs w:val="28"/>
          <w:lang w:eastAsia="zh-CN"/>
        </w:rPr>
        <w:t>得</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分。</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outlineLvl w:val="2"/>
        <w:rPr>
          <w:rFonts w:hint="eastAsia" w:ascii="仿宋" w:hAnsi="仿宋" w:eastAsia="仿宋" w:cs="仿宋"/>
          <w:sz w:val="28"/>
          <w:szCs w:val="28"/>
        </w:rPr>
      </w:pPr>
      <w:bookmarkStart w:id="93" w:name="_Toc24214"/>
      <w:bookmarkStart w:id="94" w:name="_Toc4656"/>
      <w:r>
        <w:rPr>
          <w:rFonts w:hint="eastAsia" w:ascii="仿宋" w:hAnsi="仿宋" w:eastAsia="仿宋" w:cs="仿宋"/>
          <w:sz w:val="28"/>
          <w:szCs w:val="28"/>
        </w:rPr>
        <w:t>2、绩效目标（</w:t>
      </w:r>
      <w:r>
        <w:rPr>
          <w:rFonts w:hint="eastAsia" w:ascii="仿宋" w:hAnsi="仿宋" w:eastAsia="仿宋" w:cs="仿宋"/>
          <w:sz w:val="28"/>
          <w:szCs w:val="28"/>
          <w:lang w:val="en-US" w:eastAsia="zh-CN"/>
        </w:rPr>
        <w:t>2</w:t>
      </w:r>
      <w:r>
        <w:rPr>
          <w:rFonts w:hint="eastAsia" w:ascii="仿宋" w:hAnsi="仿宋" w:eastAsia="仿宋" w:cs="仿宋"/>
          <w:sz w:val="28"/>
          <w:szCs w:val="28"/>
        </w:rPr>
        <w:t>分）</w:t>
      </w:r>
      <w:bookmarkEnd w:id="93"/>
      <w:bookmarkEnd w:id="94"/>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绩效目标科学性</w:t>
      </w:r>
      <w:r>
        <w:rPr>
          <w:rFonts w:hint="eastAsia" w:ascii="仿宋" w:hAnsi="仿宋" w:eastAsia="仿宋" w:cs="仿宋"/>
          <w:sz w:val="28"/>
          <w:szCs w:val="28"/>
          <w:lang w:eastAsia="zh-CN"/>
        </w:rPr>
        <w:t>：石狮市自然资源局针对本项目制定了明确合理的绩效目标，从规划编制的数量、验收质量到成果转换率等，较为完整地反映了本项目的绩效情况，</w:t>
      </w:r>
      <w:r>
        <w:rPr>
          <w:rFonts w:hint="eastAsia" w:ascii="仿宋" w:hAnsi="仿宋" w:eastAsia="仿宋" w:cs="仿宋"/>
          <w:sz w:val="28"/>
          <w:szCs w:val="28"/>
          <w:lang w:val="en-US" w:eastAsia="zh-CN"/>
        </w:rPr>
        <w:t>满分2分，</w:t>
      </w:r>
      <w:r>
        <w:rPr>
          <w:rFonts w:hint="eastAsia" w:ascii="仿宋" w:hAnsi="仿宋" w:eastAsia="仿宋" w:cs="仿宋"/>
          <w:sz w:val="28"/>
          <w:szCs w:val="28"/>
          <w:lang w:eastAsia="zh-CN"/>
        </w:rPr>
        <w:t>得</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分。</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1"/>
        <w:rPr>
          <w:rFonts w:hint="eastAsia" w:ascii="楷体" w:hAnsi="楷体" w:eastAsia="楷体" w:cs="楷体"/>
          <w:b/>
          <w:bCs/>
          <w:sz w:val="28"/>
          <w:szCs w:val="28"/>
        </w:rPr>
      </w:pPr>
      <w:bookmarkStart w:id="95" w:name="_Toc32227"/>
      <w:bookmarkStart w:id="96" w:name="_Toc18832"/>
      <w:r>
        <w:rPr>
          <w:rFonts w:hint="eastAsia" w:ascii="楷体" w:hAnsi="楷体" w:eastAsia="楷体" w:cs="楷体"/>
          <w:b/>
          <w:bCs/>
          <w:sz w:val="28"/>
          <w:szCs w:val="28"/>
        </w:rPr>
        <w:t>（二）项目购买与监管（总分</w:t>
      </w:r>
      <w:r>
        <w:rPr>
          <w:rFonts w:hint="eastAsia" w:ascii="楷体" w:hAnsi="楷体" w:eastAsia="楷体" w:cs="楷体"/>
          <w:b/>
          <w:bCs/>
          <w:sz w:val="28"/>
          <w:szCs w:val="28"/>
          <w:lang w:val="en-US" w:eastAsia="zh-CN"/>
        </w:rPr>
        <w:t>35</w:t>
      </w:r>
      <w:r>
        <w:rPr>
          <w:rFonts w:hint="eastAsia" w:ascii="楷体" w:hAnsi="楷体" w:eastAsia="楷体" w:cs="楷体"/>
          <w:b/>
          <w:bCs/>
          <w:sz w:val="28"/>
          <w:szCs w:val="28"/>
        </w:rPr>
        <w:t>分，计</w:t>
      </w:r>
      <w:r>
        <w:rPr>
          <w:rFonts w:hint="eastAsia" w:ascii="楷体" w:hAnsi="楷体" w:eastAsia="楷体" w:cs="楷体"/>
          <w:b/>
          <w:bCs/>
          <w:sz w:val="28"/>
          <w:szCs w:val="28"/>
          <w:lang w:val="en-US" w:eastAsia="zh-CN"/>
        </w:rPr>
        <w:t>26.2</w:t>
      </w:r>
      <w:r>
        <w:rPr>
          <w:rFonts w:hint="eastAsia" w:ascii="楷体" w:hAnsi="楷体" w:eastAsia="楷体" w:cs="楷体"/>
          <w:b/>
          <w:bCs/>
          <w:sz w:val="28"/>
          <w:szCs w:val="28"/>
        </w:rPr>
        <w:t>分）</w:t>
      </w:r>
      <w:bookmarkEnd w:id="95"/>
      <w:bookmarkEnd w:id="96"/>
      <w:r>
        <w:rPr>
          <w:rFonts w:hint="eastAsia" w:ascii="楷体" w:hAnsi="楷体" w:eastAsia="楷体" w:cs="楷体"/>
          <w:b/>
          <w:bCs/>
          <w:sz w:val="28"/>
          <w:szCs w:val="28"/>
        </w:rPr>
        <w:tab/>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2"/>
        <w:rPr>
          <w:rFonts w:hint="eastAsia" w:ascii="仿宋" w:hAnsi="仿宋" w:eastAsia="仿宋" w:cs="仿宋"/>
          <w:b/>
          <w:bCs/>
          <w:sz w:val="28"/>
          <w:szCs w:val="28"/>
        </w:rPr>
      </w:pPr>
      <w:bookmarkStart w:id="97" w:name="_Toc21995"/>
      <w:bookmarkStart w:id="98" w:name="_Toc22822"/>
      <w:r>
        <w:rPr>
          <w:rFonts w:hint="eastAsia" w:ascii="仿宋" w:hAnsi="仿宋" w:eastAsia="仿宋" w:cs="仿宋"/>
          <w:b/>
          <w:bCs/>
          <w:sz w:val="28"/>
          <w:szCs w:val="28"/>
        </w:rPr>
        <w:t>1、</w:t>
      </w:r>
      <w:r>
        <w:rPr>
          <w:rFonts w:hint="eastAsia" w:ascii="仿宋" w:hAnsi="仿宋" w:eastAsia="仿宋" w:cs="仿宋"/>
          <w:b/>
          <w:bCs/>
          <w:sz w:val="28"/>
          <w:szCs w:val="28"/>
          <w:lang w:val="en-US" w:eastAsia="zh-CN"/>
        </w:rPr>
        <w:t>采购</w:t>
      </w:r>
      <w:r>
        <w:rPr>
          <w:rFonts w:hint="eastAsia" w:ascii="仿宋" w:hAnsi="仿宋" w:eastAsia="仿宋" w:cs="仿宋"/>
          <w:b/>
          <w:bCs/>
          <w:sz w:val="28"/>
          <w:szCs w:val="28"/>
        </w:rPr>
        <w:t>管理（</w:t>
      </w:r>
      <w:r>
        <w:rPr>
          <w:rFonts w:hint="eastAsia" w:ascii="仿宋" w:hAnsi="仿宋" w:eastAsia="仿宋" w:cs="仿宋"/>
          <w:b/>
          <w:bCs/>
          <w:sz w:val="28"/>
          <w:szCs w:val="28"/>
          <w:lang w:val="en-US" w:eastAsia="zh-CN"/>
        </w:rPr>
        <w:t>23</w:t>
      </w:r>
      <w:r>
        <w:rPr>
          <w:rFonts w:hint="eastAsia" w:ascii="仿宋" w:hAnsi="仿宋" w:eastAsia="仿宋" w:cs="仿宋"/>
          <w:b/>
          <w:bCs/>
          <w:sz w:val="28"/>
          <w:szCs w:val="28"/>
        </w:rPr>
        <w:t>分）</w:t>
      </w:r>
      <w:bookmarkEnd w:id="97"/>
      <w:bookmarkEnd w:id="98"/>
      <w:r>
        <w:rPr>
          <w:rFonts w:hint="eastAsia" w:ascii="仿宋" w:hAnsi="仿宋" w:eastAsia="仿宋" w:cs="仿宋"/>
          <w:b/>
          <w:bCs/>
          <w:sz w:val="28"/>
          <w:szCs w:val="28"/>
        </w:rPr>
        <w:tab/>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）采购内控管理</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石狮市自然资源局制定了政府采购内部控制管理制度，对组织机构与职责、采购预算和实施计划以及采购范围和限额标准进行了明确规定；石狮永宁滨海（新沙堤—西岑）片区城市设计方案国际征集的采购过程中委派一名单位人员作为采购人代表公平公正地参与了评审，评审中未发生举报、投诉的情况，满分5分，得5分。</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）评审专家费聘用合规性</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石狮永宁滨海（新沙堤—西岑）片区城市设计方案国际征集评审专家在第三方代理公司专家库涉及的27位具备城乡规划设计背景的行业专家列表中抽取出7位，组成专家组并在2021年8月19日到现场参加评审，专家评审费由代理公司在评审当日根据规定标准以现金转账的方式支付。根据评分标准，得满分。</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）购买需求明确性</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该项目主要是购买控制性详细规划服务，购买需求明确、完整且合规。但当年度未编制年度政府采购计划及预算，且控制性详细规划未按文件规定编制工作计划，分期、分批地编制控制性详细规划，</w:t>
      </w:r>
      <w:r>
        <w:rPr>
          <w:rFonts w:hint="eastAsia" w:ascii="仿宋" w:hAnsi="仿宋" w:eastAsia="仿宋" w:cs="仿宋"/>
          <w:sz w:val="28"/>
          <w:szCs w:val="28"/>
          <w:lang w:val="en-US" w:eastAsia="zh-CN"/>
        </w:rPr>
        <w:t>满分3分，</w:t>
      </w:r>
      <w:r>
        <w:rPr>
          <w:rFonts w:hint="eastAsia" w:ascii="仿宋" w:hAnsi="仿宋" w:eastAsia="仿宋" w:cs="仿宋"/>
          <w:sz w:val="28"/>
          <w:szCs w:val="28"/>
          <w:lang w:eastAsia="zh-CN"/>
        </w:rPr>
        <w:t>扣2分。</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）采购预算编制完整性</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石狮市自然资源局未对全市控制性规划、土地征收成片开发方案的政府采购服务费用编入年度政府采购预算，满分4分，扣4分。</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）测算依据合理性</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石狮永宁滨海（新沙堤—西岑）片区城市设计方案设计费参照《城市规划设计计费指导意见（2017年）》并参考现阶段国际竞赛案例进行预算测算；其他控制性规划的服务费预算在参照《城市规划设计计费指导意见（2017年）》的前提下，综合考虑服务实施的难度来确定折扣系数；测算依据较为合理。</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）购买程序规范性</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2022年涉及资金支付的13份规划方案中，除石狮永宁滨海（新沙堤—西岑）片区城市设计方案国际征集采用国际竞赛的方式征集以外，其他规划方案因未超过招投标限额，而通过有限邀请的询价采购方式，邀请符合资质要求的规划编制单位参与比选，在统一规划编制深度的情况下，选择价格最低的单位。综合来看，采购方式较为合规，体现了竞争择优、公平公正原则，采购文件也能免费获取。购买程序规范，得4分。</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2"/>
        <w:rPr>
          <w:rFonts w:hint="eastAsia" w:ascii="仿宋" w:hAnsi="仿宋" w:eastAsia="仿宋" w:cs="仿宋"/>
          <w:b/>
          <w:bCs/>
          <w:sz w:val="28"/>
          <w:szCs w:val="28"/>
        </w:rPr>
      </w:pPr>
      <w:bookmarkStart w:id="99" w:name="_Toc8246"/>
      <w:bookmarkStart w:id="100" w:name="_Toc22196"/>
      <w:r>
        <w:rPr>
          <w:rFonts w:hint="eastAsia" w:ascii="仿宋" w:hAnsi="仿宋" w:eastAsia="仿宋" w:cs="仿宋"/>
          <w:b/>
          <w:bCs/>
          <w:sz w:val="28"/>
          <w:szCs w:val="28"/>
        </w:rPr>
        <w:t>2、资金管理（8分）</w:t>
      </w:r>
      <w:bookmarkEnd w:id="99"/>
      <w:bookmarkEnd w:id="100"/>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资金使用合规性</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项目资金支出符合规定，有完整的审批程序和手续，资金核算不存在错误，未发现截留、挤占、挪用、虚列支出的情况。</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rPr>
        <w:t>预算执行率</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eastAsia="zh-CN"/>
        </w:rPr>
        <w:t>本项目实际到位资金499.87万元，实际支出435.87万元，预算执行率为87.20%，该指标得3.2分。</w:t>
      </w:r>
      <w:r>
        <w:rPr>
          <w:rFonts w:hint="eastAsia" w:ascii="仿宋" w:hAnsi="仿宋" w:eastAsia="仿宋" w:cs="仿宋"/>
          <w:sz w:val="28"/>
          <w:szCs w:val="28"/>
          <w:lang w:val="en-US" w:eastAsia="zh-CN"/>
        </w:rPr>
        <w:t>64万元未支出是因2022年底下发，该项资金涉及多个编制单位，部分编制单位开票较慢，致使在支付审批程序完成后国库已关闭，该项资金被收回。</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2"/>
        <w:rPr>
          <w:rFonts w:hint="eastAsia" w:ascii="仿宋" w:hAnsi="仿宋" w:eastAsia="仿宋" w:cs="仿宋"/>
          <w:b/>
          <w:bCs/>
          <w:sz w:val="28"/>
          <w:szCs w:val="28"/>
        </w:rPr>
      </w:pPr>
      <w:bookmarkStart w:id="101" w:name="_Toc12484"/>
      <w:bookmarkStart w:id="102" w:name="_Toc11678"/>
      <w:r>
        <w:rPr>
          <w:rFonts w:hint="eastAsia" w:ascii="仿宋" w:hAnsi="仿宋" w:eastAsia="仿宋" w:cs="仿宋"/>
          <w:b/>
          <w:bCs/>
          <w:sz w:val="28"/>
          <w:szCs w:val="28"/>
          <w:lang w:val="en-US" w:eastAsia="zh-CN"/>
        </w:rPr>
        <w:t>3、</w:t>
      </w:r>
      <w:r>
        <w:rPr>
          <w:rFonts w:hint="eastAsia" w:ascii="仿宋" w:hAnsi="仿宋" w:eastAsia="仿宋" w:cs="仿宋"/>
          <w:b/>
          <w:bCs/>
          <w:sz w:val="28"/>
          <w:szCs w:val="28"/>
        </w:rPr>
        <w:t>项目监管（4分）</w:t>
      </w:r>
      <w:bookmarkEnd w:id="101"/>
      <w:bookmarkEnd w:id="102"/>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监管执行有效性：石狮市自然资源局组织对控制性规划方案进行专家评审，评审人员包括人大代表、政协委员、生态环境局、住建局、工信科技局等相关部门、乡镇、村民以及相关领域专家等，以确保项目质量达到要求；但规划、方案编制到批复周期较长，时效上还需加强监管，</w:t>
      </w:r>
      <w:r>
        <w:rPr>
          <w:rFonts w:hint="eastAsia" w:ascii="仿宋" w:hAnsi="仿宋" w:eastAsia="仿宋" w:cs="仿宋"/>
          <w:sz w:val="28"/>
          <w:szCs w:val="28"/>
          <w:lang w:val="en-US" w:eastAsia="zh-CN"/>
        </w:rPr>
        <w:t>满分4分，</w:t>
      </w:r>
      <w:r>
        <w:rPr>
          <w:rFonts w:hint="eastAsia" w:ascii="仿宋" w:hAnsi="仿宋" w:eastAsia="仿宋" w:cs="仿宋"/>
          <w:sz w:val="28"/>
          <w:szCs w:val="28"/>
          <w:lang w:eastAsia="zh-CN"/>
        </w:rPr>
        <w:t>扣2分。</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1"/>
        <w:rPr>
          <w:rFonts w:hint="eastAsia" w:ascii="楷体" w:hAnsi="楷体" w:eastAsia="楷体" w:cs="楷体"/>
          <w:b/>
          <w:bCs/>
          <w:sz w:val="28"/>
          <w:szCs w:val="28"/>
        </w:rPr>
      </w:pPr>
      <w:bookmarkStart w:id="103" w:name="_Toc22074"/>
      <w:bookmarkStart w:id="104" w:name="_Toc25433"/>
      <w:r>
        <w:rPr>
          <w:rFonts w:hint="eastAsia" w:ascii="楷体" w:hAnsi="楷体" w:eastAsia="楷体" w:cs="楷体"/>
          <w:b/>
          <w:bCs/>
          <w:sz w:val="28"/>
          <w:szCs w:val="28"/>
        </w:rPr>
        <w:t>（三）组织管理（</w:t>
      </w:r>
      <w:r>
        <w:rPr>
          <w:rFonts w:hint="eastAsia" w:ascii="楷体" w:hAnsi="楷体" w:eastAsia="楷体" w:cs="楷体"/>
          <w:b/>
          <w:bCs/>
          <w:sz w:val="28"/>
          <w:szCs w:val="28"/>
          <w:lang w:val="en-US" w:eastAsia="zh-CN"/>
        </w:rPr>
        <w:t>总分6</w:t>
      </w:r>
      <w:r>
        <w:rPr>
          <w:rFonts w:hint="eastAsia" w:ascii="楷体" w:hAnsi="楷体" w:eastAsia="楷体" w:cs="楷体"/>
          <w:b/>
          <w:bCs/>
          <w:sz w:val="28"/>
          <w:szCs w:val="28"/>
        </w:rPr>
        <w:t>分</w:t>
      </w:r>
      <w:r>
        <w:rPr>
          <w:rFonts w:hint="eastAsia" w:ascii="楷体" w:hAnsi="楷体" w:eastAsia="楷体" w:cs="楷体"/>
          <w:b/>
          <w:bCs/>
          <w:sz w:val="28"/>
          <w:szCs w:val="28"/>
          <w:lang w:eastAsia="zh-CN"/>
        </w:rPr>
        <w:t>，</w:t>
      </w:r>
      <w:r>
        <w:rPr>
          <w:rFonts w:hint="eastAsia" w:ascii="楷体" w:hAnsi="楷体" w:eastAsia="楷体" w:cs="楷体"/>
          <w:b/>
          <w:bCs/>
          <w:sz w:val="28"/>
          <w:szCs w:val="28"/>
          <w:lang w:val="en-US" w:eastAsia="zh-CN"/>
        </w:rPr>
        <w:t>计6分</w:t>
      </w:r>
      <w:r>
        <w:rPr>
          <w:rFonts w:hint="eastAsia" w:ascii="楷体" w:hAnsi="楷体" w:eastAsia="楷体" w:cs="楷体"/>
          <w:b/>
          <w:bCs/>
          <w:sz w:val="28"/>
          <w:szCs w:val="28"/>
        </w:rPr>
        <w:t>）</w:t>
      </w:r>
      <w:bookmarkEnd w:id="103"/>
      <w:bookmarkEnd w:id="104"/>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2"/>
        <w:rPr>
          <w:rFonts w:hint="eastAsia" w:ascii="仿宋" w:hAnsi="仿宋" w:eastAsia="仿宋" w:cs="仿宋"/>
          <w:b/>
          <w:bCs/>
          <w:sz w:val="28"/>
          <w:szCs w:val="28"/>
        </w:rPr>
      </w:pPr>
      <w:bookmarkStart w:id="105" w:name="_Toc26846"/>
      <w:bookmarkStart w:id="106" w:name="_Toc7806"/>
      <w:r>
        <w:rPr>
          <w:rFonts w:hint="eastAsia" w:ascii="仿宋" w:hAnsi="仿宋" w:eastAsia="仿宋" w:cs="仿宋"/>
          <w:b/>
          <w:bCs/>
          <w:sz w:val="28"/>
          <w:szCs w:val="28"/>
          <w:lang w:val="en-US" w:eastAsia="zh-CN"/>
        </w:rPr>
        <w:t>1.</w:t>
      </w:r>
      <w:r>
        <w:rPr>
          <w:rFonts w:hint="eastAsia" w:ascii="仿宋" w:hAnsi="仿宋" w:eastAsia="仿宋" w:cs="仿宋"/>
          <w:b/>
          <w:bCs/>
          <w:sz w:val="28"/>
          <w:szCs w:val="28"/>
        </w:rPr>
        <w:t>组织管理科学性</w:t>
      </w:r>
      <w:bookmarkEnd w:id="105"/>
      <w:bookmarkEnd w:id="106"/>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outlineLvl w:val="2"/>
        <w:rPr>
          <w:rFonts w:hint="eastAsia" w:ascii="仿宋" w:hAnsi="仿宋" w:eastAsia="仿宋" w:cs="仿宋"/>
          <w:sz w:val="28"/>
          <w:szCs w:val="28"/>
          <w:lang w:val="en-US" w:eastAsia="zh-CN"/>
        </w:rPr>
      </w:pPr>
      <w:bookmarkStart w:id="107" w:name="_Toc20157"/>
      <w:bookmarkStart w:id="108" w:name="_Toc29903"/>
      <w:r>
        <w:rPr>
          <w:rFonts w:hint="eastAsia" w:ascii="仿宋" w:hAnsi="仿宋" w:eastAsia="仿宋" w:cs="仿宋"/>
          <w:sz w:val="28"/>
          <w:szCs w:val="28"/>
          <w:lang w:val="en-US" w:eastAsia="zh-CN"/>
        </w:rPr>
        <w:t>评价小组查阅各承接主体资质及参与人员资质情况，符合控规编制的资质要求，服务人员对服务内容质量流程等能够清楚掌握，服务过程未出现较大偏差。满分3分，得3分。</w:t>
      </w:r>
      <w:bookmarkEnd w:id="107"/>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2"/>
        <w:rPr>
          <w:rFonts w:hint="eastAsia" w:ascii="仿宋" w:hAnsi="仿宋" w:eastAsia="仿宋" w:cs="仿宋"/>
          <w:b/>
          <w:bCs/>
          <w:sz w:val="28"/>
          <w:szCs w:val="28"/>
        </w:rPr>
      </w:pPr>
      <w:bookmarkStart w:id="109" w:name="_Toc14895"/>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档案管理规范性</w:t>
      </w:r>
      <w:bookmarkEnd w:id="108"/>
      <w:bookmarkEnd w:id="109"/>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outlineLvl w:val="1"/>
        <w:rPr>
          <w:rFonts w:hint="eastAsia" w:ascii="仿宋" w:hAnsi="仿宋" w:eastAsia="仿宋" w:cs="仿宋"/>
          <w:sz w:val="28"/>
          <w:szCs w:val="28"/>
        </w:rPr>
      </w:pPr>
      <w:bookmarkStart w:id="110" w:name="_Toc32091"/>
      <w:bookmarkStart w:id="111" w:name="_Toc6478"/>
      <w:r>
        <w:rPr>
          <w:rFonts w:hint="eastAsia" w:ascii="仿宋" w:hAnsi="仿宋" w:eastAsia="仿宋" w:cs="仿宋"/>
          <w:sz w:val="28"/>
          <w:szCs w:val="28"/>
        </w:rPr>
        <w:t>本项目相关立项资料、合同、成果文件、政府批复文件较为齐全，但</w:t>
      </w:r>
      <w:r>
        <w:rPr>
          <w:rFonts w:hint="eastAsia" w:ascii="仿宋" w:hAnsi="仿宋" w:eastAsia="仿宋" w:cs="仿宋"/>
          <w:sz w:val="28"/>
          <w:szCs w:val="28"/>
          <w:lang w:val="en-US" w:eastAsia="zh-CN"/>
        </w:rPr>
        <w:t>部分</w:t>
      </w:r>
      <w:r>
        <w:rPr>
          <w:rFonts w:hint="eastAsia" w:ascii="仿宋" w:hAnsi="仿宋" w:eastAsia="仿宋" w:cs="仿宋"/>
          <w:sz w:val="28"/>
          <w:szCs w:val="28"/>
        </w:rPr>
        <w:t>项目的采购过程材料不齐全，</w:t>
      </w:r>
      <w:r>
        <w:rPr>
          <w:rFonts w:hint="eastAsia" w:ascii="仿宋" w:hAnsi="仿宋" w:eastAsia="仿宋" w:cs="仿宋"/>
          <w:sz w:val="28"/>
          <w:szCs w:val="28"/>
          <w:lang w:val="en-US" w:eastAsia="zh-CN"/>
        </w:rPr>
        <w:t>满分3分，</w:t>
      </w:r>
      <w:r>
        <w:rPr>
          <w:rFonts w:hint="eastAsia" w:ascii="仿宋" w:hAnsi="仿宋" w:eastAsia="仿宋" w:cs="仿宋"/>
          <w:sz w:val="28"/>
          <w:szCs w:val="28"/>
        </w:rPr>
        <w:t>扣1分。</w:t>
      </w:r>
      <w:bookmarkEnd w:id="110"/>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1"/>
        <w:rPr>
          <w:rFonts w:hint="eastAsia" w:ascii="楷体" w:hAnsi="楷体" w:eastAsia="楷体" w:cs="楷体"/>
          <w:b/>
          <w:bCs/>
          <w:sz w:val="28"/>
          <w:szCs w:val="28"/>
        </w:rPr>
      </w:pPr>
      <w:bookmarkStart w:id="112" w:name="_Toc19776"/>
      <w:r>
        <w:rPr>
          <w:rFonts w:hint="eastAsia" w:ascii="楷体" w:hAnsi="楷体" w:eastAsia="楷体" w:cs="楷体"/>
          <w:b/>
          <w:bCs/>
          <w:sz w:val="28"/>
          <w:szCs w:val="28"/>
        </w:rPr>
        <w:t>（四）</w:t>
      </w:r>
      <w:r>
        <w:rPr>
          <w:rFonts w:hint="eastAsia" w:ascii="楷体" w:hAnsi="楷体" w:eastAsia="楷体" w:cs="楷体"/>
          <w:b/>
          <w:bCs/>
          <w:sz w:val="28"/>
          <w:szCs w:val="28"/>
          <w:lang w:val="en-US" w:eastAsia="zh-CN"/>
        </w:rPr>
        <w:t>项目产出</w:t>
      </w:r>
      <w:r>
        <w:rPr>
          <w:rFonts w:hint="eastAsia" w:ascii="楷体" w:hAnsi="楷体" w:eastAsia="楷体" w:cs="楷体"/>
          <w:b/>
          <w:bCs/>
          <w:sz w:val="28"/>
          <w:szCs w:val="28"/>
        </w:rPr>
        <w:t>（</w:t>
      </w:r>
      <w:r>
        <w:rPr>
          <w:rFonts w:hint="eastAsia" w:ascii="楷体" w:hAnsi="楷体" w:eastAsia="楷体" w:cs="楷体"/>
          <w:b/>
          <w:bCs/>
          <w:sz w:val="28"/>
          <w:szCs w:val="28"/>
          <w:lang w:val="en-US" w:eastAsia="zh-CN"/>
        </w:rPr>
        <w:t>总分29</w:t>
      </w:r>
      <w:r>
        <w:rPr>
          <w:rFonts w:hint="eastAsia" w:ascii="楷体" w:hAnsi="楷体" w:eastAsia="楷体" w:cs="楷体"/>
          <w:b/>
          <w:bCs/>
          <w:sz w:val="28"/>
          <w:szCs w:val="28"/>
        </w:rPr>
        <w:t>分</w:t>
      </w:r>
      <w:r>
        <w:rPr>
          <w:rFonts w:hint="eastAsia" w:ascii="楷体" w:hAnsi="楷体" w:eastAsia="楷体" w:cs="楷体"/>
          <w:b/>
          <w:bCs/>
          <w:sz w:val="28"/>
          <w:szCs w:val="28"/>
          <w:lang w:eastAsia="zh-CN"/>
        </w:rPr>
        <w:t>，</w:t>
      </w:r>
      <w:r>
        <w:rPr>
          <w:rFonts w:hint="eastAsia" w:ascii="楷体" w:hAnsi="楷体" w:eastAsia="楷体" w:cs="楷体"/>
          <w:b/>
          <w:bCs/>
          <w:sz w:val="28"/>
          <w:szCs w:val="28"/>
          <w:lang w:val="en-US" w:eastAsia="zh-CN"/>
        </w:rPr>
        <w:t>计19.46分</w:t>
      </w:r>
      <w:r>
        <w:rPr>
          <w:rFonts w:hint="eastAsia" w:ascii="楷体" w:hAnsi="楷体" w:eastAsia="楷体" w:cs="楷体"/>
          <w:b/>
          <w:bCs/>
          <w:sz w:val="28"/>
          <w:szCs w:val="28"/>
        </w:rPr>
        <w:t>）</w:t>
      </w:r>
      <w:bookmarkEnd w:id="111"/>
      <w:bookmarkEnd w:id="112"/>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2"/>
        <w:rPr>
          <w:rFonts w:hint="eastAsia" w:ascii="仿宋" w:hAnsi="仿宋" w:eastAsia="仿宋" w:cs="仿宋"/>
          <w:b/>
          <w:bCs/>
          <w:sz w:val="28"/>
          <w:szCs w:val="28"/>
        </w:rPr>
      </w:pPr>
      <w:bookmarkStart w:id="113" w:name="_Toc21379"/>
      <w:bookmarkStart w:id="114" w:name="_Toc14703"/>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采购执行效率（</w:t>
      </w:r>
      <w:r>
        <w:rPr>
          <w:rFonts w:hint="eastAsia" w:ascii="仿宋" w:hAnsi="仿宋" w:eastAsia="仿宋" w:cs="仿宋"/>
          <w:b/>
          <w:bCs/>
          <w:sz w:val="28"/>
          <w:szCs w:val="28"/>
          <w:lang w:val="en-US" w:eastAsia="zh-CN"/>
        </w:rPr>
        <w:t>8</w:t>
      </w:r>
      <w:r>
        <w:rPr>
          <w:rFonts w:hint="eastAsia" w:ascii="仿宋" w:hAnsi="仿宋" w:eastAsia="仿宋" w:cs="仿宋"/>
          <w:b/>
          <w:bCs/>
          <w:sz w:val="28"/>
          <w:szCs w:val="28"/>
        </w:rPr>
        <w:t>分）</w:t>
      </w:r>
      <w:bookmarkEnd w:id="113"/>
      <w:bookmarkEnd w:id="114"/>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开评标规范情况</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根据石狮永宁滨海（新沙堤—西岑）片区城市设计方案国际征集的采购过程材料，该项目已按照《中国政府采购法》程序进行开标、评标，专家及代理机构已及时履职。满分2分，得2分。</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（2）中标（成交）结果公示</w:t>
      </w:r>
    </w:p>
    <w:p>
      <w:pPr>
        <w:pStyle w:val="2"/>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2021年11月26日，石狮永宁滨海（新沙堤—西岑）片区城市设计方案国际征集方案评审会在石狮举行，并出具评选结果，中国城市规划设计研究院、中国建筑科学研究院有限公司联合体中标。当日对该结果进行挂网公示3日，2021年11月29日，公示期满未收到异议，第三方代理机构在当天发出中标结果。满分2分，得2分。</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（3）服务合同完善性</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部分规划方案未及时签订服务合同，多数合同未写明合同签订日期，且合同内容中未建立履约验收结果与资金支付挂钩机制；合同未公示；指标满分4分，扣3分。</w:t>
      </w:r>
    </w:p>
    <w:p>
      <w:pPr>
        <w:pStyle w:val="2"/>
        <w:outlineLvl w:val="2"/>
        <w:rPr>
          <w:rFonts w:hint="default"/>
          <w:b/>
          <w:bCs/>
          <w:lang w:val="en-US" w:eastAsia="zh-CN"/>
        </w:rPr>
      </w:pPr>
      <w:bookmarkStart w:id="115" w:name="_Toc22618"/>
      <w:r>
        <w:rPr>
          <w:rFonts w:hint="eastAsia" w:ascii="仿宋" w:hAnsi="仿宋" w:eastAsia="仿宋" w:cs="仿宋"/>
          <w:b/>
          <w:bCs/>
          <w:sz w:val="28"/>
          <w:szCs w:val="28"/>
          <w:lang w:val="en-US" w:eastAsia="zh-CN"/>
        </w:rPr>
        <w:t>2.合同履约效率（21分）</w:t>
      </w:r>
      <w:bookmarkEnd w:id="115"/>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（1）合同履约验收</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石狮市自然资源局已对完成的规划、方案成果进行验收，但验收手续不齐全，指标满分4分，扣2分。</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（2）规划编制完成率</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本项目涉及13份规划成果，2022年底，除永宁滨海城市设计项目签订项目合同时间较晚，其他12份规划方案应完成编制，实际形成12份规划方案，规划编制完成率100%，该指标得满分。</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（3）专家评审完成率</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本项目有13份规划成果需经各相关部门及村民代表、专家代表评审，由于2022年8月，省国土空间规划工作领导小组办公室发函要求各地根据《全国“三区三线”划定规则》的要求划定城镇开发边界，控规的编制范围需要划定在三区三线中，因此导致石狮市城东片区控制性详细规划重新编制，但截至2022年底，该规划仍未进入专家评审阶段，2023年4月7日才完成评审；此外，石狮永宁滨海（新沙堤—西岑）片区城市设计方案国际征集设计深化项目截至2022年底也未进入专家评审阶段，完成率=11/13=84.62%，根据评分标准，满分4分，该指标得2.46分。</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rPr>
        <w:t>专家评审通过率</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经过各相关部门及村民代表、专家代表评审的12份规划、方案，均全部评审通过，通过率100%，根据评分标准，该指标得</w:t>
      </w:r>
      <w:r>
        <w:rPr>
          <w:rFonts w:hint="eastAsia" w:ascii="仿宋" w:hAnsi="仿宋" w:eastAsia="仿宋" w:cs="仿宋"/>
          <w:sz w:val="28"/>
          <w:szCs w:val="28"/>
          <w:lang w:val="en-US" w:eastAsia="zh-CN"/>
        </w:rPr>
        <w:t>6分。</w:t>
      </w:r>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w:t>
      </w:r>
      <w:r>
        <w:rPr>
          <w:rFonts w:hint="eastAsia" w:ascii="仿宋" w:hAnsi="仿宋" w:eastAsia="仿宋" w:cs="仿宋"/>
          <w:sz w:val="28"/>
          <w:szCs w:val="28"/>
        </w:rPr>
        <w:t>资金支付及时率</w:t>
      </w:r>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资金支出普遍存在未按合同约定比例进行支付的情况，支付进度</w:t>
      </w:r>
      <w:r>
        <w:rPr>
          <w:rFonts w:hint="eastAsia" w:ascii="仿宋" w:hAnsi="仿宋" w:eastAsia="仿宋" w:cs="仿宋"/>
          <w:sz w:val="28"/>
          <w:szCs w:val="28"/>
          <w:lang w:val="en-US" w:eastAsia="zh-CN"/>
        </w:rPr>
        <w:t>普遍</w:t>
      </w:r>
      <w:r>
        <w:rPr>
          <w:rFonts w:hint="eastAsia" w:ascii="仿宋" w:hAnsi="仿宋" w:eastAsia="仿宋" w:cs="仿宋"/>
          <w:sz w:val="28"/>
          <w:szCs w:val="28"/>
          <w:lang w:eastAsia="zh-CN"/>
        </w:rPr>
        <w:t>滞后，该指标不得分。</w:t>
      </w:r>
      <w:r>
        <w:rPr>
          <w:rFonts w:hint="eastAsia" w:ascii="仿宋" w:hAnsi="仿宋" w:eastAsia="仿宋" w:cs="仿宋"/>
          <w:sz w:val="28"/>
          <w:szCs w:val="28"/>
          <w:lang w:val="en-US" w:eastAsia="zh-CN"/>
        </w:rPr>
        <w:t>评价组了解到，资金支付进度滞后系由于财政紧张，部分合同向财政局申请未能及时支付。因项目紧急，石狮市自然资源局经与编制单位协商后继续推动项目进度。</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1"/>
        <w:rPr>
          <w:rFonts w:hint="eastAsia" w:ascii="楷体" w:hAnsi="楷体" w:eastAsia="楷体" w:cs="楷体"/>
          <w:b/>
          <w:bCs/>
          <w:sz w:val="28"/>
          <w:szCs w:val="28"/>
        </w:rPr>
      </w:pPr>
      <w:bookmarkStart w:id="116" w:name="_Toc22176"/>
      <w:r>
        <w:rPr>
          <w:rFonts w:hint="eastAsia" w:ascii="楷体" w:hAnsi="楷体" w:eastAsia="楷体" w:cs="楷体"/>
          <w:b/>
          <w:bCs/>
          <w:sz w:val="28"/>
          <w:szCs w:val="28"/>
        </w:rPr>
        <w:t>（四）</w:t>
      </w:r>
      <w:r>
        <w:rPr>
          <w:rFonts w:hint="eastAsia" w:ascii="楷体" w:hAnsi="楷体" w:eastAsia="楷体" w:cs="楷体"/>
          <w:b/>
          <w:bCs/>
          <w:sz w:val="28"/>
          <w:szCs w:val="28"/>
          <w:lang w:val="en-US" w:eastAsia="zh-CN"/>
        </w:rPr>
        <w:t>项目效益</w:t>
      </w:r>
      <w:r>
        <w:rPr>
          <w:rFonts w:hint="eastAsia" w:ascii="楷体" w:hAnsi="楷体" w:eastAsia="楷体" w:cs="楷体"/>
          <w:b/>
          <w:bCs/>
          <w:sz w:val="28"/>
          <w:szCs w:val="28"/>
        </w:rPr>
        <w:t>（</w:t>
      </w:r>
      <w:r>
        <w:rPr>
          <w:rFonts w:hint="eastAsia" w:ascii="楷体" w:hAnsi="楷体" w:eastAsia="楷体" w:cs="楷体"/>
          <w:b/>
          <w:bCs/>
          <w:sz w:val="28"/>
          <w:szCs w:val="28"/>
          <w:lang w:val="en-US" w:eastAsia="zh-CN"/>
        </w:rPr>
        <w:t>总分17</w:t>
      </w:r>
      <w:r>
        <w:rPr>
          <w:rFonts w:hint="eastAsia" w:ascii="楷体" w:hAnsi="楷体" w:eastAsia="楷体" w:cs="楷体"/>
          <w:b/>
          <w:bCs/>
          <w:sz w:val="28"/>
          <w:szCs w:val="28"/>
        </w:rPr>
        <w:t>分</w:t>
      </w:r>
      <w:r>
        <w:rPr>
          <w:rFonts w:hint="eastAsia" w:ascii="楷体" w:hAnsi="楷体" w:eastAsia="楷体" w:cs="楷体"/>
          <w:b/>
          <w:bCs/>
          <w:sz w:val="28"/>
          <w:szCs w:val="28"/>
          <w:lang w:eastAsia="zh-CN"/>
        </w:rPr>
        <w:t>，</w:t>
      </w:r>
      <w:r>
        <w:rPr>
          <w:rFonts w:hint="eastAsia" w:ascii="楷体" w:hAnsi="楷体" w:eastAsia="楷体" w:cs="楷体"/>
          <w:b/>
          <w:bCs/>
          <w:sz w:val="28"/>
          <w:szCs w:val="28"/>
          <w:lang w:val="en-US" w:eastAsia="zh-CN"/>
        </w:rPr>
        <w:t>计16.17分</w:t>
      </w:r>
      <w:r>
        <w:rPr>
          <w:rFonts w:hint="eastAsia" w:ascii="楷体" w:hAnsi="楷体" w:eastAsia="楷体" w:cs="楷体"/>
          <w:b/>
          <w:bCs/>
          <w:sz w:val="28"/>
          <w:szCs w:val="28"/>
        </w:rPr>
        <w:t>）</w:t>
      </w:r>
      <w:bookmarkEnd w:id="116"/>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2"/>
        <w:rPr>
          <w:rFonts w:hint="default" w:ascii="仿宋" w:hAnsi="仿宋" w:eastAsia="仿宋" w:cs="仿宋"/>
          <w:b/>
          <w:bCs/>
          <w:sz w:val="28"/>
          <w:szCs w:val="28"/>
          <w:lang w:val="en-US" w:eastAsia="zh-CN"/>
        </w:rPr>
      </w:pPr>
      <w:bookmarkStart w:id="117" w:name="_Toc31320"/>
      <w:r>
        <w:rPr>
          <w:rFonts w:hint="eastAsia" w:ascii="仿宋" w:hAnsi="仿宋" w:eastAsia="仿宋" w:cs="仿宋"/>
          <w:b/>
          <w:bCs/>
          <w:sz w:val="28"/>
          <w:szCs w:val="28"/>
          <w:lang w:val="en-US" w:eastAsia="zh-CN"/>
        </w:rPr>
        <w:t>1.社会效益（14分）</w:t>
      </w:r>
      <w:bookmarkEnd w:id="117"/>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）供应商投诉与举报</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项目采购过程中无供应商投诉与举报情况，满分2分，得2分。</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w:t>
      </w:r>
      <w:r>
        <w:rPr>
          <w:rFonts w:hint="eastAsia" w:ascii="仿宋" w:hAnsi="仿宋" w:eastAsia="仿宋" w:cs="仿宋"/>
          <w:sz w:val="28"/>
          <w:szCs w:val="28"/>
        </w:rPr>
        <w:t>规划成果转换率</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本项目有13份规划成果，其中，城东片区规划由于“三区三线”的划定问题重新编制，截至2022年底未批复；永宁滨海城市设计是为下一步控规编制提供指引，非法定规划，不需要市政府批复。故本次规划成果转换率按照12份进行评价，2022年底，已完成11份规划方案批复，规划成果完成率91.67%，根据评分标准，该指标得3.17分。</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rPr>
        <w:t>采购公开性</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已完成的11份规划均在根据专家评审意见修改后通过石狮市人民政府网站进行公示，公示时间满足规定要求；土地成片开发方案均由石狮市自然资源局发函征求成片开发范围内集体经济组织和农民意见，并由石狮市农村组织召开村民代表会议，通过率均超过三分之二，指标得满分。</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w:t>
      </w:r>
      <w:r>
        <w:rPr>
          <w:rFonts w:hint="eastAsia" w:ascii="仿宋" w:hAnsi="仿宋" w:eastAsia="仿宋" w:cs="仿宋"/>
          <w:sz w:val="28"/>
          <w:szCs w:val="28"/>
        </w:rPr>
        <w:t>提供规划指引及依据</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根据自然资源部印发的《土地征收成片开发标准（试行）》（自然资规〔2020〕5号）文件，县级以上地方人民政府应当按照《中华人民共和国土地管理法》规定，依据当地国民经济和社会发展规划、国土空间规划，组织编制土地征收成片开发方案，纳入当地年度国民经济和社会发展计划，并报省级人民政府批准。2021年，石狮市启动“5510”项目竞赛活动（即五大片区、五大文旅项目、十大产业园区），五大片区的土地征收列入竞赛任务，永宁工业新区、锦前智能制造园也为石狮市“5510”项目竞赛园区之一，本项目的实施为五大片区更新改造所涉及的土地出让开发提供了规划指引及依据，且8份土地征收成片开发方案均已省级人民政府批准，石狮市服装纺织基地控制性详细规划也经市政府批复通过，，石狮永宁滨海（新沙堤—西岑）片区城市设计也在编制当中，成为当下石狮市发展方向的有力支撑，项目实施社会效益明显。</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2"/>
        <w:rPr>
          <w:rFonts w:hint="eastAsia" w:ascii="仿宋" w:hAnsi="仿宋" w:eastAsia="仿宋" w:cs="仿宋"/>
          <w:b/>
          <w:bCs/>
          <w:sz w:val="28"/>
          <w:szCs w:val="28"/>
        </w:rPr>
      </w:pPr>
      <w:bookmarkStart w:id="118" w:name="_Toc4539"/>
      <w:bookmarkStart w:id="119" w:name="_Toc9409"/>
      <w:r>
        <w:rPr>
          <w:rFonts w:hint="eastAsia" w:ascii="仿宋" w:hAnsi="仿宋" w:eastAsia="仿宋" w:cs="仿宋"/>
          <w:b/>
          <w:bCs/>
          <w:sz w:val="28"/>
          <w:szCs w:val="28"/>
          <w:lang w:val="en-US" w:eastAsia="zh-CN"/>
        </w:rPr>
        <w:t>2.</w:t>
      </w:r>
      <w:r>
        <w:rPr>
          <w:rFonts w:hint="eastAsia" w:ascii="仿宋" w:hAnsi="仿宋" w:eastAsia="仿宋" w:cs="仿宋"/>
          <w:b/>
          <w:bCs/>
          <w:sz w:val="28"/>
          <w:szCs w:val="28"/>
        </w:rPr>
        <w:t>生态效益（</w:t>
      </w: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分）</w:t>
      </w:r>
      <w:bookmarkEnd w:id="118"/>
      <w:bookmarkEnd w:id="119"/>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生态适宜性评价</w:t>
      </w:r>
      <w:r>
        <w:rPr>
          <w:rFonts w:hint="eastAsia" w:ascii="仿宋" w:hAnsi="仿宋" w:eastAsia="仿宋" w:cs="仿宋"/>
          <w:sz w:val="28"/>
          <w:szCs w:val="28"/>
          <w:lang w:eastAsia="zh-CN"/>
        </w:rPr>
        <w:t>：已组织专家评审的规划方案均邀请了生态环境局相关专家对规划的生态适宜性进行评价，评价结果良好，方案均通过。该指标得满分。</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9"/>
        <w:rPr>
          <w:rFonts w:hint="eastAsia" w:ascii="仿宋" w:hAnsi="仿宋" w:eastAsia="仿宋" w:cs="仿宋"/>
          <w:b/>
          <w:bCs/>
          <w:sz w:val="28"/>
          <w:szCs w:val="36"/>
        </w:rPr>
      </w:pP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0"/>
        <w:rPr>
          <w:rFonts w:hint="default" w:ascii="黑体" w:hAnsi="黑体" w:eastAsia="黑体" w:cs="黑体"/>
          <w:b/>
          <w:bCs/>
          <w:sz w:val="28"/>
          <w:szCs w:val="36"/>
          <w:lang w:val="en-US" w:eastAsia="zh-CN"/>
        </w:rPr>
      </w:pPr>
      <w:bookmarkStart w:id="120" w:name="_Toc31183"/>
      <w:bookmarkStart w:id="121" w:name="_Toc20807"/>
      <w:bookmarkStart w:id="122" w:name="_Toc6937"/>
      <w:r>
        <w:rPr>
          <w:rFonts w:hint="eastAsia" w:ascii="黑体" w:hAnsi="黑体" w:eastAsia="黑体" w:cs="黑体"/>
          <w:b/>
          <w:bCs/>
          <w:sz w:val="28"/>
          <w:szCs w:val="36"/>
          <w:lang w:val="en-US" w:eastAsia="zh-CN"/>
        </w:rPr>
        <w:t>五、项目总结</w:t>
      </w:r>
      <w:bookmarkEnd w:id="120"/>
      <w:bookmarkEnd w:id="121"/>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sz w:val="28"/>
          <w:szCs w:val="32"/>
          <w:lang w:val="en-US" w:eastAsia="zh-CN"/>
        </w:rPr>
      </w:pPr>
      <w:r>
        <w:rPr>
          <w:rFonts w:hint="eastAsia" w:ascii="仿宋" w:hAnsi="仿宋" w:eastAsia="仿宋" w:cs="仿宋"/>
          <w:sz w:val="28"/>
          <w:szCs w:val="32"/>
          <w:lang w:val="en-US" w:eastAsia="zh-CN"/>
        </w:rPr>
        <w:t>本项目2022年财政下达指标499.87万元，实际支出435.87万元，全部用于支付石狮市相关规划方案编制费及咨询费。</w:t>
      </w:r>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sz w:val="28"/>
          <w:szCs w:val="32"/>
          <w:lang w:val="en-US" w:eastAsia="zh-CN"/>
        </w:rPr>
      </w:pPr>
      <w:r>
        <w:rPr>
          <w:rFonts w:hint="eastAsia" w:ascii="仿宋" w:hAnsi="仿宋" w:eastAsia="仿宋" w:cs="仿宋"/>
          <w:sz w:val="28"/>
          <w:szCs w:val="32"/>
          <w:lang w:val="en-US" w:eastAsia="zh-CN"/>
        </w:rPr>
        <w:t>1.在决策方面，石狮市各相关规划方案的编制根据上级部门下发要求和市领导调研时安排的工作任务，经市政府批示后实施，立项依据充分、程序规范，绩效目标的编制也相对合理；</w:t>
      </w:r>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sz w:val="28"/>
          <w:szCs w:val="32"/>
          <w:lang w:val="en-US" w:eastAsia="zh-CN"/>
        </w:rPr>
      </w:pPr>
      <w:r>
        <w:rPr>
          <w:rFonts w:hint="eastAsia" w:ascii="仿宋" w:hAnsi="仿宋" w:eastAsia="仿宋" w:cs="仿宋"/>
          <w:sz w:val="28"/>
          <w:szCs w:val="32"/>
          <w:lang w:val="en-US" w:eastAsia="zh-CN"/>
        </w:rPr>
        <w:t>2.在过程管理方面，由于规划方案的编制与咨询服务属于政府采购服务类项目，故过程管理通过采购管理和资金管理两方面评价：</w:t>
      </w:r>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default" w:ascii="仿宋" w:hAnsi="仿宋" w:eastAsia="仿宋" w:cs="仿宋"/>
          <w:sz w:val="28"/>
          <w:szCs w:val="32"/>
          <w:lang w:val="en-US" w:eastAsia="zh-CN"/>
        </w:rPr>
      </w:pPr>
      <w:r>
        <w:rPr>
          <w:rFonts w:hint="eastAsia" w:ascii="仿宋" w:hAnsi="仿宋" w:eastAsia="仿宋" w:cs="仿宋"/>
          <w:sz w:val="28"/>
          <w:szCs w:val="32"/>
          <w:lang w:val="en-US" w:eastAsia="zh-CN"/>
        </w:rPr>
        <w:t>（1）在采购过程管理层面，部分规划方案未及时签订服务合同，多数合同未写明合同签订日期，且合同内容中未建立履约验收结果与资金支付挂钩机制，合同签订规范性仍需加强；同时，要注意编制政府采购计划与政府采购预算。</w:t>
      </w:r>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（2）资金管理层面，能够合规使用资金，做到专款专用，但是，由于财政紧张，部分规划方案的编制费未能按照合同约定的进度比例进行支付，虽对规划方案的编制进度及质量未造成影响，但违反了合同约定。</w:t>
      </w:r>
    </w:p>
    <w:p>
      <w:pPr>
        <w:pStyle w:val="2"/>
        <w:keepNext w:val="0"/>
        <w:keepLines w:val="0"/>
        <w:pageBreakBefore w:val="0"/>
        <w:widowControl w:val="0"/>
        <w:kinsoku/>
        <w:wordWrap/>
        <w:overflowPunct/>
        <w:topLinePunct w:val="0"/>
        <w:autoSpaceDE/>
        <w:autoSpaceDN/>
        <w:bidi w:val="0"/>
        <w:adjustRightInd/>
        <w:snapToGrid/>
        <w:spacing w:after="0"/>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在项目绩效方面，2022年资金涉及的13份规划方案中除石狮永宁滨海（新沙堤—西岑）片区城市设计方案外，其余12份均已完成初稿编制；已完成初稿编制的规划方案中，由于2022年8月，省国土空间规划工作领导小组办公室发函要求各地根据《全国“三区三线”划定规则》的要求划定城镇开发边界，控规的编制范围需要划定在三区三线中，因此导致石狮市城东片区控制性详细规划重新编制，并在2023年4月7日完成专家评审，其余11份均已在2022年底前通过专家评审，且通过市政府批复。但总体来看，多数规划方案的编制周期较长，项目进度把控还需加强。</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9"/>
        <w:rPr>
          <w:rFonts w:hint="eastAsia" w:ascii="黑体" w:hAnsi="黑体" w:eastAsia="黑体" w:cs="黑体"/>
          <w:b/>
          <w:bCs/>
          <w:sz w:val="28"/>
          <w:szCs w:val="36"/>
        </w:rPr>
      </w:pP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0"/>
        <w:rPr>
          <w:rFonts w:hint="eastAsia" w:ascii="黑体" w:hAnsi="黑体" w:eastAsia="黑体" w:cs="黑体"/>
          <w:b/>
          <w:bCs/>
          <w:sz w:val="28"/>
          <w:szCs w:val="36"/>
        </w:rPr>
      </w:pPr>
      <w:bookmarkStart w:id="123" w:name="_Toc17191"/>
      <w:bookmarkStart w:id="124" w:name="_Toc13661"/>
      <w:r>
        <w:rPr>
          <w:rFonts w:hint="eastAsia" w:ascii="黑体" w:hAnsi="黑体" w:eastAsia="黑体" w:cs="黑体"/>
          <w:b/>
          <w:bCs/>
          <w:sz w:val="28"/>
          <w:szCs w:val="36"/>
          <w:lang w:val="en-US" w:eastAsia="zh-CN"/>
        </w:rPr>
        <w:t>六</w:t>
      </w:r>
      <w:r>
        <w:rPr>
          <w:rFonts w:hint="eastAsia" w:ascii="黑体" w:hAnsi="黑体" w:eastAsia="黑体" w:cs="黑体"/>
          <w:b/>
          <w:bCs/>
          <w:sz w:val="28"/>
          <w:szCs w:val="36"/>
        </w:rPr>
        <w:t>、存在的问题及原因分析</w:t>
      </w:r>
      <w:bookmarkEnd w:id="122"/>
      <w:bookmarkEnd w:id="123"/>
      <w:bookmarkEnd w:id="124"/>
      <w:r>
        <w:rPr>
          <w:rFonts w:hint="eastAsia" w:ascii="黑体" w:hAnsi="黑体" w:eastAsia="黑体" w:cs="黑体"/>
          <w:b/>
          <w:bCs/>
          <w:sz w:val="28"/>
          <w:szCs w:val="36"/>
        </w:rPr>
        <w:tab/>
      </w:r>
    </w:p>
    <w:p>
      <w:pPr>
        <w:pStyle w:val="2"/>
        <w:keepNext w:val="0"/>
        <w:keepLines w:val="0"/>
        <w:pageBreakBefore w:val="0"/>
        <w:widowControl w:val="0"/>
        <w:kinsoku/>
        <w:wordWrap/>
        <w:overflowPunct/>
        <w:topLinePunct w:val="0"/>
        <w:autoSpaceDE/>
        <w:autoSpaceDN/>
        <w:bidi w:val="0"/>
        <w:adjustRightInd/>
        <w:snapToGrid/>
        <w:spacing w:after="0"/>
        <w:ind w:left="0" w:leftChars="0" w:firstLine="562" w:firstLineChars="200"/>
        <w:textAlignment w:val="auto"/>
        <w:outlineLvl w:val="1"/>
        <w:rPr>
          <w:rFonts w:hint="eastAsia" w:ascii="楷体" w:hAnsi="楷体" w:eastAsia="楷体" w:cs="楷体"/>
          <w:b/>
          <w:bCs/>
          <w:sz w:val="28"/>
          <w:szCs w:val="36"/>
          <w:lang w:val="en-US" w:eastAsia="zh-CN"/>
        </w:rPr>
      </w:pPr>
      <w:bookmarkStart w:id="125" w:name="_Toc15593"/>
      <w:bookmarkStart w:id="126" w:name="_Toc22301"/>
      <w:bookmarkStart w:id="127" w:name="_Toc27029"/>
      <w:r>
        <w:rPr>
          <w:rFonts w:hint="eastAsia" w:ascii="楷体" w:hAnsi="楷体" w:eastAsia="楷体" w:cs="楷体"/>
          <w:b/>
          <w:bCs/>
          <w:sz w:val="28"/>
          <w:szCs w:val="36"/>
          <w:lang w:val="en-US" w:eastAsia="zh-CN"/>
        </w:rPr>
        <w:t>（一）未编制政府采购</w:t>
      </w:r>
      <w:r>
        <w:rPr>
          <w:rFonts w:hint="eastAsia" w:ascii="楷体" w:hAnsi="楷体" w:eastAsia="楷体" w:cs="楷体"/>
          <w:b/>
          <w:bCs/>
          <w:sz w:val="28"/>
          <w:szCs w:val="28"/>
          <w:lang w:val="en-US" w:eastAsia="zh-CN"/>
        </w:rPr>
        <w:t>计划及</w:t>
      </w:r>
      <w:r>
        <w:rPr>
          <w:rFonts w:hint="eastAsia" w:ascii="楷体" w:hAnsi="楷体" w:eastAsia="楷体" w:cs="楷体"/>
          <w:b/>
          <w:bCs/>
          <w:sz w:val="28"/>
          <w:szCs w:val="36"/>
          <w:lang w:val="en-US" w:eastAsia="zh-CN"/>
        </w:rPr>
        <w:t>资金预算</w:t>
      </w:r>
      <w:bookmarkEnd w:id="125"/>
      <w:bookmarkEnd w:id="126"/>
      <w:bookmarkEnd w:id="127"/>
    </w:p>
    <w:p>
      <w:pPr>
        <w:pStyle w:val="10"/>
        <w:keepNext w:val="0"/>
        <w:keepLines w:val="0"/>
        <w:pageBreakBefore w:val="0"/>
        <w:widowControl w:val="0"/>
        <w:suppressLineNumbers w:val="0"/>
        <w:shd w:val="clear" w:fill="FFFFFF"/>
        <w:kinsoku/>
        <w:wordWrap/>
        <w:overflowPunct/>
        <w:topLinePunct w:val="0"/>
        <w:autoSpaceDE/>
        <w:autoSpaceDN/>
        <w:bidi w:val="0"/>
        <w:adjustRightInd/>
        <w:snapToGrid/>
        <w:spacing w:before="0" w:beforeAutospacing="0" w:after="0" w:afterAutospacing="0"/>
        <w:ind w:left="0" w:right="0" w:firstLine="560" w:firstLineChars="200"/>
        <w:textAlignment w:val="auto"/>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根据《石狮市自然资源局政府采购内部控制管理制度》第四章 采购范围和限额标准规定，凡使用财政性资金采购集中采购目录以内或者采购限额标准以上的货物、工程和服务，必须进行政府采购。采购科室应编制本科室年度政府采购计划和预算并负责本科室采购项目的采购工作，包括采购申请报批、编制项目采购需求书、签订采购委托代理协议等。石狮市城东片区控制性详细规划的采购金额96万元，超过《福建省政府集中采购及限额标准》中市县级货物、服务项目分散采购限额标准50万元，却未编制年度政府采购计划及预算，政府采购预算不完整。</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outlineLvl w:val="1"/>
        <w:rPr>
          <w:rFonts w:hint="default" w:ascii="楷体" w:hAnsi="楷体" w:eastAsia="楷体" w:cs="楷体"/>
          <w:kern w:val="2"/>
          <w:sz w:val="28"/>
          <w:szCs w:val="36"/>
          <w:lang w:val="en-US" w:eastAsia="zh-CN" w:bidi="ar-SA"/>
        </w:rPr>
      </w:pPr>
      <w:bookmarkStart w:id="128" w:name="_Toc21016"/>
      <w:bookmarkStart w:id="129" w:name="_Toc11943"/>
      <w:r>
        <w:rPr>
          <w:rFonts w:hint="eastAsia" w:ascii="楷体" w:hAnsi="楷体" w:eastAsia="楷体" w:cs="楷体"/>
          <w:kern w:val="2"/>
          <w:sz w:val="28"/>
          <w:szCs w:val="36"/>
          <w:lang w:val="en-US" w:eastAsia="zh-CN" w:bidi="ar-SA"/>
        </w:rPr>
        <w:t>（二）合同签订规范性不足</w:t>
      </w:r>
      <w:bookmarkEnd w:id="128"/>
      <w:bookmarkEnd w:id="129"/>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outlineLvl w:val="9"/>
        <w:rPr>
          <w:rFonts w:hint="eastAsia"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部分合同未写明合同签订日期，多数方案、规划合同签订时间之后。单位先委托第三方机构开展规划、方案编制，到规划方案进入评审阶段后才开始签合同。例如，石狮市港塘北环片区土地征收成片开发方案合同签订时间为2021年9月，但方案评审时间为2021年8月12日；石狮市鸿山人民公园西侧片区土地征收成片开发方案合同签订于2022年1月，方案评审时间为2021年12月8日；根据合同台账可知石狮市龟湖公园东侧片区土地征收成片开发方案合同签订于2021年9月2日，但方案评审时间为2021年7月23日；石狮市祥芝大堡片区土地征收成片开发方案合同签订于2021年6月28日，但方案评审时间为2021年6月25日。方案评审时间均早于合同签订时间。</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outlineLvl w:val="9"/>
        <w:rPr>
          <w:rFonts w:hint="default"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多数规划、方案合同未建立质量与服务费支付相挂钩机制。石狮市城东片区控制性详细规划合同虽要求“乙方因设计质量引起返工或未按期提交设计文件应由乙方继续完善设计，并应视造成损失的大小减少相应的设计费”，但该约定仍不明确，实际执行起来争议较多。同时，各规划方案均无合同履约验收手续，无法体现委托方对第三方服务的监管过程及对服务质量的满意度。</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outlineLvl w:val="1"/>
        <w:rPr>
          <w:rFonts w:hint="eastAsia" w:ascii="楷体" w:hAnsi="楷体" w:eastAsia="楷体" w:cs="楷体"/>
          <w:kern w:val="2"/>
          <w:sz w:val="28"/>
          <w:szCs w:val="36"/>
          <w:lang w:val="en-US" w:eastAsia="zh-CN" w:bidi="ar-SA"/>
        </w:rPr>
      </w:pPr>
      <w:bookmarkStart w:id="130" w:name="_Toc1970"/>
      <w:bookmarkStart w:id="131" w:name="_Toc15666"/>
      <w:r>
        <w:rPr>
          <w:rFonts w:hint="eastAsia" w:ascii="楷体" w:hAnsi="楷体" w:eastAsia="楷体" w:cs="楷体"/>
          <w:kern w:val="2"/>
          <w:sz w:val="28"/>
          <w:szCs w:val="36"/>
          <w:lang w:val="en-US" w:eastAsia="zh-CN" w:bidi="ar-SA"/>
        </w:rPr>
        <w:t>（三）对项目过程管控力度不够，存在进度拖沓、履约验收手续缺失等情况</w:t>
      </w:r>
      <w:bookmarkEnd w:id="130"/>
      <w:bookmarkEnd w:id="131"/>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outlineLvl w:val="9"/>
        <w:rPr>
          <w:rFonts w:hint="default" w:ascii="仿宋" w:hAnsi="仿宋" w:eastAsia="仿宋" w:cs="仿宋"/>
          <w:kern w:val="2"/>
          <w:sz w:val="28"/>
          <w:szCs w:val="36"/>
          <w:lang w:val="en-US" w:eastAsia="zh-CN" w:bidi="ar-SA"/>
        </w:rPr>
      </w:pPr>
      <w:r>
        <w:rPr>
          <w:rFonts w:hint="eastAsia" w:ascii="仿宋" w:hAnsi="仿宋" w:eastAsia="仿宋" w:cs="仿宋"/>
          <w:kern w:val="2"/>
          <w:sz w:val="28"/>
          <w:szCs w:val="36"/>
          <w:lang w:val="en-US" w:eastAsia="zh-CN" w:bidi="ar-SA"/>
        </w:rPr>
        <w:t>多数规划方案历时较长。例如，从合同签订到专家评审，石狮市加油站专项规划历时近11个月、龙穴村村庄规划及景胜别墅周边历史地段保护规划历时9个月、石狮市大仑东片区土地征收成本开发方案历时8个月、石狮市服装纺织基地控制性详细规划历时9个月，而石狮市城东片区控制性详细规划由于“三区三线”的划定问题重新编制，2019年9月4日签订合同，到2023年4月7日专家评审，历时超过30个月。合同的履约验收手续不齐全，无法判断履约验收的及时性。</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9"/>
        <w:rPr>
          <w:rFonts w:hint="eastAsia" w:ascii="黑体" w:hAnsi="黑体" w:eastAsia="黑体" w:cs="黑体"/>
          <w:b/>
          <w:bCs/>
          <w:sz w:val="28"/>
          <w:szCs w:val="36"/>
        </w:rPr>
      </w:pPr>
      <w:bookmarkStart w:id="132" w:name="_Toc19591"/>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0"/>
        <w:rPr>
          <w:rFonts w:hint="eastAsia" w:ascii="黑体" w:hAnsi="黑体" w:eastAsia="黑体" w:cs="黑体"/>
          <w:b/>
          <w:bCs/>
          <w:sz w:val="28"/>
          <w:szCs w:val="36"/>
        </w:rPr>
      </w:pPr>
      <w:bookmarkStart w:id="133" w:name="_Toc19426"/>
      <w:bookmarkStart w:id="134" w:name="_Toc9160"/>
      <w:r>
        <w:rPr>
          <w:rFonts w:hint="eastAsia" w:ascii="黑体" w:hAnsi="黑体" w:eastAsia="黑体" w:cs="黑体"/>
          <w:b/>
          <w:bCs/>
          <w:sz w:val="28"/>
          <w:szCs w:val="36"/>
        </w:rPr>
        <w:t>六、有关建议</w:t>
      </w:r>
      <w:bookmarkEnd w:id="132"/>
      <w:bookmarkEnd w:id="133"/>
      <w:bookmarkEnd w:id="134"/>
      <w:r>
        <w:rPr>
          <w:rFonts w:hint="eastAsia" w:ascii="黑体" w:hAnsi="黑体" w:eastAsia="黑体" w:cs="黑体"/>
          <w:b/>
          <w:bCs/>
          <w:sz w:val="28"/>
          <w:szCs w:val="36"/>
        </w:rPr>
        <w:tab/>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562" w:firstLineChars="200"/>
        <w:jc w:val="both"/>
        <w:textAlignment w:val="auto"/>
        <w:outlineLvl w:val="1"/>
        <w:rPr>
          <w:rFonts w:hint="eastAsia" w:ascii="楷体" w:hAnsi="楷体" w:eastAsia="楷体" w:cs="楷体"/>
          <w:b/>
          <w:bCs/>
          <w:color w:val="auto"/>
          <w:kern w:val="2"/>
          <w:sz w:val="28"/>
          <w:szCs w:val="28"/>
          <w:lang w:val="en-US" w:eastAsia="zh-CN" w:bidi="ar-SA"/>
        </w:rPr>
      </w:pPr>
      <w:bookmarkStart w:id="135" w:name="_Toc3674"/>
      <w:bookmarkStart w:id="136" w:name="_Toc1109"/>
      <w:bookmarkStart w:id="137" w:name="_Toc31321"/>
      <w:r>
        <w:rPr>
          <w:rFonts w:hint="eastAsia" w:ascii="楷体" w:hAnsi="楷体" w:eastAsia="楷体" w:cs="楷体"/>
          <w:b/>
          <w:bCs/>
          <w:color w:val="auto"/>
          <w:kern w:val="2"/>
          <w:sz w:val="28"/>
          <w:szCs w:val="28"/>
          <w:lang w:val="en-US" w:eastAsia="zh-CN" w:bidi="ar-SA"/>
        </w:rPr>
        <w:t>（一）提高政府采购预算编制的完整性和科学性</w:t>
      </w:r>
      <w:bookmarkEnd w:id="135"/>
      <w:bookmarkEnd w:id="136"/>
      <w:bookmarkEnd w:id="137"/>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560" w:firstLineChars="200"/>
        <w:jc w:val="both"/>
        <w:textAlignment w:val="auto"/>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根据《中华人民共和国政府采购法》的规定，属于政府采购范畴、目录内，无论是基本支出还是项目支出，都应当在部门预算中进行相关数据的测算、编制。科学化、精细化的编制政府采购预算编制是政府采购制度顺利实施、政府采购业务顺利开展的基石，也是财政资金实现使用效益最大化的关键。同时，编制好政府采购预算对于促进政府采购活动健康有序地开展，满足部门发展需要有着非常重要的意义。自然资源局应根据项目实施工作计划及资金支付计划，编制科学合理的政府采购预算，促进财政资金发挥最大效益。</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1"/>
        <w:rPr>
          <w:rFonts w:hint="default" w:ascii="楷体" w:hAnsi="楷体" w:eastAsia="楷体" w:cs="楷体"/>
          <w:b/>
          <w:bCs/>
          <w:kern w:val="2"/>
          <w:sz w:val="28"/>
          <w:szCs w:val="36"/>
          <w:lang w:val="en-US" w:eastAsia="zh-CN" w:bidi="ar-SA"/>
        </w:rPr>
      </w:pPr>
      <w:bookmarkStart w:id="138" w:name="_Toc1613"/>
      <w:bookmarkStart w:id="139" w:name="_Toc1268"/>
      <w:r>
        <w:rPr>
          <w:rFonts w:hint="eastAsia" w:ascii="楷体" w:hAnsi="楷体" w:eastAsia="楷体" w:cs="楷体"/>
          <w:b/>
          <w:bCs/>
          <w:kern w:val="2"/>
          <w:sz w:val="28"/>
          <w:szCs w:val="36"/>
          <w:lang w:val="en-US" w:eastAsia="zh-CN" w:bidi="ar-SA"/>
        </w:rPr>
        <w:t>（二）按规定进行合同签订</w:t>
      </w:r>
      <w:bookmarkEnd w:id="138"/>
      <w:bookmarkEnd w:id="139"/>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outlineLvl w:val="9"/>
        <w:rPr>
          <w:rFonts w:hint="default"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规划、方案的编制在时间进度的管控上尤为重要，通常上在部门未制定实施计划的情况下，可认为编制服务从合同签订后开始，若合同未按规定流程及时签订，也会有进度拖沓的风险，故自然资源局应及时签订服务合同。并将评价结果与服务费的支付相挂钩，提高第三方服务质量的管控效果。</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1"/>
        <w:rPr>
          <w:rFonts w:hint="default" w:ascii="楷体" w:hAnsi="楷体" w:eastAsia="楷体" w:cs="楷体"/>
          <w:b/>
          <w:bCs/>
          <w:kern w:val="2"/>
          <w:sz w:val="28"/>
          <w:szCs w:val="36"/>
          <w:lang w:val="en-US" w:eastAsia="zh-CN" w:bidi="ar-SA"/>
        </w:rPr>
      </w:pPr>
      <w:bookmarkStart w:id="140" w:name="_Toc29750"/>
      <w:bookmarkStart w:id="141" w:name="_Toc16052"/>
      <w:r>
        <w:rPr>
          <w:rFonts w:hint="eastAsia" w:ascii="楷体" w:hAnsi="楷体" w:eastAsia="楷体" w:cs="楷体"/>
          <w:b/>
          <w:bCs/>
          <w:kern w:val="2"/>
          <w:sz w:val="28"/>
          <w:szCs w:val="36"/>
          <w:lang w:val="en-US" w:eastAsia="zh-CN" w:bidi="ar-SA"/>
        </w:rPr>
        <w:t>（三）加强项目过程管控，合理把控合同进度，完善履约验收手续</w:t>
      </w:r>
      <w:bookmarkEnd w:id="140"/>
      <w:bookmarkEnd w:id="141"/>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outlineLvl w:val="9"/>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自然资源局应制定清晰明确的实施计划，并按照既定计划推进规划、方案的编制进度，实时监控，及时纠偏。</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outlineLvl w:val="9"/>
        <w:rPr>
          <w:rFonts w:hint="default"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完善履约验收手续，将编制成果移交时填写验收资料并盖章确认，验收资料还应包含对服务质量、成果质量的满意度评价，可以定性评价也可定量评价。</w:t>
      </w: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rPr>
          <w:rFonts w:hint="eastAsia" w:ascii="仿宋" w:hAnsi="仿宋" w:eastAsia="仿宋" w:cs="仿宋"/>
          <w:b/>
          <w:bCs w:val="0"/>
          <w:color w:val="auto"/>
          <w:sz w:val="28"/>
          <w:szCs w:val="28"/>
          <w:highlight w:val="none"/>
          <w:lang w:val="en-US" w:eastAsia="zh-CN"/>
        </w:rPr>
      </w:pPr>
    </w:p>
    <w:p>
      <w:pPr>
        <w:keepNext w:val="0"/>
        <w:keepLines w:val="0"/>
        <w:pageBreakBefore w:val="0"/>
        <w:widowControl w:val="0"/>
        <w:kinsoku/>
        <w:wordWrap/>
        <w:overflowPunct/>
        <w:topLinePunct w:val="0"/>
        <w:autoSpaceDE/>
        <w:autoSpaceDN/>
        <w:bidi w:val="0"/>
        <w:adjustRightInd/>
        <w:snapToGrid/>
        <w:ind w:left="0" w:leftChars="0" w:firstLine="562" w:firstLineChars="200"/>
        <w:textAlignment w:val="auto"/>
        <w:outlineLvl w:val="0"/>
        <w:rPr>
          <w:rFonts w:hint="eastAsia" w:ascii="黑体" w:hAnsi="黑体" w:eastAsia="黑体" w:cs="黑体"/>
          <w:b/>
          <w:bCs w:val="0"/>
          <w:color w:val="auto"/>
          <w:sz w:val="28"/>
          <w:szCs w:val="28"/>
          <w:highlight w:val="none"/>
          <w:lang w:val="en-US" w:eastAsia="zh-CN"/>
        </w:rPr>
      </w:pPr>
      <w:bookmarkStart w:id="142" w:name="_Toc14154"/>
      <w:bookmarkStart w:id="143" w:name="_Toc16087"/>
      <w:r>
        <w:rPr>
          <w:rFonts w:hint="eastAsia" w:ascii="黑体" w:hAnsi="黑体" w:eastAsia="黑体" w:cs="黑体"/>
          <w:b/>
          <w:bCs w:val="0"/>
          <w:color w:val="auto"/>
          <w:sz w:val="28"/>
          <w:szCs w:val="28"/>
          <w:highlight w:val="none"/>
          <w:lang w:val="en-US" w:eastAsia="zh-CN"/>
        </w:rPr>
        <w:t>七、其他需说明的事项</w:t>
      </w:r>
      <w:bookmarkEnd w:id="142"/>
      <w:bookmarkEnd w:id="143"/>
    </w:p>
    <w:p>
      <w:pPr>
        <w:pStyle w:val="10"/>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560" w:firstLineChars="200"/>
        <w:jc w:val="left"/>
        <w:textAlignment w:val="auto"/>
        <w:rPr>
          <w:rFonts w:hint="eastAsia" w:ascii="仿宋" w:hAnsi="仿宋" w:eastAsia="仿宋" w:cs="仿宋"/>
          <w:b w:val="0"/>
          <w:bCs w:val="0"/>
          <w:color w:val="auto"/>
          <w:spacing w:val="0"/>
          <w:sz w:val="28"/>
          <w:szCs w:val="28"/>
          <w:highlight w:val="none"/>
          <w:lang w:val="en-US" w:eastAsia="zh-CN"/>
        </w:rPr>
      </w:pPr>
      <w:bookmarkStart w:id="144" w:name="_Toc2634"/>
      <w:bookmarkStart w:id="145" w:name="_Toc30565"/>
      <w:bookmarkStart w:id="146" w:name="_Toc30255"/>
      <w:bookmarkStart w:id="147" w:name="_Toc28279"/>
      <w:bookmarkStart w:id="148" w:name="_Toc17284"/>
      <w:r>
        <w:rPr>
          <w:rFonts w:hint="eastAsia" w:ascii="仿宋" w:hAnsi="仿宋" w:eastAsia="仿宋" w:cs="仿宋"/>
          <w:b w:val="0"/>
          <w:bCs w:val="0"/>
          <w:color w:val="auto"/>
          <w:spacing w:val="0"/>
          <w:sz w:val="28"/>
          <w:szCs w:val="28"/>
          <w:highlight w:val="none"/>
          <w:lang w:val="en-US" w:eastAsia="zh-CN"/>
        </w:rPr>
        <w:t>本绩效评价报告是在</w:t>
      </w:r>
      <w:r>
        <w:rPr>
          <w:rFonts w:hint="eastAsia" w:ascii="仿宋" w:hAnsi="仿宋" w:eastAsia="仿宋" w:cs="仿宋"/>
          <w:color w:val="auto"/>
          <w:sz w:val="28"/>
          <w:szCs w:val="28"/>
          <w:highlight w:val="none"/>
          <w:lang w:val="en-US" w:eastAsia="zh-CN" w:bidi="ar-SA"/>
        </w:rPr>
        <w:t>石狮市自然资源局</w:t>
      </w:r>
      <w:r>
        <w:rPr>
          <w:rFonts w:hint="eastAsia" w:ascii="仿宋" w:hAnsi="仿宋" w:eastAsia="仿宋" w:cs="仿宋"/>
          <w:b w:val="0"/>
          <w:bCs w:val="0"/>
          <w:color w:val="auto"/>
          <w:spacing w:val="0"/>
          <w:sz w:val="28"/>
          <w:szCs w:val="28"/>
          <w:highlight w:val="none"/>
          <w:lang w:val="en-US" w:eastAsia="zh-CN"/>
        </w:rPr>
        <w:t>所提供资料的基础上形成的</w:t>
      </w:r>
      <w:bookmarkEnd w:id="144"/>
      <w:bookmarkEnd w:id="145"/>
      <w:bookmarkEnd w:id="146"/>
      <w:bookmarkEnd w:id="147"/>
      <w:bookmarkEnd w:id="148"/>
      <w:bookmarkStart w:id="149" w:name="_Toc27185"/>
      <w:bookmarkStart w:id="150" w:name="_Toc17926"/>
      <w:bookmarkStart w:id="151" w:name="_Toc29392"/>
      <w:bookmarkStart w:id="152" w:name="_Toc31282"/>
      <w:bookmarkStart w:id="153" w:name="_Toc19093"/>
      <w:r>
        <w:rPr>
          <w:rFonts w:hint="eastAsia" w:ascii="仿宋" w:hAnsi="仿宋" w:eastAsia="仿宋" w:cs="仿宋"/>
          <w:b w:val="0"/>
          <w:bCs w:val="0"/>
          <w:color w:val="auto"/>
          <w:spacing w:val="0"/>
          <w:sz w:val="28"/>
          <w:szCs w:val="28"/>
          <w:highlight w:val="none"/>
          <w:lang w:val="en-US" w:eastAsia="zh-CN"/>
        </w:rPr>
        <w:t>，本绩效评价报告仅供石狮市财政局绩效评价相关工作使用，不作他用。</w:t>
      </w:r>
      <w:bookmarkEnd w:id="149"/>
      <w:bookmarkEnd w:id="150"/>
      <w:bookmarkEnd w:id="151"/>
      <w:bookmarkEnd w:id="152"/>
      <w:bookmarkEnd w:id="153"/>
    </w:p>
    <w:p>
      <w:pPr>
        <w:pStyle w:val="10"/>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560" w:firstLineChars="200"/>
        <w:jc w:val="left"/>
        <w:textAlignment w:val="auto"/>
        <w:rPr>
          <w:rFonts w:hint="eastAsia" w:ascii="仿宋" w:hAnsi="仿宋" w:eastAsia="仿宋" w:cs="仿宋"/>
          <w:b w:val="0"/>
          <w:bCs w:val="0"/>
          <w:color w:val="auto"/>
          <w:spacing w:val="0"/>
          <w:sz w:val="28"/>
          <w:szCs w:val="28"/>
          <w:highlight w:val="none"/>
          <w:lang w:val="en-US" w:eastAsia="zh-CN"/>
        </w:rPr>
      </w:pPr>
    </w:p>
    <w:p>
      <w:pPr>
        <w:pStyle w:val="10"/>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left"/>
        <w:textAlignment w:val="auto"/>
        <w:outlineLvl w:val="0"/>
        <w:rPr>
          <w:rFonts w:hint="eastAsia" w:ascii="黑体" w:hAnsi="黑体" w:eastAsia="黑体" w:cs="黑体"/>
          <w:b/>
          <w:bCs/>
          <w:color w:val="auto"/>
          <w:spacing w:val="0"/>
          <w:sz w:val="28"/>
          <w:szCs w:val="28"/>
          <w:highlight w:val="none"/>
          <w:lang w:val="en-US" w:eastAsia="zh-CN"/>
        </w:rPr>
      </w:pPr>
      <w:bookmarkStart w:id="154" w:name="_Toc1233"/>
      <w:bookmarkStart w:id="155" w:name="_Toc4602"/>
      <w:r>
        <w:rPr>
          <w:rFonts w:hint="eastAsia" w:ascii="黑体" w:hAnsi="黑体" w:eastAsia="黑体" w:cs="黑体"/>
          <w:b/>
          <w:bCs/>
          <w:color w:val="auto"/>
          <w:spacing w:val="0"/>
          <w:sz w:val="28"/>
          <w:szCs w:val="28"/>
          <w:highlight w:val="none"/>
          <w:lang w:val="en-US" w:eastAsia="zh-CN"/>
        </w:rPr>
        <w:t>八、附件</w:t>
      </w:r>
      <w:bookmarkEnd w:id="154"/>
      <w:bookmarkEnd w:id="155"/>
    </w:p>
    <w:p>
      <w:pPr>
        <w:pStyle w:val="10"/>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560" w:firstLineChars="200"/>
        <w:jc w:val="left"/>
        <w:textAlignment w:val="auto"/>
        <w:outlineLvl w:val="0"/>
        <w:rPr>
          <w:rFonts w:hint="default" w:ascii="仿宋" w:hAnsi="仿宋" w:eastAsia="仿宋" w:cs="仿宋"/>
          <w:b w:val="0"/>
          <w:bCs w:val="0"/>
          <w:color w:val="auto"/>
          <w:spacing w:val="0"/>
          <w:sz w:val="28"/>
          <w:szCs w:val="28"/>
          <w:highlight w:val="none"/>
          <w:lang w:val="en-US" w:eastAsia="zh-CN"/>
        </w:rPr>
      </w:pPr>
      <w:bookmarkStart w:id="156" w:name="_Toc22656"/>
      <w:bookmarkStart w:id="157" w:name="_Toc21189"/>
      <w:bookmarkStart w:id="158" w:name="_Toc9642"/>
      <w:r>
        <w:rPr>
          <w:rFonts w:hint="eastAsia" w:ascii="仿宋" w:hAnsi="仿宋" w:eastAsia="仿宋" w:cs="仿宋"/>
          <w:b w:val="0"/>
          <w:bCs w:val="0"/>
          <w:color w:val="auto"/>
          <w:spacing w:val="0"/>
          <w:w w:val="100"/>
          <w:sz w:val="28"/>
          <w:szCs w:val="28"/>
          <w:highlight w:val="none"/>
          <w:lang w:val="en-US" w:eastAsia="zh-CN"/>
        </w:rPr>
        <w:t>附件1 2022年度石狮市全市控制性规划编制资金绩效评价指标体系分析表</w:t>
      </w:r>
      <w:bookmarkEnd w:id="156"/>
      <w:bookmarkEnd w:id="157"/>
      <w:bookmarkEnd w:id="158"/>
    </w:p>
    <w:p>
      <w:pPr>
        <w:keepLines w:val="0"/>
        <w:pageBreakBefore w:val="0"/>
        <w:widowControl w:val="0"/>
        <w:kinsoku/>
        <w:wordWrap/>
        <w:overflowPunct/>
        <w:topLinePunct w:val="0"/>
        <w:autoSpaceDE/>
        <w:autoSpaceDN/>
        <w:bidi w:val="0"/>
        <w:adjustRightInd/>
        <w:snapToGrid/>
        <w:ind w:left="0" w:leftChars="0"/>
        <w:rPr>
          <w:rFonts w:hint="eastAsia" w:ascii="仿宋" w:hAnsi="仿宋" w:eastAsia="仿宋" w:cs="仿宋"/>
        </w:rPr>
        <w:sectPr>
          <w:headerReference r:id="rId5" w:type="default"/>
          <w:footerReference r:id="rId6" w:type="default"/>
          <w:pgSz w:w="11906" w:h="16838"/>
          <w:pgMar w:top="1440" w:right="1587" w:bottom="1440" w:left="1519" w:header="851" w:footer="992" w:gutter="0"/>
          <w:pgNumType w:fmt="decimal"/>
          <w:cols w:space="425" w:num="1"/>
          <w:docGrid w:type="lines" w:linePitch="312" w:charSpace="0"/>
        </w:sectPr>
      </w:pPr>
    </w:p>
    <w:p>
      <w:pPr>
        <w:pStyle w:val="10"/>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562" w:firstLineChars="200"/>
        <w:jc w:val="left"/>
        <w:textAlignment w:val="auto"/>
        <w:outlineLvl w:val="0"/>
        <w:rPr>
          <w:rFonts w:hint="default" w:ascii="仿宋" w:hAnsi="仿宋" w:eastAsia="仿宋" w:cs="仿宋"/>
          <w:b/>
          <w:bCs/>
          <w:color w:val="auto"/>
          <w:spacing w:val="0"/>
          <w:sz w:val="28"/>
          <w:szCs w:val="28"/>
          <w:highlight w:val="none"/>
          <w:lang w:val="en-US" w:eastAsia="zh-CN"/>
        </w:rPr>
      </w:pPr>
      <w:bookmarkStart w:id="159" w:name="_Toc836"/>
      <w:r>
        <w:rPr>
          <w:rFonts w:hint="eastAsia" w:ascii="仿宋" w:hAnsi="仿宋" w:eastAsia="仿宋" w:cs="仿宋"/>
          <w:b/>
          <w:bCs/>
          <w:color w:val="auto"/>
          <w:spacing w:val="0"/>
          <w:w w:val="100"/>
          <w:sz w:val="28"/>
          <w:szCs w:val="28"/>
          <w:highlight w:val="none"/>
          <w:lang w:val="en-US" w:eastAsia="zh-CN"/>
        </w:rPr>
        <w:t>附件1：2022年度石狮市全市控制性规划编制资金绩效评价指标体系分析表</w:t>
      </w:r>
      <w:bookmarkEnd w:id="159"/>
    </w:p>
    <w:tbl>
      <w:tblPr>
        <w:tblStyle w:val="11"/>
        <w:tblW w:w="14330"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86"/>
        <w:gridCol w:w="702"/>
        <w:gridCol w:w="702"/>
        <w:gridCol w:w="4452"/>
        <w:gridCol w:w="5203"/>
        <w:gridCol w:w="765"/>
        <w:gridCol w:w="894"/>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58" w:hRule="atLeast"/>
          <w:tblHeader/>
        </w:trPr>
        <w:tc>
          <w:tcPr>
            <w:tcW w:w="686" w:type="dxa"/>
            <w:shd w:val="clear" w:color="auto" w:fill="auto"/>
            <w:vAlign w:val="center"/>
          </w:tcPr>
          <w:p>
            <w:pPr>
              <w:keepNext w:val="0"/>
              <w:keepLines w:val="0"/>
              <w:widowControl/>
              <w:suppressLineNumbers w:val="0"/>
              <w:jc w:val="left"/>
              <w:textAlignment w:val="center"/>
              <w:rPr>
                <w:rFonts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一级指标</w:t>
            </w:r>
          </w:p>
        </w:tc>
        <w:tc>
          <w:tcPr>
            <w:tcW w:w="702" w:type="dxa"/>
            <w:shd w:val="clear" w:color="auto" w:fill="auto"/>
            <w:vAlign w:val="center"/>
          </w:tcPr>
          <w:p>
            <w:pPr>
              <w:keepNext w:val="0"/>
              <w:keepLines w:val="0"/>
              <w:widowControl/>
              <w:suppressLineNumbers w:val="0"/>
              <w:jc w:val="left"/>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二级指标</w:t>
            </w: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三级指标</w:t>
            </w:r>
          </w:p>
        </w:tc>
        <w:tc>
          <w:tcPr>
            <w:tcW w:w="4452"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评价内容</w:t>
            </w:r>
          </w:p>
        </w:tc>
        <w:tc>
          <w:tcPr>
            <w:tcW w:w="5203"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评价过程</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分值</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得分</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74" w:hRule="atLeast"/>
        </w:trPr>
        <w:tc>
          <w:tcPr>
            <w:tcW w:w="686"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决策管理</w:t>
            </w:r>
          </w:p>
        </w:tc>
        <w:tc>
          <w:tcPr>
            <w:tcW w:w="702"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项目决策</w:t>
            </w: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决策依据充分性</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实行购买的服务项目是否符合中央、省、市决策部署；</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符合当前经济社会发展需求；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是否属于购买服务范畴；</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是否属于购买主体职能职责。</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一项不符合，扣1分。</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本项目涉及两种服务采购，控制性详细规划的服务采购及土地征收成片开发方案的服务采购。</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控制性详细规划：根据《中华人民共和国城乡规划法》，控制性详细规划属于城乡规划的一种，进行城乡规划管理，可协调城乡空间布局，改善人居环境，促进城乡经济社会全面协调可持续发展；购买控制性规划编制服务购买符合中央、省、市决策部署，符合当前经济社会发展需求。且编制控制性详细规划属于自然资源局职责范围的服务事项，属于福建省政府购买服务指导性目录中的咨询服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土地征收成片开发方案：2020年11月5日，自然资源部印发《土地征收成片开发标准（试行）》（自然资规〔2020〕5号），文件提到，县级以上地方人民政府应当按照《中华人民共和国土地管理法》规定，依据当地国民经济和社会发展规划、国土空间规划，组织编制土地征收成片开发方案，纳入当地年度国民经济和社会发展计划，并报省级人民政府批准。因此，编制控制性详细规划及土地征收成片开发方案的立项依据充分，该指标满分4分，得4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决策程序规范性</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①项目是否按照规定的程序申请设立；</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②审批文件、材料是否符合相关要求；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一项不符合，扣2分。</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各规划方案通过向石狮市政府请示、获得石狮市政府批示后设立，决策程序较为规范，审批材料符合要求，得4分。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2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购买的必要性</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项目是否具有现实需求；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是否有确定的服务对象和受益对象。</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服务的购买满足了石狮市5510项目建设实际和土地出让开发工作的需要，为土地出让开发提供规划指引和依据</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项目的服务对象和受益对象较为确定，为石狮市广大市民，评价认为具有购买必要，指标得3分。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5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绩效目标</w:t>
            </w: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绩效目标科学性</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是否制定明确合理的服务绩效目标，比如服务数量、频次、质量及相关技术要求、质保措施、违约责任等。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满分2分，根据绩效目标设置情况酌情扣分。</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石狮市自然资源局针对本项目制定了明确合理的绩效目标，从规划编制的数量、验收质量到成果转换率等，较为完整地反映了本项目的绩效情况，得2分。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30" w:hRule="atLeast"/>
        </w:trPr>
        <w:tc>
          <w:tcPr>
            <w:tcW w:w="686"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项目购买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与监管</w:t>
            </w:r>
          </w:p>
        </w:tc>
        <w:tc>
          <w:tcPr>
            <w:tcW w:w="702"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采购管理</w:t>
            </w: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采购内控管理</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是否按照有关规定建立单位采购内控制度；</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是否委派本单位人员作为采购人代表参加评审；</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是否公平公正参与评审，是否因评审中存在倾向性或指定性情形导致举报、投诉等。</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自然资源局制定了政府采购内部控制管理制度，对组织机构与职责、采购预算和实施计划以及采购范围和限额标准进行了明确规定；石狮永宁滨海（新沙堤—西岑）片区城市设计方案国际征集的采购过程中委派一名单位人员作为采购人代表公平公正地参与了评审，评审中未发生举报、投诉的情况，满分5分，得5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6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评审专家费聘用合规性</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专家组是否按法定程序组成；</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专家是否与项目、专业相匹配；</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采购人是否按照标准及时支付专家评审费。</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永宁滨海（新沙堤—西岑）片区城市设计方案国际征集评审专家在第三方代理公司专家库涉及的27位具备城乡规划设计背景的行业专家列表中抽取出7位，组成专家组并在2021年8月19日到现场参加评审，专家评审费由代理公司在评审当日根据规定标准以现金转账的方式支付。根据评分标准，得满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2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购买需求明确性</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项目是否编制了采购需求；</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项目采购需求编制是否规范；</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项目编制的采购需求是否与绩效目标相匹配。</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该项目主要是购买控制性详细规划编制服务和土地征收成片开发方案编制服务，根据上级部门下发要求和市领导调研时安排的工作任务，进行采购，多数控制性规划、土地成片征收开发方案未编制明确的采购需求计划，扣2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8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采购预算编制完整性</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是否纳入政府采购预算编制。</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石狮市自然资源局未对全市控制性规划、土地征收成片开发方案的政府采购服务费用编入年度政府采购预算，满分4分，扣4分。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6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测算依据合理性</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项目预算金额是否经过市场价格摸底和认真测算比较、是否在合理区间，测算依据不合理的酌情扣分。</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永宁滨海（新沙堤—西岑）片区城市设计方案设计费参照《城市规划设计计费指导意见（2017年）》并参考现阶段国际竞赛案例进行预算测算；其他控制性规划的服务费预算在参照《城市规划设计计费指导意见（2017年）》的前提下，综合考虑服务实施的难度来确定折扣系数；测算依据较为合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7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购买程序规范性</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选择承接主体是否按照竞争择优原则;</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是否体现公平、公正的原则；</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采购公告和采购文件是否按相关规定发布，采购文件是否免费获取；</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政府采购方式选择是否合规；</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2022年涉及资金支付的13份规划方案中，除石狮永宁滨海（新沙堤—西岑）片区城市设计方案国际征集采用国际竞赛的方式征集以外，其他规划方案因未超过招投标限额，而通过有限邀请的询价采购方式，邀请符合资质要求的规划编制单位参与比选，在统一规划编制深度的情况下，选择价格最低的单位。综合来看，采购方式较为合规，体现了竞争择优、公平公正原则，采购文件也能免费获取。购买程序规范，得4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9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资金管理</w:t>
            </w: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资金使用合规性</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资金支出是否符合国家财经法规和财务管理制度的规定；</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资金支出或拨付是否有完整的审批程序和手续；</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资金核算是否存在错误；</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是否存在截留、挤占、挪用、虚列支出等情况。</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项目资金支出符合规定，资金核算不存在错误，未发现截留、挤占、挪用、虚列支出的情况，但审批程序和手续不够完整，财政资金支付申请书上缺少财政业务科室审核意见，扣1分，得3分。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5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预算执行率</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预算执行率=（实际支出资金/实际到位资金）×100%。</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100%＞预算执行率≥80%的得80%的分数，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80%≥预算执行率≥60%的得40%的分数，</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预算执行率＜60%的，不得分。</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本项目实际到位资金499.87万元，实际支出435.87万元，预算执行率为87.20%，该指标得3.2分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3.2</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9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项目监管</w:t>
            </w: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监管执行有效性</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购买主体是否在项目实施过程中对承接主体提供服务的数量、时效及质量情况进行监管，发现问题是否及时纠正；是否按规定进行项目履约验收。</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自然资源局组织对控制性规划方案进行专家评审，评审人员包括人大代表、政协委员、生态环境局、住建局、工信科技局等相关部门、乡镇、村民以及相关领域专家等，以确保项目质量达到要求；但规划、方案编制到批复周期较长，时效上还需加强监管，扣2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50" w:hRule="atLeast"/>
        </w:trPr>
        <w:tc>
          <w:tcPr>
            <w:tcW w:w="686"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组织管理</w:t>
            </w:r>
          </w:p>
        </w:tc>
        <w:tc>
          <w:tcPr>
            <w:tcW w:w="702"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项目实施</w:t>
            </w: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组织管理科学性</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承接主体是否具有提供服务的专门内设机构和人员；服务人员资格、资质是否符合要求，服务人员对服务内容质量流程等是否清楚掌握。</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评价小组查阅各承接主体资质及参与人员资质情况，符合控规编制的资质要求，服务人员对服务内容质量流程等能够清楚掌握，服务过程未出现较大偏差。满分3分，得3分。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8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档案管理规范性</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相关立项资料、采购过程材料、实施过程材料、成果文件等相关档案资料齐备，有专人管理，出现一项不满足，扣1分，扣完为止。</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本项目相关立项资料、合同、成果文件、政府批复文件较为齐全，但多数项目的采购过程材料不齐全，扣1分。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50" w:hRule="atLeast"/>
        </w:trPr>
        <w:tc>
          <w:tcPr>
            <w:tcW w:w="686"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项目产出</w:t>
            </w:r>
          </w:p>
        </w:tc>
        <w:tc>
          <w:tcPr>
            <w:tcW w:w="702"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采购执行效率</w:t>
            </w: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开评标规范情况</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是否按照法定程序开标、评标；</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专家及代理机构是否进行及时履职。</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根据石狮永宁滨海（新沙堤—西岑）片区城市设计方案国际征集的采购过程材料，该项目已按照《中国政府采购法》程序进行开标、评标，专家及代理机构已及时履职。满分2分，得2分。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3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中标（成交）结果公示</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是否在中标供应商确认之日起2个工作日内进行公示。</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2021年11月26日，石狮永宁滨海（新沙堤—西岑）片区城市设计方案国际征集方案评审会在石狮举行，并出具评选结果，中国城市规划设计研究院、中国建筑科学研究院有限公司联合体中标。当日对该结果进行挂网公示3日，2021年11月29日，公示期满未收到异议，第三方代理机构在当天发出中标结果。满分2分，得2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3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服务合同完善性</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是否在中标通知书发出之日起30日内进行合同签订；</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合同内容是否规范、合理、公平、完备、详实；</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是否在合同签订之日起2个工作日内进行合同公示；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是否在合同签订之日起7个工作日内进行合同备案；</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一项不符合，扣1分。</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部分规划方案未及时签订服务合同，多数合同未写明合同签订日期，且合同内容中未建立履约验收结果与资金支付挂钩机制；合同未公示；指标满分4分，扣3分。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合同履约效率</w:t>
            </w: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合同履约验收</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合同履行达到验收条件时，是否进行项目验收；</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验收手续是否齐全。</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石狮市自然资源局已对完成的规划、方案成果进行验收，但验收手续不齐全，指标满分4分，扣2分。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5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规划编制完成率</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规划编制完成率达到100%，得满分；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完成率＜60%，为不及格，不得分；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完成率≥60%，指标得分=（实际完成值/目标值-60%）/（1-60%）×指标分值。</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本项目涉及13份规划成果，2022年底，除永宁滨海城市设计项目签订项目合同时间较晚，其他12份规划方案应完成编制，实际形成12份规划方案，规划编制完成率100%，该指标得满分。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15"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专家评审完成率</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专家评审完成率达到100%，得满分；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完成率＜60%，为不及格，不得分；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完成率≥60%，指标得分=（实际完成值/目标值-60%）/（1-60%）×指标分值。</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项目有13份规划成果需经各相关部门及村民代表、专家代表评审，由于2022年8月，省国土空间规划工作领导小组办公室发函要求各地根据《全国“三区三线”划定规则》的要求划定城镇开发边界，控规的编制范围需要划定在三区三线中，因此导致石狮市城东片区控制性详细规划重新编制，但截至2022年底，该规划仍未进入专家评审阶段，2023年4月7日才完成评审；此外，石狮永宁滨海（新沙堤—西岑）片区城市设计方案国际征集设计深化项目截至2022年底也未进入专家评审阶段，完成率=11/13=84.62%，根据评分标准，该指标得2.46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2.46 </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1.54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8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专家评审通过率</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进入专家评审通过率达到100%，得满分；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通过率＜60%，为不及格，不得分；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通过率≥60%，指标得分=（实际完成值/目标值-60%）/（1-60%）×指标分值。</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经过各相关部门及村民代表、专家代表评审的12份规划、方案，均全部评审通过，通过率100%，根据评分标准，该指标得4分。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资金支付及时性</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资金按合同约定比例进行支付，得满分；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出现1次未按合同约定，扣1分，扣完为止。</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资金支出普遍存在未按合同约定比例进行支付的情况，支付进度滞后，该指标不得分。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50" w:hRule="atLeast"/>
        </w:trPr>
        <w:tc>
          <w:tcPr>
            <w:tcW w:w="686" w:type="dxa"/>
            <w:vMerge w:val="restart"/>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社会效益</w:t>
            </w: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供应商投诉与举报</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是否存在采购人或代理机构因采购文件、过程和结果等违反相关法律法规或制度规定导致供应商提出投诉、处理决定投诉事项成立、或者要求重新采购的有效投诉。</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是否存在举报，存在有效举报不得分。</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项目采购过程中无供应商投诉与举报情况，满分2分，得2分。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2</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3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规划成果转换率</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规划100%通过市政府批复，得满分；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转换率＜60%，为不及格，不得分；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转换率≥60%，指标得分=（实际完成值/目标值-60%）/（1-60%）×指标分值。</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本项目有13份规划成果，其中，城东片区规划由于“三区三线”的划定问题重新编制，截至2022年底未批复；永宁滨海城市设计是为下一步控规编制提供指引，非法定规划，不需要市政府批复。故本次规划成果转换率按照12份进行评价，2022年底，已完成11份规划方案批复，规划成果完成率91.67%，根据评分标准，该指标得3.17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3.17 </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 xml:space="preserve">0.83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6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采购公开性</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已完成的规划方案均通过石狮市人民政府网站进行公示；</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村集体经济组织与农民对成片开发方案的内容知情且通过率超过三分之二；</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已完成的11份规划均在根据专家评审意见修改后通过石狮市人民政府网站进行公示，公示时间满足规定要求；土地成片开发方案均由石狮市自然资源局发函征求成片开发范围内集体经济组织和农民意见，并由石狮市农村组织召开村民代表会议，通过率均超过三分之二。</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指标得满分。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86"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提供规划指引及依据</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土地征收成片开发方案是否能有效支撑、指引石狮市社会发展，是否符合当下石狮市的发展方向。</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根据自然资源部印发的《土地征收成片开发标准（试行）》（自然资规〔2020〕5号）文件，县级以上地方人民政府应当按照《中华人民共和国土地管理法》规定，依据当地国民经济和社会发展规划、国土空间规划，组织编制土地征收成片开发方案，纳入当地年度国民经济和社会发展计划，并报省级人民政府批准。2021年，石狮市启动“5510”项目竞赛活动（即五大片区、五大文旅项目、十大产业园区），五大片区的土地征收列入竞赛任务，永宁工业新区、锦前智能制造园也为石狮市“5510”项目竞赛园区之一，本项目的实施为五大片区更新改造所涉及的土地出让开发提供了规划指引及依据，且8份土地征收成片开发方案均已省级人民政府批准，石狮市服装纺织基地控制性详细规划也经市政府批复通过，，石狮永宁滨海（新沙堤—西岑）片区城市设计也在编制当中，成为当下石狮市发展方向的有力支撑，项目实施社会效益明显。</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50" w:hRule="atLeast"/>
        </w:trPr>
        <w:tc>
          <w:tcPr>
            <w:tcW w:w="686" w:type="dxa"/>
            <w:vMerge w:val="continue"/>
            <w:shd w:val="clear" w:color="auto" w:fill="auto"/>
            <w:vAlign w:val="center"/>
          </w:tcPr>
          <w:p>
            <w:pPr>
              <w:jc w:val="center"/>
              <w:rPr>
                <w:rFonts w:hint="eastAsia" w:ascii="仿宋" w:hAnsi="仿宋" w:eastAsia="仿宋" w:cs="仿宋"/>
                <w:i w:val="0"/>
                <w:iCs w:val="0"/>
                <w:color w:val="000000"/>
                <w:sz w:val="22"/>
                <w:szCs w:val="22"/>
                <w:u w:val="none"/>
              </w:rPr>
            </w:pP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生态效益</w:t>
            </w:r>
          </w:p>
        </w:tc>
        <w:tc>
          <w:tcPr>
            <w:tcW w:w="70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生态适宜性评价</w:t>
            </w:r>
          </w:p>
        </w:tc>
        <w:tc>
          <w:tcPr>
            <w:tcW w:w="4452"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各规划方案均通过生态环境局评审通过，得满分；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通过率＜60%，为不及格，不得分；</w:t>
            </w:r>
            <w:r>
              <w:rPr>
                <w:rFonts w:hint="eastAsia" w:ascii="仿宋" w:hAnsi="仿宋" w:eastAsia="仿宋" w:cs="仿宋"/>
                <w:i w:val="0"/>
                <w:iCs w:val="0"/>
                <w:color w:val="000000"/>
                <w:kern w:val="0"/>
                <w:sz w:val="22"/>
                <w:szCs w:val="22"/>
                <w:u w:val="none"/>
                <w:lang w:val="en-US" w:eastAsia="zh-CN" w:bidi="ar"/>
              </w:rPr>
              <w:br w:type="textWrapping"/>
            </w:r>
            <w:r>
              <w:rPr>
                <w:rFonts w:hint="eastAsia" w:ascii="仿宋" w:hAnsi="仿宋" w:eastAsia="仿宋" w:cs="仿宋"/>
                <w:i w:val="0"/>
                <w:iCs w:val="0"/>
                <w:color w:val="000000"/>
                <w:kern w:val="0"/>
                <w:sz w:val="22"/>
                <w:szCs w:val="22"/>
                <w:u w:val="none"/>
                <w:lang w:val="en-US" w:eastAsia="zh-CN" w:bidi="ar"/>
              </w:rPr>
              <w:t>通过率≥60%，指标得分=（实际完成值/目标值-60%）/（1-60%）×指标分值。</w:t>
            </w:r>
          </w:p>
        </w:tc>
        <w:tc>
          <w:tcPr>
            <w:tcW w:w="5203" w:type="dxa"/>
            <w:shd w:val="clear" w:color="auto" w:fill="auto"/>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已组织专家评审的规划方案均邀请了生态环境局相关专家对规划的生态适宜性进行评价，评价结果良好，方案均通过。该指标得满分。</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11745" w:type="dxa"/>
            <w:gridSpan w:val="5"/>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合计</w:t>
            </w:r>
          </w:p>
        </w:tc>
        <w:tc>
          <w:tcPr>
            <w:tcW w:w="76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100</w:t>
            </w:r>
          </w:p>
        </w:tc>
        <w:tc>
          <w:tcPr>
            <w:tcW w:w="89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 xml:space="preserve">79.83 </w:t>
            </w:r>
          </w:p>
        </w:tc>
        <w:tc>
          <w:tcPr>
            <w:tcW w:w="926"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 xml:space="preserve">20.17 </w:t>
            </w:r>
          </w:p>
        </w:tc>
      </w:tr>
    </w:tbl>
    <w:p>
      <w:pPr>
        <w:pageBreakBefore w:val="0"/>
        <w:kinsoku/>
        <w:wordWrap/>
        <w:overflowPunct/>
        <w:topLinePunct w:val="0"/>
        <w:autoSpaceDE/>
        <w:autoSpaceDN/>
        <w:bidi w:val="0"/>
        <w:adjustRightInd/>
        <w:snapToGrid/>
        <w:ind w:left="0" w:leftChars="0"/>
        <w:rPr>
          <w:rFonts w:hint="eastAsia" w:ascii="仿宋" w:hAnsi="仿宋" w:eastAsia="仿宋" w:cs="仿宋"/>
        </w:rPr>
      </w:pPr>
    </w:p>
    <w:sectPr>
      <w:headerReference r:id="rId7" w:type="default"/>
      <w:footerReference r:id="rId8"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GWZT-EN">
    <w:panose1 w:val="02020400000000000000"/>
    <w:charset w:val="86"/>
    <w:family w:val="auto"/>
    <w:pitch w:val="default"/>
    <w:sig w:usb0="A00002BF" w:usb1="38CF7CFA" w:usb2="00082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&#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AKVIPQyAgAAYQQAAA4AAAAAAAAAAQAgAAAA&#10;NQEAAGRycy9lMm9Eb2MueG1sUEsFBgAAAAAGAAYAWQEAANk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l7XO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x5e1zjECAABhBAAADgAAAAAAAAABACAAAAA1&#10;AQAAZHJzL2Uyb0RvYy54bWxQSwUGAAAAAAYABgBZAQAA2A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&#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PWLh2QyAgAAYQQAAA4AAAAAAAAAAQAgAAAA&#10;NQEAAGRycy9lMm9Eb2MueG1sUEsFBgAAAAAGAAYAWQEAANk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hint="default" w:eastAsiaTheme="minorEastAsia"/>
        <w:lang w:val="en-US" w:eastAsia="zh-CN"/>
      </w:rPr>
    </w:pPr>
    <w:r>
      <w:rPr>
        <w:rFonts w:hint="eastAsia"/>
        <w:b/>
        <w:bCs/>
        <w:sz w:val="18"/>
        <w:szCs w:val="18"/>
      </w:rPr>
      <w:drawing>
        <wp:anchor distT="0" distB="0" distL="114300" distR="114300" simplePos="0" relativeHeight="251662336" behindDoc="0" locked="0" layoutInCell="1" allowOverlap="1">
          <wp:simplePos x="0" y="0"/>
          <wp:positionH relativeFrom="column">
            <wp:posOffset>5609590</wp:posOffset>
          </wp:positionH>
          <wp:positionV relativeFrom="paragraph">
            <wp:posOffset>-80645</wp:posOffset>
          </wp:positionV>
          <wp:extent cx="314325" cy="306705"/>
          <wp:effectExtent l="0" t="0" r="9525" b="17145"/>
          <wp:wrapSquare wrapText="bothSides"/>
          <wp:docPr id="4" name="图片 4"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SUS\AppData\Local\Temp\WeChat Files\f186046fc3a4df704901618a4b76ec6.png"/>
                  <pic:cNvPicPr>
                    <a:picLocks noChangeAspect="1" noChangeArrowheads="1"/>
                  </pic:cNvPicPr>
                </pic:nvPicPr>
                <pic:blipFill>
                  <a:blip r:embed="rId1"/>
                  <a:srcRect/>
                  <a:stretch>
                    <a:fillRect/>
                  </a:stretch>
                </pic:blipFill>
                <pic:spPr>
                  <a:xfrm>
                    <a:off x="0" y="0"/>
                    <a:ext cx="314325" cy="306705"/>
                  </a:xfrm>
                  <a:prstGeom prst="rect">
                    <a:avLst/>
                  </a:prstGeom>
                  <a:noFill/>
                  <a:ln w="9525" cmpd="sng">
                    <a:noFill/>
                    <a:miter lim="800000"/>
                    <a:headEnd/>
                    <a:tailEnd/>
                  </a:ln>
                  <a:effectLst/>
                </pic:spPr>
              </pic:pic>
            </a:graphicData>
          </a:graphic>
        </wp:anchor>
      </w:drawing>
    </w:r>
    <w:r>
      <w:rPr>
        <w:rFonts w:hint="eastAsia"/>
        <w:lang w:val="en-US" w:eastAsia="zh-CN"/>
      </w:rPr>
      <w:t>泉州市招标咨询中心地方财政绩效评价所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hint="default" w:eastAsiaTheme="minorEastAsia"/>
        <w:lang w:val="en-US" w:eastAsia="zh-CN"/>
      </w:rPr>
    </w:pPr>
    <w:r>
      <w:rPr>
        <w:rFonts w:hint="eastAsia"/>
        <w:b/>
        <w:bCs/>
        <w:sz w:val="18"/>
        <w:szCs w:val="18"/>
      </w:rPr>
      <w:drawing>
        <wp:anchor distT="0" distB="0" distL="114300" distR="114300" simplePos="0" relativeHeight="251662336" behindDoc="0" locked="0" layoutInCell="1" allowOverlap="1">
          <wp:simplePos x="0" y="0"/>
          <wp:positionH relativeFrom="column">
            <wp:posOffset>8862060</wp:posOffset>
          </wp:positionH>
          <wp:positionV relativeFrom="paragraph">
            <wp:posOffset>-100965</wp:posOffset>
          </wp:positionV>
          <wp:extent cx="314325" cy="306705"/>
          <wp:effectExtent l="0" t="0" r="9525" b="17145"/>
          <wp:wrapSquare wrapText="bothSides"/>
          <wp:docPr id="6" name="图片 6"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SUS\AppData\Local\Temp\WeChat Files\f186046fc3a4df704901618a4b76ec6.png"/>
                  <pic:cNvPicPr>
                    <a:picLocks noChangeAspect="1" noChangeArrowheads="1"/>
                  </pic:cNvPicPr>
                </pic:nvPicPr>
                <pic:blipFill>
                  <a:blip r:embed="rId1"/>
                  <a:srcRect/>
                  <a:stretch>
                    <a:fillRect/>
                  </a:stretch>
                </pic:blipFill>
                <pic:spPr>
                  <a:xfrm>
                    <a:off x="0" y="0"/>
                    <a:ext cx="314325" cy="306705"/>
                  </a:xfrm>
                  <a:prstGeom prst="rect">
                    <a:avLst/>
                  </a:prstGeom>
                  <a:noFill/>
                  <a:ln w="9525" cmpd="sng">
                    <a:noFill/>
                    <a:miter lim="800000"/>
                    <a:headEnd/>
                    <a:tailEnd/>
                  </a:ln>
                  <a:effectLst/>
                </pic:spPr>
              </pic:pic>
            </a:graphicData>
          </a:graphic>
        </wp:anchor>
      </w:drawing>
    </w:r>
    <w:r>
      <w:rPr>
        <w:rFonts w:hint="eastAsia"/>
        <w:lang w:val="en-US" w:eastAsia="zh-CN"/>
      </w:rPr>
      <w:t>泉州市招标咨询中心地方财政绩效评价所</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yYzczMDY4ZDljNGRiMzk3NzEzMmY0OGNiNjVhMTkifQ=="/>
  </w:docVars>
  <w:rsids>
    <w:rsidRoot w:val="45EB33A4"/>
    <w:rsid w:val="07CF0413"/>
    <w:rsid w:val="09FF43D6"/>
    <w:rsid w:val="17B31131"/>
    <w:rsid w:val="1C573865"/>
    <w:rsid w:val="1D81597C"/>
    <w:rsid w:val="250E58A2"/>
    <w:rsid w:val="26145399"/>
    <w:rsid w:val="2F2D45C3"/>
    <w:rsid w:val="320B1B6E"/>
    <w:rsid w:val="367F9F95"/>
    <w:rsid w:val="389732FF"/>
    <w:rsid w:val="39FA28E7"/>
    <w:rsid w:val="3ACA14C5"/>
    <w:rsid w:val="3B14284D"/>
    <w:rsid w:val="45EB33A4"/>
    <w:rsid w:val="4AE253FD"/>
    <w:rsid w:val="50CF557A"/>
    <w:rsid w:val="59BF012E"/>
    <w:rsid w:val="6CCC5B22"/>
    <w:rsid w:val="6E290AC9"/>
    <w:rsid w:val="6FFFF238"/>
    <w:rsid w:val="75EF9EB2"/>
    <w:rsid w:val="77741828"/>
    <w:rsid w:val="79BB6E54"/>
    <w:rsid w:val="7B0C1C63"/>
    <w:rsid w:val="7BBD5A15"/>
    <w:rsid w:val="7FCC6009"/>
    <w:rsid w:val="AEAD10D6"/>
    <w:rsid w:val="BEAFBBC9"/>
    <w:rsid w:val="FEB52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iPriority="39"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120" w:line="240" w:lineRule="auto"/>
      <w:ind w:left="420" w:leftChars="200" w:firstLine="420" w:firstLineChars="200"/>
    </w:pPr>
    <w:rPr>
      <w:sz w:val="21"/>
    </w:rPr>
  </w:style>
  <w:style w:type="paragraph" w:styleId="3">
    <w:name w:val="Body Text Indent"/>
    <w:basedOn w:val="1"/>
    <w:next w:val="1"/>
    <w:qFormat/>
    <w:uiPriority w:val="0"/>
    <w:pPr>
      <w:spacing w:line="500" w:lineRule="exact"/>
      <w:ind w:left="1588" w:leftChars="832" w:firstLine="433" w:firstLineChars="196"/>
    </w:pPr>
    <w:rPr>
      <w:sz w:val="24"/>
    </w:rPr>
  </w:style>
  <w:style w:type="paragraph" w:styleId="5">
    <w:name w:val="toc 3"/>
    <w:basedOn w:val="1"/>
    <w:next w:val="1"/>
    <w:semiHidden/>
    <w:unhideWhenUsed/>
    <w:qFormat/>
    <w:uiPriority w:val="39"/>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39"/>
    <w:pPr>
      <w:tabs>
        <w:tab w:val="right" w:leader="dot" w:pos="8777"/>
      </w:tabs>
      <w:spacing w:line="360" w:lineRule="auto"/>
    </w:pPr>
    <w:rPr>
      <w:rFonts w:ascii="Times New Roman" w:hAnsi="Times New Roman" w:eastAsia="宋体" w:cs="Times New Roman"/>
      <w:szCs w:val="24"/>
    </w:rPr>
  </w:style>
  <w:style w:type="paragraph" w:styleId="9">
    <w:name w:val="toc 2"/>
    <w:basedOn w:val="1"/>
    <w:next w:val="1"/>
    <w:qFormat/>
    <w:uiPriority w:val="0"/>
    <w:pPr>
      <w:ind w:left="420" w:leftChars="200"/>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WPSOffice手动目录 1"/>
    <w:qFormat/>
    <w:uiPriority w:val="0"/>
    <w:pPr>
      <w:ind w:leftChars="0"/>
    </w:pPr>
    <w:rPr>
      <w:rFonts w:ascii="Times New Roman" w:hAnsi="Times New Roman" w:eastAsia="Times New Roman"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11895</Words>
  <Characters>12840</Characters>
  <Lines>0</Lines>
  <Paragraphs>0</Paragraphs>
  <TotalTime>10</TotalTime>
  <ScaleCrop>false</ScaleCrop>
  <LinksUpToDate>false</LinksUpToDate>
  <CharactersWithSpaces>13010</CharactersWithSpaces>
  <Application>WPS Office_11.8.2.12185_F1E327BC-269C-435d-A152-05C5408002CA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2023-06-18T07:32:00Z</dcterms:created>
  <dc:creator>lifu</dc:creator>
  <cp:lastModifiedBy>thtf</cp:lastModifiedBy>
  <cp:lastPrinted>2023-07-04T14:51:00Z</cp:lastPrinted>
  <dcterms:modified xsi:type="dcterms:W3CDTF">2024-12-09T16:03:11Z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2052-11.8.2.12185</vt:lpwstr>
  </property>
  <property fmtid="{D5CDD505-2E9C-101B-9397-08002B2CF9AE}" pid="3" name="ICV">
    <vt:lpwstr>0BCB944C374944A78DAC779D07DABCEA_13</vt:lpwstr>
  </property>
</Properties>
</file>