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240" w:lineRule="auto"/>
        <w:ind w:left="0" w:leftChars="0" w:firstLine="0" w:firstLineChars="0"/>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 xml:space="preserve"> </w:t>
      </w:r>
    </w:p>
    <w:p>
      <w:pPr>
        <w:rPr>
          <w:rFonts w:hint="eastAsia" w:ascii="仿宋" w:hAnsi="仿宋" w:eastAsia="仿宋" w:cs="仿宋"/>
          <w:b/>
          <w:bCs/>
          <w:color w:val="auto"/>
          <w:sz w:val="21"/>
          <w:szCs w:val="21"/>
          <w:highlight w:val="none"/>
          <w:lang w:val="en-US" w:eastAsia="zh-CN"/>
        </w:rPr>
      </w:pPr>
    </w:p>
    <w:p>
      <w:pPr>
        <w:pStyle w:val="2"/>
        <w:rPr>
          <w:rFonts w:hint="eastAsia" w:ascii="仿宋" w:hAnsi="仿宋" w:eastAsia="仿宋" w:cs="仿宋"/>
          <w:b/>
          <w:bCs/>
          <w:color w:val="auto"/>
          <w:sz w:val="21"/>
          <w:szCs w:val="21"/>
          <w:highlight w:val="none"/>
          <w:lang w:val="en-US" w:eastAsia="zh-CN"/>
        </w:rPr>
      </w:pPr>
    </w:p>
    <w:p>
      <w:pPr>
        <w:rPr>
          <w:rFonts w:hint="default"/>
          <w:highlight w:val="none"/>
          <w:lang w:val="en-US" w:eastAsia="zh-CN"/>
        </w:rPr>
      </w:pPr>
    </w:p>
    <w:p>
      <w:pPr>
        <w:pStyle w:val="2"/>
        <w:spacing w:line="240" w:lineRule="auto"/>
        <w:ind w:left="0" w:leftChars="0" w:firstLine="0" w:firstLineChars="0"/>
        <w:jc w:val="center"/>
        <w:outlineLvl w:val="0"/>
        <w:rPr>
          <w:rFonts w:hint="default" w:ascii="仿宋" w:hAnsi="仿宋" w:eastAsia="仿宋" w:cs="Arial"/>
          <w:b/>
          <w:sz w:val="52"/>
          <w:szCs w:val="52"/>
          <w:highlight w:val="none"/>
          <w:lang w:val="en-US" w:eastAsia="zh-CN"/>
        </w:rPr>
      </w:pPr>
      <w:bookmarkStart w:id="0" w:name="_Toc21537"/>
      <w:bookmarkStart w:id="1" w:name="_Toc9637"/>
      <w:bookmarkStart w:id="2" w:name="_Toc26594"/>
      <w:bookmarkStart w:id="3" w:name="_Toc10348"/>
      <w:bookmarkStart w:id="4" w:name="_Toc25895"/>
      <w:bookmarkStart w:id="5" w:name="_Toc16001"/>
      <w:bookmarkStart w:id="6" w:name="_Toc17493"/>
      <w:bookmarkStart w:id="7" w:name="_Toc25505"/>
      <w:bookmarkStart w:id="8" w:name="_Toc12530"/>
      <w:bookmarkStart w:id="9" w:name="_Toc11329"/>
      <w:bookmarkStart w:id="10" w:name="_Toc28719"/>
      <w:bookmarkStart w:id="11" w:name="_Toc22870"/>
      <w:bookmarkStart w:id="12" w:name="_Toc29738"/>
      <w:bookmarkStart w:id="13" w:name="_Toc7505"/>
      <w:r>
        <w:rPr>
          <w:rFonts w:hint="eastAsia" w:ascii="仿宋" w:hAnsi="仿宋" w:eastAsia="仿宋" w:cs="Arial"/>
          <w:b/>
          <w:sz w:val="52"/>
          <w:szCs w:val="52"/>
          <w:highlight w:val="none"/>
          <w:lang w:val="en-US" w:eastAsia="zh-CN"/>
        </w:rPr>
        <w:t>食品药械化妆品监管及治理餐桌污染专项经费</w:t>
      </w:r>
      <w:bookmarkEnd w:id="0"/>
      <w:bookmarkEnd w:id="1"/>
      <w:bookmarkEnd w:id="2"/>
      <w:bookmarkEnd w:id="3"/>
      <w:bookmarkEnd w:id="4"/>
      <w:bookmarkEnd w:id="5"/>
      <w:bookmarkEnd w:id="6"/>
      <w:bookmarkEnd w:id="7"/>
      <w:bookmarkEnd w:id="8"/>
      <w:bookmarkEnd w:id="9"/>
      <w:bookmarkEnd w:id="10"/>
      <w:bookmarkEnd w:id="11"/>
      <w:bookmarkEnd w:id="12"/>
      <w:bookmarkEnd w:id="13"/>
    </w:p>
    <w:p>
      <w:pPr>
        <w:pStyle w:val="2"/>
        <w:spacing w:line="240" w:lineRule="auto"/>
        <w:ind w:left="0" w:leftChars="0" w:firstLine="0" w:firstLineChars="0"/>
        <w:rPr>
          <w:rFonts w:hint="default" w:ascii="方正小标宋简体" w:hAnsi="宋体" w:eastAsia="方正小标宋简体" w:cs="Arial"/>
          <w:sz w:val="52"/>
          <w:szCs w:val="52"/>
          <w:highlight w:val="none"/>
          <w:lang w:val="en-US" w:eastAsia="zh-CN"/>
        </w:rPr>
      </w:pPr>
      <w:r>
        <w:rPr>
          <w:rFonts w:hint="eastAsia" w:ascii="方正小标宋简体" w:hAnsi="宋体" w:eastAsia="方正小标宋简体" w:cs="Arial"/>
          <w:sz w:val="52"/>
          <w:szCs w:val="52"/>
          <w:highlight w:val="none"/>
          <w:lang w:val="en-US" w:eastAsia="zh-CN"/>
        </w:rPr>
        <w:t xml:space="preserve"> </w:t>
      </w:r>
    </w:p>
    <w:p>
      <w:pPr>
        <w:pStyle w:val="2"/>
        <w:spacing w:line="240" w:lineRule="auto"/>
        <w:ind w:left="0" w:leftChars="0" w:firstLine="0" w:firstLineChars="0"/>
        <w:jc w:val="center"/>
        <w:rPr>
          <w:rFonts w:hint="eastAsia" w:ascii="华文行楷" w:hAnsi="楷体" w:eastAsia="华文行楷" w:cs="Arial"/>
          <w:b/>
          <w:sz w:val="84"/>
          <w:szCs w:val="84"/>
          <w:highlight w:val="none"/>
        </w:rPr>
      </w:pPr>
      <w:r>
        <w:rPr>
          <w:rFonts w:hint="eastAsia" w:ascii="华文行楷" w:hAnsi="楷体" w:eastAsia="华文行楷" w:cs="Arial"/>
          <w:b/>
          <w:sz w:val="84"/>
          <w:szCs w:val="84"/>
          <w:highlight w:val="none"/>
        </w:rPr>
        <w:t>绩效评价报告</w:t>
      </w:r>
    </w:p>
    <w:p>
      <w:pPr>
        <w:pStyle w:val="2"/>
        <w:spacing w:line="240" w:lineRule="auto"/>
        <w:ind w:left="0" w:leftChars="0" w:firstLine="0" w:firstLineChars="0"/>
        <w:jc w:val="center"/>
        <w:rPr>
          <w:rFonts w:hint="eastAsia" w:ascii="方正小标宋简体" w:hAnsi="宋体" w:eastAsia="方正小标宋简体" w:cs="Arial"/>
          <w:sz w:val="32"/>
          <w:szCs w:val="32"/>
          <w:highlight w:val="none"/>
          <w:lang w:val="en-US" w:eastAsia="zh-CN"/>
        </w:rPr>
      </w:pPr>
      <w:r>
        <w:rPr>
          <w:rFonts w:hint="eastAsia" w:ascii="方正小标宋简体" w:hAnsi="宋体" w:eastAsia="方正小标宋简体" w:cs="Arial"/>
          <w:sz w:val="32"/>
          <w:szCs w:val="32"/>
          <w:highlight w:val="none"/>
          <w:lang w:val="en-US" w:eastAsia="zh-CN"/>
        </w:rPr>
        <w:t xml:space="preserve">  </w:t>
      </w:r>
    </w:p>
    <w:p>
      <w:pPr>
        <w:pStyle w:val="2"/>
        <w:spacing w:line="240" w:lineRule="auto"/>
        <w:ind w:left="0" w:leftChars="0" w:firstLine="0" w:firstLineChars="0"/>
        <w:jc w:val="center"/>
        <w:rPr>
          <w:rFonts w:hint="default" w:ascii="方正小标宋简体" w:hAnsi="宋体" w:eastAsia="方正小标宋简体" w:cs="Arial"/>
          <w:sz w:val="32"/>
          <w:szCs w:val="32"/>
          <w:highlight w:val="none"/>
          <w:lang w:val="en-US" w:eastAsia="zh-CN"/>
        </w:rPr>
      </w:pPr>
      <w:r>
        <w:rPr>
          <w:rFonts w:hint="eastAsia" w:ascii="方正小标宋简体" w:hAnsi="宋体" w:eastAsia="方正小标宋简体" w:cs="Arial"/>
          <w:sz w:val="32"/>
          <w:szCs w:val="32"/>
          <w:highlight w:val="none"/>
        </w:rPr>
        <w:t>编号：泉招咨绩【202</w:t>
      </w:r>
      <w:r>
        <w:rPr>
          <w:rFonts w:hint="eastAsia" w:ascii="方正小标宋简体" w:hAnsi="宋体" w:eastAsia="方正小标宋简体" w:cs="Arial"/>
          <w:sz w:val="32"/>
          <w:szCs w:val="32"/>
          <w:highlight w:val="none"/>
          <w:lang w:val="en-US" w:eastAsia="zh-CN"/>
        </w:rPr>
        <w:t>2</w:t>
      </w:r>
      <w:r>
        <w:rPr>
          <w:rFonts w:hint="eastAsia" w:ascii="方正小标宋简体" w:hAnsi="宋体" w:eastAsia="方正小标宋简体" w:cs="Arial"/>
          <w:sz w:val="32"/>
          <w:szCs w:val="32"/>
          <w:highlight w:val="none"/>
        </w:rPr>
        <w:t>】</w:t>
      </w:r>
      <w:r>
        <w:rPr>
          <w:rFonts w:hint="eastAsia" w:ascii="方正小标宋简体" w:hAnsi="宋体" w:eastAsia="方正小标宋简体" w:cs="Arial"/>
          <w:sz w:val="32"/>
          <w:szCs w:val="32"/>
          <w:highlight w:val="none"/>
          <w:lang w:val="en-US" w:eastAsia="zh-CN"/>
        </w:rPr>
        <w:t>6-3</w:t>
      </w:r>
      <w:r>
        <w:rPr>
          <w:rFonts w:hint="eastAsia" w:ascii="方正小标宋简体" w:hAnsi="宋体" w:eastAsia="方正小标宋简体" w:cs="Arial"/>
          <w:sz w:val="32"/>
          <w:szCs w:val="32"/>
          <w:highlight w:val="none"/>
        </w:rPr>
        <w:t>号</w:t>
      </w:r>
    </w:p>
    <w:p>
      <w:pPr>
        <w:pStyle w:val="2"/>
        <w:ind w:left="0" w:leftChars="0" w:firstLine="0" w:firstLineChars="0"/>
        <w:jc w:val="both"/>
        <w:rPr>
          <w:rFonts w:hint="eastAsia" w:ascii="方正小标宋简体" w:hAnsi="宋体" w:eastAsia="方正小标宋简体" w:cs="Arial"/>
          <w:color w:val="auto"/>
          <w:sz w:val="20"/>
          <w:szCs w:val="20"/>
          <w:highlight w:val="none"/>
        </w:rPr>
      </w:pPr>
    </w:p>
    <w:p>
      <w:pPr>
        <w:pStyle w:val="2"/>
        <w:ind w:left="0" w:leftChars="0" w:firstLine="0" w:firstLineChars="0"/>
        <w:jc w:val="both"/>
        <w:rPr>
          <w:rFonts w:hint="eastAsia" w:ascii="方正小标宋简体" w:hAnsi="宋体" w:eastAsia="方正小标宋简体" w:cs="Arial"/>
          <w:color w:val="auto"/>
          <w:sz w:val="20"/>
          <w:szCs w:val="20"/>
          <w:highlight w:val="none"/>
        </w:rPr>
      </w:pPr>
    </w:p>
    <w:p>
      <w:pPr>
        <w:pStyle w:val="2"/>
        <w:ind w:left="0" w:leftChars="0" w:firstLine="0" w:firstLineChars="0"/>
        <w:jc w:val="both"/>
        <w:rPr>
          <w:rFonts w:hint="eastAsia" w:ascii="方正小标宋简体" w:hAnsi="宋体" w:eastAsia="方正小标宋简体" w:cs="Arial"/>
          <w:color w:val="auto"/>
          <w:sz w:val="20"/>
          <w:szCs w:val="20"/>
          <w:highlight w:val="none"/>
        </w:rPr>
      </w:pPr>
    </w:p>
    <w:p>
      <w:pPr>
        <w:pStyle w:val="2"/>
        <w:ind w:left="0" w:leftChars="0" w:firstLine="0" w:firstLineChars="0"/>
        <w:jc w:val="center"/>
        <w:rPr>
          <w:rFonts w:hint="eastAsia" w:ascii="方正小标宋简体" w:hAnsi="宋体" w:eastAsia="方正小标宋简体" w:cs="Arial"/>
          <w:color w:val="auto"/>
          <w:sz w:val="20"/>
          <w:szCs w:val="20"/>
          <w:highlight w:val="none"/>
        </w:rPr>
      </w:pPr>
    </w:p>
    <w:p>
      <w:pPr>
        <w:rPr>
          <w:rFonts w:hint="eastAsia" w:ascii="方正小标宋简体" w:hAnsi="宋体" w:eastAsia="方正小标宋简体" w:cs="Arial"/>
          <w:color w:val="auto"/>
          <w:sz w:val="20"/>
          <w:szCs w:val="20"/>
          <w:highlight w:val="none"/>
        </w:rPr>
      </w:pPr>
    </w:p>
    <w:p>
      <w:pPr>
        <w:pStyle w:val="2"/>
        <w:rPr>
          <w:rFonts w:hint="eastAsia"/>
          <w:highlight w:val="none"/>
        </w:rPr>
      </w:pPr>
    </w:p>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firstLine="1280" w:firstLineChars="400"/>
        <w:textAlignment w:val="auto"/>
        <w:rPr>
          <w:rFonts w:hint="eastAsia" w:ascii="仿宋" w:hAnsi="仿宋" w:eastAsia="仿宋" w:cs="仿宋"/>
          <w:color w:val="auto"/>
          <w:sz w:val="32"/>
          <w:szCs w:val="32"/>
          <w:highlight w:val="none"/>
          <w:lang w:eastAsia="zh-CN"/>
        </w:rPr>
      </w:pPr>
      <w:r>
        <w:rPr>
          <w:rFonts w:hint="eastAsia" w:ascii="仿宋" w:hAnsi="仿宋" w:eastAsia="仿宋" w:cs="仿宋"/>
          <w:color w:val="auto"/>
          <w:sz w:val="32"/>
          <w:szCs w:val="32"/>
          <w:highlight w:val="none"/>
        </w:rPr>
        <w:t>委托单位：</w:t>
      </w:r>
      <w:r>
        <w:rPr>
          <w:rFonts w:hint="eastAsia" w:ascii="仿宋" w:hAnsi="仿宋" w:eastAsia="仿宋" w:cs="仿宋"/>
          <w:color w:val="auto"/>
          <w:sz w:val="32"/>
          <w:szCs w:val="32"/>
          <w:highlight w:val="none"/>
          <w:lang w:val="en-US" w:eastAsia="zh-CN"/>
        </w:rPr>
        <w:t>石狮市财政</w:t>
      </w:r>
      <w:r>
        <w:rPr>
          <w:rFonts w:hint="eastAsia" w:ascii="仿宋" w:hAnsi="仿宋" w:eastAsia="仿宋" w:cs="仿宋"/>
          <w:color w:val="auto"/>
          <w:sz w:val="32"/>
          <w:szCs w:val="32"/>
          <w:highlight w:val="none"/>
          <w:lang w:eastAsia="zh-CN"/>
        </w:rPr>
        <w:t>局</w:t>
      </w:r>
    </w:p>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firstLine="1280" w:firstLineChars="400"/>
        <w:textAlignment w:val="auto"/>
        <w:rPr>
          <w:rFonts w:hint="eastAsia" w:ascii="仿宋" w:hAnsi="仿宋" w:eastAsia="仿宋" w:cs="仿宋"/>
          <w:color w:val="auto"/>
          <w:sz w:val="32"/>
          <w:szCs w:val="32"/>
          <w:highlight w:val="none"/>
        </w:rPr>
      </w:pPr>
      <w:r>
        <w:rPr>
          <w:rFonts w:hint="eastAsia" w:ascii="仿宋" w:hAnsi="仿宋" w:eastAsia="仿宋" w:cs="仿宋"/>
          <w:color w:val="auto"/>
          <w:sz w:val="32"/>
          <w:szCs w:val="32"/>
          <w:highlight w:val="none"/>
          <w:lang w:val="en-US" w:eastAsia="zh-CN"/>
        </w:rPr>
        <w:t>实施</w:t>
      </w:r>
      <w:r>
        <w:rPr>
          <w:rFonts w:hint="eastAsia" w:ascii="仿宋" w:hAnsi="仿宋" w:eastAsia="仿宋" w:cs="仿宋"/>
          <w:color w:val="auto"/>
          <w:sz w:val="32"/>
          <w:szCs w:val="32"/>
          <w:highlight w:val="none"/>
        </w:rPr>
        <w:t>单位：</w:t>
      </w:r>
      <w:r>
        <w:rPr>
          <w:rFonts w:hint="eastAsia" w:ascii="仿宋" w:hAnsi="仿宋" w:eastAsia="仿宋" w:cs="仿宋"/>
          <w:color w:val="auto"/>
          <w:sz w:val="32"/>
          <w:szCs w:val="32"/>
          <w:highlight w:val="none"/>
          <w:lang w:val="en-US" w:eastAsia="zh-CN"/>
        </w:rPr>
        <w:t>石狮市市场监督管理局</w:t>
      </w:r>
    </w:p>
    <w:p>
      <w:pPr>
        <w:pStyle w:val="2"/>
        <w:keepNext w:val="0"/>
        <w:keepLines w:val="0"/>
        <w:pageBreakBefore w:val="0"/>
        <w:widowControl w:val="0"/>
        <w:kinsoku/>
        <w:wordWrap/>
        <w:overflowPunct/>
        <w:topLinePunct w:val="0"/>
        <w:autoSpaceDE/>
        <w:autoSpaceDN/>
        <w:bidi w:val="0"/>
        <w:adjustRightInd/>
        <w:snapToGrid/>
        <w:spacing w:after="0" w:line="240" w:lineRule="auto"/>
        <w:ind w:left="0" w:leftChars="0" w:firstLine="1280" w:firstLineChars="400"/>
        <w:textAlignment w:val="auto"/>
        <w:rPr>
          <w:rFonts w:hint="eastAsia" w:ascii="仿宋" w:hAnsi="仿宋" w:eastAsia="仿宋" w:cs="Arial"/>
          <w:color w:val="auto"/>
          <w:sz w:val="21"/>
          <w:szCs w:val="21"/>
          <w:highlight w:val="none"/>
          <w:lang w:val="en-US" w:eastAsia="zh-CN"/>
        </w:rPr>
      </w:pPr>
      <w:r>
        <w:rPr>
          <w:rFonts w:hint="eastAsia" w:ascii="仿宋" w:hAnsi="仿宋" w:eastAsia="仿宋" w:cs="仿宋"/>
          <w:color w:val="auto"/>
          <w:sz w:val="32"/>
          <w:szCs w:val="32"/>
          <w:highlight w:val="none"/>
        </w:rPr>
        <w:t>编制单位：泉州市招标咨询中心</w:t>
      </w:r>
      <w:r>
        <w:rPr>
          <w:rFonts w:hint="eastAsia" w:ascii="仿宋" w:hAnsi="仿宋" w:eastAsia="仿宋" w:cs="仿宋"/>
          <w:color w:val="auto"/>
          <w:sz w:val="32"/>
          <w:szCs w:val="32"/>
          <w:highlight w:val="none"/>
          <w:lang w:val="en-US" w:eastAsia="zh-CN"/>
        </w:rPr>
        <w:t>有限公司</w:t>
      </w:r>
    </w:p>
    <w:p>
      <w:pPr>
        <w:pStyle w:val="2"/>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jc w:val="center"/>
        <w:textAlignment w:val="auto"/>
        <w:rPr>
          <w:rFonts w:hint="eastAsia" w:ascii="方正小标宋简体" w:hAnsi="宋体" w:eastAsia="方正小标宋简体" w:cs="Arial"/>
          <w:szCs w:val="21"/>
          <w:highlight w:val="none"/>
        </w:rPr>
      </w:pPr>
      <w:r>
        <w:rPr>
          <w:rFonts w:hint="eastAsia" w:ascii="仿宋" w:hAnsi="仿宋" w:eastAsia="仿宋" w:cs="Arial"/>
          <w:color w:val="auto"/>
          <w:sz w:val="32"/>
          <w:szCs w:val="32"/>
          <w:highlight w:val="none"/>
        </w:rPr>
        <w:t>202</w:t>
      </w:r>
      <w:r>
        <w:rPr>
          <w:rFonts w:hint="eastAsia" w:ascii="仿宋" w:hAnsi="仿宋" w:eastAsia="仿宋" w:cs="Arial"/>
          <w:color w:val="auto"/>
          <w:sz w:val="32"/>
          <w:szCs w:val="32"/>
          <w:highlight w:val="none"/>
          <w:lang w:val="en-US" w:eastAsia="zh-CN"/>
        </w:rPr>
        <w:t>3</w:t>
      </w:r>
      <w:r>
        <w:rPr>
          <w:rFonts w:hint="eastAsia" w:ascii="仿宋" w:hAnsi="仿宋" w:eastAsia="仿宋" w:cs="Arial"/>
          <w:color w:val="auto"/>
          <w:sz w:val="32"/>
          <w:szCs w:val="32"/>
          <w:highlight w:val="none"/>
        </w:rPr>
        <w:t>年</w:t>
      </w:r>
      <w:r>
        <w:rPr>
          <w:rFonts w:hint="eastAsia" w:ascii="仿宋" w:hAnsi="仿宋" w:eastAsia="仿宋" w:cs="Arial"/>
          <w:color w:val="auto"/>
          <w:sz w:val="32"/>
          <w:szCs w:val="32"/>
          <w:highlight w:val="none"/>
          <w:lang w:val="en-US" w:eastAsia="zh-CN"/>
        </w:rPr>
        <w:t>6</w:t>
      </w:r>
      <w:r>
        <w:rPr>
          <w:rFonts w:hint="eastAsia" w:ascii="仿宋" w:hAnsi="仿宋" w:eastAsia="仿宋" w:cs="Arial"/>
          <w:color w:val="auto"/>
          <w:sz w:val="32"/>
          <w:szCs w:val="32"/>
          <w:highlight w:val="none"/>
        </w:rPr>
        <w:t>月</w:t>
      </w:r>
    </w:p>
    <w:p>
      <w:pPr>
        <w:pStyle w:val="2"/>
        <w:spacing w:line="240" w:lineRule="auto"/>
        <w:ind w:left="0" w:leftChars="0" w:firstLine="0" w:firstLineChars="0"/>
        <w:rPr>
          <w:highlight w:val="none"/>
        </w:rPr>
      </w:pPr>
      <w:r>
        <w:rPr>
          <w:rFonts w:hint="eastAsia" w:ascii="Calibri" w:hAnsi="Calibri" w:eastAsia="宋体" w:cs="Times New Roman"/>
          <w:szCs w:val="20"/>
          <w:highlight w:val="none"/>
          <w:lang w:val="en-US" w:eastAsia="zh-CN"/>
        </w:rPr>
        <w:br w:type="page"/>
      </w:r>
    </w:p>
    <w:p>
      <w:pPr>
        <w:rPr>
          <w:highlight w:val="none"/>
        </w:rPr>
        <w:sectPr>
          <w:headerReference r:id="rId3" w:type="default"/>
          <w:pgSz w:w="11906" w:h="16838"/>
          <w:pgMar w:top="1440" w:right="1800" w:bottom="1440" w:left="1587" w:header="851" w:footer="992" w:gutter="0"/>
          <w:pgBorders>
            <w:top w:val="none" w:sz="0" w:space="0"/>
            <w:left w:val="none" w:sz="0" w:space="0"/>
            <w:bottom w:val="none" w:sz="0" w:space="0"/>
            <w:right w:val="none" w:sz="0" w:space="0"/>
          </w:pgBorders>
          <w:pgNumType w:fmt="decimal"/>
          <w:cols w:space="425" w:num="1"/>
          <w:docGrid w:type="lines" w:linePitch="312" w:charSpace="0"/>
        </w:sectPr>
      </w:pPr>
    </w:p>
    <w:sdt>
      <w:sdtPr>
        <w:rPr>
          <w:rFonts w:hint="eastAsia" w:ascii="仿宋" w:hAnsi="仿宋" w:eastAsia="仿宋" w:cs="仿宋"/>
          <w:kern w:val="2"/>
          <w:sz w:val="21"/>
          <w:szCs w:val="21"/>
          <w:highlight w:val="none"/>
          <w:lang w:val="en-US" w:eastAsia="zh-CN" w:bidi="ar-SA"/>
        </w:rPr>
        <w:id w:val="147453670"/>
        <w15:color w:val="DBDBDB"/>
        <w:docPartObj>
          <w:docPartGallery w:val="Table of Contents"/>
          <w:docPartUnique/>
        </w:docPartObj>
      </w:sdtPr>
      <w:sdtEndPr>
        <w:rPr>
          <w:rFonts w:hint="eastAsia" w:ascii="仿宋" w:hAnsi="仿宋" w:eastAsia="仿宋" w:cs="仿宋"/>
          <w:bCs/>
          <w:color w:val="auto"/>
          <w:kern w:val="2"/>
          <w:sz w:val="24"/>
          <w:szCs w:val="24"/>
          <w:highlight w:val="none"/>
          <w:lang w:val="en-US" w:eastAsia="zh-CN" w:bidi="ar-SA"/>
        </w:rPr>
      </w:sdtEndPr>
      <w:sdtContent>
        <w:p>
          <w:pPr>
            <w:spacing w:before="0" w:beforeLines="0" w:after="0" w:afterLines="0" w:line="240" w:lineRule="auto"/>
            <w:ind w:left="0" w:leftChars="0" w:right="0" w:rightChars="0" w:firstLine="0" w:firstLineChars="0"/>
            <w:jc w:val="center"/>
            <w:rPr>
              <w:rFonts w:hint="eastAsia" w:ascii="仿宋" w:hAnsi="仿宋" w:eastAsia="仿宋" w:cs="仿宋"/>
              <w:sz w:val="21"/>
              <w:szCs w:val="21"/>
              <w:highlight w:val="none"/>
            </w:rPr>
          </w:pPr>
          <w:bookmarkStart w:id="14" w:name="_Toc22"/>
          <w:bookmarkStart w:id="15" w:name="_Toc27414"/>
          <w:bookmarkStart w:id="16" w:name="_Toc26659"/>
          <w:r>
            <w:rPr>
              <w:rFonts w:hint="eastAsia" w:ascii="仿宋" w:hAnsi="仿宋" w:eastAsia="仿宋" w:cs="仿宋"/>
              <w:sz w:val="21"/>
              <w:szCs w:val="21"/>
              <w:highlight w:val="none"/>
            </w:rPr>
            <w:t>目录</w:t>
          </w:r>
        </w:p>
        <w:p>
          <w:pPr>
            <w:pStyle w:val="9"/>
            <w:tabs>
              <w:tab w:val="right" w:leader="dot" w:pos="9134"/>
            </w:tabs>
            <w:rPr>
              <w:rFonts w:hint="eastAsia" w:ascii="仿宋" w:hAnsi="仿宋" w:eastAsia="仿宋" w:cs="仿宋"/>
              <w:sz w:val="21"/>
              <w:szCs w:val="21"/>
            </w:rPr>
          </w:pPr>
          <w:r>
            <w:rPr>
              <w:rFonts w:hint="eastAsia" w:ascii="仿宋" w:hAnsi="仿宋" w:eastAsia="仿宋" w:cs="仿宋"/>
              <w:b/>
              <w:bCs/>
              <w:color w:val="auto"/>
              <w:sz w:val="21"/>
              <w:szCs w:val="21"/>
              <w:highlight w:val="none"/>
              <w:lang w:val="en-US" w:eastAsia="zh-CN"/>
            </w:rPr>
            <w:fldChar w:fldCharType="begin"/>
          </w:r>
          <w:r>
            <w:rPr>
              <w:rFonts w:hint="eastAsia" w:ascii="仿宋" w:hAnsi="仿宋" w:eastAsia="仿宋" w:cs="仿宋"/>
              <w:b/>
              <w:bCs/>
              <w:color w:val="auto"/>
              <w:sz w:val="21"/>
              <w:szCs w:val="21"/>
              <w:highlight w:val="none"/>
              <w:lang w:val="en-US" w:eastAsia="zh-CN"/>
            </w:rPr>
            <w:instrText xml:space="preserve">TOC \o "1-3" \h \u </w:instrText>
          </w:r>
          <w:r>
            <w:rPr>
              <w:rFonts w:hint="eastAsia" w:ascii="仿宋" w:hAnsi="仿宋" w:eastAsia="仿宋" w:cs="仿宋"/>
              <w:b/>
              <w:bCs/>
              <w:color w:val="auto"/>
              <w:sz w:val="21"/>
              <w:szCs w:val="21"/>
              <w:highlight w:val="none"/>
              <w:lang w:val="en-US" w:eastAsia="zh-CN"/>
            </w:rPr>
            <w:fldChar w:fldCharType="separate"/>
          </w: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_Toc4447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sz w:val="21"/>
              <w:szCs w:val="21"/>
              <w:highlight w:val="none"/>
              <w:lang w:val="en-US" w:eastAsia="zh-CN"/>
            </w:rPr>
            <w:t>前言</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_Toc4447 \h </w:instrText>
          </w:r>
          <w:r>
            <w:rPr>
              <w:rFonts w:hint="eastAsia" w:ascii="仿宋" w:hAnsi="仿宋" w:eastAsia="仿宋" w:cs="仿宋"/>
              <w:sz w:val="21"/>
              <w:szCs w:val="21"/>
            </w:rPr>
            <w:fldChar w:fldCharType="separate"/>
          </w:r>
          <w:r>
            <w:rPr>
              <w:rFonts w:hint="eastAsia" w:ascii="仿宋" w:hAnsi="仿宋" w:eastAsia="仿宋" w:cs="仿宋"/>
              <w:sz w:val="21"/>
              <w:szCs w:val="21"/>
            </w:rPr>
            <w:t>1</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9"/>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_Toc83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kern w:val="44"/>
              <w:sz w:val="21"/>
              <w:szCs w:val="21"/>
              <w:lang w:val="en-US" w:eastAsia="zh-CN" w:bidi="ar-SA"/>
            </w:rPr>
            <w:t>一、</w:t>
          </w:r>
          <w:r>
            <w:rPr>
              <w:rFonts w:hint="eastAsia" w:ascii="仿宋" w:hAnsi="仿宋" w:eastAsia="仿宋" w:cs="仿宋"/>
              <w:sz w:val="21"/>
              <w:szCs w:val="21"/>
              <w:highlight w:val="none"/>
              <w:lang w:val="en-US" w:eastAsia="zh-CN"/>
            </w:rPr>
            <w:t>项目基本情况</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_Toc83 \h </w:instrText>
          </w:r>
          <w:r>
            <w:rPr>
              <w:rFonts w:hint="eastAsia" w:ascii="仿宋" w:hAnsi="仿宋" w:eastAsia="仿宋" w:cs="仿宋"/>
              <w:sz w:val="21"/>
              <w:szCs w:val="21"/>
            </w:rPr>
            <w:fldChar w:fldCharType="separate"/>
          </w:r>
          <w:r>
            <w:rPr>
              <w:rFonts w:hint="eastAsia" w:ascii="仿宋" w:hAnsi="仿宋" w:eastAsia="仿宋" w:cs="仿宋"/>
              <w:sz w:val="21"/>
              <w:szCs w:val="21"/>
            </w:rPr>
            <w:t>1</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10"/>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_Toc7373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kern w:val="2"/>
              <w:sz w:val="21"/>
              <w:szCs w:val="21"/>
              <w:highlight w:val="none"/>
              <w:lang w:val="en-US" w:eastAsia="zh-CN" w:bidi="ar-SA"/>
            </w:rPr>
            <w:t>（一）</w:t>
          </w:r>
          <w:r>
            <w:rPr>
              <w:rFonts w:hint="eastAsia" w:ascii="仿宋" w:hAnsi="仿宋" w:eastAsia="仿宋" w:cs="仿宋"/>
              <w:bCs/>
              <w:sz w:val="21"/>
              <w:szCs w:val="21"/>
              <w:highlight w:val="none"/>
              <w:lang w:val="en-US" w:eastAsia="zh-CN"/>
            </w:rPr>
            <w:t>项目概况</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_Toc7373 \h </w:instrText>
          </w:r>
          <w:r>
            <w:rPr>
              <w:rFonts w:hint="eastAsia" w:ascii="仿宋" w:hAnsi="仿宋" w:eastAsia="仿宋" w:cs="仿宋"/>
              <w:sz w:val="21"/>
              <w:szCs w:val="21"/>
            </w:rPr>
            <w:fldChar w:fldCharType="separate"/>
          </w:r>
          <w:r>
            <w:rPr>
              <w:rFonts w:hint="eastAsia" w:ascii="仿宋" w:hAnsi="仿宋" w:eastAsia="仿宋" w:cs="仿宋"/>
              <w:sz w:val="21"/>
              <w:szCs w:val="21"/>
            </w:rPr>
            <w:t>1</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6"/>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_Toc10449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kern w:val="2"/>
              <w:sz w:val="21"/>
              <w:szCs w:val="21"/>
              <w:highlight w:val="none"/>
              <w:lang w:val="en-US" w:eastAsia="zh-CN" w:bidi="ar-SA"/>
            </w:rPr>
            <w:t>1.</w:t>
          </w:r>
          <w:r>
            <w:rPr>
              <w:rFonts w:hint="eastAsia" w:ascii="仿宋" w:hAnsi="仿宋" w:eastAsia="仿宋" w:cs="仿宋"/>
              <w:bCs/>
              <w:sz w:val="21"/>
              <w:szCs w:val="21"/>
              <w:highlight w:val="none"/>
              <w:lang w:val="en-US" w:eastAsia="zh-CN"/>
            </w:rPr>
            <w:t>项目政策背景</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_Toc10449 \h </w:instrText>
          </w:r>
          <w:r>
            <w:rPr>
              <w:rFonts w:hint="eastAsia" w:ascii="仿宋" w:hAnsi="仿宋" w:eastAsia="仿宋" w:cs="仿宋"/>
              <w:sz w:val="21"/>
              <w:szCs w:val="21"/>
            </w:rPr>
            <w:fldChar w:fldCharType="separate"/>
          </w:r>
          <w:r>
            <w:rPr>
              <w:rFonts w:hint="eastAsia" w:ascii="仿宋" w:hAnsi="仿宋" w:eastAsia="仿宋" w:cs="仿宋"/>
              <w:sz w:val="21"/>
              <w:szCs w:val="21"/>
            </w:rPr>
            <w:t>1</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6"/>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_Toc25754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kern w:val="2"/>
              <w:sz w:val="21"/>
              <w:szCs w:val="21"/>
              <w:highlight w:val="none"/>
              <w:lang w:val="en-US" w:eastAsia="zh-CN" w:bidi="ar-SA"/>
            </w:rPr>
            <w:t>2.项目内容和实施情况</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_Toc25754 \h </w:instrText>
          </w:r>
          <w:r>
            <w:rPr>
              <w:rFonts w:hint="eastAsia" w:ascii="仿宋" w:hAnsi="仿宋" w:eastAsia="仿宋" w:cs="仿宋"/>
              <w:sz w:val="21"/>
              <w:szCs w:val="21"/>
            </w:rPr>
            <w:fldChar w:fldCharType="separate"/>
          </w:r>
          <w:r>
            <w:rPr>
              <w:rFonts w:hint="eastAsia" w:ascii="仿宋" w:hAnsi="仿宋" w:eastAsia="仿宋" w:cs="仿宋"/>
              <w:sz w:val="21"/>
              <w:szCs w:val="21"/>
            </w:rPr>
            <w:t>1</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6"/>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_Toc17709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kern w:val="2"/>
              <w:sz w:val="21"/>
              <w:szCs w:val="21"/>
              <w:highlight w:val="none"/>
              <w:lang w:val="en-US" w:eastAsia="zh-CN" w:bidi="ar-SA"/>
            </w:rPr>
            <w:t>3.资金投入和使用情况</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_Toc17709 \h </w:instrText>
          </w:r>
          <w:r>
            <w:rPr>
              <w:rFonts w:hint="eastAsia" w:ascii="仿宋" w:hAnsi="仿宋" w:eastAsia="仿宋" w:cs="仿宋"/>
              <w:sz w:val="21"/>
              <w:szCs w:val="21"/>
            </w:rPr>
            <w:fldChar w:fldCharType="separate"/>
          </w:r>
          <w:r>
            <w:rPr>
              <w:rFonts w:hint="eastAsia" w:ascii="仿宋" w:hAnsi="仿宋" w:eastAsia="仿宋" w:cs="仿宋"/>
              <w:sz w:val="21"/>
              <w:szCs w:val="21"/>
            </w:rPr>
            <w:t>2</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10"/>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_Toc3419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kern w:val="2"/>
              <w:sz w:val="21"/>
              <w:szCs w:val="21"/>
              <w:highlight w:val="none"/>
              <w:lang w:val="en-US" w:eastAsia="zh-CN" w:bidi="ar-SA"/>
            </w:rPr>
            <w:t>（二）</w:t>
          </w:r>
          <w:r>
            <w:rPr>
              <w:rFonts w:hint="eastAsia" w:ascii="仿宋" w:hAnsi="仿宋" w:eastAsia="仿宋" w:cs="仿宋"/>
              <w:bCs/>
              <w:sz w:val="21"/>
              <w:szCs w:val="21"/>
              <w:highlight w:val="none"/>
              <w:lang w:val="en-US" w:eastAsia="zh-CN"/>
            </w:rPr>
            <w:t>项目绩效目标</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_Toc3419 \h </w:instrText>
          </w:r>
          <w:r>
            <w:rPr>
              <w:rFonts w:hint="eastAsia" w:ascii="仿宋" w:hAnsi="仿宋" w:eastAsia="仿宋" w:cs="仿宋"/>
              <w:sz w:val="21"/>
              <w:szCs w:val="21"/>
            </w:rPr>
            <w:fldChar w:fldCharType="separate"/>
          </w:r>
          <w:r>
            <w:rPr>
              <w:rFonts w:hint="eastAsia" w:ascii="仿宋" w:hAnsi="仿宋" w:eastAsia="仿宋" w:cs="仿宋"/>
              <w:sz w:val="21"/>
              <w:szCs w:val="21"/>
            </w:rPr>
            <w:t>3</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6"/>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_Toc17932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kern w:val="2"/>
              <w:sz w:val="21"/>
              <w:szCs w:val="21"/>
              <w:highlight w:val="none"/>
              <w:lang w:val="en-US" w:eastAsia="zh-CN" w:bidi="ar-SA"/>
            </w:rPr>
            <w:t>1.总体目标</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_Toc17932 \h </w:instrText>
          </w:r>
          <w:r>
            <w:rPr>
              <w:rFonts w:hint="eastAsia" w:ascii="仿宋" w:hAnsi="仿宋" w:eastAsia="仿宋" w:cs="仿宋"/>
              <w:sz w:val="21"/>
              <w:szCs w:val="21"/>
            </w:rPr>
            <w:fldChar w:fldCharType="separate"/>
          </w:r>
          <w:r>
            <w:rPr>
              <w:rFonts w:hint="eastAsia" w:ascii="仿宋" w:hAnsi="仿宋" w:eastAsia="仿宋" w:cs="仿宋"/>
              <w:sz w:val="21"/>
              <w:szCs w:val="21"/>
            </w:rPr>
            <w:t>3</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6"/>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_Toc15225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kern w:val="2"/>
              <w:sz w:val="21"/>
              <w:szCs w:val="21"/>
              <w:highlight w:val="none"/>
              <w:lang w:val="en-US" w:eastAsia="zh-CN" w:bidi="ar-SA"/>
            </w:rPr>
            <w:t>2.具体目标</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_Toc15225 \h </w:instrText>
          </w:r>
          <w:r>
            <w:rPr>
              <w:rFonts w:hint="eastAsia" w:ascii="仿宋" w:hAnsi="仿宋" w:eastAsia="仿宋" w:cs="仿宋"/>
              <w:sz w:val="21"/>
              <w:szCs w:val="21"/>
            </w:rPr>
            <w:fldChar w:fldCharType="separate"/>
          </w:r>
          <w:r>
            <w:rPr>
              <w:rFonts w:hint="eastAsia" w:ascii="仿宋" w:hAnsi="仿宋" w:eastAsia="仿宋" w:cs="仿宋"/>
              <w:sz w:val="21"/>
              <w:szCs w:val="21"/>
            </w:rPr>
            <w:t>3</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9"/>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_Toc440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kern w:val="44"/>
              <w:sz w:val="21"/>
              <w:szCs w:val="21"/>
              <w:lang w:val="en-US" w:eastAsia="zh-CN" w:bidi="ar-SA"/>
            </w:rPr>
            <w:t>二、</w:t>
          </w:r>
          <w:r>
            <w:rPr>
              <w:rFonts w:hint="eastAsia" w:ascii="仿宋" w:hAnsi="仿宋" w:eastAsia="仿宋" w:cs="仿宋"/>
              <w:sz w:val="21"/>
              <w:szCs w:val="21"/>
              <w:highlight w:val="none"/>
              <w:lang w:val="en-US" w:eastAsia="zh-CN"/>
            </w:rPr>
            <w:t>评价工作开展情况</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_Toc440 \h </w:instrText>
          </w:r>
          <w:r>
            <w:rPr>
              <w:rFonts w:hint="eastAsia" w:ascii="仿宋" w:hAnsi="仿宋" w:eastAsia="仿宋" w:cs="仿宋"/>
              <w:sz w:val="21"/>
              <w:szCs w:val="21"/>
            </w:rPr>
            <w:fldChar w:fldCharType="separate"/>
          </w:r>
          <w:r>
            <w:rPr>
              <w:rFonts w:hint="eastAsia" w:ascii="仿宋" w:hAnsi="仿宋" w:eastAsia="仿宋" w:cs="仿宋"/>
              <w:sz w:val="21"/>
              <w:szCs w:val="21"/>
            </w:rPr>
            <w:t>4</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10"/>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_Toc24003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sz w:val="21"/>
              <w:szCs w:val="21"/>
              <w:lang w:val="en-US" w:eastAsia="zh-CN"/>
            </w:rPr>
            <w:t>（一）</w:t>
          </w:r>
          <w:r>
            <w:rPr>
              <w:rFonts w:hint="eastAsia" w:ascii="仿宋" w:hAnsi="仿宋" w:eastAsia="仿宋" w:cs="仿宋"/>
              <w:bCs/>
              <w:sz w:val="21"/>
              <w:szCs w:val="21"/>
              <w:highlight w:val="none"/>
              <w:lang w:val="en-US" w:eastAsia="zh-CN"/>
            </w:rPr>
            <w:t>评价目的</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_Toc24003 \h </w:instrText>
          </w:r>
          <w:r>
            <w:rPr>
              <w:rFonts w:hint="eastAsia" w:ascii="仿宋" w:hAnsi="仿宋" w:eastAsia="仿宋" w:cs="仿宋"/>
              <w:sz w:val="21"/>
              <w:szCs w:val="21"/>
            </w:rPr>
            <w:fldChar w:fldCharType="separate"/>
          </w:r>
          <w:r>
            <w:rPr>
              <w:rFonts w:hint="eastAsia" w:ascii="仿宋" w:hAnsi="仿宋" w:eastAsia="仿宋" w:cs="仿宋"/>
              <w:sz w:val="21"/>
              <w:szCs w:val="21"/>
            </w:rPr>
            <w:t>4</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10"/>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_Toc7241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sz w:val="21"/>
              <w:szCs w:val="21"/>
              <w:lang w:val="en-US" w:eastAsia="zh-CN"/>
            </w:rPr>
            <w:t>（二）</w:t>
          </w:r>
          <w:r>
            <w:rPr>
              <w:rFonts w:hint="eastAsia" w:ascii="仿宋" w:hAnsi="仿宋" w:eastAsia="仿宋" w:cs="仿宋"/>
              <w:bCs/>
              <w:sz w:val="21"/>
              <w:szCs w:val="21"/>
              <w:highlight w:val="none"/>
              <w:lang w:val="en-US" w:eastAsia="zh-CN"/>
            </w:rPr>
            <w:t>评价对象及范围</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_Toc7241 \h </w:instrText>
          </w:r>
          <w:r>
            <w:rPr>
              <w:rFonts w:hint="eastAsia" w:ascii="仿宋" w:hAnsi="仿宋" w:eastAsia="仿宋" w:cs="仿宋"/>
              <w:sz w:val="21"/>
              <w:szCs w:val="21"/>
            </w:rPr>
            <w:fldChar w:fldCharType="separate"/>
          </w:r>
          <w:r>
            <w:rPr>
              <w:rFonts w:hint="eastAsia" w:ascii="仿宋" w:hAnsi="仿宋" w:eastAsia="仿宋" w:cs="仿宋"/>
              <w:sz w:val="21"/>
              <w:szCs w:val="21"/>
            </w:rPr>
            <w:t>4</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10"/>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_Toc5558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sz w:val="21"/>
              <w:szCs w:val="21"/>
              <w:lang w:val="en-US" w:eastAsia="zh-CN"/>
            </w:rPr>
            <w:t>（三）</w:t>
          </w:r>
          <w:r>
            <w:rPr>
              <w:rFonts w:hint="eastAsia" w:ascii="仿宋" w:hAnsi="仿宋" w:eastAsia="仿宋" w:cs="仿宋"/>
              <w:bCs/>
              <w:sz w:val="21"/>
              <w:szCs w:val="21"/>
              <w:highlight w:val="none"/>
              <w:lang w:val="en-US" w:eastAsia="zh-CN"/>
            </w:rPr>
            <w:t>评价依据</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_Toc5558 \h </w:instrText>
          </w:r>
          <w:r>
            <w:rPr>
              <w:rFonts w:hint="eastAsia" w:ascii="仿宋" w:hAnsi="仿宋" w:eastAsia="仿宋" w:cs="仿宋"/>
              <w:sz w:val="21"/>
              <w:szCs w:val="21"/>
            </w:rPr>
            <w:fldChar w:fldCharType="separate"/>
          </w:r>
          <w:r>
            <w:rPr>
              <w:rFonts w:hint="eastAsia" w:ascii="仿宋" w:hAnsi="仿宋" w:eastAsia="仿宋" w:cs="仿宋"/>
              <w:sz w:val="21"/>
              <w:szCs w:val="21"/>
            </w:rPr>
            <w:t>4</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10"/>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_Toc17320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sz w:val="21"/>
              <w:szCs w:val="21"/>
              <w:lang w:val="en-US" w:eastAsia="zh-CN"/>
            </w:rPr>
            <w:t>（四）</w:t>
          </w:r>
          <w:r>
            <w:rPr>
              <w:rFonts w:hint="eastAsia" w:ascii="仿宋" w:hAnsi="仿宋" w:eastAsia="仿宋" w:cs="仿宋"/>
              <w:bCs/>
              <w:sz w:val="21"/>
              <w:szCs w:val="21"/>
              <w:highlight w:val="none"/>
              <w:lang w:val="en-US" w:eastAsia="zh-CN"/>
            </w:rPr>
            <w:t>评价原则与评价指标体系</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_Toc17320 \h </w:instrText>
          </w:r>
          <w:r>
            <w:rPr>
              <w:rFonts w:hint="eastAsia" w:ascii="仿宋" w:hAnsi="仿宋" w:eastAsia="仿宋" w:cs="仿宋"/>
              <w:sz w:val="21"/>
              <w:szCs w:val="21"/>
            </w:rPr>
            <w:fldChar w:fldCharType="separate"/>
          </w:r>
          <w:r>
            <w:rPr>
              <w:rFonts w:hint="eastAsia" w:ascii="仿宋" w:hAnsi="仿宋" w:eastAsia="仿宋" w:cs="仿宋"/>
              <w:sz w:val="21"/>
              <w:szCs w:val="21"/>
            </w:rPr>
            <w:t>5</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6"/>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_Toc32657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sz w:val="21"/>
              <w:szCs w:val="21"/>
              <w:highlight w:val="none"/>
              <w:lang w:val="en-US" w:eastAsia="zh-CN"/>
            </w:rPr>
            <w:t>1.评价原则</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_Toc32657 \h </w:instrText>
          </w:r>
          <w:r>
            <w:rPr>
              <w:rFonts w:hint="eastAsia" w:ascii="仿宋" w:hAnsi="仿宋" w:eastAsia="仿宋" w:cs="仿宋"/>
              <w:sz w:val="21"/>
              <w:szCs w:val="21"/>
            </w:rPr>
            <w:fldChar w:fldCharType="separate"/>
          </w:r>
          <w:r>
            <w:rPr>
              <w:rFonts w:hint="eastAsia" w:ascii="仿宋" w:hAnsi="仿宋" w:eastAsia="仿宋" w:cs="仿宋"/>
              <w:sz w:val="21"/>
              <w:szCs w:val="21"/>
            </w:rPr>
            <w:t>5</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6"/>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_Toc32068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sz w:val="21"/>
              <w:szCs w:val="21"/>
              <w:highlight w:val="none"/>
              <w:lang w:val="en-US" w:eastAsia="zh-CN"/>
            </w:rPr>
            <w:t>2.评价指标体系</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_Toc32068 \h </w:instrText>
          </w:r>
          <w:r>
            <w:rPr>
              <w:rFonts w:hint="eastAsia" w:ascii="仿宋" w:hAnsi="仿宋" w:eastAsia="仿宋" w:cs="仿宋"/>
              <w:sz w:val="21"/>
              <w:szCs w:val="21"/>
            </w:rPr>
            <w:fldChar w:fldCharType="separate"/>
          </w:r>
          <w:r>
            <w:rPr>
              <w:rFonts w:hint="eastAsia" w:ascii="仿宋" w:hAnsi="仿宋" w:eastAsia="仿宋" w:cs="仿宋"/>
              <w:sz w:val="21"/>
              <w:szCs w:val="21"/>
            </w:rPr>
            <w:t>5</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10"/>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_Toc10195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sz w:val="21"/>
              <w:szCs w:val="21"/>
              <w:lang w:val="en-US" w:eastAsia="zh-CN"/>
            </w:rPr>
            <w:t>（五）</w:t>
          </w:r>
          <w:r>
            <w:rPr>
              <w:rFonts w:hint="eastAsia" w:ascii="仿宋" w:hAnsi="仿宋" w:eastAsia="仿宋" w:cs="仿宋"/>
              <w:bCs/>
              <w:sz w:val="21"/>
              <w:szCs w:val="21"/>
              <w:highlight w:val="none"/>
              <w:lang w:val="en-US" w:eastAsia="zh-CN"/>
            </w:rPr>
            <w:t>评价方法和评价标准</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_Toc10195 \h </w:instrText>
          </w:r>
          <w:r>
            <w:rPr>
              <w:rFonts w:hint="eastAsia" w:ascii="仿宋" w:hAnsi="仿宋" w:eastAsia="仿宋" w:cs="仿宋"/>
              <w:sz w:val="21"/>
              <w:szCs w:val="21"/>
            </w:rPr>
            <w:fldChar w:fldCharType="separate"/>
          </w:r>
          <w:r>
            <w:rPr>
              <w:rFonts w:hint="eastAsia" w:ascii="仿宋" w:hAnsi="仿宋" w:eastAsia="仿宋" w:cs="仿宋"/>
              <w:sz w:val="21"/>
              <w:szCs w:val="21"/>
            </w:rPr>
            <w:t>7</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6"/>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_Toc21855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sz w:val="21"/>
              <w:szCs w:val="21"/>
              <w:highlight w:val="none"/>
              <w:lang w:val="en-US" w:eastAsia="zh-CN"/>
            </w:rPr>
            <w:t>1.评价方法</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_Toc21855 \h </w:instrText>
          </w:r>
          <w:r>
            <w:rPr>
              <w:rFonts w:hint="eastAsia" w:ascii="仿宋" w:hAnsi="仿宋" w:eastAsia="仿宋" w:cs="仿宋"/>
              <w:sz w:val="21"/>
              <w:szCs w:val="21"/>
            </w:rPr>
            <w:fldChar w:fldCharType="separate"/>
          </w:r>
          <w:r>
            <w:rPr>
              <w:rFonts w:hint="eastAsia" w:ascii="仿宋" w:hAnsi="仿宋" w:eastAsia="仿宋" w:cs="仿宋"/>
              <w:sz w:val="21"/>
              <w:szCs w:val="21"/>
            </w:rPr>
            <w:t>7</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6"/>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_Toc15493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sz w:val="21"/>
              <w:szCs w:val="21"/>
              <w:highlight w:val="none"/>
              <w:lang w:val="en-US" w:eastAsia="zh-CN"/>
            </w:rPr>
            <w:t>2.评价标准</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_Toc15493 \h </w:instrText>
          </w:r>
          <w:r>
            <w:rPr>
              <w:rFonts w:hint="eastAsia" w:ascii="仿宋" w:hAnsi="仿宋" w:eastAsia="仿宋" w:cs="仿宋"/>
              <w:sz w:val="21"/>
              <w:szCs w:val="21"/>
            </w:rPr>
            <w:fldChar w:fldCharType="separate"/>
          </w:r>
          <w:r>
            <w:rPr>
              <w:rFonts w:hint="eastAsia" w:ascii="仿宋" w:hAnsi="仿宋" w:eastAsia="仿宋" w:cs="仿宋"/>
              <w:sz w:val="21"/>
              <w:szCs w:val="21"/>
            </w:rPr>
            <w:t>7</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10"/>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_Toc4451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sz w:val="21"/>
              <w:szCs w:val="21"/>
              <w:lang w:val="en-US" w:eastAsia="zh-CN"/>
            </w:rPr>
            <w:t>（六）</w:t>
          </w:r>
          <w:r>
            <w:rPr>
              <w:rFonts w:hint="eastAsia" w:ascii="仿宋" w:hAnsi="仿宋" w:eastAsia="仿宋" w:cs="仿宋"/>
              <w:bCs/>
              <w:sz w:val="21"/>
              <w:szCs w:val="21"/>
              <w:highlight w:val="none"/>
              <w:lang w:val="en-US" w:eastAsia="zh-CN"/>
            </w:rPr>
            <w:t>绩效评价工作过程</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_Toc4451 \h </w:instrText>
          </w:r>
          <w:r>
            <w:rPr>
              <w:rFonts w:hint="eastAsia" w:ascii="仿宋" w:hAnsi="仿宋" w:eastAsia="仿宋" w:cs="仿宋"/>
              <w:sz w:val="21"/>
              <w:szCs w:val="21"/>
            </w:rPr>
            <w:fldChar w:fldCharType="separate"/>
          </w:r>
          <w:r>
            <w:rPr>
              <w:rFonts w:hint="eastAsia" w:ascii="仿宋" w:hAnsi="仿宋" w:eastAsia="仿宋" w:cs="仿宋"/>
              <w:sz w:val="21"/>
              <w:szCs w:val="21"/>
            </w:rPr>
            <w:t>7</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6"/>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_Toc9929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sz w:val="21"/>
              <w:szCs w:val="21"/>
              <w:highlight w:val="none"/>
              <w:lang w:val="en-US" w:eastAsia="zh-CN"/>
            </w:rPr>
            <w:t>1.前期准备</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_Toc9929 \h </w:instrText>
          </w:r>
          <w:r>
            <w:rPr>
              <w:rFonts w:hint="eastAsia" w:ascii="仿宋" w:hAnsi="仿宋" w:eastAsia="仿宋" w:cs="仿宋"/>
              <w:sz w:val="21"/>
              <w:szCs w:val="21"/>
            </w:rPr>
            <w:fldChar w:fldCharType="separate"/>
          </w:r>
          <w:r>
            <w:rPr>
              <w:rFonts w:hint="eastAsia" w:ascii="仿宋" w:hAnsi="仿宋" w:eastAsia="仿宋" w:cs="仿宋"/>
              <w:sz w:val="21"/>
              <w:szCs w:val="21"/>
            </w:rPr>
            <w:t>7</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6"/>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_Toc20935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sz w:val="21"/>
              <w:szCs w:val="21"/>
              <w:highlight w:val="none"/>
              <w:lang w:val="en-US" w:eastAsia="zh-CN"/>
            </w:rPr>
            <w:t>2.非现场评价</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_Toc20935 \h </w:instrText>
          </w:r>
          <w:r>
            <w:rPr>
              <w:rFonts w:hint="eastAsia" w:ascii="仿宋" w:hAnsi="仿宋" w:eastAsia="仿宋" w:cs="仿宋"/>
              <w:sz w:val="21"/>
              <w:szCs w:val="21"/>
            </w:rPr>
            <w:fldChar w:fldCharType="separate"/>
          </w:r>
          <w:r>
            <w:rPr>
              <w:rFonts w:hint="eastAsia" w:ascii="仿宋" w:hAnsi="仿宋" w:eastAsia="仿宋" w:cs="仿宋"/>
              <w:sz w:val="21"/>
              <w:szCs w:val="21"/>
            </w:rPr>
            <w:t>8</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6"/>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_Toc22957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sz w:val="21"/>
              <w:szCs w:val="21"/>
              <w:highlight w:val="none"/>
              <w:lang w:val="en-US" w:eastAsia="zh-CN"/>
            </w:rPr>
            <w:t>3.现场评价</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_Toc22957 \h </w:instrText>
          </w:r>
          <w:r>
            <w:rPr>
              <w:rFonts w:hint="eastAsia" w:ascii="仿宋" w:hAnsi="仿宋" w:eastAsia="仿宋" w:cs="仿宋"/>
              <w:sz w:val="21"/>
              <w:szCs w:val="21"/>
            </w:rPr>
            <w:fldChar w:fldCharType="separate"/>
          </w:r>
          <w:r>
            <w:rPr>
              <w:rFonts w:hint="eastAsia" w:ascii="仿宋" w:hAnsi="仿宋" w:eastAsia="仿宋" w:cs="仿宋"/>
              <w:sz w:val="21"/>
              <w:szCs w:val="21"/>
            </w:rPr>
            <w:t>8</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6"/>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_Toc2057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sz w:val="21"/>
              <w:szCs w:val="21"/>
              <w:highlight w:val="none"/>
              <w:lang w:val="en-US" w:eastAsia="zh-CN"/>
            </w:rPr>
            <w:t>4.分析评价</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_Toc2057 \h </w:instrText>
          </w:r>
          <w:r>
            <w:rPr>
              <w:rFonts w:hint="eastAsia" w:ascii="仿宋" w:hAnsi="仿宋" w:eastAsia="仿宋" w:cs="仿宋"/>
              <w:sz w:val="21"/>
              <w:szCs w:val="21"/>
            </w:rPr>
            <w:fldChar w:fldCharType="separate"/>
          </w:r>
          <w:r>
            <w:rPr>
              <w:rFonts w:hint="eastAsia" w:ascii="仿宋" w:hAnsi="仿宋" w:eastAsia="仿宋" w:cs="仿宋"/>
              <w:sz w:val="21"/>
              <w:szCs w:val="21"/>
            </w:rPr>
            <w:t>8</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6"/>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_Toc18618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sz w:val="21"/>
              <w:szCs w:val="21"/>
              <w:highlight w:val="none"/>
              <w:lang w:val="en-US" w:eastAsia="zh-CN"/>
            </w:rPr>
            <w:t>5.撰写与提交评价报告</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_Toc18618 \h </w:instrText>
          </w:r>
          <w:r>
            <w:rPr>
              <w:rFonts w:hint="eastAsia" w:ascii="仿宋" w:hAnsi="仿宋" w:eastAsia="仿宋" w:cs="仿宋"/>
              <w:sz w:val="21"/>
              <w:szCs w:val="21"/>
            </w:rPr>
            <w:fldChar w:fldCharType="separate"/>
          </w:r>
          <w:r>
            <w:rPr>
              <w:rFonts w:hint="eastAsia" w:ascii="仿宋" w:hAnsi="仿宋" w:eastAsia="仿宋" w:cs="仿宋"/>
              <w:sz w:val="21"/>
              <w:szCs w:val="21"/>
            </w:rPr>
            <w:t>8</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9"/>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_Toc2444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kern w:val="44"/>
              <w:sz w:val="21"/>
              <w:szCs w:val="21"/>
              <w:lang w:val="en-US" w:eastAsia="zh-CN" w:bidi="ar-SA"/>
            </w:rPr>
            <w:t>三、</w:t>
          </w:r>
          <w:r>
            <w:rPr>
              <w:rFonts w:hint="eastAsia" w:ascii="仿宋" w:hAnsi="仿宋" w:eastAsia="仿宋" w:cs="仿宋"/>
              <w:sz w:val="21"/>
              <w:szCs w:val="21"/>
              <w:highlight w:val="none"/>
              <w:lang w:val="en-US" w:eastAsia="zh-CN"/>
            </w:rPr>
            <w:t>综合评价结论及分析</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_Toc2444 \h </w:instrText>
          </w:r>
          <w:r>
            <w:rPr>
              <w:rFonts w:hint="eastAsia" w:ascii="仿宋" w:hAnsi="仿宋" w:eastAsia="仿宋" w:cs="仿宋"/>
              <w:sz w:val="21"/>
              <w:szCs w:val="21"/>
            </w:rPr>
            <w:fldChar w:fldCharType="separate"/>
          </w:r>
          <w:r>
            <w:rPr>
              <w:rFonts w:hint="eastAsia" w:ascii="仿宋" w:hAnsi="仿宋" w:eastAsia="仿宋" w:cs="仿宋"/>
              <w:sz w:val="21"/>
              <w:szCs w:val="21"/>
            </w:rPr>
            <w:t>9</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9"/>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_Toc9088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kern w:val="44"/>
              <w:sz w:val="21"/>
              <w:szCs w:val="21"/>
              <w:lang w:val="en-US" w:eastAsia="zh-CN" w:bidi="ar-SA"/>
            </w:rPr>
            <w:t>四、</w:t>
          </w:r>
          <w:r>
            <w:rPr>
              <w:rFonts w:hint="eastAsia" w:ascii="仿宋" w:hAnsi="仿宋" w:eastAsia="仿宋" w:cs="仿宋"/>
              <w:sz w:val="21"/>
              <w:szCs w:val="21"/>
              <w:highlight w:val="none"/>
              <w:lang w:val="en-US" w:eastAsia="zh-CN"/>
            </w:rPr>
            <w:t>项目主要绩效</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_Toc9088 \h </w:instrText>
          </w:r>
          <w:r>
            <w:rPr>
              <w:rFonts w:hint="eastAsia" w:ascii="仿宋" w:hAnsi="仿宋" w:eastAsia="仿宋" w:cs="仿宋"/>
              <w:sz w:val="21"/>
              <w:szCs w:val="21"/>
            </w:rPr>
            <w:fldChar w:fldCharType="separate"/>
          </w:r>
          <w:r>
            <w:rPr>
              <w:rFonts w:hint="eastAsia" w:ascii="仿宋" w:hAnsi="仿宋" w:eastAsia="仿宋" w:cs="仿宋"/>
              <w:sz w:val="21"/>
              <w:szCs w:val="21"/>
            </w:rPr>
            <w:t>15</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9"/>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_Toc9005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kern w:val="44"/>
              <w:sz w:val="21"/>
              <w:szCs w:val="21"/>
              <w:lang w:val="en-US" w:eastAsia="zh-CN" w:bidi="ar-SA"/>
            </w:rPr>
            <w:t>五、</w:t>
          </w:r>
          <w:r>
            <w:rPr>
              <w:rFonts w:hint="eastAsia" w:ascii="仿宋" w:hAnsi="仿宋" w:eastAsia="仿宋" w:cs="仿宋"/>
              <w:sz w:val="21"/>
              <w:szCs w:val="21"/>
              <w:highlight w:val="none"/>
              <w:lang w:val="en-US" w:eastAsia="zh-CN"/>
            </w:rPr>
            <w:t>项目存在的主要问题及原因分析</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_Toc9005 \h </w:instrText>
          </w:r>
          <w:r>
            <w:rPr>
              <w:rFonts w:hint="eastAsia" w:ascii="仿宋" w:hAnsi="仿宋" w:eastAsia="仿宋" w:cs="仿宋"/>
              <w:sz w:val="21"/>
              <w:szCs w:val="21"/>
            </w:rPr>
            <w:fldChar w:fldCharType="separate"/>
          </w:r>
          <w:r>
            <w:rPr>
              <w:rFonts w:hint="eastAsia" w:ascii="仿宋" w:hAnsi="仿宋" w:eastAsia="仿宋" w:cs="仿宋"/>
              <w:sz w:val="21"/>
              <w:szCs w:val="21"/>
            </w:rPr>
            <w:t>15</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10"/>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_Toc10069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kern w:val="0"/>
              <w:sz w:val="21"/>
              <w:szCs w:val="21"/>
              <w:highlight w:val="none"/>
              <w:lang w:val="en-US" w:eastAsia="zh-CN" w:bidi="ar-SA"/>
            </w:rPr>
            <w:t>（一）绩效目标设置与绩效自评填报需进一步完善</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_Toc10069 \h </w:instrText>
          </w:r>
          <w:r>
            <w:rPr>
              <w:rFonts w:hint="eastAsia" w:ascii="仿宋" w:hAnsi="仿宋" w:eastAsia="仿宋" w:cs="仿宋"/>
              <w:sz w:val="21"/>
              <w:szCs w:val="21"/>
            </w:rPr>
            <w:fldChar w:fldCharType="separate"/>
          </w:r>
          <w:r>
            <w:rPr>
              <w:rFonts w:hint="eastAsia" w:ascii="仿宋" w:hAnsi="仿宋" w:eastAsia="仿宋" w:cs="仿宋"/>
              <w:sz w:val="21"/>
              <w:szCs w:val="21"/>
            </w:rPr>
            <w:t>15</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10"/>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_Toc4094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kern w:val="0"/>
              <w:sz w:val="21"/>
              <w:szCs w:val="21"/>
              <w:highlight w:val="none"/>
              <w:lang w:val="en-US" w:eastAsia="zh-CN" w:bidi="ar-SA"/>
            </w:rPr>
            <w:t>（二）食品安全宣传效果偏低，社会公众对食品安全总体满意度不高</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_Toc4094 \h </w:instrText>
          </w:r>
          <w:r>
            <w:rPr>
              <w:rFonts w:hint="eastAsia" w:ascii="仿宋" w:hAnsi="仿宋" w:eastAsia="仿宋" w:cs="仿宋"/>
              <w:sz w:val="21"/>
              <w:szCs w:val="21"/>
            </w:rPr>
            <w:fldChar w:fldCharType="separate"/>
          </w:r>
          <w:r>
            <w:rPr>
              <w:rFonts w:hint="eastAsia" w:ascii="仿宋" w:hAnsi="仿宋" w:eastAsia="仿宋" w:cs="仿宋"/>
              <w:sz w:val="21"/>
              <w:szCs w:val="21"/>
            </w:rPr>
            <w:t>15</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10"/>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_Toc14996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kern w:val="0"/>
              <w:sz w:val="21"/>
              <w:szCs w:val="21"/>
              <w:highlight w:val="none"/>
              <w:lang w:val="en-US" w:eastAsia="zh-CN" w:bidi="ar-SA"/>
            </w:rPr>
            <w:t>（三）监督管理需进一步加强，强化食品安全的源头管理</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_Toc14996 \h </w:instrText>
          </w:r>
          <w:r>
            <w:rPr>
              <w:rFonts w:hint="eastAsia" w:ascii="仿宋" w:hAnsi="仿宋" w:eastAsia="仿宋" w:cs="仿宋"/>
              <w:sz w:val="21"/>
              <w:szCs w:val="21"/>
            </w:rPr>
            <w:fldChar w:fldCharType="separate"/>
          </w:r>
          <w:r>
            <w:rPr>
              <w:rFonts w:hint="eastAsia" w:ascii="仿宋" w:hAnsi="仿宋" w:eastAsia="仿宋" w:cs="仿宋"/>
              <w:sz w:val="21"/>
              <w:szCs w:val="21"/>
            </w:rPr>
            <w:t>16</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10"/>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_Toc340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kern w:val="0"/>
              <w:sz w:val="21"/>
              <w:szCs w:val="21"/>
              <w:highlight w:val="none"/>
              <w:lang w:val="en-US" w:eastAsia="zh-CN" w:bidi="ar-SA"/>
            </w:rPr>
            <w:t>（四）项目档案管理需进一步加强</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_Toc340 \h </w:instrText>
          </w:r>
          <w:r>
            <w:rPr>
              <w:rFonts w:hint="eastAsia" w:ascii="仿宋" w:hAnsi="仿宋" w:eastAsia="仿宋" w:cs="仿宋"/>
              <w:sz w:val="21"/>
              <w:szCs w:val="21"/>
            </w:rPr>
            <w:fldChar w:fldCharType="separate"/>
          </w:r>
          <w:r>
            <w:rPr>
              <w:rFonts w:hint="eastAsia" w:ascii="仿宋" w:hAnsi="仿宋" w:eastAsia="仿宋" w:cs="仿宋"/>
              <w:sz w:val="21"/>
              <w:szCs w:val="21"/>
            </w:rPr>
            <w:t>16</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9"/>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_Toc15614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kern w:val="44"/>
              <w:sz w:val="21"/>
              <w:szCs w:val="21"/>
              <w:lang w:val="en-US" w:eastAsia="zh-CN" w:bidi="ar-SA"/>
            </w:rPr>
            <w:t>六、意见建议</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_Toc15614 \h </w:instrText>
          </w:r>
          <w:r>
            <w:rPr>
              <w:rFonts w:hint="eastAsia" w:ascii="仿宋" w:hAnsi="仿宋" w:eastAsia="仿宋" w:cs="仿宋"/>
              <w:sz w:val="21"/>
              <w:szCs w:val="21"/>
            </w:rPr>
            <w:fldChar w:fldCharType="separate"/>
          </w:r>
          <w:r>
            <w:rPr>
              <w:rFonts w:hint="eastAsia" w:ascii="仿宋" w:hAnsi="仿宋" w:eastAsia="仿宋" w:cs="仿宋"/>
              <w:sz w:val="21"/>
              <w:szCs w:val="21"/>
            </w:rPr>
            <w:t>16</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10"/>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_Toc28658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kern w:val="0"/>
              <w:sz w:val="21"/>
              <w:szCs w:val="21"/>
              <w:highlight w:val="none"/>
              <w:lang w:val="en-US" w:eastAsia="zh-CN" w:bidi="ar-SA"/>
            </w:rPr>
            <w:t>（一）加强资金预算管理，注重把握关键环节</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_Toc28658 \h </w:instrText>
          </w:r>
          <w:r>
            <w:rPr>
              <w:rFonts w:hint="eastAsia" w:ascii="仿宋" w:hAnsi="仿宋" w:eastAsia="仿宋" w:cs="仿宋"/>
              <w:sz w:val="21"/>
              <w:szCs w:val="21"/>
            </w:rPr>
            <w:fldChar w:fldCharType="separate"/>
          </w:r>
          <w:r>
            <w:rPr>
              <w:rFonts w:hint="eastAsia" w:ascii="仿宋" w:hAnsi="仿宋" w:eastAsia="仿宋" w:cs="仿宋"/>
              <w:sz w:val="21"/>
              <w:szCs w:val="21"/>
            </w:rPr>
            <w:t>17</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10"/>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_Toc9262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kern w:val="0"/>
              <w:sz w:val="21"/>
              <w:szCs w:val="21"/>
              <w:highlight w:val="none"/>
              <w:lang w:val="en-US" w:eastAsia="zh-CN" w:bidi="ar-SA"/>
            </w:rPr>
            <w:t>（二）进一步加大抽检检测信息公示、宣传力度，确保社会公众知晓率</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_Toc9262 \h </w:instrText>
          </w:r>
          <w:r>
            <w:rPr>
              <w:rFonts w:hint="eastAsia" w:ascii="仿宋" w:hAnsi="仿宋" w:eastAsia="仿宋" w:cs="仿宋"/>
              <w:sz w:val="21"/>
              <w:szCs w:val="21"/>
            </w:rPr>
            <w:fldChar w:fldCharType="separate"/>
          </w:r>
          <w:r>
            <w:rPr>
              <w:rFonts w:hint="eastAsia" w:ascii="仿宋" w:hAnsi="仿宋" w:eastAsia="仿宋" w:cs="仿宋"/>
              <w:sz w:val="21"/>
              <w:szCs w:val="21"/>
            </w:rPr>
            <w:t>17</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10"/>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_Toc25443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kern w:val="0"/>
              <w:sz w:val="21"/>
              <w:szCs w:val="21"/>
              <w:highlight w:val="none"/>
              <w:lang w:val="en-US" w:eastAsia="zh-CN" w:bidi="ar-SA"/>
            </w:rPr>
            <w:t>（三）落实责任，保障食品生产经营质量</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_Toc25443 \h </w:instrText>
          </w:r>
          <w:r>
            <w:rPr>
              <w:rFonts w:hint="eastAsia" w:ascii="仿宋" w:hAnsi="仿宋" w:eastAsia="仿宋" w:cs="仿宋"/>
              <w:sz w:val="21"/>
              <w:szCs w:val="21"/>
            </w:rPr>
            <w:fldChar w:fldCharType="separate"/>
          </w:r>
          <w:r>
            <w:rPr>
              <w:rFonts w:hint="eastAsia" w:ascii="仿宋" w:hAnsi="仿宋" w:eastAsia="仿宋" w:cs="仿宋"/>
              <w:sz w:val="21"/>
              <w:szCs w:val="21"/>
            </w:rPr>
            <w:t>17</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10"/>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_Toc2166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kern w:val="0"/>
              <w:sz w:val="21"/>
              <w:szCs w:val="21"/>
              <w:highlight w:val="none"/>
              <w:lang w:val="en-US" w:eastAsia="zh-CN" w:bidi="ar-SA"/>
            </w:rPr>
            <w:t>（四）完善档案管理制度，严格档案管理制度整理档案</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_Toc2166 \h </w:instrText>
          </w:r>
          <w:r>
            <w:rPr>
              <w:rFonts w:hint="eastAsia" w:ascii="仿宋" w:hAnsi="仿宋" w:eastAsia="仿宋" w:cs="仿宋"/>
              <w:sz w:val="21"/>
              <w:szCs w:val="21"/>
            </w:rPr>
            <w:fldChar w:fldCharType="separate"/>
          </w:r>
          <w:r>
            <w:rPr>
              <w:rFonts w:hint="eastAsia" w:ascii="仿宋" w:hAnsi="仿宋" w:eastAsia="仿宋" w:cs="仿宋"/>
              <w:sz w:val="21"/>
              <w:szCs w:val="21"/>
            </w:rPr>
            <w:t>18</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9"/>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_Toc19935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kern w:val="44"/>
              <w:sz w:val="21"/>
              <w:szCs w:val="21"/>
              <w:lang w:val="en-US" w:eastAsia="zh-CN" w:bidi="ar-SA"/>
            </w:rPr>
            <w:t>七、其他需要说明的问题</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_Toc19935 \h </w:instrText>
          </w:r>
          <w:r>
            <w:rPr>
              <w:rFonts w:hint="eastAsia" w:ascii="仿宋" w:hAnsi="仿宋" w:eastAsia="仿宋" w:cs="仿宋"/>
              <w:sz w:val="21"/>
              <w:szCs w:val="21"/>
            </w:rPr>
            <w:fldChar w:fldCharType="separate"/>
          </w:r>
          <w:r>
            <w:rPr>
              <w:rFonts w:hint="eastAsia" w:ascii="仿宋" w:hAnsi="仿宋" w:eastAsia="仿宋" w:cs="仿宋"/>
              <w:sz w:val="21"/>
              <w:szCs w:val="21"/>
            </w:rPr>
            <w:t>18</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9"/>
            <w:tabs>
              <w:tab w:val="right" w:leader="dot" w:pos="9134"/>
            </w:tabs>
            <w:rPr>
              <w:rFonts w:hint="eastAsia" w:ascii="仿宋" w:hAnsi="仿宋" w:eastAsia="仿宋" w:cs="仿宋"/>
              <w:sz w:val="21"/>
              <w:szCs w:val="21"/>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_Toc2478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kern w:val="44"/>
              <w:sz w:val="21"/>
              <w:szCs w:val="21"/>
              <w:lang w:val="en-US" w:eastAsia="zh-CN" w:bidi="ar-SA"/>
            </w:rPr>
            <w:t>八、附件说明</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_Toc2478 \h </w:instrText>
          </w:r>
          <w:r>
            <w:rPr>
              <w:rFonts w:hint="eastAsia" w:ascii="仿宋" w:hAnsi="仿宋" w:eastAsia="仿宋" w:cs="仿宋"/>
              <w:sz w:val="21"/>
              <w:szCs w:val="21"/>
            </w:rPr>
            <w:fldChar w:fldCharType="separate"/>
          </w:r>
          <w:r>
            <w:rPr>
              <w:rFonts w:hint="eastAsia" w:ascii="仿宋" w:hAnsi="仿宋" w:eastAsia="仿宋" w:cs="仿宋"/>
              <w:sz w:val="21"/>
              <w:szCs w:val="21"/>
            </w:rPr>
            <w:t>18</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p>
        <w:p>
          <w:pPr>
            <w:pStyle w:val="9"/>
            <w:tabs>
              <w:tab w:val="right" w:leader="dot" w:pos="9134"/>
            </w:tabs>
            <w:ind w:firstLine="424" w:firstLineChars="200"/>
            <w:rPr>
              <w:rFonts w:hint="eastAsia" w:ascii="仿宋" w:hAnsi="仿宋" w:eastAsia="仿宋" w:cs="仿宋"/>
              <w:bCs/>
              <w:color w:val="auto"/>
              <w:kern w:val="2"/>
              <w:sz w:val="24"/>
              <w:szCs w:val="24"/>
              <w:highlight w:val="none"/>
              <w:lang w:val="en-US" w:eastAsia="zh-CN" w:bidi="ar-SA"/>
            </w:rPr>
          </w:pPr>
          <w:r>
            <w:rPr>
              <w:rFonts w:hint="eastAsia" w:ascii="仿宋" w:hAnsi="仿宋" w:eastAsia="仿宋" w:cs="仿宋"/>
              <w:bCs/>
              <w:color w:val="auto"/>
              <w:sz w:val="21"/>
              <w:szCs w:val="21"/>
              <w:highlight w:val="none"/>
              <w:lang w:val="en-US" w:eastAsia="zh-CN"/>
            </w:rPr>
            <w:fldChar w:fldCharType="begin"/>
          </w:r>
          <w:r>
            <w:rPr>
              <w:rFonts w:hint="eastAsia" w:ascii="仿宋" w:hAnsi="仿宋" w:eastAsia="仿宋" w:cs="仿宋"/>
              <w:bCs/>
              <w:sz w:val="21"/>
              <w:szCs w:val="21"/>
              <w:highlight w:val="none"/>
              <w:lang w:val="en-US" w:eastAsia="zh-CN"/>
            </w:rPr>
            <w:instrText xml:space="preserve"> HYPERLINK \l _Toc29775 </w:instrText>
          </w:r>
          <w:r>
            <w:rPr>
              <w:rFonts w:hint="eastAsia" w:ascii="仿宋" w:hAnsi="仿宋" w:eastAsia="仿宋" w:cs="仿宋"/>
              <w:bCs/>
              <w:sz w:val="21"/>
              <w:szCs w:val="21"/>
              <w:highlight w:val="none"/>
              <w:lang w:val="en-US" w:eastAsia="zh-CN"/>
            </w:rPr>
            <w:fldChar w:fldCharType="separate"/>
          </w:r>
          <w:r>
            <w:rPr>
              <w:rFonts w:hint="eastAsia" w:ascii="仿宋" w:hAnsi="仿宋" w:eastAsia="仿宋" w:cs="仿宋"/>
              <w:bCs/>
              <w:sz w:val="21"/>
              <w:szCs w:val="21"/>
              <w:highlight w:val="none"/>
              <w:lang w:val="en-US" w:eastAsia="zh-CN"/>
            </w:rPr>
            <w:t xml:space="preserve">附件1 </w:t>
          </w:r>
          <w:r>
            <w:rPr>
              <w:rFonts w:hint="eastAsia" w:ascii="仿宋" w:hAnsi="仿宋" w:eastAsia="仿宋" w:cs="仿宋"/>
              <w:bCs/>
              <w:sz w:val="21"/>
              <w:szCs w:val="21"/>
              <w:highlight w:val="none"/>
              <w:vertAlign w:val="baseline"/>
              <w:lang w:val="en-US" w:eastAsia="zh-CN"/>
            </w:rPr>
            <w:t>2022年度石狮市食品安全满意度调查问卷</w:t>
          </w:r>
          <w:r>
            <w:rPr>
              <w:rFonts w:hint="eastAsia" w:ascii="仿宋" w:hAnsi="仿宋" w:eastAsia="仿宋" w:cs="仿宋"/>
              <w:sz w:val="21"/>
              <w:szCs w:val="21"/>
            </w:rPr>
            <w:tab/>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PAGEREF _Toc29775 \h </w:instrText>
          </w:r>
          <w:r>
            <w:rPr>
              <w:rFonts w:hint="eastAsia" w:ascii="仿宋" w:hAnsi="仿宋" w:eastAsia="仿宋" w:cs="仿宋"/>
              <w:sz w:val="21"/>
              <w:szCs w:val="21"/>
            </w:rPr>
            <w:fldChar w:fldCharType="separate"/>
          </w:r>
          <w:r>
            <w:rPr>
              <w:rFonts w:hint="eastAsia" w:ascii="仿宋" w:hAnsi="仿宋" w:eastAsia="仿宋" w:cs="仿宋"/>
              <w:sz w:val="21"/>
              <w:szCs w:val="21"/>
            </w:rPr>
            <w:t>19</w:t>
          </w:r>
          <w:r>
            <w:rPr>
              <w:rFonts w:hint="eastAsia" w:ascii="仿宋" w:hAnsi="仿宋" w:eastAsia="仿宋" w:cs="仿宋"/>
              <w:sz w:val="21"/>
              <w:szCs w:val="21"/>
            </w:rPr>
            <w:fldChar w:fldCharType="end"/>
          </w:r>
          <w:r>
            <w:rPr>
              <w:rFonts w:hint="eastAsia" w:ascii="仿宋" w:hAnsi="仿宋" w:eastAsia="仿宋" w:cs="仿宋"/>
              <w:bCs/>
              <w:color w:val="auto"/>
              <w:sz w:val="21"/>
              <w:szCs w:val="21"/>
              <w:highlight w:val="none"/>
              <w:lang w:val="en-US" w:eastAsia="zh-CN"/>
            </w:rPr>
            <w:fldChar w:fldCharType="end"/>
          </w:r>
          <w:r>
            <w:rPr>
              <w:rFonts w:hint="eastAsia" w:ascii="仿宋" w:hAnsi="仿宋" w:eastAsia="仿宋" w:cs="仿宋"/>
              <w:bCs/>
              <w:color w:val="auto"/>
              <w:sz w:val="21"/>
              <w:szCs w:val="21"/>
              <w:highlight w:val="none"/>
              <w:lang w:val="en-US" w:eastAsia="zh-CN"/>
            </w:rPr>
            <w:fldChar w:fldCharType="end"/>
          </w:r>
        </w:p>
      </w:sdtContent>
    </w:sdt>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tabs>
          <w:tab w:val="left" w:pos="2535"/>
        </w:tabs>
        <w:bidi w:val="0"/>
        <w:jc w:val="left"/>
        <w:rPr>
          <w:rFonts w:hint="eastAsia"/>
          <w:lang w:val="en-US" w:eastAsia="zh-CN"/>
        </w:rPr>
        <w:sectPr>
          <w:headerReference r:id="rId4" w:type="default"/>
          <w:footerReference r:id="rId5" w:type="default"/>
          <w:pgSz w:w="12240" w:h="15840"/>
          <w:pgMar w:top="1440" w:right="1519" w:bottom="1440" w:left="1587" w:header="850" w:footer="992" w:gutter="0"/>
          <w:pgBorders>
            <w:top w:val="none" w:sz="0" w:space="0"/>
            <w:left w:val="none" w:sz="0" w:space="0"/>
            <w:bottom w:val="none" w:sz="0" w:space="0"/>
            <w:right w:val="none" w:sz="0" w:space="0"/>
          </w:pgBorders>
          <w:pgNumType w:fmt="decimal" w:start="1"/>
          <w:cols w:space="720" w:num="1"/>
          <w:docGrid w:type="linesAndChars" w:linePitch="360" w:charSpace="462"/>
        </w:sectPr>
      </w:pPr>
      <w:r>
        <w:rPr>
          <w:rFonts w:hint="eastAsia"/>
          <w:lang w:val="en-US" w:eastAsia="zh-CN"/>
        </w:rPr>
        <w:tab/>
      </w:r>
    </w:p>
    <w:p>
      <w:pPr>
        <w:pStyle w:val="14"/>
        <w:keepNext w:val="0"/>
        <w:keepLines w:val="0"/>
        <w:pageBreakBefore w:val="0"/>
        <w:shd w:val="clear" w:color="auto" w:fill="FFFFFF"/>
        <w:kinsoku/>
        <w:wordWrap/>
        <w:topLinePunct w:val="0"/>
        <w:bidi w:val="0"/>
        <w:snapToGrid/>
        <w:spacing w:line="240" w:lineRule="auto"/>
        <w:ind w:left="0" w:leftChars="0" w:firstLine="0" w:firstLineChars="0"/>
        <w:jc w:val="center"/>
        <w:outlineLvl w:val="0"/>
        <w:rPr>
          <w:rFonts w:hint="eastAsia" w:ascii="仿宋" w:hAnsi="仿宋" w:eastAsia="仿宋" w:cs="仿宋"/>
          <w:b/>
          <w:bCs/>
          <w:color w:val="auto"/>
          <w:sz w:val="28"/>
          <w:szCs w:val="28"/>
          <w:highlight w:val="none"/>
          <w:lang w:val="en-US" w:eastAsia="zh-CN"/>
        </w:rPr>
      </w:pPr>
      <w:bookmarkStart w:id="17" w:name="_Toc18704"/>
      <w:bookmarkStart w:id="18" w:name="_Toc8268"/>
      <w:bookmarkStart w:id="19" w:name="_Toc22704"/>
      <w:bookmarkStart w:id="20" w:name="_Toc4447"/>
      <w:bookmarkStart w:id="21" w:name="_Toc11060"/>
      <w:r>
        <w:rPr>
          <w:rFonts w:hint="eastAsia" w:ascii="仿宋" w:hAnsi="仿宋" w:eastAsia="仿宋" w:cs="仿宋"/>
          <w:b/>
          <w:bCs/>
          <w:color w:val="auto"/>
          <w:sz w:val="28"/>
          <w:szCs w:val="28"/>
          <w:highlight w:val="none"/>
          <w:lang w:val="en-US" w:eastAsia="zh-CN"/>
        </w:rPr>
        <w:t>前言</w:t>
      </w:r>
      <w:bookmarkEnd w:id="14"/>
      <w:bookmarkEnd w:id="15"/>
      <w:bookmarkEnd w:id="16"/>
      <w:bookmarkEnd w:id="17"/>
      <w:bookmarkEnd w:id="18"/>
      <w:bookmarkEnd w:id="19"/>
      <w:bookmarkEnd w:id="20"/>
      <w:bookmarkEnd w:id="21"/>
    </w:p>
    <w:p>
      <w:pPr>
        <w:keepNext w:val="0"/>
        <w:keepLines w:val="0"/>
        <w:pageBreakBefore w:val="0"/>
        <w:widowControl/>
        <w:suppressLineNumbers w:val="0"/>
        <w:kinsoku/>
        <w:wordWrap/>
        <w:overflowPunct/>
        <w:topLinePunct w:val="0"/>
        <w:autoSpaceDE/>
        <w:autoSpaceDN/>
        <w:bidi w:val="0"/>
        <w:adjustRightInd/>
        <w:snapToGrid/>
        <w:spacing w:line="240" w:lineRule="auto"/>
        <w:ind w:left="0" w:leftChars="0" w:right="0" w:firstLine="564" w:firstLineChars="200"/>
        <w:jc w:val="left"/>
        <w:textAlignment w:val="auto"/>
        <w:rPr>
          <w:rFonts w:hint="eastAsia" w:ascii="仿宋" w:hAnsi="仿宋" w:eastAsia="仿宋" w:cs="仿宋"/>
          <w:color w:val="auto"/>
          <w:kern w:val="0"/>
          <w:sz w:val="28"/>
          <w:szCs w:val="28"/>
          <w:highlight w:val="none"/>
          <w:lang w:val="en-US" w:eastAsia="zh-CN"/>
        </w:rPr>
        <w:sectPr>
          <w:pgSz w:w="12240" w:h="15840"/>
          <w:pgMar w:top="1440" w:right="1519" w:bottom="1440" w:left="1587" w:header="850" w:footer="992" w:gutter="0"/>
          <w:pgBorders>
            <w:top w:val="none" w:sz="0" w:space="0"/>
            <w:left w:val="none" w:sz="0" w:space="0"/>
            <w:bottom w:val="none" w:sz="0" w:space="0"/>
            <w:right w:val="none" w:sz="0" w:space="0"/>
          </w:pgBorders>
          <w:pgNumType w:fmt="decimal" w:start="1"/>
          <w:cols w:space="720" w:num="1"/>
          <w:docGrid w:type="linesAndChars" w:linePitch="360" w:charSpace="462"/>
        </w:sectPr>
      </w:pPr>
      <w:r>
        <w:rPr>
          <w:rFonts w:hint="eastAsia" w:ascii="仿宋" w:hAnsi="仿宋" w:eastAsia="仿宋" w:cs="仿宋"/>
          <w:color w:val="auto"/>
          <w:kern w:val="0"/>
          <w:sz w:val="28"/>
          <w:szCs w:val="28"/>
          <w:highlight w:val="none"/>
          <w:lang w:val="en-US" w:eastAsia="zh-CN"/>
        </w:rPr>
        <w:t>为加快推进绩效评价管理工作，提高财政资金使用效益，泉州市招标咨询中心有限公司地方财政绩效评价所受石狮市财政局</w:t>
      </w:r>
      <w:r>
        <w:rPr>
          <w:rFonts w:hint="eastAsia" w:ascii="仿宋" w:hAnsi="仿宋" w:eastAsia="仿宋" w:cs="仿宋"/>
          <w:color w:val="auto"/>
          <w:kern w:val="0"/>
          <w:sz w:val="28"/>
          <w:szCs w:val="28"/>
          <w:highlight w:val="none"/>
          <w:lang w:val="en-US" w:eastAsia="zh-CN" w:bidi="ar-SA"/>
        </w:rPr>
        <w:t>委托，依据《中共中央 国务院关于全面实施预算绩效管理的意见》（中发〔2018〕34号）</w:t>
      </w:r>
      <w:r>
        <w:rPr>
          <w:rFonts w:hint="eastAsia" w:ascii="仿宋" w:hAnsi="仿宋" w:eastAsia="仿宋" w:cs="仿宋"/>
          <w:color w:val="auto"/>
          <w:sz w:val="28"/>
          <w:szCs w:val="28"/>
          <w:highlight w:val="none"/>
        </w:rPr>
        <w:t>财政部《项目支出绩效评价管理办法》（财预〔2020〕10号）福建省委、省政府《关于全面实施预算绩效管理的实施意见》（闽委发〔2019〕5号）福建省财政厅《关于全面实施预算绩效管理若干措施的通知》（闽财绩〔2019〕2号）</w:t>
      </w:r>
      <w:r>
        <w:rPr>
          <w:rFonts w:hint="eastAsia" w:ascii="仿宋" w:hAnsi="仿宋" w:eastAsia="仿宋" w:cs="仿宋"/>
          <w:color w:val="auto"/>
          <w:sz w:val="28"/>
          <w:szCs w:val="28"/>
          <w:highlight w:val="none"/>
          <w:lang w:val="en-US" w:eastAsia="zh-CN"/>
        </w:rPr>
        <w:t>等</w:t>
      </w:r>
      <w:r>
        <w:rPr>
          <w:rFonts w:hint="eastAsia" w:ascii="仿宋" w:hAnsi="仿宋" w:eastAsia="仿宋" w:cs="仿宋"/>
          <w:color w:val="auto"/>
          <w:sz w:val="28"/>
          <w:szCs w:val="28"/>
          <w:highlight w:val="none"/>
        </w:rPr>
        <w:t>文件</w:t>
      </w:r>
      <w:r>
        <w:rPr>
          <w:rFonts w:hint="eastAsia" w:ascii="仿宋" w:hAnsi="仿宋" w:eastAsia="仿宋" w:cs="仿宋"/>
          <w:color w:val="auto"/>
          <w:kern w:val="0"/>
          <w:sz w:val="28"/>
          <w:szCs w:val="28"/>
          <w:highlight w:val="none"/>
          <w:lang w:val="en-US" w:eastAsia="zh-CN" w:bidi="ar-SA"/>
        </w:rPr>
        <w:t>的要求，</w:t>
      </w:r>
      <w:r>
        <w:rPr>
          <w:rFonts w:hint="eastAsia" w:ascii="仿宋" w:hAnsi="仿宋" w:eastAsia="仿宋" w:cs="仿宋"/>
          <w:color w:val="auto"/>
          <w:kern w:val="0"/>
          <w:sz w:val="28"/>
          <w:szCs w:val="28"/>
          <w:highlight w:val="none"/>
          <w:lang w:val="en-US" w:eastAsia="zh-CN"/>
        </w:rPr>
        <w:t>对石狮市市场监督管理局2022年食品药械化妆品监管及治理餐桌污染专项经费进行了绩效评价。我中心绩效评价小组经过数据采集、书面资料审查、实地调研、社会调查和分析研究等必要的绩效评价程序，并结合单位情况，在梳理、分析、研究评价数据资料的基础上，形成本评价报告。</w:t>
      </w:r>
    </w:p>
    <w:p>
      <w:pPr>
        <w:pStyle w:val="2"/>
        <w:ind w:left="0" w:leftChars="0" w:firstLine="0" w:firstLineChars="0"/>
        <w:jc w:val="center"/>
        <w:outlineLvl w:val="0"/>
        <w:rPr>
          <w:rFonts w:hint="eastAsia" w:ascii="黑体" w:hAnsi="黑体" w:eastAsia="黑体" w:cs="黑体"/>
          <w:b/>
          <w:bCs/>
          <w:sz w:val="28"/>
          <w:szCs w:val="28"/>
          <w:highlight w:val="none"/>
          <w:lang w:val="en-US" w:eastAsia="zh-CN"/>
        </w:rPr>
      </w:pPr>
      <w:bookmarkStart w:id="22" w:name="_Toc30771"/>
      <w:bookmarkStart w:id="23" w:name="_Toc499"/>
      <w:bookmarkStart w:id="24" w:name="_Toc15981"/>
      <w:bookmarkStart w:id="25" w:name="_Toc13803"/>
      <w:bookmarkStart w:id="26" w:name="_Toc1590"/>
      <w:bookmarkStart w:id="27" w:name="_Toc11999"/>
      <w:bookmarkStart w:id="28" w:name="_Toc8435"/>
      <w:bookmarkStart w:id="29" w:name="_Toc2186"/>
      <w:bookmarkStart w:id="30" w:name="_Toc26935"/>
      <w:bookmarkStart w:id="31" w:name="_Toc18722"/>
      <w:bookmarkStart w:id="32" w:name="_Toc27893"/>
      <w:bookmarkStart w:id="33" w:name="_Toc12199"/>
      <w:bookmarkStart w:id="34" w:name="_Toc8178"/>
      <w:bookmarkStart w:id="35" w:name="_Toc30150"/>
      <w:bookmarkStart w:id="36" w:name="_Toc4477"/>
      <w:bookmarkStart w:id="37" w:name="_Toc19123"/>
      <w:r>
        <w:rPr>
          <w:rFonts w:hint="eastAsia" w:ascii="黑体" w:hAnsi="黑体" w:eastAsia="黑体" w:cs="黑体"/>
          <w:b/>
          <w:bCs/>
          <w:sz w:val="28"/>
          <w:szCs w:val="28"/>
          <w:highlight w:val="none"/>
          <w:lang w:val="en-US" w:eastAsia="zh-CN"/>
        </w:rPr>
        <w:t>报告正文</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pStyle w:val="4"/>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ind w:left="0" w:leftChars="0" w:firstLine="562" w:firstLineChars="200"/>
        <w:textAlignment w:val="auto"/>
        <w:rPr>
          <w:rFonts w:hint="eastAsia" w:ascii="黑体" w:hAnsi="黑体" w:eastAsia="黑体" w:cs="黑体"/>
          <w:sz w:val="28"/>
          <w:szCs w:val="28"/>
          <w:highlight w:val="none"/>
          <w:lang w:val="en-US" w:eastAsia="zh-CN"/>
        </w:rPr>
      </w:pPr>
      <w:bookmarkStart w:id="38" w:name="_Toc83"/>
      <w:bookmarkStart w:id="39" w:name="_Toc3252"/>
      <w:bookmarkStart w:id="40" w:name="_Toc8895"/>
      <w:bookmarkStart w:id="41" w:name="_Toc15417"/>
      <w:r>
        <w:rPr>
          <w:rFonts w:hint="eastAsia" w:ascii="黑体" w:hAnsi="黑体" w:eastAsia="黑体" w:cs="黑体"/>
          <w:b/>
          <w:bCs/>
          <w:kern w:val="44"/>
          <w:sz w:val="28"/>
          <w:szCs w:val="28"/>
          <w:lang w:val="en-US" w:eastAsia="zh-CN" w:bidi="ar-SA"/>
        </w:rPr>
        <w:t>一、</w:t>
      </w:r>
      <w:r>
        <w:rPr>
          <w:rFonts w:hint="eastAsia" w:ascii="黑体" w:hAnsi="黑体" w:eastAsia="黑体" w:cs="黑体"/>
          <w:sz w:val="28"/>
          <w:szCs w:val="28"/>
          <w:highlight w:val="none"/>
          <w:lang w:val="en-US" w:eastAsia="zh-CN"/>
        </w:rPr>
        <w:t>项目基本情况</w:t>
      </w:r>
      <w:bookmarkEnd w:id="38"/>
      <w:bookmarkEnd w:id="39"/>
      <w:bookmarkEnd w:id="40"/>
      <w:bookmarkEnd w:id="41"/>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outlineLvl w:val="1"/>
        <w:rPr>
          <w:rFonts w:hint="eastAsia" w:ascii="楷体" w:hAnsi="楷体" w:eastAsia="楷体" w:cs="楷体"/>
          <w:b/>
          <w:bCs/>
          <w:sz w:val="28"/>
          <w:szCs w:val="28"/>
          <w:highlight w:val="none"/>
          <w:lang w:val="en-US" w:eastAsia="zh-CN"/>
        </w:rPr>
      </w:pPr>
      <w:bookmarkStart w:id="42" w:name="_Toc6411"/>
      <w:bookmarkStart w:id="43" w:name="_Toc7373"/>
      <w:bookmarkStart w:id="44" w:name="_Toc22657"/>
      <w:bookmarkStart w:id="45" w:name="_Toc4904"/>
      <w:r>
        <w:rPr>
          <w:rFonts w:hint="eastAsia" w:ascii="楷体" w:hAnsi="楷体" w:eastAsia="楷体" w:cs="楷体"/>
          <w:b/>
          <w:bCs/>
          <w:kern w:val="2"/>
          <w:sz w:val="28"/>
          <w:szCs w:val="28"/>
          <w:highlight w:val="none"/>
          <w:lang w:val="en-US" w:eastAsia="zh-CN" w:bidi="ar-SA"/>
        </w:rPr>
        <w:t>（一）</w:t>
      </w:r>
      <w:r>
        <w:rPr>
          <w:rFonts w:hint="eastAsia" w:ascii="楷体" w:hAnsi="楷体" w:eastAsia="楷体" w:cs="楷体"/>
          <w:b/>
          <w:bCs/>
          <w:sz w:val="28"/>
          <w:szCs w:val="28"/>
          <w:highlight w:val="none"/>
          <w:lang w:val="en-US" w:eastAsia="zh-CN"/>
        </w:rPr>
        <w:t>项目概况</w:t>
      </w:r>
      <w:bookmarkEnd w:id="42"/>
      <w:bookmarkEnd w:id="43"/>
      <w:bookmarkEnd w:id="44"/>
      <w:bookmarkEnd w:id="45"/>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sz w:val="28"/>
          <w:szCs w:val="28"/>
          <w:highlight w:val="none"/>
          <w:lang w:val="en-US" w:eastAsia="zh-CN"/>
        </w:rPr>
      </w:pPr>
      <w:bookmarkStart w:id="46" w:name="_Toc10449"/>
      <w:bookmarkStart w:id="47" w:name="_Toc16971"/>
      <w:bookmarkStart w:id="48" w:name="_Toc494"/>
      <w:bookmarkStart w:id="49" w:name="_Toc3423"/>
      <w:r>
        <w:rPr>
          <w:rFonts w:hint="default" w:ascii="仿宋" w:hAnsi="仿宋" w:eastAsia="仿宋" w:cs="仿宋"/>
          <w:b/>
          <w:bCs/>
          <w:kern w:val="2"/>
          <w:sz w:val="28"/>
          <w:szCs w:val="28"/>
          <w:highlight w:val="none"/>
          <w:lang w:val="en-US" w:eastAsia="zh-CN" w:bidi="ar-SA"/>
        </w:rPr>
        <w:t>1</w:t>
      </w:r>
      <w:r>
        <w:rPr>
          <w:rFonts w:hint="eastAsia" w:ascii="仿宋" w:hAnsi="仿宋" w:eastAsia="仿宋" w:cs="仿宋"/>
          <w:b/>
          <w:bCs/>
          <w:kern w:val="2"/>
          <w:sz w:val="28"/>
          <w:szCs w:val="28"/>
          <w:highlight w:val="none"/>
          <w:lang w:val="en-US" w:eastAsia="zh-CN" w:bidi="ar-SA"/>
        </w:rPr>
        <w:t>.</w:t>
      </w:r>
      <w:r>
        <w:rPr>
          <w:rFonts w:hint="eastAsia" w:ascii="仿宋" w:hAnsi="仿宋" w:eastAsia="仿宋" w:cs="仿宋"/>
          <w:b/>
          <w:bCs/>
          <w:sz w:val="28"/>
          <w:szCs w:val="28"/>
          <w:highlight w:val="none"/>
          <w:lang w:val="en-US" w:eastAsia="zh-CN"/>
        </w:rPr>
        <w:t>项目政策背景</w:t>
      </w:r>
      <w:bookmarkEnd w:id="46"/>
      <w:bookmarkEnd w:id="47"/>
      <w:bookmarkEnd w:id="48"/>
      <w:bookmarkEnd w:id="49"/>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为全面贯彻党的十八大和十八届三中、四中、五中、六中全会精神，以马克思列宁主义、毛泽东思想、邓小平理论、“三个代表”重要思想、科学发展观为指导，深入贯彻习近平总书记系列重要讲话精神，认真落实党中央、国务院决策部署，紧紧围绕统筹推进“五位一体”总体布局和协调推进“四个全面”战略布局，牢固树立和贯彻落实创新、协调、绿色、开放、共享的发展理念，坚持最严谨的标准、最严格的监管、最严厉的处罚、最严肃的问责，全面实施食品安全战略，着力推进监管体制机制改革创新和依法治理，着力解决人民群众反映强烈的突出问题，推动食品安全现代化治理体系建设，促进食品产业发展，推进健康中国建设。《中华人民共和国国民经济和社会发展第十四个五年规划和2035年远景目标纲要》提出，严格食品药品安全监管，加强和改进食品药品安全监管制度，完善食品药品安全法律法规和标准体系，探索建立食品安全民事公益诉讼惩罚性赔偿制度，深入实施食品安全战略，推进食品安全放心工程建设攻坚行动，加大重点领域食品安全问题联合整治力度，加强食品药品安全风险监测、抽检和监管执法等。</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kern w:val="2"/>
          <w:sz w:val="28"/>
          <w:szCs w:val="28"/>
          <w:highlight w:val="none"/>
          <w:lang w:val="en-US" w:eastAsia="zh-CN" w:bidi="ar-SA"/>
        </w:rPr>
      </w:pPr>
      <w:bookmarkStart w:id="50" w:name="_Toc4529"/>
      <w:bookmarkStart w:id="51" w:name="_Toc1691"/>
      <w:bookmarkStart w:id="52" w:name="_Toc8697"/>
      <w:bookmarkStart w:id="53" w:name="_Toc25754"/>
      <w:r>
        <w:rPr>
          <w:rFonts w:hint="default" w:ascii="仿宋" w:hAnsi="仿宋" w:eastAsia="仿宋" w:cs="仿宋"/>
          <w:b/>
          <w:bCs/>
          <w:kern w:val="2"/>
          <w:sz w:val="28"/>
          <w:szCs w:val="28"/>
          <w:highlight w:val="none"/>
          <w:lang w:val="en-US" w:eastAsia="zh-CN" w:bidi="ar-SA"/>
        </w:rPr>
        <w:t>2</w:t>
      </w:r>
      <w:r>
        <w:rPr>
          <w:rFonts w:hint="eastAsia" w:ascii="仿宋" w:hAnsi="仿宋" w:eastAsia="仿宋" w:cs="仿宋"/>
          <w:b/>
          <w:bCs/>
          <w:kern w:val="2"/>
          <w:sz w:val="28"/>
          <w:szCs w:val="28"/>
          <w:highlight w:val="none"/>
          <w:lang w:val="en-US" w:eastAsia="zh-CN" w:bidi="ar-SA"/>
        </w:rPr>
        <w:t>.项目内容和实施情况</w:t>
      </w:r>
      <w:bookmarkEnd w:id="50"/>
      <w:bookmarkEnd w:id="51"/>
      <w:bookmarkEnd w:id="52"/>
      <w:bookmarkEnd w:id="53"/>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（1）项目内容：2022年食品药械化妆品监管及治理餐桌污染专项主要分为食品安全监督抽检、风险监测抽检、快速检测抽检、医疗机构药械化不良反应/事件监测以及食品安全宣传等。</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2）实施情况：完成食品安全监督抽检3160批次，其中不合格71批次，均启动不合格（问题）食品核查处置；完成风险监测抽检15批次，均合格；医疗机构药械化不良反应/事件监测报告599份；快速检测抽检7356批次；委托第三方进行食品安全满意度调查以及食品安全知晓率提升问卷调查。</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kern w:val="2"/>
          <w:sz w:val="28"/>
          <w:szCs w:val="28"/>
          <w:highlight w:val="none"/>
          <w:lang w:val="en-US" w:eastAsia="zh-CN" w:bidi="ar-SA"/>
        </w:rPr>
      </w:pPr>
      <w:bookmarkStart w:id="54" w:name="_Toc6345"/>
      <w:bookmarkStart w:id="55" w:name="_Toc24828"/>
      <w:bookmarkStart w:id="56" w:name="_Toc4742"/>
      <w:bookmarkStart w:id="57" w:name="_Toc17709"/>
      <w:r>
        <w:rPr>
          <w:rFonts w:hint="default" w:ascii="仿宋" w:hAnsi="仿宋" w:eastAsia="仿宋" w:cs="仿宋"/>
          <w:b/>
          <w:bCs/>
          <w:kern w:val="2"/>
          <w:sz w:val="28"/>
          <w:szCs w:val="28"/>
          <w:highlight w:val="none"/>
          <w:lang w:val="en-US" w:eastAsia="zh-CN" w:bidi="ar-SA"/>
        </w:rPr>
        <w:t>3</w:t>
      </w:r>
      <w:r>
        <w:rPr>
          <w:rFonts w:hint="eastAsia" w:ascii="仿宋" w:hAnsi="仿宋" w:eastAsia="仿宋" w:cs="仿宋"/>
          <w:b/>
          <w:bCs/>
          <w:kern w:val="2"/>
          <w:sz w:val="28"/>
          <w:szCs w:val="28"/>
          <w:highlight w:val="none"/>
          <w:lang w:val="en-US" w:eastAsia="zh-CN" w:bidi="ar-SA"/>
        </w:rPr>
        <w:t>.资金投入和使用情况</w:t>
      </w:r>
      <w:bookmarkEnd w:id="54"/>
      <w:bookmarkEnd w:id="55"/>
      <w:bookmarkEnd w:id="56"/>
      <w:bookmarkEnd w:id="57"/>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①资金投入情况</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根据提供的专项资金绩效目标批复表，2022年食品药械化妆品监管及治理餐桌污染专项经费财政预算批复资金650万元，该专项资金绩效分配如表1所示：</w:t>
      </w:r>
    </w:p>
    <w:tbl>
      <w:tblPr>
        <w:tblStyle w:val="12"/>
        <w:tblW w:w="93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59"/>
        <w:gridCol w:w="3337"/>
        <w:gridCol w:w="2859"/>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9360" w:type="dxa"/>
            <w:gridSpan w:val="4"/>
            <w:vAlign w:val="center"/>
          </w:tcPr>
          <w:p>
            <w:pPr>
              <w:keepNext w:val="0"/>
              <w:keepLines w:val="0"/>
              <w:widowControl/>
              <w:suppressLineNumbers w:val="0"/>
              <w:jc w:val="center"/>
              <w:rPr>
                <w:sz w:val="24"/>
                <w:szCs w:val="24"/>
                <w:highlight w:val="none"/>
              </w:rPr>
            </w:pPr>
            <w:r>
              <w:rPr>
                <w:rFonts w:ascii="仿宋" w:hAnsi="仿宋" w:eastAsia="仿宋" w:cs="仿宋"/>
                <w:b/>
                <w:bCs/>
                <w:color w:val="000000"/>
                <w:kern w:val="0"/>
                <w:sz w:val="24"/>
                <w:szCs w:val="24"/>
                <w:highlight w:val="none"/>
                <w:lang w:val="en-US" w:eastAsia="zh-CN" w:bidi="ar"/>
              </w:rPr>
              <w:t xml:space="preserve">表 1 </w:t>
            </w:r>
            <w:r>
              <w:rPr>
                <w:rFonts w:hint="eastAsia" w:ascii="仿宋" w:hAnsi="仿宋" w:eastAsia="仿宋" w:cs="仿宋"/>
                <w:b/>
                <w:bCs/>
                <w:color w:val="000000"/>
                <w:kern w:val="0"/>
                <w:sz w:val="24"/>
                <w:szCs w:val="24"/>
                <w:highlight w:val="none"/>
                <w:lang w:val="en-US" w:eastAsia="zh-CN" w:bidi="ar"/>
              </w:rPr>
              <w:t>食品药械化妆品监管及治理餐桌污染专项</w:t>
            </w:r>
            <w:r>
              <w:rPr>
                <w:rFonts w:ascii="仿宋" w:hAnsi="仿宋" w:eastAsia="仿宋" w:cs="仿宋"/>
                <w:b/>
                <w:bCs/>
                <w:color w:val="000000"/>
                <w:kern w:val="0"/>
                <w:sz w:val="24"/>
                <w:szCs w:val="24"/>
                <w:highlight w:val="none"/>
                <w:lang w:val="en-US" w:eastAsia="zh-CN" w:bidi="ar"/>
              </w:rPr>
              <w:t>资金绩效分配表</w:t>
            </w:r>
          </w:p>
          <w:p>
            <w:pPr>
              <w:keepNext w:val="0"/>
              <w:keepLines w:val="0"/>
              <w:widowControl/>
              <w:suppressLineNumbers w:val="0"/>
              <w:jc w:val="right"/>
              <w:rPr>
                <w:rFonts w:hint="default"/>
                <w:sz w:val="24"/>
                <w:szCs w:val="32"/>
                <w:highlight w:val="none"/>
                <w:vertAlign w:val="baseline"/>
                <w:lang w:val="en-US"/>
              </w:rPr>
            </w:pPr>
            <w:r>
              <w:rPr>
                <w:rFonts w:hint="eastAsia" w:ascii="仿宋" w:hAnsi="仿宋" w:eastAsia="仿宋" w:cs="仿宋"/>
                <w:b/>
                <w:bCs/>
                <w:color w:val="000000"/>
                <w:kern w:val="0"/>
                <w:sz w:val="24"/>
                <w:szCs w:val="24"/>
                <w:highlight w:val="none"/>
                <w:lang w:val="en-US" w:eastAsia="zh-CN" w:bidi="ar"/>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1759" w:type="dxa"/>
            <w:vAlign w:val="center"/>
          </w:tcPr>
          <w:p>
            <w:pPr>
              <w:jc w:val="center"/>
              <w:rPr>
                <w:rFonts w:hint="eastAsia" w:ascii="仿宋" w:hAnsi="仿宋" w:eastAsia="仿宋" w:cs="仿宋"/>
                <w:sz w:val="24"/>
                <w:szCs w:val="32"/>
                <w:highlight w:val="none"/>
                <w:vertAlign w:val="baseline"/>
                <w:lang w:val="en-US" w:eastAsia="zh-CN"/>
              </w:rPr>
            </w:pPr>
            <w:r>
              <w:rPr>
                <w:rFonts w:hint="eastAsia" w:ascii="仿宋" w:hAnsi="仿宋" w:eastAsia="仿宋" w:cs="仿宋"/>
                <w:sz w:val="24"/>
                <w:szCs w:val="32"/>
                <w:highlight w:val="none"/>
                <w:vertAlign w:val="baseline"/>
                <w:lang w:val="en-US" w:eastAsia="zh-CN"/>
              </w:rPr>
              <w:t>项目分类</w:t>
            </w:r>
          </w:p>
        </w:tc>
        <w:tc>
          <w:tcPr>
            <w:tcW w:w="3337" w:type="dxa"/>
            <w:vAlign w:val="center"/>
          </w:tcPr>
          <w:p>
            <w:pPr>
              <w:jc w:val="center"/>
              <w:rPr>
                <w:rFonts w:hint="eastAsia" w:ascii="仿宋" w:hAnsi="仿宋" w:eastAsia="仿宋" w:cs="仿宋"/>
                <w:sz w:val="24"/>
                <w:szCs w:val="32"/>
                <w:highlight w:val="none"/>
                <w:vertAlign w:val="baseline"/>
                <w:lang w:val="en-US" w:eastAsia="zh-CN"/>
              </w:rPr>
            </w:pPr>
            <w:r>
              <w:rPr>
                <w:rFonts w:hint="eastAsia" w:ascii="仿宋" w:hAnsi="仿宋" w:eastAsia="仿宋" w:cs="仿宋"/>
                <w:sz w:val="24"/>
                <w:szCs w:val="32"/>
                <w:highlight w:val="none"/>
                <w:vertAlign w:val="baseline"/>
                <w:lang w:val="en-US" w:eastAsia="zh-CN"/>
              </w:rPr>
              <w:t>食品药械化妆品监管及治理餐桌污染专项经费</w:t>
            </w:r>
          </w:p>
        </w:tc>
        <w:tc>
          <w:tcPr>
            <w:tcW w:w="2859" w:type="dxa"/>
            <w:vAlign w:val="center"/>
          </w:tcPr>
          <w:p>
            <w:pPr>
              <w:jc w:val="center"/>
              <w:rPr>
                <w:rFonts w:hint="eastAsia" w:ascii="仿宋" w:hAnsi="仿宋" w:eastAsia="仿宋" w:cs="仿宋"/>
                <w:sz w:val="24"/>
                <w:szCs w:val="32"/>
                <w:highlight w:val="none"/>
                <w:vertAlign w:val="baseline"/>
                <w:lang w:val="en-US" w:eastAsia="zh-CN"/>
              </w:rPr>
            </w:pPr>
            <w:r>
              <w:rPr>
                <w:rFonts w:hint="eastAsia" w:ascii="仿宋" w:hAnsi="仿宋" w:eastAsia="仿宋" w:cs="仿宋"/>
                <w:sz w:val="24"/>
                <w:szCs w:val="32"/>
                <w:highlight w:val="none"/>
                <w:vertAlign w:val="baseline"/>
                <w:lang w:val="en-US" w:eastAsia="zh-CN"/>
              </w:rPr>
              <w:t>食品药品安全网格化监管队伍建设</w:t>
            </w:r>
          </w:p>
        </w:tc>
        <w:tc>
          <w:tcPr>
            <w:tcW w:w="1405" w:type="dxa"/>
            <w:vAlign w:val="center"/>
          </w:tcPr>
          <w:p>
            <w:pPr>
              <w:jc w:val="center"/>
              <w:rPr>
                <w:rFonts w:hint="eastAsia" w:ascii="仿宋" w:hAnsi="仿宋" w:eastAsia="仿宋" w:cs="仿宋"/>
                <w:sz w:val="24"/>
                <w:szCs w:val="32"/>
                <w:highlight w:val="none"/>
                <w:vertAlign w:val="baseline"/>
                <w:lang w:val="en-US" w:eastAsia="zh-CN"/>
              </w:rPr>
            </w:pPr>
            <w:r>
              <w:rPr>
                <w:rFonts w:hint="eastAsia" w:ascii="仿宋" w:hAnsi="仿宋" w:eastAsia="仿宋" w:cs="仿宋"/>
                <w:sz w:val="24"/>
                <w:szCs w:val="32"/>
                <w:highlight w:val="none"/>
                <w:vertAlign w:val="baseline"/>
                <w:lang w:val="en-US" w:eastAsia="zh-CN"/>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759" w:type="dxa"/>
            <w:vAlign w:val="center"/>
          </w:tcPr>
          <w:p>
            <w:pPr>
              <w:jc w:val="center"/>
              <w:rPr>
                <w:rFonts w:hint="eastAsia" w:ascii="仿宋" w:hAnsi="仿宋" w:eastAsia="仿宋" w:cs="仿宋"/>
                <w:sz w:val="24"/>
                <w:szCs w:val="32"/>
                <w:highlight w:val="none"/>
                <w:vertAlign w:val="baseline"/>
                <w:lang w:val="en-US" w:eastAsia="zh-CN"/>
              </w:rPr>
            </w:pPr>
            <w:r>
              <w:rPr>
                <w:rFonts w:hint="eastAsia" w:ascii="仿宋" w:hAnsi="仿宋" w:eastAsia="仿宋" w:cs="仿宋"/>
                <w:sz w:val="24"/>
                <w:szCs w:val="32"/>
                <w:highlight w:val="none"/>
                <w:vertAlign w:val="baseline"/>
                <w:lang w:val="en-US" w:eastAsia="zh-CN"/>
              </w:rPr>
              <w:t>投入资金</w:t>
            </w:r>
          </w:p>
        </w:tc>
        <w:tc>
          <w:tcPr>
            <w:tcW w:w="3337" w:type="dxa"/>
            <w:vAlign w:val="center"/>
          </w:tcPr>
          <w:p>
            <w:pPr>
              <w:jc w:val="center"/>
              <w:rPr>
                <w:rFonts w:hint="eastAsia" w:ascii="仿宋" w:hAnsi="仿宋" w:eastAsia="仿宋" w:cs="仿宋"/>
                <w:sz w:val="24"/>
                <w:szCs w:val="32"/>
                <w:highlight w:val="none"/>
                <w:vertAlign w:val="baseline"/>
                <w:lang w:val="en-US" w:eastAsia="zh-CN"/>
              </w:rPr>
            </w:pPr>
            <w:r>
              <w:rPr>
                <w:rFonts w:hint="eastAsia" w:ascii="仿宋" w:hAnsi="仿宋" w:eastAsia="仿宋" w:cs="仿宋"/>
                <w:sz w:val="24"/>
                <w:szCs w:val="32"/>
                <w:highlight w:val="none"/>
                <w:vertAlign w:val="baseline"/>
                <w:lang w:val="en-US" w:eastAsia="zh-CN"/>
              </w:rPr>
              <w:t>450</w:t>
            </w:r>
          </w:p>
        </w:tc>
        <w:tc>
          <w:tcPr>
            <w:tcW w:w="2859" w:type="dxa"/>
            <w:vAlign w:val="center"/>
          </w:tcPr>
          <w:p>
            <w:pPr>
              <w:jc w:val="center"/>
              <w:rPr>
                <w:rFonts w:hint="eastAsia" w:ascii="仿宋" w:hAnsi="仿宋" w:eastAsia="仿宋" w:cs="仿宋"/>
                <w:sz w:val="24"/>
                <w:szCs w:val="32"/>
                <w:highlight w:val="none"/>
                <w:vertAlign w:val="baseline"/>
                <w:lang w:val="en-US" w:eastAsia="zh-CN"/>
              </w:rPr>
            </w:pPr>
            <w:r>
              <w:rPr>
                <w:rFonts w:hint="eastAsia" w:ascii="仿宋" w:hAnsi="仿宋" w:eastAsia="仿宋" w:cs="仿宋"/>
                <w:sz w:val="24"/>
                <w:szCs w:val="32"/>
                <w:highlight w:val="none"/>
                <w:vertAlign w:val="baseline"/>
                <w:lang w:val="en-US" w:eastAsia="zh-CN"/>
              </w:rPr>
              <w:t>200</w:t>
            </w:r>
          </w:p>
        </w:tc>
        <w:tc>
          <w:tcPr>
            <w:tcW w:w="1405" w:type="dxa"/>
            <w:vAlign w:val="center"/>
          </w:tcPr>
          <w:p>
            <w:pPr>
              <w:jc w:val="center"/>
              <w:rPr>
                <w:rFonts w:hint="eastAsia" w:ascii="仿宋" w:hAnsi="仿宋" w:eastAsia="仿宋" w:cs="仿宋"/>
                <w:sz w:val="24"/>
                <w:szCs w:val="32"/>
                <w:highlight w:val="none"/>
                <w:vertAlign w:val="baseline"/>
                <w:lang w:val="en-US" w:eastAsia="zh-CN"/>
              </w:rPr>
            </w:pPr>
            <w:r>
              <w:rPr>
                <w:rFonts w:hint="eastAsia" w:ascii="仿宋" w:hAnsi="仿宋" w:eastAsia="仿宋" w:cs="仿宋"/>
                <w:sz w:val="24"/>
                <w:szCs w:val="32"/>
                <w:highlight w:val="none"/>
                <w:vertAlign w:val="baseline"/>
                <w:lang w:val="en-US" w:eastAsia="zh-CN"/>
              </w:rPr>
              <w:t>650</w:t>
            </w:r>
          </w:p>
        </w:tc>
      </w:tr>
    </w:tbl>
    <w:p>
      <w:pPr>
        <w:keepNext w:val="0"/>
        <w:keepLines w:val="0"/>
        <w:pageBreakBefore w:val="0"/>
        <w:widowControl w:val="0"/>
        <w:kinsoku/>
        <w:wordWrap/>
        <w:overflowPunct/>
        <w:topLinePunct w:val="0"/>
        <w:autoSpaceDE/>
        <w:autoSpaceDN/>
        <w:bidi w:val="0"/>
        <w:adjustRightInd/>
        <w:snapToGrid/>
        <w:textAlignment w:val="auto"/>
        <w:rPr>
          <w:rFonts w:hint="eastAsia"/>
          <w:highlight w:val="none"/>
          <w:lang w:val="en-US" w:eastAsia="zh-CN"/>
        </w:rPr>
      </w:pPr>
      <w:r>
        <w:rPr>
          <w:rFonts w:hint="eastAsia"/>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②资金使用情况</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根据石狮市市场监督管理局提供给我中心绩效评价小组的食品药械化妆品监管及治理餐桌污染专项经费相关的明细账、记账凭证及发票等，截至2022年12月31日，2022年食品药械化妆品监管及治理餐桌污染专项经费累计到位资金650万元，实际拨付557.5088万元，资金执行率为85.77%。</w:t>
      </w:r>
    </w:p>
    <w:tbl>
      <w:tblPr>
        <w:tblStyle w:val="12"/>
        <w:tblW w:w="9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3"/>
        <w:gridCol w:w="3206"/>
        <w:gridCol w:w="2799"/>
        <w:gridCol w:w="1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6" w:hRule="atLeast"/>
          <w:jc w:val="center"/>
        </w:trPr>
        <w:tc>
          <w:tcPr>
            <w:tcW w:w="9200" w:type="dxa"/>
            <w:gridSpan w:val="4"/>
            <w:vAlign w:val="center"/>
          </w:tcPr>
          <w:p>
            <w:pPr>
              <w:keepNext w:val="0"/>
              <w:keepLines w:val="0"/>
              <w:widowControl/>
              <w:suppressLineNumbers w:val="0"/>
              <w:jc w:val="center"/>
              <w:rPr>
                <w:rFonts w:hint="default"/>
                <w:sz w:val="24"/>
                <w:szCs w:val="24"/>
                <w:highlight w:val="none"/>
                <w:lang w:val="en-US"/>
              </w:rPr>
            </w:pPr>
            <w:r>
              <w:rPr>
                <w:rFonts w:ascii="仿宋" w:hAnsi="仿宋" w:eastAsia="仿宋" w:cs="仿宋"/>
                <w:b/>
                <w:bCs/>
                <w:color w:val="000000"/>
                <w:kern w:val="0"/>
                <w:sz w:val="24"/>
                <w:szCs w:val="24"/>
                <w:highlight w:val="none"/>
                <w:lang w:val="en-US" w:eastAsia="zh-CN" w:bidi="ar"/>
              </w:rPr>
              <w:t xml:space="preserve">表 </w:t>
            </w:r>
            <w:r>
              <w:rPr>
                <w:rFonts w:hint="eastAsia" w:ascii="仿宋" w:hAnsi="仿宋" w:eastAsia="仿宋" w:cs="仿宋"/>
                <w:b/>
                <w:bCs/>
                <w:color w:val="000000"/>
                <w:kern w:val="0"/>
                <w:sz w:val="24"/>
                <w:szCs w:val="24"/>
                <w:highlight w:val="none"/>
                <w:lang w:val="en-US" w:eastAsia="zh-CN" w:bidi="ar"/>
              </w:rPr>
              <w:t>2</w:t>
            </w:r>
            <w:r>
              <w:rPr>
                <w:rFonts w:ascii="仿宋" w:hAnsi="仿宋" w:eastAsia="仿宋" w:cs="仿宋"/>
                <w:b/>
                <w:bCs/>
                <w:color w:val="000000"/>
                <w:kern w:val="0"/>
                <w:sz w:val="24"/>
                <w:szCs w:val="24"/>
                <w:highlight w:val="none"/>
                <w:lang w:val="en-US" w:eastAsia="zh-CN" w:bidi="ar"/>
              </w:rPr>
              <w:t xml:space="preserve"> </w:t>
            </w:r>
            <w:r>
              <w:rPr>
                <w:rFonts w:hint="eastAsia" w:ascii="仿宋" w:hAnsi="仿宋" w:eastAsia="仿宋" w:cs="仿宋"/>
                <w:b/>
                <w:bCs/>
                <w:color w:val="000000"/>
                <w:kern w:val="0"/>
                <w:sz w:val="24"/>
                <w:szCs w:val="24"/>
                <w:highlight w:val="none"/>
                <w:lang w:val="en-US" w:eastAsia="zh-CN" w:bidi="ar"/>
              </w:rPr>
              <w:t>食品药械化妆品监管及治理餐桌污染专项经费使用情况</w:t>
            </w:r>
          </w:p>
          <w:p>
            <w:pPr>
              <w:keepNext w:val="0"/>
              <w:keepLines w:val="0"/>
              <w:widowControl/>
              <w:suppressLineNumbers w:val="0"/>
              <w:jc w:val="right"/>
              <w:rPr>
                <w:rFonts w:hint="default"/>
                <w:sz w:val="24"/>
                <w:szCs w:val="32"/>
                <w:highlight w:val="none"/>
                <w:vertAlign w:val="baseline"/>
                <w:lang w:val="en-US"/>
              </w:rPr>
            </w:pPr>
            <w:r>
              <w:rPr>
                <w:rFonts w:hint="eastAsia" w:ascii="仿宋" w:hAnsi="仿宋" w:eastAsia="仿宋" w:cs="仿宋"/>
                <w:b/>
                <w:bCs/>
                <w:color w:val="000000"/>
                <w:kern w:val="0"/>
                <w:sz w:val="24"/>
                <w:szCs w:val="24"/>
                <w:highlight w:val="none"/>
                <w:lang w:val="en-US" w:eastAsia="zh-CN" w:bidi="ar"/>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jc w:val="center"/>
        </w:trPr>
        <w:tc>
          <w:tcPr>
            <w:tcW w:w="1693" w:type="dxa"/>
            <w:vAlign w:val="center"/>
          </w:tcPr>
          <w:p>
            <w:pPr>
              <w:jc w:val="center"/>
              <w:rPr>
                <w:rFonts w:hint="eastAsia" w:ascii="仿宋" w:hAnsi="仿宋" w:eastAsia="仿宋" w:cs="仿宋"/>
                <w:sz w:val="24"/>
                <w:szCs w:val="32"/>
                <w:highlight w:val="none"/>
                <w:vertAlign w:val="baseline"/>
                <w:lang w:val="en-US" w:eastAsia="zh-CN"/>
              </w:rPr>
            </w:pPr>
            <w:r>
              <w:rPr>
                <w:rFonts w:hint="eastAsia" w:ascii="仿宋" w:hAnsi="仿宋" w:eastAsia="仿宋" w:cs="仿宋"/>
                <w:sz w:val="24"/>
                <w:szCs w:val="32"/>
                <w:highlight w:val="none"/>
                <w:vertAlign w:val="baseline"/>
                <w:lang w:val="en-US" w:eastAsia="zh-CN"/>
              </w:rPr>
              <w:t>项目分类</w:t>
            </w:r>
          </w:p>
        </w:tc>
        <w:tc>
          <w:tcPr>
            <w:tcW w:w="3206" w:type="dxa"/>
            <w:vAlign w:val="center"/>
          </w:tcPr>
          <w:p>
            <w:pPr>
              <w:jc w:val="center"/>
              <w:rPr>
                <w:rFonts w:hint="eastAsia" w:ascii="仿宋" w:hAnsi="仿宋" w:eastAsia="仿宋" w:cs="仿宋"/>
                <w:sz w:val="24"/>
                <w:szCs w:val="32"/>
                <w:highlight w:val="none"/>
                <w:vertAlign w:val="baseline"/>
                <w:lang w:val="en-US" w:eastAsia="zh-CN"/>
              </w:rPr>
            </w:pPr>
            <w:r>
              <w:rPr>
                <w:rFonts w:hint="eastAsia" w:ascii="仿宋" w:hAnsi="仿宋" w:eastAsia="仿宋" w:cs="仿宋"/>
                <w:sz w:val="24"/>
                <w:szCs w:val="32"/>
                <w:highlight w:val="none"/>
                <w:vertAlign w:val="baseline"/>
                <w:lang w:val="en-US" w:eastAsia="zh-CN"/>
              </w:rPr>
              <w:t>食品药械化妆品监管及治理餐桌污染专项经费</w:t>
            </w:r>
          </w:p>
        </w:tc>
        <w:tc>
          <w:tcPr>
            <w:tcW w:w="2799" w:type="dxa"/>
            <w:vAlign w:val="center"/>
          </w:tcPr>
          <w:p>
            <w:pPr>
              <w:jc w:val="center"/>
              <w:rPr>
                <w:rFonts w:hint="eastAsia" w:ascii="仿宋" w:hAnsi="仿宋" w:eastAsia="仿宋" w:cs="仿宋"/>
                <w:sz w:val="24"/>
                <w:szCs w:val="32"/>
                <w:highlight w:val="none"/>
                <w:vertAlign w:val="baseline"/>
                <w:lang w:val="en-US" w:eastAsia="zh-CN"/>
              </w:rPr>
            </w:pPr>
            <w:r>
              <w:rPr>
                <w:rFonts w:hint="eastAsia" w:ascii="仿宋" w:hAnsi="仿宋" w:eastAsia="仿宋" w:cs="仿宋"/>
                <w:sz w:val="24"/>
                <w:szCs w:val="32"/>
                <w:highlight w:val="none"/>
                <w:vertAlign w:val="baseline"/>
                <w:lang w:val="en-US" w:eastAsia="zh-CN"/>
              </w:rPr>
              <w:t>食品药品安全网格化监管队伍建设</w:t>
            </w:r>
          </w:p>
        </w:tc>
        <w:tc>
          <w:tcPr>
            <w:tcW w:w="1502" w:type="dxa"/>
            <w:vAlign w:val="center"/>
          </w:tcPr>
          <w:p>
            <w:pPr>
              <w:jc w:val="center"/>
              <w:rPr>
                <w:rFonts w:hint="eastAsia" w:ascii="仿宋" w:hAnsi="仿宋" w:eastAsia="仿宋" w:cs="仿宋"/>
                <w:sz w:val="24"/>
                <w:szCs w:val="32"/>
                <w:highlight w:val="none"/>
                <w:vertAlign w:val="baseline"/>
                <w:lang w:val="en-US" w:eastAsia="zh-CN"/>
              </w:rPr>
            </w:pPr>
            <w:r>
              <w:rPr>
                <w:rFonts w:hint="eastAsia" w:ascii="仿宋" w:hAnsi="仿宋" w:eastAsia="仿宋" w:cs="仿宋"/>
                <w:sz w:val="24"/>
                <w:szCs w:val="32"/>
                <w:highlight w:val="none"/>
                <w:vertAlign w:val="baseline"/>
                <w:lang w:val="en-US" w:eastAsia="zh-CN"/>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jc w:val="center"/>
        </w:trPr>
        <w:tc>
          <w:tcPr>
            <w:tcW w:w="1693" w:type="dxa"/>
            <w:vAlign w:val="center"/>
          </w:tcPr>
          <w:p>
            <w:pPr>
              <w:jc w:val="center"/>
              <w:rPr>
                <w:rFonts w:hint="default" w:ascii="仿宋" w:hAnsi="仿宋" w:eastAsia="仿宋" w:cs="仿宋"/>
                <w:sz w:val="24"/>
                <w:szCs w:val="32"/>
                <w:highlight w:val="none"/>
                <w:vertAlign w:val="baseline"/>
                <w:lang w:val="en-US" w:eastAsia="zh-CN"/>
              </w:rPr>
            </w:pPr>
            <w:r>
              <w:rPr>
                <w:rFonts w:hint="eastAsia" w:ascii="仿宋" w:hAnsi="仿宋" w:eastAsia="仿宋" w:cs="仿宋"/>
                <w:sz w:val="24"/>
                <w:szCs w:val="32"/>
                <w:highlight w:val="none"/>
                <w:vertAlign w:val="baseline"/>
                <w:lang w:val="en-US" w:eastAsia="zh-CN"/>
              </w:rPr>
              <w:t>已使用资金</w:t>
            </w:r>
          </w:p>
        </w:tc>
        <w:tc>
          <w:tcPr>
            <w:tcW w:w="3206" w:type="dxa"/>
            <w:vAlign w:val="center"/>
          </w:tcPr>
          <w:p>
            <w:pPr>
              <w:jc w:val="center"/>
              <w:rPr>
                <w:rFonts w:hint="default" w:ascii="仿宋" w:hAnsi="仿宋" w:eastAsia="仿宋" w:cs="仿宋"/>
                <w:sz w:val="24"/>
                <w:szCs w:val="32"/>
                <w:highlight w:val="none"/>
                <w:vertAlign w:val="baseline"/>
                <w:lang w:val="en-US" w:eastAsia="zh-CN"/>
              </w:rPr>
            </w:pPr>
            <w:r>
              <w:rPr>
                <w:rFonts w:hint="eastAsia" w:ascii="仿宋" w:hAnsi="仿宋" w:eastAsia="仿宋" w:cs="仿宋"/>
                <w:sz w:val="24"/>
                <w:szCs w:val="32"/>
                <w:highlight w:val="none"/>
                <w:vertAlign w:val="baseline"/>
                <w:lang w:val="en-US" w:eastAsia="zh-CN"/>
              </w:rPr>
              <w:t>368.2277</w:t>
            </w:r>
          </w:p>
        </w:tc>
        <w:tc>
          <w:tcPr>
            <w:tcW w:w="2799" w:type="dxa"/>
            <w:vAlign w:val="center"/>
          </w:tcPr>
          <w:p>
            <w:pPr>
              <w:jc w:val="center"/>
              <w:rPr>
                <w:rFonts w:hint="default" w:ascii="仿宋" w:hAnsi="仿宋" w:eastAsia="仿宋" w:cs="仿宋"/>
                <w:sz w:val="24"/>
                <w:szCs w:val="32"/>
                <w:highlight w:val="none"/>
                <w:vertAlign w:val="baseline"/>
                <w:lang w:val="en-US" w:eastAsia="zh-CN"/>
              </w:rPr>
            </w:pPr>
            <w:r>
              <w:rPr>
                <w:rFonts w:hint="eastAsia" w:ascii="仿宋" w:hAnsi="仿宋" w:eastAsia="仿宋" w:cs="仿宋"/>
                <w:sz w:val="24"/>
                <w:szCs w:val="32"/>
                <w:highlight w:val="none"/>
                <w:vertAlign w:val="baseline"/>
                <w:lang w:val="en-US" w:eastAsia="zh-CN"/>
              </w:rPr>
              <w:t>189.2811</w:t>
            </w:r>
          </w:p>
        </w:tc>
        <w:tc>
          <w:tcPr>
            <w:tcW w:w="1502" w:type="dxa"/>
            <w:vAlign w:val="center"/>
          </w:tcPr>
          <w:p>
            <w:pPr>
              <w:jc w:val="center"/>
              <w:rPr>
                <w:rFonts w:hint="default" w:ascii="仿宋" w:hAnsi="仿宋" w:eastAsia="仿宋" w:cs="仿宋"/>
                <w:sz w:val="24"/>
                <w:szCs w:val="32"/>
                <w:highlight w:val="none"/>
                <w:vertAlign w:val="baseline"/>
                <w:lang w:val="en-US" w:eastAsia="zh-CN"/>
              </w:rPr>
            </w:pPr>
            <w:r>
              <w:rPr>
                <w:rFonts w:hint="eastAsia" w:ascii="仿宋" w:hAnsi="仿宋" w:eastAsia="仿宋" w:cs="仿宋"/>
                <w:sz w:val="24"/>
                <w:szCs w:val="32"/>
                <w:highlight w:val="none"/>
                <w:vertAlign w:val="baseline"/>
                <w:lang w:val="en-US" w:eastAsia="zh-CN"/>
              </w:rPr>
              <w:t>577.5088</w:t>
            </w:r>
          </w:p>
        </w:tc>
      </w:tr>
    </w:tbl>
    <w:p>
      <w:pPr>
        <w:keepNext w:val="0"/>
        <w:keepLines w:val="0"/>
        <w:pageBreakBefore w:val="0"/>
        <w:widowControl w:val="0"/>
        <w:numPr>
          <w:ilvl w:val="0"/>
          <w:numId w:val="0"/>
        </w:numPr>
        <w:kinsoku/>
        <w:wordWrap/>
        <w:overflowPunct/>
        <w:topLinePunct w:val="0"/>
        <w:autoSpaceDE/>
        <w:autoSpaceDN/>
        <w:bidi w:val="0"/>
        <w:adjustRightInd/>
        <w:snapToGrid/>
        <w:ind w:left="0" w:leftChars="0" w:firstLine="420" w:firstLineChars="0"/>
        <w:textAlignment w:val="auto"/>
        <w:outlineLvl w:val="1"/>
        <w:rPr>
          <w:rFonts w:hint="eastAsia" w:ascii="楷体" w:hAnsi="楷体" w:eastAsia="楷体" w:cs="楷体"/>
          <w:b/>
          <w:bCs/>
          <w:sz w:val="28"/>
          <w:szCs w:val="28"/>
          <w:highlight w:val="none"/>
          <w:lang w:val="en-US" w:eastAsia="zh-CN"/>
        </w:rPr>
      </w:pPr>
      <w:bookmarkStart w:id="58" w:name="_Toc3419"/>
      <w:bookmarkStart w:id="59" w:name="_Toc10811"/>
      <w:bookmarkStart w:id="60" w:name="_Toc22819"/>
      <w:r>
        <w:rPr>
          <w:rFonts w:hint="eastAsia" w:ascii="楷体" w:hAnsi="楷体" w:eastAsia="楷体" w:cs="楷体"/>
          <w:b/>
          <w:bCs/>
          <w:kern w:val="2"/>
          <w:sz w:val="28"/>
          <w:szCs w:val="28"/>
          <w:highlight w:val="none"/>
          <w:lang w:val="en-US" w:eastAsia="zh-CN" w:bidi="ar-SA"/>
        </w:rPr>
        <w:t>（二）</w:t>
      </w:r>
      <w:r>
        <w:rPr>
          <w:rFonts w:hint="eastAsia" w:ascii="楷体" w:hAnsi="楷体" w:eastAsia="楷体" w:cs="楷体"/>
          <w:b/>
          <w:bCs/>
          <w:sz w:val="28"/>
          <w:szCs w:val="28"/>
          <w:highlight w:val="none"/>
          <w:lang w:val="en-US" w:eastAsia="zh-CN"/>
        </w:rPr>
        <w:t>项目绩效目标</w:t>
      </w:r>
      <w:bookmarkEnd w:id="58"/>
      <w:bookmarkEnd w:id="59"/>
      <w:bookmarkEnd w:id="60"/>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kern w:val="2"/>
          <w:sz w:val="28"/>
          <w:szCs w:val="28"/>
          <w:highlight w:val="none"/>
          <w:lang w:val="en-US" w:eastAsia="zh-CN" w:bidi="ar-SA"/>
        </w:rPr>
      </w:pPr>
      <w:bookmarkStart w:id="61" w:name="_Toc17932"/>
      <w:bookmarkStart w:id="62" w:name="_Toc26259"/>
      <w:bookmarkStart w:id="63" w:name="_Toc6744"/>
      <w:bookmarkStart w:id="64" w:name="_Toc23967"/>
      <w:r>
        <w:rPr>
          <w:rFonts w:hint="default" w:ascii="仿宋" w:hAnsi="仿宋" w:eastAsia="仿宋" w:cs="仿宋"/>
          <w:b/>
          <w:bCs/>
          <w:kern w:val="2"/>
          <w:sz w:val="28"/>
          <w:szCs w:val="28"/>
          <w:highlight w:val="none"/>
          <w:lang w:val="en-US" w:eastAsia="zh-CN" w:bidi="ar-SA"/>
        </w:rPr>
        <w:t>1</w:t>
      </w:r>
      <w:r>
        <w:rPr>
          <w:rFonts w:hint="eastAsia" w:ascii="仿宋" w:hAnsi="仿宋" w:eastAsia="仿宋" w:cs="仿宋"/>
          <w:b/>
          <w:bCs/>
          <w:kern w:val="2"/>
          <w:sz w:val="28"/>
          <w:szCs w:val="28"/>
          <w:highlight w:val="none"/>
          <w:lang w:val="en-US" w:eastAsia="zh-CN" w:bidi="ar-SA"/>
        </w:rPr>
        <w:t>.总体目标</w:t>
      </w:r>
      <w:bookmarkEnd w:id="61"/>
      <w:bookmarkEnd w:id="62"/>
      <w:bookmarkEnd w:id="63"/>
      <w:bookmarkEnd w:id="64"/>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以习近平新时代中国特色社会主义思想为指导，坚持以人民为中心的发展思想遵循“四个最严”的要求，按照全国市场监管工作会议及全省市场监管工作会议部署和要求，突出“严”的总基调，紧紧围绕推动“治理餐桌污染、建设食品放心工程”和食品抽检检测高质量发展双轨并行，坚持以问题为导向，以提升抽检检测质量为重点，以防范食品安全风险为目标，更好地发挥抽检检测在食品安全监管中的技术支撑作用。</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kern w:val="2"/>
          <w:sz w:val="28"/>
          <w:szCs w:val="28"/>
          <w:highlight w:val="none"/>
          <w:lang w:val="en-US" w:eastAsia="zh-CN" w:bidi="ar-SA"/>
        </w:rPr>
      </w:pPr>
      <w:bookmarkStart w:id="65" w:name="_Toc24380"/>
      <w:bookmarkStart w:id="66" w:name="_Toc16610"/>
      <w:bookmarkStart w:id="67" w:name="_Toc2663"/>
      <w:bookmarkStart w:id="68" w:name="_Toc15225"/>
      <w:r>
        <w:rPr>
          <w:rFonts w:hint="default" w:ascii="仿宋" w:hAnsi="仿宋" w:eastAsia="仿宋" w:cs="仿宋"/>
          <w:b/>
          <w:bCs/>
          <w:kern w:val="2"/>
          <w:sz w:val="28"/>
          <w:szCs w:val="28"/>
          <w:highlight w:val="none"/>
          <w:lang w:val="en-US" w:eastAsia="zh-CN" w:bidi="ar-SA"/>
        </w:rPr>
        <w:t>2</w:t>
      </w:r>
      <w:r>
        <w:rPr>
          <w:rFonts w:hint="eastAsia" w:ascii="仿宋" w:hAnsi="仿宋" w:eastAsia="仿宋" w:cs="仿宋"/>
          <w:b/>
          <w:bCs/>
          <w:kern w:val="2"/>
          <w:sz w:val="28"/>
          <w:szCs w:val="28"/>
          <w:highlight w:val="none"/>
          <w:lang w:val="en-US" w:eastAsia="zh-CN" w:bidi="ar-SA"/>
        </w:rPr>
        <w:t>.具体目标</w:t>
      </w:r>
      <w:bookmarkEnd w:id="65"/>
      <w:bookmarkEnd w:id="66"/>
      <w:bookmarkEnd w:id="67"/>
      <w:bookmarkEnd w:id="68"/>
    </w:p>
    <w:p>
      <w:pPr>
        <w:pStyle w:val="2"/>
        <w:keepNext w:val="0"/>
        <w:keepLines w:val="0"/>
        <w:pageBreakBefore w:val="0"/>
        <w:widowControl w:val="0"/>
        <w:numPr>
          <w:ilvl w:val="0"/>
          <w:numId w:val="0"/>
        </w:numPr>
        <w:kinsoku/>
        <w:wordWrap/>
        <w:overflowPunct/>
        <w:topLinePunct w:val="0"/>
        <w:autoSpaceDE/>
        <w:autoSpaceDN/>
        <w:bidi w:val="0"/>
        <w:adjustRightInd/>
        <w:snapToGrid/>
        <w:ind w:firstLine="481" w:firstLineChars="200"/>
        <w:jc w:val="center"/>
        <w:textAlignment w:val="auto"/>
        <w:outlineLvl w:val="0"/>
        <w:rPr>
          <w:rFonts w:hint="eastAsia" w:ascii="仿宋" w:hAnsi="仿宋" w:eastAsia="仿宋" w:cs="仿宋"/>
          <w:b/>
          <w:bCs/>
          <w:sz w:val="24"/>
          <w:szCs w:val="24"/>
          <w:highlight w:val="none"/>
          <w:lang w:val="en-US" w:eastAsia="zh-CN"/>
        </w:rPr>
      </w:pPr>
      <w:bookmarkStart w:id="69" w:name="_Toc14086"/>
      <w:bookmarkStart w:id="70" w:name="_Toc3010"/>
      <w:bookmarkStart w:id="71" w:name="_Toc7422"/>
      <w:bookmarkStart w:id="72" w:name="_Toc13649"/>
      <w:bookmarkStart w:id="73" w:name="_Toc12468"/>
      <w:bookmarkStart w:id="74" w:name="_Toc18859"/>
      <w:bookmarkStart w:id="75" w:name="_Toc25371"/>
      <w:bookmarkStart w:id="76" w:name="_Toc29745"/>
      <w:bookmarkStart w:id="77" w:name="_Toc17190"/>
      <w:bookmarkStart w:id="78" w:name="_Toc27835"/>
      <w:bookmarkStart w:id="79" w:name="_Toc22813"/>
      <w:bookmarkStart w:id="80" w:name="_Toc21638"/>
      <w:bookmarkStart w:id="81" w:name="_Toc13122"/>
      <w:bookmarkStart w:id="82" w:name="_Toc3580"/>
      <w:bookmarkStart w:id="83" w:name="_Toc10990"/>
      <w:bookmarkStart w:id="84" w:name="_Toc4697"/>
      <w:r>
        <w:rPr>
          <w:rFonts w:hint="eastAsia" w:ascii="仿宋" w:hAnsi="仿宋" w:eastAsia="仿宋" w:cs="仿宋"/>
          <w:b/>
          <w:bCs/>
          <w:sz w:val="24"/>
          <w:szCs w:val="24"/>
          <w:highlight w:val="none"/>
          <w:lang w:val="en-US" w:eastAsia="zh-CN"/>
        </w:rPr>
        <w:t>石狮市市场监督管理局食品药械化妆品监管及治理餐桌污染专项经费、食品药品安全网格化监管经费项目主要绩效目标表</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tbl>
      <w:tblPr>
        <w:tblStyle w:val="12"/>
        <w:tblW w:w="9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2"/>
        <w:gridCol w:w="1570"/>
        <w:gridCol w:w="4029"/>
        <w:gridCol w:w="22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blHeader/>
        </w:trPr>
        <w:tc>
          <w:tcPr>
            <w:tcW w:w="1362" w:type="dxa"/>
            <w:shd w:val="clear" w:color="auto" w:fill="CFCECE"/>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eastAsia" w:ascii="仿宋" w:hAnsi="仿宋" w:eastAsia="仿宋" w:cs="仿宋"/>
                <w:b w:val="0"/>
                <w:bCs w:val="0"/>
                <w:sz w:val="21"/>
                <w:szCs w:val="21"/>
                <w:highlight w:val="none"/>
                <w:vertAlign w:val="baseline"/>
                <w:lang w:val="en-US" w:eastAsia="zh-CN"/>
              </w:rPr>
            </w:pPr>
            <w:bookmarkStart w:id="85" w:name="_Toc27514"/>
            <w:bookmarkStart w:id="86" w:name="_Toc15956"/>
            <w:bookmarkStart w:id="87" w:name="_Toc7258"/>
            <w:bookmarkStart w:id="88" w:name="_Toc13686"/>
            <w:bookmarkStart w:id="89" w:name="_Toc20054"/>
            <w:bookmarkStart w:id="90" w:name="_Toc4039"/>
            <w:bookmarkStart w:id="91" w:name="_Toc14279"/>
            <w:bookmarkStart w:id="92" w:name="_Toc15348"/>
            <w:bookmarkStart w:id="93" w:name="_Toc24820"/>
            <w:bookmarkStart w:id="94" w:name="_Toc28043"/>
            <w:bookmarkStart w:id="95" w:name="_Toc19341"/>
            <w:bookmarkStart w:id="96" w:name="_Toc13527"/>
            <w:bookmarkStart w:id="97" w:name="_Toc26990"/>
            <w:bookmarkStart w:id="98" w:name="_Toc3365"/>
            <w:bookmarkStart w:id="99" w:name="_Toc13475"/>
            <w:bookmarkStart w:id="100" w:name="_Toc5279"/>
            <w:r>
              <w:rPr>
                <w:rFonts w:hint="eastAsia" w:ascii="仿宋" w:hAnsi="仿宋" w:eastAsia="仿宋" w:cs="仿宋"/>
                <w:b w:val="0"/>
                <w:bCs w:val="0"/>
                <w:sz w:val="21"/>
                <w:szCs w:val="21"/>
                <w:highlight w:val="none"/>
                <w:vertAlign w:val="baseline"/>
                <w:lang w:val="en-US" w:eastAsia="zh-CN"/>
              </w:rPr>
              <w:t>一级指标</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tc>
        <w:tc>
          <w:tcPr>
            <w:tcW w:w="1570" w:type="dxa"/>
            <w:shd w:val="clear" w:color="auto" w:fill="CFCECE"/>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eastAsia" w:ascii="仿宋" w:hAnsi="仿宋" w:eastAsia="仿宋" w:cs="仿宋"/>
                <w:b w:val="0"/>
                <w:bCs w:val="0"/>
                <w:sz w:val="21"/>
                <w:szCs w:val="21"/>
                <w:highlight w:val="none"/>
                <w:vertAlign w:val="baseline"/>
                <w:lang w:val="en-US" w:eastAsia="zh-CN"/>
              </w:rPr>
            </w:pPr>
            <w:bookmarkStart w:id="101" w:name="_Toc18396"/>
            <w:bookmarkStart w:id="102" w:name="_Toc29442"/>
            <w:bookmarkStart w:id="103" w:name="_Toc364"/>
            <w:bookmarkStart w:id="104" w:name="_Toc25770"/>
            <w:bookmarkStart w:id="105" w:name="_Toc20402"/>
            <w:bookmarkStart w:id="106" w:name="_Toc2784"/>
            <w:bookmarkStart w:id="107" w:name="_Toc9764"/>
            <w:bookmarkStart w:id="108" w:name="_Toc25338"/>
            <w:bookmarkStart w:id="109" w:name="_Toc23996"/>
            <w:bookmarkStart w:id="110" w:name="_Toc22434"/>
            <w:bookmarkStart w:id="111" w:name="_Toc15770"/>
            <w:bookmarkStart w:id="112" w:name="_Toc5763"/>
            <w:bookmarkStart w:id="113" w:name="_Toc2081"/>
            <w:bookmarkStart w:id="114" w:name="_Toc1124"/>
            <w:bookmarkStart w:id="115" w:name="_Toc31976"/>
            <w:bookmarkStart w:id="116" w:name="_Toc24894"/>
            <w:r>
              <w:rPr>
                <w:rFonts w:hint="eastAsia" w:ascii="仿宋" w:hAnsi="仿宋" w:eastAsia="仿宋" w:cs="仿宋"/>
                <w:b w:val="0"/>
                <w:bCs w:val="0"/>
                <w:sz w:val="21"/>
                <w:szCs w:val="21"/>
                <w:highlight w:val="none"/>
                <w:vertAlign w:val="baseline"/>
                <w:lang w:val="en-US" w:eastAsia="zh-CN"/>
              </w:rPr>
              <w:t>二级指标</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tc>
        <w:tc>
          <w:tcPr>
            <w:tcW w:w="4029" w:type="dxa"/>
            <w:shd w:val="clear" w:color="auto" w:fill="CFCECE"/>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eastAsia" w:ascii="仿宋" w:hAnsi="仿宋" w:eastAsia="仿宋" w:cs="仿宋"/>
                <w:b w:val="0"/>
                <w:bCs w:val="0"/>
                <w:sz w:val="21"/>
                <w:szCs w:val="21"/>
                <w:highlight w:val="none"/>
                <w:vertAlign w:val="baseline"/>
                <w:lang w:val="en-US" w:eastAsia="zh-CN"/>
              </w:rPr>
            </w:pPr>
            <w:bookmarkStart w:id="117" w:name="_Toc8955"/>
            <w:bookmarkStart w:id="118" w:name="_Toc23375"/>
            <w:bookmarkStart w:id="119" w:name="_Toc21128"/>
            <w:bookmarkStart w:id="120" w:name="_Toc26552"/>
            <w:bookmarkStart w:id="121" w:name="_Toc3512"/>
            <w:bookmarkStart w:id="122" w:name="_Toc30230"/>
            <w:bookmarkStart w:id="123" w:name="_Toc17852"/>
            <w:bookmarkStart w:id="124" w:name="_Toc24826"/>
            <w:bookmarkStart w:id="125" w:name="_Toc22643"/>
            <w:bookmarkStart w:id="126" w:name="_Toc16810"/>
            <w:bookmarkStart w:id="127" w:name="_Toc23093"/>
            <w:bookmarkStart w:id="128" w:name="_Toc8021"/>
            <w:bookmarkStart w:id="129" w:name="_Toc25287"/>
            <w:bookmarkStart w:id="130" w:name="_Toc8721"/>
            <w:bookmarkStart w:id="131" w:name="_Toc16491"/>
            <w:bookmarkStart w:id="132" w:name="_Toc7371"/>
            <w:r>
              <w:rPr>
                <w:rFonts w:hint="eastAsia" w:ascii="仿宋" w:hAnsi="仿宋" w:eastAsia="仿宋" w:cs="仿宋"/>
                <w:b w:val="0"/>
                <w:bCs w:val="0"/>
                <w:sz w:val="21"/>
                <w:szCs w:val="21"/>
                <w:highlight w:val="none"/>
                <w:vertAlign w:val="baseline"/>
                <w:lang w:val="en-US" w:eastAsia="zh-CN"/>
              </w:rPr>
              <w:t>三级指标</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tc>
        <w:tc>
          <w:tcPr>
            <w:tcW w:w="2240" w:type="dxa"/>
            <w:shd w:val="clear" w:color="auto" w:fill="CFCECE"/>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eastAsia" w:ascii="仿宋" w:hAnsi="仿宋" w:eastAsia="仿宋" w:cs="仿宋"/>
                <w:b w:val="0"/>
                <w:bCs w:val="0"/>
                <w:sz w:val="21"/>
                <w:szCs w:val="21"/>
                <w:highlight w:val="none"/>
                <w:vertAlign w:val="baseline"/>
                <w:lang w:val="en-US" w:eastAsia="zh-CN"/>
              </w:rPr>
            </w:pPr>
            <w:bookmarkStart w:id="133" w:name="_Toc6207"/>
            <w:bookmarkStart w:id="134" w:name="_Toc14725"/>
            <w:bookmarkStart w:id="135" w:name="_Toc1999"/>
            <w:bookmarkStart w:id="136" w:name="_Toc12564"/>
            <w:bookmarkStart w:id="137" w:name="_Toc7041"/>
            <w:bookmarkStart w:id="138" w:name="_Toc31004"/>
            <w:bookmarkStart w:id="139" w:name="_Toc19481"/>
            <w:bookmarkStart w:id="140" w:name="_Toc11693"/>
            <w:bookmarkStart w:id="141" w:name="_Toc14644"/>
            <w:bookmarkStart w:id="142" w:name="_Toc3009"/>
            <w:bookmarkStart w:id="143" w:name="_Toc8638"/>
            <w:bookmarkStart w:id="144" w:name="_Toc20019"/>
            <w:bookmarkStart w:id="145" w:name="_Toc2042"/>
            <w:bookmarkStart w:id="146" w:name="_Toc28762"/>
            <w:bookmarkStart w:id="147" w:name="_Toc12746"/>
            <w:bookmarkStart w:id="148" w:name="_Toc14267"/>
            <w:r>
              <w:rPr>
                <w:rFonts w:hint="eastAsia" w:ascii="仿宋" w:hAnsi="仿宋" w:eastAsia="仿宋" w:cs="仿宋"/>
                <w:b w:val="0"/>
                <w:bCs w:val="0"/>
                <w:sz w:val="21"/>
                <w:szCs w:val="21"/>
                <w:highlight w:val="none"/>
                <w:vertAlign w:val="baseline"/>
                <w:lang w:val="en-US" w:eastAsia="zh-CN"/>
              </w:rPr>
              <w:t>目标值</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62" w:type="dxa"/>
            <w:vMerge w:val="restart"/>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eastAsia" w:ascii="仿宋" w:hAnsi="仿宋" w:eastAsia="仿宋" w:cs="仿宋"/>
                <w:b w:val="0"/>
                <w:bCs w:val="0"/>
                <w:sz w:val="21"/>
                <w:szCs w:val="21"/>
                <w:highlight w:val="none"/>
                <w:vertAlign w:val="baseline"/>
                <w:lang w:val="en-US" w:eastAsia="zh-CN"/>
              </w:rPr>
            </w:pPr>
            <w:bookmarkStart w:id="149" w:name="_Toc5284"/>
            <w:bookmarkStart w:id="150" w:name="_Toc3443"/>
            <w:bookmarkStart w:id="151" w:name="_Toc21208"/>
            <w:bookmarkStart w:id="152" w:name="_Toc26207"/>
            <w:bookmarkStart w:id="153" w:name="_Toc22806"/>
            <w:bookmarkStart w:id="154" w:name="_Toc28096"/>
            <w:bookmarkStart w:id="155" w:name="_Toc18266"/>
            <w:bookmarkStart w:id="156" w:name="_Toc23567"/>
            <w:bookmarkStart w:id="157" w:name="_Toc17125"/>
            <w:bookmarkStart w:id="158" w:name="_Toc19414"/>
            <w:bookmarkStart w:id="159" w:name="_Toc10914"/>
            <w:bookmarkStart w:id="160" w:name="_Toc6562"/>
            <w:bookmarkStart w:id="161" w:name="_Toc10890"/>
            <w:bookmarkStart w:id="162" w:name="_Toc19527"/>
            <w:bookmarkStart w:id="163" w:name="_Toc13432"/>
            <w:bookmarkStart w:id="164" w:name="_Toc21887"/>
            <w:r>
              <w:rPr>
                <w:rFonts w:hint="eastAsia" w:ascii="仿宋" w:hAnsi="仿宋" w:eastAsia="仿宋" w:cs="仿宋"/>
                <w:b w:val="0"/>
                <w:bCs w:val="0"/>
                <w:sz w:val="21"/>
                <w:szCs w:val="21"/>
                <w:highlight w:val="none"/>
                <w:vertAlign w:val="baseline"/>
                <w:lang w:val="en-US" w:eastAsia="zh-CN"/>
              </w:rPr>
              <w:t>产出指标</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tc>
        <w:tc>
          <w:tcPr>
            <w:tcW w:w="1570" w:type="dxa"/>
            <w:vMerge w:val="restart"/>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eastAsia" w:ascii="仿宋" w:hAnsi="仿宋" w:eastAsia="仿宋" w:cs="仿宋"/>
                <w:b w:val="0"/>
                <w:bCs w:val="0"/>
                <w:sz w:val="21"/>
                <w:szCs w:val="21"/>
                <w:highlight w:val="none"/>
                <w:vertAlign w:val="baseline"/>
                <w:lang w:val="en-US" w:eastAsia="zh-CN"/>
              </w:rPr>
            </w:pPr>
            <w:bookmarkStart w:id="165" w:name="_Toc3205"/>
            <w:bookmarkStart w:id="166" w:name="_Toc31072"/>
            <w:bookmarkStart w:id="167" w:name="_Toc23593"/>
            <w:bookmarkStart w:id="168" w:name="_Toc25164"/>
            <w:bookmarkStart w:id="169" w:name="_Toc5386"/>
            <w:bookmarkStart w:id="170" w:name="_Toc22450"/>
            <w:bookmarkStart w:id="171" w:name="_Toc13184"/>
            <w:bookmarkStart w:id="172" w:name="_Toc14478"/>
            <w:bookmarkStart w:id="173" w:name="_Toc6729"/>
            <w:bookmarkStart w:id="174" w:name="_Toc11527"/>
            <w:bookmarkStart w:id="175" w:name="_Toc15094"/>
            <w:bookmarkStart w:id="176" w:name="_Toc4060"/>
            <w:bookmarkStart w:id="177" w:name="_Toc22542"/>
            <w:bookmarkStart w:id="178" w:name="_Toc13553"/>
            <w:bookmarkStart w:id="179" w:name="_Toc4193"/>
            <w:bookmarkStart w:id="180" w:name="_Toc3437"/>
            <w:r>
              <w:rPr>
                <w:rFonts w:hint="eastAsia" w:ascii="仿宋" w:hAnsi="仿宋" w:eastAsia="仿宋" w:cs="仿宋"/>
                <w:b w:val="0"/>
                <w:bCs w:val="0"/>
                <w:sz w:val="21"/>
                <w:szCs w:val="21"/>
                <w:highlight w:val="none"/>
                <w:vertAlign w:val="baseline"/>
                <w:lang w:val="en-US" w:eastAsia="zh-CN"/>
              </w:rPr>
              <w:t>数量指标</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tc>
        <w:tc>
          <w:tcPr>
            <w:tcW w:w="4029" w:type="dxa"/>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default" w:ascii="仿宋" w:hAnsi="仿宋" w:eastAsia="仿宋" w:cs="仿宋"/>
                <w:b w:val="0"/>
                <w:bCs w:val="0"/>
                <w:sz w:val="21"/>
                <w:szCs w:val="21"/>
                <w:highlight w:val="none"/>
                <w:vertAlign w:val="baseline"/>
                <w:lang w:val="en-US" w:eastAsia="zh-CN"/>
              </w:rPr>
            </w:pPr>
            <w:bookmarkStart w:id="181" w:name="_Toc14562"/>
            <w:bookmarkStart w:id="182" w:name="_Toc21129"/>
            <w:bookmarkStart w:id="183" w:name="_Toc5723"/>
            <w:bookmarkStart w:id="184" w:name="_Toc7105"/>
            <w:bookmarkStart w:id="185" w:name="_Toc2886"/>
            <w:bookmarkStart w:id="186" w:name="_Toc6861"/>
            <w:bookmarkStart w:id="187" w:name="_Toc19308"/>
            <w:bookmarkStart w:id="188" w:name="_Toc5173"/>
            <w:bookmarkStart w:id="189" w:name="_Toc21087"/>
            <w:bookmarkStart w:id="190" w:name="_Toc19702"/>
            <w:bookmarkStart w:id="191" w:name="_Toc15785"/>
            <w:bookmarkStart w:id="192" w:name="_Toc2342"/>
            <w:bookmarkStart w:id="193" w:name="_Toc17409"/>
            <w:bookmarkStart w:id="194" w:name="_Toc7249"/>
            <w:r>
              <w:rPr>
                <w:rFonts w:hint="eastAsia" w:ascii="仿宋" w:hAnsi="仿宋" w:eastAsia="仿宋" w:cs="仿宋"/>
                <w:b w:val="0"/>
                <w:bCs w:val="0"/>
                <w:sz w:val="21"/>
                <w:szCs w:val="21"/>
                <w:highlight w:val="none"/>
                <w:vertAlign w:val="baseline"/>
                <w:lang w:val="en-US" w:eastAsia="zh-CN"/>
              </w:rPr>
              <w:t>食品安全风险抽检</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tc>
        <w:tc>
          <w:tcPr>
            <w:tcW w:w="2240" w:type="dxa"/>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default" w:ascii="仿宋" w:hAnsi="仿宋" w:eastAsia="仿宋" w:cs="仿宋"/>
                <w:b w:val="0"/>
                <w:bCs w:val="0"/>
                <w:sz w:val="21"/>
                <w:szCs w:val="21"/>
                <w:highlight w:val="none"/>
                <w:vertAlign w:val="baseline"/>
                <w:lang w:val="en-US" w:eastAsia="zh-CN"/>
              </w:rPr>
            </w:pPr>
            <w:bookmarkStart w:id="195" w:name="_Toc5520"/>
            <w:bookmarkStart w:id="196" w:name="_Toc14604"/>
            <w:bookmarkStart w:id="197" w:name="_Toc19046"/>
            <w:bookmarkStart w:id="198" w:name="_Toc11344"/>
            <w:bookmarkStart w:id="199" w:name="_Toc9885"/>
            <w:bookmarkStart w:id="200" w:name="_Toc4501"/>
            <w:bookmarkStart w:id="201" w:name="_Toc31425"/>
            <w:bookmarkStart w:id="202" w:name="_Toc16918"/>
            <w:bookmarkStart w:id="203" w:name="_Toc6544"/>
            <w:bookmarkStart w:id="204" w:name="_Toc20952"/>
            <w:bookmarkStart w:id="205" w:name="_Toc28675"/>
            <w:bookmarkStart w:id="206" w:name="_Toc17106"/>
            <w:bookmarkStart w:id="207" w:name="_Toc13180"/>
            <w:bookmarkStart w:id="208" w:name="_Toc4997"/>
            <w:r>
              <w:rPr>
                <w:rFonts w:hint="eastAsia" w:ascii="仿宋" w:hAnsi="仿宋" w:eastAsia="仿宋" w:cs="仿宋"/>
                <w:b w:val="0"/>
                <w:bCs w:val="0"/>
                <w:sz w:val="21"/>
                <w:szCs w:val="21"/>
                <w:highlight w:val="none"/>
                <w:vertAlign w:val="baseline"/>
                <w:lang w:val="en-US" w:eastAsia="zh-CN"/>
              </w:rPr>
              <w:t>150批次</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62" w:type="dxa"/>
            <w:vMerge w:val="continue"/>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9"/>
              <w:rPr>
                <w:rFonts w:hint="eastAsia" w:ascii="仿宋" w:hAnsi="仿宋" w:eastAsia="仿宋" w:cs="仿宋"/>
                <w:b w:val="0"/>
                <w:bCs w:val="0"/>
                <w:sz w:val="21"/>
                <w:szCs w:val="21"/>
                <w:highlight w:val="none"/>
                <w:vertAlign w:val="baseline"/>
                <w:lang w:val="en-US" w:eastAsia="zh-CN"/>
              </w:rPr>
            </w:pPr>
          </w:p>
        </w:tc>
        <w:tc>
          <w:tcPr>
            <w:tcW w:w="1570" w:type="dxa"/>
            <w:vMerge w:val="continue"/>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9"/>
              <w:rPr>
                <w:rFonts w:hint="eastAsia" w:ascii="仿宋" w:hAnsi="仿宋" w:eastAsia="仿宋" w:cs="仿宋"/>
                <w:b w:val="0"/>
                <w:bCs w:val="0"/>
                <w:sz w:val="21"/>
                <w:szCs w:val="21"/>
                <w:highlight w:val="none"/>
                <w:vertAlign w:val="baseline"/>
                <w:lang w:val="en-US" w:eastAsia="zh-CN"/>
              </w:rPr>
            </w:pPr>
          </w:p>
        </w:tc>
        <w:tc>
          <w:tcPr>
            <w:tcW w:w="4029" w:type="dxa"/>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default" w:ascii="仿宋" w:hAnsi="仿宋" w:eastAsia="仿宋" w:cs="仿宋"/>
                <w:b w:val="0"/>
                <w:bCs w:val="0"/>
                <w:sz w:val="21"/>
                <w:szCs w:val="21"/>
                <w:highlight w:val="none"/>
                <w:vertAlign w:val="baseline"/>
                <w:lang w:val="en-US" w:eastAsia="zh-CN"/>
              </w:rPr>
            </w:pPr>
            <w:bookmarkStart w:id="209" w:name="_Toc18019"/>
            <w:bookmarkStart w:id="210" w:name="_Toc1013"/>
            <w:bookmarkStart w:id="211" w:name="_Toc5973"/>
            <w:bookmarkStart w:id="212" w:name="_Toc5734"/>
            <w:bookmarkStart w:id="213" w:name="_Toc26679"/>
            <w:bookmarkStart w:id="214" w:name="_Toc10398"/>
            <w:bookmarkStart w:id="215" w:name="_Toc4775"/>
            <w:bookmarkStart w:id="216" w:name="_Toc28200"/>
            <w:bookmarkStart w:id="217" w:name="_Toc7065"/>
            <w:bookmarkStart w:id="218" w:name="_Toc29843"/>
            <w:bookmarkStart w:id="219" w:name="_Toc17793"/>
            <w:bookmarkStart w:id="220" w:name="_Toc29650"/>
            <w:bookmarkStart w:id="221" w:name="_Toc7002"/>
            <w:bookmarkStart w:id="222" w:name="_Toc23585"/>
            <w:r>
              <w:rPr>
                <w:rFonts w:hint="eastAsia" w:ascii="仿宋" w:hAnsi="仿宋" w:eastAsia="仿宋" w:cs="仿宋"/>
                <w:b w:val="0"/>
                <w:bCs w:val="0"/>
                <w:sz w:val="21"/>
                <w:szCs w:val="21"/>
                <w:highlight w:val="none"/>
                <w:vertAlign w:val="baseline"/>
                <w:lang w:val="en-US" w:eastAsia="zh-CN"/>
              </w:rPr>
              <w:t>进一步强化食品生产企业主体责任意识，实现食品安全承诺</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tc>
        <w:tc>
          <w:tcPr>
            <w:tcW w:w="2240" w:type="dxa"/>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default" w:ascii="仿宋" w:hAnsi="仿宋" w:eastAsia="仿宋" w:cs="仿宋"/>
                <w:b w:val="0"/>
                <w:bCs w:val="0"/>
                <w:sz w:val="21"/>
                <w:szCs w:val="21"/>
                <w:highlight w:val="none"/>
                <w:vertAlign w:val="baseline"/>
                <w:lang w:val="en-US" w:eastAsia="zh-CN"/>
              </w:rPr>
            </w:pPr>
            <w:bookmarkStart w:id="223" w:name="_Toc29966"/>
            <w:bookmarkStart w:id="224" w:name="_Toc19156"/>
            <w:bookmarkStart w:id="225" w:name="_Toc2858"/>
            <w:bookmarkStart w:id="226" w:name="_Toc18822"/>
            <w:bookmarkStart w:id="227" w:name="_Toc808"/>
            <w:bookmarkStart w:id="228" w:name="_Toc5137"/>
            <w:bookmarkStart w:id="229" w:name="_Toc5353"/>
            <w:bookmarkStart w:id="230" w:name="_Toc7619"/>
            <w:bookmarkStart w:id="231" w:name="_Toc17185"/>
            <w:bookmarkStart w:id="232" w:name="_Toc18962"/>
            <w:bookmarkStart w:id="233" w:name="_Toc20388"/>
            <w:bookmarkStart w:id="234" w:name="_Toc24829"/>
            <w:bookmarkStart w:id="235" w:name="_Toc32267"/>
            <w:bookmarkStart w:id="236" w:name="_Toc17146"/>
            <w:r>
              <w:rPr>
                <w:rFonts w:hint="eastAsia" w:ascii="仿宋" w:hAnsi="仿宋" w:eastAsia="仿宋" w:cs="仿宋"/>
                <w:b w:val="0"/>
                <w:bCs w:val="0"/>
                <w:sz w:val="21"/>
                <w:szCs w:val="21"/>
                <w:highlight w:val="none"/>
                <w:vertAlign w:val="baseline"/>
                <w:lang w:val="en-US" w:eastAsia="zh-CN"/>
              </w:rPr>
              <w:t>100%</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62" w:type="dxa"/>
            <w:vMerge w:val="continue"/>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9"/>
              <w:rPr>
                <w:rFonts w:hint="eastAsia" w:ascii="仿宋" w:hAnsi="仿宋" w:eastAsia="仿宋" w:cs="仿宋"/>
                <w:b w:val="0"/>
                <w:bCs w:val="0"/>
                <w:sz w:val="21"/>
                <w:szCs w:val="21"/>
                <w:highlight w:val="none"/>
                <w:vertAlign w:val="baseline"/>
                <w:lang w:val="en-US" w:eastAsia="zh-CN"/>
              </w:rPr>
            </w:pPr>
          </w:p>
        </w:tc>
        <w:tc>
          <w:tcPr>
            <w:tcW w:w="1570" w:type="dxa"/>
            <w:vMerge w:val="continue"/>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9"/>
              <w:rPr>
                <w:rFonts w:hint="eastAsia" w:ascii="仿宋" w:hAnsi="仿宋" w:eastAsia="仿宋" w:cs="仿宋"/>
                <w:b w:val="0"/>
                <w:bCs w:val="0"/>
                <w:sz w:val="21"/>
                <w:szCs w:val="21"/>
                <w:highlight w:val="none"/>
                <w:vertAlign w:val="baseline"/>
                <w:lang w:val="en-US" w:eastAsia="zh-CN"/>
              </w:rPr>
            </w:pPr>
          </w:p>
        </w:tc>
        <w:tc>
          <w:tcPr>
            <w:tcW w:w="4029" w:type="dxa"/>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default" w:ascii="仿宋" w:hAnsi="仿宋" w:eastAsia="仿宋" w:cs="仿宋"/>
                <w:b w:val="0"/>
                <w:bCs w:val="0"/>
                <w:sz w:val="21"/>
                <w:szCs w:val="21"/>
                <w:highlight w:val="none"/>
                <w:vertAlign w:val="baseline"/>
                <w:lang w:val="en-US" w:eastAsia="zh-CN"/>
              </w:rPr>
            </w:pPr>
            <w:bookmarkStart w:id="237" w:name="_Toc25439"/>
            <w:bookmarkStart w:id="238" w:name="_Toc20035"/>
            <w:bookmarkStart w:id="239" w:name="_Toc26794"/>
            <w:bookmarkStart w:id="240" w:name="_Toc3599"/>
            <w:bookmarkStart w:id="241" w:name="_Toc26623"/>
            <w:bookmarkStart w:id="242" w:name="_Toc16602"/>
            <w:bookmarkStart w:id="243" w:name="_Toc9815"/>
            <w:bookmarkStart w:id="244" w:name="_Toc902"/>
            <w:bookmarkStart w:id="245" w:name="_Toc47"/>
            <w:bookmarkStart w:id="246" w:name="_Toc19535"/>
            <w:bookmarkStart w:id="247" w:name="_Toc4747"/>
            <w:bookmarkStart w:id="248" w:name="_Toc21708"/>
            <w:bookmarkStart w:id="249" w:name="_Toc16069"/>
            <w:bookmarkStart w:id="250" w:name="_Toc27890"/>
            <w:r>
              <w:rPr>
                <w:rFonts w:hint="eastAsia" w:ascii="仿宋" w:hAnsi="仿宋" w:eastAsia="仿宋" w:cs="仿宋"/>
                <w:b w:val="0"/>
                <w:bCs w:val="0"/>
                <w:sz w:val="21"/>
                <w:szCs w:val="21"/>
                <w:highlight w:val="none"/>
                <w:vertAlign w:val="baseline"/>
                <w:lang w:val="en-US" w:eastAsia="zh-CN"/>
              </w:rPr>
              <w:t>完成药品不良反应检测总报告</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tc>
        <w:tc>
          <w:tcPr>
            <w:tcW w:w="2240" w:type="dxa"/>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default" w:ascii="仿宋" w:hAnsi="仿宋" w:eastAsia="仿宋" w:cs="仿宋"/>
                <w:b w:val="0"/>
                <w:bCs w:val="0"/>
                <w:sz w:val="21"/>
                <w:szCs w:val="21"/>
                <w:highlight w:val="none"/>
                <w:vertAlign w:val="baseline"/>
                <w:lang w:val="en-US" w:eastAsia="zh-CN"/>
              </w:rPr>
            </w:pPr>
            <w:bookmarkStart w:id="251" w:name="_Toc16230"/>
            <w:bookmarkStart w:id="252" w:name="_Toc22982"/>
            <w:bookmarkStart w:id="253" w:name="_Toc2883"/>
            <w:bookmarkStart w:id="254" w:name="_Toc22922"/>
            <w:bookmarkStart w:id="255" w:name="_Toc8537"/>
            <w:bookmarkStart w:id="256" w:name="_Toc26516"/>
            <w:bookmarkStart w:id="257" w:name="_Toc16917"/>
            <w:bookmarkStart w:id="258" w:name="_Toc13623"/>
            <w:bookmarkStart w:id="259" w:name="_Toc25245"/>
            <w:bookmarkStart w:id="260" w:name="_Toc6618"/>
            <w:bookmarkStart w:id="261" w:name="_Toc31419"/>
            <w:bookmarkStart w:id="262" w:name="_Toc15194"/>
            <w:bookmarkStart w:id="263" w:name="_Toc983"/>
            <w:bookmarkStart w:id="264" w:name="_Toc18296"/>
            <w:r>
              <w:rPr>
                <w:rFonts w:hint="eastAsia" w:ascii="仿宋" w:hAnsi="仿宋" w:eastAsia="仿宋" w:cs="仿宋"/>
                <w:b w:val="0"/>
                <w:bCs w:val="0"/>
                <w:sz w:val="21"/>
                <w:szCs w:val="21"/>
                <w:highlight w:val="none"/>
                <w:vertAlign w:val="baseline"/>
                <w:lang w:val="en-US" w:eastAsia="zh-CN"/>
              </w:rPr>
              <w:t>1000份</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62" w:type="dxa"/>
            <w:vMerge w:val="continue"/>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9"/>
              <w:rPr>
                <w:rFonts w:hint="eastAsia" w:ascii="仿宋" w:hAnsi="仿宋" w:eastAsia="仿宋" w:cs="仿宋"/>
                <w:b w:val="0"/>
                <w:bCs w:val="0"/>
                <w:sz w:val="21"/>
                <w:szCs w:val="21"/>
                <w:highlight w:val="none"/>
                <w:vertAlign w:val="baseline"/>
                <w:lang w:val="en-US" w:eastAsia="zh-CN"/>
              </w:rPr>
            </w:pPr>
          </w:p>
        </w:tc>
        <w:tc>
          <w:tcPr>
            <w:tcW w:w="1570" w:type="dxa"/>
            <w:vMerge w:val="continue"/>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9"/>
              <w:rPr>
                <w:rFonts w:hint="eastAsia" w:ascii="仿宋" w:hAnsi="仿宋" w:eastAsia="仿宋" w:cs="仿宋"/>
                <w:b w:val="0"/>
                <w:bCs w:val="0"/>
                <w:sz w:val="21"/>
                <w:szCs w:val="21"/>
                <w:highlight w:val="none"/>
                <w:vertAlign w:val="baseline"/>
                <w:lang w:val="en-US" w:eastAsia="zh-CN"/>
              </w:rPr>
            </w:pPr>
          </w:p>
        </w:tc>
        <w:tc>
          <w:tcPr>
            <w:tcW w:w="4029" w:type="dxa"/>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default" w:ascii="仿宋" w:hAnsi="仿宋" w:eastAsia="仿宋" w:cs="仿宋"/>
                <w:b w:val="0"/>
                <w:bCs w:val="0"/>
                <w:sz w:val="21"/>
                <w:szCs w:val="21"/>
                <w:highlight w:val="none"/>
                <w:vertAlign w:val="baseline"/>
                <w:lang w:val="en-US" w:eastAsia="zh-CN"/>
              </w:rPr>
            </w:pPr>
            <w:bookmarkStart w:id="265" w:name="_Toc7111"/>
            <w:bookmarkStart w:id="266" w:name="_Toc25461"/>
            <w:bookmarkStart w:id="267" w:name="_Toc8080"/>
            <w:bookmarkStart w:id="268" w:name="_Toc26284"/>
            <w:bookmarkStart w:id="269" w:name="_Toc17022"/>
            <w:bookmarkStart w:id="270" w:name="_Toc13780"/>
            <w:bookmarkStart w:id="271" w:name="_Toc8806"/>
            <w:bookmarkStart w:id="272" w:name="_Toc743"/>
            <w:bookmarkStart w:id="273" w:name="_Toc4663"/>
            <w:bookmarkStart w:id="274" w:name="_Toc1473"/>
            <w:bookmarkStart w:id="275" w:name="_Toc475"/>
            <w:bookmarkStart w:id="276" w:name="_Toc26639"/>
            <w:bookmarkStart w:id="277" w:name="_Toc9522"/>
            <w:bookmarkStart w:id="278" w:name="_Toc30329"/>
            <w:r>
              <w:rPr>
                <w:rFonts w:hint="eastAsia" w:ascii="仿宋" w:hAnsi="仿宋" w:eastAsia="仿宋" w:cs="仿宋"/>
                <w:b w:val="0"/>
                <w:bCs w:val="0"/>
                <w:sz w:val="21"/>
                <w:szCs w:val="21"/>
                <w:highlight w:val="none"/>
                <w:vertAlign w:val="baseline"/>
                <w:lang w:val="en-US" w:eastAsia="zh-CN"/>
              </w:rPr>
              <w:t>组织讲座</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tc>
        <w:tc>
          <w:tcPr>
            <w:tcW w:w="2240" w:type="dxa"/>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default" w:ascii="仿宋" w:hAnsi="仿宋" w:eastAsia="仿宋" w:cs="仿宋"/>
                <w:b w:val="0"/>
                <w:bCs w:val="0"/>
                <w:sz w:val="21"/>
                <w:szCs w:val="21"/>
                <w:highlight w:val="none"/>
                <w:vertAlign w:val="baseline"/>
                <w:lang w:val="en-US" w:eastAsia="zh-CN"/>
              </w:rPr>
            </w:pPr>
            <w:bookmarkStart w:id="279" w:name="_Toc20553"/>
            <w:bookmarkStart w:id="280" w:name="_Toc30647"/>
            <w:bookmarkStart w:id="281" w:name="_Toc10512"/>
            <w:bookmarkStart w:id="282" w:name="_Toc17079"/>
            <w:bookmarkStart w:id="283" w:name="_Toc19971"/>
            <w:bookmarkStart w:id="284" w:name="_Toc2740"/>
            <w:bookmarkStart w:id="285" w:name="_Toc9867"/>
            <w:bookmarkStart w:id="286" w:name="_Toc21661"/>
            <w:bookmarkStart w:id="287" w:name="_Toc3130"/>
            <w:bookmarkStart w:id="288" w:name="_Toc27497"/>
            <w:bookmarkStart w:id="289" w:name="_Toc2412"/>
            <w:bookmarkStart w:id="290" w:name="_Toc29235"/>
            <w:bookmarkStart w:id="291" w:name="_Toc9148"/>
            <w:bookmarkStart w:id="292" w:name="_Toc22693"/>
            <w:r>
              <w:rPr>
                <w:rFonts w:hint="eastAsia" w:ascii="仿宋" w:hAnsi="仿宋" w:eastAsia="仿宋" w:cs="仿宋"/>
                <w:b w:val="0"/>
                <w:bCs w:val="0"/>
                <w:sz w:val="21"/>
                <w:szCs w:val="21"/>
                <w:highlight w:val="none"/>
                <w:vertAlign w:val="baseline"/>
                <w:lang w:val="en-US" w:eastAsia="zh-CN"/>
              </w:rPr>
              <w:t>20场次</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62" w:type="dxa"/>
            <w:vMerge w:val="continue"/>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9"/>
              <w:rPr>
                <w:rFonts w:hint="eastAsia" w:ascii="仿宋" w:hAnsi="仿宋" w:eastAsia="仿宋" w:cs="仿宋"/>
                <w:b w:val="0"/>
                <w:bCs w:val="0"/>
                <w:sz w:val="21"/>
                <w:szCs w:val="21"/>
                <w:highlight w:val="none"/>
                <w:vertAlign w:val="baseline"/>
                <w:lang w:val="en-US" w:eastAsia="zh-CN"/>
              </w:rPr>
            </w:pPr>
          </w:p>
        </w:tc>
        <w:tc>
          <w:tcPr>
            <w:tcW w:w="1570" w:type="dxa"/>
            <w:vMerge w:val="continue"/>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9"/>
              <w:rPr>
                <w:rFonts w:hint="eastAsia" w:ascii="仿宋" w:hAnsi="仿宋" w:eastAsia="仿宋" w:cs="仿宋"/>
                <w:b w:val="0"/>
                <w:bCs w:val="0"/>
                <w:sz w:val="21"/>
                <w:szCs w:val="21"/>
                <w:highlight w:val="none"/>
                <w:vertAlign w:val="baseline"/>
                <w:lang w:val="en-US" w:eastAsia="zh-CN"/>
              </w:rPr>
            </w:pPr>
          </w:p>
        </w:tc>
        <w:tc>
          <w:tcPr>
            <w:tcW w:w="4029" w:type="dxa"/>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default" w:ascii="仿宋" w:hAnsi="仿宋" w:eastAsia="仿宋" w:cs="仿宋"/>
                <w:b w:val="0"/>
                <w:bCs w:val="0"/>
                <w:sz w:val="21"/>
                <w:szCs w:val="21"/>
                <w:highlight w:val="none"/>
                <w:vertAlign w:val="baseline"/>
                <w:lang w:val="en-US" w:eastAsia="zh-CN"/>
              </w:rPr>
            </w:pPr>
            <w:bookmarkStart w:id="293" w:name="_Toc25102"/>
            <w:bookmarkStart w:id="294" w:name="_Toc19891"/>
            <w:bookmarkStart w:id="295" w:name="_Toc26560"/>
            <w:bookmarkStart w:id="296" w:name="_Toc23895"/>
            <w:bookmarkStart w:id="297" w:name="_Toc3992"/>
            <w:bookmarkStart w:id="298" w:name="_Toc413"/>
            <w:bookmarkStart w:id="299" w:name="_Toc396"/>
            <w:bookmarkStart w:id="300" w:name="_Toc11396"/>
            <w:bookmarkStart w:id="301" w:name="_Toc26572"/>
            <w:bookmarkStart w:id="302" w:name="_Toc14626"/>
            <w:bookmarkStart w:id="303" w:name="_Toc21888"/>
            <w:bookmarkStart w:id="304" w:name="_Toc24515"/>
            <w:bookmarkStart w:id="305" w:name="_Toc23453"/>
            <w:bookmarkStart w:id="306" w:name="_Toc6746"/>
            <w:r>
              <w:rPr>
                <w:rFonts w:hint="eastAsia" w:ascii="仿宋" w:hAnsi="仿宋" w:eastAsia="仿宋" w:cs="仿宋"/>
                <w:b w:val="0"/>
                <w:bCs w:val="0"/>
                <w:sz w:val="21"/>
                <w:szCs w:val="21"/>
                <w:highlight w:val="none"/>
                <w:vertAlign w:val="baseline"/>
                <w:lang w:val="en-US" w:eastAsia="zh-CN"/>
              </w:rPr>
              <w:t>社区宣传活动</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tc>
        <w:tc>
          <w:tcPr>
            <w:tcW w:w="2240" w:type="dxa"/>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default" w:ascii="仿宋" w:hAnsi="仿宋" w:eastAsia="仿宋" w:cs="仿宋"/>
                <w:b w:val="0"/>
                <w:bCs w:val="0"/>
                <w:sz w:val="21"/>
                <w:szCs w:val="21"/>
                <w:highlight w:val="none"/>
                <w:vertAlign w:val="baseline"/>
                <w:lang w:val="en-US" w:eastAsia="zh-CN"/>
              </w:rPr>
            </w:pPr>
            <w:bookmarkStart w:id="307" w:name="_Toc15815"/>
            <w:bookmarkStart w:id="308" w:name="_Toc14838"/>
            <w:bookmarkStart w:id="309" w:name="_Toc418"/>
            <w:bookmarkStart w:id="310" w:name="_Toc5588"/>
            <w:bookmarkStart w:id="311" w:name="_Toc20005"/>
            <w:bookmarkStart w:id="312" w:name="_Toc20211"/>
            <w:bookmarkStart w:id="313" w:name="_Toc20755"/>
            <w:bookmarkStart w:id="314" w:name="_Toc20696"/>
            <w:bookmarkStart w:id="315" w:name="_Toc31916"/>
            <w:bookmarkStart w:id="316" w:name="_Toc32339"/>
            <w:bookmarkStart w:id="317" w:name="_Toc30289"/>
            <w:bookmarkStart w:id="318" w:name="_Toc24743"/>
            <w:bookmarkStart w:id="319" w:name="_Toc25249"/>
            <w:bookmarkStart w:id="320" w:name="_Toc11626"/>
            <w:r>
              <w:rPr>
                <w:rFonts w:hint="eastAsia" w:ascii="仿宋" w:hAnsi="仿宋" w:eastAsia="仿宋" w:cs="仿宋"/>
                <w:b w:val="0"/>
                <w:bCs w:val="0"/>
                <w:sz w:val="21"/>
                <w:szCs w:val="21"/>
                <w:highlight w:val="none"/>
                <w:vertAlign w:val="baseline"/>
                <w:lang w:val="en-US" w:eastAsia="zh-CN"/>
              </w:rPr>
              <w:t>15场次</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62" w:type="dxa"/>
            <w:vMerge w:val="continue"/>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9"/>
              <w:rPr>
                <w:rFonts w:hint="eastAsia" w:ascii="仿宋" w:hAnsi="仿宋" w:eastAsia="仿宋" w:cs="仿宋"/>
                <w:b w:val="0"/>
                <w:bCs w:val="0"/>
                <w:sz w:val="21"/>
                <w:szCs w:val="21"/>
                <w:highlight w:val="none"/>
                <w:vertAlign w:val="baseline"/>
                <w:lang w:val="en-US" w:eastAsia="zh-CN"/>
              </w:rPr>
            </w:pPr>
          </w:p>
        </w:tc>
        <w:tc>
          <w:tcPr>
            <w:tcW w:w="1570" w:type="dxa"/>
            <w:vMerge w:val="restart"/>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eastAsia" w:ascii="仿宋" w:hAnsi="仿宋" w:eastAsia="仿宋" w:cs="仿宋"/>
                <w:b w:val="0"/>
                <w:bCs w:val="0"/>
                <w:sz w:val="21"/>
                <w:szCs w:val="21"/>
                <w:highlight w:val="none"/>
                <w:vertAlign w:val="baseline"/>
                <w:lang w:val="en-US" w:eastAsia="zh-CN"/>
              </w:rPr>
            </w:pPr>
            <w:bookmarkStart w:id="321" w:name="_Toc10788"/>
            <w:bookmarkStart w:id="322" w:name="_Toc31843"/>
            <w:bookmarkStart w:id="323" w:name="_Toc2625"/>
            <w:bookmarkStart w:id="324" w:name="_Toc8861"/>
            <w:bookmarkStart w:id="325" w:name="_Toc17040"/>
            <w:bookmarkStart w:id="326" w:name="_Toc21976"/>
            <w:bookmarkStart w:id="327" w:name="_Toc14444"/>
            <w:bookmarkStart w:id="328" w:name="_Toc12146"/>
            <w:bookmarkStart w:id="329" w:name="_Toc28218"/>
            <w:bookmarkStart w:id="330" w:name="_Toc5233"/>
            <w:bookmarkStart w:id="331" w:name="_Toc8466"/>
            <w:bookmarkStart w:id="332" w:name="_Toc11451"/>
            <w:bookmarkStart w:id="333" w:name="_Toc13881"/>
            <w:bookmarkStart w:id="334" w:name="_Toc14767"/>
            <w:bookmarkStart w:id="335" w:name="_Toc22471"/>
            <w:bookmarkStart w:id="336" w:name="_Toc10716"/>
            <w:r>
              <w:rPr>
                <w:rFonts w:hint="eastAsia" w:ascii="仿宋" w:hAnsi="仿宋" w:eastAsia="仿宋" w:cs="仿宋"/>
                <w:b w:val="0"/>
                <w:bCs w:val="0"/>
                <w:sz w:val="21"/>
                <w:szCs w:val="21"/>
                <w:highlight w:val="none"/>
                <w:vertAlign w:val="baseline"/>
                <w:lang w:val="en-US" w:eastAsia="zh-CN"/>
              </w:rPr>
              <w:t>质量指标</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tc>
        <w:tc>
          <w:tcPr>
            <w:tcW w:w="4029" w:type="dxa"/>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default" w:ascii="仿宋" w:hAnsi="仿宋" w:eastAsia="仿宋" w:cs="仿宋"/>
                <w:b w:val="0"/>
                <w:bCs w:val="0"/>
                <w:sz w:val="21"/>
                <w:szCs w:val="21"/>
                <w:highlight w:val="none"/>
                <w:vertAlign w:val="baseline"/>
                <w:lang w:val="en-US" w:eastAsia="zh-CN"/>
              </w:rPr>
            </w:pPr>
            <w:bookmarkStart w:id="337" w:name="_Toc26386"/>
            <w:bookmarkStart w:id="338" w:name="_Toc31581"/>
            <w:bookmarkStart w:id="339" w:name="_Toc4606"/>
            <w:bookmarkStart w:id="340" w:name="_Toc29952"/>
            <w:bookmarkStart w:id="341" w:name="_Toc13625"/>
            <w:bookmarkStart w:id="342" w:name="_Toc22656"/>
            <w:bookmarkStart w:id="343" w:name="_Toc11241"/>
            <w:bookmarkStart w:id="344" w:name="_Toc27416"/>
            <w:bookmarkStart w:id="345" w:name="_Toc4541"/>
            <w:bookmarkStart w:id="346" w:name="_Toc1889"/>
            <w:bookmarkStart w:id="347" w:name="_Toc20625"/>
            <w:bookmarkStart w:id="348" w:name="_Toc27869"/>
            <w:bookmarkStart w:id="349" w:name="_Toc13981"/>
            <w:bookmarkStart w:id="350" w:name="_Toc16191"/>
            <w:r>
              <w:rPr>
                <w:rFonts w:hint="eastAsia" w:ascii="仿宋" w:hAnsi="仿宋" w:eastAsia="仿宋" w:cs="仿宋"/>
                <w:b w:val="0"/>
                <w:bCs w:val="0"/>
                <w:sz w:val="21"/>
                <w:szCs w:val="21"/>
                <w:highlight w:val="none"/>
                <w:vertAlign w:val="baseline"/>
                <w:lang w:val="en-US" w:eastAsia="zh-CN"/>
              </w:rPr>
              <w:t>食品抽检覆盖率</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tc>
        <w:tc>
          <w:tcPr>
            <w:tcW w:w="2240" w:type="dxa"/>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default" w:ascii="仿宋" w:hAnsi="仿宋" w:eastAsia="仿宋" w:cs="仿宋"/>
                <w:b w:val="0"/>
                <w:bCs w:val="0"/>
                <w:sz w:val="21"/>
                <w:szCs w:val="21"/>
                <w:highlight w:val="none"/>
                <w:vertAlign w:val="baseline"/>
                <w:lang w:val="en-US" w:eastAsia="zh-CN"/>
              </w:rPr>
            </w:pPr>
            <w:bookmarkStart w:id="351" w:name="_Toc11170"/>
            <w:bookmarkStart w:id="352" w:name="_Toc29662"/>
            <w:bookmarkStart w:id="353" w:name="_Toc26359"/>
            <w:bookmarkStart w:id="354" w:name="_Toc13777"/>
            <w:bookmarkStart w:id="355" w:name="_Toc20016"/>
            <w:bookmarkStart w:id="356" w:name="_Toc9175"/>
            <w:bookmarkStart w:id="357" w:name="_Toc20607"/>
            <w:bookmarkStart w:id="358" w:name="_Toc21607"/>
            <w:bookmarkStart w:id="359" w:name="_Toc4046"/>
            <w:bookmarkStart w:id="360" w:name="_Toc5567"/>
            <w:bookmarkStart w:id="361" w:name="_Toc23925"/>
            <w:bookmarkStart w:id="362" w:name="_Toc13232"/>
            <w:bookmarkStart w:id="363" w:name="_Toc30409"/>
            <w:bookmarkStart w:id="364" w:name="_Toc28749"/>
            <w:r>
              <w:rPr>
                <w:rFonts w:hint="eastAsia" w:ascii="仿宋" w:hAnsi="仿宋" w:eastAsia="仿宋" w:cs="仿宋"/>
                <w:b w:val="0"/>
                <w:bCs w:val="0"/>
                <w:sz w:val="21"/>
                <w:szCs w:val="21"/>
                <w:highlight w:val="none"/>
                <w:vertAlign w:val="baseline"/>
                <w:lang w:val="en-US" w:eastAsia="zh-CN"/>
              </w:rPr>
              <w:t>90%</w:t>
            </w:r>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62" w:type="dxa"/>
            <w:vMerge w:val="continue"/>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9"/>
              <w:rPr>
                <w:rFonts w:hint="eastAsia" w:ascii="仿宋" w:hAnsi="仿宋" w:eastAsia="仿宋" w:cs="仿宋"/>
                <w:b w:val="0"/>
                <w:bCs w:val="0"/>
                <w:sz w:val="21"/>
                <w:szCs w:val="21"/>
                <w:highlight w:val="none"/>
                <w:vertAlign w:val="baseline"/>
                <w:lang w:val="en-US" w:eastAsia="zh-CN"/>
              </w:rPr>
            </w:pPr>
          </w:p>
        </w:tc>
        <w:tc>
          <w:tcPr>
            <w:tcW w:w="1570" w:type="dxa"/>
            <w:vMerge w:val="continue"/>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9"/>
              <w:rPr>
                <w:rFonts w:hint="eastAsia" w:ascii="仿宋" w:hAnsi="仿宋" w:eastAsia="仿宋" w:cs="仿宋"/>
                <w:b w:val="0"/>
                <w:bCs w:val="0"/>
                <w:sz w:val="21"/>
                <w:szCs w:val="21"/>
                <w:highlight w:val="none"/>
                <w:vertAlign w:val="baseline"/>
                <w:lang w:val="en-US" w:eastAsia="zh-CN"/>
              </w:rPr>
            </w:pPr>
          </w:p>
        </w:tc>
        <w:tc>
          <w:tcPr>
            <w:tcW w:w="4029" w:type="dxa"/>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default" w:ascii="仿宋" w:hAnsi="仿宋" w:eastAsia="仿宋" w:cs="仿宋"/>
                <w:b w:val="0"/>
                <w:bCs w:val="0"/>
                <w:sz w:val="21"/>
                <w:szCs w:val="21"/>
                <w:highlight w:val="none"/>
                <w:vertAlign w:val="baseline"/>
                <w:lang w:val="en-US" w:eastAsia="zh-CN"/>
              </w:rPr>
            </w:pPr>
            <w:bookmarkStart w:id="365" w:name="_Toc1169"/>
            <w:bookmarkStart w:id="366" w:name="_Toc22535"/>
            <w:bookmarkStart w:id="367" w:name="_Toc32211"/>
            <w:bookmarkStart w:id="368" w:name="_Toc6116"/>
            <w:bookmarkStart w:id="369" w:name="_Toc17153"/>
            <w:bookmarkStart w:id="370" w:name="_Toc26531"/>
            <w:bookmarkStart w:id="371" w:name="_Toc4584"/>
            <w:bookmarkStart w:id="372" w:name="_Toc8112"/>
            <w:bookmarkStart w:id="373" w:name="_Toc3277"/>
            <w:bookmarkStart w:id="374" w:name="_Toc20282"/>
            <w:bookmarkStart w:id="375" w:name="_Toc1932"/>
            <w:bookmarkStart w:id="376" w:name="_Toc1030"/>
            <w:bookmarkStart w:id="377" w:name="_Toc7761"/>
            <w:bookmarkStart w:id="378" w:name="_Toc23358"/>
            <w:r>
              <w:rPr>
                <w:rFonts w:hint="eastAsia" w:ascii="仿宋" w:hAnsi="仿宋" w:eastAsia="仿宋" w:cs="仿宋"/>
                <w:b w:val="0"/>
                <w:bCs w:val="0"/>
                <w:sz w:val="21"/>
                <w:szCs w:val="21"/>
                <w:highlight w:val="none"/>
                <w:vertAlign w:val="baseline"/>
                <w:lang w:val="en-US" w:eastAsia="zh-CN"/>
              </w:rPr>
              <w:t>食品安全追溯体系建设，名厨亮照、食品安全信用体系、预警体系建设覆盖率</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tc>
        <w:tc>
          <w:tcPr>
            <w:tcW w:w="2240" w:type="dxa"/>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default" w:ascii="仿宋" w:hAnsi="仿宋" w:eastAsia="仿宋" w:cs="仿宋"/>
                <w:b w:val="0"/>
                <w:bCs w:val="0"/>
                <w:sz w:val="21"/>
                <w:szCs w:val="21"/>
                <w:highlight w:val="none"/>
                <w:vertAlign w:val="baseline"/>
                <w:lang w:val="en-US" w:eastAsia="zh-CN"/>
              </w:rPr>
            </w:pPr>
            <w:bookmarkStart w:id="379" w:name="_Toc8302"/>
            <w:bookmarkStart w:id="380" w:name="_Toc12868"/>
            <w:bookmarkStart w:id="381" w:name="_Toc24723"/>
            <w:bookmarkStart w:id="382" w:name="_Toc3876"/>
            <w:bookmarkStart w:id="383" w:name="_Toc30391"/>
            <w:bookmarkStart w:id="384" w:name="_Toc31400"/>
            <w:bookmarkStart w:id="385" w:name="_Toc12745"/>
            <w:bookmarkStart w:id="386" w:name="_Toc23182"/>
            <w:bookmarkStart w:id="387" w:name="_Toc29415"/>
            <w:bookmarkStart w:id="388" w:name="_Toc18493"/>
            <w:bookmarkStart w:id="389" w:name="_Toc5655"/>
            <w:bookmarkStart w:id="390" w:name="_Toc12418"/>
            <w:bookmarkStart w:id="391" w:name="_Toc19813"/>
            <w:bookmarkStart w:id="392" w:name="_Toc25462"/>
            <w:r>
              <w:rPr>
                <w:rFonts w:hint="eastAsia" w:ascii="仿宋" w:hAnsi="仿宋" w:eastAsia="仿宋" w:cs="仿宋"/>
                <w:b w:val="0"/>
                <w:bCs w:val="0"/>
                <w:sz w:val="21"/>
                <w:szCs w:val="21"/>
                <w:highlight w:val="none"/>
                <w:vertAlign w:val="baseline"/>
                <w:lang w:val="en-US" w:eastAsia="zh-CN"/>
              </w:rPr>
              <w:t>95%</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62" w:type="dxa"/>
            <w:vMerge w:val="continue"/>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9"/>
              <w:rPr>
                <w:rFonts w:hint="eastAsia" w:ascii="仿宋" w:hAnsi="仿宋" w:eastAsia="仿宋" w:cs="仿宋"/>
                <w:b w:val="0"/>
                <w:bCs w:val="0"/>
                <w:sz w:val="21"/>
                <w:szCs w:val="21"/>
                <w:highlight w:val="none"/>
                <w:vertAlign w:val="baseline"/>
                <w:lang w:val="en-US" w:eastAsia="zh-CN"/>
              </w:rPr>
            </w:pPr>
          </w:p>
        </w:tc>
        <w:tc>
          <w:tcPr>
            <w:tcW w:w="1570" w:type="dxa"/>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eastAsia" w:ascii="仿宋" w:hAnsi="仿宋" w:eastAsia="仿宋" w:cs="仿宋"/>
                <w:b w:val="0"/>
                <w:bCs w:val="0"/>
                <w:sz w:val="21"/>
                <w:szCs w:val="21"/>
                <w:highlight w:val="none"/>
                <w:vertAlign w:val="baseline"/>
                <w:lang w:val="en-US" w:eastAsia="zh-CN"/>
              </w:rPr>
            </w:pPr>
            <w:bookmarkStart w:id="393" w:name="_Toc25776"/>
            <w:bookmarkStart w:id="394" w:name="_Toc2511"/>
            <w:bookmarkStart w:id="395" w:name="_Toc7805"/>
            <w:bookmarkStart w:id="396" w:name="_Toc14856"/>
            <w:bookmarkStart w:id="397" w:name="_Toc11407"/>
            <w:bookmarkStart w:id="398" w:name="_Toc12541"/>
            <w:bookmarkStart w:id="399" w:name="_Toc28172"/>
            <w:bookmarkStart w:id="400" w:name="_Toc21619"/>
            <w:bookmarkStart w:id="401" w:name="_Toc199"/>
            <w:bookmarkStart w:id="402" w:name="_Toc22079"/>
            <w:bookmarkStart w:id="403" w:name="_Toc27082"/>
            <w:bookmarkStart w:id="404" w:name="_Toc29152"/>
            <w:bookmarkStart w:id="405" w:name="_Toc10171"/>
            <w:bookmarkStart w:id="406" w:name="_Toc19312"/>
            <w:bookmarkStart w:id="407" w:name="_Toc20287"/>
            <w:bookmarkStart w:id="408" w:name="_Toc3896"/>
            <w:r>
              <w:rPr>
                <w:rFonts w:hint="eastAsia" w:ascii="仿宋" w:hAnsi="仿宋" w:eastAsia="仿宋" w:cs="仿宋"/>
                <w:b w:val="0"/>
                <w:bCs w:val="0"/>
                <w:sz w:val="21"/>
                <w:szCs w:val="21"/>
                <w:highlight w:val="none"/>
                <w:vertAlign w:val="baseline"/>
                <w:lang w:val="en-US" w:eastAsia="zh-CN"/>
              </w:rPr>
              <w:t>时效指标</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tc>
        <w:tc>
          <w:tcPr>
            <w:tcW w:w="4029" w:type="dxa"/>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default" w:ascii="仿宋" w:hAnsi="仿宋" w:eastAsia="仿宋" w:cs="仿宋"/>
                <w:b w:val="0"/>
                <w:bCs w:val="0"/>
                <w:sz w:val="21"/>
                <w:szCs w:val="21"/>
                <w:highlight w:val="none"/>
                <w:vertAlign w:val="baseline"/>
                <w:lang w:val="en-US" w:eastAsia="zh-CN"/>
              </w:rPr>
            </w:pPr>
            <w:bookmarkStart w:id="409" w:name="_Toc7522"/>
            <w:bookmarkStart w:id="410" w:name="_Toc26438"/>
            <w:bookmarkStart w:id="411" w:name="_Toc18057"/>
            <w:bookmarkStart w:id="412" w:name="_Toc17997"/>
            <w:bookmarkStart w:id="413" w:name="_Toc11818"/>
            <w:bookmarkStart w:id="414" w:name="_Toc29853"/>
            <w:bookmarkStart w:id="415" w:name="_Toc1677"/>
            <w:bookmarkStart w:id="416" w:name="_Toc10707"/>
            <w:bookmarkStart w:id="417" w:name="_Toc9632"/>
            <w:bookmarkStart w:id="418" w:name="_Toc23765"/>
            <w:bookmarkStart w:id="419" w:name="_Toc6347"/>
            <w:bookmarkStart w:id="420" w:name="_Toc19640"/>
            <w:bookmarkStart w:id="421" w:name="_Toc31084"/>
            <w:bookmarkStart w:id="422" w:name="_Toc11472"/>
            <w:r>
              <w:rPr>
                <w:rFonts w:hint="eastAsia" w:ascii="仿宋" w:hAnsi="仿宋" w:eastAsia="仿宋" w:cs="仿宋"/>
                <w:b w:val="0"/>
                <w:bCs w:val="0"/>
                <w:sz w:val="21"/>
                <w:szCs w:val="21"/>
                <w:highlight w:val="none"/>
                <w:vertAlign w:val="baseline"/>
                <w:lang w:val="en-US" w:eastAsia="zh-CN"/>
              </w:rPr>
              <w:t>完成时间</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p>
        </w:tc>
        <w:tc>
          <w:tcPr>
            <w:tcW w:w="2240" w:type="dxa"/>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default" w:ascii="仿宋" w:hAnsi="仿宋" w:eastAsia="仿宋" w:cs="仿宋"/>
                <w:b w:val="0"/>
                <w:bCs w:val="0"/>
                <w:sz w:val="21"/>
                <w:szCs w:val="21"/>
                <w:highlight w:val="none"/>
                <w:vertAlign w:val="baseline"/>
                <w:lang w:val="en-US" w:eastAsia="zh-CN"/>
              </w:rPr>
            </w:pPr>
            <w:bookmarkStart w:id="423" w:name="_Toc6097"/>
            <w:bookmarkStart w:id="424" w:name="_Toc6404"/>
            <w:bookmarkStart w:id="425" w:name="_Toc17368"/>
            <w:bookmarkStart w:id="426" w:name="_Toc11961"/>
            <w:bookmarkStart w:id="427" w:name="_Toc16040"/>
            <w:bookmarkStart w:id="428" w:name="_Toc14657"/>
            <w:bookmarkStart w:id="429" w:name="_Toc18777"/>
            <w:bookmarkStart w:id="430" w:name="_Toc1018"/>
            <w:bookmarkStart w:id="431" w:name="_Toc27813"/>
            <w:bookmarkStart w:id="432" w:name="_Toc30930"/>
            <w:bookmarkStart w:id="433" w:name="_Toc10618"/>
            <w:bookmarkStart w:id="434" w:name="_Toc10102"/>
            <w:bookmarkStart w:id="435" w:name="_Toc30034"/>
            <w:bookmarkStart w:id="436" w:name="_Toc21696"/>
            <w:r>
              <w:rPr>
                <w:rFonts w:hint="eastAsia" w:ascii="仿宋" w:hAnsi="仿宋" w:eastAsia="仿宋" w:cs="仿宋"/>
                <w:b w:val="0"/>
                <w:bCs w:val="0"/>
                <w:sz w:val="21"/>
                <w:szCs w:val="21"/>
                <w:highlight w:val="none"/>
                <w:vertAlign w:val="baseline"/>
                <w:lang w:val="en-US" w:eastAsia="zh-CN"/>
              </w:rPr>
              <w:t>12个月</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62" w:type="dxa"/>
            <w:vMerge w:val="restart"/>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eastAsia" w:ascii="仿宋" w:hAnsi="仿宋" w:eastAsia="仿宋" w:cs="仿宋"/>
                <w:b w:val="0"/>
                <w:bCs w:val="0"/>
                <w:sz w:val="21"/>
                <w:szCs w:val="21"/>
                <w:highlight w:val="none"/>
                <w:vertAlign w:val="baseline"/>
                <w:lang w:val="en-US" w:eastAsia="zh-CN"/>
              </w:rPr>
            </w:pPr>
            <w:bookmarkStart w:id="437" w:name="_Toc658"/>
            <w:bookmarkStart w:id="438" w:name="_Toc29919"/>
            <w:bookmarkStart w:id="439" w:name="_Toc30211"/>
            <w:bookmarkStart w:id="440" w:name="_Toc13842"/>
            <w:bookmarkStart w:id="441" w:name="_Toc11544"/>
            <w:bookmarkStart w:id="442" w:name="_Toc26816"/>
            <w:bookmarkStart w:id="443" w:name="_Toc8174"/>
            <w:bookmarkStart w:id="444" w:name="_Toc589"/>
            <w:bookmarkStart w:id="445" w:name="_Toc18742"/>
            <w:bookmarkStart w:id="446" w:name="_Toc14781"/>
            <w:bookmarkStart w:id="447" w:name="_Toc20203"/>
            <w:bookmarkStart w:id="448" w:name="_Toc27207"/>
            <w:bookmarkStart w:id="449" w:name="_Toc6421"/>
            <w:bookmarkStart w:id="450" w:name="_Toc3148"/>
            <w:bookmarkStart w:id="451" w:name="_Toc7895"/>
            <w:bookmarkStart w:id="452" w:name="_Toc20957"/>
            <w:r>
              <w:rPr>
                <w:rFonts w:hint="eastAsia" w:ascii="仿宋" w:hAnsi="仿宋" w:eastAsia="仿宋" w:cs="仿宋"/>
                <w:b w:val="0"/>
                <w:bCs w:val="0"/>
                <w:sz w:val="21"/>
                <w:szCs w:val="21"/>
                <w:highlight w:val="none"/>
                <w:vertAlign w:val="baseline"/>
                <w:lang w:val="en-US" w:eastAsia="zh-CN"/>
              </w:rPr>
              <w:t>效益指标</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tc>
        <w:tc>
          <w:tcPr>
            <w:tcW w:w="1570" w:type="dxa"/>
            <w:vMerge w:val="restart"/>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eastAsia" w:ascii="仿宋" w:hAnsi="仿宋" w:eastAsia="仿宋" w:cs="仿宋"/>
                <w:b w:val="0"/>
                <w:bCs w:val="0"/>
                <w:sz w:val="21"/>
                <w:szCs w:val="21"/>
                <w:highlight w:val="none"/>
                <w:vertAlign w:val="baseline"/>
                <w:lang w:val="en-US" w:eastAsia="zh-CN"/>
              </w:rPr>
            </w:pPr>
            <w:bookmarkStart w:id="453" w:name="_Toc21538"/>
            <w:bookmarkStart w:id="454" w:name="_Toc18051"/>
            <w:bookmarkStart w:id="455" w:name="_Toc22919"/>
            <w:bookmarkStart w:id="456" w:name="_Toc13242"/>
            <w:bookmarkStart w:id="457" w:name="_Toc31667"/>
            <w:bookmarkStart w:id="458" w:name="_Toc26329"/>
            <w:bookmarkStart w:id="459" w:name="_Toc29454"/>
            <w:bookmarkStart w:id="460" w:name="_Toc7461"/>
            <w:bookmarkStart w:id="461" w:name="_Toc12394"/>
            <w:bookmarkStart w:id="462" w:name="_Toc22987"/>
            <w:bookmarkStart w:id="463" w:name="_Toc19042"/>
            <w:bookmarkStart w:id="464" w:name="_Toc20107"/>
            <w:bookmarkStart w:id="465" w:name="_Toc3165"/>
            <w:bookmarkStart w:id="466" w:name="_Toc23640"/>
            <w:bookmarkStart w:id="467" w:name="_Toc3255"/>
            <w:bookmarkStart w:id="468" w:name="_Toc23556"/>
            <w:r>
              <w:rPr>
                <w:rFonts w:hint="eastAsia" w:ascii="仿宋" w:hAnsi="仿宋" w:eastAsia="仿宋" w:cs="仿宋"/>
                <w:b w:val="0"/>
                <w:bCs w:val="0"/>
                <w:sz w:val="21"/>
                <w:szCs w:val="21"/>
                <w:highlight w:val="none"/>
                <w:vertAlign w:val="baseline"/>
                <w:lang w:val="en-US" w:eastAsia="zh-CN"/>
              </w:rPr>
              <w:t>社会效益指标</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tc>
        <w:tc>
          <w:tcPr>
            <w:tcW w:w="4029" w:type="dxa"/>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default" w:ascii="仿宋" w:hAnsi="仿宋" w:eastAsia="仿宋" w:cs="仿宋"/>
                <w:b w:val="0"/>
                <w:bCs w:val="0"/>
                <w:sz w:val="21"/>
                <w:szCs w:val="21"/>
                <w:highlight w:val="none"/>
                <w:vertAlign w:val="baseline"/>
                <w:lang w:val="en-US" w:eastAsia="zh-CN"/>
              </w:rPr>
            </w:pPr>
            <w:bookmarkStart w:id="469" w:name="_Toc16512"/>
            <w:bookmarkStart w:id="470" w:name="_Toc11959"/>
            <w:bookmarkStart w:id="471" w:name="_Toc25924"/>
            <w:bookmarkStart w:id="472" w:name="_Toc27776"/>
            <w:bookmarkStart w:id="473" w:name="_Toc22857"/>
            <w:bookmarkStart w:id="474" w:name="_Toc23573"/>
            <w:bookmarkStart w:id="475" w:name="_Toc995"/>
            <w:bookmarkStart w:id="476" w:name="_Toc29772"/>
            <w:bookmarkStart w:id="477" w:name="_Toc5631"/>
            <w:bookmarkStart w:id="478" w:name="_Toc21734"/>
            <w:bookmarkStart w:id="479" w:name="_Toc1093"/>
            <w:bookmarkStart w:id="480" w:name="_Toc2037"/>
            <w:bookmarkStart w:id="481" w:name="_Toc31170"/>
            <w:bookmarkStart w:id="482" w:name="_Toc6896"/>
            <w:r>
              <w:rPr>
                <w:rFonts w:hint="eastAsia" w:ascii="仿宋" w:hAnsi="仿宋" w:eastAsia="仿宋" w:cs="仿宋"/>
                <w:b w:val="0"/>
                <w:bCs w:val="0"/>
                <w:sz w:val="21"/>
                <w:szCs w:val="21"/>
                <w:highlight w:val="none"/>
                <w:vertAlign w:val="baseline"/>
                <w:lang w:val="en-US" w:eastAsia="zh-CN"/>
              </w:rPr>
              <w:t>促进农村聚餐管理水平提高</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tc>
        <w:tc>
          <w:tcPr>
            <w:tcW w:w="2240" w:type="dxa"/>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default" w:ascii="仿宋" w:hAnsi="仿宋" w:eastAsia="仿宋" w:cs="仿宋"/>
                <w:b w:val="0"/>
                <w:bCs w:val="0"/>
                <w:sz w:val="21"/>
                <w:szCs w:val="21"/>
                <w:highlight w:val="none"/>
                <w:vertAlign w:val="baseline"/>
                <w:lang w:val="en-US" w:eastAsia="zh-CN"/>
              </w:rPr>
            </w:pPr>
            <w:bookmarkStart w:id="483" w:name="_Toc3881"/>
            <w:bookmarkStart w:id="484" w:name="_Toc3670"/>
            <w:bookmarkStart w:id="485" w:name="_Toc8704"/>
            <w:bookmarkStart w:id="486" w:name="_Toc4216"/>
            <w:bookmarkStart w:id="487" w:name="_Toc23150"/>
            <w:bookmarkStart w:id="488" w:name="_Toc7374"/>
            <w:bookmarkStart w:id="489" w:name="_Toc563"/>
            <w:bookmarkStart w:id="490" w:name="_Toc8810"/>
            <w:bookmarkStart w:id="491" w:name="_Toc31251"/>
            <w:bookmarkStart w:id="492" w:name="_Toc1502"/>
            <w:bookmarkStart w:id="493" w:name="_Toc13485"/>
            <w:bookmarkStart w:id="494" w:name="_Toc15731"/>
            <w:bookmarkStart w:id="495" w:name="_Toc20242"/>
            <w:bookmarkStart w:id="496" w:name="_Toc19364"/>
            <w:r>
              <w:rPr>
                <w:rFonts w:hint="eastAsia" w:ascii="仿宋" w:hAnsi="仿宋" w:eastAsia="仿宋" w:cs="仿宋"/>
                <w:b w:val="0"/>
                <w:bCs w:val="0"/>
                <w:sz w:val="21"/>
                <w:szCs w:val="21"/>
                <w:highlight w:val="none"/>
                <w:vertAlign w:val="baseline"/>
                <w:lang w:val="en-US" w:eastAsia="zh-CN"/>
              </w:rPr>
              <w:t>15家</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1362" w:type="dxa"/>
            <w:vMerge w:val="continue"/>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9"/>
              <w:rPr>
                <w:rFonts w:hint="eastAsia" w:ascii="仿宋" w:hAnsi="仿宋" w:eastAsia="仿宋" w:cs="仿宋"/>
                <w:b w:val="0"/>
                <w:bCs w:val="0"/>
                <w:sz w:val="21"/>
                <w:szCs w:val="21"/>
                <w:highlight w:val="none"/>
                <w:vertAlign w:val="baseline"/>
                <w:lang w:val="en-US" w:eastAsia="zh-CN"/>
              </w:rPr>
            </w:pPr>
          </w:p>
        </w:tc>
        <w:tc>
          <w:tcPr>
            <w:tcW w:w="1570" w:type="dxa"/>
            <w:vMerge w:val="continue"/>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9"/>
              <w:rPr>
                <w:rFonts w:hint="eastAsia" w:ascii="仿宋" w:hAnsi="仿宋" w:eastAsia="仿宋" w:cs="仿宋"/>
                <w:b w:val="0"/>
                <w:bCs w:val="0"/>
                <w:sz w:val="21"/>
                <w:szCs w:val="21"/>
                <w:highlight w:val="none"/>
                <w:vertAlign w:val="baseline"/>
                <w:lang w:val="en-US" w:eastAsia="zh-CN"/>
              </w:rPr>
            </w:pPr>
          </w:p>
        </w:tc>
        <w:tc>
          <w:tcPr>
            <w:tcW w:w="4029" w:type="dxa"/>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default" w:ascii="仿宋" w:hAnsi="仿宋" w:eastAsia="仿宋" w:cs="仿宋"/>
                <w:b w:val="0"/>
                <w:bCs w:val="0"/>
                <w:sz w:val="21"/>
                <w:szCs w:val="21"/>
                <w:highlight w:val="none"/>
                <w:vertAlign w:val="baseline"/>
                <w:lang w:val="en-US" w:eastAsia="zh-CN"/>
              </w:rPr>
            </w:pPr>
            <w:bookmarkStart w:id="497" w:name="_Toc15754"/>
            <w:bookmarkStart w:id="498" w:name="_Toc866"/>
            <w:bookmarkStart w:id="499" w:name="_Toc13322"/>
            <w:bookmarkStart w:id="500" w:name="_Toc11655"/>
            <w:bookmarkStart w:id="501" w:name="_Toc29417"/>
            <w:bookmarkStart w:id="502" w:name="_Toc20459"/>
            <w:bookmarkStart w:id="503" w:name="_Toc24943"/>
            <w:bookmarkStart w:id="504" w:name="_Toc21426"/>
            <w:bookmarkStart w:id="505" w:name="_Toc19970"/>
            <w:bookmarkStart w:id="506" w:name="_Toc5990"/>
            <w:bookmarkStart w:id="507" w:name="_Toc17744"/>
            <w:bookmarkStart w:id="508" w:name="_Toc14336"/>
            <w:bookmarkStart w:id="509" w:name="_Toc19320"/>
            <w:bookmarkStart w:id="510" w:name="_Toc20745"/>
            <w:r>
              <w:rPr>
                <w:rFonts w:hint="eastAsia" w:ascii="仿宋" w:hAnsi="仿宋" w:eastAsia="仿宋" w:cs="仿宋"/>
                <w:b w:val="0"/>
                <w:bCs w:val="0"/>
                <w:sz w:val="21"/>
                <w:szCs w:val="21"/>
                <w:highlight w:val="none"/>
                <w:vertAlign w:val="baseline"/>
                <w:lang w:val="en-US" w:eastAsia="zh-CN"/>
              </w:rPr>
              <w:t>开展药品监管抽查</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p>
        </w:tc>
        <w:tc>
          <w:tcPr>
            <w:tcW w:w="2240" w:type="dxa"/>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default" w:ascii="仿宋" w:hAnsi="仿宋" w:eastAsia="仿宋" w:cs="仿宋"/>
                <w:b w:val="0"/>
                <w:bCs w:val="0"/>
                <w:sz w:val="21"/>
                <w:szCs w:val="21"/>
                <w:highlight w:val="none"/>
                <w:vertAlign w:val="baseline"/>
                <w:lang w:val="en-US" w:eastAsia="zh-CN"/>
              </w:rPr>
            </w:pPr>
            <w:bookmarkStart w:id="511" w:name="_Toc7196"/>
            <w:bookmarkStart w:id="512" w:name="_Toc22838"/>
            <w:bookmarkStart w:id="513" w:name="_Toc27256"/>
            <w:bookmarkStart w:id="514" w:name="_Toc14203"/>
            <w:bookmarkStart w:id="515" w:name="_Toc2331"/>
            <w:bookmarkStart w:id="516" w:name="_Toc14113"/>
            <w:bookmarkStart w:id="517" w:name="_Toc2839"/>
            <w:bookmarkStart w:id="518" w:name="_Toc9277"/>
            <w:bookmarkStart w:id="519" w:name="_Toc19900"/>
            <w:bookmarkStart w:id="520" w:name="_Toc4185"/>
            <w:bookmarkStart w:id="521" w:name="_Toc13082"/>
            <w:bookmarkStart w:id="522" w:name="_Toc24527"/>
            <w:bookmarkStart w:id="523" w:name="_Toc7311"/>
            <w:bookmarkStart w:id="524" w:name="_Toc15742"/>
            <w:r>
              <w:rPr>
                <w:rFonts w:hint="eastAsia" w:ascii="仿宋" w:hAnsi="仿宋" w:eastAsia="仿宋" w:cs="仿宋"/>
                <w:b w:val="0"/>
                <w:bCs w:val="0"/>
                <w:sz w:val="21"/>
                <w:szCs w:val="21"/>
                <w:highlight w:val="none"/>
                <w:vertAlign w:val="baseline"/>
                <w:lang w:val="en-US" w:eastAsia="zh-CN"/>
              </w:rPr>
              <w:t>55批次</w:t>
            </w:r>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1362" w:type="dxa"/>
            <w:vMerge w:val="continue"/>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9"/>
              <w:rPr>
                <w:rFonts w:hint="eastAsia" w:ascii="仿宋" w:hAnsi="仿宋" w:eastAsia="仿宋" w:cs="仿宋"/>
                <w:b w:val="0"/>
                <w:bCs w:val="0"/>
                <w:sz w:val="21"/>
                <w:szCs w:val="21"/>
                <w:highlight w:val="none"/>
                <w:vertAlign w:val="baseline"/>
                <w:lang w:val="en-US" w:eastAsia="zh-CN"/>
              </w:rPr>
            </w:pPr>
          </w:p>
        </w:tc>
        <w:tc>
          <w:tcPr>
            <w:tcW w:w="1570" w:type="dxa"/>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default" w:ascii="仿宋" w:hAnsi="仿宋" w:eastAsia="仿宋" w:cs="仿宋"/>
                <w:b w:val="0"/>
                <w:bCs w:val="0"/>
                <w:sz w:val="21"/>
                <w:szCs w:val="21"/>
                <w:highlight w:val="none"/>
                <w:vertAlign w:val="baseline"/>
                <w:lang w:val="en-US" w:eastAsia="zh-CN"/>
              </w:rPr>
            </w:pPr>
            <w:bookmarkStart w:id="525" w:name="_Toc14306"/>
            <w:bookmarkStart w:id="526" w:name="_Toc6985"/>
            <w:bookmarkStart w:id="527" w:name="_Toc5056"/>
            <w:bookmarkStart w:id="528" w:name="_Toc6320"/>
            <w:bookmarkStart w:id="529" w:name="_Toc18512"/>
            <w:bookmarkStart w:id="530" w:name="_Toc24439"/>
            <w:bookmarkStart w:id="531" w:name="_Toc26971"/>
            <w:bookmarkStart w:id="532" w:name="_Toc31309"/>
            <w:bookmarkStart w:id="533" w:name="_Toc3987"/>
            <w:bookmarkStart w:id="534" w:name="_Toc28264"/>
            <w:bookmarkStart w:id="535" w:name="_Toc5830"/>
            <w:bookmarkStart w:id="536" w:name="_Toc21506"/>
            <w:bookmarkStart w:id="537" w:name="_Toc19288"/>
            <w:bookmarkStart w:id="538" w:name="_Toc19234"/>
            <w:r>
              <w:rPr>
                <w:rFonts w:hint="eastAsia" w:ascii="仿宋" w:hAnsi="仿宋" w:eastAsia="仿宋" w:cs="仿宋"/>
                <w:b w:val="0"/>
                <w:bCs w:val="0"/>
                <w:sz w:val="21"/>
                <w:szCs w:val="21"/>
                <w:highlight w:val="none"/>
                <w:vertAlign w:val="baseline"/>
                <w:lang w:val="en-US" w:eastAsia="zh-CN"/>
              </w:rPr>
              <w:t>可持续影响指标</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tc>
        <w:tc>
          <w:tcPr>
            <w:tcW w:w="4029" w:type="dxa"/>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default" w:ascii="仿宋" w:hAnsi="仿宋" w:eastAsia="仿宋" w:cs="仿宋"/>
                <w:b w:val="0"/>
                <w:bCs w:val="0"/>
                <w:sz w:val="21"/>
                <w:szCs w:val="21"/>
                <w:highlight w:val="none"/>
                <w:vertAlign w:val="baseline"/>
                <w:lang w:val="en-US" w:eastAsia="zh-CN"/>
              </w:rPr>
            </w:pPr>
            <w:bookmarkStart w:id="539" w:name="_Toc16884"/>
            <w:bookmarkStart w:id="540" w:name="_Toc8782"/>
            <w:bookmarkStart w:id="541" w:name="_Toc5422"/>
            <w:bookmarkStart w:id="542" w:name="_Toc8281"/>
            <w:bookmarkStart w:id="543" w:name="_Toc30461"/>
            <w:bookmarkStart w:id="544" w:name="_Toc32324"/>
            <w:bookmarkStart w:id="545" w:name="_Toc4776"/>
            <w:bookmarkStart w:id="546" w:name="_Toc30438"/>
            <w:bookmarkStart w:id="547" w:name="_Toc25659"/>
            <w:bookmarkStart w:id="548" w:name="_Toc9178"/>
            <w:bookmarkStart w:id="549" w:name="_Toc4358"/>
            <w:bookmarkStart w:id="550" w:name="_Toc14408"/>
            <w:bookmarkStart w:id="551" w:name="_Toc27005"/>
            <w:bookmarkStart w:id="552" w:name="_Toc20605"/>
            <w:r>
              <w:rPr>
                <w:rFonts w:hint="eastAsia" w:ascii="仿宋" w:hAnsi="仿宋" w:eastAsia="仿宋" w:cs="仿宋"/>
                <w:b w:val="0"/>
                <w:bCs w:val="0"/>
                <w:sz w:val="21"/>
                <w:szCs w:val="21"/>
                <w:highlight w:val="none"/>
                <w:vertAlign w:val="baseline"/>
                <w:lang w:val="en-US" w:eastAsia="zh-CN"/>
              </w:rPr>
              <w:t>完成追溯系统注册及上传追溯信息</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tc>
        <w:tc>
          <w:tcPr>
            <w:tcW w:w="2240" w:type="dxa"/>
            <w:noWrap w:val="0"/>
            <w:vAlign w:val="center"/>
          </w:tcPr>
          <w:p>
            <w:pPr>
              <w:pStyle w:val="2"/>
              <w:keepNext w:val="0"/>
              <w:keepLines w:val="0"/>
              <w:pageBreakBefore w:val="0"/>
              <w:widowControl w:val="0"/>
              <w:numPr>
                <w:ilvl w:val="0"/>
                <w:numId w:val="0"/>
              </w:numPr>
              <w:kinsoku/>
              <w:wordWrap/>
              <w:overflowPunct/>
              <w:topLinePunct w:val="0"/>
              <w:autoSpaceDE/>
              <w:autoSpaceDN/>
              <w:bidi w:val="0"/>
              <w:adjustRightInd/>
              <w:snapToGrid/>
              <w:spacing w:after="0"/>
              <w:jc w:val="center"/>
              <w:textAlignment w:val="auto"/>
              <w:outlineLvl w:val="2"/>
              <w:rPr>
                <w:rFonts w:hint="default" w:ascii="仿宋" w:hAnsi="仿宋" w:eastAsia="仿宋" w:cs="仿宋"/>
                <w:b w:val="0"/>
                <w:bCs w:val="0"/>
                <w:sz w:val="21"/>
                <w:szCs w:val="21"/>
                <w:highlight w:val="none"/>
                <w:vertAlign w:val="baseline"/>
                <w:lang w:val="en-US" w:eastAsia="zh-CN"/>
              </w:rPr>
            </w:pPr>
            <w:bookmarkStart w:id="553" w:name="_Toc14476"/>
            <w:bookmarkStart w:id="554" w:name="_Toc32417"/>
            <w:bookmarkStart w:id="555" w:name="_Toc25749"/>
            <w:bookmarkStart w:id="556" w:name="_Toc4838"/>
            <w:bookmarkStart w:id="557" w:name="_Toc26698"/>
            <w:bookmarkStart w:id="558" w:name="_Toc6645"/>
            <w:bookmarkStart w:id="559" w:name="_Toc22343"/>
            <w:bookmarkStart w:id="560" w:name="_Toc15831"/>
            <w:bookmarkStart w:id="561" w:name="_Toc9574"/>
            <w:bookmarkStart w:id="562" w:name="_Toc8038"/>
            <w:bookmarkStart w:id="563" w:name="_Toc3052"/>
            <w:bookmarkStart w:id="564" w:name="_Toc15830"/>
            <w:bookmarkStart w:id="565" w:name="_Toc3119"/>
            <w:bookmarkStart w:id="566" w:name="_Toc31715"/>
            <w:r>
              <w:rPr>
                <w:rFonts w:hint="eastAsia" w:ascii="仿宋" w:hAnsi="仿宋" w:eastAsia="仿宋" w:cs="仿宋"/>
                <w:b w:val="0"/>
                <w:bCs w:val="0"/>
                <w:sz w:val="21"/>
                <w:szCs w:val="21"/>
                <w:highlight w:val="none"/>
                <w:vertAlign w:val="baseline"/>
                <w:lang w:val="en-US" w:eastAsia="zh-CN"/>
              </w:rPr>
              <w:t>500家，450万条</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p>
        </w:tc>
      </w:tr>
    </w:tbl>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8"/>
          <w:szCs w:val="28"/>
          <w:highlight w:val="none"/>
          <w:lang w:val="en-US" w:eastAsia="zh-CN"/>
        </w:rPr>
      </w:pPr>
    </w:p>
    <w:p>
      <w:pPr>
        <w:pStyle w:val="4"/>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ind w:left="0" w:leftChars="0" w:firstLine="562" w:firstLineChars="200"/>
        <w:textAlignment w:val="auto"/>
        <w:rPr>
          <w:rFonts w:hint="eastAsia" w:ascii="黑体" w:hAnsi="黑体" w:eastAsia="黑体" w:cs="黑体"/>
          <w:sz w:val="28"/>
          <w:szCs w:val="28"/>
          <w:highlight w:val="none"/>
          <w:lang w:val="en-US" w:eastAsia="zh-CN"/>
        </w:rPr>
      </w:pPr>
      <w:bookmarkStart w:id="567" w:name="_Toc19764"/>
      <w:bookmarkStart w:id="568" w:name="_Toc6114"/>
      <w:bookmarkStart w:id="569" w:name="_Toc440"/>
      <w:bookmarkStart w:id="570" w:name="_Toc11513"/>
      <w:r>
        <w:rPr>
          <w:rFonts w:hint="eastAsia" w:ascii="黑体" w:hAnsi="黑体" w:eastAsia="黑体" w:cs="黑体"/>
          <w:b/>
          <w:bCs/>
          <w:kern w:val="44"/>
          <w:sz w:val="28"/>
          <w:szCs w:val="28"/>
          <w:lang w:val="en-US" w:eastAsia="zh-CN" w:bidi="ar-SA"/>
        </w:rPr>
        <w:t>二、</w:t>
      </w:r>
      <w:r>
        <w:rPr>
          <w:rFonts w:hint="eastAsia" w:ascii="黑体" w:hAnsi="黑体" w:eastAsia="黑体" w:cs="黑体"/>
          <w:sz w:val="28"/>
          <w:szCs w:val="28"/>
          <w:highlight w:val="none"/>
          <w:lang w:val="en-US" w:eastAsia="zh-CN"/>
        </w:rPr>
        <w:t>评价工作开展情况</w:t>
      </w:r>
      <w:bookmarkEnd w:id="567"/>
      <w:bookmarkEnd w:id="568"/>
      <w:bookmarkEnd w:id="569"/>
      <w:bookmarkEnd w:id="570"/>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420" w:firstLineChars="0"/>
        <w:textAlignment w:val="auto"/>
        <w:outlineLvl w:val="1"/>
        <w:rPr>
          <w:rFonts w:hint="eastAsia" w:ascii="楷体" w:hAnsi="楷体" w:eastAsia="楷体" w:cs="楷体"/>
          <w:b/>
          <w:bCs/>
          <w:sz w:val="28"/>
          <w:szCs w:val="28"/>
          <w:highlight w:val="none"/>
          <w:lang w:val="en-US" w:eastAsia="zh-CN"/>
        </w:rPr>
      </w:pPr>
      <w:bookmarkStart w:id="571" w:name="_Toc3918"/>
      <w:bookmarkStart w:id="572" w:name="_Toc24003"/>
      <w:bookmarkStart w:id="573" w:name="_Toc22457"/>
      <w:bookmarkStart w:id="574" w:name="_Toc29897"/>
      <w:r>
        <w:rPr>
          <w:rFonts w:hint="eastAsia" w:ascii="楷体" w:hAnsi="楷体" w:eastAsia="楷体" w:cs="楷体"/>
          <w:b/>
          <w:bCs/>
          <w:sz w:val="28"/>
          <w:szCs w:val="28"/>
          <w:highlight w:val="none"/>
          <w:lang w:val="en-US" w:eastAsia="zh-CN"/>
        </w:rPr>
        <w:t>评价目的</w:t>
      </w:r>
      <w:bookmarkEnd w:id="571"/>
      <w:bookmarkEnd w:id="572"/>
      <w:bookmarkEnd w:id="573"/>
      <w:bookmarkEnd w:id="574"/>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本次评价通过梳理2022年度食品药械化妆品监管及治理餐桌污染专项经费的基本情况，对石狮市市场监督管理局资金使用、管理和相关项目推进情况进行考核，反映2022年度食品药械化妆品监管及治理餐桌污染专项的决策和过程管理的规范性与科学性，相关项目推进进度，关注食品药械化妆品监管及餐桌治理工作的效益目标的实现程度，总结市场监督管理局在食品药械化妆品监管及餐桌治理工作中的主要绩效和经验做法，发现资金管理和项目管理中存在的问题，分析问题产生的原因，从而提升财政资金使用效益、优化财政资源配置建言献策。</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420" w:firstLineChars="0"/>
        <w:textAlignment w:val="auto"/>
        <w:outlineLvl w:val="1"/>
        <w:rPr>
          <w:rFonts w:hint="eastAsia" w:ascii="楷体" w:hAnsi="楷体" w:eastAsia="楷体" w:cs="楷体"/>
          <w:b/>
          <w:bCs/>
          <w:sz w:val="28"/>
          <w:szCs w:val="28"/>
          <w:highlight w:val="none"/>
          <w:lang w:val="en-US" w:eastAsia="zh-CN"/>
        </w:rPr>
      </w:pPr>
      <w:bookmarkStart w:id="575" w:name="_Toc16819"/>
      <w:bookmarkStart w:id="576" w:name="_Toc13340"/>
      <w:bookmarkStart w:id="577" w:name="_Toc7241"/>
      <w:bookmarkStart w:id="578" w:name="_Toc7981"/>
      <w:r>
        <w:rPr>
          <w:rFonts w:hint="eastAsia" w:ascii="楷体" w:hAnsi="楷体" w:eastAsia="楷体" w:cs="楷体"/>
          <w:b/>
          <w:bCs/>
          <w:sz w:val="28"/>
          <w:szCs w:val="28"/>
          <w:highlight w:val="none"/>
          <w:lang w:val="en-US" w:eastAsia="zh-CN"/>
        </w:rPr>
        <w:t>评价对象及范围</w:t>
      </w:r>
      <w:bookmarkEnd w:id="575"/>
      <w:bookmarkEnd w:id="576"/>
      <w:bookmarkEnd w:id="577"/>
      <w:bookmarkEnd w:id="578"/>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评价对象为食品药械化妆品监管及治理餐桌污染专项经费投入的项目资金。</w:t>
      </w:r>
      <w:bookmarkStart w:id="579" w:name="_Toc12571"/>
      <w:bookmarkStart w:id="580" w:name="_Toc28739"/>
      <w:bookmarkStart w:id="581" w:name="_Toc726"/>
      <w:bookmarkStart w:id="582" w:name="_Toc8629"/>
      <w:bookmarkStart w:id="583" w:name="_Toc8077"/>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评价范围为项目单位围绕绩效目标所实施的各项活动，包括绩效目标的设定、资金投入和使用、采取措施以及绩效目标的实现程度和效果等。</w:t>
      </w:r>
      <w:bookmarkEnd w:id="579"/>
      <w:bookmarkEnd w:id="580"/>
      <w:bookmarkEnd w:id="581"/>
      <w:bookmarkEnd w:id="582"/>
      <w:bookmarkEnd w:id="583"/>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420" w:firstLineChars="0"/>
        <w:textAlignment w:val="auto"/>
        <w:outlineLvl w:val="1"/>
        <w:rPr>
          <w:rFonts w:hint="eastAsia" w:ascii="楷体" w:hAnsi="楷体" w:eastAsia="楷体" w:cs="楷体"/>
          <w:b/>
          <w:bCs/>
          <w:sz w:val="28"/>
          <w:szCs w:val="28"/>
          <w:highlight w:val="none"/>
          <w:lang w:val="en-US" w:eastAsia="zh-CN"/>
        </w:rPr>
      </w:pPr>
      <w:bookmarkStart w:id="584" w:name="_Toc19434"/>
      <w:bookmarkStart w:id="585" w:name="_Toc19454"/>
      <w:bookmarkStart w:id="586" w:name="_Toc1940"/>
      <w:bookmarkStart w:id="587" w:name="_Toc5558"/>
      <w:r>
        <w:rPr>
          <w:rFonts w:hint="eastAsia" w:ascii="楷体" w:hAnsi="楷体" w:eastAsia="楷体" w:cs="楷体"/>
          <w:b/>
          <w:bCs/>
          <w:sz w:val="28"/>
          <w:szCs w:val="28"/>
          <w:highlight w:val="none"/>
          <w:lang w:val="en-US" w:eastAsia="zh-CN"/>
        </w:rPr>
        <w:t>评价依据</w:t>
      </w:r>
      <w:bookmarkEnd w:id="584"/>
      <w:bookmarkEnd w:id="585"/>
      <w:bookmarkEnd w:id="586"/>
      <w:bookmarkEnd w:id="587"/>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bookmarkStart w:id="588" w:name="_Toc28844"/>
      <w:bookmarkStart w:id="589" w:name="_Toc5326"/>
      <w:bookmarkStart w:id="590" w:name="_Toc12370"/>
      <w:bookmarkStart w:id="591" w:name="_Toc11157"/>
      <w:bookmarkStart w:id="592" w:name="_Toc27042"/>
      <w:bookmarkStart w:id="593" w:name="_Toc15525"/>
      <w:bookmarkStart w:id="594" w:name="_Toc8341"/>
      <w:bookmarkStart w:id="595" w:name="_Toc15563"/>
      <w:bookmarkStart w:id="596" w:name="_Toc11505"/>
      <w:bookmarkStart w:id="597" w:name="_Toc4910"/>
      <w:bookmarkStart w:id="598" w:name="_Toc16041"/>
      <w:bookmarkStart w:id="599" w:name="_Toc3214"/>
      <w:bookmarkStart w:id="600" w:name="_Toc21514"/>
      <w:bookmarkStart w:id="601" w:name="_Toc4199"/>
      <w:bookmarkStart w:id="602" w:name="_Toc8057"/>
      <w:bookmarkStart w:id="603" w:name="_Toc13456"/>
      <w:bookmarkStart w:id="604" w:name="_Toc28527"/>
      <w:bookmarkStart w:id="605" w:name="_Toc4570"/>
      <w:bookmarkStart w:id="606" w:name="_Toc4653"/>
      <w:bookmarkStart w:id="607" w:name="_Toc5352"/>
      <w:bookmarkStart w:id="608" w:name="_Toc21306"/>
      <w:bookmarkStart w:id="609" w:name="_Toc12132"/>
      <w:bookmarkStart w:id="610" w:name="_Toc8041"/>
      <w:bookmarkStart w:id="611" w:name="_Toc24191"/>
      <w:bookmarkStart w:id="612" w:name="_Toc17287"/>
      <w:r>
        <w:rPr>
          <w:rFonts w:hint="eastAsia" w:ascii="仿宋_GB2312" w:hAnsi="仿宋_GB2312" w:eastAsia="仿宋_GB2312" w:cs="仿宋_GB2312"/>
          <w:color w:val="auto"/>
          <w:kern w:val="0"/>
          <w:sz w:val="28"/>
          <w:szCs w:val="28"/>
          <w:highlight w:val="none"/>
          <w:lang w:val="en-US" w:eastAsia="zh-CN" w:bidi="ar-SA"/>
        </w:rPr>
        <w:t>1.《中华人民共和国预算法》</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bookmarkStart w:id="613" w:name="_Toc23336"/>
      <w:bookmarkStart w:id="614" w:name="_Toc28216"/>
      <w:bookmarkStart w:id="615" w:name="_Toc21302"/>
      <w:bookmarkStart w:id="616" w:name="_Toc15050"/>
      <w:bookmarkStart w:id="617" w:name="_Toc14314"/>
      <w:bookmarkStart w:id="618" w:name="_Toc22518"/>
      <w:bookmarkStart w:id="619" w:name="_Toc28302"/>
      <w:bookmarkStart w:id="620" w:name="_Toc1767"/>
      <w:bookmarkStart w:id="621" w:name="_Toc27916"/>
      <w:bookmarkStart w:id="622" w:name="_Toc28557"/>
      <w:bookmarkStart w:id="623" w:name="_Toc9158"/>
      <w:bookmarkStart w:id="624" w:name="_Toc283"/>
      <w:bookmarkStart w:id="625" w:name="_Toc4684"/>
      <w:bookmarkStart w:id="626" w:name="_Toc29002"/>
      <w:bookmarkStart w:id="627" w:name="_Toc15816"/>
      <w:bookmarkStart w:id="628" w:name="_Toc28175"/>
      <w:bookmarkStart w:id="629" w:name="_Toc24086"/>
      <w:bookmarkStart w:id="630" w:name="_Toc19675"/>
      <w:bookmarkStart w:id="631" w:name="_Toc22393"/>
      <w:bookmarkStart w:id="632" w:name="_Toc30808"/>
      <w:bookmarkStart w:id="633" w:name="_Toc32615"/>
      <w:r>
        <w:rPr>
          <w:rFonts w:hint="eastAsia" w:ascii="仿宋_GB2312" w:hAnsi="仿宋_GB2312" w:eastAsia="仿宋_GB2312" w:cs="仿宋_GB2312"/>
          <w:color w:val="auto"/>
          <w:kern w:val="0"/>
          <w:sz w:val="28"/>
          <w:szCs w:val="28"/>
          <w:highlight w:val="none"/>
          <w:lang w:val="en-US" w:eastAsia="zh-CN" w:bidi="ar-SA"/>
        </w:rPr>
        <w:t>2</w:t>
      </w:r>
      <w:bookmarkEnd w:id="613"/>
      <w:bookmarkEnd w:id="614"/>
      <w:bookmarkEnd w:id="615"/>
      <w:r>
        <w:rPr>
          <w:rFonts w:hint="eastAsia" w:ascii="仿宋_GB2312" w:hAnsi="仿宋_GB2312" w:eastAsia="仿宋_GB2312" w:cs="仿宋_GB2312"/>
          <w:color w:val="auto"/>
          <w:kern w:val="0"/>
          <w:sz w:val="28"/>
          <w:szCs w:val="28"/>
          <w:highlight w:val="none"/>
          <w:lang w:val="en-US" w:eastAsia="zh-CN" w:bidi="ar-SA"/>
        </w:rPr>
        <w:t>.《中共中央 国务院关于全面实施预算绩效管理的意见》(中发〔2018〕34号)</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bookmarkStart w:id="634" w:name="_Toc11852"/>
      <w:bookmarkStart w:id="635" w:name="_Toc12178"/>
      <w:bookmarkStart w:id="636" w:name="_Toc12578"/>
      <w:bookmarkStart w:id="637" w:name="_Toc6552"/>
      <w:bookmarkStart w:id="638" w:name="_Toc13471"/>
      <w:bookmarkStart w:id="639" w:name="_Toc2742"/>
      <w:bookmarkStart w:id="640" w:name="_Toc25336"/>
      <w:bookmarkStart w:id="641" w:name="_Toc15034"/>
      <w:bookmarkStart w:id="642" w:name="_Toc9937"/>
      <w:bookmarkStart w:id="643" w:name="_Toc31899"/>
      <w:bookmarkStart w:id="644" w:name="_Toc2821"/>
      <w:bookmarkStart w:id="645" w:name="_Toc17112"/>
      <w:bookmarkStart w:id="646" w:name="_Toc1287"/>
      <w:bookmarkStart w:id="647" w:name="_Toc893"/>
      <w:bookmarkStart w:id="648" w:name="_Toc6072"/>
      <w:bookmarkStart w:id="649" w:name="_Toc15386"/>
      <w:bookmarkStart w:id="650" w:name="_Toc17249"/>
      <w:bookmarkStart w:id="651" w:name="_Toc25049"/>
      <w:r>
        <w:rPr>
          <w:rFonts w:hint="eastAsia" w:ascii="仿宋_GB2312" w:hAnsi="仿宋_GB2312" w:eastAsia="仿宋_GB2312" w:cs="仿宋_GB2312"/>
          <w:color w:val="auto"/>
          <w:kern w:val="0"/>
          <w:sz w:val="28"/>
          <w:szCs w:val="28"/>
          <w:highlight w:val="none"/>
          <w:lang w:val="en-US" w:eastAsia="zh-CN" w:bidi="ar-SA"/>
        </w:rPr>
        <w:t>3.《项目支出绩效评价管理办法》(财预〔2020〕10号)</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bookmarkStart w:id="652" w:name="_Toc9076"/>
      <w:bookmarkStart w:id="653" w:name="_Toc1338"/>
      <w:bookmarkStart w:id="654" w:name="_Toc17206"/>
      <w:bookmarkStart w:id="655" w:name="_Toc10363"/>
      <w:bookmarkStart w:id="656" w:name="_Toc2427"/>
      <w:bookmarkStart w:id="657" w:name="_Toc20330"/>
      <w:bookmarkStart w:id="658" w:name="_Toc19428"/>
      <w:bookmarkStart w:id="659" w:name="_Toc6512"/>
      <w:bookmarkStart w:id="660" w:name="_Toc11836"/>
      <w:bookmarkStart w:id="661" w:name="_Toc1509"/>
      <w:bookmarkStart w:id="662" w:name="_Toc23395"/>
      <w:bookmarkStart w:id="663" w:name="_Toc7169"/>
      <w:bookmarkStart w:id="664" w:name="_Toc25098"/>
      <w:bookmarkStart w:id="665" w:name="_Toc7194"/>
      <w:bookmarkStart w:id="666" w:name="_Toc8502"/>
      <w:bookmarkStart w:id="667" w:name="_Toc30567"/>
      <w:bookmarkStart w:id="668" w:name="_Toc3154"/>
      <w:bookmarkStart w:id="669" w:name="_Toc24215"/>
      <w:bookmarkStart w:id="670" w:name="_Toc31033"/>
      <w:bookmarkStart w:id="671" w:name="_Toc5286"/>
      <w:bookmarkStart w:id="672" w:name="_Toc11298"/>
      <w:r>
        <w:rPr>
          <w:rFonts w:hint="eastAsia" w:ascii="仿宋_GB2312" w:hAnsi="仿宋_GB2312" w:eastAsia="仿宋_GB2312" w:cs="仿宋_GB2312"/>
          <w:color w:val="auto"/>
          <w:kern w:val="0"/>
          <w:sz w:val="28"/>
          <w:szCs w:val="28"/>
          <w:highlight w:val="none"/>
          <w:lang w:val="en-US" w:eastAsia="zh-CN" w:bidi="ar-SA"/>
        </w:rPr>
        <w:t>4.财政部关于印发《预算绩效评价共性指标体系框架》的通知</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5.《中共泉州市委 泉州市人民政府关于印发&lt;泉州市深化改革加强食品安全工作实施方案&gt;的通知》（泉委发〔2020〕2号）</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bookmarkStart w:id="673" w:name="_Toc13027"/>
      <w:bookmarkStart w:id="674" w:name="_Toc20872"/>
      <w:bookmarkStart w:id="675" w:name="_Toc992"/>
      <w:bookmarkStart w:id="676" w:name="_Toc22002"/>
      <w:bookmarkStart w:id="677" w:name="_Toc26880"/>
      <w:bookmarkStart w:id="678" w:name="_Toc10231"/>
      <w:bookmarkStart w:id="679" w:name="_Toc3730"/>
      <w:r>
        <w:rPr>
          <w:rFonts w:hint="eastAsia" w:ascii="仿宋_GB2312" w:hAnsi="仿宋_GB2312" w:eastAsia="仿宋_GB2312" w:cs="仿宋_GB2312"/>
          <w:color w:val="auto"/>
          <w:kern w:val="0"/>
          <w:sz w:val="28"/>
          <w:szCs w:val="28"/>
          <w:highlight w:val="none"/>
          <w:lang w:val="en-US" w:eastAsia="zh-CN" w:bidi="ar-SA"/>
        </w:rPr>
        <w:t>6.食品安全抽样检验管理办法</w:t>
      </w:r>
      <w:bookmarkEnd w:id="673"/>
      <w:bookmarkEnd w:id="674"/>
      <w:bookmarkEnd w:id="675"/>
      <w:bookmarkEnd w:id="676"/>
      <w:bookmarkEnd w:id="677"/>
      <w:bookmarkEnd w:id="678"/>
      <w:bookmarkEnd w:id="679"/>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7.福建省人民政府办公厅关于印发福建省食品安全“一品一码”全过程追溯体系建设工作方案的通知</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8.泉州市食品安全委员会办公室关于2022年食品安全满意度数据采集工作的通知</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bookmarkStart w:id="680" w:name="_Toc17607"/>
      <w:bookmarkStart w:id="681" w:name="_Toc14652"/>
      <w:bookmarkStart w:id="682" w:name="_Toc9543"/>
      <w:bookmarkStart w:id="683" w:name="_Toc19698"/>
      <w:bookmarkStart w:id="684" w:name="_Toc11031"/>
      <w:bookmarkStart w:id="685" w:name="_Toc9446"/>
      <w:bookmarkStart w:id="686" w:name="_Toc21896"/>
      <w:r>
        <w:rPr>
          <w:rFonts w:hint="eastAsia" w:ascii="仿宋_GB2312" w:hAnsi="仿宋_GB2312" w:eastAsia="仿宋_GB2312" w:cs="仿宋_GB2312"/>
          <w:color w:val="auto"/>
          <w:kern w:val="0"/>
          <w:sz w:val="28"/>
          <w:szCs w:val="28"/>
          <w:highlight w:val="none"/>
          <w:lang w:val="en-US" w:eastAsia="zh-CN" w:bidi="ar-SA"/>
        </w:rPr>
        <w:t>9.石狮市2022年度食品安全工作汇报</w:t>
      </w:r>
      <w:bookmarkEnd w:id="680"/>
      <w:bookmarkEnd w:id="681"/>
      <w:bookmarkEnd w:id="682"/>
      <w:bookmarkEnd w:id="683"/>
      <w:bookmarkEnd w:id="684"/>
      <w:bookmarkEnd w:id="685"/>
      <w:bookmarkEnd w:id="686"/>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10.石狮市市场监督管理局关于印发2022年食品安全抽检工作计划的通知（狮市监食〔2022〕2号）</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11.石狮市食品安全委员会关于印发2022年石狮市治理“餐桌污染”建设“食品放心工程”工作方案的通知（石食安委〔2022〕1号）</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420" w:firstLineChars="0"/>
        <w:textAlignment w:val="auto"/>
        <w:outlineLvl w:val="1"/>
        <w:rPr>
          <w:rFonts w:hint="eastAsia" w:ascii="楷体" w:hAnsi="楷体" w:eastAsia="楷体" w:cs="楷体"/>
          <w:b/>
          <w:bCs/>
          <w:sz w:val="28"/>
          <w:szCs w:val="28"/>
          <w:highlight w:val="none"/>
          <w:lang w:val="en-US" w:eastAsia="zh-CN"/>
        </w:rPr>
      </w:pPr>
      <w:bookmarkStart w:id="687" w:name="_Toc17320"/>
      <w:bookmarkStart w:id="688" w:name="_Toc21358"/>
      <w:bookmarkStart w:id="689" w:name="_Toc15244"/>
      <w:bookmarkStart w:id="690" w:name="_Toc8961"/>
      <w:r>
        <w:rPr>
          <w:rFonts w:hint="eastAsia" w:ascii="楷体" w:hAnsi="楷体" w:eastAsia="楷体" w:cs="楷体"/>
          <w:b/>
          <w:bCs/>
          <w:sz w:val="28"/>
          <w:szCs w:val="28"/>
          <w:highlight w:val="none"/>
          <w:lang w:val="en-US" w:eastAsia="zh-CN"/>
        </w:rPr>
        <w:t>评价原则与评价指标体系</w:t>
      </w:r>
      <w:bookmarkEnd w:id="687"/>
      <w:bookmarkEnd w:id="688"/>
      <w:bookmarkEnd w:id="689"/>
      <w:bookmarkEnd w:id="690"/>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sz w:val="28"/>
          <w:szCs w:val="28"/>
          <w:highlight w:val="none"/>
          <w:lang w:val="en-US" w:eastAsia="zh-CN"/>
        </w:rPr>
      </w:pPr>
      <w:bookmarkStart w:id="691" w:name="_Toc19890"/>
      <w:bookmarkStart w:id="692" w:name="_Toc27110"/>
      <w:bookmarkStart w:id="693" w:name="_Toc28858"/>
      <w:bookmarkStart w:id="694" w:name="_Toc32657"/>
      <w:r>
        <w:rPr>
          <w:rFonts w:hint="eastAsia" w:ascii="仿宋" w:hAnsi="仿宋" w:eastAsia="仿宋" w:cs="仿宋"/>
          <w:b/>
          <w:bCs/>
          <w:sz w:val="28"/>
          <w:szCs w:val="28"/>
          <w:highlight w:val="none"/>
          <w:lang w:val="en-US" w:eastAsia="zh-CN"/>
        </w:rPr>
        <w:t>1.评价原则</w:t>
      </w:r>
      <w:bookmarkEnd w:id="691"/>
      <w:bookmarkEnd w:id="692"/>
      <w:bookmarkEnd w:id="693"/>
      <w:bookmarkEnd w:id="694"/>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绩效评价指标的确定遵循以下相关性原则、重要性原则、可比性原则、系统性原则以及经济性原则。</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sz w:val="28"/>
          <w:szCs w:val="28"/>
          <w:highlight w:val="none"/>
          <w:lang w:val="en-US" w:eastAsia="zh-CN"/>
        </w:rPr>
      </w:pPr>
      <w:bookmarkStart w:id="695" w:name="_Toc8587"/>
      <w:bookmarkStart w:id="696" w:name="_Toc12799"/>
      <w:bookmarkStart w:id="697" w:name="_Toc32068"/>
      <w:bookmarkStart w:id="698" w:name="_Toc23768"/>
      <w:r>
        <w:rPr>
          <w:rFonts w:hint="eastAsia" w:ascii="仿宋" w:hAnsi="仿宋" w:eastAsia="仿宋" w:cs="仿宋"/>
          <w:b/>
          <w:bCs/>
          <w:sz w:val="28"/>
          <w:szCs w:val="28"/>
          <w:highlight w:val="none"/>
          <w:lang w:val="en-US" w:eastAsia="zh-CN"/>
        </w:rPr>
        <w:t>2.评价指标体系</w:t>
      </w:r>
      <w:bookmarkEnd w:id="695"/>
      <w:bookmarkEnd w:id="696"/>
      <w:bookmarkEnd w:id="697"/>
      <w:bookmarkEnd w:id="698"/>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（1）指标体系设计的总体思路</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本次绩效评价指标体系总体依据《项目支出绩效评价管理办法》（财预〔2020〕10号）的相关规定设计，在不改变“预算支出项目绩效评价共性指标体系”的一级和二级指标内容和权重的前提下，结合项目实际对三级指标进行细化和调整，并采用层次分析法，结合以往经验确定三级指标的权重。另外，根据相关法律法规、项目绩效目标及管理办法确定绩效评价标准。</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（2）指标体系</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评价工作组根据财政部《项目支出绩效评价管理办法》（财预〔2020〕10号）文件的要求，依据上述原则，围绕决策、过程、产出和效益三个方面设计绩效评价指标以及评分标准和分值。指标体系共设置4个一级指标、10个二级指标、23个三级指标。指标体系设定满分100分，其中：“决策”15分，主要体现在项目立项充分性与流程规范性的情况；“过程”19分，主要体现项目的资金管理和组织实施方面的情况；“产出”36分，主要体现项目产出数量和产出质量；“效益”30分，主要体现项目社会效益、可持续影响和服务对象满意度等。基于外部独立评价的特点和要求，指标设置和评分标准力求可行性、客观性、科学性与简明性。</w:t>
      </w:r>
    </w:p>
    <w:p>
      <w:pPr>
        <w:keepNext w:val="0"/>
        <w:keepLines w:val="0"/>
        <w:pageBreakBefore w:val="0"/>
        <w:widowControl w:val="0"/>
        <w:kinsoku/>
        <w:wordWrap/>
        <w:overflowPunct/>
        <w:topLinePunct w:val="0"/>
        <w:autoSpaceDE/>
        <w:autoSpaceDN/>
        <w:bidi w:val="0"/>
        <w:adjustRightInd/>
        <w:snapToGrid/>
        <w:ind w:firstLine="562" w:firstLineChars="200"/>
        <w:textAlignment w:val="auto"/>
        <w:rPr>
          <w:rFonts w:hint="eastAsia"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bidi="ar-SA"/>
        </w:rPr>
        <w:t>（3）绩效级次</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评价结果包括综合评分和评级，分为四个等级：</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高于或等于90（含）的为“优”；</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80分（含）～90分的为“良”；</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60分（含）～80分的为“中”；</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低于60分的为“不合格”。</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420" w:firstLineChars="0"/>
        <w:textAlignment w:val="auto"/>
        <w:outlineLvl w:val="1"/>
        <w:rPr>
          <w:rFonts w:hint="eastAsia" w:ascii="楷体" w:hAnsi="楷体" w:eastAsia="楷体" w:cs="楷体"/>
          <w:b/>
          <w:bCs/>
          <w:sz w:val="28"/>
          <w:szCs w:val="28"/>
          <w:highlight w:val="none"/>
          <w:lang w:val="en-US" w:eastAsia="zh-CN"/>
        </w:rPr>
      </w:pPr>
      <w:bookmarkStart w:id="699" w:name="_Toc10195"/>
      <w:bookmarkStart w:id="700" w:name="_Toc27365"/>
      <w:bookmarkStart w:id="701" w:name="_Toc3983"/>
      <w:bookmarkStart w:id="702" w:name="_Toc16082"/>
      <w:r>
        <w:rPr>
          <w:rFonts w:hint="eastAsia" w:ascii="楷体" w:hAnsi="楷体" w:eastAsia="楷体" w:cs="楷体"/>
          <w:b/>
          <w:bCs/>
          <w:sz w:val="28"/>
          <w:szCs w:val="28"/>
          <w:highlight w:val="none"/>
          <w:lang w:val="en-US" w:eastAsia="zh-CN"/>
        </w:rPr>
        <w:t>评价方法和评价标准</w:t>
      </w:r>
      <w:bookmarkEnd w:id="699"/>
      <w:bookmarkEnd w:id="700"/>
      <w:bookmarkEnd w:id="701"/>
      <w:bookmarkEnd w:id="702"/>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sz w:val="28"/>
          <w:szCs w:val="28"/>
          <w:highlight w:val="none"/>
          <w:lang w:val="en-US" w:eastAsia="zh-CN"/>
        </w:rPr>
      </w:pPr>
      <w:bookmarkStart w:id="703" w:name="_Toc13688"/>
      <w:bookmarkStart w:id="704" w:name="_Toc11845"/>
      <w:bookmarkStart w:id="705" w:name="_Toc28851"/>
      <w:bookmarkStart w:id="706" w:name="_Toc21855"/>
      <w:r>
        <w:rPr>
          <w:rFonts w:hint="eastAsia" w:ascii="仿宋" w:hAnsi="仿宋" w:eastAsia="仿宋" w:cs="仿宋"/>
          <w:b/>
          <w:bCs/>
          <w:sz w:val="28"/>
          <w:szCs w:val="28"/>
          <w:highlight w:val="none"/>
          <w:lang w:val="en-US" w:eastAsia="zh-CN"/>
        </w:rPr>
        <w:t>1.评价方法</w:t>
      </w:r>
      <w:bookmarkEnd w:id="703"/>
      <w:bookmarkEnd w:id="704"/>
      <w:bookmarkEnd w:id="705"/>
      <w:bookmarkEnd w:id="706"/>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本次绩效评价主要采用了比较法、因素分析法和公众（专家）评判法三种评判法。一是通过对绩效目标与实施效果、历史与当期情况作比较，综合分析绩效目标的实现程度。二是通过进行现场调查以及发放问卷调查，评价绩效目标的实现程度。</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sz w:val="28"/>
          <w:szCs w:val="28"/>
          <w:highlight w:val="none"/>
          <w:lang w:val="en-US" w:eastAsia="zh-CN"/>
        </w:rPr>
      </w:pPr>
      <w:bookmarkStart w:id="707" w:name="_Toc15493"/>
      <w:bookmarkStart w:id="708" w:name="_Toc29950"/>
      <w:bookmarkStart w:id="709" w:name="_Toc23365"/>
      <w:bookmarkStart w:id="710" w:name="_Toc1532"/>
      <w:r>
        <w:rPr>
          <w:rFonts w:hint="eastAsia" w:ascii="仿宋" w:hAnsi="仿宋" w:eastAsia="仿宋" w:cs="仿宋"/>
          <w:b/>
          <w:bCs/>
          <w:sz w:val="28"/>
          <w:szCs w:val="28"/>
          <w:highlight w:val="none"/>
          <w:lang w:val="en-US" w:eastAsia="zh-CN"/>
        </w:rPr>
        <w:t>2.评价标准</w:t>
      </w:r>
      <w:bookmarkEnd w:id="707"/>
      <w:bookmarkEnd w:id="708"/>
      <w:bookmarkEnd w:id="709"/>
      <w:bookmarkEnd w:id="710"/>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本次绩效评价主要釆用了计划标准和历史标准作为衡量财政支出绩效目标完成程度的参考、依据和尺度。</w:t>
      </w:r>
    </w:p>
    <w:p>
      <w:pPr>
        <w:keepNext w:val="0"/>
        <w:keepLines w:val="0"/>
        <w:pageBreakBefore w:val="0"/>
        <w:widowControl w:val="0"/>
        <w:numPr>
          <w:ilvl w:val="0"/>
          <w:numId w:val="2"/>
        </w:numPr>
        <w:kinsoku/>
        <w:wordWrap/>
        <w:overflowPunct/>
        <w:topLinePunct w:val="0"/>
        <w:autoSpaceDE/>
        <w:autoSpaceDN/>
        <w:bidi w:val="0"/>
        <w:adjustRightInd/>
        <w:snapToGrid/>
        <w:ind w:left="0" w:leftChars="0" w:firstLine="420" w:firstLineChars="0"/>
        <w:textAlignment w:val="auto"/>
        <w:outlineLvl w:val="1"/>
        <w:rPr>
          <w:rFonts w:hint="eastAsia" w:ascii="楷体" w:hAnsi="楷体" w:eastAsia="楷体" w:cs="楷体"/>
          <w:b/>
          <w:bCs/>
          <w:sz w:val="28"/>
          <w:szCs w:val="28"/>
          <w:highlight w:val="none"/>
          <w:lang w:val="en-US" w:eastAsia="zh-CN"/>
        </w:rPr>
      </w:pPr>
      <w:bookmarkStart w:id="711" w:name="_Toc11540"/>
      <w:bookmarkStart w:id="712" w:name="_Toc26996"/>
      <w:bookmarkStart w:id="713" w:name="_Toc8696"/>
      <w:bookmarkStart w:id="714" w:name="_Toc4451"/>
      <w:r>
        <w:rPr>
          <w:rFonts w:hint="eastAsia" w:ascii="楷体" w:hAnsi="楷体" w:eastAsia="楷体" w:cs="楷体"/>
          <w:b/>
          <w:bCs/>
          <w:sz w:val="28"/>
          <w:szCs w:val="28"/>
          <w:highlight w:val="none"/>
          <w:lang w:val="en-US" w:eastAsia="zh-CN"/>
        </w:rPr>
        <w:t>绩效评价工作过程</w:t>
      </w:r>
      <w:bookmarkEnd w:id="711"/>
      <w:bookmarkEnd w:id="712"/>
      <w:bookmarkEnd w:id="713"/>
      <w:bookmarkEnd w:id="714"/>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根据绩效评价相关规定，我中心绩效评价小组运用科学、合理的绩效评价指标、评价标准和方法，对2022年度食品药械化妆品监管及治理餐桌污染专项经费的经济性、效率性、效益性和公平性进行客观、公正的分析和评判，查找资金使用和管理中的薄弱环节，按时提交绩效评价报告。为此，我中心绩效评价小组在前期做了大量的准备工作。</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sz w:val="28"/>
          <w:szCs w:val="28"/>
          <w:highlight w:val="none"/>
          <w:lang w:val="en-US" w:eastAsia="zh-CN"/>
        </w:rPr>
      </w:pPr>
      <w:bookmarkStart w:id="715" w:name="_Toc22573"/>
      <w:bookmarkStart w:id="716" w:name="_Toc11460"/>
      <w:bookmarkStart w:id="717" w:name="_Toc15499"/>
      <w:bookmarkStart w:id="718" w:name="_Toc9929"/>
      <w:bookmarkStart w:id="719" w:name="_Toc3248"/>
      <w:r>
        <w:rPr>
          <w:rFonts w:hint="eastAsia" w:ascii="仿宋" w:hAnsi="仿宋" w:eastAsia="仿宋" w:cs="仿宋"/>
          <w:b/>
          <w:bCs/>
          <w:sz w:val="28"/>
          <w:szCs w:val="28"/>
          <w:highlight w:val="none"/>
          <w:lang w:val="en-US" w:eastAsia="zh-CN"/>
        </w:rPr>
        <w:t>1.前期准备</w:t>
      </w:r>
      <w:bookmarkEnd w:id="715"/>
      <w:bookmarkEnd w:id="716"/>
      <w:bookmarkEnd w:id="717"/>
      <w:bookmarkEnd w:id="718"/>
      <w:bookmarkEnd w:id="719"/>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（1）成立评价工作组。根据委托方要求及项目情况成立评价工作组。</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2）开展前期调研。通过调研等方式了解被评价项目及相关单位业务情况，收集相关资料，充分了解项目立项的政治、经济、社会背景和法律法规、政策依据，以及项目立项时间、预算批复单位、项目具体实施内容、组织管理、绩效目标设置、计划完成时间及资金投入与使用情况等因素，为编制评价方案奠定基础。其次，制定评价表格。我中心绩效评价小组根据工作需求制定现场评价工作底稿、实地调研记录表、评价意见表等相关表格。</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sz w:val="28"/>
          <w:szCs w:val="28"/>
          <w:highlight w:val="none"/>
          <w:lang w:val="en-US" w:eastAsia="zh-CN"/>
        </w:rPr>
      </w:pPr>
      <w:bookmarkStart w:id="720" w:name="_Toc20935"/>
      <w:r>
        <w:rPr>
          <w:rFonts w:hint="eastAsia" w:ascii="仿宋" w:hAnsi="仿宋" w:eastAsia="仿宋" w:cs="仿宋"/>
          <w:b/>
          <w:bCs/>
          <w:sz w:val="28"/>
          <w:szCs w:val="28"/>
          <w:highlight w:val="none"/>
          <w:lang w:val="en-US" w:eastAsia="zh-CN"/>
        </w:rPr>
        <w:t>2.非现场评价</w:t>
      </w:r>
      <w:bookmarkEnd w:id="720"/>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对所收集的市场监督管理局的相关资料，仔细查阅、研究，设置调查问卷等。</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sz w:val="28"/>
          <w:szCs w:val="28"/>
          <w:highlight w:val="none"/>
          <w:lang w:val="en-US" w:eastAsia="zh-CN"/>
        </w:rPr>
      </w:pPr>
      <w:bookmarkStart w:id="721" w:name="_Toc22957"/>
      <w:r>
        <w:rPr>
          <w:rFonts w:hint="eastAsia" w:ascii="仿宋" w:hAnsi="仿宋" w:eastAsia="仿宋" w:cs="仿宋"/>
          <w:b/>
          <w:bCs/>
          <w:sz w:val="28"/>
          <w:szCs w:val="28"/>
          <w:highlight w:val="none"/>
          <w:lang w:val="en-US" w:eastAsia="zh-CN"/>
        </w:rPr>
        <w:t>3.现场评价</w:t>
      </w:r>
      <w:bookmarkEnd w:id="721"/>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为保证绩效评价数据的真实、完整，我中心绩效评价小组先后多次到石狮市市场监督管理局进行现场核查问询。对项目的档案资料进行现场核查和问询，保证原始数据的真实性，通过对项目具体开展情况检查，进一步核实了项目的完成程度和完成质量，确保评价结果的客观性。</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sz w:val="28"/>
          <w:szCs w:val="28"/>
          <w:highlight w:val="none"/>
          <w:lang w:val="en-US" w:eastAsia="zh-CN"/>
        </w:rPr>
      </w:pPr>
      <w:bookmarkStart w:id="722" w:name="_Toc2057"/>
      <w:r>
        <w:rPr>
          <w:rFonts w:hint="eastAsia" w:ascii="仿宋" w:hAnsi="仿宋" w:eastAsia="仿宋" w:cs="仿宋"/>
          <w:b/>
          <w:bCs/>
          <w:sz w:val="28"/>
          <w:szCs w:val="28"/>
          <w:highlight w:val="none"/>
          <w:lang w:val="en-US" w:eastAsia="zh-CN"/>
        </w:rPr>
        <w:t>4.分析评价</w:t>
      </w:r>
      <w:bookmarkEnd w:id="722"/>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400" w:firstLineChars="0"/>
        <w:textAlignment w:val="auto"/>
        <w:rPr>
          <w:rFonts w:hint="eastAsia" w:ascii="仿宋_GB2312" w:hAnsi="仿宋_GB2312" w:eastAsia="仿宋_GB2312" w:cs="仿宋_GB2312"/>
          <w:sz w:val="28"/>
          <w:szCs w:val="28"/>
          <w:highlight w:val="none"/>
          <w:lang w:val="en-US" w:eastAsia="zh-CN"/>
        </w:rPr>
      </w:pPr>
      <w:r>
        <w:rPr>
          <w:rFonts w:hint="eastAsia" w:ascii="仿宋_GB2312" w:hAnsi="仿宋_GB2312" w:eastAsia="仿宋_GB2312" w:cs="仿宋_GB2312"/>
          <w:color w:val="auto"/>
          <w:kern w:val="0"/>
          <w:sz w:val="28"/>
          <w:szCs w:val="28"/>
          <w:highlight w:val="none"/>
          <w:lang w:val="en-US" w:eastAsia="zh-CN" w:bidi="ar-SA"/>
        </w:rPr>
        <w:t>我中心绩效评价小组查阅石狮市市场监督管理局提供的档案资料、现场收集资料、访谈记录和调查问卷等相关资料为基础，对项目进行分析</w:t>
      </w:r>
      <w:r>
        <w:rPr>
          <w:rFonts w:hint="eastAsia" w:ascii="仿宋_GB2312" w:hAnsi="仿宋_GB2312" w:eastAsia="仿宋_GB2312" w:cs="仿宋_GB2312"/>
          <w:sz w:val="28"/>
          <w:szCs w:val="28"/>
          <w:highlight w:val="none"/>
          <w:lang w:val="en-US" w:eastAsia="zh-CN"/>
        </w:rPr>
        <w:t>评价，形成评价结果。</w:t>
      </w:r>
    </w:p>
    <w:p>
      <w:pPr>
        <w:keepNext w:val="0"/>
        <w:keepLines w:val="0"/>
        <w:pageBreakBefore w:val="0"/>
        <w:widowControl w:val="0"/>
        <w:numPr>
          <w:ilvl w:val="0"/>
          <w:numId w:val="0"/>
        </w:numPr>
        <w:kinsoku/>
        <w:wordWrap/>
        <w:overflowPunct/>
        <w:topLinePunct w:val="0"/>
        <w:autoSpaceDE/>
        <w:autoSpaceDN/>
        <w:bidi w:val="0"/>
        <w:adjustRightInd/>
        <w:snapToGrid/>
        <w:ind w:firstLine="562" w:firstLineChars="200"/>
        <w:textAlignment w:val="auto"/>
        <w:outlineLvl w:val="2"/>
        <w:rPr>
          <w:rFonts w:hint="eastAsia" w:ascii="仿宋" w:hAnsi="仿宋" w:eastAsia="仿宋" w:cs="仿宋"/>
          <w:b/>
          <w:bCs/>
          <w:sz w:val="28"/>
          <w:szCs w:val="28"/>
          <w:highlight w:val="none"/>
          <w:lang w:val="en-US" w:eastAsia="zh-CN"/>
        </w:rPr>
      </w:pPr>
      <w:bookmarkStart w:id="723" w:name="_Toc6312"/>
      <w:bookmarkStart w:id="724" w:name="_Toc18618"/>
      <w:r>
        <w:rPr>
          <w:rFonts w:hint="eastAsia" w:ascii="仿宋" w:hAnsi="仿宋" w:eastAsia="仿宋" w:cs="仿宋"/>
          <w:b/>
          <w:bCs/>
          <w:sz w:val="28"/>
          <w:szCs w:val="28"/>
          <w:highlight w:val="none"/>
          <w:lang w:val="en-US" w:eastAsia="zh-CN"/>
        </w:rPr>
        <w:t>5.撰写与提交评价报告</w:t>
      </w:r>
      <w:bookmarkEnd w:id="723"/>
      <w:bookmarkEnd w:id="724"/>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①撰写绩效评价报告初稿。根据对被评价单位提供的项目相关资料和各种公开数据资料及进行现场评价情况进行梳理、汇总、分析的基础上，对项目总体情况进行综合评价，形成绩效评价结果。按照规定格式撰写绩效评价报告。</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②评价报告初稿论证。</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评价报告初稿撰写完成后，分别报送委托单位石狮市财政局和被评价单位石狮市市场监督管理局征求意见，根据石狮市财政局回复的“初稿送审意见”、石狮市市场监督管理局所回复的“绩效评价报告征求意见反馈情况表”进一步核实补充资料、修改完善评价报告。</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③提交绩效评价报告。根据各方意见对评价报告进行优化完善定稿后，对评价报告装订成册，在规定时间内提交评价报告终稿。</w:t>
      </w:r>
    </w:p>
    <w:p>
      <w:pPr>
        <w:pStyle w:val="2"/>
        <w:keepNext w:val="0"/>
        <w:keepLines w:val="0"/>
        <w:pageBreakBefore w:val="0"/>
        <w:widowControl w:val="0"/>
        <w:kinsoku/>
        <w:wordWrap/>
        <w:overflowPunct/>
        <w:topLinePunct w:val="0"/>
        <w:autoSpaceDE/>
        <w:autoSpaceDN/>
        <w:bidi w:val="0"/>
        <w:adjustRightInd/>
        <w:snapToGrid/>
        <w:spacing w:after="0"/>
        <w:textAlignment w:val="auto"/>
        <w:rPr>
          <w:rFonts w:hint="eastAsia"/>
          <w:highlight w:val="none"/>
          <w:lang w:val="en-US" w:eastAsia="zh-CN"/>
        </w:rPr>
      </w:pPr>
    </w:p>
    <w:p>
      <w:pPr>
        <w:pStyle w:val="4"/>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ind w:left="0" w:leftChars="0" w:firstLine="562" w:firstLineChars="200"/>
        <w:textAlignment w:val="auto"/>
        <w:rPr>
          <w:rFonts w:hint="eastAsia" w:ascii="黑体" w:hAnsi="黑体" w:eastAsia="黑体" w:cs="黑体"/>
          <w:sz w:val="28"/>
          <w:szCs w:val="28"/>
          <w:highlight w:val="none"/>
          <w:lang w:val="en-US" w:eastAsia="zh-CN"/>
        </w:rPr>
      </w:pPr>
      <w:bookmarkStart w:id="725" w:name="_Toc7982"/>
      <w:bookmarkStart w:id="726" w:name="_Toc21146"/>
      <w:bookmarkStart w:id="727" w:name="_Toc21172"/>
      <w:bookmarkStart w:id="728" w:name="_Toc2444"/>
      <w:bookmarkStart w:id="729" w:name="_Toc25278"/>
      <w:bookmarkStart w:id="730" w:name="_Toc22907"/>
      <w:r>
        <w:rPr>
          <w:rFonts w:hint="eastAsia" w:ascii="黑体" w:hAnsi="黑体" w:eastAsia="黑体" w:cs="黑体"/>
          <w:b/>
          <w:bCs/>
          <w:kern w:val="44"/>
          <w:sz w:val="28"/>
          <w:szCs w:val="28"/>
          <w:lang w:val="en-US" w:eastAsia="zh-CN" w:bidi="ar-SA"/>
        </w:rPr>
        <w:t>三、</w:t>
      </w:r>
      <w:r>
        <w:rPr>
          <w:rFonts w:hint="eastAsia" w:ascii="黑体" w:hAnsi="黑体" w:eastAsia="黑体" w:cs="黑体"/>
          <w:sz w:val="28"/>
          <w:szCs w:val="28"/>
          <w:highlight w:val="none"/>
          <w:lang w:val="en-US" w:eastAsia="zh-CN"/>
        </w:rPr>
        <w:t>综合评价结论及分析</w:t>
      </w:r>
      <w:bookmarkEnd w:id="725"/>
      <w:bookmarkEnd w:id="726"/>
      <w:bookmarkEnd w:id="727"/>
      <w:bookmarkEnd w:id="728"/>
      <w:bookmarkEnd w:id="729"/>
      <w:bookmarkEnd w:id="730"/>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通过对食品药械化妆品监管及治理餐桌污染专项经费支出决策、过程、产出、效益四个方面的23个三级指标进行评价打分，最终评价得分84.96分，评定等级为良。指标的得分情况如下：</w:t>
      </w:r>
    </w:p>
    <w:p>
      <w:pPr>
        <w:keepNext w:val="0"/>
        <w:keepLines w:val="0"/>
        <w:pageBreakBefore w:val="0"/>
        <w:widowControl/>
        <w:numPr>
          <w:ilvl w:val="0"/>
          <w:numId w:val="0"/>
        </w:numPr>
        <w:shd w:val="clear" w:color="auto" w:fill="FFFFFF"/>
        <w:kinsoku/>
        <w:wordWrap/>
        <w:overflowPunct w:val="0"/>
        <w:topLinePunct w:val="0"/>
        <w:autoSpaceDE w:val="0"/>
        <w:autoSpaceDN w:val="0"/>
        <w:bidi w:val="0"/>
        <w:adjustRightInd w:val="0"/>
        <w:snapToGrid/>
        <w:spacing w:line="240" w:lineRule="auto"/>
        <w:ind w:leftChars="0" w:firstLine="0" w:firstLineChars="0"/>
        <w:jc w:val="center"/>
        <w:textAlignment w:val="baseline"/>
        <w:outlineLvl w:val="1"/>
        <w:rPr>
          <w:rFonts w:hint="eastAsia" w:ascii="仿宋" w:hAnsi="仿宋" w:eastAsia="仿宋" w:cs="仿宋"/>
          <w:b/>
          <w:bCs/>
          <w:color w:val="auto"/>
          <w:kern w:val="0"/>
          <w:sz w:val="24"/>
          <w:szCs w:val="24"/>
          <w:highlight w:val="none"/>
          <w:lang w:val="en-US" w:eastAsia="zh-CN"/>
        </w:rPr>
      </w:pPr>
      <w:bookmarkStart w:id="731" w:name="_Toc24203"/>
      <w:bookmarkStart w:id="732" w:name="_Toc2861"/>
      <w:bookmarkStart w:id="733" w:name="_Toc29013"/>
      <w:bookmarkStart w:id="734" w:name="_Toc26201"/>
      <w:bookmarkStart w:id="735" w:name="_Toc19416"/>
      <w:bookmarkStart w:id="736" w:name="_Toc10013"/>
      <w:bookmarkStart w:id="737" w:name="_Toc13272"/>
      <w:bookmarkStart w:id="738" w:name="_Toc14023"/>
      <w:bookmarkStart w:id="739" w:name="_Toc23086"/>
      <w:bookmarkStart w:id="740" w:name="_Toc10896"/>
      <w:bookmarkStart w:id="741" w:name="_Toc26398"/>
      <w:bookmarkStart w:id="742" w:name="_Toc6226"/>
      <w:bookmarkStart w:id="743" w:name="_Toc29653"/>
      <w:bookmarkStart w:id="744" w:name="_Toc10670"/>
      <w:bookmarkStart w:id="745" w:name="_Toc31016"/>
      <w:bookmarkStart w:id="746" w:name="_Toc32006"/>
      <w:bookmarkStart w:id="747" w:name="_Toc2897"/>
      <w:bookmarkStart w:id="748" w:name="_Toc12473"/>
      <w:bookmarkStart w:id="749" w:name="_Toc6930"/>
      <w:bookmarkStart w:id="750" w:name="_Toc17931"/>
      <w:bookmarkStart w:id="751" w:name="_Toc19794"/>
      <w:bookmarkStart w:id="752" w:name="_Toc15404"/>
      <w:bookmarkStart w:id="753" w:name="_Toc17814"/>
      <w:bookmarkStart w:id="754" w:name="_Toc1814"/>
      <w:r>
        <w:rPr>
          <w:rFonts w:hint="eastAsia" w:ascii="仿宋" w:hAnsi="仿宋" w:eastAsia="仿宋" w:cs="仿宋"/>
          <w:b/>
          <w:bCs/>
          <w:color w:val="auto"/>
          <w:kern w:val="0"/>
          <w:sz w:val="24"/>
          <w:szCs w:val="24"/>
          <w:highlight w:val="none"/>
          <w:lang w:val="en-US" w:eastAsia="zh-CN"/>
        </w:rPr>
        <w:t>食品药械化妆品监管及治理餐桌污染专项经费</w:t>
      </w:r>
      <w:bookmarkEnd w:id="731"/>
      <w:bookmarkEnd w:id="732"/>
      <w:bookmarkEnd w:id="733"/>
      <w:bookmarkEnd w:id="734"/>
      <w:bookmarkEnd w:id="735"/>
      <w:bookmarkEnd w:id="736"/>
      <w:bookmarkEnd w:id="737"/>
      <w:bookmarkEnd w:id="738"/>
      <w:bookmarkEnd w:id="739"/>
      <w:bookmarkEnd w:id="740"/>
      <w:bookmarkEnd w:id="741"/>
      <w:bookmarkEnd w:id="742"/>
      <w:bookmarkEnd w:id="743"/>
    </w:p>
    <w:p>
      <w:pPr>
        <w:keepNext w:val="0"/>
        <w:keepLines w:val="0"/>
        <w:pageBreakBefore w:val="0"/>
        <w:widowControl/>
        <w:numPr>
          <w:ilvl w:val="0"/>
          <w:numId w:val="0"/>
        </w:numPr>
        <w:shd w:val="clear" w:color="auto" w:fill="FFFFFF"/>
        <w:kinsoku/>
        <w:wordWrap/>
        <w:overflowPunct w:val="0"/>
        <w:topLinePunct w:val="0"/>
        <w:autoSpaceDE w:val="0"/>
        <w:autoSpaceDN w:val="0"/>
        <w:bidi w:val="0"/>
        <w:adjustRightInd w:val="0"/>
        <w:snapToGrid/>
        <w:spacing w:line="240" w:lineRule="auto"/>
        <w:ind w:leftChars="0" w:firstLine="0" w:firstLineChars="0"/>
        <w:jc w:val="center"/>
        <w:textAlignment w:val="baseline"/>
        <w:outlineLvl w:val="1"/>
        <w:rPr>
          <w:rFonts w:hint="eastAsia"/>
          <w:b/>
          <w:bCs/>
          <w:color w:val="auto"/>
          <w:sz w:val="24"/>
          <w:szCs w:val="24"/>
          <w:highlight w:val="none"/>
          <w:lang w:val="en-US" w:eastAsia="zh-CN"/>
        </w:rPr>
      </w:pPr>
      <w:bookmarkStart w:id="755" w:name="_Toc22676"/>
      <w:bookmarkStart w:id="756" w:name="_Toc13616"/>
      <w:bookmarkStart w:id="757" w:name="_Toc13749"/>
      <w:bookmarkStart w:id="758" w:name="_Toc30709"/>
      <w:bookmarkStart w:id="759" w:name="_Toc14266"/>
      <w:bookmarkStart w:id="760" w:name="_Toc9419"/>
      <w:bookmarkStart w:id="761" w:name="_Toc30679"/>
      <w:bookmarkStart w:id="762" w:name="_Toc1906"/>
      <w:bookmarkStart w:id="763" w:name="_Toc16757"/>
      <w:bookmarkStart w:id="764" w:name="_Toc27650"/>
      <w:bookmarkStart w:id="765" w:name="_Toc26967"/>
      <w:bookmarkStart w:id="766" w:name="_Toc26475"/>
      <w:bookmarkStart w:id="767" w:name="_Toc32361"/>
      <w:bookmarkStart w:id="768" w:name="_Toc3677"/>
      <w:bookmarkStart w:id="769" w:name="_Toc19952"/>
      <w:bookmarkStart w:id="770" w:name="_Toc16620"/>
      <w:bookmarkStart w:id="771" w:name="_Toc32232"/>
      <w:bookmarkStart w:id="772" w:name="_Toc28036"/>
      <w:bookmarkStart w:id="773" w:name="_Toc4959"/>
      <w:r>
        <w:rPr>
          <w:rFonts w:hint="eastAsia" w:ascii="仿宋" w:hAnsi="仿宋" w:eastAsia="仿宋" w:cs="仿宋"/>
          <w:b/>
          <w:bCs/>
          <w:color w:val="auto"/>
          <w:kern w:val="0"/>
          <w:sz w:val="24"/>
          <w:szCs w:val="24"/>
          <w:highlight w:val="none"/>
          <w:lang w:val="en-US" w:eastAsia="zh-CN"/>
        </w:rPr>
        <w:t>指标得分情况表</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tbl>
      <w:tblPr>
        <w:tblStyle w:val="12"/>
        <w:tblW w:w="90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00"/>
        <w:gridCol w:w="2901"/>
        <w:gridCol w:w="3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exact"/>
          <w:tblHeader/>
        </w:trPr>
        <w:tc>
          <w:tcPr>
            <w:tcW w:w="2900" w:type="dxa"/>
            <w:shd w:val="clear" w:color="auto" w:fill="E7E6E6"/>
            <w:noWrap w:val="0"/>
            <w:vAlign w:val="center"/>
          </w:tcPr>
          <w:p>
            <w:pPr>
              <w:pStyle w:val="1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bCs/>
                <w:color w:val="auto"/>
                <w:kern w:val="0"/>
                <w:sz w:val="24"/>
                <w:szCs w:val="24"/>
                <w:highlight w:val="none"/>
                <w:shd w:val="clear" w:color="auto" w:fill="auto"/>
                <w:vertAlign w:val="baseline"/>
                <w:lang w:val="en-US" w:eastAsia="zh-CN"/>
              </w:rPr>
            </w:pPr>
            <w:r>
              <w:rPr>
                <w:rFonts w:hint="eastAsia" w:ascii="仿宋" w:hAnsi="仿宋" w:eastAsia="仿宋" w:cs="仿宋"/>
                <w:b/>
                <w:bCs/>
                <w:color w:val="auto"/>
                <w:kern w:val="0"/>
                <w:sz w:val="24"/>
                <w:szCs w:val="24"/>
                <w:highlight w:val="none"/>
                <w:shd w:val="clear" w:color="auto" w:fill="auto"/>
                <w:vertAlign w:val="baseline"/>
                <w:lang w:val="en-US" w:eastAsia="zh-CN"/>
              </w:rPr>
              <w:t>指标</w:t>
            </w:r>
          </w:p>
        </w:tc>
        <w:tc>
          <w:tcPr>
            <w:tcW w:w="2901" w:type="dxa"/>
            <w:shd w:val="clear" w:color="auto" w:fill="E7E6E6"/>
            <w:noWrap w:val="0"/>
            <w:vAlign w:val="center"/>
          </w:tcPr>
          <w:p>
            <w:pPr>
              <w:pStyle w:val="1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bCs/>
                <w:color w:val="auto"/>
                <w:kern w:val="0"/>
                <w:sz w:val="24"/>
                <w:szCs w:val="24"/>
                <w:highlight w:val="none"/>
                <w:shd w:val="clear" w:color="auto" w:fill="auto"/>
                <w:vertAlign w:val="baseline"/>
                <w:lang w:val="en-US" w:eastAsia="zh-CN"/>
              </w:rPr>
            </w:pPr>
            <w:r>
              <w:rPr>
                <w:rFonts w:hint="eastAsia" w:ascii="仿宋" w:hAnsi="仿宋" w:eastAsia="仿宋" w:cs="仿宋"/>
                <w:b/>
                <w:bCs/>
                <w:color w:val="auto"/>
                <w:kern w:val="0"/>
                <w:sz w:val="24"/>
                <w:szCs w:val="24"/>
                <w:highlight w:val="none"/>
                <w:shd w:val="clear" w:color="auto" w:fill="auto"/>
                <w:vertAlign w:val="baseline"/>
                <w:lang w:val="en-US" w:eastAsia="zh-CN"/>
              </w:rPr>
              <w:t>权重分</w:t>
            </w:r>
          </w:p>
        </w:tc>
        <w:tc>
          <w:tcPr>
            <w:tcW w:w="3218" w:type="dxa"/>
            <w:shd w:val="clear" w:color="auto" w:fill="E7E6E6"/>
            <w:noWrap w:val="0"/>
            <w:vAlign w:val="center"/>
          </w:tcPr>
          <w:p>
            <w:pPr>
              <w:pStyle w:val="1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bCs/>
                <w:color w:val="auto"/>
                <w:kern w:val="0"/>
                <w:sz w:val="24"/>
                <w:szCs w:val="24"/>
                <w:highlight w:val="none"/>
                <w:shd w:val="clear" w:color="auto" w:fill="auto"/>
                <w:vertAlign w:val="baseline"/>
                <w:lang w:val="en-US" w:eastAsia="zh-CN"/>
              </w:rPr>
            </w:pPr>
            <w:r>
              <w:rPr>
                <w:rFonts w:hint="eastAsia" w:ascii="仿宋" w:hAnsi="仿宋" w:eastAsia="仿宋" w:cs="仿宋"/>
                <w:b/>
                <w:bCs/>
                <w:color w:val="auto"/>
                <w:kern w:val="0"/>
                <w:sz w:val="24"/>
                <w:szCs w:val="24"/>
                <w:highlight w:val="none"/>
                <w:shd w:val="clear" w:color="auto" w:fill="auto"/>
                <w:vertAlign w:val="baseline"/>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exact"/>
        </w:trPr>
        <w:tc>
          <w:tcPr>
            <w:tcW w:w="2900" w:type="dxa"/>
            <w:noWrap w:val="0"/>
            <w:vAlign w:val="center"/>
          </w:tcPr>
          <w:p>
            <w:pPr>
              <w:pStyle w:val="1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决策</w:t>
            </w:r>
          </w:p>
        </w:tc>
        <w:tc>
          <w:tcPr>
            <w:tcW w:w="2901" w:type="dxa"/>
            <w:noWrap w:val="0"/>
            <w:vAlign w:val="center"/>
          </w:tcPr>
          <w:p>
            <w:pPr>
              <w:pStyle w:val="1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15</w:t>
            </w:r>
          </w:p>
        </w:tc>
        <w:tc>
          <w:tcPr>
            <w:tcW w:w="3218" w:type="dxa"/>
            <w:noWrap w:val="0"/>
            <w:vAlign w:val="center"/>
          </w:tcPr>
          <w:p>
            <w:pPr>
              <w:pStyle w:val="1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13.50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2900" w:type="dxa"/>
            <w:noWrap w:val="0"/>
            <w:vAlign w:val="center"/>
          </w:tcPr>
          <w:p>
            <w:pPr>
              <w:pStyle w:val="1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过程</w:t>
            </w:r>
          </w:p>
        </w:tc>
        <w:tc>
          <w:tcPr>
            <w:tcW w:w="2901" w:type="dxa"/>
            <w:noWrap w:val="0"/>
            <w:vAlign w:val="center"/>
          </w:tcPr>
          <w:p>
            <w:pPr>
              <w:pStyle w:val="1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19</w:t>
            </w:r>
          </w:p>
        </w:tc>
        <w:tc>
          <w:tcPr>
            <w:tcW w:w="3218" w:type="dxa"/>
            <w:noWrap w:val="0"/>
            <w:vAlign w:val="center"/>
          </w:tcPr>
          <w:p>
            <w:pPr>
              <w:pStyle w:val="1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17.43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exact"/>
        </w:trPr>
        <w:tc>
          <w:tcPr>
            <w:tcW w:w="2900" w:type="dxa"/>
            <w:noWrap w:val="0"/>
            <w:vAlign w:val="center"/>
          </w:tcPr>
          <w:p>
            <w:pPr>
              <w:pStyle w:val="1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产出</w:t>
            </w:r>
          </w:p>
        </w:tc>
        <w:tc>
          <w:tcPr>
            <w:tcW w:w="2901" w:type="dxa"/>
            <w:noWrap w:val="0"/>
            <w:vAlign w:val="center"/>
          </w:tcPr>
          <w:p>
            <w:pPr>
              <w:pStyle w:val="1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36</w:t>
            </w:r>
          </w:p>
        </w:tc>
        <w:tc>
          <w:tcPr>
            <w:tcW w:w="3218" w:type="dxa"/>
            <w:noWrap w:val="0"/>
            <w:vAlign w:val="center"/>
          </w:tcPr>
          <w:p>
            <w:pPr>
              <w:pStyle w:val="1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35.50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exact"/>
        </w:trPr>
        <w:tc>
          <w:tcPr>
            <w:tcW w:w="2900" w:type="dxa"/>
            <w:noWrap w:val="0"/>
            <w:vAlign w:val="center"/>
          </w:tcPr>
          <w:p>
            <w:pPr>
              <w:pStyle w:val="1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效益</w:t>
            </w:r>
          </w:p>
        </w:tc>
        <w:tc>
          <w:tcPr>
            <w:tcW w:w="2901" w:type="dxa"/>
            <w:noWrap w:val="0"/>
            <w:vAlign w:val="center"/>
          </w:tcPr>
          <w:p>
            <w:pPr>
              <w:pStyle w:val="1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30</w:t>
            </w:r>
          </w:p>
        </w:tc>
        <w:tc>
          <w:tcPr>
            <w:tcW w:w="3218" w:type="dxa"/>
            <w:noWrap w:val="0"/>
            <w:vAlign w:val="center"/>
          </w:tcPr>
          <w:p>
            <w:pPr>
              <w:pStyle w:val="1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18.53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 w:hRule="exact"/>
        </w:trPr>
        <w:tc>
          <w:tcPr>
            <w:tcW w:w="2900" w:type="dxa"/>
            <w:noWrap w:val="0"/>
            <w:vAlign w:val="center"/>
          </w:tcPr>
          <w:p>
            <w:pPr>
              <w:pStyle w:val="1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综合得分</w:t>
            </w:r>
          </w:p>
        </w:tc>
        <w:tc>
          <w:tcPr>
            <w:tcW w:w="2901" w:type="dxa"/>
            <w:noWrap w:val="0"/>
            <w:vAlign w:val="center"/>
          </w:tcPr>
          <w:p>
            <w:pPr>
              <w:pStyle w:val="1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val="0"/>
                <w:bCs w:val="0"/>
                <w:color w:val="auto"/>
                <w:kern w:val="0"/>
                <w:sz w:val="24"/>
                <w:szCs w:val="24"/>
                <w:highlight w:val="none"/>
                <w:vertAlign w:val="baseline"/>
                <w:lang w:val="en-US" w:eastAsia="zh-CN"/>
              </w:rPr>
            </w:pPr>
            <w:r>
              <w:rPr>
                <w:rFonts w:hint="eastAsia" w:ascii="仿宋" w:hAnsi="仿宋" w:eastAsia="仿宋" w:cs="仿宋"/>
                <w:b w:val="0"/>
                <w:bCs w:val="0"/>
                <w:color w:val="auto"/>
                <w:kern w:val="0"/>
                <w:sz w:val="24"/>
                <w:szCs w:val="24"/>
                <w:highlight w:val="none"/>
                <w:vertAlign w:val="baseline"/>
                <w:lang w:val="en-US" w:eastAsia="zh-CN"/>
              </w:rPr>
              <w:t>100</w:t>
            </w:r>
          </w:p>
        </w:tc>
        <w:tc>
          <w:tcPr>
            <w:tcW w:w="3218" w:type="dxa"/>
            <w:noWrap w:val="0"/>
            <w:vAlign w:val="center"/>
          </w:tcPr>
          <w:p>
            <w:pPr>
              <w:pStyle w:val="1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bCs/>
                <w:color w:val="auto"/>
                <w:kern w:val="0"/>
                <w:sz w:val="24"/>
                <w:szCs w:val="24"/>
                <w:highlight w:val="none"/>
                <w:vertAlign w:val="baseline"/>
                <w:lang w:val="en-US" w:eastAsia="zh-CN"/>
              </w:rPr>
            </w:pPr>
            <w:r>
              <w:rPr>
                <w:rFonts w:hint="eastAsia" w:ascii="仿宋" w:hAnsi="仿宋" w:eastAsia="仿宋" w:cs="仿宋"/>
                <w:b/>
                <w:bCs/>
                <w:color w:val="auto"/>
                <w:kern w:val="0"/>
                <w:sz w:val="24"/>
                <w:szCs w:val="24"/>
                <w:highlight w:val="none"/>
                <w:vertAlign w:val="baseline"/>
                <w:lang w:val="en-US" w:eastAsia="zh-CN"/>
              </w:rPr>
              <w:t>84.96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exact"/>
        </w:trPr>
        <w:tc>
          <w:tcPr>
            <w:tcW w:w="5801" w:type="dxa"/>
            <w:gridSpan w:val="2"/>
            <w:noWrap w:val="0"/>
            <w:vAlign w:val="center"/>
          </w:tcPr>
          <w:p>
            <w:pPr>
              <w:pStyle w:val="1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bCs/>
                <w:color w:val="auto"/>
                <w:kern w:val="0"/>
                <w:sz w:val="24"/>
                <w:szCs w:val="24"/>
                <w:highlight w:val="none"/>
                <w:vertAlign w:val="baseline"/>
                <w:lang w:val="en-US" w:eastAsia="zh-CN"/>
              </w:rPr>
            </w:pPr>
            <w:r>
              <w:rPr>
                <w:rFonts w:hint="eastAsia" w:ascii="仿宋" w:hAnsi="仿宋" w:eastAsia="仿宋" w:cs="仿宋"/>
                <w:b/>
                <w:bCs/>
                <w:color w:val="auto"/>
                <w:kern w:val="0"/>
                <w:sz w:val="24"/>
                <w:szCs w:val="24"/>
                <w:highlight w:val="none"/>
                <w:vertAlign w:val="baseline"/>
                <w:lang w:val="en-US" w:eastAsia="zh-CN"/>
              </w:rPr>
              <w:t>绩效评定级别</w:t>
            </w:r>
          </w:p>
        </w:tc>
        <w:tc>
          <w:tcPr>
            <w:tcW w:w="3218" w:type="dxa"/>
            <w:noWrap w:val="0"/>
            <w:vAlign w:val="center"/>
          </w:tcPr>
          <w:p>
            <w:pPr>
              <w:pStyle w:val="15"/>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仿宋" w:hAnsi="仿宋" w:eastAsia="仿宋" w:cs="仿宋"/>
                <w:b/>
                <w:bCs/>
                <w:color w:val="auto"/>
                <w:kern w:val="0"/>
                <w:sz w:val="24"/>
                <w:szCs w:val="24"/>
                <w:highlight w:val="none"/>
                <w:vertAlign w:val="baseline"/>
                <w:lang w:val="en-US" w:eastAsia="zh-CN"/>
              </w:rPr>
            </w:pPr>
            <w:r>
              <w:rPr>
                <w:rFonts w:hint="eastAsia" w:ascii="仿宋" w:hAnsi="仿宋" w:eastAsia="仿宋" w:cs="仿宋"/>
                <w:b/>
                <w:bCs/>
                <w:color w:val="auto"/>
                <w:kern w:val="0"/>
                <w:sz w:val="24"/>
                <w:szCs w:val="24"/>
                <w:highlight w:val="none"/>
                <w:vertAlign w:val="baseline"/>
                <w:lang w:val="en-US" w:eastAsia="zh-CN"/>
              </w:rPr>
              <w:t>良</w:t>
            </w:r>
          </w:p>
        </w:tc>
      </w:tr>
    </w:tbl>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sectPr>
          <w:headerReference r:id="rId6" w:type="default"/>
          <w:footerReference r:id="rId7" w:type="default"/>
          <w:pgSz w:w="11906" w:h="16838"/>
          <w:pgMar w:top="1440" w:right="1519" w:bottom="1440" w:left="1587" w:header="851" w:footer="992" w:gutter="0"/>
          <w:pgBorders>
            <w:top w:val="none" w:sz="0" w:space="0"/>
            <w:left w:val="none" w:sz="0" w:space="0"/>
            <w:bottom w:val="none" w:sz="0" w:space="0"/>
            <w:right w:val="none" w:sz="0" w:space="0"/>
          </w:pgBorders>
          <w:pgNumType w:fmt="decimal" w:start="1"/>
          <w:cols w:space="720" w:num="1"/>
          <w:docGrid w:type="lines" w:linePitch="312" w:charSpace="0"/>
        </w:sectPr>
      </w:pPr>
      <w:bookmarkStart w:id="774" w:name="_Toc13770"/>
      <w:bookmarkStart w:id="775" w:name="_Toc14272"/>
      <w:bookmarkStart w:id="776" w:name="_Toc11016"/>
      <w:bookmarkStart w:id="777" w:name="_Toc7922"/>
      <w:bookmarkStart w:id="778" w:name="_Toc30271"/>
      <w:bookmarkStart w:id="779" w:name="_Toc15428"/>
      <w:bookmarkStart w:id="780" w:name="_Toc4616"/>
      <w:bookmarkStart w:id="781" w:name="_Toc29326"/>
      <w:bookmarkStart w:id="782" w:name="_Toc16229"/>
      <w:bookmarkStart w:id="783" w:name="_Toc1056"/>
      <w:bookmarkStart w:id="784" w:name="_Toc30082"/>
      <w:bookmarkStart w:id="785" w:name="_Toc3756"/>
      <w:bookmarkStart w:id="786" w:name="_Toc7622"/>
      <w:bookmarkStart w:id="787" w:name="_Toc32465"/>
      <w:bookmarkStart w:id="788" w:name="_Toc23600"/>
      <w:bookmarkStart w:id="789" w:name="_Toc21474"/>
      <w:bookmarkStart w:id="790" w:name="_Toc14393"/>
      <w:bookmarkStart w:id="791" w:name="_Toc25266"/>
      <w:bookmarkStart w:id="792" w:name="_Toc27838"/>
      <w:bookmarkStart w:id="793" w:name="_Toc26728"/>
      <w:bookmarkStart w:id="794" w:name="_Toc4161"/>
      <w:bookmarkStart w:id="795" w:name="_Toc19774"/>
      <w:bookmarkStart w:id="796" w:name="_Toc24908"/>
      <w:bookmarkStart w:id="797" w:name="_Toc5150"/>
      <w:r>
        <w:rPr>
          <w:rFonts w:hint="eastAsia" w:ascii="仿宋_GB2312" w:hAnsi="仿宋_GB2312" w:eastAsia="仿宋_GB2312" w:cs="仿宋_GB2312"/>
          <w:color w:val="auto"/>
          <w:kern w:val="0"/>
          <w:sz w:val="28"/>
          <w:szCs w:val="28"/>
          <w:highlight w:val="none"/>
          <w:lang w:val="en-US" w:eastAsia="zh-CN" w:bidi="ar-SA"/>
        </w:rPr>
        <w:t>我中心绩效评价小组工作人员以石狮市市场监督管理局及项目有关单位提供的档案资料、现场收集资料、访谈记录和调查问卷等相关资料为基础，对项目进行绩效指标评价，形成指标分析结果。2022年度食品药械化妆品监管及治理餐桌污染专项经费绩效指标体系整体分析见下表。</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p>
    <w:p>
      <w:pPr>
        <w:pStyle w:val="2"/>
        <w:ind w:left="0" w:leftChars="0" w:firstLine="0" w:firstLineChars="0"/>
        <w:jc w:val="center"/>
        <w:rPr>
          <w:rFonts w:hint="default" w:ascii="仿宋" w:hAnsi="仿宋" w:eastAsia="仿宋" w:cs="仿宋"/>
          <w:b/>
          <w:bCs/>
          <w:color w:val="auto"/>
          <w:kern w:val="0"/>
          <w:sz w:val="28"/>
          <w:szCs w:val="28"/>
          <w:highlight w:val="none"/>
          <w:lang w:val="en-US" w:eastAsia="zh-CN" w:bidi="ar-SA"/>
        </w:rPr>
      </w:pPr>
      <w:r>
        <w:rPr>
          <w:rFonts w:hint="eastAsia" w:ascii="仿宋" w:hAnsi="仿宋" w:eastAsia="仿宋" w:cs="仿宋"/>
          <w:b/>
          <w:bCs/>
          <w:color w:val="auto"/>
          <w:kern w:val="0"/>
          <w:sz w:val="28"/>
          <w:szCs w:val="28"/>
          <w:highlight w:val="none"/>
          <w:lang w:val="en-US" w:eastAsia="zh-CN"/>
        </w:rPr>
        <w:t>2022年度食品药械化妆品监管及治理餐桌污染专项经费</w:t>
      </w:r>
      <w:r>
        <w:rPr>
          <w:rFonts w:hint="eastAsia" w:ascii="仿宋" w:hAnsi="仿宋" w:eastAsia="仿宋" w:cs="仿宋"/>
          <w:b/>
          <w:bCs/>
          <w:color w:val="auto"/>
          <w:kern w:val="0"/>
          <w:sz w:val="28"/>
          <w:szCs w:val="28"/>
          <w:highlight w:val="none"/>
          <w:lang w:val="en-US" w:eastAsia="zh-CN" w:bidi="ar-SA"/>
        </w:rPr>
        <w:t>绩效指标体系表</w:t>
      </w:r>
    </w:p>
    <w:tbl>
      <w:tblPr>
        <w:tblStyle w:val="12"/>
        <w:tblW w:w="15576" w:type="dxa"/>
        <w:tblInd w:w="-6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6"/>
        <w:gridCol w:w="816"/>
        <w:gridCol w:w="1132"/>
        <w:gridCol w:w="5828"/>
        <w:gridCol w:w="5607"/>
        <w:gridCol w:w="617"/>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56" w:type="dxa"/>
            <w:shd w:val="clear" w:color="auto" w:fill="E7E6E6" w:themeFill="background2"/>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一级指标</w:t>
            </w:r>
          </w:p>
        </w:tc>
        <w:tc>
          <w:tcPr>
            <w:tcW w:w="816" w:type="dxa"/>
            <w:shd w:val="clear" w:color="auto" w:fill="E7E6E6" w:themeFill="background2"/>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二级指标</w:t>
            </w:r>
          </w:p>
        </w:tc>
        <w:tc>
          <w:tcPr>
            <w:tcW w:w="1132" w:type="dxa"/>
            <w:shd w:val="clear" w:color="auto" w:fill="E7E6E6" w:themeFill="background2"/>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三级指标</w:t>
            </w:r>
          </w:p>
        </w:tc>
        <w:tc>
          <w:tcPr>
            <w:tcW w:w="5828" w:type="dxa"/>
            <w:shd w:val="clear" w:color="auto" w:fill="E7E6E6" w:themeFill="background2"/>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指标说明</w:t>
            </w:r>
          </w:p>
        </w:tc>
        <w:tc>
          <w:tcPr>
            <w:tcW w:w="5607" w:type="dxa"/>
            <w:shd w:val="clear" w:color="auto" w:fill="E7E6E6" w:themeFill="background2"/>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评价结果</w:t>
            </w:r>
          </w:p>
        </w:tc>
        <w:tc>
          <w:tcPr>
            <w:tcW w:w="617" w:type="dxa"/>
            <w:shd w:val="clear" w:color="auto" w:fill="E7E6E6" w:themeFill="background2"/>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分值</w:t>
            </w:r>
          </w:p>
        </w:tc>
        <w:tc>
          <w:tcPr>
            <w:tcW w:w="820" w:type="dxa"/>
            <w:shd w:val="clear" w:color="auto" w:fill="E7E6E6" w:themeFill="background2"/>
            <w:vAlign w:val="center"/>
          </w:tcPr>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trPr>
        <w:tc>
          <w:tcPr>
            <w:tcW w:w="756" w:type="dxa"/>
            <w:vMerge w:val="restart"/>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决策</w:t>
            </w:r>
          </w:p>
          <w:p>
            <w:pPr>
              <w:rPr>
                <w:rFonts w:hint="default"/>
                <w:sz w:val="21"/>
                <w:szCs w:val="21"/>
                <w:highlight w:val="none"/>
                <w:lang w:val="en-US" w:eastAsia="zh-CN"/>
              </w:rPr>
            </w:pPr>
            <w:r>
              <w:rPr>
                <w:rFonts w:hint="eastAsia" w:ascii="仿宋" w:hAnsi="仿宋" w:eastAsia="仿宋" w:cs="仿宋"/>
                <w:sz w:val="21"/>
                <w:szCs w:val="21"/>
                <w:highlight w:val="none"/>
                <w:vertAlign w:val="baseline"/>
                <w:lang w:val="en-US" w:eastAsia="zh-CN"/>
              </w:rPr>
              <w:t>(15%)</w:t>
            </w:r>
          </w:p>
        </w:tc>
        <w:tc>
          <w:tcPr>
            <w:tcW w:w="816" w:type="dxa"/>
            <w:vMerge w:val="restart"/>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项目立项</w:t>
            </w:r>
          </w:p>
          <w:p>
            <w:pP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vertAlign w:val="baseline"/>
                <w:lang w:val="en-US" w:eastAsia="zh-CN"/>
              </w:rPr>
              <w:t>(5%)</w:t>
            </w:r>
          </w:p>
        </w:tc>
        <w:tc>
          <w:tcPr>
            <w:tcW w:w="1132" w:type="dxa"/>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立项依据充分性</w:t>
            </w:r>
          </w:p>
        </w:tc>
        <w:tc>
          <w:tcPr>
            <w:tcW w:w="5828" w:type="dxa"/>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评价要点：①项目立项是否符合国家法律法规、国民经济发展规划和相关政策；②项目立项是否符合行业发展规划和政策要求；③项目立项是否与部门职责范围相符，属于部门履职所需；④项目是否属于公共财政支持范围，是否符合中央、地方事权支出责任划分原则；⑤项目是否与相关部门同类项目或部门内部相关项目重复。</w:t>
            </w:r>
          </w:p>
        </w:tc>
        <w:tc>
          <w:tcPr>
            <w:tcW w:w="5607" w:type="dxa"/>
            <w:vAlign w:val="center"/>
          </w:tcPr>
          <w:p>
            <w:pPr>
              <w:pStyle w:val="2"/>
              <w:ind w:left="0" w:leftChars="0" w:firstLine="0" w:firstLineChars="0"/>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为贯彻落实全国市场监管工作会议及全省市场监管工作会议部署和要求，推动“治理餐桌污染、建设食品放心工程”和食品抽检检测高质量发展，本项目立项符合国家法律法规、国民经济发展规划和相关政策并与部门职责范围相符合，属于部门履职所需；项目属于公共财政支持范围。</w:t>
            </w:r>
          </w:p>
        </w:tc>
        <w:tc>
          <w:tcPr>
            <w:tcW w:w="617" w:type="dxa"/>
            <w:vAlign w:val="center"/>
          </w:tcPr>
          <w:p>
            <w:pPr>
              <w:keepNext w:val="0"/>
              <w:keepLines w:val="0"/>
              <w:widowControl/>
              <w:suppressLineNumbers w:val="0"/>
              <w:jc w:val="center"/>
              <w:textAlignment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u w:val="none"/>
                <w:lang w:val="en-US" w:eastAsia="zh-CN" w:bidi="ar"/>
              </w:rPr>
              <w:t>2</w:t>
            </w:r>
          </w:p>
        </w:tc>
        <w:tc>
          <w:tcPr>
            <w:tcW w:w="820" w:type="dxa"/>
            <w:vAlign w:val="center"/>
          </w:tcPr>
          <w:p>
            <w:pPr>
              <w:keepNext w:val="0"/>
              <w:keepLines w:val="0"/>
              <w:widowControl/>
              <w:suppressLineNumbers w:val="0"/>
              <w:jc w:val="center"/>
              <w:textAlignment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2" w:hRule="atLeast"/>
        </w:trPr>
        <w:tc>
          <w:tcPr>
            <w:tcW w:w="75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81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1132" w:type="dxa"/>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立项程序规范性</w:t>
            </w:r>
          </w:p>
        </w:tc>
        <w:tc>
          <w:tcPr>
            <w:tcW w:w="5828" w:type="dxa"/>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评价要点：①项目是否按照规定的程序申请设立；②审批文件、材料是否符合相关要求；③事前是否已经过必要的可行性研究、专家论证、风险评估、绩效评估、集体决策。</w:t>
            </w:r>
          </w:p>
        </w:tc>
        <w:tc>
          <w:tcPr>
            <w:tcW w:w="5607" w:type="dxa"/>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left"/>
              <w:textAlignment w:val="auto"/>
              <w:rPr>
                <w:rFonts w:hint="default"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项目按照规定的程序申请设立，审批材料符合相关要求。</w:t>
            </w:r>
          </w:p>
        </w:tc>
        <w:tc>
          <w:tcPr>
            <w:tcW w:w="617" w:type="dxa"/>
            <w:vAlign w:val="center"/>
          </w:tcPr>
          <w:p>
            <w:pPr>
              <w:keepNext w:val="0"/>
              <w:keepLines w:val="0"/>
              <w:widowControl/>
              <w:suppressLineNumbers w:val="0"/>
              <w:jc w:val="center"/>
              <w:textAlignment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u w:val="none"/>
                <w:lang w:val="en-US" w:eastAsia="zh-CN" w:bidi="ar"/>
              </w:rPr>
              <w:t>2</w:t>
            </w:r>
          </w:p>
        </w:tc>
        <w:tc>
          <w:tcPr>
            <w:tcW w:w="820" w:type="dxa"/>
            <w:vAlign w:val="center"/>
          </w:tcPr>
          <w:p>
            <w:pPr>
              <w:keepNext w:val="0"/>
              <w:keepLines w:val="0"/>
              <w:widowControl/>
              <w:suppressLineNumbers w:val="0"/>
              <w:jc w:val="center"/>
              <w:textAlignment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816" w:type="dxa"/>
            <w:vMerge w:val="restart"/>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绩效目标</w:t>
            </w:r>
          </w:p>
          <w:p>
            <w:pPr>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vertAlign w:val="baseline"/>
                <w:lang w:val="en-US" w:eastAsia="zh-CN"/>
              </w:rPr>
              <w:t>(5%)</w:t>
            </w:r>
          </w:p>
        </w:tc>
        <w:tc>
          <w:tcPr>
            <w:tcW w:w="1132" w:type="dxa"/>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绩效目标合理性</w:t>
            </w:r>
          </w:p>
        </w:tc>
        <w:tc>
          <w:tcPr>
            <w:tcW w:w="5828" w:type="dxa"/>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评价要点：（如未设定预算绩效目标，也可考核其他工作任务目标）①项目是否有绩效目标；②项目绩效目标与实际工作内容是否具有相关性；③项目预期产出效益和效果是否符合正常的业绩水平；④是否与预算确定的项目投资额或资金量相匹配。</w:t>
            </w:r>
          </w:p>
        </w:tc>
        <w:tc>
          <w:tcPr>
            <w:tcW w:w="5607" w:type="dxa"/>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left"/>
              <w:textAlignment w:val="auto"/>
              <w:rPr>
                <w:rFonts w:hint="default"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市场监督管理局就食品药械化妆品监管及治理餐桌污染专项设有绩效目标且与实际工作内容具有相关性，个别预期产出效益和效果与实际完成值相差较大，例如数量指标食品安全风险抽检目标值大于等于150批次，实际食品安全风险检测完成3160批次。</w:t>
            </w:r>
          </w:p>
        </w:tc>
        <w:tc>
          <w:tcPr>
            <w:tcW w:w="617" w:type="dxa"/>
            <w:vAlign w:val="center"/>
          </w:tcPr>
          <w:p>
            <w:pPr>
              <w:keepNext w:val="0"/>
              <w:keepLines w:val="0"/>
              <w:widowControl/>
              <w:suppressLineNumbers w:val="0"/>
              <w:jc w:val="center"/>
              <w:textAlignment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u w:val="none"/>
                <w:lang w:val="en-US" w:eastAsia="zh-CN" w:bidi="ar"/>
              </w:rPr>
              <w:t>3</w:t>
            </w:r>
          </w:p>
        </w:tc>
        <w:tc>
          <w:tcPr>
            <w:tcW w:w="820" w:type="dxa"/>
            <w:vAlign w:val="center"/>
          </w:tcPr>
          <w:p>
            <w:pPr>
              <w:keepNext w:val="0"/>
              <w:keepLines w:val="0"/>
              <w:widowControl/>
              <w:suppressLineNumbers w:val="0"/>
              <w:jc w:val="center"/>
              <w:textAlignment w:val="center"/>
              <w:rPr>
                <w:rFonts w:hint="default"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u w:val="none"/>
                <w:lang w:val="en-US" w:eastAsia="zh-CN" w:bidi="ar"/>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75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81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1132" w:type="dxa"/>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绩效指标明确性</w:t>
            </w:r>
          </w:p>
        </w:tc>
        <w:tc>
          <w:tcPr>
            <w:tcW w:w="5828" w:type="dxa"/>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评价要点：①是否将项目绩效目标细化分解为具体的绩效指标；②是否通过清晰、可衡量的指标值予以体现；③是否与项目目标任务数或计划数相对应。</w:t>
            </w:r>
          </w:p>
        </w:tc>
        <w:tc>
          <w:tcPr>
            <w:tcW w:w="5607" w:type="dxa"/>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left"/>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b w:val="0"/>
                <w:bCs w:val="0"/>
                <w:i w:val="0"/>
                <w:iCs w:val="0"/>
                <w:color w:val="000000"/>
                <w:kern w:val="0"/>
                <w:sz w:val="21"/>
                <w:szCs w:val="21"/>
                <w:highlight w:val="none"/>
                <w:u w:val="none"/>
                <w:lang w:val="en-US" w:eastAsia="zh-CN" w:bidi="ar"/>
              </w:rPr>
              <w:t>依据市场监督管理局设置的绩效目标表，项目绩效目标细化分解为具体的绩效指标，通过清晰、可衡量的指标值予以体现，与项目目标任务数或计划书相对应。</w:t>
            </w:r>
          </w:p>
        </w:tc>
        <w:tc>
          <w:tcPr>
            <w:tcW w:w="617" w:type="dxa"/>
            <w:vAlign w:val="center"/>
          </w:tcPr>
          <w:p>
            <w:pPr>
              <w:keepNext w:val="0"/>
              <w:keepLines w:val="0"/>
              <w:widowControl/>
              <w:suppressLineNumbers w:val="0"/>
              <w:jc w:val="center"/>
              <w:textAlignment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u w:val="none"/>
                <w:lang w:val="en-US" w:eastAsia="zh-CN" w:bidi="ar"/>
              </w:rPr>
              <w:t>3</w:t>
            </w:r>
          </w:p>
        </w:tc>
        <w:tc>
          <w:tcPr>
            <w:tcW w:w="820" w:type="dxa"/>
            <w:vAlign w:val="center"/>
          </w:tcPr>
          <w:p>
            <w:pPr>
              <w:keepNext w:val="0"/>
              <w:keepLines w:val="0"/>
              <w:widowControl/>
              <w:suppressLineNumbers w:val="0"/>
              <w:jc w:val="center"/>
              <w:textAlignment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3" w:hRule="atLeast"/>
        </w:trPr>
        <w:tc>
          <w:tcPr>
            <w:tcW w:w="75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816" w:type="dxa"/>
            <w:vMerge w:val="restart"/>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资金投入(5%)</w:t>
            </w:r>
          </w:p>
        </w:tc>
        <w:tc>
          <w:tcPr>
            <w:tcW w:w="1132" w:type="dxa"/>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预算编制科学性</w:t>
            </w:r>
          </w:p>
        </w:tc>
        <w:tc>
          <w:tcPr>
            <w:tcW w:w="5828" w:type="dxa"/>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评价要点：①预算编制是否经过科学论证；②预算内容与项目内容是否匹配；③预算额度测算依据是否充分，是否按照标准编制；④预算确定的项目投资额或资金量是否与工作任务相匹配。</w:t>
            </w:r>
          </w:p>
        </w:tc>
        <w:tc>
          <w:tcPr>
            <w:tcW w:w="5607" w:type="dxa"/>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left"/>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b w:val="0"/>
                <w:bCs w:val="0"/>
                <w:color w:val="auto"/>
                <w:kern w:val="0"/>
                <w:sz w:val="21"/>
                <w:szCs w:val="21"/>
                <w:highlight w:val="none"/>
                <w:vertAlign w:val="baseline"/>
                <w:lang w:val="en-US" w:eastAsia="zh-CN"/>
              </w:rPr>
              <w:t>评价小组查阅2022年食品药械化妆品监管及治理餐桌污染专项资金使用相关材料以及年初项目预算，该项目预算编制较为科学。</w:t>
            </w:r>
          </w:p>
        </w:tc>
        <w:tc>
          <w:tcPr>
            <w:tcW w:w="617" w:type="dxa"/>
            <w:vAlign w:val="center"/>
          </w:tcPr>
          <w:p>
            <w:pPr>
              <w:keepNext w:val="0"/>
              <w:keepLines w:val="0"/>
              <w:widowControl/>
              <w:suppressLineNumbers w:val="0"/>
              <w:jc w:val="center"/>
              <w:textAlignment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u w:val="none"/>
                <w:lang w:val="en-US" w:eastAsia="zh-CN" w:bidi="ar"/>
              </w:rPr>
              <w:t>2</w:t>
            </w:r>
          </w:p>
        </w:tc>
        <w:tc>
          <w:tcPr>
            <w:tcW w:w="820" w:type="dxa"/>
            <w:vAlign w:val="center"/>
          </w:tcPr>
          <w:p>
            <w:pPr>
              <w:keepNext w:val="0"/>
              <w:keepLines w:val="0"/>
              <w:widowControl/>
              <w:suppressLineNumbers w:val="0"/>
              <w:jc w:val="center"/>
              <w:textAlignment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u w:val="none"/>
                <w:lang w:val="en-US" w:eastAsia="zh-CN" w:bidi="a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5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81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1132" w:type="dxa"/>
            <w:vAlign w:val="center"/>
          </w:tcPr>
          <w:p>
            <w:pPr>
              <w:keepNext w:val="0"/>
              <w:keepLines w:val="0"/>
              <w:pageBreakBefore w:val="0"/>
              <w:widowControl/>
              <w:suppressLineNumbers w:val="0"/>
              <w:kinsoku/>
              <w:wordWrap/>
              <w:overflowPunct/>
              <w:topLinePunct w:val="0"/>
              <w:autoSpaceDE/>
              <w:autoSpaceDN/>
              <w:bidi w:val="0"/>
              <w:adjustRightInd/>
              <w:snapToGrid/>
              <w:jc w:val="center"/>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资金分配合理性</w:t>
            </w:r>
          </w:p>
        </w:tc>
        <w:tc>
          <w:tcPr>
            <w:tcW w:w="5828" w:type="dxa"/>
            <w:vAlign w:val="center"/>
          </w:tcPr>
          <w:p>
            <w:pPr>
              <w:keepNext w:val="0"/>
              <w:keepLines w:val="0"/>
              <w:pageBreakBefore w:val="0"/>
              <w:widowControl/>
              <w:suppressLineNumbers w:val="0"/>
              <w:kinsoku/>
              <w:wordWrap/>
              <w:overflowPunct/>
              <w:topLinePunct w:val="0"/>
              <w:autoSpaceDE/>
              <w:autoSpaceDN/>
              <w:bidi w:val="0"/>
              <w:adjustRightInd/>
              <w:snapToGrid/>
              <w:jc w:val="left"/>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评价要点：①预算资金依据是否充分；②资金分配额度是否合理，与项目单位或地方实际是否相适应，每一项不符合扣1.5分。</w:t>
            </w:r>
          </w:p>
        </w:tc>
        <w:tc>
          <w:tcPr>
            <w:tcW w:w="5607" w:type="dxa"/>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left"/>
              <w:textAlignment w:val="auto"/>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评价小组通过对项目实施方案、计划、预算批复等档案资料的查阅及现场座谈调查等，认为本项目预算资金分配依据充分，资金分配额度合理，得满分。</w:t>
            </w:r>
          </w:p>
        </w:tc>
        <w:tc>
          <w:tcPr>
            <w:tcW w:w="617" w:type="dxa"/>
            <w:vAlign w:val="center"/>
          </w:tcPr>
          <w:p>
            <w:pPr>
              <w:keepNext w:val="0"/>
              <w:keepLines w:val="0"/>
              <w:widowControl/>
              <w:suppressLineNumbers w:val="0"/>
              <w:jc w:val="center"/>
              <w:textAlignment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u w:val="none"/>
                <w:lang w:val="en-US" w:eastAsia="zh-CN" w:bidi="ar"/>
              </w:rPr>
              <w:t>3</w:t>
            </w:r>
          </w:p>
        </w:tc>
        <w:tc>
          <w:tcPr>
            <w:tcW w:w="820" w:type="dxa"/>
            <w:vAlign w:val="center"/>
          </w:tcPr>
          <w:p>
            <w:pPr>
              <w:keepNext w:val="0"/>
              <w:keepLines w:val="0"/>
              <w:widowControl/>
              <w:suppressLineNumbers w:val="0"/>
              <w:jc w:val="center"/>
              <w:textAlignment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vMerge w:val="restart"/>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过程(20%)</w:t>
            </w:r>
          </w:p>
        </w:tc>
        <w:tc>
          <w:tcPr>
            <w:tcW w:w="816" w:type="dxa"/>
            <w:vMerge w:val="restart"/>
            <w:vAlign w:val="center"/>
          </w:tcPr>
          <w:p>
            <w:pPr>
              <w:keepNext w:val="0"/>
              <w:keepLines w:val="0"/>
              <w:widowControl/>
              <w:suppressLineNumbers w:val="0"/>
              <w:jc w:val="center"/>
              <w:textAlignment w:val="center"/>
              <w:rPr>
                <w:rFonts w:hint="default"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资金管理(8%)</w:t>
            </w:r>
          </w:p>
        </w:tc>
        <w:tc>
          <w:tcPr>
            <w:tcW w:w="113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资金到位率</w:t>
            </w:r>
          </w:p>
        </w:tc>
        <w:tc>
          <w:tcPr>
            <w:tcW w:w="5828" w:type="dxa"/>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资金到位率=（实际到位资金/预算资金）×100%。实际到位资金：一定时期（本年度或项目期）内落实到具体项目的资金。预算资金：一定时期（本年度或项目期）内预算安排到具体项目的资金。</w:t>
            </w:r>
          </w:p>
        </w:tc>
        <w:tc>
          <w:tcPr>
            <w:tcW w:w="5607" w:type="dxa"/>
            <w:vAlign w:val="center"/>
          </w:tcPr>
          <w:p>
            <w:pPr>
              <w:keepNext w:val="0"/>
              <w:keepLines w:val="0"/>
              <w:widowControl/>
              <w:suppressLineNumbers w:val="0"/>
              <w:jc w:val="left"/>
              <w:textAlignment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资金到位率=6,500,000/6,500,000=100%</w:t>
            </w:r>
          </w:p>
        </w:tc>
        <w:tc>
          <w:tcPr>
            <w:tcW w:w="617"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c>
          <w:tcPr>
            <w:tcW w:w="8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4" w:hRule="atLeast"/>
        </w:trPr>
        <w:tc>
          <w:tcPr>
            <w:tcW w:w="75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816" w:type="dxa"/>
            <w:vMerge w:val="continue"/>
            <w:vAlign w:val="center"/>
          </w:tcPr>
          <w:p>
            <w:pPr>
              <w:keepNext w:val="0"/>
              <w:keepLines w:val="0"/>
              <w:widowControl/>
              <w:suppressLineNumbers w:val="0"/>
              <w:jc w:val="center"/>
              <w:textAlignment w:val="center"/>
              <w:rPr>
                <w:rFonts w:hint="eastAsia" w:ascii="仿宋" w:hAnsi="仿宋" w:eastAsia="仿宋" w:cs="仿宋"/>
                <w:sz w:val="21"/>
                <w:szCs w:val="21"/>
                <w:highlight w:val="none"/>
                <w:vertAlign w:val="baseline"/>
                <w:lang w:val="en-US" w:eastAsia="zh-CN"/>
              </w:rPr>
            </w:pPr>
          </w:p>
        </w:tc>
        <w:tc>
          <w:tcPr>
            <w:tcW w:w="113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预算执行率</w:t>
            </w:r>
          </w:p>
        </w:tc>
        <w:tc>
          <w:tcPr>
            <w:tcW w:w="5828" w:type="dxa"/>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预算执行率=（实际支出资金/实际到位资金）×100%。实际支出资金：一定时期（本年度或项目期）内项目实际拨付的资金。</w:t>
            </w:r>
          </w:p>
        </w:tc>
        <w:tc>
          <w:tcPr>
            <w:tcW w:w="5607" w:type="dxa"/>
            <w:vAlign w:val="center"/>
          </w:tcPr>
          <w:p>
            <w:pPr>
              <w:keepNext w:val="0"/>
              <w:keepLines w:val="0"/>
              <w:widowControl/>
              <w:suppressLineNumbers w:val="0"/>
              <w:jc w:val="left"/>
              <w:textAlignment w:val="center"/>
              <w:rPr>
                <w:rFonts w:hint="default" w:ascii="仿宋" w:hAnsi="仿宋" w:eastAsia="仿宋" w:cs="仿宋"/>
                <w:sz w:val="21"/>
                <w:szCs w:val="21"/>
                <w:highlight w:val="none"/>
                <w:vertAlign w:val="baseline"/>
                <w:lang w:val="en-US" w:eastAsia="zh-CN"/>
              </w:rPr>
            </w:pPr>
            <w:r>
              <w:rPr>
                <w:rStyle w:val="16"/>
                <w:rFonts w:hint="eastAsia" w:ascii="仿宋" w:hAnsi="仿宋" w:eastAsia="仿宋" w:cs="仿宋"/>
                <w:sz w:val="21"/>
                <w:szCs w:val="21"/>
                <w:highlight w:val="none"/>
                <w:lang w:val="en-US" w:eastAsia="zh-CN" w:bidi="ar"/>
              </w:rPr>
              <w:t>评价小组查阅支付明细，食品药品安全网格化监管队伍建设经费当年度支出189.2812万元，食品药械化妆品监管及治理餐桌污染专项经费当年度支出368.2277万元,合计当年度预算执行总额=189.2812+368.2277=557.5089万元；预算资金执行率=557.5088/650=85.77%；指标得分=85.77%</w:t>
            </w:r>
            <w:r>
              <w:rPr>
                <w:rStyle w:val="17"/>
                <w:rFonts w:hint="eastAsia" w:ascii="仿宋" w:hAnsi="仿宋" w:eastAsia="仿宋" w:cs="仿宋"/>
                <w:sz w:val="21"/>
                <w:szCs w:val="21"/>
                <w:highlight w:val="none"/>
                <w:lang w:val="en-US" w:eastAsia="zh-CN" w:bidi="ar"/>
              </w:rPr>
              <w:t>×</w:t>
            </w:r>
            <w:r>
              <w:rPr>
                <w:rStyle w:val="16"/>
                <w:rFonts w:hint="eastAsia" w:ascii="仿宋" w:hAnsi="仿宋" w:eastAsia="仿宋" w:cs="仿宋"/>
                <w:sz w:val="21"/>
                <w:szCs w:val="21"/>
                <w:highlight w:val="none"/>
                <w:lang w:val="en-US" w:eastAsia="zh-CN" w:bidi="ar"/>
              </w:rPr>
              <w:t>4=3.43，该指标得3.43分。</w:t>
            </w:r>
          </w:p>
        </w:tc>
        <w:tc>
          <w:tcPr>
            <w:tcW w:w="617"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8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 w:hRule="atLeast"/>
        </w:trPr>
        <w:tc>
          <w:tcPr>
            <w:tcW w:w="75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816" w:type="dxa"/>
            <w:vAlign w:val="center"/>
          </w:tcPr>
          <w:p>
            <w:pPr>
              <w:keepNext w:val="0"/>
              <w:keepLines w:val="0"/>
              <w:widowControl/>
              <w:suppressLineNumbers w:val="0"/>
              <w:jc w:val="center"/>
              <w:textAlignment w:val="center"/>
              <w:rPr>
                <w:rFonts w:hint="default" w:ascii="仿宋" w:hAnsi="仿宋" w:eastAsia="仿宋" w:cs="仿宋"/>
                <w:kern w:val="2"/>
                <w:sz w:val="21"/>
                <w:szCs w:val="21"/>
                <w:highlight w:val="none"/>
                <w:vertAlign w:val="baseline"/>
                <w:lang w:val="en-US" w:eastAsia="zh-CN" w:bidi="ar-SA"/>
              </w:rPr>
            </w:pPr>
            <w:r>
              <w:rPr>
                <w:rFonts w:hint="eastAsia" w:ascii="仿宋" w:hAnsi="仿宋" w:eastAsia="仿宋" w:cs="仿宋"/>
                <w:i w:val="0"/>
                <w:iCs w:val="0"/>
                <w:color w:val="000000"/>
                <w:kern w:val="0"/>
                <w:sz w:val="21"/>
                <w:szCs w:val="21"/>
                <w:highlight w:val="none"/>
                <w:u w:val="none"/>
                <w:lang w:val="en-US" w:eastAsia="zh-CN" w:bidi="ar"/>
              </w:rPr>
              <w:t>资金管理(4%)</w:t>
            </w:r>
          </w:p>
        </w:tc>
        <w:tc>
          <w:tcPr>
            <w:tcW w:w="113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资金使用合规性</w:t>
            </w:r>
          </w:p>
        </w:tc>
        <w:tc>
          <w:tcPr>
            <w:tcW w:w="5828" w:type="dxa"/>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评价要点：①是否符合国家财经法规和财务管理制度以及有关专项资金管理办法的规定；②资金的拨付是否有完整的审批程序和手续；③是否符合项目预算批复或合同规定的用途；④是否存在截留、挤占、挪用、虚列支出等情况。</w:t>
            </w:r>
          </w:p>
        </w:tc>
        <w:tc>
          <w:tcPr>
            <w:tcW w:w="5607" w:type="dxa"/>
            <w:vAlign w:val="center"/>
          </w:tcPr>
          <w:p>
            <w:pPr>
              <w:keepNext w:val="0"/>
              <w:keepLines w:val="0"/>
              <w:widowControl/>
              <w:suppressLineNumbers w:val="0"/>
              <w:jc w:val="left"/>
              <w:textAlignment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评价小组在评价过程中未发现资金使用不合规情况。</w:t>
            </w:r>
          </w:p>
        </w:tc>
        <w:tc>
          <w:tcPr>
            <w:tcW w:w="617"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8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trPr>
        <w:tc>
          <w:tcPr>
            <w:tcW w:w="75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816" w:type="dxa"/>
            <w:vMerge w:val="restart"/>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组织实施(8%)</w:t>
            </w:r>
          </w:p>
        </w:tc>
        <w:tc>
          <w:tcPr>
            <w:tcW w:w="113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管理制度健全性</w:t>
            </w:r>
          </w:p>
        </w:tc>
        <w:tc>
          <w:tcPr>
            <w:tcW w:w="5828" w:type="dxa"/>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评价要点：①是否已制定或具有相应的财务和业务管理制度；②财务和业务管理制度是否合法、合规、完整。</w:t>
            </w:r>
          </w:p>
        </w:tc>
        <w:tc>
          <w:tcPr>
            <w:tcW w:w="5607" w:type="dxa"/>
            <w:vAlign w:val="center"/>
          </w:tcPr>
          <w:p>
            <w:pPr>
              <w:keepNext w:val="0"/>
              <w:keepLines w:val="0"/>
              <w:widowControl/>
              <w:suppressLineNumbers w:val="0"/>
              <w:jc w:val="left"/>
              <w:textAlignment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本项目已制定相应的财务和业务管理制度，并且合法、合规完整。</w:t>
            </w:r>
          </w:p>
        </w:tc>
        <w:tc>
          <w:tcPr>
            <w:tcW w:w="617"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8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6" w:hRule="atLeast"/>
        </w:trPr>
        <w:tc>
          <w:tcPr>
            <w:tcW w:w="75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81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113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制度执行有效性</w:t>
            </w:r>
          </w:p>
        </w:tc>
        <w:tc>
          <w:tcPr>
            <w:tcW w:w="5828" w:type="dxa"/>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评价要点：①是否遵守相关法律法规和相关管理规定；②项目调整及支出调整手续是否完备；③项目合同书、验收报告、技术鉴定等资料是否齐全并及时归档；④项目实施的人员条件、场地设备、信息支撑等是否落实到位。</w:t>
            </w:r>
          </w:p>
        </w:tc>
        <w:tc>
          <w:tcPr>
            <w:tcW w:w="5607" w:type="dxa"/>
            <w:vAlign w:val="center"/>
          </w:tcPr>
          <w:p>
            <w:pPr>
              <w:keepNext w:val="0"/>
              <w:keepLines w:val="0"/>
              <w:widowControl/>
              <w:suppressLineNumbers w:val="0"/>
              <w:jc w:val="left"/>
              <w:textAlignment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本项目遵守相关法律法规和管理规定，项目合同书、检测结果、结算单等资料齐全，但评价小组在收集资料过程中，有些资料未存档，需翻阅财务记账凭证种原始凭证，扣除相应分数1分，该指标得3分。</w:t>
            </w:r>
          </w:p>
        </w:tc>
        <w:tc>
          <w:tcPr>
            <w:tcW w:w="617"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4</w:t>
            </w:r>
          </w:p>
        </w:tc>
        <w:tc>
          <w:tcPr>
            <w:tcW w:w="8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vMerge w:val="restart"/>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both"/>
              <w:textAlignment w:val="auto"/>
              <w:rPr>
                <w:rFonts w:hint="eastAsia" w:ascii="仿宋" w:hAnsi="仿宋" w:eastAsia="仿宋" w:cs="仿宋"/>
                <w:sz w:val="21"/>
                <w:szCs w:val="21"/>
                <w:highlight w:val="none"/>
                <w:vertAlign w:val="baseline"/>
                <w:lang w:val="en-US" w:eastAsia="zh-CN"/>
              </w:rPr>
            </w:pPr>
          </w:p>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产出(41%)</w:t>
            </w:r>
          </w:p>
        </w:tc>
        <w:tc>
          <w:tcPr>
            <w:tcW w:w="816" w:type="dxa"/>
            <w:vMerge w:val="restart"/>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both"/>
              <w:textAlignment w:val="auto"/>
              <w:rPr>
                <w:rFonts w:hint="eastAsia" w:ascii="仿宋" w:hAnsi="仿宋" w:eastAsia="仿宋" w:cs="仿宋"/>
                <w:sz w:val="21"/>
                <w:szCs w:val="21"/>
                <w:highlight w:val="none"/>
                <w:vertAlign w:val="baseline"/>
                <w:lang w:val="en-US" w:eastAsia="zh-CN"/>
              </w:rPr>
            </w:pPr>
          </w:p>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产出数量(21%)</w:t>
            </w:r>
          </w:p>
        </w:tc>
        <w:tc>
          <w:tcPr>
            <w:tcW w:w="1132" w:type="dxa"/>
            <w:vMerge w:val="restar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药械化妆品不良反应/事件报告</w:t>
            </w:r>
          </w:p>
        </w:tc>
        <w:tc>
          <w:tcPr>
            <w:tcW w:w="5828" w:type="dxa"/>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药品总报告数达到398份，达到目标值得满分，未达到目标值，指标得分=实际完成值/目标值×指标分值。</w:t>
            </w:r>
          </w:p>
        </w:tc>
        <w:tc>
          <w:tcPr>
            <w:tcW w:w="5607" w:type="dxa"/>
            <w:vAlign w:val="center"/>
          </w:tcPr>
          <w:p>
            <w:pPr>
              <w:keepNext w:val="0"/>
              <w:keepLines w:val="0"/>
              <w:widowControl/>
              <w:suppressLineNumbers w:val="0"/>
              <w:jc w:val="left"/>
              <w:textAlignment w:val="center"/>
              <w:rPr>
                <w:rFonts w:hint="default"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评价小组查阅2021年石狮市医疗机构药械化不良反应/事件报告情况表，2021年目标任务398份，已完成414份，总数量上已完成年初预定目标，但其中子英医院、永宁镇卫生院并未完成年初任务目标，指标得分=已完成任务单位数/总单位数</w:t>
            </w:r>
            <w:r>
              <w:rPr>
                <w:rFonts w:hint="default" w:ascii="仿宋" w:hAnsi="仿宋" w:eastAsia="仿宋" w:cs="仿宋"/>
                <w:i w:val="0"/>
                <w:iCs w:val="0"/>
                <w:color w:val="000000"/>
                <w:kern w:val="0"/>
                <w:sz w:val="21"/>
                <w:szCs w:val="21"/>
                <w:highlight w:val="none"/>
                <w:u w:val="none"/>
                <w:lang w:val="en-US" w:eastAsia="zh-CN" w:bidi="ar"/>
              </w:rPr>
              <w:t>×</w:t>
            </w:r>
            <w:r>
              <w:rPr>
                <w:rFonts w:hint="eastAsia" w:ascii="仿宋" w:hAnsi="仿宋" w:eastAsia="仿宋" w:cs="仿宋"/>
                <w:i w:val="0"/>
                <w:iCs w:val="0"/>
                <w:color w:val="000000"/>
                <w:kern w:val="0"/>
                <w:sz w:val="21"/>
                <w:szCs w:val="21"/>
                <w:highlight w:val="none"/>
                <w:u w:val="none"/>
                <w:lang w:val="en-US" w:eastAsia="zh-CN" w:bidi="ar"/>
              </w:rPr>
              <w:t>指标分值=10/12</w:t>
            </w:r>
            <w:r>
              <w:rPr>
                <w:rFonts w:hint="default" w:ascii="仿宋" w:hAnsi="仿宋" w:eastAsia="仿宋" w:cs="仿宋"/>
                <w:i w:val="0"/>
                <w:iCs w:val="0"/>
                <w:color w:val="000000"/>
                <w:kern w:val="0"/>
                <w:sz w:val="21"/>
                <w:szCs w:val="21"/>
                <w:highlight w:val="none"/>
                <w:u w:val="none"/>
                <w:lang w:val="en-US" w:eastAsia="zh-CN" w:bidi="ar"/>
              </w:rPr>
              <w:t>×</w:t>
            </w:r>
            <w:r>
              <w:rPr>
                <w:rFonts w:hint="eastAsia" w:ascii="仿宋" w:hAnsi="仿宋" w:eastAsia="仿宋" w:cs="仿宋"/>
                <w:i w:val="0"/>
                <w:iCs w:val="0"/>
                <w:color w:val="000000"/>
                <w:kern w:val="0"/>
                <w:sz w:val="21"/>
                <w:szCs w:val="21"/>
                <w:highlight w:val="none"/>
                <w:u w:val="none"/>
                <w:lang w:val="en-US" w:eastAsia="zh-CN" w:bidi="ar"/>
              </w:rPr>
              <w:t>3=2.5，该指标得2.5分。</w:t>
            </w:r>
          </w:p>
        </w:tc>
        <w:tc>
          <w:tcPr>
            <w:tcW w:w="617"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c>
          <w:tcPr>
            <w:tcW w:w="8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81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1132" w:type="dxa"/>
            <w:vMerge w:val="continue"/>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p>
        </w:tc>
        <w:tc>
          <w:tcPr>
            <w:tcW w:w="5828" w:type="dxa"/>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医疗器械总报告数达到102份，达到目标值得满分，未达到目标值，指标得分=实际完成值/目标值×指标分值。</w:t>
            </w:r>
          </w:p>
        </w:tc>
        <w:tc>
          <w:tcPr>
            <w:tcW w:w="5607" w:type="dxa"/>
            <w:vAlign w:val="center"/>
          </w:tcPr>
          <w:p>
            <w:pPr>
              <w:keepNext w:val="0"/>
              <w:keepLines w:val="0"/>
              <w:widowControl/>
              <w:suppressLineNumbers w:val="0"/>
              <w:jc w:val="left"/>
              <w:textAlignment w:val="center"/>
              <w:rPr>
                <w:rFonts w:hint="default"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评价小组查阅2021年石狮市医疗机构药械化不良反应/事件报告情况表，2021年目标任务102份，已完成122份，已完成年初目标任务，得满分。</w:t>
            </w:r>
          </w:p>
        </w:tc>
        <w:tc>
          <w:tcPr>
            <w:tcW w:w="617"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c>
          <w:tcPr>
            <w:tcW w:w="8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trPr>
        <w:tc>
          <w:tcPr>
            <w:tcW w:w="75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81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1132" w:type="dxa"/>
            <w:vMerge w:val="continue"/>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p>
        </w:tc>
        <w:tc>
          <w:tcPr>
            <w:tcW w:w="5828" w:type="dxa"/>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化妆品总报告数达到55份，达到目标值得满分，未达到目标值，指标得分=实际完成值/目标值×指标分值。</w:t>
            </w:r>
          </w:p>
        </w:tc>
        <w:tc>
          <w:tcPr>
            <w:tcW w:w="5607" w:type="dxa"/>
            <w:vAlign w:val="center"/>
          </w:tcPr>
          <w:p>
            <w:pPr>
              <w:keepNext w:val="0"/>
              <w:keepLines w:val="0"/>
              <w:widowControl/>
              <w:suppressLineNumbers w:val="0"/>
              <w:jc w:val="left"/>
              <w:textAlignment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评价小组查阅2021年石狮市医疗机构药械化不良反应/事件报告情况表，2021年目标任务55份，已完成63份，已完成年初目标任务，得满分。</w:t>
            </w:r>
          </w:p>
        </w:tc>
        <w:tc>
          <w:tcPr>
            <w:tcW w:w="617"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c>
          <w:tcPr>
            <w:tcW w:w="8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7" w:hRule="atLeast"/>
        </w:trPr>
        <w:tc>
          <w:tcPr>
            <w:tcW w:w="75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81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113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食品安全风险抽检</w:t>
            </w:r>
          </w:p>
        </w:tc>
        <w:tc>
          <w:tcPr>
            <w:tcW w:w="5828" w:type="dxa"/>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食品安全风险抽检150批次得满分，达到目标值得满分，未达到目标值，指标得分=实际完成值/目标值×指标分值。</w:t>
            </w:r>
          </w:p>
        </w:tc>
        <w:tc>
          <w:tcPr>
            <w:tcW w:w="5607" w:type="dxa"/>
            <w:vAlign w:val="center"/>
          </w:tcPr>
          <w:p>
            <w:pPr>
              <w:keepNext w:val="0"/>
              <w:keepLines w:val="0"/>
              <w:widowControl/>
              <w:suppressLineNumbers w:val="0"/>
              <w:jc w:val="left"/>
              <w:textAlignment w:val="center"/>
              <w:rPr>
                <w:rFonts w:hint="default"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食品安全风险抽检分为监督抽检和风险监测两类，县级部门以开展监督抽检为主，2022年度完成食品安全抽检3160批次，远远超过年初目标，得满分。</w:t>
            </w:r>
          </w:p>
        </w:tc>
        <w:tc>
          <w:tcPr>
            <w:tcW w:w="617"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c>
          <w:tcPr>
            <w:tcW w:w="820"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rPr>
        <w:tc>
          <w:tcPr>
            <w:tcW w:w="75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81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1132" w:type="dxa"/>
            <w:vMerge w:val="restar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监督抽检批次</w:t>
            </w:r>
          </w:p>
        </w:tc>
        <w:tc>
          <w:tcPr>
            <w:tcW w:w="5828" w:type="dxa"/>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农产品监督抽检700批次得满分，否则，每不足100批次，扣1分，扣完为止。</w:t>
            </w:r>
          </w:p>
        </w:tc>
        <w:tc>
          <w:tcPr>
            <w:tcW w:w="5607" w:type="dxa"/>
            <w:vAlign w:val="center"/>
          </w:tcPr>
          <w:p>
            <w:pPr>
              <w:keepNext w:val="0"/>
              <w:keepLines w:val="0"/>
              <w:widowControl/>
              <w:suppressLineNumbers w:val="0"/>
              <w:jc w:val="left"/>
              <w:textAlignment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农产品监督抽检批次已达到700批次，得满分。</w:t>
            </w:r>
          </w:p>
        </w:tc>
        <w:tc>
          <w:tcPr>
            <w:tcW w:w="617"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c>
          <w:tcPr>
            <w:tcW w:w="820"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5" w:hRule="atLeast"/>
        </w:trPr>
        <w:tc>
          <w:tcPr>
            <w:tcW w:w="75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81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1132" w:type="dxa"/>
            <w:vMerge w:val="continue"/>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p>
        </w:tc>
        <w:tc>
          <w:tcPr>
            <w:tcW w:w="5828" w:type="dxa"/>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普通食品监督抽检2000批次得满分，否则，每不足100批次，扣1分，扣完为止。</w:t>
            </w:r>
          </w:p>
        </w:tc>
        <w:tc>
          <w:tcPr>
            <w:tcW w:w="5607" w:type="dxa"/>
            <w:vAlign w:val="center"/>
          </w:tcPr>
          <w:p>
            <w:pPr>
              <w:keepNext w:val="0"/>
              <w:keepLines w:val="0"/>
              <w:widowControl/>
              <w:suppressLineNumbers w:val="0"/>
              <w:jc w:val="left"/>
              <w:textAlignment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评价小组查阅当年度普通食品监督抽检结果，其中2022年餐饮、网抽环节共抽检900批次；2022年食品监督抽检生产、流通环节共1004批次；日常零散抽检522批次；当年度普通食品监督抽检总次数=1004+900+522=2426批次，超过年初目标任务值，得满分。</w:t>
            </w:r>
          </w:p>
        </w:tc>
        <w:tc>
          <w:tcPr>
            <w:tcW w:w="617"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c>
          <w:tcPr>
            <w:tcW w:w="8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75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81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1132" w:type="dxa"/>
            <w:vMerge w:val="continue"/>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p>
        </w:tc>
        <w:tc>
          <w:tcPr>
            <w:tcW w:w="5828" w:type="dxa"/>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食品快速检测6480批次得满分，否则，每不足100批次，扣1分，扣完为止。</w:t>
            </w:r>
          </w:p>
        </w:tc>
        <w:tc>
          <w:tcPr>
            <w:tcW w:w="5607" w:type="dxa"/>
            <w:vAlign w:val="center"/>
          </w:tcPr>
          <w:p>
            <w:pPr>
              <w:keepNext w:val="0"/>
              <w:keepLines w:val="0"/>
              <w:widowControl/>
              <w:suppressLineNumbers w:val="0"/>
              <w:jc w:val="left"/>
              <w:textAlignment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当年度食品快速检测共7356批次；超过年初预定目标，得满分。</w:t>
            </w:r>
          </w:p>
        </w:tc>
        <w:tc>
          <w:tcPr>
            <w:tcW w:w="617"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c>
          <w:tcPr>
            <w:tcW w:w="8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5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816" w:type="dxa"/>
            <w:vMerge w:val="restart"/>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both"/>
              <w:textAlignment w:val="auto"/>
              <w:rPr>
                <w:rFonts w:hint="eastAsia" w:ascii="仿宋" w:hAnsi="仿宋" w:eastAsia="仿宋" w:cs="仿宋"/>
                <w:sz w:val="21"/>
                <w:szCs w:val="21"/>
                <w:highlight w:val="none"/>
                <w:vertAlign w:val="baseline"/>
                <w:lang w:val="en-US" w:eastAsia="zh-CN"/>
              </w:rPr>
            </w:pPr>
          </w:p>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p>
            <w:pPr>
              <w:rPr>
                <w:rFonts w:hint="eastAsia" w:ascii="仿宋" w:hAnsi="仿宋" w:eastAsia="仿宋" w:cs="仿宋"/>
                <w:sz w:val="21"/>
                <w:szCs w:val="21"/>
                <w:highlight w:val="none"/>
                <w:vertAlign w:val="baseline"/>
                <w:lang w:val="en-US" w:eastAsia="zh-CN"/>
              </w:rPr>
            </w:pPr>
          </w:p>
          <w:p>
            <w:pPr>
              <w:pStyle w:val="2"/>
              <w:rPr>
                <w:rFonts w:hint="eastAsia" w:ascii="仿宋" w:hAnsi="仿宋" w:eastAsia="仿宋" w:cs="仿宋"/>
                <w:sz w:val="21"/>
                <w:szCs w:val="21"/>
                <w:highlight w:val="none"/>
                <w:vertAlign w:val="baseline"/>
                <w:lang w:val="en-US" w:eastAsia="zh-CN"/>
              </w:rPr>
            </w:pPr>
          </w:p>
          <w:p>
            <w:pPr>
              <w:rPr>
                <w:rFonts w:hint="eastAsia" w:ascii="仿宋" w:hAnsi="仿宋" w:eastAsia="仿宋" w:cs="仿宋"/>
                <w:sz w:val="21"/>
                <w:szCs w:val="21"/>
                <w:highlight w:val="none"/>
                <w:vertAlign w:val="baseline"/>
                <w:lang w:val="en-US" w:eastAsia="zh-CN"/>
              </w:rPr>
            </w:pPr>
          </w:p>
          <w:p>
            <w:pPr>
              <w:pStyle w:val="2"/>
              <w:rPr>
                <w:rFonts w:hint="eastAsia"/>
                <w:sz w:val="21"/>
                <w:szCs w:val="21"/>
                <w:highlight w:val="none"/>
                <w:lang w:val="en-US" w:eastAsia="zh-CN"/>
              </w:rPr>
            </w:pPr>
          </w:p>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产出质量(16%)</w:t>
            </w:r>
          </w:p>
        </w:tc>
        <w:tc>
          <w:tcPr>
            <w:tcW w:w="113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不合格食品风险控制核查处置情况</w:t>
            </w:r>
          </w:p>
        </w:tc>
        <w:tc>
          <w:tcPr>
            <w:tcW w:w="5828" w:type="dxa"/>
            <w:vAlign w:val="center"/>
          </w:tcPr>
          <w:p>
            <w:pPr>
              <w:jc w:val="left"/>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不合格食品风险控制核查处置情况，本实现目标得满分；部分实现目标且具有一定效果得50%分数；实现目标程度较低不得分。</w:t>
            </w:r>
          </w:p>
        </w:tc>
        <w:tc>
          <w:tcPr>
            <w:tcW w:w="5607" w:type="dxa"/>
            <w:vAlign w:val="center"/>
          </w:tcPr>
          <w:p>
            <w:pPr>
              <w:jc w:val="left"/>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监督抽检发现的不合格食品，及时进行核查处置并对违法违规行为依法处罚，对企业后续整改进行跟踪，得满分。</w:t>
            </w:r>
          </w:p>
        </w:tc>
        <w:tc>
          <w:tcPr>
            <w:tcW w:w="617"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c>
          <w:tcPr>
            <w:tcW w:w="8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81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1132" w:type="dxa"/>
            <w:vMerge w:val="restar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食品安全抽检合格率</w:t>
            </w:r>
          </w:p>
        </w:tc>
        <w:tc>
          <w:tcPr>
            <w:tcW w:w="5828" w:type="dxa"/>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农产品监督抽检合格率，问题发现率不得低于2.7%得满分；否则，每不足0.5%，扣1分，扣完为止。</w:t>
            </w:r>
          </w:p>
        </w:tc>
        <w:tc>
          <w:tcPr>
            <w:tcW w:w="5607" w:type="dxa"/>
            <w:vAlign w:val="center"/>
          </w:tcPr>
          <w:p>
            <w:pPr>
              <w:keepNext w:val="0"/>
              <w:keepLines w:val="0"/>
              <w:widowControl/>
              <w:suppressLineNumbers w:val="0"/>
              <w:jc w:val="left"/>
              <w:textAlignment w:val="center"/>
              <w:rPr>
                <w:rFonts w:hint="default"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根据2022年食品安全使用农产品抽检结果明细表，当年农产品监督抽检共700批次，其中合格657批次，发现问题率=（700-657）×100%=6.14%，得满分。</w:t>
            </w:r>
          </w:p>
        </w:tc>
        <w:tc>
          <w:tcPr>
            <w:tcW w:w="617"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c>
          <w:tcPr>
            <w:tcW w:w="8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81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1132" w:type="dxa"/>
            <w:vMerge w:val="continue"/>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p>
        </w:tc>
        <w:tc>
          <w:tcPr>
            <w:tcW w:w="5828" w:type="dxa"/>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普通食品监督抽检合格率，检合格率≧98%得满分；否则，每不足5%，扣1分，扣完为止。</w:t>
            </w:r>
          </w:p>
        </w:tc>
        <w:tc>
          <w:tcPr>
            <w:tcW w:w="5607" w:type="dxa"/>
            <w:vAlign w:val="center"/>
          </w:tcPr>
          <w:p>
            <w:pPr>
              <w:keepNext w:val="0"/>
              <w:keepLines w:val="0"/>
              <w:widowControl/>
              <w:suppressLineNumbers w:val="0"/>
              <w:jc w:val="left"/>
              <w:textAlignment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评价小组查阅当年度普通食品监督抽检结果，其中2022年餐饮、网抽环节共抽检900批次，合格878批次；2022年食品监督抽检生产、流通环节共1004批次，合格999批次；各类专项抽检522批次，合格522批次；当年度普通食品监督抽检合格率=（878+999+522）/2426=98.89%</w:t>
            </w:r>
          </w:p>
        </w:tc>
        <w:tc>
          <w:tcPr>
            <w:tcW w:w="617"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c>
          <w:tcPr>
            <w:tcW w:w="8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81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1132" w:type="dxa"/>
            <w:vMerge w:val="continue"/>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p>
        </w:tc>
        <w:tc>
          <w:tcPr>
            <w:tcW w:w="5828" w:type="dxa"/>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食品快速检测合格率，检合格率≧98%得满分；否则，每不足5%，扣1分，扣完为止。</w:t>
            </w:r>
          </w:p>
        </w:tc>
        <w:tc>
          <w:tcPr>
            <w:tcW w:w="5607" w:type="dxa"/>
            <w:vAlign w:val="center"/>
          </w:tcPr>
          <w:p>
            <w:pPr>
              <w:keepNext w:val="0"/>
              <w:keepLines w:val="0"/>
              <w:widowControl/>
              <w:suppressLineNumbers w:val="0"/>
              <w:jc w:val="left"/>
              <w:textAlignment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根据2022年快检数据汇总表，当年度共完成快检7356批次，未出现不合格批次，即2022年食品快速检测合格率为100%，得满分。</w:t>
            </w:r>
          </w:p>
        </w:tc>
        <w:tc>
          <w:tcPr>
            <w:tcW w:w="617"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c>
          <w:tcPr>
            <w:tcW w:w="8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trPr>
        <w:tc>
          <w:tcPr>
            <w:tcW w:w="75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816" w:type="dxa"/>
            <w:vAlign w:val="center"/>
          </w:tcPr>
          <w:p>
            <w:pPr>
              <w:keepNext w:val="0"/>
              <w:keepLines w:val="0"/>
              <w:widowControl/>
              <w:suppressLineNumbers w:val="0"/>
              <w:jc w:val="center"/>
              <w:textAlignment w:val="center"/>
              <w:rPr>
                <w:rFonts w:hint="default"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产出时效(4%)</w:t>
            </w:r>
          </w:p>
        </w:tc>
        <w:tc>
          <w:tcPr>
            <w:tcW w:w="113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快速检测结果公示及时性</w:t>
            </w:r>
          </w:p>
        </w:tc>
        <w:tc>
          <w:tcPr>
            <w:tcW w:w="5828" w:type="dxa"/>
            <w:vAlign w:val="center"/>
          </w:tcPr>
          <w:p>
            <w:pPr>
              <w:jc w:val="left"/>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完成快检任务后，及时公布当日快检信息的情况，基本实现目标得满分；部分实现目标且具有一定效果得50%分数；实现目标程度较低不得分。</w:t>
            </w:r>
          </w:p>
        </w:tc>
        <w:tc>
          <w:tcPr>
            <w:tcW w:w="5607" w:type="dxa"/>
            <w:vAlign w:val="center"/>
          </w:tcPr>
          <w:p>
            <w:pPr>
              <w:keepNext w:val="0"/>
              <w:keepLines w:val="0"/>
              <w:widowControl/>
              <w:suppressLineNumbers w:val="0"/>
              <w:jc w:val="left"/>
              <w:textAlignment w:val="center"/>
              <w:rPr>
                <w:rFonts w:hint="eastAsia" w:ascii="仿宋" w:hAnsi="仿宋" w:eastAsia="仿宋" w:cs="仿宋"/>
                <w:i w:val="0"/>
                <w:iCs w:val="0"/>
                <w:color w:val="000000"/>
                <w:kern w:val="2"/>
                <w:sz w:val="21"/>
                <w:szCs w:val="21"/>
                <w:highlight w:val="none"/>
                <w:u w:val="none"/>
                <w:lang w:val="en-US" w:eastAsia="zh-CN" w:bidi="ar-SA"/>
              </w:rPr>
            </w:pPr>
            <w:r>
              <w:rPr>
                <w:rFonts w:hint="eastAsia" w:ascii="仿宋" w:hAnsi="仿宋" w:eastAsia="仿宋" w:cs="仿宋"/>
                <w:i w:val="0"/>
                <w:iCs w:val="0"/>
                <w:color w:val="000000"/>
                <w:kern w:val="2"/>
                <w:sz w:val="21"/>
                <w:szCs w:val="21"/>
                <w:highlight w:val="none"/>
                <w:u w:val="none"/>
                <w:lang w:val="en-US" w:eastAsia="zh-CN" w:bidi="ar-SA"/>
              </w:rPr>
              <w:t>在农贸市场、超市等显著位置设置快检信息公开栏，完成快检任务后，及时公布当日快检信息，同时在官方微信公众号等设置快检结果公示专栏公示快进信息，得满分。</w:t>
            </w:r>
          </w:p>
        </w:tc>
        <w:tc>
          <w:tcPr>
            <w:tcW w:w="617"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c>
          <w:tcPr>
            <w:tcW w:w="8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756" w:type="dxa"/>
            <w:vMerge w:val="restart"/>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效益(24%)</w:t>
            </w:r>
          </w:p>
        </w:tc>
        <w:tc>
          <w:tcPr>
            <w:tcW w:w="816" w:type="dxa"/>
            <w:vMerge w:val="restart"/>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both"/>
              <w:textAlignment w:val="auto"/>
              <w:rPr>
                <w:rFonts w:hint="eastAsia" w:ascii="仿宋" w:hAnsi="仿宋" w:eastAsia="仿宋" w:cs="仿宋"/>
                <w:sz w:val="21"/>
                <w:szCs w:val="21"/>
                <w:highlight w:val="none"/>
                <w:vertAlign w:val="baseline"/>
                <w:lang w:val="en-US" w:eastAsia="zh-CN"/>
              </w:rPr>
            </w:pPr>
          </w:p>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p>
            <w:pPr>
              <w:rPr>
                <w:rFonts w:hint="eastAsia" w:ascii="仿宋" w:hAnsi="仿宋" w:eastAsia="仿宋" w:cs="仿宋"/>
                <w:sz w:val="21"/>
                <w:szCs w:val="21"/>
                <w:highlight w:val="none"/>
                <w:vertAlign w:val="baseline"/>
                <w:lang w:val="en-US" w:eastAsia="zh-CN"/>
              </w:rPr>
            </w:pPr>
          </w:p>
          <w:p>
            <w:pPr>
              <w:pStyle w:val="2"/>
              <w:rPr>
                <w:rFonts w:hint="eastAsia" w:ascii="仿宋" w:hAnsi="仿宋" w:eastAsia="仿宋" w:cs="仿宋"/>
                <w:sz w:val="21"/>
                <w:szCs w:val="21"/>
                <w:highlight w:val="none"/>
                <w:vertAlign w:val="baseline"/>
                <w:lang w:val="en-US" w:eastAsia="zh-CN"/>
              </w:rPr>
            </w:pPr>
          </w:p>
          <w:p>
            <w:pPr>
              <w:rPr>
                <w:rFonts w:hint="eastAsia"/>
                <w:sz w:val="21"/>
                <w:szCs w:val="21"/>
                <w:highlight w:val="none"/>
                <w:lang w:val="en-US" w:eastAsia="zh-CN"/>
              </w:rPr>
            </w:pPr>
          </w:p>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社会效益(20%)</w:t>
            </w:r>
          </w:p>
        </w:tc>
        <w:tc>
          <w:tcPr>
            <w:tcW w:w="113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333333"/>
                <w:kern w:val="0"/>
                <w:sz w:val="21"/>
                <w:szCs w:val="21"/>
                <w:highlight w:val="none"/>
                <w:u w:val="none"/>
                <w:lang w:val="en-US" w:eastAsia="zh-CN" w:bidi="ar"/>
              </w:rPr>
              <w:t>未发生重大食品安全事故</w:t>
            </w:r>
          </w:p>
        </w:tc>
        <w:tc>
          <w:tcPr>
            <w:tcW w:w="5828" w:type="dxa"/>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当年度未发生重大食品安全事故得满分，否则不得分。</w:t>
            </w:r>
          </w:p>
        </w:tc>
        <w:tc>
          <w:tcPr>
            <w:tcW w:w="5607" w:type="dxa"/>
            <w:vAlign w:val="center"/>
          </w:tcPr>
          <w:p>
            <w:pPr>
              <w:keepNext w:val="0"/>
              <w:keepLines w:val="0"/>
              <w:widowControl/>
              <w:suppressLineNumbers w:val="0"/>
              <w:jc w:val="left"/>
              <w:textAlignment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当年度未发生重大食品安全事故，得满分。</w:t>
            </w:r>
          </w:p>
        </w:tc>
        <w:tc>
          <w:tcPr>
            <w:tcW w:w="617"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c>
          <w:tcPr>
            <w:tcW w:w="8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0" w:hRule="atLeast"/>
        </w:trPr>
        <w:tc>
          <w:tcPr>
            <w:tcW w:w="75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81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113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食品安全平台注册率</w:t>
            </w:r>
          </w:p>
        </w:tc>
        <w:tc>
          <w:tcPr>
            <w:tcW w:w="5828" w:type="dxa"/>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当年度福建省食品安全追溯平台注册率达到或超过100%得满分，每少1%扣0.1分，扣完为止。</w:t>
            </w:r>
          </w:p>
        </w:tc>
        <w:tc>
          <w:tcPr>
            <w:tcW w:w="5607" w:type="dxa"/>
            <w:vAlign w:val="center"/>
          </w:tcPr>
          <w:p>
            <w:pPr>
              <w:keepNext w:val="0"/>
              <w:keepLines w:val="0"/>
              <w:widowControl/>
              <w:suppressLineNumbers w:val="0"/>
              <w:jc w:val="left"/>
              <w:textAlignment w:val="center"/>
              <w:rPr>
                <w:rFonts w:hint="eastAsia"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评价小组查阅福建省市场监管智慧应用一体化平台的数据，截至2022年12月31日，食品安全追溯平台当年主体需注册1580家，已完成注册2990家，主体注册率达到189.24%，得满分。</w:t>
            </w:r>
          </w:p>
        </w:tc>
        <w:tc>
          <w:tcPr>
            <w:tcW w:w="617"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c>
          <w:tcPr>
            <w:tcW w:w="820"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75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81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113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食品安全质量改善</w:t>
            </w:r>
          </w:p>
        </w:tc>
        <w:tc>
          <w:tcPr>
            <w:tcW w:w="5828" w:type="dxa"/>
            <w:vAlign w:val="center"/>
          </w:tcPr>
          <w:p>
            <w:pPr>
              <w:keepNext w:val="0"/>
              <w:keepLines w:val="0"/>
              <w:widowControl/>
              <w:suppressLineNumbers w:val="0"/>
              <w:jc w:val="left"/>
              <w:textAlignment w:val="center"/>
              <w:rPr>
                <w:rFonts w:hint="default"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问卷第10题您认为本地餐饮业的安全性是否提高得分计算，问卷结果＜</w:t>
            </w:r>
            <w:r>
              <w:rPr>
                <w:rFonts w:hint="eastAsia" w:ascii="仿宋" w:hAnsi="仿宋" w:eastAsia="仿宋" w:cs="仿宋"/>
                <w:b w:val="0"/>
                <w:bCs w:val="0"/>
                <w:color w:val="auto"/>
                <w:kern w:val="0"/>
                <w:sz w:val="21"/>
                <w:szCs w:val="21"/>
                <w:highlight w:val="none"/>
                <w:vertAlign w:val="baseline"/>
                <w:lang w:val="en-US" w:eastAsia="zh-CN" w:bidi="ar-SA"/>
              </w:rPr>
              <w:t>60%为不及格，不得分；≥60%的，按超过的比重赋分，计算公式为：得分=（问卷结果-60%）/（1-60%）×指标分值。</w:t>
            </w:r>
          </w:p>
        </w:tc>
        <w:tc>
          <w:tcPr>
            <w:tcW w:w="5607" w:type="dxa"/>
            <w:vAlign w:val="center"/>
          </w:tcPr>
          <w:p>
            <w:pPr>
              <w:keepNext w:val="0"/>
              <w:keepLines w:val="0"/>
              <w:widowControl/>
              <w:suppressLineNumbers w:val="0"/>
              <w:jc w:val="left"/>
              <w:textAlignment w:val="center"/>
              <w:rPr>
                <w:rFonts w:hint="default"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根据问卷调查结果(总样本量1809份)第10题得分79.94（两份问卷数据平均分，总分100），该项指标得分=（79.94%-60%）/（1-60%）</w:t>
            </w:r>
            <w:r>
              <w:rPr>
                <w:rFonts w:hint="default" w:ascii="Arial" w:hAnsi="Arial" w:eastAsia="仿宋" w:cs="Arial"/>
                <w:i w:val="0"/>
                <w:iCs w:val="0"/>
                <w:color w:val="000000"/>
                <w:kern w:val="0"/>
                <w:sz w:val="21"/>
                <w:szCs w:val="21"/>
                <w:highlight w:val="none"/>
                <w:u w:val="none"/>
                <w:lang w:val="en-US" w:eastAsia="zh-CN" w:bidi="ar"/>
              </w:rPr>
              <w:t>×</w:t>
            </w:r>
            <w:r>
              <w:rPr>
                <w:rFonts w:hint="eastAsia" w:ascii="仿宋" w:hAnsi="仿宋" w:eastAsia="仿宋" w:cs="仿宋"/>
                <w:i w:val="0"/>
                <w:iCs w:val="0"/>
                <w:color w:val="000000"/>
                <w:kern w:val="0"/>
                <w:sz w:val="21"/>
                <w:szCs w:val="21"/>
                <w:highlight w:val="none"/>
                <w:u w:val="none"/>
                <w:lang w:val="en-US" w:eastAsia="zh-CN" w:bidi="ar"/>
              </w:rPr>
              <w:t>5=2.49，该指标得2.49分。</w:t>
            </w:r>
          </w:p>
        </w:tc>
        <w:tc>
          <w:tcPr>
            <w:tcW w:w="617"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c>
          <w:tcPr>
            <w:tcW w:w="820"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5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81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113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食品安全问题频率</w:t>
            </w:r>
          </w:p>
        </w:tc>
        <w:tc>
          <w:tcPr>
            <w:tcW w:w="5828" w:type="dxa"/>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问卷调查第11题今年遇到食品安全方面的问题频率得分计算（得分越高，遇到频率越低），问卷结果＜</w:t>
            </w:r>
            <w:r>
              <w:rPr>
                <w:rFonts w:hint="eastAsia" w:ascii="仿宋" w:hAnsi="仿宋" w:eastAsia="仿宋" w:cs="仿宋"/>
                <w:b w:val="0"/>
                <w:bCs w:val="0"/>
                <w:color w:val="auto"/>
                <w:kern w:val="0"/>
                <w:sz w:val="21"/>
                <w:szCs w:val="21"/>
                <w:highlight w:val="none"/>
                <w:vertAlign w:val="baseline"/>
                <w:lang w:val="en-US" w:eastAsia="zh-CN" w:bidi="ar-SA"/>
              </w:rPr>
              <w:t>60%为不及格，不得分；≥60%的，按超过的比重赋分，计算公式为：得分=（问卷结果-60%）/（1-60%）×指标分值。</w:t>
            </w:r>
          </w:p>
        </w:tc>
        <w:tc>
          <w:tcPr>
            <w:tcW w:w="5607" w:type="dxa"/>
            <w:vAlign w:val="center"/>
          </w:tcPr>
          <w:p>
            <w:pPr>
              <w:keepNext w:val="0"/>
              <w:keepLines w:val="0"/>
              <w:widowControl/>
              <w:suppressLineNumbers w:val="0"/>
              <w:jc w:val="left"/>
              <w:textAlignment w:val="center"/>
              <w:rPr>
                <w:rFonts w:hint="default"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根据问卷调查结果(总样本量1809份)第11题得分88.35（两份问卷数据平均分，总分100），该项指标得分=（88.35%-60%）/（1-60%）</w:t>
            </w:r>
            <w:r>
              <w:rPr>
                <w:rFonts w:hint="default" w:ascii="Arial" w:hAnsi="Arial" w:eastAsia="仿宋" w:cs="Arial"/>
                <w:i w:val="0"/>
                <w:iCs w:val="0"/>
                <w:color w:val="000000"/>
                <w:kern w:val="0"/>
                <w:sz w:val="21"/>
                <w:szCs w:val="21"/>
                <w:highlight w:val="none"/>
                <w:u w:val="none"/>
                <w:lang w:val="en-US" w:eastAsia="zh-CN" w:bidi="ar"/>
              </w:rPr>
              <w:t>×</w:t>
            </w:r>
            <w:r>
              <w:rPr>
                <w:rFonts w:hint="eastAsia" w:ascii="仿宋" w:hAnsi="仿宋" w:eastAsia="仿宋" w:cs="仿宋"/>
                <w:i w:val="0"/>
                <w:iCs w:val="0"/>
                <w:color w:val="000000"/>
                <w:kern w:val="0"/>
                <w:sz w:val="21"/>
                <w:szCs w:val="21"/>
                <w:highlight w:val="none"/>
                <w:u w:val="none"/>
                <w:lang w:val="en-US" w:eastAsia="zh-CN" w:bidi="ar"/>
              </w:rPr>
              <w:t>5=3.54，该指标得分3.54分。</w:t>
            </w:r>
          </w:p>
        </w:tc>
        <w:tc>
          <w:tcPr>
            <w:tcW w:w="617"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c>
          <w:tcPr>
            <w:tcW w:w="820"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3.54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81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113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食品安全知晓度</w:t>
            </w:r>
          </w:p>
        </w:tc>
        <w:tc>
          <w:tcPr>
            <w:tcW w:w="5828" w:type="dxa"/>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根据问卷调查二级指标食品安全宣传得分计算，问卷结果＜</w:t>
            </w:r>
            <w:r>
              <w:rPr>
                <w:rFonts w:hint="eastAsia" w:ascii="仿宋" w:hAnsi="仿宋" w:eastAsia="仿宋" w:cs="仿宋"/>
                <w:b w:val="0"/>
                <w:bCs w:val="0"/>
                <w:color w:val="auto"/>
                <w:kern w:val="0"/>
                <w:sz w:val="21"/>
                <w:szCs w:val="21"/>
                <w:highlight w:val="none"/>
                <w:vertAlign w:val="baseline"/>
                <w:lang w:val="en-US" w:eastAsia="zh-CN" w:bidi="ar-SA"/>
              </w:rPr>
              <w:t>60%为不及格，不得分；≥60%的，按超过的比重赋分，计算公式为：得分=（问卷结果-60%）/（1-60%）×指标分值。</w:t>
            </w:r>
          </w:p>
        </w:tc>
        <w:tc>
          <w:tcPr>
            <w:tcW w:w="5607" w:type="dxa"/>
            <w:vAlign w:val="center"/>
          </w:tcPr>
          <w:p>
            <w:pPr>
              <w:keepNext w:val="0"/>
              <w:keepLines w:val="0"/>
              <w:widowControl/>
              <w:suppressLineNumbers w:val="0"/>
              <w:jc w:val="left"/>
              <w:textAlignment w:val="center"/>
              <w:rPr>
                <w:rFonts w:hint="default"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根据问卷调查结果(总样本量1809份)二级指标食品安全宣得分58.48（两份问卷数据平均分，总分100），该项指标得分0分。</w:t>
            </w:r>
          </w:p>
        </w:tc>
        <w:tc>
          <w:tcPr>
            <w:tcW w:w="617"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c>
          <w:tcPr>
            <w:tcW w:w="820"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56" w:type="dxa"/>
            <w:vMerge w:val="continue"/>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eastAsia" w:ascii="仿宋" w:hAnsi="仿宋" w:eastAsia="仿宋" w:cs="仿宋"/>
                <w:sz w:val="21"/>
                <w:szCs w:val="21"/>
                <w:highlight w:val="none"/>
                <w:vertAlign w:val="baseline"/>
                <w:lang w:val="en-US" w:eastAsia="zh-CN"/>
              </w:rPr>
            </w:pPr>
          </w:p>
        </w:tc>
        <w:tc>
          <w:tcPr>
            <w:tcW w:w="816" w:type="dxa"/>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center"/>
              <w:textAlignment w:val="auto"/>
              <w:rPr>
                <w:rFonts w:hint="default"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满意度指标(4%)</w:t>
            </w:r>
          </w:p>
        </w:tc>
        <w:tc>
          <w:tcPr>
            <w:tcW w:w="1132"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公众满意度</w:t>
            </w:r>
          </w:p>
        </w:tc>
        <w:tc>
          <w:tcPr>
            <w:tcW w:w="5828" w:type="dxa"/>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满意度≥90%，得满分；90%＞满意度≥80%，得分80%；80%＞满意度≥60%，得分50%；满意度≤60%，得0分。</w:t>
            </w:r>
          </w:p>
        </w:tc>
        <w:tc>
          <w:tcPr>
            <w:tcW w:w="5607" w:type="dxa"/>
            <w:vAlign w:val="center"/>
          </w:tcPr>
          <w:p>
            <w:pPr>
              <w:keepNext w:val="0"/>
              <w:keepLines w:val="0"/>
              <w:widowControl/>
              <w:suppressLineNumbers w:val="0"/>
              <w:jc w:val="left"/>
              <w:textAlignment w:val="center"/>
              <w:rPr>
                <w:rFonts w:hint="default" w:ascii="仿宋" w:hAnsi="仿宋" w:eastAsia="仿宋" w:cs="仿宋"/>
                <w:sz w:val="21"/>
                <w:szCs w:val="21"/>
                <w:highlight w:val="none"/>
                <w:vertAlign w:val="baseline"/>
                <w:lang w:val="en-US" w:eastAsia="zh-CN"/>
              </w:rPr>
            </w:pPr>
            <w:r>
              <w:rPr>
                <w:rFonts w:hint="eastAsia" w:ascii="仿宋" w:hAnsi="仿宋" w:eastAsia="仿宋" w:cs="仿宋"/>
                <w:i w:val="0"/>
                <w:iCs w:val="0"/>
                <w:color w:val="000000"/>
                <w:kern w:val="0"/>
                <w:sz w:val="21"/>
                <w:szCs w:val="21"/>
                <w:highlight w:val="none"/>
                <w:u w:val="none"/>
                <w:lang w:val="en-US" w:eastAsia="zh-CN" w:bidi="ar"/>
              </w:rPr>
              <w:t>根据问卷调查结果(总样本量1809份)食品安全公众总满意度为75.14分（两份问卷数据平均分，总分100），该项指标得分=50%×5=2.5</w:t>
            </w:r>
          </w:p>
        </w:tc>
        <w:tc>
          <w:tcPr>
            <w:tcW w:w="617"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5</w:t>
            </w:r>
          </w:p>
        </w:tc>
        <w:tc>
          <w:tcPr>
            <w:tcW w:w="820"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u w:val="none"/>
                <w:lang w:val="en-US" w:eastAsia="zh-CN" w:bidi="ar"/>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9" w:type="dxa"/>
            <w:gridSpan w:val="5"/>
            <w:vAlign w:val="center"/>
          </w:tcPr>
          <w:p>
            <w:pPr>
              <w:pStyle w:val="2"/>
              <w:keepNext w:val="0"/>
              <w:keepLines w:val="0"/>
              <w:pageBreakBefore w:val="0"/>
              <w:kinsoku/>
              <w:wordWrap/>
              <w:overflowPunct/>
              <w:topLinePunct w:val="0"/>
              <w:autoSpaceDE/>
              <w:autoSpaceDN/>
              <w:bidi w:val="0"/>
              <w:adjustRightInd/>
              <w:snapToGrid/>
              <w:ind w:left="0" w:leftChars="0" w:firstLine="0" w:firstLineChars="0"/>
              <w:jc w:val="right"/>
              <w:textAlignment w:val="auto"/>
              <w:rPr>
                <w:rFonts w:hint="default" w:ascii="仿宋" w:hAnsi="仿宋" w:eastAsia="仿宋" w:cs="仿宋"/>
                <w:sz w:val="21"/>
                <w:szCs w:val="21"/>
                <w:highlight w:val="none"/>
                <w:vertAlign w:val="baseline"/>
                <w:lang w:val="en-US" w:eastAsia="zh-CN"/>
              </w:rPr>
            </w:pPr>
            <w:r>
              <w:rPr>
                <w:rFonts w:hint="eastAsia" w:ascii="仿宋" w:hAnsi="仿宋" w:eastAsia="仿宋" w:cs="仿宋"/>
                <w:sz w:val="21"/>
                <w:szCs w:val="21"/>
                <w:highlight w:val="none"/>
                <w:vertAlign w:val="baseline"/>
                <w:lang w:val="en-US" w:eastAsia="zh-CN"/>
              </w:rPr>
              <w:t>合计</w:t>
            </w:r>
          </w:p>
        </w:tc>
        <w:tc>
          <w:tcPr>
            <w:tcW w:w="617"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100</w:t>
            </w:r>
          </w:p>
        </w:tc>
        <w:tc>
          <w:tcPr>
            <w:tcW w:w="820"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1"/>
                <w:szCs w:val="21"/>
                <w:highlight w:val="none"/>
                <w:u w:val="none"/>
                <w:lang w:val="en-US" w:eastAsia="zh-CN" w:bidi="ar"/>
              </w:rPr>
            </w:pPr>
            <w:r>
              <w:rPr>
                <w:rFonts w:hint="eastAsia" w:ascii="仿宋" w:hAnsi="仿宋" w:eastAsia="仿宋" w:cs="仿宋"/>
                <w:i w:val="0"/>
                <w:iCs w:val="0"/>
                <w:color w:val="000000"/>
                <w:kern w:val="0"/>
                <w:sz w:val="21"/>
                <w:szCs w:val="21"/>
                <w:highlight w:val="none"/>
                <w:u w:val="none"/>
                <w:lang w:val="en-US" w:eastAsia="zh-CN" w:bidi="ar"/>
              </w:rPr>
              <w:t>84.96</w:t>
            </w:r>
          </w:p>
        </w:tc>
      </w:tr>
    </w:tbl>
    <w:p>
      <w:pPr>
        <w:pStyle w:val="2"/>
        <w:rPr>
          <w:rFonts w:hint="eastAsia"/>
          <w:highlight w:val="none"/>
          <w:lang w:val="en-US" w:eastAsia="zh-CN"/>
        </w:rPr>
      </w:pPr>
    </w:p>
    <w:p>
      <w:pPr>
        <w:rPr>
          <w:rFonts w:hint="eastAsia"/>
          <w:highlight w:val="none"/>
          <w:lang w:val="en-US" w:eastAsia="zh-CN"/>
        </w:rPr>
      </w:pPr>
    </w:p>
    <w:p>
      <w:pPr>
        <w:pStyle w:val="2"/>
        <w:rPr>
          <w:rFonts w:hint="eastAsia"/>
          <w:highlight w:val="none"/>
          <w:lang w:val="en-US" w:eastAsia="zh-CN"/>
        </w:rPr>
      </w:pPr>
    </w:p>
    <w:p>
      <w:pPr>
        <w:rPr>
          <w:rFonts w:hint="eastAsia"/>
          <w:highlight w:val="none"/>
          <w:lang w:val="en-US" w:eastAsia="zh-CN"/>
        </w:rPr>
        <w:sectPr>
          <w:headerReference r:id="rId8" w:type="default"/>
          <w:pgSz w:w="16838" w:h="11906" w:orient="landscape"/>
          <w:pgMar w:top="1587" w:right="1440" w:bottom="1587" w:left="1440" w:header="851" w:footer="992" w:gutter="0"/>
          <w:pgBorders>
            <w:top w:val="none" w:sz="0" w:space="0"/>
            <w:left w:val="none" w:sz="0" w:space="0"/>
            <w:bottom w:val="none" w:sz="0" w:space="0"/>
            <w:right w:val="none" w:sz="0" w:space="0"/>
          </w:pgBorders>
          <w:pgNumType w:fmt="decimal"/>
          <w:cols w:space="720" w:num="1"/>
          <w:docGrid w:type="lines" w:linePitch="312" w:charSpace="0"/>
        </w:sectPr>
      </w:pPr>
    </w:p>
    <w:p>
      <w:pPr>
        <w:pStyle w:val="4"/>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ind w:left="0" w:leftChars="0" w:firstLine="562" w:firstLineChars="200"/>
        <w:textAlignment w:val="auto"/>
        <w:rPr>
          <w:rFonts w:hint="eastAsia" w:ascii="黑体" w:hAnsi="黑体" w:eastAsia="黑体" w:cs="黑体"/>
          <w:sz w:val="28"/>
          <w:szCs w:val="28"/>
          <w:highlight w:val="none"/>
          <w:lang w:val="en-US" w:eastAsia="zh-CN"/>
        </w:rPr>
      </w:pPr>
      <w:bookmarkStart w:id="798" w:name="_Toc9088"/>
      <w:bookmarkStart w:id="799" w:name="_Toc2525"/>
      <w:bookmarkStart w:id="800" w:name="_Toc328"/>
      <w:bookmarkStart w:id="801" w:name="_Toc29330"/>
      <w:bookmarkStart w:id="802" w:name="_Toc19782"/>
      <w:r>
        <w:rPr>
          <w:rFonts w:hint="eastAsia" w:ascii="黑体" w:hAnsi="黑体" w:eastAsia="黑体" w:cs="黑体"/>
          <w:b/>
          <w:bCs/>
          <w:kern w:val="44"/>
          <w:sz w:val="28"/>
          <w:szCs w:val="28"/>
          <w:lang w:val="en-US" w:eastAsia="zh-CN" w:bidi="ar-SA"/>
        </w:rPr>
        <w:t>四、</w:t>
      </w:r>
      <w:r>
        <w:rPr>
          <w:rFonts w:hint="eastAsia" w:ascii="黑体" w:hAnsi="黑体" w:eastAsia="黑体" w:cs="黑体"/>
          <w:sz w:val="28"/>
          <w:szCs w:val="28"/>
          <w:highlight w:val="none"/>
          <w:lang w:val="en-US" w:eastAsia="zh-CN"/>
        </w:rPr>
        <w:t>项目主要绩效</w:t>
      </w:r>
      <w:bookmarkEnd w:id="798"/>
      <w:bookmarkEnd w:id="799"/>
      <w:bookmarkEnd w:id="800"/>
      <w:bookmarkEnd w:id="801"/>
      <w:bookmarkEnd w:id="802"/>
    </w:p>
    <w:p>
      <w:pPr>
        <w:pStyle w:val="2"/>
        <w:keepNext w:val="0"/>
        <w:keepLines w:val="0"/>
        <w:pageBreakBefore w:val="0"/>
        <w:widowControl w:val="0"/>
        <w:kinsoku/>
        <w:wordWrap/>
        <w:overflowPunct/>
        <w:topLinePunct w:val="0"/>
        <w:autoSpaceDE/>
        <w:autoSpaceDN/>
        <w:bidi w:val="0"/>
        <w:adjustRightInd/>
        <w:snapToGrid/>
        <w:spacing w:after="0"/>
        <w:ind w:left="0" w:leftChars="0" w:firstLine="562" w:firstLineChars="200"/>
        <w:textAlignment w:val="auto"/>
        <w:rPr>
          <w:rFonts w:hint="default" w:ascii="楷体" w:hAnsi="楷体" w:eastAsia="楷体" w:cs="楷体"/>
          <w:b/>
          <w:bCs/>
          <w:sz w:val="28"/>
          <w:szCs w:val="28"/>
          <w:highlight w:val="none"/>
          <w:lang w:val="en-US" w:eastAsia="zh-CN"/>
        </w:rPr>
      </w:pPr>
      <w:r>
        <w:rPr>
          <w:rFonts w:hint="eastAsia" w:ascii="楷体" w:hAnsi="楷体" w:eastAsia="楷体" w:cs="楷体"/>
          <w:b/>
          <w:bCs/>
          <w:sz w:val="28"/>
          <w:szCs w:val="28"/>
          <w:highlight w:val="none"/>
          <w:lang w:val="en-US" w:eastAsia="zh-CN"/>
        </w:rPr>
        <w:t>（一）食品抽检及食品案件查处情况</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市场监督管理局委托第三方开展食品安全监督抽检3160批次，其中不合格71批次，均启动不合格（问题）食品核查处置；共查处食品违法案件162起，罚没款共计316.37万元。</w:t>
      </w:r>
    </w:p>
    <w:p>
      <w:pPr>
        <w:pStyle w:val="2"/>
        <w:keepNext w:val="0"/>
        <w:keepLines w:val="0"/>
        <w:pageBreakBefore w:val="0"/>
        <w:widowControl w:val="0"/>
        <w:kinsoku/>
        <w:wordWrap/>
        <w:overflowPunct/>
        <w:topLinePunct w:val="0"/>
        <w:autoSpaceDE/>
        <w:autoSpaceDN/>
        <w:bidi w:val="0"/>
        <w:adjustRightInd/>
        <w:snapToGrid/>
        <w:spacing w:after="0"/>
        <w:ind w:left="0" w:leftChars="0" w:firstLine="562" w:firstLineChars="200"/>
        <w:textAlignment w:val="auto"/>
        <w:rPr>
          <w:rFonts w:hint="eastAsia" w:ascii="楷体" w:hAnsi="楷体" w:eastAsia="楷体" w:cs="楷体"/>
          <w:b/>
          <w:bCs/>
          <w:sz w:val="28"/>
          <w:szCs w:val="28"/>
          <w:highlight w:val="none"/>
          <w:lang w:val="en-US" w:eastAsia="zh-CN"/>
        </w:rPr>
      </w:pPr>
      <w:r>
        <w:rPr>
          <w:rFonts w:hint="eastAsia" w:ascii="楷体" w:hAnsi="楷体" w:eastAsia="楷体" w:cs="楷体"/>
          <w:b/>
          <w:bCs/>
          <w:sz w:val="28"/>
          <w:szCs w:val="28"/>
          <w:highlight w:val="none"/>
          <w:lang w:val="en-US" w:eastAsia="zh-CN"/>
        </w:rPr>
        <w:t>（二）推进食品安全追溯体系建设</w:t>
      </w:r>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80家种植养殖业、8家监管备案农资门市部、2家鱼粉饲料企业、5家粮食企业、352家食品生产经营企业分段分类实现食品安全追溯体系建设。</w:t>
      </w:r>
    </w:p>
    <w:p>
      <w:pPr>
        <w:keepNext w:val="0"/>
        <w:keepLines w:val="0"/>
        <w:pageBreakBefore w:val="0"/>
        <w:widowControl w:val="0"/>
        <w:kinsoku/>
        <w:wordWrap/>
        <w:overflowPunct/>
        <w:topLinePunct w:val="0"/>
        <w:autoSpaceDE/>
        <w:autoSpaceDN/>
        <w:bidi w:val="0"/>
        <w:adjustRightInd/>
        <w:snapToGrid/>
        <w:textAlignment w:val="auto"/>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 xml:space="preserve"> </w:t>
      </w:r>
    </w:p>
    <w:p>
      <w:pPr>
        <w:pStyle w:val="4"/>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ind w:left="0" w:leftChars="0" w:firstLine="562" w:firstLineChars="200"/>
        <w:textAlignment w:val="auto"/>
        <w:rPr>
          <w:rFonts w:hint="default" w:ascii="黑体" w:hAnsi="黑体" w:eastAsia="黑体" w:cs="黑体"/>
          <w:sz w:val="28"/>
          <w:szCs w:val="28"/>
          <w:highlight w:val="none"/>
          <w:lang w:val="en-US" w:eastAsia="zh-CN"/>
        </w:rPr>
      </w:pPr>
      <w:bookmarkStart w:id="803" w:name="_Toc7803"/>
      <w:bookmarkStart w:id="804" w:name="_Toc13046"/>
      <w:bookmarkStart w:id="805" w:name="_Toc15701"/>
      <w:bookmarkStart w:id="806" w:name="_Toc9005"/>
      <w:r>
        <w:rPr>
          <w:rFonts w:hint="eastAsia" w:ascii="黑体" w:hAnsi="黑体" w:eastAsia="黑体" w:cs="黑体"/>
          <w:b/>
          <w:bCs/>
          <w:kern w:val="44"/>
          <w:sz w:val="28"/>
          <w:szCs w:val="28"/>
          <w:lang w:val="en-US" w:eastAsia="zh-CN" w:bidi="ar-SA"/>
        </w:rPr>
        <w:t>五、</w:t>
      </w:r>
      <w:r>
        <w:rPr>
          <w:rFonts w:hint="eastAsia" w:ascii="黑体" w:hAnsi="黑体" w:eastAsia="黑体" w:cs="黑体"/>
          <w:sz w:val="28"/>
          <w:szCs w:val="28"/>
          <w:highlight w:val="none"/>
          <w:lang w:val="en-US" w:eastAsia="zh-CN"/>
        </w:rPr>
        <w:t>项目存在的主要问题及原因分析</w:t>
      </w:r>
      <w:bookmarkEnd w:id="803"/>
      <w:bookmarkEnd w:id="804"/>
      <w:bookmarkEnd w:id="805"/>
      <w:bookmarkEnd w:id="806"/>
    </w:p>
    <w:p>
      <w:pPr>
        <w:keepNext w:val="0"/>
        <w:keepLines w:val="0"/>
        <w:pageBreakBefore w:val="0"/>
        <w:widowControl w:val="0"/>
        <w:kinsoku/>
        <w:wordWrap/>
        <w:overflowPunct/>
        <w:topLinePunct w:val="0"/>
        <w:autoSpaceDE/>
        <w:autoSpaceDN/>
        <w:bidi w:val="0"/>
        <w:adjustRightInd/>
        <w:snapToGrid/>
        <w:spacing w:beforeAutospacing="0" w:afterAutospacing="0"/>
        <w:ind w:firstLine="562" w:firstLineChars="200"/>
        <w:textAlignment w:val="auto"/>
        <w:outlineLvl w:val="1"/>
        <w:rPr>
          <w:rFonts w:hint="eastAsia" w:ascii="楷体" w:hAnsi="楷体" w:eastAsia="楷体" w:cs="楷体"/>
          <w:b/>
          <w:bCs/>
          <w:color w:val="auto"/>
          <w:kern w:val="0"/>
          <w:sz w:val="28"/>
          <w:szCs w:val="28"/>
          <w:highlight w:val="none"/>
          <w:lang w:val="en-US" w:eastAsia="zh-CN" w:bidi="ar-SA"/>
        </w:rPr>
      </w:pPr>
      <w:bookmarkStart w:id="807" w:name="_Toc10069"/>
      <w:r>
        <w:rPr>
          <w:rFonts w:hint="eastAsia" w:ascii="楷体" w:hAnsi="楷体" w:eastAsia="楷体" w:cs="楷体"/>
          <w:b/>
          <w:bCs/>
          <w:color w:val="auto"/>
          <w:kern w:val="0"/>
          <w:sz w:val="28"/>
          <w:szCs w:val="28"/>
          <w:highlight w:val="none"/>
          <w:lang w:val="en-US" w:eastAsia="zh-CN" w:bidi="ar-SA"/>
        </w:rPr>
        <w:t>（一）绩效目标设置与绩效自评填报需进一步完善</w:t>
      </w:r>
      <w:bookmarkEnd w:id="807"/>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项目实际工作涉及面较广，可设置指标较多，年初绩效目标表三级指标设置较少，未能涵盖项目资金使用范围。另外，绩效自评表中填报实际完成值与实际工作不相符，例如数量指标食品安全风险抽检批次实际完成3160批次，但绩效自评表实际完成值填报150批次；开展药品监督抽查根据相关股室提供当年目标任务398份，实际完成414份，但年初绩效目标为55份，自评填报实际完成55份。</w:t>
      </w:r>
    </w:p>
    <w:p>
      <w:pPr>
        <w:keepNext w:val="0"/>
        <w:keepLines w:val="0"/>
        <w:pageBreakBefore w:val="0"/>
        <w:widowControl w:val="0"/>
        <w:kinsoku/>
        <w:wordWrap/>
        <w:overflowPunct/>
        <w:topLinePunct w:val="0"/>
        <w:autoSpaceDE/>
        <w:autoSpaceDN/>
        <w:bidi w:val="0"/>
        <w:adjustRightInd/>
        <w:snapToGrid/>
        <w:spacing w:beforeAutospacing="0" w:afterAutospacing="0"/>
        <w:ind w:firstLine="562" w:firstLineChars="200"/>
        <w:textAlignment w:val="auto"/>
        <w:outlineLvl w:val="1"/>
        <w:rPr>
          <w:rFonts w:hint="default" w:ascii="楷体" w:hAnsi="楷体" w:eastAsia="楷体" w:cs="楷体"/>
          <w:b/>
          <w:bCs/>
          <w:color w:val="auto"/>
          <w:kern w:val="0"/>
          <w:sz w:val="28"/>
          <w:szCs w:val="28"/>
          <w:highlight w:val="none"/>
          <w:lang w:val="en-US" w:eastAsia="zh-CN" w:bidi="ar-SA"/>
        </w:rPr>
      </w:pPr>
      <w:bookmarkStart w:id="808" w:name="_Toc4094"/>
      <w:r>
        <w:rPr>
          <w:rFonts w:hint="eastAsia" w:ascii="楷体" w:hAnsi="楷体" w:eastAsia="楷体" w:cs="楷体"/>
          <w:b/>
          <w:bCs/>
          <w:color w:val="auto"/>
          <w:kern w:val="0"/>
          <w:sz w:val="28"/>
          <w:szCs w:val="28"/>
          <w:highlight w:val="none"/>
          <w:lang w:val="en-US" w:eastAsia="zh-CN" w:bidi="ar-SA"/>
        </w:rPr>
        <w:t>（二）资金使用效益不明显，社会公众对</w:t>
      </w:r>
      <w:bookmarkStart w:id="841" w:name="_GoBack"/>
      <w:bookmarkEnd w:id="841"/>
      <w:r>
        <w:rPr>
          <w:rFonts w:hint="eastAsia" w:ascii="楷体" w:hAnsi="楷体" w:eastAsia="楷体" w:cs="楷体"/>
          <w:b/>
          <w:bCs/>
          <w:color w:val="auto"/>
          <w:kern w:val="0"/>
          <w:sz w:val="28"/>
          <w:szCs w:val="28"/>
          <w:highlight w:val="none"/>
          <w:lang w:val="en-US" w:eastAsia="zh-CN" w:bidi="ar-SA"/>
        </w:rPr>
        <w:t>食品安全总体满意度不高</w:t>
      </w:r>
      <w:bookmarkEnd w:id="808"/>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default" w:ascii="楷体" w:hAnsi="楷体" w:eastAsia="楷体" w:cs="楷体"/>
          <w:b/>
          <w:bCs/>
          <w:color w:val="auto"/>
          <w:kern w:val="0"/>
          <w:sz w:val="28"/>
          <w:szCs w:val="28"/>
          <w:highlight w:val="none"/>
          <w:lang w:val="en-US" w:eastAsia="zh-CN" w:bidi="ar-SA"/>
        </w:rPr>
      </w:pPr>
      <w:bookmarkStart w:id="809" w:name="_Toc9890"/>
      <w:bookmarkStart w:id="810" w:name="_Toc30639"/>
      <w:bookmarkStart w:id="811" w:name="_Toc18198"/>
      <w:bookmarkStart w:id="812" w:name="_Toc17970"/>
      <w:r>
        <w:rPr>
          <w:rFonts w:hint="eastAsia" w:ascii="仿宋_GB2312" w:hAnsi="仿宋_GB2312" w:eastAsia="仿宋_GB2312" w:cs="仿宋_GB2312"/>
          <w:color w:val="auto"/>
          <w:kern w:val="0"/>
          <w:sz w:val="28"/>
          <w:szCs w:val="28"/>
          <w:highlight w:val="none"/>
          <w:lang w:val="en-US" w:eastAsia="zh-CN" w:bidi="ar-SA"/>
        </w:rPr>
        <w:t>市场监督管理局委托第三方机构进行提升食品安全知晓率问卷调查，但食品安全宣传效果仍旧偏低。根据两份报告结果显示，食品安全宣传总体分数偏低，包括食品安全宣传知晓度、食品安全意识、维权意识三方面。社会公众对项目知晓率和对项目公示的检测信息关注度较低，发布的不合格食品的信息利用程度不高，未能形成社会公众及时抵制、拒绝购买、拒绝食用不合格食品，未能在全社会形成高压态势。需要加强宣传引导，提升消费者食品安全和维权意识</w:t>
      </w:r>
      <w:bookmarkEnd w:id="809"/>
      <w:bookmarkEnd w:id="810"/>
      <w:bookmarkEnd w:id="811"/>
      <w:bookmarkEnd w:id="812"/>
      <w:r>
        <w:rPr>
          <w:rFonts w:hint="eastAsia" w:ascii="仿宋_GB2312" w:hAnsi="仿宋_GB2312" w:eastAsia="仿宋_GB2312" w:cs="仿宋_GB2312"/>
          <w:color w:val="auto"/>
          <w:kern w:val="0"/>
          <w:sz w:val="28"/>
          <w:szCs w:val="28"/>
          <w:highlight w:val="none"/>
          <w:lang w:val="en-US" w:eastAsia="zh-CN" w:bidi="ar-SA"/>
        </w:rPr>
        <w:t>。</w:t>
      </w:r>
    </w:p>
    <w:p>
      <w:pPr>
        <w:keepNext w:val="0"/>
        <w:keepLines w:val="0"/>
        <w:pageBreakBefore w:val="0"/>
        <w:widowControl w:val="0"/>
        <w:kinsoku/>
        <w:wordWrap/>
        <w:overflowPunct/>
        <w:topLinePunct w:val="0"/>
        <w:autoSpaceDE/>
        <w:autoSpaceDN/>
        <w:bidi w:val="0"/>
        <w:adjustRightInd/>
        <w:snapToGrid/>
        <w:spacing w:beforeAutospacing="0" w:afterAutospacing="0"/>
        <w:ind w:firstLine="562" w:firstLineChars="200"/>
        <w:textAlignment w:val="auto"/>
        <w:outlineLvl w:val="1"/>
        <w:rPr>
          <w:rFonts w:hint="eastAsia" w:ascii="楷体" w:hAnsi="楷体" w:eastAsia="楷体" w:cs="楷体"/>
          <w:b/>
          <w:bCs/>
          <w:color w:val="auto"/>
          <w:kern w:val="0"/>
          <w:sz w:val="28"/>
          <w:szCs w:val="28"/>
          <w:highlight w:val="none"/>
          <w:lang w:val="en-US" w:eastAsia="zh-CN" w:bidi="ar-SA"/>
        </w:rPr>
      </w:pPr>
      <w:bookmarkStart w:id="813" w:name="_Toc14996"/>
      <w:r>
        <w:rPr>
          <w:rFonts w:hint="eastAsia" w:ascii="楷体" w:hAnsi="楷体" w:eastAsia="楷体" w:cs="楷体"/>
          <w:b/>
          <w:bCs/>
          <w:color w:val="auto"/>
          <w:kern w:val="0"/>
          <w:sz w:val="28"/>
          <w:szCs w:val="28"/>
          <w:highlight w:val="none"/>
          <w:lang w:val="en-US" w:eastAsia="zh-CN" w:bidi="ar-SA"/>
        </w:rPr>
        <w:t>（三）监督管理需进一步加强，强化食品安全的源头管理</w:t>
      </w:r>
      <w:bookmarkEnd w:id="813"/>
    </w:p>
    <w:p>
      <w:pPr>
        <w:pStyle w:val="2"/>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2022年石狮市持续加大食品生产经营领域的监督管理工作，查处多家违法违规单位，并通过多种形式开展食品生产经营主体法律责任宣传，有效遏制食品领域违法违规行为。但仍存在部分企业主体责任意识不强，缺乏社会公德心，贪图利益、从业人员食品安全意识薄弱等现象。根据两份问卷调查结果显示，全市近六成的消费者认为不法食品生产加工企业和个人利欲熏心是产生食品安全问题的主要原因，还需进一步加强监督管理，增强食品生产经营企业的主体责任意识，强化食品安全的源头管理。</w:t>
      </w:r>
    </w:p>
    <w:p>
      <w:pPr>
        <w:keepNext w:val="0"/>
        <w:keepLines w:val="0"/>
        <w:pageBreakBefore w:val="0"/>
        <w:widowControl w:val="0"/>
        <w:kinsoku/>
        <w:wordWrap/>
        <w:overflowPunct/>
        <w:topLinePunct w:val="0"/>
        <w:autoSpaceDE/>
        <w:autoSpaceDN/>
        <w:bidi w:val="0"/>
        <w:adjustRightInd/>
        <w:snapToGrid/>
        <w:spacing w:beforeAutospacing="0" w:afterAutospacing="0"/>
        <w:ind w:firstLine="562" w:firstLineChars="200"/>
        <w:textAlignment w:val="auto"/>
        <w:outlineLvl w:val="1"/>
        <w:rPr>
          <w:rFonts w:hint="eastAsia" w:ascii="楷体" w:hAnsi="楷体" w:eastAsia="楷体" w:cs="楷体"/>
          <w:b/>
          <w:bCs/>
          <w:color w:val="auto"/>
          <w:kern w:val="0"/>
          <w:sz w:val="28"/>
          <w:szCs w:val="28"/>
          <w:highlight w:val="none"/>
          <w:lang w:val="en-US" w:eastAsia="zh-CN" w:bidi="ar-SA"/>
        </w:rPr>
      </w:pPr>
      <w:bookmarkStart w:id="814" w:name="_Toc340"/>
      <w:r>
        <w:rPr>
          <w:rFonts w:hint="eastAsia" w:ascii="楷体" w:hAnsi="楷体" w:eastAsia="楷体" w:cs="楷体"/>
          <w:b/>
          <w:bCs/>
          <w:color w:val="auto"/>
          <w:kern w:val="0"/>
          <w:sz w:val="28"/>
          <w:szCs w:val="28"/>
          <w:highlight w:val="none"/>
          <w:lang w:val="en-US" w:eastAsia="zh-CN" w:bidi="ar-SA"/>
        </w:rPr>
        <w:t>（四）项目档案管理需进一步加强</w:t>
      </w:r>
      <w:bookmarkEnd w:id="814"/>
    </w:p>
    <w:p>
      <w:pPr>
        <w:pStyle w:val="2"/>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2022年食品药械化妆品监管及治理餐桌污染专项资金使用项目较多且涉及市场监督管理局多个股室，评价小组在查阅该笔专项资金涉及的项目合同书、检测结果、结算单等资料过程中，部分资料未存档，需翻阅财务记账凭证种原始凭证，项目档案管理还需进一步加强。</w:t>
      </w:r>
    </w:p>
    <w:p>
      <w:pPr>
        <w:pStyle w:val="2"/>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default" w:ascii="仿宋_GB2312" w:hAnsi="仿宋_GB2312" w:eastAsia="仿宋_GB2312" w:cs="仿宋_GB2312"/>
          <w:color w:val="auto"/>
          <w:kern w:val="0"/>
          <w:sz w:val="28"/>
          <w:szCs w:val="28"/>
          <w:highlight w:val="none"/>
          <w:lang w:val="en-US" w:eastAsia="zh-CN" w:bidi="ar-SA"/>
        </w:rPr>
      </w:pPr>
    </w:p>
    <w:p>
      <w:pPr>
        <w:pStyle w:val="4"/>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ind w:left="0" w:leftChars="0" w:firstLine="562" w:firstLineChars="200"/>
        <w:textAlignment w:val="auto"/>
        <w:rPr>
          <w:rFonts w:hint="default" w:ascii="黑体" w:hAnsi="黑体" w:eastAsia="黑体" w:cs="黑体"/>
          <w:b/>
          <w:bCs/>
          <w:kern w:val="44"/>
          <w:sz w:val="28"/>
          <w:szCs w:val="28"/>
          <w:lang w:val="en-US" w:eastAsia="zh-CN" w:bidi="ar-SA"/>
        </w:rPr>
      </w:pPr>
      <w:bookmarkStart w:id="815" w:name="_Toc7278"/>
      <w:bookmarkStart w:id="816" w:name="_Toc24962"/>
      <w:bookmarkStart w:id="817" w:name="_Toc15614"/>
      <w:bookmarkStart w:id="818" w:name="_Toc31589"/>
      <w:r>
        <w:rPr>
          <w:rFonts w:hint="eastAsia" w:ascii="黑体" w:hAnsi="黑体" w:eastAsia="黑体" w:cs="黑体"/>
          <w:b/>
          <w:bCs/>
          <w:kern w:val="44"/>
          <w:sz w:val="28"/>
          <w:szCs w:val="28"/>
          <w:lang w:val="en-US" w:eastAsia="zh-CN" w:bidi="ar-SA"/>
        </w:rPr>
        <w:t>六、意见建议</w:t>
      </w:r>
      <w:bookmarkEnd w:id="815"/>
      <w:bookmarkEnd w:id="816"/>
      <w:bookmarkEnd w:id="817"/>
      <w:bookmarkEnd w:id="818"/>
    </w:p>
    <w:p>
      <w:pPr>
        <w:keepNext w:val="0"/>
        <w:keepLines w:val="0"/>
        <w:pageBreakBefore w:val="0"/>
        <w:widowControl w:val="0"/>
        <w:kinsoku/>
        <w:wordWrap/>
        <w:overflowPunct/>
        <w:topLinePunct w:val="0"/>
        <w:autoSpaceDE/>
        <w:autoSpaceDN/>
        <w:bidi w:val="0"/>
        <w:adjustRightInd/>
        <w:snapToGrid/>
        <w:spacing w:beforeAutospacing="0" w:afterAutospacing="0"/>
        <w:ind w:firstLine="562" w:firstLineChars="200"/>
        <w:textAlignment w:val="auto"/>
        <w:outlineLvl w:val="1"/>
        <w:rPr>
          <w:rFonts w:hint="eastAsia" w:ascii="楷体" w:hAnsi="楷体" w:eastAsia="楷体" w:cs="楷体"/>
          <w:b/>
          <w:bCs/>
          <w:color w:val="auto"/>
          <w:kern w:val="0"/>
          <w:sz w:val="28"/>
          <w:szCs w:val="28"/>
          <w:highlight w:val="none"/>
          <w:lang w:val="en-US" w:eastAsia="zh-CN" w:bidi="ar-SA"/>
        </w:rPr>
      </w:pPr>
      <w:bookmarkStart w:id="819" w:name="_Toc28658"/>
      <w:r>
        <w:rPr>
          <w:rFonts w:hint="eastAsia" w:ascii="楷体" w:hAnsi="楷体" w:eastAsia="楷体" w:cs="楷体"/>
          <w:b/>
          <w:bCs/>
          <w:color w:val="auto"/>
          <w:kern w:val="0"/>
          <w:sz w:val="28"/>
          <w:szCs w:val="28"/>
          <w:highlight w:val="none"/>
          <w:lang w:val="en-US" w:eastAsia="zh-CN" w:bidi="ar-SA"/>
        </w:rPr>
        <w:t>（一）加强资金预算管理，注重把握关键环节</w:t>
      </w:r>
      <w:bookmarkEnd w:id="819"/>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为提升食品药械化妆品监管及治理餐桌污染专项资金的目标任务的合理性，市场监督管理局需在每年年底尽早对当年目标完成情况进行统计，并根据前一年和当年的实施情况作为参照依据，结合食品药械化妆品监管及治理餐桌污染专项工作的实际开展情况，对往年绩效目标作适当调整并与相关业务人员确认是否制定相对应目标任务等，下达当年的目标任务；当年项目实施过程中，实际工作与年初目标任务出现偏差应及时做出调整、变更，便于下一年度工作计划、预算安排。</w:t>
      </w:r>
    </w:p>
    <w:p>
      <w:pPr>
        <w:keepNext w:val="0"/>
        <w:keepLines w:val="0"/>
        <w:pageBreakBefore w:val="0"/>
        <w:widowControl w:val="0"/>
        <w:kinsoku/>
        <w:wordWrap/>
        <w:overflowPunct/>
        <w:topLinePunct w:val="0"/>
        <w:autoSpaceDE/>
        <w:autoSpaceDN/>
        <w:bidi w:val="0"/>
        <w:adjustRightInd/>
        <w:snapToGrid/>
        <w:spacing w:beforeAutospacing="0" w:afterAutospacing="0"/>
        <w:ind w:firstLine="562" w:firstLineChars="200"/>
        <w:textAlignment w:val="auto"/>
        <w:outlineLvl w:val="1"/>
        <w:rPr>
          <w:rFonts w:hint="eastAsia" w:ascii="楷体" w:hAnsi="楷体" w:eastAsia="楷体" w:cs="楷体"/>
          <w:b/>
          <w:bCs/>
          <w:color w:val="auto"/>
          <w:kern w:val="0"/>
          <w:sz w:val="28"/>
          <w:szCs w:val="28"/>
          <w:highlight w:val="none"/>
          <w:lang w:val="en-US" w:eastAsia="zh-CN" w:bidi="ar-SA"/>
        </w:rPr>
      </w:pPr>
      <w:bookmarkStart w:id="820" w:name="_Toc9262"/>
      <w:r>
        <w:rPr>
          <w:rFonts w:hint="eastAsia" w:ascii="楷体" w:hAnsi="楷体" w:eastAsia="楷体" w:cs="楷体"/>
          <w:b/>
          <w:bCs/>
          <w:color w:val="auto"/>
          <w:kern w:val="0"/>
          <w:sz w:val="28"/>
          <w:szCs w:val="28"/>
          <w:highlight w:val="none"/>
          <w:lang w:val="en-US" w:eastAsia="zh-CN" w:bidi="ar-SA"/>
        </w:rPr>
        <w:t>（二）进一步加大抽检检测信息公示、宣传力度，确保社会公众知晓率</w:t>
      </w:r>
      <w:bookmarkEnd w:id="820"/>
    </w:p>
    <w:p>
      <w:pPr>
        <w:keepNext w:val="0"/>
        <w:keepLines w:val="0"/>
        <w:pageBreakBefore w:val="0"/>
        <w:widowControl w:val="0"/>
        <w:numPr>
          <w:ilvl w:val="0"/>
          <w:numId w:val="0"/>
        </w:numPr>
        <w:kinsoku/>
        <w:wordWrap/>
        <w:overflowPunct/>
        <w:topLinePunct w:val="0"/>
        <w:autoSpaceDE/>
        <w:autoSpaceDN/>
        <w:bidi w:val="0"/>
        <w:adjustRightInd/>
        <w:snapToGrid/>
        <w:ind w:firstLine="560" w:firstLineChars="200"/>
        <w:textAlignment w:val="auto"/>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进一步拓宽信息公开渠道，扩大信息公开范围，加强食品安全知识的宣传和普及力度，强化消费者参与食品安全社会治理意识，提高消费者参与食品安全社会治理的能力。多形式高频率加大食品安全宣传，扎实做好政策解读工作，积极回应社会关切，提高社会公众对食品安全的满意度。</w:t>
      </w:r>
    </w:p>
    <w:p>
      <w:pPr>
        <w:keepNext w:val="0"/>
        <w:keepLines w:val="0"/>
        <w:pageBreakBefore w:val="0"/>
        <w:widowControl w:val="0"/>
        <w:kinsoku/>
        <w:wordWrap/>
        <w:overflowPunct/>
        <w:topLinePunct w:val="0"/>
        <w:autoSpaceDE/>
        <w:autoSpaceDN/>
        <w:bidi w:val="0"/>
        <w:adjustRightInd/>
        <w:snapToGrid/>
        <w:spacing w:beforeAutospacing="0" w:afterAutospacing="0"/>
        <w:ind w:firstLine="562" w:firstLineChars="200"/>
        <w:textAlignment w:val="auto"/>
        <w:outlineLvl w:val="1"/>
        <w:rPr>
          <w:rFonts w:hint="eastAsia" w:ascii="楷体" w:hAnsi="楷体" w:eastAsia="楷体" w:cs="楷体"/>
          <w:b/>
          <w:bCs/>
          <w:color w:val="auto"/>
          <w:kern w:val="0"/>
          <w:sz w:val="28"/>
          <w:szCs w:val="28"/>
          <w:highlight w:val="none"/>
          <w:lang w:val="en-US" w:eastAsia="zh-CN" w:bidi="ar-SA"/>
        </w:rPr>
      </w:pPr>
      <w:bookmarkStart w:id="821" w:name="_Toc25443"/>
      <w:r>
        <w:rPr>
          <w:rFonts w:hint="eastAsia" w:ascii="楷体" w:hAnsi="楷体" w:eastAsia="楷体" w:cs="楷体"/>
          <w:b/>
          <w:bCs/>
          <w:color w:val="auto"/>
          <w:kern w:val="0"/>
          <w:sz w:val="28"/>
          <w:szCs w:val="28"/>
          <w:highlight w:val="none"/>
          <w:lang w:val="en-US" w:eastAsia="zh-CN" w:bidi="ar-SA"/>
        </w:rPr>
        <w:t>（三）落实责任，保障食品生产经营质量</w:t>
      </w:r>
      <w:bookmarkEnd w:id="821"/>
    </w:p>
    <w:p>
      <w:pPr>
        <w:pStyle w:val="2"/>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default"/>
          <w:lang w:val="en-US" w:eastAsia="zh-CN"/>
        </w:rPr>
      </w:pPr>
      <w:r>
        <w:rPr>
          <w:rFonts w:hint="eastAsia" w:ascii="仿宋" w:hAnsi="仿宋" w:eastAsia="仿宋" w:cs="仿宋"/>
          <w:b w:val="0"/>
          <w:bCs w:val="0"/>
          <w:sz w:val="28"/>
          <w:szCs w:val="28"/>
          <w:lang w:val="en-US" w:eastAsia="zh-CN"/>
        </w:rPr>
        <w:t>围绕国家市场监督管理总局《企业落实食品安全主体责任监督管理规定》，强化食品生产经营单位落实责任主体意识，加强食品从业人员食品安全知识提升。一方面要持续加强对食品生产经营单位的监管，严厉打击危害食品安全的违法行为，并通过将企业和个人纳入失信名单、加强惩处力度等方式，对食品市场经营违法企业及个人形成威慑；另一方面积极督促企业按照规定，配备食品安全总监和食品安全员；同时，要求食品生产经营单位在自查工作基础上制定日管控、周排查、月调度工作制度和机制。</w:t>
      </w:r>
    </w:p>
    <w:p>
      <w:pPr>
        <w:keepNext w:val="0"/>
        <w:keepLines w:val="0"/>
        <w:pageBreakBefore w:val="0"/>
        <w:widowControl w:val="0"/>
        <w:kinsoku/>
        <w:wordWrap/>
        <w:overflowPunct/>
        <w:topLinePunct w:val="0"/>
        <w:autoSpaceDE/>
        <w:autoSpaceDN/>
        <w:bidi w:val="0"/>
        <w:adjustRightInd/>
        <w:snapToGrid/>
        <w:spacing w:beforeAutospacing="0" w:afterAutospacing="0"/>
        <w:ind w:firstLine="562" w:firstLineChars="200"/>
        <w:textAlignment w:val="auto"/>
        <w:outlineLvl w:val="1"/>
        <w:rPr>
          <w:rFonts w:hint="eastAsia" w:ascii="楷体" w:hAnsi="楷体" w:eastAsia="楷体" w:cs="楷体"/>
          <w:b/>
          <w:bCs/>
          <w:color w:val="auto"/>
          <w:kern w:val="0"/>
          <w:sz w:val="28"/>
          <w:szCs w:val="28"/>
          <w:highlight w:val="none"/>
          <w:lang w:val="en-US" w:eastAsia="zh-CN" w:bidi="ar-SA"/>
        </w:rPr>
      </w:pPr>
      <w:bookmarkStart w:id="822" w:name="_Toc2166"/>
      <w:r>
        <w:rPr>
          <w:rFonts w:hint="eastAsia" w:ascii="楷体" w:hAnsi="楷体" w:eastAsia="楷体" w:cs="楷体"/>
          <w:b/>
          <w:bCs/>
          <w:color w:val="auto"/>
          <w:kern w:val="0"/>
          <w:sz w:val="28"/>
          <w:szCs w:val="28"/>
          <w:highlight w:val="none"/>
          <w:lang w:val="en-US" w:eastAsia="zh-CN" w:bidi="ar-SA"/>
        </w:rPr>
        <w:t>（四）完善档案管理制度，严格档案管理制度整理档案</w:t>
      </w:r>
      <w:bookmarkEnd w:id="822"/>
    </w:p>
    <w:p>
      <w:pPr>
        <w:pStyle w:val="2"/>
        <w:ind w:left="0" w:leftChars="0" w:firstLine="560" w:firstLineChars="200"/>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完善档案管理制度，完善管理员职责、归案、调阅、管理等制度，使档案管理有章可循、有据可依，保证档案管理制度化、规范化。另外，发展档案电子化。档案电子化可以提高档案信息共享度，提高档案信息利用率。</w:t>
      </w:r>
    </w:p>
    <w:p>
      <w:pPr>
        <w:rPr>
          <w:rFonts w:hint="eastAsia"/>
          <w:lang w:val="en-US" w:eastAsia="zh-CN"/>
        </w:rPr>
      </w:pPr>
    </w:p>
    <w:p>
      <w:pPr>
        <w:pStyle w:val="4"/>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ind w:left="0" w:leftChars="0" w:firstLine="562" w:firstLineChars="200"/>
        <w:textAlignment w:val="auto"/>
        <w:rPr>
          <w:rFonts w:hint="eastAsia" w:ascii="黑体" w:hAnsi="黑体" w:eastAsia="黑体" w:cs="黑体"/>
          <w:b/>
          <w:bCs/>
          <w:kern w:val="44"/>
          <w:sz w:val="28"/>
          <w:szCs w:val="28"/>
          <w:lang w:val="en-US" w:eastAsia="zh-CN" w:bidi="ar-SA"/>
        </w:rPr>
      </w:pPr>
      <w:bookmarkStart w:id="823" w:name="_Toc19935"/>
      <w:bookmarkStart w:id="824" w:name="_Toc32378"/>
      <w:bookmarkStart w:id="825" w:name="_Toc3973"/>
      <w:r>
        <w:rPr>
          <w:rFonts w:hint="eastAsia" w:ascii="黑体" w:hAnsi="黑体" w:eastAsia="黑体" w:cs="黑体"/>
          <w:b/>
          <w:bCs/>
          <w:kern w:val="44"/>
          <w:sz w:val="28"/>
          <w:szCs w:val="28"/>
          <w:lang w:val="en-US" w:eastAsia="zh-CN" w:bidi="ar-SA"/>
        </w:rPr>
        <w:t>七、其他需要说明的问题</w:t>
      </w:r>
      <w:bookmarkEnd w:id="823"/>
      <w:bookmarkEnd w:id="824"/>
      <w:r>
        <w:rPr>
          <w:rFonts w:hint="eastAsia" w:ascii="黑体" w:hAnsi="黑体" w:eastAsia="黑体" w:cs="黑体"/>
          <w:b/>
          <w:bCs/>
          <w:kern w:val="44"/>
          <w:sz w:val="28"/>
          <w:szCs w:val="28"/>
          <w:lang w:val="en-US" w:eastAsia="zh-CN" w:bidi="ar-SA"/>
        </w:rPr>
        <w:t xml:space="preserve"> </w:t>
      </w:r>
    </w:p>
    <w:p>
      <w:pPr>
        <w:pStyle w:val="2"/>
        <w:ind w:left="0" w:leftChars="0" w:firstLine="560" w:firstLineChars="200"/>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 xml:space="preserve">1.本绩效评价报告是石狮市食品药械化妆品监管及治理餐桌污染专项费项目提供资料及回收的问卷统计数据基础上形成的。 </w:t>
      </w:r>
    </w:p>
    <w:p>
      <w:pPr>
        <w:pStyle w:val="2"/>
        <w:ind w:left="0" w:leftChars="0" w:firstLine="560" w:firstLineChars="200"/>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2.本绩效评价报告仅供石狮市财政局开展2023年财政预算绩效重点评价相关工作使用，不作他用。</w:t>
      </w:r>
    </w:p>
    <w:p>
      <w:pPr>
        <w:rPr>
          <w:rFonts w:hint="eastAsia"/>
          <w:lang w:val="en-US" w:eastAsia="zh-CN"/>
        </w:rPr>
      </w:pPr>
    </w:p>
    <w:p>
      <w:pPr>
        <w:pStyle w:val="4"/>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ind w:left="0" w:leftChars="0" w:firstLine="562" w:firstLineChars="200"/>
        <w:textAlignment w:val="auto"/>
        <w:rPr>
          <w:rFonts w:hint="eastAsia" w:ascii="黑体" w:hAnsi="黑体" w:eastAsia="黑体" w:cs="黑体"/>
          <w:b/>
          <w:bCs/>
          <w:kern w:val="44"/>
          <w:sz w:val="28"/>
          <w:szCs w:val="28"/>
          <w:lang w:val="en-US" w:eastAsia="zh-CN" w:bidi="ar-SA"/>
        </w:rPr>
      </w:pPr>
      <w:bookmarkStart w:id="826" w:name="_Toc2478"/>
      <w:r>
        <w:rPr>
          <w:rFonts w:hint="eastAsia" w:ascii="黑体" w:hAnsi="黑体" w:eastAsia="黑体" w:cs="黑体"/>
          <w:b/>
          <w:bCs/>
          <w:kern w:val="44"/>
          <w:sz w:val="28"/>
          <w:szCs w:val="28"/>
          <w:lang w:val="en-US" w:eastAsia="zh-CN" w:bidi="ar-SA"/>
        </w:rPr>
        <w:t>八、附件说明</w:t>
      </w:r>
      <w:bookmarkEnd w:id="826"/>
    </w:p>
    <w:p>
      <w:pPr>
        <w:pStyle w:val="2"/>
        <w:ind w:left="0" w:leftChars="0" w:firstLine="560" w:firstLineChars="200"/>
        <w:rPr>
          <w:rFonts w:hint="eastAsia" w:ascii="仿宋_GB2312" w:hAnsi="仿宋_GB2312" w:eastAsia="仿宋_GB2312" w:cs="仿宋_GB2312"/>
          <w:color w:val="auto"/>
          <w:kern w:val="0"/>
          <w:sz w:val="28"/>
          <w:szCs w:val="28"/>
          <w:highlight w:val="none"/>
          <w:lang w:val="en-US" w:eastAsia="zh-CN" w:bidi="ar-SA"/>
        </w:rPr>
      </w:pPr>
      <w:r>
        <w:rPr>
          <w:rFonts w:hint="eastAsia" w:ascii="仿宋_GB2312" w:hAnsi="仿宋_GB2312" w:eastAsia="仿宋_GB2312" w:cs="仿宋_GB2312"/>
          <w:color w:val="auto"/>
          <w:kern w:val="0"/>
          <w:sz w:val="28"/>
          <w:szCs w:val="28"/>
          <w:highlight w:val="none"/>
          <w:lang w:val="en-US" w:eastAsia="zh-CN" w:bidi="ar-SA"/>
        </w:rPr>
        <w:t>附件1 2022年度石狮市食品安全满意度调查问卷（市场监督管理局委托第三方对食品安全满意度进行问卷调查）</w:t>
      </w:r>
    </w:p>
    <w:p>
      <w:pPr>
        <w:pStyle w:val="2"/>
        <w:rPr>
          <w:rFonts w:hint="default"/>
          <w:lang w:val="en-US" w:eastAsia="zh-CN"/>
        </w:rPr>
      </w:pP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outlineLvl w:val="0"/>
        <w:rPr>
          <w:rFonts w:hint="eastAsia" w:ascii="仿宋" w:hAnsi="仿宋" w:eastAsia="仿宋" w:cs="仿宋"/>
          <w:b/>
          <w:bCs/>
          <w:sz w:val="28"/>
          <w:szCs w:val="28"/>
          <w:highlight w:val="none"/>
          <w:lang w:val="en-US" w:eastAsia="zh-CN"/>
        </w:rPr>
      </w:pP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outlineLvl w:val="0"/>
        <w:rPr>
          <w:rFonts w:hint="eastAsia" w:ascii="仿宋" w:hAnsi="仿宋" w:eastAsia="仿宋" w:cs="仿宋"/>
          <w:b/>
          <w:bCs/>
          <w:sz w:val="28"/>
          <w:szCs w:val="28"/>
          <w:highlight w:val="none"/>
          <w:lang w:val="en-US" w:eastAsia="zh-CN"/>
        </w:rPr>
      </w:pP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outlineLvl w:val="0"/>
        <w:rPr>
          <w:rFonts w:hint="eastAsia" w:ascii="仿宋" w:hAnsi="仿宋" w:eastAsia="仿宋" w:cs="仿宋"/>
          <w:b/>
          <w:bCs/>
          <w:sz w:val="28"/>
          <w:szCs w:val="28"/>
          <w:highlight w:val="none"/>
          <w:lang w:val="en-US" w:eastAsia="zh-CN"/>
        </w:rPr>
      </w:pP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outlineLvl w:val="0"/>
        <w:rPr>
          <w:rFonts w:hint="eastAsia" w:ascii="仿宋" w:hAnsi="仿宋" w:eastAsia="仿宋" w:cs="仿宋"/>
          <w:b/>
          <w:bCs/>
          <w:sz w:val="28"/>
          <w:szCs w:val="28"/>
          <w:highlight w:val="none"/>
          <w:lang w:val="en-US" w:eastAsia="zh-CN"/>
        </w:rPr>
      </w:pP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left"/>
        <w:textAlignment w:val="auto"/>
        <w:outlineLvl w:val="0"/>
        <w:rPr>
          <w:rFonts w:hint="eastAsia" w:ascii="仿宋" w:hAnsi="仿宋" w:eastAsia="仿宋" w:cs="仿宋"/>
          <w:b w:val="0"/>
          <w:bCs w:val="0"/>
          <w:color w:val="auto"/>
          <w:kern w:val="0"/>
          <w:sz w:val="28"/>
          <w:szCs w:val="28"/>
          <w:highlight w:val="none"/>
          <w:lang w:val="en-US" w:eastAsia="zh-CN"/>
        </w:rPr>
      </w:pPr>
      <w:bookmarkStart w:id="827" w:name="_Toc29775"/>
      <w:r>
        <w:rPr>
          <w:rFonts w:hint="eastAsia" w:ascii="仿宋" w:hAnsi="仿宋" w:eastAsia="仿宋" w:cs="仿宋"/>
          <w:b/>
          <w:bCs/>
          <w:sz w:val="28"/>
          <w:szCs w:val="28"/>
          <w:highlight w:val="none"/>
          <w:lang w:val="en-US" w:eastAsia="zh-CN"/>
        </w:rPr>
        <w:t>附件1</w:t>
      </w:r>
      <w:bookmarkEnd w:id="825"/>
      <w:bookmarkEnd w:id="827"/>
      <w:r>
        <w:rPr>
          <w:rFonts w:hint="eastAsia" w:ascii="仿宋" w:hAnsi="仿宋" w:eastAsia="仿宋" w:cs="仿宋"/>
          <w:sz w:val="28"/>
          <w:szCs w:val="28"/>
          <w:highlight w:val="none"/>
          <w:lang w:val="en-US" w:eastAsia="zh-CN"/>
        </w:rPr>
        <w:t xml:space="preserve"> </w:t>
      </w:r>
      <w:r>
        <w:rPr>
          <w:rFonts w:hint="eastAsia" w:ascii="仿宋" w:hAnsi="仿宋" w:eastAsia="仿宋" w:cs="仿宋"/>
          <w:b w:val="0"/>
          <w:bCs w:val="0"/>
          <w:color w:val="auto"/>
          <w:kern w:val="0"/>
          <w:sz w:val="28"/>
          <w:szCs w:val="28"/>
          <w:highlight w:val="non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outlineLvl w:val="0"/>
        <w:rPr>
          <w:rFonts w:hint="eastAsia" w:ascii="仿宋" w:hAnsi="仿宋" w:eastAsia="仿宋" w:cs="仿宋"/>
          <w:b/>
          <w:bCs/>
          <w:color w:val="auto"/>
          <w:sz w:val="32"/>
          <w:szCs w:val="32"/>
          <w:highlight w:val="none"/>
          <w:vertAlign w:val="baseline"/>
          <w:lang w:val="en-US" w:eastAsia="zh-CN"/>
        </w:rPr>
      </w:pPr>
      <w:bookmarkStart w:id="828" w:name="_Toc5809"/>
      <w:bookmarkStart w:id="829" w:name="_Toc21422"/>
      <w:bookmarkStart w:id="830" w:name="_Toc23197"/>
      <w:bookmarkStart w:id="831" w:name="_Toc32382"/>
      <w:bookmarkStart w:id="832" w:name="_Toc3090"/>
      <w:r>
        <w:rPr>
          <w:rFonts w:hint="eastAsia" w:ascii="仿宋" w:hAnsi="仿宋" w:eastAsia="仿宋" w:cs="仿宋"/>
          <w:b/>
          <w:bCs/>
          <w:color w:val="auto"/>
          <w:sz w:val="32"/>
          <w:szCs w:val="32"/>
          <w:highlight w:val="none"/>
          <w:vertAlign w:val="baseline"/>
          <w:lang w:val="en-US" w:eastAsia="zh-CN"/>
        </w:rPr>
        <w:t>2022年度石狮市食品安全满意度调查问卷</w:t>
      </w:r>
      <w:bookmarkEnd w:id="828"/>
      <w:bookmarkEnd w:id="829"/>
      <w:bookmarkEnd w:id="830"/>
      <w:bookmarkEnd w:id="831"/>
      <w:bookmarkEnd w:id="832"/>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您好！受食安办（食品安全委员会办公室）委托，我们正在开展有关“食品安全”方面的民意调查，想听听您的宝贵意见，可以耽误您一点时间回答几个问题吗？</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【甄别部分】</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S1.请问，您是居住在     街道（镇）吗？（单选）</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1.湖滨街道     2.凤里街道     3.灵秀镇      4.宝盖镇      5.蚶江镇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6.祥芝镇       7.鸿山镇       8.锦尚镇      9.永宁镇</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S2.请问，您在当地住了多久？【甄别条件】</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1.一年一下-【终止访问】       2.一年或一年以上</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S3.请问您是住在城镇还是农村？（单选）</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1.城镇          2.农村</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S4.请问，您的年龄处于哪个阶段？（单选）</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1.18岁一下-【终止访问】        2.18-24岁         3.25-34岁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4.35-49岁                      5.50-65岁         6.65岁以上-【终止访问】</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S5.请问您目前的职业是？（单选）</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sz w:val="28"/>
          <w:szCs w:val="28"/>
          <w:highlight w:val="none"/>
          <w:lang w:val="en-US" w:eastAsia="zh-CN"/>
        </w:rPr>
      </w:pPr>
      <w:r>
        <w:rPr>
          <w:rFonts w:hint="eastAsia" w:ascii="仿宋" w:hAnsi="仿宋" w:eastAsia="仿宋" w:cs="仿宋"/>
          <w:kern w:val="2"/>
          <w:sz w:val="24"/>
          <w:szCs w:val="24"/>
          <w:highlight w:val="none"/>
          <w:lang w:val="en-US" w:eastAsia="zh-CN" w:bidi="ar-SA"/>
        </w:rPr>
        <w:t xml:space="preserve">1.行政单位人员     2.事业单位人员     3.企业人员      4.其他：  </w:t>
      </w:r>
      <w:r>
        <w:rPr>
          <w:rFonts w:hint="eastAsia" w:ascii="仿宋" w:hAnsi="仿宋" w:eastAsia="仿宋" w:cs="仿宋"/>
          <w:sz w:val="28"/>
          <w:szCs w:val="28"/>
          <w:highlight w:val="none"/>
          <w:u w:val="single"/>
          <w:lang w:val="en-US" w:eastAsia="zh-CN"/>
        </w:rPr>
        <w:t xml:space="preserve">     </w:t>
      </w:r>
      <w:r>
        <w:rPr>
          <w:rFonts w:hint="eastAsia" w:ascii="仿宋" w:hAnsi="仿宋" w:eastAsia="仿宋" w:cs="仿宋"/>
          <w:sz w:val="28"/>
          <w:szCs w:val="28"/>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S6.请问，您的文化程度是？（单选）</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1.大学本科及以上     2.大学专科       3.高中/职中      4.初中及以下</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S7.记录被访者性别？（单选）</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1.男         2.女</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【主题问卷】</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Q1您通常在哪里购买食品？（多选）</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1.超市             2.食杂店              3.食品连锁店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4.集贸市场         5.街边小贩            6.其他（请注明）</w:t>
      </w:r>
      <w:r>
        <w:rPr>
          <w:rFonts w:hint="eastAsia" w:ascii="仿宋" w:hAnsi="仿宋" w:eastAsia="仿宋" w:cs="仿宋"/>
          <w:kern w:val="2"/>
          <w:sz w:val="24"/>
          <w:szCs w:val="24"/>
          <w:highlight w:val="none"/>
          <w:u w:val="single"/>
          <w:lang w:val="en-US" w:eastAsia="zh-CN" w:bidi="ar-SA"/>
        </w:rPr>
        <w:t xml:space="preserve">：             </w:t>
      </w:r>
      <w:r>
        <w:rPr>
          <w:rFonts w:hint="eastAsia" w:ascii="仿宋" w:hAnsi="仿宋" w:eastAsia="仿宋" w:cs="仿宋"/>
          <w:kern w:val="2"/>
          <w:sz w:val="24"/>
          <w:szCs w:val="24"/>
          <w:highlight w:val="none"/>
          <w:lang w:val="en-US" w:eastAsia="zh-CN" w:bidi="ar-SA"/>
        </w:rPr>
        <w:t xml:space="preserve"> </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Q2您购买食品时比较关心哪些方面？（多选）</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1.卫生安全         2.价格                   3.品牌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4.外包装           5.生产日期/保质期        6.相关检验证明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7.食品安全认证标志（SC/QS/绿色食品/有机食品认证等）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8.其他（请注明）</w:t>
      </w:r>
      <w:r>
        <w:rPr>
          <w:rFonts w:hint="eastAsia" w:ascii="仿宋" w:hAnsi="仿宋" w:eastAsia="仿宋" w:cs="仿宋"/>
          <w:kern w:val="2"/>
          <w:sz w:val="24"/>
          <w:szCs w:val="24"/>
          <w:highlight w:val="none"/>
          <w:u w:val="single"/>
          <w:lang w:val="en-US" w:eastAsia="zh-CN" w:bidi="ar-SA"/>
        </w:rPr>
        <w:t xml:space="preserve">：           </w:t>
      </w:r>
      <w:r>
        <w:rPr>
          <w:rFonts w:hint="eastAsia" w:ascii="仿宋" w:hAnsi="仿宋" w:eastAsia="仿宋" w:cs="仿宋"/>
          <w:kern w:val="2"/>
          <w:sz w:val="24"/>
          <w:szCs w:val="24"/>
          <w:highlight w:val="none"/>
          <w:lang w:val="en-US" w:eastAsia="zh-CN" w:bidi="ar-SA"/>
        </w:rPr>
        <w:t xml:space="preserve">   </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Q3.您是否知道或听说过今年以来当地政府部门开展的食品安全整治工作？比如开展食品质量抽查、查处销售“三无”/变质/过期食品、打击违法添加行为、取缔无证摊点、查处黑工厂/黑窝点/黑作坊、开展农药/兽药整治、打击销售病死猪肉等。（单选）</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1.知道         2.不知道</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Q4您觉得今年食品安全整治力度有加强吗？（单选）</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24"/>
          <w:highlight w:val="none"/>
          <w:lang w:val="en-US" w:eastAsia="zh-CN"/>
        </w:rPr>
      </w:pPr>
      <w:r>
        <w:rPr>
          <w:rFonts w:hint="eastAsia" w:ascii="仿宋" w:hAnsi="仿宋" w:eastAsia="仿宋" w:cs="仿宋"/>
          <w:kern w:val="2"/>
          <w:sz w:val="24"/>
          <w:szCs w:val="24"/>
          <w:highlight w:val="none"/>
          <w:lang w:val="en-US" w:eastAsia="zh-CN" w:bidi="ar-SA"/>
        </w:rPr>
        <w:t>1.</w:t>
      </w:r>
      <w:r>
        <w:rPr>
          <w:rFonts w:hint="eastAsia" w:ascii="仿宋" w:hAnsi="仿宋" w:eastAsia="仿宋" w:cs="仿宋"/>
          <w:sz w:val="24"/>
          <w:szCs w:val="24"/>
          <w:highlight w:val="none"/>
          <w:lang w:val="en-US" w:eastAsia="zh-CN"/>
        </w:rPr>
        <w:t>明显提高   2.略有提高   3.差不多   4.略有下降   5.明显下降   6.不了解</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Q5您今年看到食品安全相关宣传吗？（单选）</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val="0"/>
          <w:bCs w:val="0"/>
          <w:kern w:val="2"/>
          <w:sz w:val="24"/>
          <w:szCs w:val="24"/>
          <w:highlight w:val="none"/>
          <w:lang w:val="en-US" w:eastAsia="zh-CN" w:bidi="ar-SA"/>
        </w:rPr>
      </w:pPr>
      <w:r>
        <w:rPr>
          <w:rFonts w:hint="eastAsia" w:ascii="仿宋" w:hAnsi="仿宋" w:eastAsia="仿宋" w:cs="仿宋"/>
          <w:b w:val="0"/>
          <w:bCs w:val="0"/>
          <w:kern w:val="2"/>
          <w:sz w:val="24"/>
          <w:szCs w:val="24"/>
          <w:highlight w:val="none"/>
          <w:lang w:val="en-US" w:eastAsia="zh-CN" w:bidi="ar-SA"/>
        </w:rPr>
        <w:t>1.经常看到    2.较少看到    3.很少看到    4.从未看到</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Q6.您认为本地蔬菜的安全性有提高吗？（单选）</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24"/>
          <w:highlight w:val="none"/>
          <w:lang w:val="en-US" w:eastAsia="zh-CN"/>
        </w:rPr>
      </w:pPr>
      <w:r>
        <w:rPr>
          <w:rFonts w:hint="eastAsia" w:ascii="仿宋" w:hAnsi="仿宋" w:eastAsia="仿宋" w:cs="仿宋"/>
          <w:kern w:val="2"/>
          <w:sz w:val="24"/>
          <w:szCs w:val="24"/>
          <w:highlight w:val="none"/>
          <w:lang w:val="en-US" w:eastAsia="zh-CN" w:bidi="ar-SA"/>
        </w:rPr>
        <w:t>1.</w:t>
      </w:r>
      <w:r>
        <w:rPr>
          <w:rFonts w:hint="eastAsia" w:ascii="仿宋" w:hAnsi="仿宋" w:eastAsia="仿宋" w:cs="仿宋"/>
          <w:sz w:val="24"/>
          <w:szCs w:val="24"/>
          <w:highlight w:val="none"/>
          <w:lang w:val="en-US" w:eastAsia="zh-CN"/>
        </w:rPr>
        <w:t>明显提高   2.略有提高   3.差不多   4.略有下降   5.明显下降   6.不了解</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Q7.您认为本地肉类的安全性有提高吗？（单选）</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24"/>
          <w:highlight w:val="none"/>
          <w:lang w:val="en-US" w:eastAsia="zh-CN"/>
        </w:rPr>
      </w:pPr>
      <w:r>
        <w:rPr>
          <w:rFonts w:hint="eastAsia" w:ascii="仿宋" w:hAnsi="仿宋" w:eastAsia="仿宋" w:cs="仿宋"/>
          <w:kern w:val="2"/>
          <w:sz w:val="24"/>
          <w:szCs w:val="24"/>
          <w:highlight w:val="none"/>
          <w:lang w:val="en-US" w:eastAsia="zh-CN" w:bidi="ar-SA"/>
        </w:rPr>
        <w:t>1.</w:t>
      </w:r>
      <w:r>
        <w:rPr>
          <w:rFonts w:hint="eastAsia" w:ascii="仿宋" w:hAnsi="仿宋" w:eastAsia="仿宋" w:cs="仿宋"/>
          <w:sz w:val="24"/>
          <w:szCs w:val="24"/>
          <w:highlight w:val="none"/>
          <w:lang w:val="en-US" w:eastAsia="zh-CN"/>
        </w:rPr>
        <w:t>明显提高   2.略有提高   3.差不多   4.略有下降   5.明显下降   6.不了解</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Q8.您认为本地水产品安全性有提高吗？（单选）</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24"/>
          <w:highlight w:val="none"/>
          <w:lang w:val="en-US" w:eastAsia="zh-CN"/>
        </w:rPr>
      </w:pPr>
      <w:r>
        <w:rPr>
          <w:rFonts w:hint="eastAsia" w:ascii="仿宋" w:hAnsi="仿宋" w:eastAsia="仿宋" w:cs="仿宋"/>
          <w:kern w:val="2"/>
          <w:sz w:val="24"/>
          <w:szCs w:val="24"/>
          <w:highlight w:val="none"/>
          <w:lang w:val="en-US" w:eastAsia="zh-CN" w:bidi="ar-SA"/>
        </w:rPr>
        <w:t>1.</w:t>
      </w:r>
      <w:r>
        <w:rPr>
          <w:rFonts w:hint="eastAsia" w:ascii="仿宋" w:hAnsi="仿宋" w:eastAsia="仿宋" w:cs="仿宋"/>
          <w:sz w:val="24"/>
          <w:szCs w:val="24"/>
          <w:highlight w:val="none"/>
          <w:lang w:val="en-US" w:eastAsia="zh-CN"/>
        </w:rPr>
        <w:t>明显提高   2.略有提高   3.差不多   4.略有下降   5.明显下降   6.不了解</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Q9.您认为本地其他食品（蔬菜、肉类、水产品除外）的安全性有提高吗？（单选）</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24"/>
          <w:highlight w:val="none"/>
          <w:lang w:val="en-US" w:eastAsia="zh-CN"/>
        </w:rPr>
      </w:pPr>
      <w:r>
        <w:rPr>
          <w:rFonts w:hint="eastAsia" w:ascii="仿宋" w:hAnsi="仿宋" w:eastAsia="仿宋" w:cs="仿宋"/>
          <w:kern w:val="2"/>
          <w:sz w:val="24"/>
          <w:szCs w:val="24"/>
          <w:highlight w:val="none"/>
          <w:lang w:val="en-US" w:eastAsia="zh-CN" w:bidi="ar-SA"/>
        </w:rPr>
        <w:t>1.</w:t>
      </w:r>
      <w:r>
        <w:rPr>
          <w:rFonts w:hint="eastAsia" w:ascii="仿宋" w:hAnsi="仿宋" w:eastAsia="仿宋" w:cs="仿宋"/>
          <w:sz w:val="24"/>
          <w:szCs w:val="24"/>
          <w:highlight w:val="none"/>
          <w:lang w:val="en-US" w:eastAsia="zh-CN"/>
        </w:rPr>
        <w:t>明显提高   2.略有提高   3.差不多   4.略有下降   5.明显下降   6.不了解</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Q10.您认为本地餐饮业的安全性有提高吗？（单选）</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24"/>
          <w:highlight w:val="none"/>
          <w:lang w:val="en-US" w:eastAsia="zh-CN"/>
        </w:rPr>
      </w:pPr>
      <w:r>
        <w:rPr>
          <w:rFonts w:hint="eastAsia" w:ascii="仿宋" w:hAnsi="仿宋" w:eastAsia="仿宋" w:cs="仿宋"/>
          <w:kern w:val="2"/>
          <w:sz w:val="24"/>
          <w:szCs w:val="24"/>
          <w:highlight w:val="none"/>
          <w:lang w:val="en-US" w:eastAsia="zh-CN" w:bidi="ar-SA"/>
        </w:rPr>
        <w:t>1.</w:t>
      </w:r>
      <w:r>
        <w:rPr>
          <w:rFonts w:hint="eastAsia" w:ascii="仿宋" w:hAnsi="仿宋" w:eastAsia="仿宋" w:cs="仿宋"/>
          <w:sz w:val="24"/>
          <w:szCs w:val="24"/>
          <w:highlight w:val="none"/>
          <w:lang w:val="en-US" w:eastAsia="zh-CN"/>
        </w:rPr>
        <w:t>明显提高   2.略有提高   3.差不多   4.略有下降   5.明显下降   6.不了解</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Q11.您今年有遇到过食品安全方面的问题吗？（单选）、</w:t>
      </w: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1.经常遇到   2.极少遇到   3.偶尔遇到    4.从未遇到-【跳至Q15】</w:t>
      </w:r>
    </w:p>
    <w:p>
      <w:pPr>
        <w:keepNext w:val="0"/>
        <w:keepLines w:val="0"/>
        <w:pageBreakBefore w:val="0"/>
        <w:widowControl w:val="0"/>
        <w:kinsoku/>
        <w:wordWrap/>
        <w:overflowPunct/>
        <w:topLinePunct w:val="0"/>
        <w:autoSpaceDE/>
        <w:autoSpaceDN/>
        <w:bidi w:val="0"/>
        <w:adjustRightInd/>
        <w:snapToGrid/>
        <w:textAlignment w:val="auto"/>
        <w:rPr>
          <w:rFonts w:hint="eastAsia" w:ascii="仿宋" w:hAnsi="仿宋" w:eastAsia="仿宋" w:cs="仿宋"/>
          <w:b/>
          <w:bCs/>
          <w:kern w:val="2"/>
          <w:sz w:val="28"/>
          <w:szCs w:val="28"/>
          <w:highlight w:val="none"/>
          <w:lang w:val="en-US" w:eastAsia="zh-CN" w:bidi="ar-SA"/>
        </w:rPr>
      </w:pPr>
      <w:r>
        <w:rPr>
          <w:rFonts w:hint="eastAsia" w:ascii="仿宋" w:hAnsi="仿宋" w:eastAsia="仿宋" w:cs="仿宋"/>
          <w:b/>
          <w:bCs/>
          <w:kern w:val="2"/>
          <w:sz w:val="28"/>
          <w:szCs w:val="28"/>
          <w:highlight w:val="none"/>
          <w:lang w:val="en-US" w:eastAsia="zh-CN" w:bidi="ar-SA"/>
        </w:rPr>
        <w:t>Q12.您今年遇到的食品安全问题有哪些？（多选）</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24"/>
          <w:highlight w:val="none"/>
          <w:lang w:val="en-US" w:eastAsia="zh-CN"/>
        </w:rPr>
      </w:pPr>
      <w:r>
        <w:rPr>
          <w:rFonts w:hint="eastAsia" w:ascii="仿宋" w:hAnsi="仿宋" w:eastAsia="仿宋" w:cs="仿宋"/>
          <w:kern w:val="2"/>
          <w:sz w:val="24"/>
          <w:szCs w:val="24"/>
          <w:highlight w:val="none"/>
          <w:lang w:val="en-US" w:eastAsia="zh-CN" w:bidi="ar-SA"/>
        </w:rPr>
        <w:t>1.</w:t>
      </w:r>
      <w:r>
        <w:rPr>
          <w:rFonts w:hint="eastAsia" w:ascii="仿宋" w:hAnsi="仿宋" w:eastAsia="仿宋" w:cs="仿宋"/>
          <w:sz w:val="24"/>
          <w:szCs w:val="24"/>
          <w:highlight w:val="none"/>
          <w:lang w:val="en-US" w:eastAsia="zh-CN"/>
        </w:rPr>
        <w:t xml:space="preserve">注水肉、病害肉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2.有害物超标食品（如农药残留超标果蔬）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3.三无产品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Chars="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4.过期变质食品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Chars="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5.包装不合格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Chars="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6.以假充真、以次充好的食品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Chars="0"/>
        <w:textAlignment w:val="auto"/>
        <w:rPr>
          <w:rFonts w:hint="eastAsia" w:ascii="仿宋" w:hAnsi="仿宋" w:eastAsia="仿宋" w:cs="仿宋"/>
          <w:sz w:val="28"/>
          <w:szCs w:val="28"/>
          <w:highlight w:val="none"/>
          <w:lang w:val="en-US" w:eastAsia="zh-CN"/>
        </w:rPr>
      </w:pPr>
      <w:r>
        <w:rPr>
          <w:rFonts w:hint="eastAsia" w:ascii="仿宋" w:hAnsi="仿宋" w:eastAsia="仿宋" w:cs="仿宋"/>
          <w:sz w:val="24"/>
          <w:szCs w:val="24"/>
          <w:highlight w:val="none"/>
          <w:lang w:val="en-US" w:eastAsia="zh-CN"/>
        </w:rPr>
        <w:t xml:space="preserve">7.食品卫生问题（比如食物里有虫、泥土等） </w:t>
      </w:r>
      <w:r>
        <w:rPr>
          <w:rFonts w:hint="eastAsia" w:ascii="仿宋" w:hAnsi="仿宋" w:eastAsia="仿宋" w:cs="仿宋"/>
          <w:sz w:val="28"/>
          <w:szCs w:val="28"/>
          <w:highlight w:val="none"/>
          <w:lang w:val="en-US" w:eastAsia="zh-CN"/>
        </w:rPr>
        <w:t xml:space="preserve">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Chars="0"/>
        <w:textAlignment w:val="auto"/>
        <w:rPr>
          <w:rFonts w:hint="default" w:ascii="仿宋" w:hAnsi="仿宋" w:eastAsia="仿宋" w:cs="仿宋"/>
          <w:sz w:val="28"/>
          <w:szCs w:val="28"/>
          <w:highlight w:val="none"/>
          <w:u w:val="single"/>
          <w:lang w:val="en-US" w:eastAsia="zh-CN"/>
        </w:rPr>
      </w:pPr>
      <w:r>
        <w:rPr>
          <w:rFonts w:hint="eastAsia" w:ascii="仿宋" w:hAnsi="仿宋" w:eastAsia="仿宋" w:cs="仿宋"/>
          <w:sz w:val="24"/>
          <w:szCs w:val="24"/>
          <w:highlight w:val="none"/>
          <w:lang w:val="en-US" w:eastAsia="zh-CN"/>
        </w:rPr>
        <w:t>8.其他（请注明）：</w:t>
      </w:r>
      <w:r>
        <w:rPr>
          <w:rFonts w:hint="eastAsia" w:ascii="仿宋" w:hAnsi="仿宋" w:eastAsia="仿宋" w:cs="仿宋"/>
          <w:sz w:val="24"/>
          <w:szCs w:val="24"/>
          <w:highlight w:val="none"/>
          <w:u w:val="single"/>
          <w:lang w:val="en-US" w:eastAsia="zh-CN"/>
        </w:rPr>
        <w:t xml:space="preserve">       </w:t>
      </w: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Q13.针对今年遇到的食品安全问题，您采取过哪些措施？（多选）</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1.与经营者交涉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2.向消费者协会投诉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3.向食品药品监管局等部门投诉</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4.向媒体反映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5.向法院控告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6.其他途径：</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7.想要投诉不知向哪里投（跳问Q15）</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8.算了，自认倒霉（跳问Q15）</w:t>
      </w: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Q14.今年遇到的食品安全问题有解决吗？（单选）</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1.解决了，且处理结果满意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2.解决了，处理结果一般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 xml:space="preserve">3.解决了，但处理结果不满意 </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4.有人处理，但还未解决</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5.投诉了，没人处理</w:t>
      </w: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Q15.您认为产生食品安全问题有哪些原因呢？（多选）</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1.不法食品生产加工企业和个人利欲熏心</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2.对失信企业和假冒伪劣的惩罚力度不够</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3.个人购买者鉴别能力不高</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4.个人购买者安全意识不强</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5.主管部门监管不严</w:t>
      </w:r>
    </w:p>
    <w:p>
      <w:pPr>
        <w:pStyle w:val="2"/>
        <w:keepNext w:val="0"/>
        <w:keepLines w:val="0"/>
        <w:pageBreakBefore w:val="0"/>
        <w:widowControl w:val="0"/>
        <w:numPr>
          <w:ilvl w:val="0"/>
          <w:numId w:val="0"/>
        </w:numPr>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kern w:val="2"/>
          <w:sz w:val="24"/>
          <w:szCs w:val="24"/>
          <w:highlight w:val="none"/>
          <w:lang w:val="en-US" w:eastAsia="zh-CN" w:bidi="ar-SA"/>
        </w:rPr>
      </w:pPr>
      <w:r>
        <w:rPr>
          <w:rFonts w:hint="eastAsia" w:ascii="仿宋" w:hAnsi="仿宋" w:eastAsia="仿宋" w:cs="仿宋"/>
          <w:kern w:val="2"/>
          <w:sz w:val="24"/>
          <w:szCs w:val="24"/>
          <w:highlight w:val="none"/>
          <w:lang w:val="en-US" w:eastAsia="zh-CN" w:bidi="ar-SA"/>
        </w:rPr>
        <w:t>6.其他，请注明：</w:t>
      </w: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Q16.您会主动获取食品安全方面的信息吗？（单选）</w:t>
      </w:r>
    </w:p>
    <w:p>
      <w:pPr>
        <w:keepNext w:val="0"/>
        <w:keepLines w:val="0"/>
        <w:pageBreakBefore w:val="0"/>
        <w:widowControl w:val="0"/>
        <w:numPr>
          <w:ilvl w:val="0"/>
          <w:numId w:val="0"/>
        </w:numPr>
        <w:kinsoku/>
        <w:wordWrap/>
        <w:overflowPunct/>
        <w:topLinePunct w:val="0"/>
        <w:autoSpaceDE/>
        <w:autoSpaceDN/>
        <w:bidi w:val="0"/>
        <w:adjustRightInd/>
        <w:snapToGrid/>
        <w:textAlignment w:val="auto"/>
        <w:rPr>
          <w:rFonts w:hint="eastAsia" w:ascii="仿宋" w:hAnsi="仿宋" w:eastAsia="仿宋" w:cs="仿宋"/>
          <w:sz w:val="24"/>
          <w:szCs w:val="24"/>
          <w:highlight w:val="none"/>
          <w:lang w:val="en-US" w:eastAsia="zh-CN"/>
        </w:rPr>
      </w:pPr>
      <w:r>
        <w:rPr>
          <w:rFonts w:hint="eastAsia" w:ascii="仿宋" w:hAnsi="仿宋" w:eastAsia="仿宋" w:cs="仿宋"/>
          <w:kern w:val="2"/>
          <w:sz w:val="24"/>
          <w:szCs w:val="24"/>
          <w:highlight w:val="none"/>
          <w:lang w:val="en-US" w:eastAsia="zh-CN" w:bidi="ar-SA"/>
        </w:rPr>
        <w:t>1.</w:t>
      </w:r>
      <w:r>
        <w:rPr>
          <w:rFonts w:hint="eastAsia" w:ascii="仿宋" w:hAnsi="仿宋" w:eastAsia="仿宋" w:cs="仿宋"/>
          <w:sz w:val="24"/>
          <w:szCs w:val="24"/>
          <w:highlight w:val="none"/>
          <w:lang w:val="en-US" w:eastAsia="zh-CN"/>
        </w:rPr>
        <w:t>经常搜索和查找 2.偶尔搜索和查找 3.从不主动搜索和查找</w:t>
      </w:r>
    </w:p>
    <w:p>
      <w:pPr>
        <w:pStyle w:val="2"/>
        <w:keepNext w:val="0"/>
        <w:keepLines w:val="0"/>
        <w:pageBreakBefore w:val="0"/>
        <w:widowControl w:val="0"/>
        <w:kinsoku/>
        <w:wordWrap/>
        <w:overflowPunct/>
        <w:topLinePunct w:val="0"/>
        <w:autoSpaceDE/>
        <w:autoSpaceDN/>
        <w:bidi w:val="0"/>
        <w:adjustRightInd/>
        <w:snapToGrid/>
        <w:spacing w:after="0"/>
        <w:ind w:left="0" w:leftChars="0" w:firstLine="0" w:firstLineChars="0"/>
        <w:textAlignment w:val="auto"/>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Q17.您觉得食品安全工作在哪些方面还需要改进，如何改进呢？</w:t>
      </w:r>
    </w:p>
    <w:p>
      <w:pPr>
        <w:rPr>
          <w:rFonts w:hint="default" w:ascii="仿宋" w:hAnsi="仿宋" w:eastAsia="仿宋" w:cs="仿宋"/>
          <w:b/>
          <w:bCs/>
          <w:sz w:val="28"/>
          <w:szCs w:val="28"/>
          <w:highlight w:val="none"/>
          <w:lang w:val="en-US" w:eastAsia="zh-CN"/>
        </w:rPr>
      </w:pPr>
      <w:r>
        <w:rPr>
          <w:rFonts w:hint="eastAsia" w:ascii="仿宋" w:hAnsi="仿宋" w:eastAsia="仿宋" w:cs="仿宋"/>
          <w:b/>
          <w:bCs/>
          <w:sz w:val="28"/>
          <w:szCs w:val="28"/>
          <w:highlight w:val="none"/>
          <w:u w:val="single"/>
          <w:lang w:val="en-US" w:eastAsia="zh-CN"/>
        </w:rPr>
        <w:t xml:space="preserve">                                                              </w:t>
      </w:r>
      <w:r>
        <w:rPr>
          <w:rFonts w:hint="eastAsia" w:ascii="仿宋" w:hAnsi="仿宋" w:eastAsia="仿宋" w:cs="仿宋"/>
          <w:b/>
          <w:bCs/>
          <w:sz w:val="28"/>
          <w:szCs w:val="28"/>
          <w:highlight w:val="none"/>
          <w:lang w:val="en-US" w:eastAsia="zh-CN"/>
        </w:rPr>
        <w:t xml:space="preserve">                                   </w:t>
      </w:r>
    </w:p>
    <w:p>
      <w:pPr>
        <w:pStyle w:val="2"/>
        <w:ind w:left="0" w:leftChars="0" w:firstLine="0" w:firstLineChars="0"/>
        <w:jc w:val="both"/>
        <w:rPr>
          <w:rFonts w:hint="default" w:ascii="仿宋" w:hAnsi="仿宋" w:eastAsia="仿宋" w:cs="仿宋"/>
          <w:b/>
          <w:bCs/>
          <w:sz w:val="28"/>
          <w:szCs w:val="28"/>
          <w:highlight w:val="none"/>
          <w:u w:val="single"/>
          <w:lang w:val="en-US" w:eastAsia="zh-CN"/>
        </w:rPr>
      </w:pPr>
      <w:r>
        <w:rPr>
          <w:rFonts w:hint="eastAsia" w:ascii="仿宋" w:hAnsi="仿宋" w:eastAsia="仿宋" w:cs="仿宋"/>
          <w:b/>
          <w:bCs/>
          <w:sz w:val="28"/>
          <w:szCs w:val="28"/>
          <w:highlight w:val="none"/>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jc w:val="both"/>
        <w:textAlignment w:val="auto"/>
        <w:rPr>
          <w:rFonts w:hint="eastAsia" w:ascii="仿宋" w:hAnsi="仿宋" w:eastAsia="仿宋" w:cs="仿宋"/>
          <w:sz w:val="28"/>
          <w:szCs w:val="28"/>
          <w:highlight w:val="none"/>
          <w:lang w:val="en-US" w:eastAsia="zh-CN"/>
        </w:rPr>
      </w:pPr>
    </w:p>
    <w:p>
      <w:pPr>
        <w:pStyle w:val="2"/>
        <w:spacing w:line="240" w:lineRule="auto"/>
        <w:ind w:left="0" w:leftChars="0" w:firstLine="0" w:firstLineChars="0"/>
        <w:jc w:val="center"/>
        <w:outlineLvl w:val="0"/>
        <w:rPr>
          <w:rFonts w:hint="eastAsia" w:ascii="仿宋" w:hAnsi="仿宋" w:eastAsia="仿宋" w:cs="仿宋"/>
          <w:sz w:val="28"/>
          <w:szCs w:val="28"/>
          <w:highlight w:val="none"/>
          <w:lang w:val="en-US" w:eastAsia="zh-CN"/>
        </w:rPr>
      </w:pPr>
      <w:bookmarkStart w:id="833" w:name="_Toc8776"/>
      <w:bookmarkStart w:id="834" w:name="_Toc3617"/>
      <w:bookmarkStart w:id="835" w:name="_Toc9770"/>
      <w:bookmarkStart w:id="836" w:name="_Toc11133"/>
      <w:bookmarkStart w:id="837" w:name="_Toc10219"/>
      <w:r>
        <w:rPr>
          <w:rFonts w:hint="eastAsia" w:ascii="仿宋" w:hAnsi="仿宋" w:eastAsia="仿宋" w:cs="仿宋"/>
          <w:sz w:val="28"/>
          <w:szCs w:val="28"/>
          <w:highlight w:val="none"/>
          <w:lang w:val="en-US" w:eastAsia="zh-CN"/>
        </w:rPr>
        <w:t>---再次感谢您的支持与配合，祝您和您的家人身体健康，万事如意！</w:t>
      </w:r>
      <w:bookmarkEnd w:id="833"/>
      <w:bookmarkEnd w:id="834"/>
      <w:bookmarkEnd w:id="835"/>
      <w:bookmarkEnd w:id="836"/>
      <w:bookmarkEnd w:id="837"/>
      <w:bookmarkStart w:id="838" w:name="_Toc23163"/>
      <w:bookmarkStart w:id="839" w:name="_Toc17964"/>
      <w:bookmarkStart w:id="840" w:name="_Toc14943"/>
    </w:p>
    <w:bookmarkEnd w:id="838"/>
    <w:bookmarkEnd w:id="839"/>
    <w:bookmarkEnd w:id="840"/>
    <w:p>
      <w:pPr>
        <w:pStyle w:val="21"/>
        <w:ind w:left="0" w:leftChars="0" w:firstLine="0" w:firstLineChars="0"/>
        <w:outlineLvl w:val="0"/>
        <w:rPr>
          <w:rFonts w:hint="eastAsia" w:ascii="仿宋" w:hAnsi="仿宋" w:eastAsia="仿宋" w:cs="仿宋"/>
          <w:sz w:val="28"/>
          <w:szCs w:val="28"/>
          <w:highlight w:val="none"/>
          <w:lang w:val="en-US" w:eastAsia="zh-CN"/>
        </w:rPr>
      </w:pPr>
    </w:p>
    <w:sectPr>
      <w:headerReference r:id="rId9" w:type="default"/>
      <w:pgSz w:w="11906" w:h="16838"/>
      <w:pgMar w:top="1440" w:right="1519" w:bottom="1440" w:left="1587" w:header="851" w:footer="992" w:gutter="0"/>
      <w:pgBorders>
        <w:top w:val="none" w:sz="0" w:space="0"/>
        <w:left w:val="none" w:sz="0" w:space="0"/>
        <w:bottom w:val="none" w:sz="0" w:space="0"/>
        <w:right w:val="none" w:sz="0" w:space="0"/>
      </w:pgBorders>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GWZT-EN"/>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GWZT-EN"/>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仿宋">
    <w:altName w:val="仿宋_GB2312"/>
    <w:panose1 w:val="02010609060101010101"/>
    <w:charset w:val="86"/>
    <w:family w:val="auto"/>
    <w:pitch w:val="default"/>
    <w:sig w:usb0="00000000" w:usb1="00000000"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华文行楷">
    <w:panose1 w:val="02010800040101010101"/>
    <w:charset w:val="86"/>
    <w:family w:val="auto"/>
    <w:pitch w:val="default"/>
    <w:sig w:usb0="00000001" w:usb1="080F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GWZT-EN">
    <w:panose1 w:val="02020400000000000000"/>
    <w:charset w:val="86"/>
    <w:family w:val="auto"/>
    <w:pitch w:val="default"/>
    <w:sig w:usb0="A00002BF" w:usb1="38CF7CFA" w:usb2="00082016" w:usb3="00000000" w:csb0="00040001"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outlineLvl w:val="1"/>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&#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JIJGtDECAABhBAAADgAAAAAAAAABACAAAAA1&#10;AQAAZHJzL2Uyb0RvYy54bWxQSwUGAAAAAAYABgBZAQAA2A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jc w:val="right"/>
      <w:rPr>
        <w:rFonts w:hint="eastAsia" w:ascii="黑体" w:hAnsi="黑体" w:eastAsia="黑体" w:cs="黑体"/>
        <w:sz w:val="21"/>
        <w:szCs w:val="21"/>
        <w:lang w:val="en-US" w:eastAsia="zh-CN"/>
      </w:rPr>
    </w:pPr>
  </w:p>
  <w:p>
    <w:pPr>
      <w:pStyle w:val="8"/>
      <w:pBdr>
        <w:bottom w:val="none" w:color="auto" w:sz="0" w:space="1"/>
      </w:pBdr>
      <w:rPr>
        <w:rFonts w:hint="default"/>
        <w:lang w:val="en-US"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double" w:color="auto" w:sz="8" w:space="1"/>
      </w:pBdr>
      <w:jc w:val="right"/>
      <w:rPr>
        <w:rFonts w:hint="eastAsia" w:ascii="黑体" w:hAnsi="黑体" w:eastAsia="黑体" w:cs="黑体"/>
        <w:sz w:val="21"/>
        <w:szCs w:val="21"/>
        <w:lang w:val="en-US" w:eastAsia="zh-CN"/>
      </w:rPr>
    </w:pPr>
    <w:r>
      <w:rPr>
        <w:rFonts w:hint="eastAsia"/>
        <w:b/>
        <w:bCs/>
        <w:sz w:val="18"/>
        <w:szCs w:val="18"/>
      </w:rPr>
      <w:drawing>
        <wp:anchor distT="0" distB="0" distL="114300" distR="114300" simplePos="0" relativeHeight="251660288" behindDoc="0" locked="0" layoutInCell="1" allowOverlap="1">
          <wp:simplePos x="0" y="0"/>
          <wp:positionH relativeFrom="column">
            <wp:posOffset>5805170</wp:posOffset>
          </wp:positionH>
          <wp:positionV relativeFrom="paragraph">
            <wp:posOffset>-45720</wp:posOffset>
          </wp:positionV>
          <wp:extent cx="306705" cy="299085"/>
          <wp:effectExtent l="0" t="0" r="13335" b="5715"/>
          <wp:wrapSquare wrapText="bothSides"/>
          <wp:docPr id="5" name="图片 5" descr="C:\Users\ASUS\AppData\Local\Temp\WeChat Files\f186046fc3a4df704901618a4b76e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ASUS\AppData\Local\Temp\WeChat Files\f186046fc3a4df704901618a4b76ec6.png"/>
                  <pic:cNvPicPr>
                    <a:picLocks noChangeAspect="1" noChangeArrowheads="1"/>
                  </pic:cNvPicPr>
                </pic:nvPicPr>
                <pic:blipFill>
                  <a:blip r:embed="rId1"/>
                  <a:srcRect/>
                  <a:stretch>
                    <a:fillRect/>
                  </a:stretch>
                </pic:blipFill>
                <pic:spPr>
                  <a:xfrm>
                    <a:off x="0" y="0"/>
                    <a:ext cx="306705" cy="299085"/>
                  </a:xfrm>
                  <a:prstGeom prst="rect">
                    <a:avLst/>
                  </a:prstGeom>
                  <a:noFill/>
                  <a:ln w="9525" cmpd="sng">
                    <a:noFill/>
                    <a:miter lim="800000"/>
                    <a:headEnd/>
                    <a:tailEnd/>
                  </a:ln>
                  <a:effectLst/>
                </pic:spPr>
              </pic:pic>
            </a:graphicData>
          </a:graphic>
        </wp:anchor>
      </w:drawing>
    </w:r>
    <w:r>
      <w:rPr>
        <w:rFonts w:hint="eastAsia" w:ascii="黑体" w:hAnsi="黑体" w:eastAsia="黑体" w:cs="黑体"/>
        <w:sz w:val="21"/>
        <w:szCs w:val="21"/>
        <w:lang w:val="en-US" w:eastAsia="zh-CN"/>
      </w:rPr>
      <w:t>泉州市招标咨询中心地方财政绩效评价所</w:t>
    </w:r>
  </w:p>
  <w:p>
    <w:pPr>
      <w:pStyle w:val="8"/>
      <w:rPr>
        <w:rFonts w:hint="default"/>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double" w:color="auto" w:sz="8" w:space="1"/>
      </w:pBdr>
      <w:jc w:val="right"/>
      <w:rPr>
        <w:rFonts w:hint="eastAsia" w:ascii="黑体" w:hAnsi="黑体" w:eastAsia="黑体" w:cs="黑体"/>
        <w:sz w:val="21"/>
        <w:szCs w:val="21"/>
        <w:lang w:val="en-US" w:eastAsia="zh-CN"/>
      </w:rPr>
    </w:pPr>
    <w:r>
      <w:rPr>
        <w:rFonts w:hint="eastAsia"/>
        <w:b/>
        <w:bCs/>
        <w:sz w:val="18"/>
        <w:szCs w:val="18"/>
      </w:rPr>
      <w:drawing>
        <wp:anchor distT="0" distB="0" distL="114300" distR="114300" simplePos="0" relativeHeight="251659264" behindDoc="0" locked="0" layoutInCell="1" allowOverlap="1">
          <wp:simplePos x="0" y="0"/>
          <wp:positionH relativeFrom="column">
            <wp:posOffset>5565140</wp:posOffset>
          </wp:positionH>
          <wp:positionV relativeFrom="paragraph">
            <wp:posOffset>-77470</wp:posOffset>
          </wp:positionV>
          <wp:extent cx="306705" cy="299085"/>
          <wp:effectExtent l="0" t="0" r="13335" b="5715"/>
          <wp:wrapSquare wrapText="bothSides"/>
          <wp:docPr id="3" name="图片 3" descr="C:\Users\ASUS\AppData\Local\Temp\WeChat Files\f186046fc3a4df704901618a4b76e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ASUS\AppData\Local\Temp\WeChat Files\f186046fc3a4df704901618a4b76ec6.png"/>
                  <pic:cNvPicPr>
                    <a:picLocks noChangeAspect="1" noChangeArrowheads="1"/>
                  </pic:cNvPicPr>
                </pic:nvPicPr>
                <pic:blipFill>
                  <a:blip r:embed="rId1"/>
                  <a:srcRect/>
                  <a:stretch>
                    <a:fillRect/>
                  </a:stretch>
                </pic:blipFill>
                <pic:spPr>
                  <a:xfrm>
                    <a:off x="0" y="0"/>
                    <a:ext cx="306705" cy="299085"/>
                  </a:xfrm>
                  <a:prstGeom prst="rect">
                    <a:avLst/>
                  </a:prstGeom>
                  <a:noFill/>
                  <a:ln w="9525" cmpd="sng">
                    <a:noFill/>
                    <a:miter lim="800000"/>
                    <a:headEnd/>
                    <a:tailEnd/>
                  </a:ln>
                  <a:effectLst/>
                </pic:spPr>
              </pic:pic>
            </a:graphicData>
          </a:graphic>
        </wp:anchor>
      </w:drawing>
    </w:r>
    <w:r>
      <w:rPr>
        <w:rFonts w:hint="eastAsia" w:ascii="黑体" w:hAnsi="黑体" w:eastAsia="黑体" w:cs="黑体"/>
        <w:sz w:val="21"/>
        <w:szCs w:val="21"/>
        <w:lang w:val="en-US" w:eastAsia="zh-CN"/>
      </w:rPr>
      <w:t>泉州市招标咨询中心地方财政绩效评价所</w:t>
    </w:r>
  </w:p>
  <w:p>
    <w:pPr>
      <w:pStyle w:val="8"/>
      <w:rPr>
        <w:rFonts w:hint="default"/>
        <w:lang w:val="en-US"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double" w:color="auto" w:sz="8" w:space="1"/>
      </w:pBdr>
      <w:jc w:val="right"/>
      <w:rPr>
        <w:rFonts w:hint="eastAsia" w:ascii="黑体" w:hAnsi="黑体" w:eastAsia="黑体" w:cs="黑体"/>
        <w:sz w:val="21"/>
        <w:szCs w:val="21"/>
        <w:lang w:val="en-US" w:eastAsia="zh-CN"/>
      </w:rPr>
    </w:pPr>
    <w:r>
      <w:rPr>
        <w:rFonts w:hint="eastAsia"/>
        <w:b/>
        <w:bCs/>
        <w:sz w:val="18"/>
        <w:szCs w:val="18"/>
      </w:rPr>
      <w:drawing>
        <wp:anchor distT="0" distB="0" distL="114300" distR="114300" simplePos="0" relativeHeight="251661312" behindDoc="0" locked="0" layoutInCell="1" allowOverlap="1">
          <wp:simplePos x="0" y="0"/>
          <wp:positionH relativeFrom="column">
            <wp:posOffset>8874125</wp:posOffset>
          </wp:positionH>
          <wp:positionV relativeFrom="paragraph">
            <wp:posOffset>-33655</wp:posOffset>
          </wp:positionV>
          <wp:extent cx="306705" cy="299085"/>
          <wp:effectExtent l="0" t="0" r="13335" b="5715"/>
          <wp:wrapSquare wrapText="bothSides"/>
          <wp:docPr id="6" name="图片 6" descr="C:\Users\ASUS\AppData\Local\Temp\WeChat Files\f186046fc3a4df704901618a4b76e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SUS\AppData\Local\Temp\WeChat Files\f186046fc3a4df704901618a4b76ec6.png"/>
                  <pic:cNvPicPr>
                    <a:picLocks noChangeAspect="1" noChangeArrowheads="1"/>
                  </pic:cNvPicPr>
                </pic:nvPicPr>
                <pic:blipFill>
                  <a:blip r:embed="rId1"/>
                  <a:srcRect/>
                  <a:stretch>
                    <a:fillRect/>
                  </a:stretch>
                </pic:blipFill>
                <pic:spPr>
                  <a:xfrm>
                    <a:off x="0" y="0"/>
                    <a:ext cx="306705" cy="299085"/>
                  </a:xfrm>
                  <a:prstGeom prst="rect">
                    <a:avLst/>
                  </a:prstGeom>
                  <a:noFill/>
                  <a:ln w="9525" cmpd="sng">
                    <a:noFill/>
                    <a:miter lim="800000"/>
                    <a:headEnd/>
                    <a:tailEnd/>
                  </a:ln>
                  <a:effectLst/>
                </pic:spPr>
              </pic:pic>
            </a:graphicData>
          </a:graphic>
        </wp:anchor>
      </w:drawing>
    </w:r>
    <w:r>
      <w:rPr>
        <w:rFonts w:hint="eastAsia" w:ascii="黑体" w:hAnsi="黑体" w:eastAsia="黑体" w:cs="黑体"/>
        <w:sz w:val="21"/>
        <w:szCs w:val="21"/>
        <w:lang w:val="en-US" w:eastAsia="zh-CN"/>
      </w:rPr>
      <w:t>泉州市招标咨询中心地方财政绩效评价所</w:t>
    </w:r>
  </w:p>
  <w:p>
    <w:pPr>
      <w:pStyle w:val="8"/>
      <w:rPr>
        <w:rFonts w:hint="default"/>
        <w:lang w:val="en-US" w:eastAsia="zh-CN"/>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double" w:color="auto" w:sz="8" w:space="1"/>
      </w:pBdr>
      <w:jc w:val="right"/>
      <w:rPr>
        <w:rFonts w:hint="eastAsia" w:ascii="黑体" w:hAnsi="黑体" w:eastAsia="黑体" w:cs="黑体"/>
        <w:sz w:val="21"/>
        <w:szCs w:val="21"/>
        <w:lang w:val="en-US" w:eastAsia="zh-CN"/>
      </w:rPr>
    </w:pPr>
    <w:r>
      <w:rPr>
        <w:rFonts w:hint="eastAsia"/>
        <w:b/>
        <w:bCs/>
        <w:sz w:val="18"/>
        <w:szCs w:val="18"/>
      </w:rPr>
      <w:drawing>
        <wp:anchor distT="0" distB="0" distL="114300" distR="114300" simplePos="0" relativeHeight="251662336" behindDoc="0" locked="0" layoutInCell="1" allowOverlap="1">
          <wp:simplePos x="0" y="0"/>
          <wp:positionH relativeFrom="column">
            <wp:posOffset>5579110</wp:posOffset>
          </wp:positionH>
          <wp:positionV relativeFrom="paragraph">
            <wp:posOffset>-99060</wp:posOffset>
          </wp:positionV>
          <wp:extent cx="306705" cy="299085"/>
          <wp:effectExtent l="0" t="0" r="13335" b="5715"/>
          <wp:wrapSquare wrapText="bothSides"/>
          <wp:docPr id="7" name="图片 7" descr="C:\Users\ASUS\AppData\Local\Temp\WeChat Files\f186046fc3a4df704901618a4b76ec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ASUS\AppData\Local\Temp\WeChat Files\f186046fc3a4df704901618a4b76ec6.png"/>
                  <pic:cNvPicPr>
                    <a:picLocks noChangeAspect="1" noChangeArrowheads="1"/>
                  </pic:cNvPicPr>
                </pic:nvPicPr>
                <pic:blipFill>
                  <a:blip r:embed="rId1"/>
                  <a:srcRect/>
                  <a:stretch>
                    <a:fillRect/>
                  </a:stretch>
                </pic:blipFill>
                <pic:spPr>
                  <a:xfrm>
                    <a:off x="0" y="0"/>
                    <a:ext cx="306705" cy="299085"/>
                  </a:xfrm>
                  <a:prstGeom prst="rect">
                    <a:avLst/>
                  </a:prstGeom>
                  <a:noFill/>
                  <a:ln w="9525" cmpd="sng">
                    <a:noFill/>
                    <a:miter lim="800000"/>
                    <a:headEnd/>
                    <a:tailEnd/>
                  </a:ln>
                  <a:effectLst/>
                </pic:spPr>
              </pic:pic>
            </a:graphicData>
          </a:graphic>
        </wp:anchor>
      </w:drawing>
    </w:r>
    <w:r>
      <w:rPr>
        <w:rFonts w:hint="eastAsia" w:ascii="黑体" w:hAnsi="黑体" w:eastAsia="黑体" w:cs="黑体"/>
        <w:sz w:val="21"/>
        <w:szCs w:val="21"/>
        <w:lang w:val="en-US" w:eastAsia="zh-CN"/>
      </w:rPr>
      <w:t>泉州市招标咨询中心地方财政绩效评价所</w:t>
    </w:r>
  </w:p>
  <w:p>
    <w:pPr>
      <w:pStyle w:val="8"/>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D5DFA"/>
    <w:multiLevelType w:val="multilevel"/>
    <w:tmpl w:val="81ED5DFA"/>
    <w:lvl w:ilvl="0" w:tentative="0">
      <w:start w:val="1"/>
      <w:numFmt w:val="chineseCounting"/>
      <w:pStyle w:val="4"/>
      <w:suff w:val="nothing"/>
      <w:lvlText w:val="%1、"/>
      <w:lvlJc w:val="left"/>
      <w:pPr>
        <w:ind w:left="0" w:firstLine="0"/>
      </w:pPr>
      <w:rPr>
        <w:rFonts w:hint="eastAsia" w:ascii="黑体" w:hAnsi="黑体" w:eastAsia="黑体" w:cs="黑体"/>
        <w:sz w:val="28"/>
        <w:szCs w:val="28"/>
      </w:rPr>
    </w:lvl>
    <w:lvl w:ilvl="1" w:tentative="0">
      <w:start w:val="1"/>
      <w:numFmt w:val="chineseCounting"/>
      <w:suff w:val="nothing"/>
      <w:lvlText w:val="（%2）"/>
      <w:lvlJc w:val="left"/>
      <w:pPr>
        <w:ind w:left="0" w:firstLine="0"/>
      </w:pPr>
      <w:rPr>
        <w:rFonts w:hint="eastAsia"/>
      </w:rPr>
    </w:lvl>
    <w:lvl w:ilvl="2" w:tentative="0">
      <w:start w:val="1"/>
      <w:numFmt w:val="decimal"/>
      <w:suff w:val="nothing"/>
      <w:lvlText w:val="%3．"/>
      <w:lvlJc w:val="left"/>
      <w:pPr>
        <w:ind w:left="0" w:firstLine="400"/>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1C44C56A"/>
    <w:multiLevelType w:val="singleLevel"/>
    <w:tmpl w:val="1C44C56A"/>
    <w:lvl w:ilvl="0" w:tentative="0">
      <w:start w:val="1"/>
      <w:numFmt w:val="chineseCounting"/>
      <w:suff w:val="nothing"/>
      <w:lvlText w:val="（%1）"/>
      <w:lvlJc w:val="left"/>
      <w:pPr>
        <w:ind w:left="0" w:firstLine="420"/>
      </w:pPr>
      <w:rPr>
        <w:rFonts w:hint="eastAsia" w:ascii="楷体" w:hAnsi="楷体" w:eastAsia="楷体" w:cs="楷体"/>
        <w:sz w:val="28"/>
        <w:szCs w:val="28"/>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yYWI0ZTZhNWRmMWMyMjU4NTc1Zjk3ZjU5NTVlZDAifQ=="/>
  </w:docVars>
  <w:rsids>
    <w:rsidRoot w:val="4BB96577"/>
    <w:rsid w:val="018A58CB"/>
    <w:rsid w:val="01C26E13"/>
    <w:rsid w:val="026779BA"/>
    <w:rsid w:val="02F37B27"/>
    <w:rsid w:val="030741EF"/>
    <w:rsid w:val="04FB204D"/>
    <w:rsid w:val="050B460F"/>
    <w:rsid w:val="05B47256"/>
    <w:rsid w:val="09E35B78"/>
    <w:rsid w:val="0B3B3792"/>
    <w:rsid w:val="0B64708B"/>
    <w:rsid w:val="0C751B35"/>
    <w:rsid w:val="0E0D7668"/>
    <w:rsid w:val="0E0F1632"/>
    <w:rsid w:val="10207B26"/>
    <w:rsid w:val="11F14731"/>
    <w:rsid w:val="12045226"/>
    <w:rsid w:val="12F9465F"/>
    <w:rsid w:val="15400323"/>
    <w:rsid w:val="167A7865"/>
    <w:rsid w:val="17716EB9"/>
    <w:rsid w:val="17E31439"/>
    <w:rsid w:val="18910E95"/>
    <w:rsid w:val="18A706B9"/>
    <w:rsid w:val="18EB1E70"/>
    <w:rsid w:val="1A807414"/>
    <w:rsid w:val="1D0F6F07"/>
    <w:rsid w:val="22C24A6D"/>
    <w:rsid w:val="22E42C35"/>
    <w:rsid w:val="262320B8"/>
    <w:rsid w:val="26B75849"/>
    <w:rsid w:val="27E338A8"/>
    <w:rsid w:val="2A375D41"/>
    <w:rsid w:val="2A3D70F4"/>
    <w:rsid w:val="2C1D56A8"/>
    <w:rsid w:val="2E7E57CE"/>
    <w:rsid w:val="303D39AF"/>
    <w:rsid w:val="30837761"/>
    <w:rsid w:val="321E3342"/>
    <w:rsid w:val="33356B95"/>
    <w:rsid w:val="34164C19"/>
    <w:rsid w:val="34757B91"/>
    <w:rsid w:val="34C35683"/>
    <w:rsid w:val="34E24AFB"/>
    <w:rsid w:val="35BA7838"/>
    <w:rsid w:val="35BD6FD2"/>
    <w:rsid w:val="36F40B16"/>
    <w:rsid w:val="38590201"/>
    <w:rsid w:val="392B6F60"/>
    <w:rsid w:val="396169AD"/>
    <w:rsid w:val="3B7A59BE"/>
    <w:rsid w:val="3BB01887"/>
    <w:rsid w:val="3BEA482D"/>
    <w:rsid w:val="3E0C6337"/>
    <w:rsid w:val="3E481E73"/>
    <w:rsid w:val="3F9F19C7"/>
    <w:rsid w:val="40B437EF"/>
    <w:rsid w:val="41320BB8"/>
    <w:rsid w:val="41F83BB0"/>
    <w:rsid w:val="42357536"/>
    <w:rsid w:val="42D00689"/>
    <w:rsid w:val="42E61C5A"/>
    <w:rsid w:val="42E77492"/>
    <w:rsid w:val="44A01B38"/>
    <w:rsid w:val="44EF466F"/>
    <w:rsid w:val="45790B64"/>
    <w:rsid w:val="47616B97"/>
    <w:rsid w:val="47821035"/>
    <w:rsid w:val="48693111"/>
    <w:rsid w:val="494E2307"/>
    <w:rsid w:val="495D5AA6"/>
    <w:rsid w:val="49847835"/>
    <w:rsid w:val="49FE0E3D"/>
    <w:rsid w:val="4A1A072E"/>
    <w:rsid w:val="4BB96577"/>
    <w:rsid w:val="4BE94A82"/>
    <w:rsid w:val="4D27359B"/>
    <w:rsid w:val="4EA804FD"/>
    <w:rsid w:val="51786173"/>
    <w:rsid w:val="5285323E"/>
    <w:rsid w:val="5621502B"/>
    <w:rsid w:val="568A3759"/>
    <w:rsid w:val="57DA3557"/>
    <w:rsid w:val="591D09A0"/>
    <w:rsid w:val="59995821"/>
    <w:rsid w:val="5B6854AA"/>
    <w:rsid w:val="5B7F1704"/>
    <w:rsid w:val="5B81656C"/>
    <w:rsid w:val="5B8A71CF"/>
    <w:rsid w:val="5C177366"/>
    <w:rsid w:val="5D1D133C"/>
    <w:rsid w:val="5F3C53E0"/>
    <w:rsid w:val="60395667"/>
    <w:rsid w:val="60FD48E7"/>
    <w:rsid w:val="61AB7E9F"/>
    <w:rsid w:val="62456545"/>
    <w:rsid w:val="628A3147"/>
    <w:rsid w:val="62C70D09"/>
    <w:rsid w:val="62C90F25"/>
    <w:rsid w:val="665C32CD"/>
    <w:rsid w:val="671E7365"/>
    <w:rsid w:val="67C77A4A"/>
    <w:rsid w:val="693A6CC4"/>
    <w:rsid w:val="695525CF"/>
    <w:rsid w:val="6A0A6758"/>
    <w:rsid w:val="6A4D243B"/>
    <w:rsid w:val="6AB403A5"/>
    <w:rsid w:val="6AFD2718"/>
    <w:rsid w:val="6B2D5DC9"/>
    <w:rsid w:val="6B827EC3"/>
    <w:rsid w:val="6D784113"/>
    <w:rsid w:val="6DBB3B60"/>
    <w:rsid w:val="6EBA4E8A"/>
    <w:rsid w:val="6F3A3FFD"/>
    <w:rsid w:val="6F926B42"/>
    <w:rsid w:val="6FBE3493"/>
    <w:rsid w:val="6FD7747D"/>
    <w:rsid w:val="7032281F"/>
    <w:rsid w:val="72402885"/>
    <w:rsid w:val="727B1B10"/>
    <w:rsid w:val="72E4104F"/>
    <w:rsid w:val="74624D35"/>
    <w:rsid w:val="74BA691F"/>
    <w:rsid w:val="74EC74C3"/>
    <w:rsid w:val="75341B57"/>
    <w:rsid w:val="7567684C"/>
    <w:rsid w:val="75E87FD4"/>
    <w:rsid w:val="75ED62D1"/>
    <w:rsid w:val="762D0495"/>
    <w:rsid w:val="78811502"/>
    <w:rsid w:val="7939092A"/>
    <w:rsid w:val="793E586C"/>
    <w:rsid w:val="7A4822D7"/>
    <w:rsid w:val="7CE34539"/>
    <w:rsid w:val="7D9E651F"/>
    <w:rsid w:val="7DE06389"/>
    <w:rsid w:val="7EF46ED2"/>
    <w:rsid w:val="7FBF0F46"/>
    <w:rsid w:val="EBF70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9"/>
    <w:pPr>
      <w:numPr>
        <w:ilvl w:val="0"/>
        <w:numId w:val="1"/>
      </w:numPr>
      <w:spacing w:beforeAutospacing="1" w:afterAutospacing="1"/>
      <w:jc w:val="left"/>
      <w:outlineLvl w:val="0"/>
    </w:pPr>
    <w:rPr>
      <w:rFonts w:hint="eastAsia" w:ascii="宋体" w:hAnsi="宋体" w:eastAsia="宋体" w:cs="Times New Roman"/>
      <w:b/>
      <w:bCs/>
      <w:kern w:val="44"/>
      <w:sz w:val="48"/>
      <w:szCs w:val="4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unhideWhenUsed/>
    <w:qFormat/>
    <w:uiPriority w:val="99"/>
    <w:pPr>
      <w:spacing w:after="120" w:line="240" w:lineRule="auto"/>
      <w:ind w:left="420" w:leftChars="200" w:firstLine="420" w:firstLineChars="200"/>
    </w:pPr>
    <w:rPr>
      <w:sz w:val="21"/>
    </w:rPr>
  </w:style>
  <w:style w:type="paragraph" w:styleId="3">
    <w:name w:val="Body Text Indent"/>
    <w:basedOn w:val="1"/>
    <w:next w:val="1"/>
    <w:semiHidden/>
    <w:unhideWhenUsed/>
    <w:qFormat/>
    <w:uiPriority w:val="99"/>
    <w:pPr>
      <w:spacing w:line="500" w:lineRule="exact"/>
      <w:ind w:left="1588" w:leftChars="832" w:firstLine="433" w:firstLineChars="196"/>
    </w:pPr>
    <w:rPr>
      <w:sz w:val="24"/>
    </w:rPr>
  </w:style>
  <w:style w:type="paragraph" w:styleId="5">
    <w:name w:val="Block Text"/>
    <w:basedOn w:val="1"/>
    <w:qFormat/>
    <w:uiPriority w:val="0"/>
    <w:pPr>
      <w:ind w:left="1440" w:leftChars="700" w:right="700" w:rightChars="700"/>
    </w:pPr>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4">
    <w:name w:val="List Paragraph"/>
    <w:basedOn w:val="1"/>
    <w:qFormat/>
    <w:uiPriority w:val="34"/>
    <w:pPr>
      <w:ind w:firstLine="420" w:firstLineChars="200"/>
    </w:pPr>
  </w:style>
  <w:style w:type="paragraph" w:customStyle="1" w:styleId="15">
    <w:name w:val="p0"/>
    <w:qFormat/>
    <w:uiPriority w:val="0"/>
    <w:pPr>
      <w:widowControl w:val="0"/>
      <w:jc w:val="both"/>
    </w:pPr>
    <w:rPr>
      <w:rFonts w:ascii="Calibri" w:hAnsi="Calibri" w:eastAsia="宋体" w:cs="Times New Roman"/>
      <w:kern w:val="2"/>
      <w:sz w:val="21"/>
      <w:szCs w:val="24"/>
      <w:lang w:val="en-US" w:eastAsia="zh-CN" w:bidi="ar-SA"/>
    </w:rPr>
  </w:style>
  <w:style w:type="character" w:customStyle="1" w:styleId="16">
    <w:name w:val="font01"/>
    <w:basedOn w:val="13"/>
    <w:qFormat/>
    <w:uiPriority w:val="0"/>
    <w:rPr>
      <w:rFonts w:hint="eastAsia" w:ascii="仿宋" w:hAnsi="仿宋" w:eastAsia="仿宋" w:cs="仿宋"/>
      <w:color w:val="000000"/>
      <w:sz w:val="22"/>
      <w:szCs w:val="22"/>
      <w:u w:val="none"/>
    </w:rPr>
  </w:style>
  <w:style w:type="character" w:customStyle="1" w:styleId="17">
    <w:name w:val="font31"/>
    <w:basedOn w:val="13"/>
    <w:qFormat/>
    <w:uiPriority w:val="0"/>
    <w:rPr>
      <w:rFonts w:ascii="Arial" w:hAnsi="Arial" w:cs="Arial"/>
      <w:color w:val="000000"/>
      <w:sz w:val="22"/>
      <w:szCs w:val="22"/>
      <w:u w:val="none"/>
    </w:rPr>
  </w:style>
  <w:style w:type="paragraph" w:customStyle="1" w:styleId="18">
    <w:name w:val="WPSOffice手动目录 1"/>
    <w:qFormat/>
    <w:uiPriority w:val="0"/>
    <w:pPr>
      <w:ind w:leftChars="0"/>
    </w:pPr>
    <w:rPr>
      <w:rFonts w:ascii="Times New Roman" w:hAnsi="Times New Roman" w:eastAsia="宋体" w:cs="Times New Roman"/>
      <w:sz w:val="20"/>
      <w:szCs w:val="20"/>
    </w:rPr>
  </w:style>
  <w:style w:type="paragraph" w:customStyle="1" w:styleId="19">
    <w:name w:val="WPSOffice手动目录 2"/>
    <w:qFormat/>
    <w:uiPriority w:val="0"/>
    <w:pPr>
      <w:ind w:leftChars="200"/>
    </w:pPr>
    <w:rPr>
      <w:rFonts w:ascii="Times New Roman" w:hAnsi="Times New Roman" w:eastAsia="宋体" w:cs="Times New Roman"/>
      <w:sz w:val="20"/>
      <w:szCs w:val="20"/>
    </w:rPr>
  </w:style>
  <w:style w:type="paragraph" w:customStyle="1" w:styleId="20">
    <w:name w:val="WPSOffice手动目录 3"/>
    <w:qFormat/>
    <w:uiPriority w:val="0"/>
    <w:pPr>
      <w:ind w:leftChars="400"/>
    </w:pPr>
    <w:rPr>
      <w:rFonts w:ascii="Times New Roman" w:hAnsi="Times New Roman" w:eastAsia="宋体" w:cs="Times New Roman"/>
      <w:sz w:val="20"/>
      <w:szCs w:val="20"/>
    </w:rPr>
  </w:style>
  <w:style w:type="paragraph" w:customStyle="1" w:styleId="21">
    <w:name w:val="BodyText1I2"/>
    <w:basedOn w:val="22"/>
    <w:qFormat/>
    <w:uiPriority w:val="0"/>
    <w:pPr>
      <w:spacing w:after="0"/>
      <w:ind w:left="0" w:leftChars="0" w:firstLine="420" w:firstLineChars="200"/>
    </w:pPr>
    <w:rPr>
      <w:rFonts w:ascii="宋体" w:hAnsi="宋体"/>
      <w:sz w:val="28"/>
      <w:szCs w:val="28"/>
    </w:rPr>
  </w:style>
  <w:style w:type="paragraph" w:customStyle="1" w:styleId="22">
    <w:name w:val="BodyTextIndent"/>
    <w:basedOn w:val="1"/>
    <w:qFormat/>
    <w:uiPriority w:val="0"/>
    <w:pPr>
      <w:spacing w:after="120"/>
      <w:ind w:left="420" w:leftChars="200"/>
      <w:textAlignment w:val="baseline"/>
    </w:p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12475</Words>
  <Characters>13516</Characters>
  <Lines>0</Lines>
  <Paragraphs>0</Paragraphs>
  <TotalTime>25</TotalTime>
  <ScaleCrop>false</ScaleCrop>
  <LinksUpToDate>false</LinksUpToDate>
  <CharactersWithSpaces>16474</CharactersWithSpaces>
  <Application>WPS Office_11.8.2.12185_F1E327BC-269C-435d-A152-05C5408002CA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2023-06-14T08:33:00Z</dcterms:created>
  <dc:creator>小迷糊</dc:creator>
  <cp:lastModifiedBy>thtf</cp:lastModifiedBy>
  <cp:lastPrinted>2023-06-30T15:57:00Z</cp:lastPrinted>
  <dcterms:modified xsi:type="dcterms:W3CDTF">2024-12-08T17:23:27Z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2052-11.8.2.12185</vt:lpwstr>
  </property>
  <property fmtid="{D5CDD505-2E9C-101B-9397-08002B2CF9AE}" pid="3" name="ICV">
    <vt:lpwstr>EC6C0E45023E4AFA992285B9B8A9CF68_13</vt:lpwstr>
  </property>
</Properties>
</file>