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color w:val="auto"/>
          <w:kern w:val="0"/>
          <w:sz w:val="52"/>
          <w:szCs w:val="52"/>
          <w:highlight w:val="none"/>
          <w:lang w:val="en-US" w:eastAsia="zh-CN"/>
        </w:rPr>
      </w:pPr>
    </w:p>
    <w:p>
      <w:pPr>
        <w:pStyle w:val="2"/>
        <w:rPr>
          <w:rFonts w:hint="eastAsia"/>
          <w:color w:val="auto"/>
          <w:highlight w:val="none"/>
          <w:lang w:val="en-US" w:eastAsia="zh-CN"/>
        </w:rPr>
      </w:pPr>
    </w:p>
    <w:p>
      <w:pPr>
        <w:spacing w:line="360" w:lineRule="auto"/>
        <w:jc w:val="center"/>
        <w:rPr>
          <w:rFonts w:hint="default" w:ascii="仿宋" w:hAnsi="仿宋" w:eastAsia="仿宋" w:cs="仿宋"/>
          <w:b/>
          <w:color w:val="auto"/>
          <w:kern w:val="0"/>
          <w:sz w:val="52"/>
          <w:szCs w:val="52"/>
          <w:highlight w:val="none"/>
          <w:lang w:val="en-US" w:eastAsia="zh-CN"/>
        </w:rPr>
      </w:pPr>
      <w:r>
        <w:rPr>
          <w:rFonts w:hint="eastAsia" w:ascii="仿宋" w:hAnsi="仿宋" w:eastAsia="仿宋" w:cs="仿宋"/>
          <w:b/>
          <w:color w:val="auto"/>
          <w:kern w:val="0"/>
          <w:sz w:val="52"/>
          <w:szCs w:val="52"/>
          <w:highlight w:val="none"/>
          <w:lang w:val="en-US" w:eastAsia="zh-CN"/>
        </w:rPr>
        <w:t>2022年石狮市地方储备粮油专项</w:t>
      </w:r>
    </w:p>
    <w:p>
      <w:pPr>
        <w:pStyle w:val="2"/>
        <w:spacing w:line="240" w:lineRule="auto"/>
        <w:ind w:left="0" w:leftChars="0" w:firstLine="0" w:firstLineChars="0"/>
        <w:rPr>
          <w:rFonts w:hint="default" w:ascii="方正小标宋简体" w:hAnsi="宋体" w:eastAsia="方正小标宋简体" w:cs="Arial"/>
          <w:color w:val="auto"/>
          <w:sz w:val="52"/>
          <w:szCs w:val="52"/>
          <w:highlight w:val="none"/>
          <w:lang w:val="en-US" w:eastAsia="zh-CN"/>
        </w:rPr>
      </w:pPr>
    </w:p>
    <w:p>
      <w:pPr>
        <w:spacing w:line="360" w:lineRule="auto"/>
        <w:jc w:val="center"/>
        <w:rPr>
          <w:rFonts w:hint="eastAsia" w:ascii="华文行楷" w:hAnsi="楷体" w:eastAsia="华文行楷" w:cs="Arial"/>
          <w:b/>
          <w:color w:val="auto"/>
          <w:kern w:val="2"/>
          <w:sz w:val="84"/>
          <w:szCs w:val="84"/>
          <w:highlight w:val="none"/>
          <w:lang w:val="en-US" w:eastAsia="zh-CN" w:bidi="ar-SA"/>
        </w:rPr>
      </w:pPr>
      <w:r>
        <w:rPr>
          <w:rFonts w:hint="eastAsia" w:ascii="华文行楷" w:hAnsi="楷体" w:eastAsia="华文行楷" w:cs="Arial"/>
          <w:b/>
          <w:color w:val="auto"/>
          <w:kern w:val="2"/>
          <w:sz w:val="84"/>
          <w:szCs w:val="84"/>
          <w:highlight w:val="none"/>
          <w:lang w:val="en-US" w:eastAsia="zh-CN" w:bidi="ar-SA"/>
        </w:rPr>
        <w:t>绩效评价报告</w:t>
      </w:r>
    </w:p>
    <w:p>
      <w:pPr>
        <w:pStyle w:val="2"/>
        <w:spacing w:line="240" w:lineRule="auto"/>
        <w:ind w:left="0" w:leftChars="0" w:firstLine="0" w:firstLineChars="0"/>
        <w:jc w:val="center"/>
        <w:rPr>
          <w:rFonts w:hint="eastAsia" w:ascii="方正小标宋简体" w:hAnsi="宋体" w:eastAsia="方正小标宋简体" w:cs="Arial"/>
          <w:color w:val="auto"/>
          <w:sz w:val="32"/>
          <w:szCs w:val="32"/>
          <w:highlight w:val="none"/>
        </w:rPr>
      </w:pP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rPr>
      </w:pPr>
      <w:r>
        <w:rPr>
          <w:rFonts w:hint="eastAsia" w:ascii="方正小标宋简体" w:hAnsi="宋体" w:eastAsia="方正小标宋简体" w:cs="Arial"/>
          <w:color w:val="auto"/>
          <w:sz w:val="32"/>
          <w:szCs w:val="32"/>
          <w:highlight w:val="none"/>
        </w:rPr>
        <w:t>编号：泉招咨绩【202</w:t>
      </w:r>
      <w:r>
        <w:rPr>
          <w:rFonts w:hint="eastAsia" w:ascii="方正小标宋简体" w:hAnsi="宋体" w:eastAsia="方正小标宋简体" w:cs="Arial"/>
          <w:color w:val="auto"/>
          <w:sz w:val="32"/>
          <w:szCs w:val="32"/>
          <w:highlight w:val="none"/>
          <w:lang w:val="en-US" w:eastAsia="zh-CN"/>
        </w:rPr>
        <w:t>3</w:t>
      </w:r>
      <w:r>
        <w:rPr>
          <w:rFonts w:hint="eastAsia" w:ascii="方正小标宋简体" w:hAnsi="宋体" w:eastAsia="方正小标宋简体" w:cs="Arial"/>
          <w:color w:val="auto"/>
          <w:sz w:val="32"/>
          <w:szCs w:val="32"/>
          <w:highlight w:val="none"/>
        </w:rPr>
        <w:t>】</w:t>
      </w:r>
      <w:r>
        <w:rPr>
          <w:rFonts w:hint="eastAsia" w:ascii="方正小标宋简体" w:hAnsi="宋体" w:eastAsia="方正小标宋简体" w:cs="Arial"/>
          <w:color w:val="auto"/>
          <w:sz w:val="32"/>
          <w:szCs w:val="32"/>
          <w:highlight w:val="none"/>
          <w:lang w:val="en-US" w:eastAsia="zh-CN"/>
        </w:rPr>
        <w:t>6-4</w:t>
      </w:r>
      <w:r>
        <w:rPr>
          <w:rFonts w:hint="eastAsia" w:ascii="方正小标宋简体" w:hAnsi="宋体" w:eastAsia="方正小标宋简体" w:cs="Arial"/>
          <w:color w:val="auto"/>
          <w:sz w:val="32"/>
          <w:szCs w:val="32"/>
          <w:highlight w:val="none"/>
        </w:rPr>
        <w:t>号</w:t>
      </w: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rPr>
      </w:pP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rPr>
      </w:pP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lang w:val="en-US" w:eastAsia="zh-CN"/>
        </w:rPr>
      </w:pP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lang w:val="en-US" w:eastAsia="zh-CN"/>
        </w:rPr>
      </w:pPr>
    </w:p>
    <w:p>
      <w:pPr>
        <w:pStyle w:val="2"/>
        <w:spacing w:line="240" w:lineRule="auto"/>
        <w:ind w:left="0" w:leftChars="0" w:firstLine="0" w:firstLineChars="0"/>
        <w:jc w:val="center"/>
        <w:rPr>
          <w:rFonts w:hint="eastAsia" w:ascii="方正小标宋简体" w:hAnsi="宋体" w:eastAsia="方正小标宋简体" w:cs="Arial"/>
          <w:color w:val="auto"/>
          <w:sz w:val="21"/>
          <w:szCs w:val="21"/>
          <w:highlight w:val="none"/>
          <w:lang w:val="en-US" w:eastAsia="zh-CN"/>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left"/>
        <w:textAlignment w:val="auto"/>
        <w:rPr>
          <w:rStyle w:val="15"/>
          <w:rFonts w:hint="eastAsia" w:ascii="仿宋" w:hAnsi="仿宋" w:eastAsia="仿宋" w:cs="仿宋"/>
          <w:b w:val="0"/>
          <w:bCs/>
          <w:i w:val="0"/>
          <w:caps w:val="0"/>
          <w:color w:val="auto"/>
          <w:spacing w:val="0"/>
          <w:sz w:val="32"/>
          <w:szCs w:val="32"/>
          <w:highlight w:val="none"/>
          <w:shd w:val="clear" w:fill="FFFFFF"/>
          <w:lang w:val="en-US" w:eastAsia="zh-CN" w:bidi="ar"/>
        </w:rPr>
      </w:pPr>
      <w:r>
        <w:rPr>
          <w:rStyle w:val="15"/>
          <w:rFonts w:hint="eastAsia" w:ascii="仿宋" w:hAnsi="仿宋" w:eastAsia="仿宋" w:cs="仿宋"/>
          <w:b/>
          <w:bCs w:val="0"/>
          <w:i w:val="0"/>
          <w:caps w:val="0"/>
          <w:color w:val="auto"/>
          <w:spacing w:val="0"/>
          <w:sz w:val="32"/>
          <w:szCs w:val="32"/>
          <w:highlight w:val="none"/>
          <w:shd w:val="clear" w:fill="FFFFFF"/>
          <w:lang w:val="en-US" w:eastAsia="zh-CN" w:bidi="ar"/>
        </w:rPr>
        <w:t>委托单位：</w:t>
      </w:r>
      <w:r>
        <w:rPr>
          <w:rStyle w:val="15"/>
          <w:rFonts w:hint="eastAsia" w:ascii="仿宋" w:hAnsi="仿宋" w:eastAsia="仿宋" w:cs="仿宋"/>
          <w:b w:val="0"/>
          <w:bCs/>
          <w:i w:val="0"/>
          <w:caps w:val="0"/>
          <w:color w:val="auto"/>
          <w:spacing w:val="0"/>
          <w:sz w:val="32"/>
          <w:szCs w:val="32"/>
          <w:highlight w:val="none"/>
          <w:shd w:val="clear" w:fill="FFFFFF"/>
          <w:lang w:val="en-US" w:eastAsia="zh-CN" w:bidi="ar"/>
        </w:rPr>
        <w:t>石狮市财政局</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left"/>
        <w:textAlignment w:val="auto"/>
        <w:rPr>
          <w:rStyle w:val="15"/>
          <w:rFonts w:hint="default" w:ascii="仿宋" w:hAnsi="仿宋" w:eastAsia="仿宋" w:cs="仿宋"/>
          <w:b w:val="0"/>
          <w:bCs/>
          <w:i w:val="0"/>
          <w:caps w:val="0"/>
          <w:color w:val="auto"/>
          <w:spacing w:val="0"/>
          <w:sz w:val="32"/>
          <w:szCs w:val="32"/>
          <w:highlight w:val="none"/>
          <w:shd w:val="clear" w:fill="FFFFFF"/>
          <w:lang w:val="en-US" w:eastAsia="zh-CN" w:bidi="ar"/>
        </w:rPr>
      </w:pPr>
      <w:r>
        <w:rPr>
          <w:rStyle w:val="15"/>
          <w:rFonts w:hint="eastAsia" w:ascii="仿宋" w:hAnsi="仿宋" w:eastAsia="仿宋" w:cs="仿宋"/>
          <w:b/>
          <w:bCs w:val="0"/>
          <w:i w:val="0"/>
          <w:caps w:val="0"/>
          <w:color w:val="auto"/>
          <w:spacing w:val="0"/>
          <w:sz w:val="32"/>
          <w:szCs w:val="32"/>
          <w:highlight w:val="none"/>
          <w:shd w:val="clear" w:fill="FFFFFF"/>
          <w:lang w:val="en-US" w:eastAsia="zh-CN" w:bidi="ar"/>
        </w:rPr>
        <w:t>实施单位：</w:t>
      </w:r>
      <w:r>
        <w:rPr>
          <w:rStyle w:val="15"/>
          <w:rFonts w:hint="eastAsia" w:ascii="仿宋" w:hAnsi="仿宋" w:eastAsia="仿宋" w:cs="仿宋"/>
          <w:b w:val="0"/>
          <w:bCs/>
          <w:i w:val="0"/>
          <w:caps w:val="0"/>
          <w:color w:val="auto"/>
          <w:spacing w:val="0"/>
          <w:sz w:val="32"/>
          <w:szCs w:val="32"/>
          <w:highlight w:val="none"/>
          <w:shd w:val="clear" w:fill="FFFFFF"/>
          <w:lang w:val="en-US" w:eastAsia="zh-CN" w:bidi="ar"/>
        </w:rPr>
        <w:t>石狮市粮油与物资储备中心</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left"/>
        <w:textAlignment w:val="auto"/>
        <w:rPr>
          <w:rFonts w:hint="eastAsia" w:ascii="仿宋" w:hAnsi="仿宋" w:eastAsia="仿宋" w:cs="仿宋"/>
          <w:b w:val="0"/>
          <w:bCs/>
          <w:color w:val="auto"/>
          <w:sz w:val="32"/>
          <w:szCs w:val="32"/>
          <w:highlight w:val="none"/>
          <w:u w:val="single"/>
        </w:rPr>
      </w:pPr>
      <w:r>
        <w:rPr>
          <w:rStyle w:val="15"/>
          <w:rFonts w:hint="eastAsia" w:ascii="仿宋" w:hAnsi="仿宋" w:eastAsia="仿宋" w:cs="仿宋"/>
          <w:b/>
          <w:bCs w:val="0"/>
          <w:i w:val="0"/>
          <w:caps w:val="0"/>
          <w:color w:val="auto"/>
          <w:spacing w:val="0"/>
          <w:sz w:val="32"/>
          <w:szCs w:val="32"/>
          <w:highlight w:val="none"/>
          <w:shd w:val="clear" w:fill="FFFFFF"/>
          <w:lang w:val="en-US" w:eastAsia="zh-CN" w:bidi="ar"/>
        </w:rPr>
        <w:t>编制单位：</w:t>
      </w:r>
      <w:r>
        <w:rPr>
          <w:rStyle w:val="15"/>
          <w:rFonts w:hint="eastAsia" w:ascii="仿宋" w:hAnsi="仿宋" w:eastAsia="仿宋" w:cs="仿宋"/>
          <w:b w:val="0"/>
          <w:bCs/>
          <w:i w:val="0"/>
          <w:caps w:val="0"/>
          <w:color w:val="auto"/>
          <w:spacing w:val="0"/>
          <w:sz w:val="32"/>
          <w:szCs w:val="32"/>
          <w:highlight w:val="none"/>
          <w:shd w:val="clear" w:fill="FFFFFF"/>
          <w:lang w:val="en-US" w:eastAsia="zh-CN" w:bidi="ar"/>
        </w:rPr>
        <w:t>泉州市招标咨询中心有限公司</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topLinePunct w:val="0"/>
        <w:bidi w:val="0"/>
        <w:snapToGrid/>
        <w:spacing w:before="0" w:beforeAutospacing="0" w:after="0" w:afterAutospacing="0" w:line="420" w:lineRule="atLeast"/>
        <w:ind w:right="0"/>
        <w:jc w:val="both"/>
        <w:rPr>
          <w:rStyle w:val="15"/>
          <w:rFonts w:hint="eastAsia" w:ascii="仿宋" w:hAnsi="仿宋" w:eastAsia="仿宋" w:cs="仿宋"/>
          <w:b w:val="0"/>
          <w:bCs/>
          <w:i w:val="0"/>
          <w:caps w:val="0"/>
          <w:color w:val="auto"/>
          <w:spacing w:val="0"/>
          <w:sz w:val="30"/>
          <w:szCs w:val="30"/>
          <w:highlight w:val="none"/>
          <w:shd w:val="clear" w:fill="FFFFFF"/>
          <w:lang w:val="en-US" w:eastAsia="zh-CN" w:bidi="ar"/>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topLinePunct w:val="0"/>
        <w:bidi w:val="0"/>
        <w:snapToGrid/>
        <w:spacing w:before="0" w:beforeAutospacing="0" w:after="0" w:afterAutospacing="0" w:line="420" w:lineRule="atLeast"/>
        <w:ind w:right="0"/>
        <w:jc w:val="center"/>
        <w:rPr>
          <w:rStyle w:val="15"/>
          <w:rFonts w:hint="eastAsia" w:ascii="仿宋" w:hAnsi="仿宋" w:eastAsia="仿宋" w:cs="仿宋"/>
          <w:b w:val="0"/>
          <w:bCs/>
          <w:i w:val="0"/>
          <w:caps w:val="0"/>
          <w:color w:val="auto"/>
          <w:spacing w:val="0"/>
          <w:sz w:val="30"/>
          <w:szCs w:val="30"/>
          <w:highlight w:val="none"/>
          <w:shd w:val="clear" w:fill="FFFFFF"/>
          <w:lang w:val="en-US" w:eastAsia="zh-CN" w:bidi="ar"/>
        </w:rPr>
      </w:pPr>
      <w:r>
        <w:rPr>
          <w:rStyle w:val="15"/>
          <w:rFonts w:hint="eastAsia" w:ascii="仿宋" w:hAnsi="仿宋" w:eastAsia="仿宋" w:cs="仿宋"/>
          <w:b w:val="0"/>
          <w:bCs/>
          <w:i w:val="0"/>
          <w:caps w:val="0"/>
          <w:color w:val="auto"/>
          <w:spacing w:val="0"/>
          <w:sz w:val="30"/>
          <w:szCs w:val="30"/>
          <w:highlight w:val="none"/>
          <w:shd w:val="clear" w:fill="FFFFFF"/>
          <w:lang w:val="en-US" w:eastAsia="zh-CN" w:bidi="ar"/>
        </w:rPr>
        <w:t>2023年6月</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topLinePunct w:val="0"/>
        <w:bidi w:val="0"/>
        <w:snapToGrid/>
        <w:spacing w:before="0" w:beforeAutospacing="0" w:after="0" w:afterAutospacing="0" w:line="420" w:lineRule="atLeast"/>
        <w:ind w:left="0" w:leftChars="0" w:right="0" w:firstLine="600" w:firstLineChars="200"/>
        <w:jc w:val="center"/>
        <w:rPr>
          <w:rStyle w:val="15"/>
          <w:rFonts w:hint="eastAsia" w:ascii="仿宋" w:hAnsi="仿宋" w:eastAsia="仿宋" w:cs="仿宋"/>
          <w:b w:val="0"/>
          <w:bCs/>
          <w:i w:val="0"/>
          <w:caps w:val="0"/>
          <w:color w:val="auto"/>
          <w:spacing w:val="0"/>
          <w:sz w:val="30"/>
          <w:szCs w:val="30"/>
          <w:highlight w:val="none"/>
          <w:shd w:val="clear" w:fill="FFFFFF"/>
          <w:lang w:val="en-US" w:eastAsia="zh-CN" w:bidi="ar"/>
        </w:rPr>
      </w:pPr>
    </w:p>
    <w:p>
      <w:pPr>
        <w:spacing w:line="360" w:lineRule="auto"/>
        <w:jc w:val="center"/>
        <w:rPr>
          <w:rFonts w:hint="eastAsia" w:ascii="仿宋" w:hAnsi="仿宋" w:eastAsia="仿宋" w:cs="Arial"/>
          <w:b/>
          <w:color w:val="auto"/>
          <w:kern w:val="2"/>
          <w:sz w:val="44"/>
          <w:szCs w:val="44"/>
          <w:highlight w:val="none"/>
          <w:lang w:val="en-US" w:eastAsia="zh-CN" w:bidi="ar-SA"/>
        </w:rPr>
        <w:sectPr>
          <w:headerReference r:id="rId3" w:type="default"/>
          <w:pgSz w:w="11906" w:h="16838"/>
          <w:pgMar w:top="1440" w:right="1474" w:bottom="1440" w:left="1587"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sdt>
      <w:sdtPr>
        <w:rPr>
          <w:rFonts w:hint="eastAsia" w:ascii="仿宋_GB2312" w:hAnsi="仿宋_GB2312" w:eastAsia="仿宋_GB2312" w:cs="仿宋_GB2312"/>
          <w:b/>
          <w:bCs/>
          <w:color w:val="auto"/>
          <w:kern w:val="2"/>
          <w:sz w:val="21"/>
          <w:szCs w:val="21"/>
          <w:highlight w:val="none"/>
          <w:lang w:val="en-US" w:eastAsia="zh-CN" w:bidi="ar-SA"/>
        </w:rPr>
        <w:id w:val="147472939"/>
        <w15:color w:val="DBDBDB"/>
        <w:docPartObj>
          <w:docPartGallery w:val="Table of Contents"/>
          <w:docPartUnique/>
        </w:docPartObj>
      </w:sdtPr>
      <w:sdtEndPr>
        <w:rPr>
          <w:rFonts w:hint="eastAsia" w:ascii="仿宋" w:hAnsi="仿宋" w:eastAsia="仿宋" w:cs="仿宋"/>
          <w:b/>
          <w:bCs/>
          <w:color w:val="auto"/>
          <w:kern w:val="2"/>
          <w:sz w:val="28"/>
          <w:szCs w:val="28"/>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eastAsia" w:ascii="仿宋_GB2312" w:hAnsi="仿宋_GB2312" w:eastAsia="仿宋_GB2312" w:cs="仿宋_GB2312"/>
              <w:b/>
              <w:bCs/>
              <w:color w:val="auto"/>
              <w:sz w:val="21"/>
              <w:szCs w:val="21"/>
              <w:highlight w:val="none"/>
            </w:rPr>
          </w:pPr>
          <w:r>
            <w:rPr>
              <w:rFonts w:hint="eastAsia" w:ascii="仿宋_GB2312" w:hAnsi="仿宋_GB2312" w:eastAsia="仿宋_GB2312" w:cs="仿宋_GB2312"/>
              <w:b/>
              <w:bCs/>
              <w:color w:val="auto"/>
              <w:sz w:val="21"/>
              <w:szCs w:val="21"/>
              <w:highlight w:val="none"/>
            </w:rPr>
            <w:t>目录</w:t>
          </w:r>
        </w:p>
        <w:p>
          <w:pPr>
            <w:pStyle w:val="9"/>
            <w:tabs>
              <w:tab w:val="right" w:leader="dot" w:pos="8845"/>
              <w:tab w:val="clear" w:pos="8777"/>
            </w:tabs>
          </w:pPr>
          <w:r>
            <w:rPr>
              <w:rFonts w:hint="eastAsia" w:ascii="仿宋" w:hAnsi="仿宋" w:eastAsia="仿宋" w:cs="仿宋"/>
              <w:b/>
              <w:bCs/>
              <w:color w:val="auto"/>
              <w:sz w:val="21"/>
              <w:szCs w:val="21"/>
              <w:highlight w:val="none"/>
              <w:lang w:val="en-US" w:eastAsia="zh-CN"/>
            </w:rPr>
            <w:fldChar w:fldCharType="begin"/>
          </w:r>
          <w:r>
            <w:rPr>
              <w:rFonts w:hint="eastAsia" w:ascii="仿宋" w:hAnsi="仿宋" w:eastAsia="仿宋" w:cs="仿宋"/>
              <w:b/>
              <w:bCs/>
              <w:color w:val="auto"/>
              <w:sz w:val="21"/>
              <w:szCs w:val="21"/>
              <w:highlight w:val="none"/>
              <w:lang w:val="en-US" w:eastAsia="zh-CN"/>
            </w:rPr>
            <w:instrText xml:space="preserve">TOC \o "1-3" \h \u </w:instrText>
          </w:r>
          <w:r>
            <w:rPr>
              <w:rFonts w:hint="eastAsia" w:ascii="仿宋" w:hAnsi="仿宋" w:eastAsia="仿宋" w:cs="仿宋"/>
              <w:b/>
              <w:bCs/>
              <w:color w:val="auto"/>
              <w:sz w:val="21"/>
              <w:szCs w:val="21"/>
              <w:highlight w:val="none"/>
              <w:lang w:val="en-US" w:eastAsia="zh-CN"/>
            </w:rPr>
            <w:fldChar w:fldCharType="separate"/>
          </w: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_Toc15583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前 言</w:t>
          </w:r>
          <w:r>
            <w:tab/>
          </w:r>
          <w:r>
            <w:fldChar w:fldCharType="begin"/>
          </w:r>
          <w:r>
            <w:instrText xml:space="preserve"> PAGEREF _Toc15583 \h </w:instrText>
          </w:r>
          <w:r>
            <w:fldChar w:fldCharType="separate"/>
          </w:r>
          <w:r>
            <w:t>1</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_Toc1609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szCs w:val="28"/>
              <w:highlight w:val="none"/>
              <w:lang w:val="en-US" w:eastAsia="zh-CN"/>
            </w:rPr>
            <w:t>报告正文</w:t>
          </w:r>
          <w:r>
            <w:tab/>
          </w:r>
          <w:r>
            <w:fldChar w:fldCharType="begin"/>
          </w:r>
          <w:r>
            <w:instrText xml:space="preserve"> PAGEREF _Toc1609 \h </w:instrText>
          </w:r>
          <w:r>
            <w:fldChar w:fldCharType="separate"/>
          </w:r>
          <w:r>
            <w:t>2</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_Toc17925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一、</w:t>
          </w:r>
          <w:r>
            <w:rPr>
              <w:rFonts w:hint="eastAsia" w:ascii="黑体" w:hAnsi="黑体" w:eastAsia="黑体" w:cs="黑体"/>
              <w:szCs w:val="28"/>
              <w:highlight w:val="none"/>
              <w:lang w:val="en-US" w:eastAsia="zh-CN"/>
            </w:rPr>
            <w:t>项目基本情况</w:t>
          </w:r>
          <w:r>
            <w:tab/>
          </w:r>
          <w:r>
            <w:fldChar w:fldCharType="begin"/>
          </w:r>
          <w:r>
            <w:instrText xml:space="preserve"> PAGEREF _Toc17925 \h </w:instrText>
          </w:r>
          <w:r>
            <w:fldChar w:fldCharType="separate"/>
          </w:r>
          <w:r>
            <w:t>2</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_Toc6870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kern w:val="2"/>
              <w:szCs w:val="28"/>
              <w:highlight w:val="none"/>
              <w:lang w:val="en-US" w:eastAsia="zh-CN" w:bidi="ar-SA"/>
            </w:rPr>
            <w:t>（一）</w:t>
          </w:r>
          <w:r>
            <w:rPr>
              <w:rFonts w:hint="eastAsia" w:ascii="楷体" w:hAnsi="楷体" w:eastAsia="楷体" w:cs="楷体"/>
              <w:bCs/>
              <w:szCs w:val="28"/>
              <w:highlight w:val="none"/>
              <w:lang w:val="en-US" w:eastAsia="zh-CN"/>
            </w:rPr>
            <w:t>项目概况</w:t>
          </w:r>
          <w:r>
            <w:tab/>
          </w:r>
          <w:r>
            <w:fldChar w:fldCharType="begin"/>
          </w:r>
          <w:r>
            <w:instrText xml:space="preserve"> PAGEREF _Toc6870 \h </w:instrText>
          </w:r>
          <w:r>
            <w:fldChar w:fldCharType="separate"/>
          </w:r>
          <w:r>
            <w:t>2</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ind w:firstLine="420" w:firstLineChars="200"/>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_Toc26758 </w:instrText>
          </w:r>
          <w:r>
            <w:rPr>
              <w:rFonts w:hint="eastAsia" w:ascii="仿宋" w:hAnsi="仿宋" w:eastAsia="仿宋" w:cs="仿宋"/>
              <w:bCs/>
              <w:szCs w:val="21"/>
              <w:highlight w:val="none"/>
              <w:lang w:val="en-US" w:eastAsia="zh-CN"/>
            </w:rPr>
            <w:fldChar w:fldCharType="separate"/>
          </w:r>
          <w:r>
            <w:rPr>
              <w:rFonts w:hint="default" w:ascii="仿宋" w:hAnsi="仿宋" w:eastAsia="仿宋" w:cs="仿宋"/>
              <w:bCs/>
              <w:kern w:val="2"/>
              <w:szCs w:val="28"/>
              <w:highlight w:val="none"/>
              <w:lang w:val="en-US" w:eastAsia="zh-CN" w:bidi="ar-SA"/>
            </w:rPr>
            <w:t>1</w:t>
          </w:r>
          <w:r>
            <w:rPr>
              <w:rFonts w:hint="eastAsia" w:ascii="仿宋" w:hAnsi="仿宋" w:eastAsia="仿宋" w:cs="仿宋"/>
              <w:bCs/>
              <w:kern w:val="2"/>
              <w:szCs w:val="28"/>
              <w:highlight w:val="none"/>
              <w:lang w:val="en-US" w:eastAsia="zh-CN" w:bidi="ar-SA"/>
            </w:rPr>
            <w:t>.</w:t>
          </w:r>
          <w:r>
            <w:rPr>
              <w:rFonts w:hint="eastAsia" w:ascii="仿宋" w:hAnsi="仿宋" w:eastAsia="仿宋" w:cs="仿宋"/>
              <w:bCs/>
              <w:szCs w:val="28"/>
              <w:highlight w:val="none"/>
              <w:lang w:val="en-US" w:eastAsia="zh-CN"/>
            </w:rPr>
            <w:t>项目政策背景</w:t>
          </w:r>
          <w:r>
            <w:tab/>
          </w:r>
          <w:r>
            <w:fldChar w:fldCharType="begin"/>
          </w:r>
          <w:r>
            <w:instrText xml:space="preserve"> PAGEREF _Toc26758 \h </w:instrText>
          </w:r>
          <w:r>
            <w:fldChar w:fldCharType="separate"/>
          </w:r>
          <w:r>
            <w:t>2</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_Toc17021 </w:instrText>
          </w:r>
          <w:r>
            <w:rPr>
              <w:rFonts w:hint="eastAsia" w:ascii="仿宋" w:hAnsi="仿宋" w:eastAsia="仿宋" w:cs="仿宋"/>
              <w:bCs/>
              <w:szCs w:val="21"/>
              <w:highlight w:val="none"/>
              <w:lang w:val="en-US" w:eastAsia="zh-CN"/>
            </w:rPr>
            <w:fldChar w:fldCharType="separate"/>
          </w:r>
          <w:r>
            <w:rPr>
              <w:rFonts w:hint="default" w:ascii="仿宋" w:hAnsi="仿宋" w:eastAsia="仿宋" w:cs="仿宋"/>
              <w:bCs/>
              <w:kern w:val="2"/>
              <w:szCs w:val="28"/>
              <w:highlight w:val="none"/>
              <w:lang w:val="en-US" w:eastAsia="zh-CN" w:bidi="ar-SA"/>
            </w:rPr>
            <w:t>2</w:t>
          </w:r>
          <w:r>
            <w:rPr>
              <w:rFonts w:hint="eastAsia" w:ascii="仿宋" w:hAnsi="仿宋" w:eastAsia="仿宋" w:cs="仿宋"/>
              <w:bCs/>
              <w:kern w:val="2"/>
              <w:szCs w:val="28"/>
              <w:highlight w:val="none"/>
              <w:lang w:val="en-US" w:eastAsia="zh-CN" w:bidi="ar-SA"/>
            </w:rPr>
            <w:t>.工作任务和实施情况</w:t>
          </w:r>
          <w:r>
            <w:tab/>
          </w:r>
          <w:r>
            <w:fldChar w:fldCharType="begin"/>
          </w:r>
          <w:r>
            <w:instrText xml:space="preserve"> PAGEREF _Toc17021 \h </w:instrText>
          </w:r>
          <w:r>
            <w:fldChar w:fldCharType="separate"/>
          </w:r>
          <w:r>
            <w:t>2</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_Toc13620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kern w:val="2"/>
              <w:szCs w:val="28"/>
              <w:highlight w:val="none"/>
              <w:lang w:val="en-US" w:eastAsia="zh-CN" w:bidi="ar-SA"/>
            </w:rPr>
            <w:t>3.资金投入和使用情况</w:t>
          </w:r>
          <w:r>
            <w:tab/>
          </w:r>
          <w:r>
            <w:fldChar w:fldCharType="begin"/>
          </w:r>
          <w:r>
            <w:instrText xml:space="preserve"> PAGEREF _Toc13620 \h </w:instrText>
          </w:r>
          <w:r>
            <w:fldChar w:fldCharType="separate"/>
          </w:r>
          <w:r>
            <w:t>3</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_Toc15916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kern w:val="2"/>
              <w:szCs w:val="28"/>
              <w:highlight w:val="none"/>
              <w:lang w:val="en-US" w:eastAsia="zh-CN" w:bidi="ar-SA"/>
            </w:rPr>
            <w:t>（二）项目绩效目标</w:t>
          </w:r>
          <w:r>
            <w:tab/>
          </w:r>
          <w:r>
            <w:fldChar w:fldCharType="begin"/>
          </w:r>
          <w:r>
            <w:instrText xml:space="preserve"> PAGEREF _Toc15916 \h </w:instrText>
          </w:r>
          <w:r>
            <w:fldChar w:fldCharType="separate"/>
          </w:r>
          <w:r>
            <w:t>4</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_Toc5919 </w:instrText>
          </w:r>
          <w:r>
            <w:rPr>
              <w:rFonts w:hint="eastAsia" w:ascii="仿宋" w:hAnsi="仿宋" w:eastAsia="仿宋" w:cs="仿宋"/>
              <w:bCs/>
              <w:szCs w:val="21"/>
              <w:highlight w:val="none"/>
              <w:lang w:val="en-US" w:eastAsia="zh-CN"/>
            </w:rPr>
            <w:fldChar w:fldCharType="separate"/>
          </w:r>
          <w:r>
            <w:rPr>
              <w:rFonts w:hint="default" w:ascii="仿宋" w:hAnsi="仿宋" w:eastAsia="仿宋" w:cs="仿宋"/>
              <w:bCs/>
              <w:kern w:val="2"/>
              <w:szCs w:val="28"/>
              <w:highlight w:val="none"/>
              <w:lang w:val="en-US" w:eastAsia="zh-CN" w:bidi="ar-SA"/>
            </w:rPr>
            <w:t>1</w:t>
          </w:r>
          <w:r>
            <w:rPr>
              <w:rFonts w:hint="eastAsia" w:ascii="仿宋" w:hAnsi="仿宋" w:eastAsia="仿宋" w:cs="仿宋"/>
              <w:bCs/>
              <w:kern w:val="2"/>
              <w:szCs w:val="28"/>
              <w:highlight w:val="none"/>
              <w:lang w:val="en-US" w:eastAsia="zh-CN" w:bidi="ar-SA"/>
            </w:rPr>
            <w:t>.总体目标</w:t>
          </w:r>
          <w:r>
            <w:tab/>
          </w:r>
          <w:r>
            <w:fldChar w:fldCharType="begin"/>
          </w:r>
          <w:r>
            <w:instrText xml:space="preserve"> PAGEREF _Toc5919 \h </w:instrText>
          </w:r>
          <w:r>
            <w:fldChar w:fldCharType="separate"/>
          </w:r>
          <w:r>
            <w:t>4</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_Toc11042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kern w:val="2"/>
              <w:szCs w:val="28"/>
              <w:highlight w:val="none"/>
              <w:lang w:val="en-US" w:eastAsia="zh-CN" w:bidi="ar-SA"/>
            </w:rPr>
            <w:t>2.具体目标</w:t>
          </w:r>
          <w:r>
            <w:tab/>
          </w:r>
          <w:r>
            <w:fldChar w:fldCharType="begin"/>
          </w:r>
          <w:r>
            <w:instrText xml:space="preserve"> PAGEREF _Toc11042 \h </w:instrText>
          </w:r>
          <w:r>
            <w:fldChar w:fldCharType="separate"/>
          </w:r>
          <w:r>
            <w:t>4</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_Toc11419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二、评价工作开展情况</w:t>
          </w:r>
          <w:r>
            <w:tab/>
          </w:r>
          <w:r>
            <w:fldChar w:fldCharType="begin"/>
          </w:r>
          <w:r>
            <w:instrText xml:space="preserve"> PAGEREF _Toc11419 \h </w:instrText>
          </w:r>
          <w:r>
            <w:fldChar w:fldCharType="separate"/>
          </w:r>
          <w:r>
            <w:t>4</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_Toc20923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（一） </w:t>
          </w:r>
          <w:r>
            <w:rPr>
              <w:rFonts w:hint="eastAsia" w:ascii="楷体" w:hAnsi="楷体" w:eastAsia="楷体" w:cs="楷体"/>
              <w:bCs/>
              <w:szCs w:val="28"/>
              <w:highlight w:val="none"/>
              <w:lang w:val="en-US" w:eastAsia="zh-CN"/>
            </w:rPr>
            <w:t>评价目的</w:t>
          </w:r>
          <w:r>
            <w:tab/>
          </w:r>
          <w:r>
            <w:fldChar w:fldCharType="begin"/>
          </w:r>
          <w:r>
            <w:instrText xml:space="preserve"> PAGEREF _Toc20923 \h </w:instrText>
          </w:r>
          <w:r>
            <w:fldChar w:fldCharType="separate"/>
          </w:r>
          <w:r>
            <w:t>4</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_Toc7129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（二） </w:t>
          </w:r>
          <w:r>
            <w:rPr>
              <w:rFonts w:hint="eastAsia" w:ascii="楷体" w:hAnsi="楷体" w:eastAsia="楷体" w:cs="楷体"/>
              <w:bCs/>
              <w:szCs w:val="28"/>
              <w:highlight w:val="none"/>
              <w:lang w:val="en-US" w:eastAsia="zh-CN"/>
            </w:rPr>
            <w:t>评价对象及范围</w:t>
          </w:r>
          <w:r>
            <w:tab/>
          </w:r>
          <w:r>
            <w:fldChar w:fldCharType="begin"/>
          </w:r>
          <w:r>
            <w:instrText xml:space="preserve"> PAGEREF _Toc7129 \h </w:instrText>
          </w:r>
          <w:r>
            <w:fldChar w:fldCharType="separate"/>
          </w:r>
          <w:r>
            <w:t>5</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_Toc6324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（三） </w:t>
          </w:r>
          <w:r>
            <w:rPr>
              <w:rFonts w:hint="eastAsia" w:ascii="楷体" w:hAnsi="楷体" w:eastAsia="楷体" w:cs="楷体"/>
              <w:bCs/>
              <w:szCs w:val="28"/>
              <w:highlight w:val="none"/>
              <w:lang w:val="en-US" w:eastAsia="zh-CN"/>
            </w:rPr>
            <w:t>评价依据</w:t>
          </w:r>
          <w:r>
            <w:tab/>
          </w:r>
          <w:r>
            <w:fldChar w:fldCharType="begin"/>
          </w:r>
          <w:r>
            <w:instrText xml:space="preserve"> PAGEREF _Toc6324 \h </w:instrText>
          </w:r>
          <w:r>
            <w:fldChar w:fldCharType="separate"/>
          </w:r>
          <w:r>
            <w:t>5</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_Toc22140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（四） </w:t>
          </w:r>
          <w:r>
            <w:rPr>
              <w:rFonts w:hint="eastAsia" w:ascii="楷体" w:hAnsi="楷体" w:eastAsia="楷体" w:cs="楷体"/>
              <w:bCs/>
              <w:szCs w:val="28"/>
              <w:highlight w:val="none"/>
              <w:lang w:val="en-US" w:eastAsia="zh-CN"/>
            </w:rPr>
            <w:t>评价原则与评价指标体系</w:t>
          </w:r>
          <w:r>
            <w:tab/>
          </w:r>
          <w:r>
            <w:fldChar w:fldCharType="begin"/>
          </w:r>
          <w:r>
            <w:instrText xml:space="preserve"> PAGEREF _Toc22140 \h </w:instrText>
          </w:r>
          <w:r>
            <w:fldChar w:fldCharType="separate"/>
          </w:r>
          <w:r>
            <w:t>6</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_Toc29191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1.评价原则</w:t>
          </w:r>
          <w:r>
            <w:tab/>
          </w:r>
          <w:r>
            <w:fldChar w:fldCharType="begin"/>
          </w:r>
          <w:r>
            <w:instrText xml:space="preserve"> PAGEREF _Toc29191 \h </w:instrText>
          </w:r>
          <w:r>
            <w:fldChar w:fldCharType="separate"/>
          </w:r>
          <w:r>
            <w:t>6</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_Toc13842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2.评价指标体系</w:t>
          </w:r>
          <w:r>
            <w:tab/>
          </w:r>
          <w:r>
            <w:fldChar w:fldCharType="begin"/>
          </w:r>
          <w:r>
            <w:instrText xml:space="preserve"> PAGEREF _Toc13842 \h </w:instrText>
          </w:r>
          <w:r>
            <w:fldChar w:fldCharType="separate"/>
          </w:r>
          <w:r>
            <w:t>6</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_Toc6619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（五） </w:t>
          </w:r>
          <w:r>
            <w:rPr>
              <w:rFonts w:hint="eastAsia" w:ascii="楷体" w:hAnsi="楷体" w:eastAsia="楷体" w:cs="楷体"/>
              <w:bCs/>
              <w:szCs w:val="28"/>
              <w:highlight w:val="none"/>
              <w:lang w:val="en-US" w:eastAsia="zh-CN"/>
            </w:rPr>
            <w:t>评价方法和评价标准</w:t>
          </w:r>
          <w:r>
            <w:tab/>
          </w:r>
          <w:r>
            <w:fldChar w:fldCharType="begin"/>
          </w:r>
          <w:r>
            <w:instrText xml:space="preserve"> PAGEREF _Toc6619 \h </w:instrText>
          </w:r>
          <w:r>
            <w:fldChar w:fldCharType="separate"/>
          </w:r>
          <w:r>
            <w:t>7</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_Toc17135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1.评价方法</w:t>
          </w:r>
          <w:r>
            <w:tab/>
          </w:r>
          <w:r>
            <w:fldChar w:fldCharType="begin"/>
          </w:r>
          <w:r>
            <w:instrText xml:space="preserve"> PAGEREF _Toc17135 \h </w:instrText>
          </w:r>
          <w:r>
            <w:fldChar w:fldCharType="separate"/>
          </w:r>
          <w:r>
            <w:t>7</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_Toc24025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2.评价标准</w:t>
          </w:r>
          <w:r>
            <w:tab/>
          </w:r>
          <w:r>
            <w:fldChar w:fldCharType="begin"/>
          </w:r>
          <w:r>
            <w:instrText xml:space="preserve"> PAGEREF _Toc24025 \h </w:instrText>
          </w:r>
          <w:r>
            <w:fldChar w:fldCharType="separate"/>
          </w:r>
          <w:r>
            <w:t>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_Toc20571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szCs w:val="28"/>
              <w:lang w:val="en-US" w:eastAsia="zh-CN"/>
            </w:rPr>
            <w:t xml:space="preserve">（六） </w:t>
          </w:r>
          <w:r>
            <w:rPr>
              <w:rFonts w:hint="eastAsia" w:ascii="楷体" w:hAnsi="楷体" w:eastAsia="楷体" w:cs="楷体"/>
              <w:bCs/>
              <w:szCs w:val="28"/>
              <w:highlight w:val="none"/>
              <w:lang w:val="en-US" w:eastAsia="zh-CN"/>
            </w:rPr>
            <w:t>绩效评价工作过程</w:t>
          </w:r>
          <w:r>
            <w:tab/>
          </w:r>
          <w:r>
            <w:fldChar w:fldCharType="begin"/>
          </w:r>
          <w:r>
            <w:instrText xml:space="preserve"> PAGEREF _Toc20571 \h </w:instrText>
          </w:r>
          <w:r>
            <w:fldChar w:fldCharType="separate"/>
          </w:r>
          <w:r>
            <w:t>7</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_Toc24070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1.前期准备</w:t>
          </w:r>
          <w:r>
            <w:tab/>
          </w:r>
          <w:r>
            <w:fldChar w:fldCharType="begin"/>
          </w:r>
          <w:r>
            <w:instrText xml:space="preserve"> PAGEREF _Toc24070 \h </w:instrText>
          </w:r>
          <w:r>
            <w:fldChar w:fldCharType="separate"/>
          </w:r>
          <w:r>
            <w:t>8</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_Toc14492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2.非现场评价</w:t>
          </w:r>
          <w:r>
            <w:tab/>
          </w:r>
          <w:r>
            <w:fldChar w:fldCharType="begin"/>
          </w:r>
          <w:r>
            <w:instrText xml:space="preserve"> PAGEREF _Toc14492 \h </w:instrText>
          </w:r>
          <w:r>
            <w:fldChar w:fldCharType="separate"/>
          </w:r>
          <w:r>
            <w:t>8</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_Toc17541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3.现场评价</w:t>
          </w:r>
          <w:r>
            <w:tab/>
          </w:r>
          <w:r>
            <w:fldChar w:fldCharType="begin"/>
          </w:r>
          <w:r>
            <w:instrText xml:space="preserve"> PAGEREF _Toc17541 \h </w:instrText>
          </w:r>
          <w:r>
            <w:fldChar w:fldCharType="separate"/>
          </w:r>
          <w:r>
            <w:t>8</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_Toc6777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4.分析评价</w:t>
          </w:r>
          <w:r>
            <w:tab/>
          </w:r>
          <w:r>
            <w:fldChar w:fldCharType="begin"/>
          </w:r>
          <w:r>
            <w:instrText xml:space="preserve"> PAGEREF _Toc6777 \h </w:instrText>
          </w:r>
          <w:r>
            <w:fldChar w:fldCharType="separate"/>
          </w:r>
          <w:r>
            <w:t>9</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_Toc1413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szCs w:val="28"/>
              <w:highlight w:val="none"/>
              <w:lang w:val="en-US" w:eastAsia="zh-CN"/>
            </w:rPr>
            <w:t>5.撰写与提交评价报告</w:t>
          </w:r>
          <w:r>
            <w:tab/>
          </w:r>
          <w:r>
            <w:fldChar w:fldCharType="begin"/>
          </w:r>
          <w:r>
            <w:instrText xml:space="preserve"> PAGEREF _Toc1413 \h </w:instrText>
          </w:r>
          <w:r>
            <w:fldChar w:fldCharType="separate"/>
          </w:r>
          <w:r>
            <w:t>9</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_Toc12252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三、综合评价结论及分析</w:t>
          </w:r>
          <w:r>
            <w:tab/>
          </w:r>
          <w:r>
            <w:fldChar w:fldCharType="begin"/>
          </w:r>
          <w:r>
            <w:instrText xml:space="preserve"> PAGEREF _Toc12252 \h </w:instrText>
          </w:r>
          <w:r>
            <w:fldChar w:fldCharType="separate"/>
          </w:r>
          <w:r>
            <w:t>9</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_Toc13043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四、主要经验和做法</w:t>
          </w:r>
          <w:r>
            <w:tab/>
          </w:r>
          <w:r>
            <w:fldChar w:fldCharType="begin"/>
          </w:r>
          <w:r>
            <w:instrText xml:space="preserve"> PAGEREF _Toc13043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_Toc27883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（一） </w:t>
          </w:r>
          <w:r>
            <w:rPr>
              <w:rFonts w:hint="eastAsia" w:ascii="楷体" w:hAnsi="楷体" w:eastAsia="楷体" w:cs="楷体"/>
              <w:bCs w:val="0"/>
              <w:kern w:val="44"/>
              <w:szCs w:val="28"/>
              <w:highlight w:val="none"/>
              <w:lang w:val="en-US" w:eastAsia="zh-CN" w:bidi="ar-SA"/>
            </w:rPr>
            <w:t>落实责任，健全制度，规范管理</w:t>
          </w:r>
          <w:r>
            <w:tab/>
          </w:r>
          <w:r>
            <w:fldChar w:fldCharType="begin"/>
          </w:r>
          <w:r>
            <w:instrText xml:space="preserve"> PAGEREF _Toc27883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_Toc18141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（二） </w:t>
          </w:r>
          <w:r>
            <w:rPr>
              <w:rFonts w:hint="eastAsia" w:ascii="楷体" w:hAnsi="楷体" w:eastAsia="楷体" w:cs="楷体"/>
              <w:bCs w:val="0"/>
              <w:kern w:val="44"/>
              <w:szCs w:val="28"/>
              <w:highlight w:val="none"/>
              <w:lang w:val="en-US" w:eastAsia="zh-CN" w:bidi="ar-SA"/>
            </w:rPr>
            <w:t>强化责任意识，依法依规做好储备粮油管理工作</w:t>
          </w:r>
          <w:r>
            <w:tab/>
          </w:r>
          <w:r>
            <w:fldChar w:fldCharType="begin"/>
          </w:r>
          <w:r>
            <w:instrText xml:space="preserve"> PAGEREF _Toc18141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_Toc3112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五、项目存在的主要问题及原因分析</w:t>
          </w:r>
          <w:r>
            <w:tab/>
          </w:r>
          <w:r>
            <w:fldChar w:fldCharType="begin"/>
          </w:r>
          <w:r>
            <w:instrText xml:space="preserve"> PAGEREF _Toc3112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_Toc17113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（一） </w:t>
          </w:r>
          <w:r>
            <w:rPr>
              <w:rFonts w:hint="eastAsia" w:ascii="楷体" w:hAnsi="楷体" w:eastAsia="楷体" w:cs="楷体"/>
              <w:bCs w:val="0"/>
              <w:kern w:val="44"/>
              <w:szCs w:val="28"/>
              <w:highlight w:val="none"/>
              <w:lang w:val="en-US" w:eastAsia="zh-CN" w:bidi="ar-SA"/>
            </w:rPr>
            <w:t>预算编制准确性有待提高</w:t>
          </w:r>
          <w:r>
            <w:tab/>
          </w:r>
          <w:r>
            <w:fldChar w:fldCharType="begin"/>
          </w:r>
          <w:r>
            <w:instrText xml:space="preserve"> PAGEREF _Toc17113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_Toc19262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（二） </w:t>
          </w:r>
          <w:r>
            <w:rPr>
              <w:rFonts w:hint="eastAsia" w:ascii="楷体" w:hAnsi="楷体" w:eastAsia="楷体" w:cs="楷体"/>
              <w:bCs w:val="0"/>
              <w:kern w:val="44"/>
              <w:szCs w:val="28"/>
              <w:highlight w:val="none"/>
              <w:lang w:val="en-US" w:eastAsia="zh-CN" w:bidi="ar-SA"/>
            </w:rPr>
            <w:t>管理人员业务水平有待提高</w:t>
          </w:r>
          <w:r>
            <w:tab/>
          </w:r>
          <w:r>
            <w:fldChar w:fldCharType="begin"/>
          </w:r>
          <w:r>
            <w:instrText xml:space="preserve"> PAGEREF _Toc19262 \h </w:instrText>
          </w:r>
          <w:r>
            <w:fldChar w:fldCharType="separate"/>
          </w:r>
          <w:r>
            <w:t>17</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_Toc11282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（三） </w:t>
          </w:r>
          <w:r>
            <w:rPr>
              <w:rFonts w:hint="eastAsia" w:ascii="楷体" w:hAnsi="楷体" w:eastAsia="楷体" w:cs="楷体"/>
              <w:bCs w:val="0"/>
              <w:kern w:val="44"/>
              <w:szCs w:val="28"/>
              <w:highlight w:val="none"/>
              <w:lang w:val="en-US" w:eastAsia="zh-CN" w:bidi="ar-SA"/>
            </w:rPr>
            <w:t>承储企业仓库货位标识不明</w:t>
          </w:r>
          <w:r>
            <w:tab/>
          </w:r>
          <w:r>
            <w:fldChar w:fldCharType="begin"/>
          </w:r>
          <w:r>
            <w:instrText xml:space="preserve"> PAGEREF _Toc11282 \h </w:instrText>
          </w:r>
          <w:r>
            <w:fldChar w:fldCharType="separate"/>
          </w:r>
          <w:r>
            <w:t>18</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_Toc23864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（四） </w:t>
          </w:r>
          <w:r>
            <w:rPr>
              <w:rFonts w:hint="eastAsia" w:ascii="楷体" w:hAnsi="楷体" w:eastAsia="楷体" w:cs="楷体"/>
              <w:bCs w:val="0"/>
              <w:kern w:val="44"/>
              <w:szCs w:val="28"/>
              <w:highlight w:val="none"/>
              <w:lang w:val="en-US" w:eastAsia="zh-CN" w:bidi="ar-SA"/>
            </w:rPr>
            <w:t>安全隐患整改台账有待进一步落实</w:t>
          </w:r>
          <w:r>
            <w:tab/>
          </w:r>
          <w:r>
            <w:fldChar w:fldCharType="begin"/>
          </w:r>
          <w:r>
            <w:instrText xml:space="preserve"> PAGEREF _Toc23864 \h </w:instrText>
          </w:r>
          <w:r>
            <w:fldChar w:fldCharType="separate"/>
          </w:r>
          <w:r>
            <w:t>18</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_Toc18897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highlight w:val="none"/>
              <w:lang w:val="en-US" w:eastAsia="zh-CN" w:bidi="ar-SA"/>
            </w:rPr>
            <w:t>六、意见建议</w:t>
          </w:r>
          <w:r>
            <w:tab/>
          </w:r>
          <w:r>
            <w:fldChar w:fldCharType="begin"/>
          </w:r>
          <w:r>
            <w:instrText xml:space="preserve"> PAGEREF _Toc18897 \h </w:instrText>
          </w:r>
          <w:r>
            <w:fldChar w:fldCharType="separate"/>
          </w:r>
          <w:r>
            <w:t>18</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_Toc21271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（一） </w:t>
          </w:r>
          <w:r>
            <w:rPr>
              <w:rFonts w:hint="eastAsia" w:ascii="楷体" w:hAnsi="楷体" w:eastAsia="楷体" w:cs="楷体"/>
              <w:bCs w:val="0"/>
              <w:kern w:val="44"/>
              <w:szCs w:val="28"/>
              <w:highlight w:val="none"/>
              <w:lang w:val="en-US" w:eastAsia="zh-CN" w:bidi="ar-SA"/>
            </w:rPr>
            <w:t>提高预算编制的准确性</w:t>
          </w:r>
          <w:r>
            <w:tab/>
          </w:r>
          <w:r>
            <w:fldChar w:fldCharType="begin"/>
          </w:r>
          <w:r>
            <w:instrText xml:space="preserve"> PAGEREF _Toc21271 \h </w:instrText>
          </w:r>
          <w:r>
            <w:fldChar w:fldCharType="separate"/>
          </w:r>
          <w:r>
            <w:t>18</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_Toc7297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（二） </w:t>
          </w:r>
          <w:r>
            <w:rPr>
              <w:rFonts w:hint="eastAsia" w:ascii="楷体" w:hAnsi="楷体" w:eastAsia="楷体" w:cs="楷体"/>
              <w:bCs w:val="0"/>
              <w:kern w:val="44"/>
              <w:szCs w:val="28"/>
              <w:highlight w:val="none"/>
              <w:lang w:val="en-US" w:eastAsia="zh-CN" w:bidi="ar-SA"/>
            </w:rPr>
            <w:t>加强队伍培训，确保人员操作熟练</w:t>
          </w:r>
          <w:r>
            <w:tab/>
          </w:r>
          <w:r>
            <w:fldChar w:fldCharType="begin"/>
          </w:r>
          <w:r>
            <w:instrText xml:space="preserve"> PAGEREF _Toc7297 \h </w:instrText>
          </w:r>
          <w:r>
            <w:fldChar w:fldCharType="separate"/>
          </w:r>
          <w:r>
            <w:t>19</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_Toc22851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（三） </w:t>
          </w:r>
          <w:r>
            <w:rPr>
              <w:rFonts w:hint="eastAsia" w:ascii="楷体" w:hAnsi="楷体" w:eastAsia="楷体" w:cs="楷体"/>
              <w:bCs w:val="0"/>
              <w:kern w:val="44"/>
              <w:szCs w:val="28"/>
              <w:highlight w:val="none"/>
              <w:lang w:val="en-US" w:eastAsia="zh-CN" w:bidi="ar-SA"/>
            </w:rPr>
            <w:t>规范承储企业货位卡管理</w:t>
          </w:r>
          <w:r>
            <w:tab/>
          </w:r>
          <w:r>
            <w:fldChar w:fldCharType="begin"/>
          </w:r>
          <w:r>
            <w:instrText xml:space="preserve"> PAGEREF _Toc22851 \h </w:instrText>
          </w:r>
          <w:r>
            <w:fldChar w:fldCharType="separate"/>
          </w:r>
          <w:r>
            <w:t>19</w:t>
          </w:r>
          <w:r>
            <w:fldChar w:fldCharType="end"/>
          </w:r>
          <w:r>
            <w:rPr>
              <w:rFonts w:hint="eastAsia" w:ascii="仿宋" w:hAnsi="仿宋" w:eastAsia="仿宋" w:cs="仿宋"/>
              <w:bCs/>
              <w:color w:val="auto"/>
              <w:szCs w:val="21"/>
              <w:highlight w:val="none"/>
              <w:lang w:val="en-US" w:eastAsia="zh-CN"/>
            </w:rPr>
            <w:fldChar w:fldCharType="end"/>
          </w:r>
        </w:p>
        <w:p>
          <w:pPr>
            <w:pStyle w:val="10"/>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_Toc15852 </w:instrText>
          </w:r>
          <w:r>
            <w:rPr>
              <w:rFonts w:hint="eastAsia" w:ascii="仿宋" w:hAnsi="仿宋" w:eastAsia="仿宋" w:cs="仿宋"/>
              <w:bCs/>
              <w:szCs w:val="21"/>
              <w:highlight w:val="none"/>
              <w:lang w:val="en-US" w:eastAsia="zh-CN"/>
            </w:rPr>
            <w:fldChar w:fldCharType="separate"/>
          </w:r>
          <w:r>
            <w:rPr>
              <w:rFonts w:hint="eastAsia" w:ascii="楷体" w:hAnsi="楷体" w:eastAsia="楷体" w:cs="楷体"/>
              <w:bCs w:val="0"/>
              <w:kern w:val="44"/>
              <w:szCs w:val="28"/>
              <w:lang w:val="en-US" w:eastAsia="zh-CN" w:bidi="ar-SA"/>
            </w:rPr>
            <w:t xml:space="preserve">（四） </w:t>
          </w:r>
          <w:r>
            <w:rPr>
              <w:rFonts w:hint="eastAsia" w:ascii="楷体" w:hAnsi="楷体" w:eastAsia="楷体" w:cs="楷体"/>
              <w:bCs w:val="0"/>
              <w:kern w:val="44"/>
              <w:szCs w:val="28"/>
              <w:highlight w:val="none"/>
              <w:lang w:val="en-US" w:eastAsia="zh-CN" w:bidi="ar-SA"/>
            </w:rPr>
            <w:t>建立健全代储企业安全隐患台账管理</w:t>
          </w:r>
          <w:r>
            <w:tab/>
          </w:r>
          <w:r>
            <w:fldChar w:fldCharType="begin"/>
          </w:r>
          <w:r>
            <w:instrText xml:space="preserve"> PAGEREF _Toc15852 \h </w:instrText>
          </w:r>
          <w:r>
            <w:fldChar w:fldCharType="separate"/>
          </w:r>
          <w:r>
            <w:t>19</w:t>
          </w:r>
          <w:r>
            <w:fldChar w:fldCharType="end"/>
          </w:r>
          <w:r>
            <w:rPr>
              <w:rFonts w:hint="eastAsia" w:ascii="仿宋" w:hAnsi="仿宋" w:eastAsia="仿宋" w:cs="仿宋"/>
              <w:bCs/>
              <w:color w:val="auto"/>
              <w:szCs w:val="21"/>
              <w:highlight w:val="none"/>
              <w:lang w:val="en-US" w:eastAsia="zh-CN"/>
            </w:rPr>
            <w:fldChar w:fldCharType="end"/>
          </w:r>
        </w:p>
        <w:p>
          <w:pPr>
            <w:pStyle w:val="9"/>
            <w:tabs>
              <w:tab w:val="right" w:leader="dot" w:pos="8845"/>
              <w:tab w:val="clear" w:pos="8777"/>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_Toc19798 </w:instrText>
          </w:r>
          <w:r>
            <w:rPr>
              <w:rFonts w:hint="eastAsia" w:ascii="仿宋" w:hAnsi="仿宋" w:eastAsia="仿宋" w:cs="仿宋"/>
              <w:bCs/>
              <w:szCs w:val="21"/>
              <w:highlight w:val="none"/>
              <w:lang w:val="en-US" w:eastAsia="zh-CN"/>
            </w:rPr>
            <w:fldChar w:fldCharType="separate"/>
          </w:r>
          <w:r>
            <w:rPr>
              <w:rFonts w:hint="eastAsia" w:ascii="黑体" w:hAnsi="黑体" w:eastAsia="黑体" w:cs="黑体"/>
              <w:bCs/>
              <w:kern w:val="44"/>
              <w:szCs w:val="28"/>
              <w:lang w:val="en-US" w:eastAsia="zh-CN" w:bidi="ar-SA"/>
            </w:rPr>
            <w:t xml:space="preserve">七、 </w:t>
          </w:r>
          <w:r>
            <w:rPr>
              <w:rFonts w:hint="eastAsia" w:ascii="黑体" w:hAnsi="黑体" w:eastAsia="黑体" w:cs="黑体"/>
              <w:bCs/>
              <w:kern w:val="44"/>
              <w:szCs w:val="28"/>
              <w:highlight w:val="none"/>
              <w:lang w:val="en-US" w:eastAsia="zh-CN" w:bidi="ar-SA"/>
            </w:rPr>
            <w:t>附件说明</w:t>
          </w:r>
          <w:r>
            <w:tab/>
          </w:r>
          <w:r>
            <w:fldChar w:fldCharType="begin"/>
          </w:r>
          <w:r>
            <w:instrText xml:space="preserve"> PAGEREF _Toc19798 \h </w:instrText>
          </w:r>
          <w:r>
            <w:fldChar w:fldCharType="separate"/>
          </w:r>
          <w:r>
            <w:t>20</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_Toc31829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val="0"/>
              <w:szCs w:val="28"/>
              <w:highlight w:val="none"/>
              <w:lang w:val="en-US" w:eastAsia="zh-CN"/>
            </w:rPr>
            <w:t>附件1 石狮市粮食购销有限公司2022年度发生额及余额表</w:t>
          </w:r>
          <w:r>
            <w:tab/>
          </w:r>
          <w:r>
            <w:fldChar w:fldCharType="begin"/>
          </w:r>
          <w:r>
            <w:instrText xml:space="preserve"> PAGEREF _Toc31829 \h </w:instrText>
          </w:r>
          <w:r>
            <w:fldChar w:fldCharType="separate"/>
          </w:r>
          <w:r>
            <w:t>20</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_Toc22357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val="0"/>
              <w:szCs w:val="28"/>
              <w:highlight w:val="none"/>
              <w:lang w:val="en-US" w:eastAsia="zh-CN"/>
            </w:rPr>
            <w:t>附件2 现场调研照片</w:t>
          </w:r>
          <w:r>
            <w:tab/>
          </w:r>
          <w:r>
            <w:fldChar w:fldCharType="begin"/>
          </w:r>
          <w:r>
            <w:instrText xml:space="preserve"> PAGEREF _Toc22357 \h </w:instrText>
          </w:r>
          <w:r>
            <w:fldChar w:fldCharType="separate"/>
          </w:r>
          <w:r>
            <w:t>20</w:t>
          </w:r>
          <w:r>
            <w:fldChar w:fldCharType="end"/>
          </w:r>
          <w:r>
            <w:rPr>
              <w:rFonts w:hint="eastAsia" w:ascii="仿宋" w:hAnsi="仿宋" w:eastAsia="仿宋" w:cs="仿宋"/>
              <w:bCs/>
              <w:color w:val="auto"/>
              <w:szCs w:val="21"/>
              <w:highlight w:val="none"/>
              <w:lang w:val="en-US" w:eastAsia="zh-CN"/>
            </w:rPr>
            <w:fldChar w:fldCharType="end"/>
          </w:r>
        </w:p>
        <w:p>
          <w:pPr>
            <w:pStyle w:val="6"/>
            <w:tabs>
              <w:tab w:val="right" w:leader="dot" w:pos="8845"/>
            </w:tabs>
          </w:pPr>
          <w:r>
            <w:rPr>
              <w:rFonts w:hint="eastAsia" w:ascii="仿宋" w:hAnsi="仿宋" w:eastAsia="仿宋" w:cs="仿宋"/>
              <w:bCs/>
              <w:color w:val="auto"/>
              <w:szCs w:val="21"/>
              <w:highlight w:val="none"/>
              <w:lang w:val="en-US" w:eastAsia="zh-CN"/>
            </w:rPr>
            <w:fldChar w:fldCharType="begin"/>
          </w:r>
          <w:r>
            <w:rPr>
              <w:rFonts w:hint="eastAsia" w:ascii="仿宋" w:hAnsi="仿宋" w:eastAsia="仿宋" w:cs="仿宋"/>
              <w:bCs/>
              <w:szCs w:val="21"/>
              <w:highlight w:val="none"/>
              <w:lang w:val="en-US" w:eastAsia="zh-CN"/>
            </w:rPr>
            <w:instrText xml:space="preserve"> HYPERLINK \l _Toc20306 </w:instrText>
          </w:r>
          <w:r>
            <w:rPr>
              <w:rFonts w:hint="eastAsia" w:ascii="仿宋" w:hAnsi="仿宋" w:eastAsia="仿宋" w:cs="仿宋"/>
              <w:bCs/>
              <w:szCs w:val="21"/>
              <w:highlight w:val="none"/>
              <w:lang w:val="en-US" w:eastAsia="zh-CN"/>
            </w:rPr>
            <w:fldChar w:fldCharType="separate"/>
          </w:r>
          <w:r>
            <w:rPr>
              <w:rFonts w:hint="eastAsia" w:ascii="仿宋" w:hAnsi="仿宋" w:eastAsia="仿宋" w:cs="仿宋"/>
              <w:bCs w:val="0"/>
              <w:szCs w:val="28"/>
              <w:highlight w:val="none"/>
              <w:lang w:val="en-US" w:eastAsia="zh-CN"/>
            </w:rPr>
            <w:t>附件3 2022年度石狮市地方储备粮油专项问卷调查表</w:t>
          </w:r>
          <w:r>
            <w:tab/>
          </w:r>
          <w:r>
            <w:fldChar w:fldCharType="begin"/>
          </w:r>
          <w:r>
            <w:instrText xml:space="preserve"> PAGEREF _Toc20306 \h </w:instrText>
          </w:r>
          <w:r>
            <w:fldChar w:fldCharType="separate"/>
          </w:r>
          <w:r>
            <w:t>20</w:t>
          </w:r>
          <w:r>
            <w:fldChar w:fldCharType="end"/>
          </w:r>
          <w:r>
            <w:rPr>
              <w:rFonts w:hint="eastAsia" w:ascii="仿宋" w:hAnsi="仿宋" w:eastAsia="仿宋" w:cs="仿宋"/>
              <w:bCs/>
              <w:color w:val="auto"/>
              <w:szCs w:val="21"/>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b/>
              <w:bCs/>
              <w:color w:val="auto"/>
              <w:sz w:val="28"/>
              <w:szCs w:val="28"/>
              <w:highlight w:val="none"/>
              <w:lang w:val="en-US" w:eastAsia="zh-CN"/>
            </w:rPr>
            <w:sectPr>
              <w:footerReference r:id="rId4" w:type="default"/>
              <w:pgSz w:w="11906" w:h="16838"/>
              <w:pgMar w:top="1417" w:right="1474" w:bottom="1417" w:left="158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仿宋" w:hAnsi="仿宋" w:eastAsia="仿宋" w:cs="仿宋"/>
              <w:bCs/>
              <w:color w:val="auto"/>
              <w:szCs w:val="21"/>
              <w:highlight w:val="none"/>
              <w:lang w:val="en-US" w:eastAsia="zh-CN"/>
            </w:rPr>
            <w:fldChar w:fldCharType="end"/>
          </w:r>
        </w:p>
      </w:sdtContent>
    </w:sdt>
    <w:p>
      <w:pPr>
        <w:pageBreakBefore w:val="0"/>
        <w:shd w:val="clear" w:fill="FFFFFF" w:themeFill="background1"/>
        <w:kinsoku/>
        <w:wordWrap/>
        <w:topLinePunct w:val="0"/>
        <w:bidi w:val="0"/>
        <w:snapToGrid/>
        <w:spacing w:line="240" w:lineRule="auto"/>
        <w:ind w:right="0"/>
        <w:jc w:val="center"/>
        <w:outlineLvl w:val="0"/>
        <w:rPr>
          <w:rFonts w:hint="eastAsia" w:ascii="黑体" w:hAnsi="黑体" w:eastAsia="黑体" w:cs="黑体"/>
          <w:b/>
          <w:bCs/>
          <w:color w:val="auto"/>
          <w:kern w:val="44"/>
          <w:sz w:val="28"/>
          <w:szCs w:val="28"/>
          <w:highlight w:val="none"/>
          <w:lang w:val="en-US" w:eastAsia="zh-CN" w:bidi="ar-SA"/>
        </w:rPr>
      </w:pPr>
      <w:bookmarkStart w:id="0" w:name="_Toc11287"/>
      <w:bookmarkStart w:id="1" w:name="_Toc13483"/>
      <w:bookmarkStart w:id="2" w:name="_Toc31460"/>
      <w:bookmarkStart w:id="3" w:name="_Toc25020"/>
      <w:bookmarkStart w:id="4" w:name="_Toc23665"/>
      <w:bookmarkStart w:id="5" w:name="_Toc14254"/>
      <w:bookmarkStart w:id="6" w:name="_Toc32157"/>
      <w:bookmarkStart w:id="7" w:name="_Toc4094"/>
      <w:bookmarkStart w:id="8" w:name="_Toc15583"/>
      <w:r>
        <w:rPr>
          <w:rFonts w:hint="eastAsia" w:ascii="黑体" w:hAnsi="黑体" w:eastAsia="黑体" w:cs="黑体"/>
          <w:b/>
          <w:bCs/>
          <w:color w:val="auto"/>
          <w:kern w:val="44"/>
          <w:sz w:val="28"/>
          <w:szCs w:val="28"/>
          <w:highlight w:val="none"/>
          <w:lang w:val="en-US" w:eastAsia="zh-CN" w:bidi="ar-SA"/>
        </w:rPr>
        <w:t>前 言</w:t>
      </w:r>
      <w:bookmarkEnd w:id="0"/>
      <w:bookmarkEnd w:id="1"/>
      <w:bookmarkEnd w:id="2"/>
      <w:bookmarkEnd w:id="3"/>
      <w:bookmarkEnd w:id="4"/>
      <w:bookmarkEnd w:id="5"/>
      <w:bookmarkEnd w:id="6"/>
      <w:bookmarkEnd w:id="7"/>
      <w:bookmarkEnd w:id="8"/>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sz w:val="28"/>
          <w:szCs w:val="28"/>
          <w:highlight w:val="none"/>
        </w:rPr>
        <w:t>为加强财政资金管理，强化支出责任，提高财政资金的使用效益，建立科学、合理的财政支出绩效评价管理体系，</w:t>
      </w:r>
      <w:r>
        <w:rPr>
          <w:rFonts w:hint="eastAsia" w:ascii="仿宋" w:hAnsi="仿宋" w:eastAsia="仿宋" w:cs="仿宋"/>
          <w:color w:val="auto"/>
          <w:kern w:val="0"/>
          <w:sz w:val="28"/>
          <w:szCs w:val="28"/>
          <w:highlight w:val="none"/>
          <w:lang w:val="en-US" w:eastAsia="zh-CN"/>
        </w:rPr>
        <w:t>泉州市招标咨询中心有限公司地方财政绩效评价所受石狮市财政局</w:t>
      </w:r>
      <w:r>
        <w:rPr>
          <w:rFonts w:hint="eastAsia" w:ascii="仿宋" w:hAnsi="仿宋" w:eastAsia="仿宋" w:cs="仿宋"/>
          <w:color w:val="auto"/>
          <w:kern w:val="0"/>
          <w:sz w:val="28"/>
          <w:szCs w:val="28"/>
          <w:highlight w:val="none"/>
          <w:lang w:val="en-US" w:eastAsia="zh-CN" w:bidi="ar-SA"/>
        </w:rPr>
        <w:t>委托，依据《中共中央 国务院关于全面实施预算绩效管理的意见》（中发〔2018〕34号）</w:t>
      </w:r>
      <w:r>
        <w:rPr>
          <w:rFonts w:hint="eastAsia" w:ascii="仿宋" w:hAnsi="仿宋" w:eastAsia="仿宋" w:cs="仿宋"/>
          <w:color w:val="auto"/>
          <w:sz w:val="28"/>
          <w:szCs w:val="28"/>
          <w:highlight w:val="none"/>
        </w:rPr>
        <w:t>财政部《项目支出绩效评价管理办法》（财预〔2020〕10号）福建省委、省政府《关于全面实施预算绩效管理的实施意见》（闽委发〔2019〕5号）福建省财政厅《关于全面实施预算绩效管理若干措施的通知》（闽财绩〔2019〕2号）</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文件</w:t>
      </w:r>
      <w:r>
        <w:rPr>
          <w:rFonts w:hint="eastAsia" w:ascii="仿宋" w:hAnsi="仿宋" w:eastAsia="仿宋" w:cs="仿宋"/>
          <w:color w:val="auto"/>
          <w:kern w:val="0"/>
          <w:sz w:val="28"/>
          <w:szCs w:val="28"/>
          <w:highlight w:val="none"/>
          <w:lang w:val="en-US" w:eastAsia="zh-CN" w:bidi="ar-SA"/>
        </w:rPr>
        <w:t>的要求，</w:t>
      </w:r>
      <w:r>
        <w:rPr>
          <w:rFonts w:hint="eastAsia" w:ascii="仿宋" w:hAnsi="仿宋" w:eastAsia="仿宋" w:cs="仿宋"/>
          <w:color w:val="auto"/>
          <w:sz w:val="28"/>
          <w:szCs w:val="28"/>
          <w:highlight w:val="none"/>
        </w:rPr>
        <w:t>对</w:t>
      </w:r>
      <w:r>
        <w:rPr>
          <w:rFonts w:hint="eastAsia" w:ascii="仿宋" w:hAnsi="仿宋" w:eastAsia="仿宋" w:cs="仿宋"/>
          <w:color w:val="auto"/>
          <w:sz w:val="28"/>
          <w:szCs w:val="28"/>
          <w:highlight w:val="none"/>
          <w:lang w:val="en-US" w:eastAsia="zh-CN"/>
        </w:rPr>
        <w:t>石狮市地方储备粮油</w:t>
      </w:r>
      <w:r>
        <w:rPr>
          <w:rFonts w:hint="eastAsia" w:ascii="仿宋" w:hAnsi="仿宋" w:eastAsia="仿宋" w:cs="仿宋"/>
          <w:color w:val="auto"/>
          <w:sz w:val="28"/>
          <w:szCs w:val="28"/>
          <w:highlight w:val="none"/>
        </w:rPr>
        <w:t>专项资金</w:t>
      </w:r>
      <w:r>
        <w:rPr>
          <w:rFonts w:hint="eastAsia" w:ascii="仿宋" w:hAnsi="仿宋" w:eastAsia="仿宋" w:cs="仿宋"/>
          <w:color w:val="auto"/>
          <w:sz w:val="28"/>
          <w:szCs w:val="28"/>
          <w:highlight w:val="none"/>
          <w:lang w:val="en-US" w:eastAsia="zh-CN"/>
        </w:rPr>
        <w:t>开展</w:t>
      </w:r>
      <w:r>
        <w:rPr>
          <w:rFonts w:hint="eastAsia" w:ascii="仿宋" w:hAnsi="仿宋" w:eastAsia="仿宋" w:cs="仿宋"/>
          <w:color w:val="auto"/>
          <w:sz w:val="28"/>
          <w:szCs w:val="28"/>
          <w:highlight w:val="none"/>
        </w:rPr>
        <w:t>绩效评价工作。按照财政部《第三方机构预算绩效评价业务监督管理暂行办法》（财监〔2021〕4号）的要求，以第三方身份出具报告。评价报告主要供</w:t>
      </w:r>
      <w:r>
        <w:rPr>
          <w:rFonts w:hint="eastAsia" w:ascii="仿宋" w:hAnsi="仿宋" w:eastAsia="仿宋" w:cs="仿宋"/>
          <w:color w:val="auto"/>
          <w:sz w:val="28"/>
          <w:szCs w:val="28"/>
          <w:highlight w:val="none"/>
          <w:lang w:val="en-US" w:eastAsia="zh-CN"/>
        </w:rPr>
        <w:t>石狮市</w:t>
      </w:r>
      <w:r>
        <w:rPr>
          <w:rFonts w:hint="eastAsia" w:ascii="仿宋" w:hAnsi="仿宋" w:eastAsia="仿宋" w:cs="仿宋"/>
          <w:color w:val="auto"/>
          <w:sz w:val="28"/>
          <w:szCs w:val="28"/>
          <w:highlight w:val="none"/>
          <w:lang w:eastAsia="zh-CN"/>
        </w:rPr>
        <w:t>财政局</w:t>
      </w:r>
      <w:r>
        <w:rPr>
          <w:rFonts w:hint="eastAsia" w:ascii="仿宋" w:hAnsi="仿宋" w:eastAsia="仿宋" w:cs="仿宋"/>
          <w:color w:val="auto"/>
          <w:sz w:val="28"/>
          <w:szCs w:val="28"/>
          <w:highlight w:val="none"/>
        </w:rPr>
        <w:t>了解</w:t>
      </w:r>
      <w:r>
        <w:rPr>
          <w:rFonts w:hint="eastAsia" w:ascii="仿宋" w:hAnsi="仿宋" w:eastAsia="仿宋" w:cs="仿宋"/>
          <w:color w:val="auto"/>
          <w:sz w:val="28"/>
          <w:szCs w:val="28"/>
          <w:highlight w:val="none"/>
          <w:lang w:val="en-US" w:eastAsia="zh-CN"/>
        </w:rPr>
        <w:t>地方储备粮油</w:t>
      </w:r>
      <w:r>
        <w:rPr>
          <w:rFonts w:hint="eastAsia" w:ascii="仿宋" w:hAnsi="仿宋" w:eastAsia="仿宋" w:cs="仿宋"/>
          <w:color w:val="auto"/>
          <w:sz w:val="28"/>
          <w:szCs w:val="28"/>
          <w:highlight w:val="none"/>
        </w:rPr>
        <w:t>专项资金支出的绩效情况，并据</w:t>
      </w:r>
      <w:r>
        <w:rPr>
          <w:rFonts w:hint="eastAsia" w:ascii="仿宋" w:hAnsi="仿宋" w:eastAsia="仿宋" w:cs="仿宋"/>
          <w:color w:val="auto"/>
          <w:sz w:val="28"/>
          <w:szCs w:val="28"/>
          <w:highlight w:val="none"/>
          <w:lang w:val="en-US" w:eastAsia="zh-CN"/>
        </w:rPr>
        <w:t>此</w:t>
      </w:r>
      <w:r>
        <w:rPr>
          <w:rFonts w:hint="eastAsia" w:ascii="仿宋" w:hAnsi="仿宋" w:eastAsia="仿宋" w:cs="仿宋"/>
          <w:color w:val="auto"/>
          <w:sz w:val="28"/>
          <w:szCs w:val="28"/>
          <w:highlight w:val="none"/>
        </w:rPr>
        <w:t>以加强对未来该项资金拨付、使用的管理。</w:t>
      </w:r>
      <w:r>
        <w:rPr>
          <w:rFonts w:hint="eastAsia" w:ascii="仿宋" w:hAnsi="仿宋" w:eastAsia="仿宋" w:cs="仿宋"/>
          <w:color w:val="auto"/>
          <w:kern w:val="0"/>
          <w:sz w:val="28"/>
          <w:szCs w:val="28"/>
          <w:highlight w:val="none"/>
          <w:lang w:val="en-US" w:eastAsia="zh-CN"/>
        </w:rPr>
        <w:t>我中心绩效评价小组经过数据采集、书面资料审查、实地调研、社会调查和分析研究等必要的绩效评价程序，并结合单位情况，在梳理、分析、研究评价数据资料的基础上，形成本评价报告。</w:t>
      </w:r>
    </w:p>
    <w:p>
      <w:pPr>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br w:type="page"/>
      </w:r>
    </w:p>
    <w:p>
      <w:pPr>
        <w:pStyle w:val="2"/>
        <w:ind w:left="0" w:leftChars="0" w:firstLine="0" w:firstLineChars="0"/>
        <w:jc w:val="center"/>
        <w:outlineLvl w:val="0"/>
        <w:rPr>
          <w:rFonts w:hint="eastAsia" w:ascii="黑体" w:hAnsi="黑体" w:eastAsia="黑体" w:cs="黑体"/>
          <w:b/>
          <w:bCs/>
          <w:color w:val="auto"/>
          <w:sz w:val="28"/>
          <w:szCs w:val="28"/>
          <w:highlight w:val="none"/>
          <w:lang w:val="en-US" w:eastAsia="zh-CN"/>
        </w:rPr>
      </w:pPr>
      <w:bookmarkStart w:id="9" w:name="_Toc27893"/>
      <w:bookmarkStart w:id="10" w:name="_Toc12199"/>
      <w:bookmarkStart w:id="11" w:name="_Toc31222"/>
      <w:bookmarkStart w:id="12" w:name="_Toc5746"/>
      <w:bookmarkStart w:id="13" w:name="_Toc30150"/>
      <w:bookmarkStart w:id="14" w:name="_Toc4268"/>
      <w:bookmarkStart w:id="15" w:name="_Toc13803"/>
      <w:bookmarkStart w:id="16" w:name="_Toc15981"/>
      <w:bookmarkStart w:id="17" w:name="_Toc1609"/>
      <w:bookmarkStart w:id="18" w:name="_Toc3192"/>
      <w:bookmarkStart w:id="19" w:name="_Toc1590"/>
      <w:bookmarkStart w:id="20" w:name="_Toc28518"/>
      <w:bookmarkStart w:id="21" w:name="_Toc26935"/>
      <w:bookmarkStart w:id="22" w:name="_Toc2186"/>
      <w:bookmarkStart w:id="23" w:name="_Toc30771"/>
      <w:r>
        <w:rPr>
          <w:rFonts w:hint="eastAsia" w:ascii="黑体" w:hAnsi="黑体" w:eastAsia="黑体" w:cs="黑体"/>
          <w:b/>
          <w:bCs/>
          <w:color w:val="auto"/>
          <w:sz w:val="28"/>
          <w:szCs w:val="28"/>
          <w:highlight w:val="none"/>
          <w:lang w:val="en-US" w:eastAsia="zh-CN"/>
        </w:rPr>
        <w:t>报告正文</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eastAsia" w:ascii="黑体" w:hAnsi="黑体" w:eastAsia="黑体" w:cs="黑体"/>
          <w:color w:val="auto"/>
          <w:sz w:val="28"/>
          <w:szCs w:val="28"/>
          <w:highlight w:val="none"/>
          <w:lang w:val="en-US" w:eastAsia="zh-CN"/>
        </w:rPr>
      </w:pPr>
      <w:bookmarkStart w:id="24" w:name="_Toc17925"/>
      <w:bookmarkStart w:id="25" w:name="_Toc3252"/>
      <w:bookmarkStart w:id="26" w:name="_Toc15417"/>
      <w:bookmarkStart w:id="27" w:name="_Toc8895"/>
      <w:bookmarkStart w:id="28" w:name="_Toc26327"/>
      <w:r>
        <w:rPr>
          <w:rFonts w:hint="eastAsia" w:ascii="黑体" w:hAnsi="黑体" w:eastAsia="黑体" w:cs="黑体"/>
          <w:b/>
          <w:bCs/>
          <w:color w:val="auto"/>
          <w:kern w:val="44"/>
          <w:sz w:val="28"/>
          <w:szCs w:val="28"/>
          <w:highlight w:val="none"/>
          <w:lang w:val="en-US" w:eastAsia="zh-CN" w:bidi="ar-SA"/>
        </w:rPr>
        <w:t>一、</w:t>
      </w:r>
      <w:r>
        <w:rPr>
          <w:rFonts w:hint="eastAsia" w:ascii="黑体" w:hAnsi="黑体" w:eastAsia="黑体" w:cs="黑体"/>
          <w:color w:val="auto"/>
          <w:sz w:val="28"/>
          <w:szCs w:val="28"/>
          <w:highlight w:val="none"/>
          <w:lang w:val="en-US" w:eastAsia="zh-CN"/>
        </w:rPr>
        <w:t>项目基本情况</w:t>
      </w:r>
      <w:bookmarkEnd w:id="24"/>
      <w:bookmarkEnd w:id="25"/>
      <w:bookmarkEnd w:id="26"/>
      <w:bookmarkEnd w:id="27"/>
      <w:bookmarkEnd w:id="28"/>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sz w:val="28"/>
          <w:szCs w:val="28"/>
          <w:highlight w:val="none"/>
          <w:lang w:val="en-US" w:eastAsia="zh-CN"/>
        </w:rPr>
      </w:pPr>
      <w:bookmarkStart w:id="29" w:name="_Toc22657"/>
      <w:bookmarkStart w:id="30" w:name="_Toc4904"/>
      <w:bookmarkStart w:id="31" w:name="_Toc6870"/>
      <w:bookmarkStart w:id="32" w:name="_Toc26437"/>
      <w:bookmarkStart w:id="33" w:name="_Toc6411"/>
      <w:r>
        <w:rPr>
          <w:rFonts w:hint="eastAsia" w:ascii="楷体" w:hAnsi="楷体" w:eastAsia="楷体" w:cs="楷体"/>
          <w:b/>
          <w:bCs/>
          <w:color w:val="auto"/>
          <w:kern w:val="2"/>
          <w:sz w:val="28"/>
          <w:szCs w:val="28"/>
          <w:highlight w:val="none"/>
          <w:lang w:val="en-US" w:eastAsia="zh-CN" w:bidi="ar-SA"/>
        </w:rPr>
        <w:t>（一）</w:t>
      </w:r>
      <w:r>
        <w:rPr>
          <w:rFonts w:hint="eastAsia" w:ascii="楷体" w:hAnsi="楷体" w:eastAsia="楷体" w:cs="楷体"/>
          <w:b/>
          <w:bCs/>
          <w:color w:val="auto"/>
          <w:sz w:val="28"/>
          <w:szCs w:val="28"/>
          <w:highlight w:val="none"/>
          <w:lang w:val="en-US" w:eastAsia="zh-CN"/>
        </w:rPr>
        <w:t>项目概况</w:t>
      </w:r>
      <w:bookmarkEnd w:id="29"/>
      <w:bookmarkEnd w:id="30"/>
      <w:bookmarkEnd w:id="31"/>
      <w:bookmarkEnd w:id="32"/>
      <w:bookmarkEnd w:id="33"/>
      <w:bookmarkStart w:id="34" w:name="_Toc494"/>
      <w:bookmarkStart w:id="35" w:name="_Toc7048"/>
      <w:bookmarkStart w:id="36" w:name="_Toc16971"/>
      <w:bookmarkStart w:id="37" w:name="_Toc3423"/>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1"/>
        <w:rPr>
          <w:rFonts w:hint="eastAsia" w:ascii="仿宋" w:hAnsi="仿宋" w:eastAsia="仿宋" w:cs="仿宋"/>
          <w:b/>
          <w:bCs/>
          <w:color w:val="auto"/>
          <w:sz w:val="28"/>
          <w:szCs w:val="28"/>
          <w:highlight w:val="none"/>
          <w:lang w:val="en-US" w:eastAsia="zh-CN"/>
        </w:rPr>
      </w:pPr>
      <w:bookmarkStart w:id="38" w:name="_Toc26758"/>
      <w:bookmarkStart w:id="39" w:name="_Toc23196"/>
      <w:r>
        <w:rPr>
          <w:rFonts w:hint="default"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kern w:val="2"/>
          <w:sz w:val="28"/>
          <w:szCs w:val="28"/>
          <w:highlight w:val="none"/>
          <w:lang w:val="en-US" w:eastAsia="zh-CN" w:bidi="ar-SA"/>
        </w:rPr>
        <w:t>.</w:t>
      </w:r>
      <w:r>
        <w:rPr>
          <w:rFonts w:hint="eastAsia" w:ascii="仿宋" w:hAnsi="仿宋" w:eastAsia="仿宋" w:cs="仿宋"/>
          <w:b/>
          <w:bCs/>
          <w:color w:val="auto"/>
          <w:sz w:val="28"/>
          <w:szCs w:val="28"/>
          <w:highlight w:val="none"/>
          <w:lang w:val="en-US" w:eastAsia="zh-CN"/>
        </w:rPr>
        <w:t>项目政策背景</w:t>
      </w:r>
      <w:bookmarkEnd w:id="34"/>
      <w:bookmarkEnd w:id="35"/>
      <w:bookmarkEnd w:id="36"/>
      <w:bookmarkEnd w:id="37"/>
      <w:bookmarkEnd w:id="38"/>
      <w:bookmarkEnd w:id="39"/>
    </w:p>
    <w:p>
      <w:pPr>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民以食为天。仓廪实，天下安，粮食安全、粮食战略储备事关国泰民安。</w:t>
      </w:r>
      <w:r>
        <w:rPr>
          <w:rFonts w:hint="eastAsia" w:ascii="仿宋" w:hAnsi="仿宋" w:eastAsia="仿宋" w:cs="仿宋"/>
          <w:color w:val="auto"/>
          <w:sz w:val="28"/>
          <w:szCs w:val="28"/>
          <w:highlight w:val="none"/>
        </w:rPr>
        <w:t>习近平总书记多次强调“中国人的饭碗任何时候都要牢牢端在自己手中，饭碗主要装中国粮”。</w:t>
      </w:r>
      <w:r>
        <w:rPr>
          <w:rFonts w:hint="eastAsia" w:ascii="仿宋" w:hAnsi="仿宋" w:eastAsia="仿宋" w:cs="仿宋"/>
          <w:color w:val="auto"/>
          <w:sz w:val="28"/>
          <w:szCs w:val="28"/>
          <w:highlight w:val="none"/>
          <w:lang w:val="en-US" w:eastAsia="zh-CN"/>
        </w:rPr>
        <w:t>为落实习近平总书记关于粮食安全的重要指示精神，</w:t>
      </w:r>
      <w:r>
        <w:rPr>
          <w:rFonts w:hint="eastAsia" w:ascii="仿宋" w:hAnsi="仿宋" w:eastAsia="仿宋" w:cs="仿宋"/>
          <w:color w:val="auto"/>
          <w:sz w:val="28"/>
          <w:szCs w:val="28"/>
          <w:highlight w:val="none"/>
        </w:rPr>
        <w:t>近年来，</w:t>
      </w:r>
      <w:r>
        <w:rPr>
          <w:rFonts w:hint="eastAsia" w:ascii="仿宋" w:hAnsi="仿宋" w:eastAsia="仿宋" w:cs="仿宋"/>
          <w:color w:val="auto"/>
          <w:sz w:val="28"/>
          <w:szCs w:val="28"/>
          <w:highlight w:val="none"/>
          <w:lang w:val="en-US" w:eastAsia="zh-CN"/>
        </w:rPr>
        <w:t>石狮市</w:t>
      </w:r>
      <w:r>
        <w:rPr>
          <w:rFonts w:hint="eastAsia" w:ascii="仿宋" w:hAnsi="仿宋" w:eastAsia="仿宋" w:cs="仿宋"/>
          <w:color w:val="auto"/>
          <w:sz w:val="28"/>
          <w:szCs w:val="28"/>
          <w:highlight w:val="none"/>
        </w:rPr>
        <w:t>加快推进粮食储备安全管理改革，严格落实政府储备规模，强化政策性粮食监管，确保地方储备粮始终成为人民</w:t>
      </w:r>
      <w:r>
        <w:rPr>
          <w:rFonts w:hint="eastAsia" w:ascii="仿宋" w:hAnsi="仿宋" w:eastAsia="仿宋" w:cs="仿宋"/>
          <w:color w:val="auto"/>
          <w:sz w:val="28"/>
          <w:szCs w:val="28"/>
          <w:highlight w:val="none"/>
          <w:lang w:val="en-US" w:eastAsia="zh-CN"/>
        </w:rPr>
        <w:t>的</w:t>
      </w:r>
      <w:r>
        <w:rPr>
          <w:rFonts w:hint="eastAsia" w:ascii="仿宋" w:hAnsi="仿宋" w:eastAsia="仿宋" w:cs="仿宋"/>
          <w:color w:val="auto"/>
          <w:sz w:val="28"/>
          <w:szCs w:val="28"/>
          <w:highlight w:val="none"/>
        </w:rPr>
        <w:t>“放心粮”。</w:t>
      </w:r>
    </w:p>
    <w:p>
      <w:pPr>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粮食储备是保障粮食安全的“压舱石”，粮食储备工作是粮食安全工作的重要一环，事关</w:t>
      </w:r>
      <w:r>
        <w:rPr>
          <w:rFonts w:hint="eastAsia" w:ascii="仿宋" w:hAnsi="仿宋" w:eastAsia="仿宋" w:cs="仿宋"/>
          <w:color w:val="auto"/>
          <w:sz w:val="28"/>
          <w:szCs w:val="28"/>
          <w:highlight w:val="none"/>
          <w:lang w:val="en-US" w:eastAsia="zh-CN"/>
        </w:rPr>
        <w:t>粮食</w:t>
      </w:r>
      <w:r>
        <w:rPr>
          <w:rFonts w:hint="eastAsia" w:ascii="仿宋" w:hAnsi="仿宋" w:eastAsia="仿宋" w:cs="仿宋"/>
          <w:color w:val="auto"/>
          <w:sz w:val="28"/>
          <w:szCs w:val="28"/>
          <w:highlight w:val="none"/>
        </w:rPr>
        <w:t>市场保供稳价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经济社会发展稳定和国家安全大局。为确保地方储备粮数量真实、质量良好、存储安全、调用顺畅，</w:t>
      </w:r>
      <w:r>
        <w:rPr>
          <w:rFonts w:hint="eastAsia" w:ascii="仿宋" w:hAnsi="仿宋" w:eastAsia="仿宋" w:cs="仿宋"/>
          <w:color w:val="auto"/>
          <w:sz w:val="28"/>
          <w:szCs w:val="28"/>
          <w:highlight w:val="none"/>
          <w:lang w:val="en-US" w:eastAsia="zh-CN"/>
        </w:rPr>
        <w:t>石狮市商务局、石狮市财政局、中国农业发展银行石狮支行联合出台《石狮市地方储备粮油管理办法》（狮商务综〔2017〕28号）。2022年度</w:t>
      </w:r>
      <w:r>
        <w:rPr>
          <w:rFonts w:hint="eastAsia" w:ascii="仿宋" w:hAnsi="仿宋" w:eastAsia="仿宋" w:cs="仿宋"/>
          <w:color w:val="auto"/>
          <w:sz w:val="28"/>
          <w:szCs w:val="28"/>
          <w:highlight w:val="none"/>
        </w:rPr>
        <w:t>石狮市地方储备粮油专项</w:t>
      </w:r>
      <w:r>
        <w:rPr>
          <w:rFonts w:hint="eastAsia" w:ascii="仿宋" w:hAnsi="仿宋" w:eastAsia="仿宋" w:cs="仿宋"/>
          <w:color w:val="auto"/>
          <w:sz w:val="28"/>
          <w:szCs w:val="28"/>
          <w:highlight w:val="none"/>
          <w:lang w:val="en-US" w:eastAsia="zh-CN"/>
        </w:rPr>
        <w:t>预计</w:t>
      </w:r>
      <w:r>
        <w:rPr>
          <w:rFonts w:hint="eastAsia" w:ascii="仿宋" w:hAnsi="仿宋" w:eastAsia="仿宋" w:cs="仿宋"/>
          <w:color w:val="auto"/>
          <w:sz w:val="28"/>
          <w:szCs w:val="28"/>
          <w:highlight w:val="none"/>
          <w:lang w:eastAsia="zh-CN"/>
        </w:rPr>
        <w:t>投入资金</w:t>
      </w:r>
      <w:r>
        <w:rPr>
          <w:rFonts w:hint="eastAsia" w:ascii="仿宋" w:hAnsi="仿宋" w:eastAsia="仿宋" w:cs="仿宋"/>
          <w:color w:val="auto"/>
          <w:sz w:val="28"/>
          <w:szCs w:val="28"/>
          <w:highlight w:val="none"/>
          <w:lang w:val="en-US" w:eastAsia="zh-CN"/>
        </w:rPr>
        <w:t>2091万元</w:t>
      </w:r>
      <w:r>
        <w:rPr>
          <w:rFonts w:hint="eastAsia" w:ascii="仿宋" w:hAnsi="仿宋" w:eastAsia="仿宋" w:cs="仿宋"/>
          <w:color w:val="auto"/>
          <w:sz w:val="28"/>
          <w:szCs w:val="28"/>
          <w:highlight w:val="none"/>
        </w:rPr>
        <w:t>，进一步提高储粮质量，落实各项储备任务，建立</w:t>
      </w:r>
      <w:r>
        <w:rPr>
          <w:rFonts w:hint="eastAsia" w:ascii="仿宋" w:hAnsi="仿宋" w:eastAsia="仿宋" w:cs="仿宋"/>
          <w:color w:val="auto"/>
          <w:sz w:val="28"/>
          <w:szCs w:val="28"/>
          <w:highlight w:val="none"/>
          <w:lang w:val="en-US" w:eastAsia="zh-CN"/>
        </w:rPr>
        <w:t>了</w:t>
      </w:r>
      <w:r>
        <w:rPr>
          <w:rFonts w:hint="eastAsia" w:ascii="仿宋" w:hAnsi="仿宋" w:eastAsia="仿宋" w:cs="仿宋"/>
          <w:color w:val="auto"/>
          <w:sz w:val="28"/>
          <w:szCs w:val="28"/>
          <w:highlight w:val="none"/>
        </w:rPr>
        <w:t>储</w:t>
      </w:r>
      <w:r>
        <w:rPr>
          <w:rFonts w:hint="eastAsia" w:ascii="仿宋" w:hAnsi="仿宋" w:eastAsia="仿宋" w:cs="仿宋"/>
          <w:color w:val="auto"/>
          <w:sz w:val="28"/>
          <w:szCs w:val="28"/>
          <w:highlight w:val="none"/>
          <w:lang w:val="en-US" w:eastAsia="zh-CN"/>
        </w:rPr>
        <w:t>备粮油管理的长效管理机制。</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2"/>
          <w:sz w:val="28"/>
          <w:szCs w:val="28"/>
          <w:highlight w:val="none"/>
          <w:lang w:val="en-US" w:eastAsia="zh-CN" w:bidi="ar-SA"/>
        </w:rPr>
      </w:pPr>
      <w:bookmarkStart w:id="40" w:name="_Toc17021"/>
      <w:bookmarkStart w:id="41" w:name="_Toc4529"/>
      <w:bookmarkStart w:id="42" w:name="_Toc1691"/>
      <w:bookmarkStart w:id="43" w:name="_Toc22195"/>
      <w:bookmarkStart w:id="44" w:name="_Toc8697"/>
      <w:bookmarkStart w:id="45" w:name="_Toc29062"/>
      <w:r>
        <w:rPr>
          <w:rFonts w:hint="default"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kern w:val="2"/>
          <w:sz w:val="28"/>
          <w:szCs w:val="28"/>
          <w:highlight w:val="none"/>
          <w:lang w:val="en-US" w:eastAsia="zh-CN" w:bidi="ar-SA"/>
        </w:rPr>
        <w:t>.工作任务和实施情况</w:t>
      </w:r>
      <w:bookmarkEnd w:id="40"/>
      <w:bookmarkEnd w:id="41"/>
      <w:bookmarkEnd w:id="42"/>
      <w:bookmarkEnd w:id="43"/>
      <w:bookmarkEnd w:id="44"/>
      <w:bookmarkEnd w:id="45"/>
    </w:p>
    <w:p>
      <w:pPr>
        <w:ind w:firstLine="560" w:firstLineChars="20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工作任务：储备粮保管费、储备粮、食用油贷款利息、2022年储备粮轮换亏损，在工作任务基础上细化实化工作重点，制定绩效目标、任务清单等。</w:t>
      </w:r>
    </w:p>
    <w:p>
      <w:pPr>
        <w:pStyle w:val="2"/>
        <w:ind w:left="0" w:leftChars="0"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实施情况：</w:t>
      </w:r>
      <w:r>
        <w:rPr>
          <w:rFonts w:hint="eastAsia" w:ascii="仿宋" w:hAnsi="仿宋" w:eastAsia="仿宋" w:cs="仿宋"/>
          <w:color w:val="auto"/>
          <w:sz w:val="28"/>
          <w:szCs w:val="28"/>
          <w:highlight w:val="none"/>
          <w:lang w:val="en-US" w:eastAsia="zh-CN"/>
        </w:rPr>
        <w:t>完成2022年本市粮食、食用油储备、</w:t>
      </w:r>
      <w:r>
        <w:rPr>
          <w:rFonts w:hint="eastAsia" w:ascii="仿宋" w:hAnsi="仿宋" w:eastAsia="仿宋" w:cs="仿宋"/>
          <w:color w:val="auto"/>
          <w:kern w:val="2"/>
          <w:sz w:val="28"/>
          <w:szCs w:val="28"/>
          <w:highlight w:val="none"/>
          <w:lang w:val="en-US" w:eastAsia="zh-CN" w:bidi="ar-SA"/>
        </w:rPr>
        <w:t>储备粮轮换亏损等</w:t>
      </w:r>
      <w:r>
        <w:rPr>
          <w:rFonts w:hint="eastAsia" w:ascii="仿宋" w:hAnsi="仿宋" w:eastAsia="仿宋" w:cs="仿宋"/>
          <w:color w:val="auto"/>
          <w:sz w:val="28"/>
          <w:szCs w:val="28"/>
          <w:highlight w:val="none"/>
          <w:lang w:val="en-US" w:eastAsia="zh-CN"/>
        </w:rPr>
        <w:t>任务。在</w:t>
      </w:r>
      <w:r>
        <w:rPr>
          <w:rFonts w:hint="eastAsia" w:ascii="仿宋" w:hAnsi="仿宋" w:eastAsia="仿宋" w:cs="仿宋"/>
          <w:bCs/>
          <w:color w:val="auto"/>
          <w:sz w:val="28"/>
          <w:szCs w:val="28"/>
          <w:highlight w:val="none"/>
          <w:lang w:val="en-US" w:eastAsia="zh-CN"/>
        </w:rPr>
        <w:t>本年度</w:t>
      </w:r>
      <w:r>
        <w:rPr>
          <w:rFonts w:hint="eastAsia" w:ascii="仿宋" w:hAnsi="仿宋" w:eastAsia="仿宋" w:cs="仿宋"/>
          <w:color w:val="auto"/>
          <w:kern w:val="2"/>
          <w:sz w:val="28"/>
          <w:szCs w:val="28"/>
          <w:highlight w:val="none"/>
          <w:lang w:val="en-US" w:eastAsia="zh-CN" w:bidi="ar-SA"/>
        </w:rPr>
        <w:t>储备粮轮换中</w:t>
      </w:r>
      <w:r>
        <w:rPr>
          <w:rFonts w:hint="eastAsia" w:ascii="仿宋" w:hAnsi="仿宋" w:eastAsia="仿宋" w:cs="仿宋"/>
          <w:bCs/>
          <w:color w:val="auto"/>
          <w:sz w:val="28"/>
          <w:szCs w:val="28"/>
          <w:highlight w:val="none"/>
          <w:lang w:val="en-US" w:eastAsia="zh-CN"/>
        </w:rPr>
        <w:t>稻谷亏损87.65万元，小麦盈利77.25万元，食用油盈利4.20万元，故最终存在亏损6.20万元。截至2022年12月，按石狮市粮油与物资储备中心的季度拨付请示情况进行申请支付，申请金额共计为1500万元，应退补贴294.48万元。</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default" w:ascii="仿宋" w:hAnsi="仿宋" w:eastAsia="仿宋" w:cs="仿宋"/>
          <w:b/>
          <w:bCs/>
          <w:color w:val="auto"/>
          <w:kern w:val="2"/>
          <w:sz w:val="28"/>
          <w:szCs w:val="28"/>
          <w:highlight w:val="none"/>
          <w:lang w:val="en-US" w:eastAsia="zh-CN" w:bidi="ar-SA"/>
        </w:rPr>
      </w:pPr>
      <w:bookmarkStart w:id="46" w:name="_Toc11102"/>
      <w:bookmarkStart w:id="47" w:name="_Toc13620"/>
      <w:r>
        <w:rPr>
          <w:rFonts w:hint="eastAsia" w:ascii="仿宋" w:hAnsi="仿宋" w:eastAsia="仿宋" w:cs="仿宋"/>
          <w:b/>
          <w:bCs/>
          <w:color w:val="auto"/>
          <w:kern w:val="2"/>
          <w:sz w:val="28"/>
          <w:szCs w:val="28"/>
          <w:highlight w:val="none"/>
          <w:lang w:val="en-US" w:eastAsia="zh-CN" w:bidi="ar-SA"/>
        </w:rPr>
        <w:t>3.资金投入和使用情况</w:t>
      </w:r>
      <w:bookmarkEnd w:id="46"/>
      <w:bookmarkEnd w:id="47"/>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2022年地方储备粮油专项计划投入资金2091万元，到位资金1500万元，当年度实际拨付金额为1205.53万元（其中粮油储备保管费714.64万元、储备粮及食用油贷款贴息484.69万元、储备粮轮换亏损6.20万元），预算资金执行率为80.37%，结转资金294.48万元，资金结转率为19.63%。</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表1 2022年粮食储备资金使用情况</w:t>
      </w:r>
    </w:p>
    <w:p>
      <w:pPr>
        <w:pStyle w:val="2"/>
        <w:jc w:val="right"/>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单位：万元</w:t>
      </w:r>
    </w:p>
    <w:tbl>
      <w:tblPr>
        <w:tblStyle w:val="13"/>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692"/>
        <w:gridCol w:w="1944"/>
        <w:gridCol w:w="2004"/>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45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项目分类</w:t>
            </w:r>
          </w:p>
        </w:tc>
        <w:tc>
          <w:tcPr>
            <w:tcW w:w="16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储备粮保管费</w:t>
            </w:r>
          </w:p>
        </w:tc>
        <w:tc>
          <w:tcPr>
            <w:tcW w:w="194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储备粮、食用油贷款利息</w:t>
            </w:r>
          </w:p>
        </w:tc>
        <w:tc>
          <w:tcPr>
            <w:tcW w:w="200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2022年储备粮轮换亏损</w:t>
            </w:r>
          </w:p>
        </w:tc>
        <w:tc>
          <w:tcPr>
            <w:tcW w:w="1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45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拨付资金</w:t>
            </w:r>
          </w:p>
        </w:tc>
        <w:tc>
          <w:tcPr>
            <w:tcW w:w="169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714.64</w:t>
            </w:r>
          </w:p>
        </w:tc>
        <w:tc>
          <w:tcPr>
            <w:tcW w:w="194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484.69</w:t>
            </w:r>
          </w:p>
        </w:tc>
        <w:tc>
          <w:tcPr>
            <w:tcW w:w="200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6.20</w:t>
            </w:r>
          </w:p>
        </w:tc>
        <w:tc>
          <w:tcPr>
            <w:tcW w:w="1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1205.53</w:t>
            </w:r>
          </w:p>
        </w:tc>
      </w:tr>
    </w:tbl>
    <w:p>
      <w:pPr>
        <w:pStyle w:val="2"/>
        <w:ind w:left="0" w:leftChars="0" w:firstLine="0" w:firstLineChars="0"/>
        <w:jc w:val="center"/>
        <w:rPr>
          <w:rFonts w:hint="eastAsia" w:ascii="仿宋" w:hAnsi="仿宋" w:eastAsia="仿宋" w:cs="仿宋"/>
          <w:b/>
          <w:bCs/>
          <w:color w:val="auto"/>
          <w:sz w:val="24"/>
          <w:szCs w:val="24"/>
          <w:highlight w:val="none"/>
          <w:lang w:val="en-US" w:eastAsia="zh-CN"/>
        </w:rPr>
      </w:pPr>
      <w:bookmarkStart w:id="48" w:name="_Toc26633"/>
      <w:bookmarkStart w:id="49" w:name="_Toc3500"/>
      <w:bookmarkStart w:id="50" w:name="_Toc12430"/>
      <w:bookmarkStart w:id="51" w:name="_Toc30878"/>
      <w:bookmarkStart w:id="52" w:name="_Toc15167"/>
    </w:p>
    <w:p>
      <w:pPr>
        <w:pStyle w:val="2"/>
        <w:ind w:left="0" w:leftChars="0" w:firstLine="0" w:firstLineChars="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表2 2022年粮食储备费用结算表情况如下</w:t>
      </w:r>
    </w:p>
    <w:bookmarkEnd w:id="48"/>
    <w:bookmarkEnd w:id="49"/>
    <w:bookmarkEnd w:id="50"/>
    <w:bookmarkEnd w:id="51"/>
    <w:bookmarkEnd w:id="52"/>
    <w:tbl>
      <w:tblPr>
        <w:tblStyle w:val="12"/>
        <w:tblW w:w="94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696"/>
        <w:gridCol w:w="1656"/>
        <w:gridCol w:w="1701"/>
        <w:gridCol w:w="23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6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ascii="仿宋" w:hAnsi="仿宋" w:eastAsia="仿宋" w:cs="仿宋"/>
                <w:i w:val="0"/>
                <w:iCs w:val="0"/>
                <w:color w:val="000000"/>
                <w:sz w:val="24"/>
                <w:szCs w:val="24"/>
                <w:u w:val="none"/>
              </w:rPr>
            </w:pPr>
            <w:bookmarkStart w:id="53" w:name="_Toc10811"/>
            <w:bookmarkStart w:id="54" w:name="_Toc16779"/>
            <w:bookmarkStart w:id="55" w:name="_Toc22819"/>
            <w:r>
              <w:rPr>
                <w:rStyle w:val="18"/>
                <w:lang w:val="en-US" w:eastAsia="zh-CN" w:bidi="ar"/>
              </w:rPr>
              <w:t>项目</w:t>
            </w:r>
          </w:p>
        </w:tc>
        <w:tc>
          <w:tcPr>
            <w:tcW w:w="1656"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数量（吨）</w:t>
            </w:r>
          </w:p>
        </w:tc>
        <w:tc>
          <w:tcPr>
            <w:tcW w:w="1701"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单价</w:t>
            </w:r>
          </w:p>
        </w:tc>
        <w:tc>
          <w:tcPr>
            <w:tcW w:w="2382"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一、储备粮保管费</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7146400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1、粮食储备费</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41800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148元/吨</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6186400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2、应急大米储备费</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500元/吨</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3、食用油储备费</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400元/吨</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二、储备粮、食用油贷款利息</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贷款金额</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年利率</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1、储备粮贷款利息</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118780400.4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0.037</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4387689.78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2、应急大米贷款利息</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6614000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0.037</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262044.91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3、食用油贷款利息</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5507000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0.037</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197120.33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小计</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130901400.4</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4846855.02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三、2022年储备粮轮换亏损</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数量（公斤）</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单价</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2022年轮换稻谷</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4050</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876500.76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2022年轮换小麦</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1774</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-772517.14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2022年轮换食用油</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小计</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5974</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61983.82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各项补贴款合计</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12055238.64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预拨补贴款</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已拨款</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应退补贴款</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Style w:val="18"/>
                <w:lang w:val="en-US" w:eastAsia="zh-CN" w:bidi="ar"/>
              </w:rPr>
              <w:t>应退款</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仿宋" w:hAnsi="仿宋" w:eastAsia="仿宋" w:cs="仿宋"/>
                <w:i w:val="0"/>
                <w:iCs w:val="0"/>
                <w:color w:val="000000"/>
                <w:sz w:val="24"/>
                <w:szCs w:val="24"/>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2944761.36</w:t>
            </w:r>
          </w:p>
        </w:tc>
      </w:tr>
    </w:tbl>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1"/>
        <w:rPr>
          <w:rFonts w:hint="eastAsia" w:ascii="楷体" w:hAnsi="楷体" w:eastAsia="楷体" w:cs="楷体"/>
          <w:b/>
          <w:bCs/>
          <w:color w:val="auto"/>
          <w:kern w:val="2"/>
          <w:sz w:val="28"/>
          <w:szCs w:val="28"/>
          <w:highlight w:val="none"/>
          <w:lang w:val="en-US" w:eastAsia="zh-CN" w:bidi="ar-SA"/>
        </w:rPr>
      </w:pPr>
      <w:bookmarkStart w:id="56" w:name="_Toc15916"/>
      <w:r>
        <w:rPr>
          <w:rFonts w:hint="eastAsia" w:ascii="楷体" w:hAnsi="楷体" w:eastAsia="楷体" w:cs="楷体"/>
          <w:b/>
          <w:bCs/>
          <w:color w:val="auto"/>
          <w:kern w:val="2"/>
          <w:sz w:val="28"/>
          <w:szCs w:val="28"/>
          <w:highlight w:val="none"/>
          <w:lang w:val="en-US" w:eastAsia="zh-CN" w:bidi="ar-SA"/>
        </w:rPr>
        <w:t>（二）项目绩效目标</w:t>
      </w:r>
      <w:bookmarkEnd w:id="53"/>
      <w:bookmarkEnd w:id="54"/>
      <w:bookmarkEnd w:id="55"/>
      <w:bookmarkEnd w:id="56"/>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2"/>
          <w:sz w:val="28"/>
          <w:szCs w:val="28"/>
          <w:highlight w:val="none"/>
          <w:lang w:val="en-US" w:eastAsia="zh-CN" w:bidi="ar-SA"/>
        </w:rPr>
      </w:pPr>
      <w:bookmarkStart w:id="57" w:name="_Toc4709"/>
      <w:bookmarkStart w:id="58" w:name="_Toc23552"/>
      <w:bookmarkStart w:id="59" w:name="_Toc5919"/>
      <w:bookmarkStart w:id="60" w:name="_Toc23967"/>
      <w:bookmarkStart w:id="61" w:name="_Toc26259"/>
      <w:bookmarkStart w:id="62" w:name="_Toc6744"/>
      <w:r>
        <w:rPr>
          <w:rFonts w:hint="default"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kern w:val="2"/>
          <w:sz w:val="28"/>
          <w:szCs w:val="28"/>
          <w:highlight w:val="none"/>
          <w:lang w:val="en-US" w:eastAsia="zh-CN" w:bidi="ar-SA"/>
        </w:rPr>
        <w:t>.总体目标</w:t>
      </w:r>
      <w:bookmarkEnd w:id="57"/>
      <w:bookmarkEnd w:id="58"/>
      <w:bookmarkEnd w:id="59"/>
      <w:bookmarkEnd w:id="60"/>
      <w:bookmarkEnd w:id="61"/>
      <w:bookmarkEnd w:id="62"/>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强化粮食宏观调控能力，在必要时启动粮食应急预案，有效平稳、调节全市粮食市场供应，平抑市场粮食价格，确保市级粮食储备安全。</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kern w:val="2"/>
          <w:sz w:val="28"/>
          <w:szCs w:val="28"/>
          <w:highlight w:val="none"/>
          <w:lang w:val="en-US" w:eastAsia="zh-CN" w:bidi="ar-SA"/>
        </w:rPr>
      </w:pPr>
      <w:bookmarkStart w:id="63" w:name="_Toc16610"/>
      <w:bookmarkStart w:id="64" w:name="_Toc24380"/>
      <w:bookmarkStart w:id="65" w:name="_Toc2663"/>
      <w:bookmarkStart w:id="66" w:name="_Toc2596"/>
      <w:bookmarkStart w:id="67" w:name="_Toc24533"/>
      <w:bookmarkStart w:id="68" w:name="_Toc11042"/>
      <w:r>
        <w:rPr>
          <w:rFonts w:hint="eastAsia" w:ascii="仿宋" w:hAnsi="仿宋" w:eastAsia="仿宋" w:cs="仿宋"/>
          <w:b/>
          <w:bCs/>
          <w:color w:val="auto"/>
          <w:kern w:val="2"/>
          <w:sz w:val="28"/>
          <w:szCs w:val="28"/>
          <w:highlight w:val="none"/>
          <w:lang w:val="en-US" w:eastAsia="zh-CN" w:bidi="ar-SA"/>
        </w:rPr>
        <w:t>2.具体目标</w:t>
      </w:r>
      <w:bookmarkEnd w:id="63"/>
      <w:bookmarkEnd w:id="64"/>
      <w:bookmarkEnd w:id="65"/>
      <w:bookmarkEnd w:id="66"/>
      <w:bookmarkEnd w:id="67"/>
      <w:bookmarkEnd w:id="68"/>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color w:val="auto"/>
          <w:sz w:val="28"/>
          <w:szCs w:val="28"/>
          <w:highlight w:val="none"/>
          <w:lang w:val="en-US" w:eastAsia="zh-CN"/>
        </w:rPr>
      </w:pPr>
      <w:bookmarkStart w:id="69" w:name="_Toc26903"/>
      <w:bookmarkStart w:id="70" w:name="_Toc25397"/>
      <w:bookmarkStart w:id="71" w:name="_Toc7852"/>
      <w:bookmarkStart w:id="72" w:name="_Toc11501"/>
      <w:bookmarkStart w:id="73" w:name="_Toc30159"/>
      <w:bookmarkStart w:id="74" w:name="_Toc23622"/>
      <w:bookmarkStart w:id="75" w:name="_Toc9891"/>
      <w:r>
        <w:rPr>
          <w:rFonts w:hint="eastAsia" w:ascii="仿宋" w:hAnsi="仿宋" w:eastAsia="仿宋" w:cs="仿宋"/>
          <w:color w:val="auto"/>
          <w:sz w:val="28"/>
          <w:szCs w:val="28"/>
          <w:highlight w:val="none"/>
          <w:lang w:val="en-US" w:eastAsia="zh-CN"/>
        </w:rPr>
        <w:t>①完成2022年本市粮食、食用油储备任务；</w:t>
      </w:r>
      <w:bookmarkEnd w:id="69"/>
      <w:bookmarkEnd w:id="70"/>
      <w:bookmarkEnd w:id="71"/>
      <w:bookmarkEnd w:id="72"/>
      <w:bookmarkEnd w:id="73"/>
      <w:bookmarkEnd w:id="74"/>
      <w:bookmarkEnd w:id="75"/>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②完成2022年度粮油轮换任务；</w:t>
      </w:r>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③完成市级储备粮贷款利息补贴；</w:t>
      </w:r>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④完成市级储备粮轮换差价补贴。</w:t>
      </w:r>
    </w:p>
    <w:p>
      <w:pPr>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仿宋" w:hAnsi="仿宋" w:eastAsia="仿宋" w:cs="仿宋"/>
          <w:color w:val="auto"/>
          <w:sz w:val="21"/>
          <w:szCs w:val="21"/>
          <w:highlight w:val="none"/>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eastAsia" w:ascii="黑体" w:hAnsi="黑体" w:eastAsia="黑体" w:cs="黑体"/>
          <w:b/>
          <w:bCs/>
          <w:color w:val="auto"/>
          <w:kern w:val="44"/>
          <w:sz w:val="28"/>
          <w:szCs w:val="28"/>
          <w:highlight w:val="none"/>
          <w:lang w:val="en-US" w:eastAsia="zh-CN" w:bidi="ar-SA"/>
        </w:rPr>
      </w:pPr>
      <w:bookmarkStart w:id="76" w:name="_Toc19764"/>
      <w:bookmarkStart w:id="77" w:name="_Toc11513"/>
      <w:bookmarkStart w:id="78" w:name="_Toc18150"/>
      <w:bookmarkStart w:id="79" w:name="_Toc11419"/>
      <w:bookmarkStart w:id="80" w:name="_Toc6114"/>
      <w:r>
        <w:rPr>
          <w:rFonts w:hint="eastAsia" w:ascii="黑体" w:hAnsi="黑体" w:eastAsia="黑体" w:cs="黑体"/>
          <w:b/>
          <w:bCs/>
          <w:color w:val="auto"/>
          <w:kern w:val="44"/>
          <w:sz w:val="28"/>
          <w:szCs w:val="28"/>
          <w:highlight w:val="none"/>
          <w:lang w:val="en-US" w:eastAsia="zh-CN" w:bidi="ar-SA"/>
        </w:rPr>
        <w:t>二、评价工作开展情况</w:t>
      </w:r>
      <w:bookmarkEnd w:id="76"/>
      <w:bookmarkEnd w:id="77"/>
      <w:bookmarkEnd w:id="78"/>
      <w:bookmarkEnd w:id="79"/>
      <w:bookmarkEnd w:id="80"/>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81" w:name="_Toc3918"/>
      <w:bookmarkStart w:id="82" w:name="_Toc29897"/>
      <w:bookmarkStart w:id="83" w:name="_Toc20923"/>
      <w:bookmarkStart w:id="84" w:name="_Toc22457"/>
      <w:bookmarkStart w:id="85" w:name="_Toc5020"/>
      <w:r>
        <w:rPr>
          <w:rFonts w:hint="eastAsia" w:ascii="楷体" w:hAnsi="楷体" w:eastAsia="楷体" w:cs="楷体"/>
          <w:b/>
          <w:bCs/>
          <w:color w:val="auto"/>
          <w:sz w:val="28"/>
          <w:szCs w:val="28"/>
          <w:highlight w:val="none"/>
          <w:lang w:val="en-US" w:eastAsia="zh-CN"/>
        </w:rPr>
        <w:t>评价目的</w:t>
      </w:r>
      <w:bookmarkEnd w:id="81"/>
      <w:bookmarkEnd w:id="82"/>
      <w:bookmarkEnd w:id="83"/>
      <w:bookmarkEnd w:id="84"/>
      <w:bookmarkEnd w:id="85"/>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绩效管理是政府改革的重要方向，财政支出绩效评价是建设效能、责任和廉洁政府的重要手段。为客观评价2022年度地方储备粮油专项资金绩效，在石狮市粮油储备中心单位绩效自评的基础上，结合项目特点，制定2022年度石狮市地方储备粮油专项资金绩效评价指标体系，运用科学、规范的评价方法，客观地对项目进行综合性评价，石狮市地方储备粮油专项支出在预算、管理及项目实施过程中存在的问题，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86" w:name="_Toc7129"/>
      <w:bookmarkStart w:id="87" w:name="_Toc16819"/>
      <w:bookmarkStart w:id="88" w:name="_Toc29338"/>
      <w:bookmarkStart w:id="89" w:name="_Toc7981"/>
      <w:bookmarkStart w:id="90" w:name="_Toc13340"/>
      <w:r>
        <w:rPr>
          <w:rFonts w:hint="eastAsia" w:ascii="楷体" w:hAnsi="楷体" w:eastAsia="楷体" w:cs="楷体"/>
          <w:b/>
          <w:bCs/>
          <w:color w:val="auto"/>
          <w:sz w:val="28"/>
          <w:szCs w:val="28"/>
          <w:highlight w:val="none"/>
          <w:lang w:val="en-US" w:eastAsia="zh-CN"/>
        </w:rPr>
        <w:t>评价对象及范围</w:t>
      </w:r>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评价对象为石狮市地方储备粮油专项资金。</w:t>
      </w:r>
    </w:p>
    <w:p>
      <w:pPr>
        <w:pStyle w:val="2"/>
        <w:numPr>
          <w:ilvl w:val="0"/>
          <w:numId w:val="0"/>
        </w:numPr>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
        </w:rPr>
        <w:t>本次评价范围</w:t>
      </w:r>
      <w:r>
        <w:rPr>
          <w:rFonts w:hint="eastAsia" w:ascii="仿宋" w:hAnsi="仿宋" w:eastAsia="仿宋" w:cs="仿宋"/>
          <w:color w:val="auto"/>
          <w:kern w:val="2"/>
          <w:sz w:val="28"/>
          <w:szCs w:val="28"/>
          <w:highlight w:val="none"/>
          <w:lang w:val="en-US" w:eastAsia="zh-CN" w:bidi="ar-SA"/>
        </w:rPr>
        <w:t>为项目单位围绕绩效目标所实施的各项活动，包括绩效目标的设定、资金投入和使用、采取措施以及绩效目标的实现程度和效果等。</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91" w:name="_Toc19454"/>
      <w:bookmarkStart w:id="92" w:name="_Toc6324"/>
      <w:bookmarkStart w:id="93" w:name="_Toc19434"/>
      <w:bookmarkStart w:id="94" w:name="_Toc1940"/>
      <w:bookmarkStart w:id="95" w:name="_Toc4915"/>
      <w:r>
        <w:rPr>
          <w:rFonts w:hint="eastAsia" w:ascii="楷体" w:hAnsi="楷体" w:eastAsia="楷体" w:cs="楷体"/>
          <w:b/>
          <w:bCs/>
          <w:color w:val="auto"/>
          <w:sz w:val="28"/>
          <w:szCs w:val="28"/>
          <w:highlight w:val="none"/>
          <w:lang w:val="en-US" w:eastAsia="zh-CN"/>
        </w:rPr>
        <w:t>评价依据</w:t>
      </w:r>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color w:val="auto"/>
          <w:kern w:val="0"/>
          <w:sz w:val="28"/>
          <w:szCs w:val="28"/>
          <w:highlight w:val="none"/>
          <w:lang w:val="en-US" w:eastAsia="zh-CN" w:bidi="ar-SA"/>
        </w:rPr>
      </w:pPr>
      <w:bookmarkStart w:id="96" w:name="_Toc15563"/>
      <w:bookmarkStart w:id="97" w:name="_Toc5352"/>
      <w:bookmarkStart w:id="98" w:name="_Toc27042"/>
      <w:bookmarkStart w:id="99" w:name="_Toc21306"/>
      <w:bookmarkStart w:id="100" w:name="_Toc21514"/>
      <w:bookmarkStart w:id="101" w:name="_Toc28844"/>
      <w:bookmarkStart w:id="102" w:name="_Toc14426"/>
      <w:bookmarkStart w:id="103" w:name="_Toc2754"/>
      <w:bookmarkStart w:id="104" w:name="_Toc15525"/>
      <w:bookmarkStart w:id="105" w:name="_Toc8057"/>
      <w:bookmarkStart w:id="106" w:name="_Toc27003"/>
      <w:bookmarkStart w:id="107" w:name="_Toc4199"/>
      <w:bookmarkStart w:id="108" w:name="_Toc3214"/>
      <w:bookmarkStart w:id="109" w:name="_Toc11505"/>
      <w:bookmarkStart w:id="110" w:name="_Toc24191"/>
      <w:bookmarkStart w:id="111" w:name="_Toc11157"/>
      <w:bookmarkStart w:id="112" w:name="_Toc4653"/>
      <w:bookmarkStart w:id="113" w:name="_Toc4570"/>
      <w:bookmarkStart w:id="114" w:name="_Toc4910"/>
      <w:bookmarkStart w:id="115" w:name="_Toc17287"/>
      <w:bookmarkStart w:id="116" w:name="_Toc1449"/>
      <w:bookmarkStart w:id="117" w:name="_Toc12370"/>
      <w:bookmarkStart w:id="118" w:name="_Toc13456"/>
      <w:bookmarkStart w:id="119" w:name="_Toc8341"/>
      <w:bookmarkStart w:id="120" w:name="_Toc16041"/>
      <w:bookmarkStart w:id="121" w:name="_Toc12132"/>
      <w:bookmarkStart w:id="122" w:name="_Toc28527"/>
      <w:bookmarkStart w:id="123" w:name="_Toc4114"/>
      <w:bookmarkStart w:id="124" w:name="_Toc2640"/>
      <w:bookmarkStart w:id="125" w:name="_Toc14541"/>
      <w:bookmarkStart w:id="126" w:name="_Toc8041"/>
      <w:bookmarkStart w:id="127" w:name="_Toc28034"/>
      <w:bookmarkStart w:id="128" w:name="_Toc8100"/>
      <w:bookmarkStart w:id="129" w:name="_Toc14705"/>
      <w:bookmarkStart w:id="130" w:name="_Toc21358"/>
      <w:bookmarkStart w:id="131" w:name="_Toc8961"/>
      <w:bookmarkStart w:id="132" w:name="_Toc31963"/>
      <w:bookmarkStart w:id="133" w:name="_Toc15244"/>
      <w:r>
        <w:rPr>
          <w:rFonts w:hint="eastAsia" w:ascii="仿宋" w:hAnsi="仿宋" w:eastAsia="仿宋" w:cs="仿宋"/>
          <w:color w:val="auto"/>
          <w:kern w:val="0"/>
          <w:sz w:val="28"/>
          <w:szCs w:val="28"/>
          <w:highlight w:val="none"/>
          <w:lang w:val="en-US" w:eastAsia="zh-CN" w:bidi="ar-SA"/>
        </w:rPr>
        <w:t>1.《中华人民共和国预算法</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仿宋" w:hAnsi="仿宋" w:eastAsia="仿宋" w:cs="仿宋"/>
          <w:bCs/>
          <w:color w:val="auto"/>
          <w:sz w:val="28"/>
          <w:szCs w:val="28"/>
          <w:highlight w:val="none"/>
          <w:lang w:val="en-US" w:eastAsia="zh-CN"/>
        </w:rPr>
        <w:t>》</w:t>
      </w:r>
      <w:bookmarkEnd w:id="127"/>
      <w:bookmarkEnd w:id="128"/>
      <w:bookmarkEnd w:id="129"/>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2.《中共中央 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3.《项目支出绩效评价管理办法》（财预〔2020〕10号）；</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4.《中共福建省委 福建省人民政府印发&lt;关于全面实施预算绩效管理的实施意见&gt;的通知》（闽委发〔2019〕5号）；</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5.《福建省财政厅关于印发财政支出绩效评价指标体系及使用指南的通知》（闽财绩〔2012〕13号）；</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6.《福建省财政厅关于印发&lt;福建省财政支出绩效评价管理暂行办法&gt;的通知》（闽财绩〔2015〕4号）；</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7.石狮市商务局 石狮市财政局 中国农业发展银行石狮支行关于印发《石狮市地方储备粮油管理办法》的通知（狮商务综〔2017〕28号）；</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8.石狮市人民政府办公室印发《关于加强全市粮食安全保障实施方案》的通知；</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9.石狮市发展和改革局关于《石狮市应急储备成品粮油管理实施细则》解读；</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10.泉州市人民政府办公室关于加强全市粮食安全保障的实施意见；</w:t>
      </w:r>
    </w:p>
    <w:p>
      <w:pPr>
        <w:ind w:firstLine="560" w:firstLineChars="200"/>
        <w:jc w:val="both"/>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11.福建省地方储备粮油管理办法。</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134" w:name="_Toc22140"/>
      <w:r>
        <w:rPr>
          <w:rFonts w:hint="eastAsia" w:ascii="楷体" w:hAnsi="楷体" w:eastAsia="楷体" w:cs="楷体"/>
          <w:b/>
          <w:bCs/>
          <w:color w:val="auto"/>
          <w:sz w:val="28"/>
          <w:szCs w:val="28"/>
          <w:highlight w:val="none"/>
          <w:lang w:val="en-US" w:eastAsia="zh-CN"/>
        </w:rPr>
        <w:t>评价原则与评价指标体系</w:t>
      </w:r>
      <w:bookmarkEnd w:id="130"/>
      <w:bookmarkEnd w:id="131"/>
      <w:bookmarkEnd w:id="132"/>
      <w:bookmarkEnd w:id="133"/>
      <w:bookmarkEnd w:id="134"/>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35" w:name="_Toc29191"/>
      <w:bookmarkStart w:id="136" w:name="_Toc28858"/>
      <w:bookmarkStart w:id="137" w:name="_Toc22561"/>
      <w:bookmarkStart w:id="138" w:name="_Toc19890"/>
      <w:bookmarkStart w:id="139" w:name="_Toc21008"/>
      <w:bookmarkStart w:id="140" w:name="_Toc27110"/>
      <w:r>
        <w:rPr>
          <w:rFonts w:hint="eastAsia" w:ascii="仿宋" w:hAnsi="仿宋" w:eastAsia="仿宋" w:cs="仿宋"/>
          <w:b/>
          <w:bCs/>
          <w:color w:val="auto"/>
          <w:sz w:val="28"/>
          <w:szCs w:val="28"/>
          <w:highlight w:val="none"/>
          <w:lang w:val="en-US" w:eastAsia="zh-CN"/>
        </w:rPr>
        <w:t>1.评价原则</w:t>
      </w:r>
      <w:bookmarkEnd w:id="135"/>
      <w:bookmarkEnd w:id="136"/>
      <w:bookmarkEnd w:id="137"/>
      <w:bookmarkEnd w:id="138"/>
      <w:bookmarkEnd w:id="139"/>
      <w:bookmarkEnd w:id="14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绩效评价指标的确定遵循以下相关性原则、重要性原则、可比性原则、系统性原则以及经济性原则。</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41" w:name="_Toc12799"/>
      <w:bookmarkStart w:id="142" w:name="_Toc8587"/>
      <w:bookmarkStart w:id="143" w:name="_Toc23768"/>
      <w:bookmarkStart w:id="144" w:name="_Toc31509"/>
      <w:bookmarkStart w:id="145" w:name="_Toc25895"/>
      <w:bookmarkStart w:id="146" w:name="_Toc13842"/>
      <w:r>
        <w:rPr>
          <w:rFonts w:hint="eastAsia" w:ascii="仿宋" w:hAnsi="仿宋" w:eastAsia="仿宋" w:cs="仿宋"/>
          <w:b/>
          <w:bCs/>
          <w:color w:val="auto"/>
          <w:sz w:val="28"/>
          <w:szCs w:val="28"/>
          <w:highlight w:val="none"/>
          <w:lang w:val="en-US" w:eastAsia="zh-CN"/>
        </w:rPr>
        <w:t>2.评价指标体系</w:t>
      </w:r>
      <w:bookmarkEnd w:id="141"/>
      <w:bookmarkEnd w:id="142"/>
      <w:bookmarkEnd w:id="143"/>
      <w:bookmarkEnd w:id="144"/>
      <w:bookmarkEnd w:id="145"/>
      <w:bookmarkEnd w:id="14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（1）指标体系设计的总体思路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本次绩效评价指标体系总体依据《项目支出绩效评价管理办法》（财预〔2020〕10号）的相关规定设计，在不改变“预算支出项目绩效评价共性指标体系”的一级和二级指标内容和权重的前提下，结合项目实际对三级指标进行细化和调整，并采用层次分析法，结合以往经验确定三级指标的权重。另外，根据相关法律法规、项目绩效目标及管理办法确定绩效评价标准。</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（2）指标体系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工作组根据财政部《项目支出绩效评价管理办法》（财预〔2020〕10号）文件的要求，依据上述原则，围绕过程、产出和效益三个方面设计绩效评价指标以及评分标准和分值。指标体系共设置4个一级指标、13个二级指标、31个三级指标。指标体系设定满分100分，其中：“决策”21分，主要体现在项目立项充分性与流程规范性的情况；“过程”19分，主要体现项目的资金管理和组织实施方面的情况；“产出”33分，主要体现项目产出数量和产出质量；“效益”27分，主要体现项目社会效益、可持续影响和服务对象满意度等。基于外部独立评价的特点和要求，指标设置和评分标准力求可行性、客观性、科学性与简明性。</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（3）绩效级次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评价结果包括综合评分和评级，分为四个等级：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高于或等于90（含）的为“优”；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80分（含）～90分的为“良”；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60分（含）～80分的为“合格”；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低于60分的为“不合格”。</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147" w:name="_Toc27365"/>
      <w:bookmarkStart w:id="148" w:name="_Toc16082"/>
      <w:bookmarkStart w:id="149" w:name="_Toc3983"/>
      <w:bookmarkStart w:id="150" w:name="_Toc16334"/>
      <w:bookmarkStart w:id="151" w:name="_Toc6619"/>
      <w:r>
        <w:rPr>
          <w:rFonts w:hint="eastAsia" w:ascii="楷体" w:hAnsi="楷体" w:eastAsia="楷体" w:cs="楷体"/>
          <w:b/>
          <w:bCs/>
          <w:color w:val="auto"/>
          <w:sz w:val="28"/>
          <w:szCs w:val="28"/>
          <w:highlight w:val="none"/>
          <w:lang w:val="en-US" w:eastAsia="zh-CN"/>
        </w:rPr>
        <w:t>评价方法和评价标准</w:t>
      </w:r>
      <w:bookmarkEnd w:id="147"/>
      <w:bookmarkEnd w:id="148"/>
      <w:bookmarkEnd w:id="149"/>
      <w:bookmarkEnd w:id="150"/>
      <w:bookmarkEnd w:id="151"/>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52" w:name="_Toc23960"/>
      <w:bookmarkStart w:id="153" w:name="_Toc11845"/>
      <w:bookmarkStart w:id="154" w:name="_Toc17723"/>
      <w:bookmarkStart w:id="155" w:name="_Toc13688"/>
      <w:bookmarkStart w:id="156" w:name="_Toc28851"/>
      <w:bookmarkStart w:id="157" w:name="_Toc17135"/>
      <w:r>
        <w:rPr>
          <w:rFonts w:hint="eastAsia" w:ascii="仿宋" w:hAnsi="仿宋" w:eastAsia="仿宋" w:cs="仿宋"/>
          <w:b/>
          <w:bCs/>
          <w:color w:val="auto"/>
          <w:sz w:val="28"/>
          <w:szCs w:val="28"/>
          <w:highlight w:val="none"/>
          <w:lang w:val="en-US" w:eastAsia="zh-CN"/>
        </w:rPr>
        <w:t>1.评价方法</w:t>
      </w:r>
      <w:bookmarkEnd w:id="152"/>
      <w:bookmarkEnd w:id="153"/>
      <w:bookmarkEnd w:id="154"/>
      <w:bookmarkEnd w:id="155"/>
      <w:bookmarkEnd w:id="156"/>
      <w:bookmarkEnd w:id="157"/>
    </w:p>
    <w:p>
      <w:pPr>
        <w:pStyle w:val="2"/>
        <w:ind w:left="0" w:leftChars="0" w:firstLine="560" w:firstLineChars="200"/>
        <w:rPr>
          <w:rFonts w:hint="eastAsia"/>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本次绩效评价主要采用了比较法、因素分析法和公众（专家）评判法三种评判法。一是通过对绩效目标与实施效果、历史与当期情况作比较，综合分析绩效目标的实现程度。二是通过进行现场调查以及发放问卷调查，评价绩效目标的实现程度。</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58" w:name="_Toc16732"/>
      <w:bookmarkStart w:id="159" w:name="_Toc23365"/>
      <w:bookmarkStart w:id="160" w:name="_Toc29950"/>
      <w:bookmarkStart w:id="161" w:name="_Toc24025"/>
      <w:bookmarkStart w:id="162" w:name="_Toc1532"/>
      <w:bookmarkStart w:id="163" w:name="_Toc31325"/>
      <w:r>
        <w:rPr>
          <w:rFonts w:hint="eastAsia" w:ascii="仿宋" w:hAnsi="仿宋" w:eastAsia="仿宋" w:cs="仿宋"/>
          <w:b/>
          <w:bCs/>
          <w:color w:val="auto"/>
          <w:sz w:val="28"/>
          <w:szCs w:val="28"/>
          <w:highlight w:val="none"/>
          <w:lang w:val="en-US" w:eastAsia="zh-CN"/>
        </w:rPr>
        <w:t>2.评价标准</w:t>
      </w:r>
      <w:bookmarkEnd w:id="158"/>
      <w:bookmarkEnd w:id="159"/>
      <w:bookmarkEnd w:id="160"/>
      <w:bookmarkEnd w:id="161"/>
      <w:bookmarkEnd w:id="162"/>
      <w:bookmarkEnd w:id="163"/>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本次绩效评价主要采用了计划标准和历史标准作为衡量财政支</w:t>
      </w:r>
      <w:r>
        <w:rPr>
          <w:rFonts w:hint="eastAsia" w:ascii="仿宋" w:hAnsi="仿宋" w:eastAsia="仿宋" w:cs="仿宋"/>
          <w:color w:val="auto"/>
          <w:sz w:val="28"/>
          <w:szCs w:val="28"/>
          <w:highlight w:val="none"/>
          <w:lang w:val="en-US" w:eastAsia="zh-CN"/>
        </w:rPr>
        <w:t>出绩效目标完成程度的参考、依据和尺度。</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color w:val="auto"/>
          <w:sz w:val="28"/>
          <w:szCs w:val="28"/>
          <w:highlight w:val="none"/>
          <w:lang w:val="en-US" w:eastAsia="zh-CN"/>
        </w:rPr>
      </w:pPr>
      <w:bookmarkStart w:id="164" w:name="_Toc21041"/>
      <w:bookmarkStart w:id="165" w:name="_Toc8696"/>
      <w:bookmarkStart w:id="166" w:name="_Toc26996"/>
      <w:bookmarkStart w:id="167" w:name="_Toc11540"/>
      <w:bookmarkStart w:id="168" w:name="_Toc20571"/>
      <w:r>
        <w:rPr>
          <w:rFonts w:hint="eastAsia" w:ascii="楷体" w:hAnsi="楷体" w:eastAsia="楷体" w:cs="楷体"/>
          <w:b/>
          <w:bCs/>
          <w:color w:val="auto"/>
          <w:sz w:val="28"/>
          <w:szCs w:val="28"/>
          <w:highlight w:val="none"/>
          <w:lang w:val="en-US" w:eastAsia="zh-CN"/>
        </w:rPr>
        <w:t>绩效评价工作过程</w:t>
      </w:r>
      <w:bookmarkEnd w:id="164"/>
      <w:bookmarkEnd w:id="165"/>
      <w:bookmarkEnd w:id="166"/>
      <w:bookmarkEnd w:id="167"/>
      <w:bookmarkEnd w:id="16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根据绩效评价相关规定，我中心绩效评价小组运用科学、合理的绩效评价指标、评价标准和方法，对2022年石狮市地方储备粮油专项支出的经济性、效率性、效益性和公平性进行客观、公正地分析和评判，查找资金使用和管理中的薄弱环节，按时提交绩效评价报告。为此，我中心绩效评价小组在前期做了大量的准备工作。</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69" w:name="_Toc3248"/>
      <w:bookmarkStart w:id="170" w:name="_Toc15499"/>
      <w:bookmarkStart w:id="171" w:name="_Toc24070"/>
      <w:bookmarkStart w:id="172" w:name="_Toc22573"/>
      <w:bookmarkStart w:id="173" w:name="_Toc32724"/>
      <w:bookmarkStart w:id="174" w:name="_Toc20665"/>
      <w:bookmarkStart w:id="175" w:name="_Toc11460"/>
      <w:r>
        <w:rPr>
          <w:rFonts w:hint="eastAsia" w:ascii="仿宋" w:hAnsi="仿宋" w:eastAsia="仿宋" w:cs="仿宋"/>
          <w:b/>
          <w:bCs/>
          <w:color w:val="auto"/>
          <w:sz w:val="28"/>
          <w:szCs w:val="28"/>
          <w:highlight w:val="none"/>
          <w:lang w:val="en-US" w:eastAsia="zh-CN"/>
        </w:rPr>
        <w:t>1.前期准备</w:t>
      </w:r>
      <w:bookmarkEnd w:id="169"/>
      <w:bookmarkEnd w:id="170"/>
      <w:bookmarkEnd w:id="171"/>
      <w:bookmarkEnd w:id="172"/>
      <w:bookmarkEnd w:id="173"/>
      <w:bookmarkEnd w:id="174"/>
      <w:bookmarkEnd w:id="17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①成立评价工作组。根据委托方要求及项目情况成立评价工作组。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②开展前期调研。通过调研等方式了解被评价项目及相关单位业务情况，收集相关资料，充分了解项目立项的政治、经济、社会背景和法律法规、政策依据，以及项目立项时间、预算批复单位、项目具体实施内容、组织管理、绩效目标设置、计划完成时间及资金投入与使用情况等因素，为编制评价方案奠定基础。其次，制定评价表格。我中心绩效评价小组根据工作需求制定现场评价工作底稿、实地调研记录表、评价意见表等相关表格。</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76" w:name="_Toc16379"/>
      <w:bookmarkStart w:id="177" w:name="_Toc24831"/>
      <w:bookmarkStart w:id="178" w:name="_Toc14492"/>
      <w:r>
        <w:rPr>
          <w:rFonts w:hint="eastAsia" w:ascii="仿宋" w:hAnsi="仿宋" w:eastAsia="仿宋" w:cs="仿宋"/>
          <w:b/>
          <w:bCs/>
          <w:color w:val="auto"/>
          <w:sz w:val="28"/>
          <w:szCs w:val="28"/>
          <w:highlight w:val="none"/>
          <w:lang w:val="en-US" w:eastAsia="zh-CN"/>
        </w:rPr>
        <w:t>2.非现场评价</w:t>
      </w:r>
      <w:bookmarkEnd w:id="176"/>
      <w:bookmarkEnd w:id="177"/>
      <w:bookmarkEnd w:id="178"/>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对所收集的石狮市粮油与物资储备中心、石狮市粮食购销有限公司等相关单位的资料，仔细查阅、研究，设置调查问卷等。</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79" w:name="_Toc17541"/>
      <w:bookmarkStart w:id="180" w:name="_Toc30673"/>
      <w:bookmarkStart w:id="181" w:name="_Toc8939"/>
      <w:r>
        <w:rPr>
          <w:rFonts w:hint="eastAsia" w:ascii="仿宋" w:hAnsi="仿宋" w:eastAsia="仿宋" w:cs="仿宋"/>
          <w:b/>
          <w:bCs/>
          <w:color w:val="auto"/>
          <w:sz w:val="28"/>
          <w:szCs w:val="28"/>
          <w:highlight w:val="none"/>
          <w:lang w:val="en-US" w:eastAsia="zh-CN"/>
        </w:rPr>
        <w:t>3.现场评价</w:t>
      </w:r>
      <w:bookmarkEnd w:id="179"/>
      <w:bookmarkEnd w:id="180"/>
      <w:bookmarkEnd w:id="181"/>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为保证绩效评价数据的真实、完整，我中心绩效评价小组先后多次到石狮市粮油与物资储备中心、石狮市粮食购销有限公司、各粮油代储企业进行现场核查问询。对项目的档案资料进行现场核查和问询，保证原始数据的真实性，通过对项目具体开展情况检查，进一步核实了项目的完成程度和完成质量，确保评价结果的客观性。</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82" w:name="_Toc6777"/>
      <w:bookmarkStart w:id="183" w:name="_Toc13774"/>
      <w:bookmarkStart w:id="184" w:name="_Toc11497"/>
      <w:r>
        <w:rPr>
          <w:rFonts w:hint="eastAsia" w:ascii="仿宋" w:hAnsi="仿宋" w:eastAsia="仿宋" w:cs="仿宋"/>
          <w:b/>
          <w:bCs/>
          <w:color w:val="auto"/>
          <w:sz w:val="28"/>
          <w:szCs w:val="28"/>
          <w:highlight w:val="none"/>
          <w:lang w:val="en-US" w:eastAsia="zh-CN"/>
        </w:rPr>
        <w:t>4.分析评价</w:t>
      </w:r>
      <w:bookmarkEnd w:id="182"/>
      <w:bookmarkEnd w:id="183"/>
      <w:bookmarkEnd w:id="184"/>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我中心绩效评价小组查阅石狮市粮油与物资储备中心、石狮市粮食购销有限公司提供的档案资料、现场收集资料、访谈记录和调查问卷等相关资料为基础，对项目进行分析</w:t>
      </w:r>
      <w:r>
        <w:rPr>
          <w:rFonts w:hint="eastAsia" w:ascii="仿宋" w:hAnsi="仿宋" w:eastAsia="仿宋" w:cs="仿宋"/>
          <w:color w:val="auto"/>
          <w:sz w:val="28"/>
          <w:szCs w:val="28"/>
          <w:highlight w:val="none"/>
          <w:lang w:val="en-US" w:eastAsia="zh-CN"/>
        </w:rPr>
        <w:t>评价，形成评价结果。</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color w:val="auto"/>
          <w:sz w:val="28"/>
          <w:szCs w:val="28"/>
          <w:highlight w:val="none"/>
          <w:lang w:val="en-US" w:eastAsia="zh-CN"/>
        </w:rPr>
      </w:pPr>
      <w:bookmarkStart w:id="185" w:name="_Toc28548"/>
      <w:bookmarkStart w:id="186" w:name="_Toc6312"/>
      <w:bookmarkStart w:id="187" w:name="_Toc6238"/>
      <w:bookmarkStart w:id="188" w:name="_Toc1413"/>
      <w:r>
        <w:rPr>
          <w:rFonts w:hint="eastAsia" w:ascii="仿宋" w:hAnsi="仿宋" w:eastAsia="仿宋" w:cs="仿宋"/>
          <w:b/>
          <w:bCs/>
          <w:color w:val="auto"/>
          <w:sz w:val="28"/>
          <w:szCs w:val="28"/>
          <w:highlight w:val="none"/>
          <w:lang w:val="en-US" w:eastAsia="zh-CN"/>
        </w:rPr>
        <w:t>5.撰写与提交评价报告</w:t>
      </w:r>
      <w:bookmarkEnd w:id="185"/>
      <w:bookmarkEnd w:id="186"/>
      <w:bookmarkEnd w:id="187"/>
      <w:bookmarkEnd w:id="18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撰写绩效评价报告初稿。根据对被评价单位提供的项目相关资料和各种公开数据资料及进行现场评价情况进行梳理、汇总、分析的基础上，对项目总体情况进行综合评价，形成绩效评价结果。按照规定格式撰写绩效评价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②评价报告初稿论证。评价报告初稿撰写完成后，分别报送委托单位石狮市财政局和被评价单位石狮市粮油与物资储备中心征求意见，根据石狮市财政局回复的“初稿送审意见”、石狮市粮油与物资储备中心所回复的“绩效评价报告征求意见反馈情况表”进一步核实补充资料、修改完善评价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③提交绩效评价报告。根据各方意见对评价报告进行优化完善定稿后，对评价报告装订成册，在规定时间内提交评价报告终稿。</w:t>
      </w:r>
    </w:p>
    <w:p>
      <w:pPr>
        <w:pStyle w:val="2"/>
        <w:rPr>
          <w:rFonts w:hint="eastAsia"/>
          <w:color w:val="auto"/>
          <w:highlight w:val="none"/>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eastAsia" w:ascii="黑体" w:hAnsi="黑体" w:eastAsia="黑体" w:cs="黑体"/>
          <w:b/>
          <w:bCs/>
          <w:color w:val="auto"/>
          <w:kern w:val="44"/>
          <w:sz w:val="28"/>
          <w:szCs w:val="28"/>
          <w:highlight w:val="none"/>
          <w:lang w:val="en-US" w:eastAsia="zh-CN" w:bidi="ar-SA"/>
        </w:rPr>
      </w:pPr>
      <w:bookmarkStart w:id="189" w:name="_Toc21172"/>
      <w:bookmarkStart w:id="190" w:name="_Toc21146"/>
      <w:bookmarkStart w:id="191" w:name="_Toc25278"/>
      <w:bookmarkStart w:id="192" w:name="_Toc23296"/>
      <w:bookmarkStart w:id="193" w:name="_Toc7982"/>
      <w:bookmarkStart w:id="194" w:name="_Toc12252"/>
      <w:bookmarkStart w:id="195" w:name="_Toc22907"/>
      <w:r>
        <w:rPr>
          <w:rFonts w:hint="eastAsia" w:ascii="黑体" w:hAnsi="黑体" w:eastAsia="黑体" w:cs="黑体"/>
          <w:b/>
          <w:bCs/>
          <w:color w:val="auto"/>
          <w:kern w:val="44"/>
          <w:sz w:val="28"/>
          <w:szCs w:val="28"/>
          <w:highlight w:val="none"/>
          <w:lang w:val="en-US" w:eastAsia="zh-CN" w:bidi="ar-SA"/>
        </w:rPr>
        <w:t>三、综合评价结论及分析</w:t>
      </w:r>
      <w:bookmarkEnd w:id="189"/>
      <w:bookmarkEnd w:id="190"/>
      <w:bookmarkEnd w:id="191"/>
      <w:bookmarkEnd w:id="192"/>
      <w:bookmarkEnd w:id="193"/>
      <w:bookmarkEnd w:id="194"/>
      <w:bookmarkEnd w:id="19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color w:val="auto"/>
          <w:sz w:val="28"/>
          <w:szCs w:val="28"/>
          <w:highlight w:val="none"/>
          <w:lang w:val="en-US" w:eastAsia="zh-CN"/>
        </w:rPr>
      </w:pPr>
      <w:r>
        <w:rPr>
          <w:rFonts w:hint="eastAsia" w:ascii="仿宋" w:hAnsi="仿宋" w:eastAsia="仿宋" w:cs="仿宋"/>
          <w:color w:val="auto"/>
          <w:kern w:val="0"/>
          <w:sz w:val="28"/>
          <w:szCs w:val="28"/>
          <w:highlight w:val="none"/>
          <w:lang w:val="en-US" w:eastAsia="zh-CN" w:bidi="ar-SA"/>
        </w:rPr>
        <w:t>通过对2022年度石狮市</w:t>
      </w:r>
      <w:r>
        <w:rPr>
          <w:rFonts w:hint="eastAsia" w:ascii="仿宋" w:hAnsi="仿宋" w:eastAsia="仿宋" w:cs="仿宋"/>
          <w:color w:val="auto"/>
          <w:kern w:val="0"/>
          <w:sz w:val="28"/>
          <w:szCs w:val="28"/>
          <w:highlight w:val="none"/>
          <w:lang w:val="en-US" w:eastAsia="zh-CN"/>
        </w:rPr>
        <w:t>地方储备粮油专项经费</w:t>
      </w:r>
      <w:r>
        <w:rPr>
          <w:rFonts w:hint="eastAsia" w:ascii="仿宋" w:hAnsi="仿宋" w:eastAsia="仿宋" w:cs="仿宋"/>
          <w:color w:val="auto"/>
          <w:kern w:val="0"/>
          <w:sz w:val="28"/>
          <w:szCs w:val="28"/>
          <w:highlight w:val="none"/>
          <w:lang w:val="en-US" w:eastAsia="zh-CN" w:bidi="ar-SA"/>
        </w:rPr>
        <w:t>支出决策、过程、产出、效益四个方面的30个三级指标进行评价打分，最终评价得分90.71分，评定等级为优。指标的得分情况如下：</w:t>
      </w:r>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ascii="仿宋" w:hAnsi="仿宋" w:eastAsia="仿宋" w:cs="仿宋"/>
          <w:b/>
          <w:bCs/>
          <w:color w:val="auto"/>
          <w:kern w:val="0"/>
          <w:sz w:val="24"/>
          <w:szCs w:val="24"/>
          <w:highlight w:val="none"/>
          <w:lang w:val="en-US" w:eastAsia="zh-CN"/>
        </w:rPr>
      </w:pPr>
      <w:bookmarkStart w:id="196" w:name="_Toc13272"/>
      <w:bookmarkStart w:id="197" w:name="_Toc29653"/>
      <w:bookmarkStart w:id="198" w:name="_Toc10896"/>
      <w:bookmarkStart w:id="199" w:name="_Toc10013"/>
      <w:bookmarkStart w:id="200" w:name="_Toc2861"/>
      <w:bookmarkStart w:id="201" w:name="_Toc1814"/>
      <w:bookmarkStart w:id="202" w:name="_Toc2897"/>
      <w:bookmarkStart w:id="203" w:name="_Toc17931"/>
      <w:bookmarkStart w:id="204" w:name="_Toc32006"/>
      <w:bookmarkStart w:id="205" w:name="_Toc19794"/>
      <w:bookmarkStart w:id="206" w:name="_Toc799"/>
      <w:bookmarkStart w:id="207" w:name="_Toc17814"/>
      <w:bookmarkStart w:id="208" w:name="_Toc12473"/>
      <w:bookmarkStart w:id="209" w:name="_Toc32737"/>
      <w:bookmarkStart w:id="210" w:name="_Toc26997"/>
      <w:bookmarkStart w:id="211" w:name="_Toc19199"/>
      <w:bookmarkStart w:id="212" w:name="_Toc6930"/>
      <w:bookmarkStart w:id="213" w:name="_Toc31016"/>
      <w:bookmarkStart w:id="214" w:name="_Toc16143"/>
      <w:bookmarkStart w:id="215" w:name="_Toc12442"/>
      <w:bookmarkStart w:id="216" w:name="_Toc20375"/>
      <w:bookmarkStart w:id="217" w:name="_Toc10670"/>
      <w:bookmarkStart w:id="218" w:name="_Toc15509"/>
      <w:bookmarkStart w:id="219" w:name="_Toc9267"/>
      <w:bookmarkStart w:id="220" w:name="_Toc15404"/>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ascii="仿宋" w:hAnsi="仿宋" w:eastAsia="仿宋" w:cs="仿宋"/>
          <w:b/>
          <w:bCs/>
          <w:color w:val="auto"/>
          <w:kern w:val="0"/>
          <w:sz w:val="24"/>
          <w:szCs w:val="24"/>
          <w:highlight w:val="none"/>
          <w:lang w:val="en-US" w:eastAsia="zh-CN"/>
        </w:rPr>
      </w:pPr>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ascii="仿宋" w:hAnsi="仿宋" w:eastAsia="仿宋" w:cs="仿宋"/>
          <w:b/>
          <w:bCs/>
          <w:color w:val="auto"/>
          <w:kern w:val="0"/>
          <w:sz w:val="24"/>
          <w:szCs w:val="24"/>
          <w:highlight w:val="none"/>
          <w:lang w:val="en-US" w:eastAsia="zh-CN"/>
        </w:rPr>
      </w:pPr>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b/>
          <w:bCs/>
          <w:color w:val="auto"/>
          <w:sz w:val="24"/>
          <w:szCs w:val="24"/>
          <w:highlight w:val="none"/>
          <w:lang w:val="en-US" w:eastAsia="zh-CN"/>
        </w:rPr>
      </w:pPr>
      <w:bookmarkStart w:id="221" w:name="_Toc6099"/>
      <w:bookmarkStart w:id="222" w:name="_Toc7378"/>
      <w:bookmarkStart w:id="223" w:name="_Toc15982"/>
      <w:r>
        <w:rPr>
          <w:rFonts w:hint="eastAsia" w:ascii="仿宋" w:hAnsi="仿宋" w:eastAsia="仿宋" w:cs="仿宋"/>
          <w:b/>
          <w:bCs/>
          <w:color w:val="auto"/>
          <w:kern w:val="0"/>
          <w:sz w:val="24"/>
          <w:szCs w:val="24"/>
          <w:highlight w:val="none"/>
          <w:lang w:val="en-US" w:eastAsia="zh-CN"/>
        </w:rPr>
        <w:t>2022年石狮市地方储备粮油专项经费</w:t>
      </w:r>
      <w:bookmarkEnd w:id="196"/>
      <w:bookmarkEnd w:id="197"/>
      <w:bookmarkEnd w:id="198"/>
      <w:bookmarkEnd w:id="199"/>
      <w:bookmarkEnd w:id="200"/>
      <w:bookmarkStart w:id="224" w:name="_Toc26475"/>
      <w:bookmarkStart w:id="225" w:name="_Toc28036"/>
      <w:bookmarkStart w:id="226" w:name="_Toc26967"/>
      <w:bookmarkStart w:id="227" w:name="_Toc30709"/>
      <w:bookmarkStart w:id="228" w:name="_Toc16757"/>
      <w:bookmarkStart w:id="229" w:name="_Toc30679"/>
      <w:bookmarkStart w:id="230" w:name="_Toc27650"/>
      <w:bookmarkStart w:id="231" w:name="_Toc32232"/>
      <w:bookmarkStart w:id="232" w:name="_Toc22676"/>
      <w:bookmarkStart w:id="233" w:name="_Toc14266"/>
      <w:bookmarkStart w:id="234" w:name="_Toc1906"/>
      <w:r>
        <w:rPr>
          <w:rFonts w:hint="eastAsia" w:ascii="仿宋" w:hAnsi="仿宋" w:eastAsia="仿宋" w:cs="仿宋"/>
          <w:b/>
          <w:bCs/>
          <w:color w:val="auto"/>
          <w:kern w:val="0"/>
          <w:sz w:val="24"/>
          <w:szCs w:val="24"/>
          <w:highlight w:val="none"/>
          <w:lang w:val="en-US" w:eastAsia="zh-CN"/>
        </w:rPr>
        <w:t>指标得分情况表</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tbl>
      <w:tblPr>
        <w:tblStyle w:val="13"/>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5"/>
        <w:gridCol w:w="2734"/>
        <w:gridCol w:w="3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2900" w:type="dxa"/>
            <w:shd w:val="clear" w:color="auto" w:fill="E7E6E6"/>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指标</w:t>
            </w:r>
          </w:p>
        </w:tc>
        <w:tc>
          <w:tcPr>
            <w:tcW w:w="2901" w:type="dxa"/>
            <w:shd w:val="clear" w:color="auto" w:fill="E7E6E6"/>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权重分</w:t>
            </w:r>
          </w:p>
        </w:tc>
        <w:tc>
          <w:tcPr>
            <w:tcW w:w="3218" w:type="dxa"/>
            <w:shd w:val="clear" w:color="auto" w:fill="E7E6E6"/>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00" w:type="dxa"/>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决策</w:t>
            </w:r>
          </w:p>
        </w:tc>
        <w:tc>
          <w:tcPr>
            <w:tcW w:w="2901"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21</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00" w:type="dxa"/>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过程</w:t>
            </w:r>
          </w:p>
        </w:tc>
        <w:tc>
          <w:tcPr>
            <w:tcW w:w="2901"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19</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00" w:type="dxa"/>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产出</w:t>
            </w:r>
          </w:p>
        </w:tc>
        <w:tc>
          <w:tcPr>
            <w:tcW w:w="2901"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33</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00" w:type="dxa"/>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效益</w:t>
            </w:r>
          </w:p>
        </w:tc>
        <w:tc>
          <w:tcPr>
            <w:tcW w:w="2901"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27</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00" w:type="dxa"/>
            <w:noWrap w:val="0"/>
            <w:vAlign w:val="center"/>
          </w:tcPr>
          <w:p>
            <w:pPr>
              <w:pStyle w:val="1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综合得分</w:t>
            </w:r>
          </w:p>
        </w:tc>
        <w:tc>
          <w:tcPr>
            <w:tcW w:w="2901"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100</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90.71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801" w:type="dxa"/>
            <w:gridSpan w:val="2"/>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绩效评定级别</w:t>
            </w:r>
          </w:p>
        </w:tc>
        <w:tc>
          <w:tcPr>
            <w:tcW w:w="3218" w:type="dxa"/>
            <w:noWrap w:val="0"/>
            <w:vAlign w:val="center"/>
          </w:tcPr>
          <w:p>
            <w:pPr>
              <w:pStyle w:val="17"/>
              <w:keepNext w:val="0"/>
              <w:keepLines w:val="0"/>
              <w:pageBreakBefore w:val="0"/>
              <w:kinsoku/>
              <w:wordWrap/>
              <w:topLinePunct w:val="0"/>
              <w:bidi w:val="0"/>
              <w:snapToGrid/>
              <w:spacing w:line="240" w:lineRule="auto"/>
              <w:jc w:val="center"/>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优</w:t>
            </w:r>
          </w:p>
        </w:tc>
      </w:tr>
    </w:tbl>
    <w:p>
      <w:pPr>
        <w:pStyle w:val="2"/>
        <w:keepNext w:val="0"/>
        <w:keepLines w:val="0"/>
        <w:pageBreakBefore w:val="0"/>
        <w:numPr>
          <w:ilvl w:val="0"/>
          <w:numId w:val="0"/>
        </w:numPr>
        <w:shd w:val="clear" w:color="auto" w:fill="FFFFFF"/>
        <w:kinsoku/>
        <w:wordWrap/>
        <w:topLinePunct w:val="0"/>
        <w:bidi w:val="0"/>
        <w:snapToGrid/>
        <w:spacing w:line="240" w:lineRule="auto"/>
        <w:ind w:firstLine="560" w:firstLineChars="200"/>
        <w:jc w:val="left"/>
        <w:outlineLvl w:val="2"/>
        <w:rPr>
          <w:rFonts w:hint="eastAsia" w:ascii="仿宋" w:hAnsi="仿宋" w:eastAsia="仿宋" w:cs="仿宋"/>
          <w:color w:val="auto"/>
          <w:kern w:val="0"/>
          <w:sz w:val="28"/>
          <w:szCs w:val="28"/>
          <w:highlight w:val="none"/>
          <w:lang w:val="en-US" w:eastAsia="zh-CN" w:bidi="ar-SA"/>
        </w:rPr>
        <w:sectPr>
          <w:headerReference r:id="rId5" w:type="default"/>
          <w:footerReference r:id="rId6" w:type="default"/>
          <w:pgSz w:w="11906" w:h="16838"/>
          <w:pgMar w:top="1440" w:right="1519" w:bottom="1440"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bookmarkStart w:id="235" w:name="_Toc28327"/>
      <w:bookmarkStart w:id="236" w:name="_Toc5150"/>
      <w:bookmarkStart w:id="237" w:name="_Toc3133"/>
      <w:bookmarkStart w:id="238" w:name="_Toc7922"/>
      <w:bookmarkStart w:id="239" w:name="_Toc23600"/>
      <w:bookmarkStart w:id="240" w:name="_Toc27278"/>
      <w:bookmarkStart w:id="241" w:name="_Toc14272"/>
      <w:bookmarkStart w:id="242" w:name="_Toc4161"/>
      <w:bookmarkStart w:id="243" w:name="_Toc29386"/>
      <w:bookmarkStart w:id="244" w:name="_Toc11016"/>
      <w:bookmarkStart w:id="245" w:name="_Toc14393"/>
      <w:bookmarkStart w:id="246" w:name="_Toc2726"/>
      <w:bookmarkStart w:id="247" w:name="_Toc26728"/>
      <w:bookmarkStart w:id="248" w:name="_Toc16708"/>
      <w:bookmarkStart w:id="249" w:name="_Toc32465"/>
      <w:bookmarkStart w:id="250" w:name="_Toc18661"/>
      <w:bookmarkStart w:id="251" w:name="_Toc4616"/>
      <w:bookmarkStart w:id="252" w:name="_Toc24908"/>
      <w:bookmarkStart w:id="253" w:name="_Toc16229"/>
      <w:bookmarkStart w:id="254" w:name="_Toc15428"/>
      <w:bookmarkStart w:id="255" w:name="_Toc13702"/>
      <w:bookmarkStart w:id="256" w:name="_Toc11429"/>
      <w:bookmarkStart w:id="257" w:name="_Toc29326"/>
      <w:bookmarkStart w:id="258" w:name="_Toc20172"/>
      <w:bookmarkStart w:id="259" w:name="_Toc26593"/>
      <w:bookmarkStart w:id="260" w:name="_Toc21474"/>
      <w:bookmarkStart w:id="261" w:name="_Toc13770"/>
      <w:bookmarkStart w:id="262" w:name="_Toc12790"/>
      <w:bookmarkStart w:id="263" w:name="_Toc30082"/>
      <w:bookmarkStart w:id="264" w:name="_Toc3756"/>
      <w:bookmarkStart w:id="265" w:name="_Toc19774"/>
      <w:bookmarkStart w:id="266" w:name="_Toc1056"/>
      <w:bookmarkStart w:id="267" w:name="_Toc30271"/>
      <w:bookmarkStart w:id="268" w:name="_Toc7622"/>
      <w:bookmarkStart w:id="269" w:name="_Toc25266"/>
      <w:r>
        <w:rPr>
          <w:rFonts w:hint="eastAsia" w:ascii="仿宋" w:hAnsi="仿宋" w:eastAsia="仿宋" w:cs="仿宋"/>
          <w:color w:val="auto"/>
          <w:kern w:val="0"/>
          <w:sz w:val="28"/>
          <w:szCs w:val="28"/>
          <w:highlight w:val="none"/>
          <w:lang w:val="en-US" w:eastAsia="zh-CN" w:bidi="ar-SA"/>
        </w:rPr>
        <w:t>我中心绩效评价小组工作人员以石狮市粮油与物资储备中心及项目有关单位提供的档案资料、现场收集资料、访谈记录和调查问卷等相关资料为基础，对项目进行绩效指标评价，形成指标分析结果。</w:t>
      </w:r>
      <w:r>
        <w:rPr>
          <w:rFonts w:hint="eastAsia" w:ascii="仿宋" w:hAnsi="仿宋" w:eastAsia="仿宋" w:cs="仿宋"/>
          <w:color w:val="auto"/>
          <w:kern w:val="0"/>
          <w:sz w:val="28"/>
          <w:szCs w:val="28"/>
          <w:highlight w:val="none"/>
          <w:lang w:val="en-US" w:eastAsia="zh-CN"/>
        </w:rPr>
        <w:t>2022年石狮市地方储备粮油专项经费</w:t>
      </w:r>
      <w:r>
        <w:rPr>
          <w:rFonts w:hint="eastAsia" w:ascii="仿宋" w:hAnsi="仿宋" w:eastAsia="仿宋" w:cs="仿宋"/>
          <w:color w:val="auto"/>
          <w:kern w:val="0"/>
          <w:sz w:val="28"/>
          <w:szCs w:val="28"/>
          <w:highlight w:val="none"/>
          <w:lang w:val="en-US" w:eastAsia="zh-CN" w:bidi="ar-SA"/>
        </w:rPr>
        <w:t>绩效指标体系整体分析见下表。</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keepNext w:val="0"/>
        <w:keepLines w:val="0"/>
        <w:pageBreakBefore w:val="0"/>
        <w:kinsoku/>
        <w:wordWrap/>
        <w:overflowPunct/>
        <w:topLinePunct w:val="0"/>
        <w:autoSpaceDE/>
        <w:autoSpaceDN/>
        <w:bidi w:val="0"/>
        <w:adjustRightInd/>
        <w:snapToGrid/>
        <w:jc w:val="center"/>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rPr>
        <w:t>2022年石狮市地方储备粮油专项经费</w:t>
      </w:r>
      <w:r>
        <w:rPr>
          <w:rFonts w:hint="eastAsia" w:ascii="仿宋" w:hAnsi="仿宋" w:eastAsia="仿宋" w:cs="仿宋"/>
          <w:b/>
          <w:bCs/>
          <w:color w:val="auto"/>
          <w:kern w:val="0"/>
          <w:sz w:val="28"/>
          <w:szCs w:val="28"/>
          <w:highlight w:val="none"/>
          <w:lang w:val="en-US" w:eastAsia="zh-CN" w:bidi="ar-SA"/>
        </w:rPr>
        <w:t xml:space="preserve">绩效指标体系 </w:t>
      </w:r>
    </w:p>
    <w:tbl>
      <w:tblPr>
        <w:tblStyle w:val="13"/>
        <w:tblW w:w="15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10"/>
        <w:gridCol w:w="1065"/>
        <w:gridCol w:w="5460"/>
        <w:gridCol w:w="6225"/>
        <w:gridCol w:w="534"/>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0"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一级指标</w:t>
            </w:r>
          </w:p>
        </w:tc>
        <w:tc>
          <w:tcPr>
            <w:tcW w:w="810"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二级指标</w:t>
            </w:r>
          </w:p>
        </w:tc>
        <w:tc>
          <w:tcPr>
            <w:tcW w:w="1065"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三级指标</w:t>
            </w:r>
          </w:p>
        </w:tc>
        <w:tc>
          <w:tcPr>
            <w:tcW w:w="5460"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指标说明</w:t>
            </w:r>
          </w:p>
        </w:tc>
        <w:tc>
          <w:tcPr>
            <w:tcW w:w="6225"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评价结果</w:t>
            </w:r>
          </w:p>
        </w:tc>
        <w:tc>
          <w:tcPr>
            <w:tcW w:w="534"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分值</w:t>
            </w:r>
          </w:p>
        </w:tc>
        <w:tc>
          <w:tcPr>
            <w:tcW w:w="810"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决策</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(21%)</w:t>
            </w:r>
          </w:p>
        </w:tc>
        <w:tc>
          <w:tcPr>
            <w:tcW w:w="81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i w:val="0"/>
                <w:iCs w:val="0"/>
                <w:color w:val="auto"/>
                <w:kern w:val="0"/>
                <w:sz w:val="21"/>
                <w:szCs w:val="21"/>
                <w:highlight w:val="none"/>
                <w:u w:val="none"/>
                <w:lang w:val="en-US" w:eastAsia="zh-CN" w:bidi="ar"/>
              </w:rPr>
              <w:t>项目立项</w:t>
            </w:r>
          </w:p>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(8%)</w:t>
            </w:r>
          </w:p>
        </w:tc>
        <w:tc>
          <w:tcPr>
            <w:tcW w:w="1065"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立项依据充分性（4%）</w:t>
            </w:r>
          </w:p>
        </w:tc>
        <w:tc>
          <w:tcPr>
            <w:tcW w:w="5460"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①项目立项符合国家法律法规、国民经济发展规划和相关政策；</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②项目立项符合行业发展规划和政策要求；</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③项目立项与部门职责范围相符，属于部门履职所需；</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④项目属于公共财政支持范围，符合中央、地方事权支出责任划分原则；每一项不符合扣1分。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地方储备粮油专项属于国家政策性粮食项目，符合国家法律法规、国民经济发展规划和相关政策、行业发展规划和政策要求，与部门职责范围相符，此外，该项目属于公共财政支持范围，并且与相关部门同类项目或部门内部相关项目不重复，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立项程序规范性（4%）</w:t>
            </w:r>
          </w:p>
        </w:tc>
        <w:tc>
          <w:tcPr>
            <w:tcW w:w="5460" w:type="dxa"/>
            <w:vAlign w:val="center"/>
          </w:tcPr>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①项目是否按照规定的程序申请设立；（2分）</w:t>
            </w:r>
          </w:p>
          <w:p>
            <w:pPr>
              <w:keepNext w:val="0"/>
              <w:keepLines w:val="0"/>
              <w:widowControl/>
              <w:suppressLineNumbers w:val="0"/>
              <w:jc w:val="left"/>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②审批文件、材料是否符合相关要求；（2分）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地方储备粮油专项符合相关政策及发展规划，项目设立按规定程序申请、审批，符合相关要求。</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绩效目标</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(7%)</w:t>
            </w:r>
          </w:p>
        </w:tc>
        <w:tc>
          <w:tcPr>
            <w:tcW w:w="1065"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绩效目标合理性（4%）</w:t>
            </w:r>
          </w:p>
        </w:tc>
        <w:tc>
          <w:tcPr>
            <w:tcW w:w="5460" w:type="dxa"/>
            <w:vAlign w:val="center"/>
          </w:tcPr>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（如未设定预算绩效目标，也可考核其他工作任务目标）</w:t>
            </w:r>
          </w:p>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①项目有绩效目标；（1分）</w:t>
            </w:r>
          </w:p>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②项目绩效目标与实际工作内容具有相关性；（1分）</w:t>
            </w:r>
          </w:p>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③项目预期产出效益和效果符合正常的业绩水平；（1分）</w:t>
            </w:r>
          </w:p>
          <w:p>
            <w:pPr>
              <w:keepNext w:val="0"/>
              <w:keepLines w:val="0"/>
              <w:widowControl/>
              <w:suppressLineNumbers w:val="0"/>
              <w:jc w:val="left"/>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④与预算确定的项目投资额或资金量相匹配。（1分）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2022年地方储备粮油项目设有绩效目标，并且项目绩效目标与实际工作内容具有相关性，项目预期产出效益和效果符合正常的业绩水平，与预算确定的项目投资额或资金量相匹配。</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绩效指标明确性（3%）</w:t>
            </w:r>
          </w:p>
        </w:tc>
        <w:tc>
          <w:tcPr>
            <w:tcW w:w="5460" w:type="dxa"/>
            <w:vAlign w:val="center"/>
          </w:tcPr>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①是否将项目绩效目标细化分解为具体的绩效指标；</w:t>
            </w:r>
          </w:p>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②是否通过清晰、可衡量的指标值予以体现；</w:t>
            </w:r>
          </w:p>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③是否与项目目标任务数或计划数相对应。</w:t>
            </w:r>
          </w:p>
          <w:p>
            <w:pPr>
              <w:keepNext w:val="0"/>
              <w:keepLines w:val="0"/>
              <w:widowControl/>
              <w:suppressLineNumbers w:val="0"/>
              <w:jc w:val="left"/>
              <w:textAlignment w:val="center"/>
              <w:rPr>
                <w:rFonts w:hint="default"/>
                <w:lang w:val="en-US" w:eastAsia="zh-CN"/>
              </w:rPr>
            </w:pPr>
            <w:r>
              <w:rPr>
                <w:rFonts w:hint="eastAsia" w:ascii="仿宋" w:hAnsi="仿宋" w:eastAsia="仿宋" w:cs="仿宋"/>
                <w:b w:val="0"/>
                <w:bCs w:val="0"/>
                <w:i w:val="0"/>
                <w:iCs w:val="0"/>
                <w:color w:val="auto"/>
                <w:kern w:val="0"/>
                <w:sz w:val="21"/>
                <w:szCs w:val="21"/>
                <w:highlight w:val="none"/>
                <w:u w:val="none"/>
                <w:lang w:val="en-US" w:eastAsia="zh-CN" w:bidi="ar"/>
              </w:rPr>
              <w:t>每一点不符合扣一分，扣完为止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地方储备粮油专项年初设置的绩效目标较为明确。绩效目标包含了项目的产出、时效、成本和效益，项目受益群体定位准确，绩效指标值设置合理。但经济效益指标的设置不够准确，经济效益指标一般是指反映相关产出对经济带来的影响和效果的指标,在物资储备中心的绩效目标填报中把“保障应急需要”设置为经济效益指标，该指标根据解释应属于社会效益指标。质量指标是反映工作质量的总量指标，在物资储备中心的自评表中将“轮换及时性”设置为质量指标中，该指标根据解释应属于时效指标。针对本项目而言，指标的设置存在概念混淆的问题，并且指标的设置不够细化，可以增加项目产出及可产生的社会效益方面的指标。</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资金投入</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(6%)</w:t>
            </w:r>
          </w:p>
        </w:tc>
        <w:tc>
          <w:tcPr>
            <w:tcW w:w="106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预算编制科学性（4%）</w:t>
            </w:r>
          </w:p>
        </w:tc>
        <w:tc>
          <w:tcPr>
            <w:tcW w:w="5460"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①预算编制经过科学论证；（1分）</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②预算内容与项目内容匹配；（1分）</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③预算额度测算依据充分，按照标准编制；（1分）</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④预算确定的项目投资额或资金量与工作任务相匹配。（1分）</w:t>
            </w:r>
          </w:p>
        </w:tc>
        <w:tc>
          <w:tcPr>
            <w:tcW w:w="6225" w:type="dxa"/>
            <w:vAlign w:val="center"/>
          </w:tcPr>
          <w:p>
            <w:pPr>
              <w:keepNext w:val="0"/>
              <w:keepLines w:val="0"/>
              <w:widowControl/>
              <w:suppressLineNumbers w:val="0"/>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地方储备粮油属于为国家政策性项目，预算资金参照上一年度粮食价格与往年项目执行情况编制，编制过程不够严谨；投入额度与实际执行存在较大偏差，但本项目属于保障性应急项目，预留出应急所用资金为合理现象，故酌情扣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资金分配合理性（2%）</w:t>
            </w:r>
          </w:p>
        </w:tc>
        <w:tc>
          <w:tcPr>
            <w:tcW w:w="5460"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①预算资金分配依据充分；（1分）</w:t>
            </w:r>
          </w:p>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②资金分配额度合理，与项目单位或地方实际相适应。（1分）</w:t>
            </w:r>
          </w:p>
        </w:tc>
        <w:tc>
          <w:tcPr>
            <w:tcW w:w="6225" w:type="dxa"/>
            <w:vAlign w:val="center"/>
          </w:tcPr>
          <w:p>
            <w:pPr>
              <w:keepNext w:val="0"/>
              <w:keepLines w:val="0"/>
              <w:widowControl/>
              <w:suppressLineNumbers w:val="0"/>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评价小组查阅一年度粮食价格与往年项目执行情况，预算资金分配额度合理，与项目单位或地方资金需求相适应。</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过程(19%)</w:t>
            </w:r>
          </w:p>
        </w:tc>
        <w:tc>
          <w:tcPr>
            <w:tcW w:w="810" w:type="dxa"/>
            <w:vMerge w:val="restart"/>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资金管理</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(11%)</w:t>
            </w:r>
          </w:p>
        </w:tc>
        <w:tc>
          <w:tcPr>
            <w:tcW w:w="1065" w:type="dxa"/>
            <w:vAlign w:val="center"/>
          </w:tcPr>
          <w:p>
            <w:pPr>
              <w:keepNext w:val="0"/>
              <w:keepLines w:val="0"/>
              <w:widowControl/>
              <w:suppressLineNumbers w:val="0"/>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资金到位率（3%）</w:t>
            </w:r>
          </w:p>
        </w:tc>
        <w:tc>
          <w:tcPr>
            <w:tcW w:w="5460" w:type="dxa"/>
            <w:vAlign w:val="center"/>
          </w:tcPr>
          <w:p>
            <w:pPr>
              <w:keepNext w:val="0"/>
              <w:keepLines w:val="0"/>
              <w:widowControl/>
              <w:suppressLineNumbers w:val="0"/>
              <w:jc w:val="left"/>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资金到位率=（实际到位资金/预算资金）×100%</w:t>
            </w:r>
          </w:p>
          <w:p>
            <w:pPr>
              <w:keepNext w:val="0"/>
              <w:keepLines w:val="0"/>
              <w:widowControl/>
              <w:suppressLineNumbers w:val="0"/>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指标得分=资金到位率</w:t>
            </w:r>
            <w:r>
              <w:rPr>
                <w:rFonts w:hint="default" w:ascii="仿宋" w:hAnsi="仿宋" w:eastAsia="仿宋" w:cs="仿宋"/>
                <w:b w:val="0"/>
                <w:bCs w:val="0"/>
                <w:i w:val="0"/>
                <w:iCs w:val="0"/>
                <w:color w:val="auto"/>
                <w:kern w:val="0"/>
                <w:sz w:val="21"/>
                <w:szCs w:val="21"/>
                <w:highlight w:val="none"/>
                <w:u w:val="none"/>
                <w:lang w:val="en-US" w:eastAsia="zh-CN" w:bidi="ar"/>
              </w:rPr>
              <w:t>×</w:t>
            </w:r>
            <w:r>
              <w:rPr>
                <w:rFonts w:hint="eastAsia" w:ascii="仿宋" w:hAnsi="仿宋" w:eastAsia="仿宋" w:cs="仿宋"/>
                <w:b w:val="0"/>
                <w:bCs w:val="0"/>
                <w:i w:val="0"/>
                <w:iCs w:val="0"/>
                <w:color w:val="auto"/>
                <w:kern w:val="0"/>
                <w:sz w:val="21"/>
                <w:szCs w:val="21"/>
                <w:highlight w:val="none"/>
                <w:u w:val="none"/>
                <w:lang w:val="en-US" w:eastAsia="zh-CN" w:bidi="ar"/>
              </w:rPr>
              <w:t>指标分值</w:t>
            </w:r>
          </w:p>
        </w:tc>
        <w:tc>
          <w:tcPr>
            <w:tcW w:w="6225" w:type="dxa"/>
            <w:vAlign w:val="center"/>
          </w:tcPr>
          <w:p>
            <w:pPr>
              <w:keepNext w:val="0"/>
              <w:keepLines w:val="0"/>
              <w:widowControl/>
              <w:suppressLineNumbers w:val="0"/>
              <w:jc w:val="left"/>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截至2022年12月，申请并到位资金1500万元，资金到位率为100%。</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kern w:val="2"/>
                <w:sz w:val="21"/>
                <w:szCs w:val="21"/>
                <w:highlight w:val="none"/>
                <w:vertAlign w:val="baseli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预算执行率（4%）</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资金执行率=（实际支出资金/实际到位资金）×100%指标得分=市级资金执行率×权重分</w:t>
            </w:r>
          </w:p>
        </w:tc>
        <w:tc>
          <w:tcPr>
            <w:tcW w:w="6225" w:type="dxa"/>
            <w:vAlign w:val="center"/>
          </w:tcPr>
          <w:p>
            <w:pPr>
              <w:keepNext w:val="0"/>
              <w:keepLines w:val="0"/>
              <w:widowControl/>
              <w:suppressLineNumbers w:val="0"/>
              <w:jc w:val="left"/>
            </w:pPr>
            <w:r>
              <w:rPr>
                <w:rFonts w:ascii="仿宋" w:hAnsi="仿宋" w:eastAsia="仿宋" w:cs="仿宋"/>
                <w:color w:val="000000"/>
                <w:kern w:val="0"/>
                <w:sz w:val="20"/>
                <w:szCs w:val="20"/>
                <w:lang w:val="en-US" w:eastAsia="zh-CN" w:bidi="ar"/>
              </w:rPr>
              <w:t xml:space="preserve">截至 2022 年 12 月，申请并到位资金 1500 万元，实际拨付 1205.52 </w:t>
            </w:r>
          </w:p>
          <w:p>
            <w:pPr>
              <w:keepNext w:val="0"/>
              <w:keepLines w:val="0"/>
              <w:widowControl/>
              <w:suppressLineNumbers w:val="0"/>
              <w:jc w:val="left"/>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000000"/>
                <w:kern w:val="0"/>
                <w:sz w:val="20"/>
                <w:szCs w:val="20"/>
                <w:lang w:val="en-US" w:eastAsia="zh-CN" w:bidi="ar"/>
              </w:rPr>
              <w:t>万元，执行率=1205.52/1500=80.37%；指标得分=80.37%</w:t>
            </w:r>
            <w:r>
              <w:rPr>
                <w:rFonts w:ascii="Arial" w:hAnsi="Arial" w:eastAsia="宋体" w:cs="Arial"/>
                <w:color w:val="000000"/>
                <w:kern w:val="0"/>
                <w:sz w:val="20"/>
                <w:szCs w:val="20"/>
                <w:lang w:val="en-US" w:eastAsia="zh-CN" w:bidi="ar"/>
              </w:rPr>
              <w:t>×</w:t>
            </w:r>
            <w:r>
              <w:rPr>
                <w:rFonts w:hint="eastAsia" w:ascii="仿宋" w:hAnsi="仿宋" w:eastAsia="仿宋" w:cs="仿宋"/>
                <w:color w:val="000000"/>
                <w:kern w:val="0"/>
                <w:sz w:val="20"/>
                <w:szCs w:val="20"/>
                <w:lang w:val="en-US" w:eastAsia="zh-CN" w:bidi="ar"/>
              </w:rPr>
              <w:t>4=3.21。</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资金使用合规性（4%）</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①是否符合国家财经法规和财务管理制度以及有关专项资金管理办法的规定；（1分）</w:t>
            </w:r>
          </w:p>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②资金的拨付是否有完整的审批程序和手续；（1分）</w:t>
            </w:r>
          </w:p>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③是否符合项目预算批复或合同规定的用途；（1分）</w:t>
            </w:r>
          </w:p>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④是否存在截留、挤占、挪用、虚列支出等情况。（1分）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评价工作小组查阅石狮市粮油与物资储备中心等相关单位资金凭证、石狮市地方储备粮油专项资金使用符合国家财经法规和财务管理制度以及有关专项资金管理办法的规定，未发现资金使用不合规。</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组织实施(8%)</w:t>
            </w:r>
          </w:p>
        </w:tc>
        <w:tc>
          <w:tcPr>
            <w:tcW w:w="1065"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管理制度健全性</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（4%）</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①是否已制定或具有相应的财务和业务管理制度；（2分）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②财务和业务管理制度是否合法、合规、完整。（2分）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评价工作小组查阅石狮市粮油与物资储备中心、石狮市粮食购销有限公司提供的资料显示已制定相应的财务和业务管理制度，财务和业务管理制度合法、合规、完整，该项得满分。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制度执行有效性</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（4%）</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①是否遵守相关法律法规和相关管理规定；（1分）</w:t>
            </w:r>
          </w:p>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②项目调整及支出调整手续是否完备；（1分）</w:t>
            </w:r>
          </w:p>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③项目合同书、验收报告、技术鉴定等资料是否齐全并及时归档；（1分）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④项目实施的人员条件、场地设备、信息支撑等是否落实到位。（1分）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石狮市各级粮食储备单位认真执行市级储备粮油下达的储备粮承储、增储、动用、销售和轮换计划和要求，以及储备粮油年度质量检测、出入库质量检测及定期不定期质量指标、食品安全指标、储存品质指标检测制度，按时报送储备粮油轮换进度，产品购销合同、粮油检验报告、库存检查工作报告等资料齐全，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color w:val="auto"/>
                <w:sz w:val="21"/>
                <w:szCs w:val="21"/>
                <w:highlight w:val="non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color w:val="auto"/>
                <w:sz w:val="21"/>
                <w:szCs w:val="21"/>
                <w:highlight w:val="non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color w:val="auto"/>
                <w:sz w:val="21"/>
                <w:szCs w:val="21"/>
                <w:highlight w:val="non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color w:val="auto"/>
                <w:sz w:val="21"/>
                <w:szCs w:val="21"/>
                <w:highlight w:val="non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color w:val="auto"/>
                <w:sz w:val="21"/>
                <w:szCs w:val="21"/>
                <w:highlight w:val="non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产出(33%)</w:t>
            </w:r>
          </w:p>
        </w:tc>
        <w:tc>
          <w:tcPr>
            <w:tcW w:w="810" w:type="dxa"/>
            <w:vMerge w:val="restart"/>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产出数量(9%)</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年度监督巡查完成率(3%)</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完成上级主管部门规定的监督巡查工作得满分。每减少一次，扣一分，扣完为止。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各相关单位积极配合有关部门的监督、巡查，确保地方储备粮数量真实、质量良好、存储安全、调用顺畅，该项得满分。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上级任务完成率(3%)</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完成上级主管部门下达的任务得满分。未完成不得分。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石狮市粮油与物资储备中心、石狮市粮食购销有限公司和各代储点协作完成了2022年度下达的粮油储备计划、轮换计划、贷款贴息任务。石狮市粮食储备有限公司库存储备粮油数量、品种与登记的数量和品种及下达的储存规模总体相符，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轮换储备粮油数量(3%)</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及时轮出已达轮换条件的粮油，得1分；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按照上级文件要求及时轮换对应数量得2分；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石狮市粮油与物资储备中心、石狮市粮食购销有限公司和各代储点协作及时轮出已达轮换条件的粮油，轮换的数量与上级下达的数量相符，且轮换架空时间小于6个月，符合《办法》要求，该项得满分。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产出质量(12%)</w:t>
            </w: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地方储备粮油日常存储质量(2%)</w:t>
            </w:r>
          </w:p>
        </w:tc>
        <w:tc>
          <w:tcPr>
            <w:tcW w:w="5460"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粮油抽检合格率达到95%，得满分；否则，每不足1%，扣1分，扣完为止。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评价小组查阅第三方粮油产品质量检验报告等资料，石狮市粮食储备有限公司2022年库存储备粮油未发现质量不合格和不宜存的情况，该项得满分。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轮换入库新粮质量（2%）</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粮油入库质检合格率达到95%，得满分；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否则，每不足1%，扣1分，扣完为止。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石狮市粮食购销有限公司委托泉州市粮油质量检测站、福建省国鼎检测技术有限公司分别对粮油的出入库及春、秋两季的粮油检测并出具报告，质检均验收合格。</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安全生产率（2%）</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未发生安全责任事故，得满分；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发生1起及以上安全责任事故，该指标不得分。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核查该项目2022年度并未发生安全责任事故。</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规范货位管理（4%）</w:t>
            </w:r>
          </w:p>
        </w:tc>
        <w:tc>
          <w:tcPr>
            <w:tcW w:w="5460"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代储企业货位管理情况，是否做到货位清、标识明；</w:t>
            </w:r>
          </w:p>
        </w:tc>
        <w:tc>
          <w:tcPr>
            <w:tcW w:w="622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部分代储单位货位卡存在不完整的情况。</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承储、代储企业培训完成情况（2%）</w:t>
            </w:r>
          </w:p>
        </w:tc>
        <w:tc>
          <w:tcPr>
            <w:tcW w:w="5460"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考察当年度承储、代储企业培训完成情况；</w:t>
            </w:r>
          </w:p>
        </w:tc>
        <w:tc>
          <w:tcPr>
            <w:tcW w:w="622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根据石狮市粮食购销有限公司提供的材料可知，每年度直属粮库有派遣员工参与粮储相关培训。</w:t>
            </w:r>
          </w:p>
          <w:p>
            <w:pPr>
              <w:rPr>
                <w:rFonts w:hint="default"/>
                <w:lang w:val="en-US" w:eastAsia="zh-CN"/>
              </w:rPr>
            </w:pPr>
            <w:r>
              <w:rPr>
                <w:rFonts w:hint="eastAsia" w:ascii="仿宋" w:hAnsi="仿宋" w:eastAsia="仿宋" w:cs="仿宋"/>
                <w:b w:val="0"/>
                <w:bCs w:val="0"/>
                <w:i w:val="0"/>
                <w:iCs w:val="0"/>
                <w:color w:val="auto"/>
                <w:kern w:val="0"/>
                <w:sz w:val="21"/>
                <w:szCs w:val="21"/>
                <w:highlight w:val="none"/>
                <w:u w:val="none"/>
                <w:lang w:val="en-US" w:eastAsia="zh-CN" w:bidi="ar"/>
              </w:rPr>
              <w:t>代储企业当年度未开展培训。</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2</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产出时效(9%)</w:t>
            </w: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市级地方储备粮储备计划完成率（3%）</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按计划完成当年度市级粮储任务得满分，每延迟一个月，扣一分，扣完为止。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评价小组查阅石狮市级储备粮入库验收表，当年度石狮市级储备粮在规定时间内已按计划完成，该项得满分。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粮油轮换完成及时率（3%）</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完成率达到100%，得满分；</w:t>
            </w:r>
          </w:p>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每不足1%，扣1分，扣完为止。</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评价小组查阅石狮市粮食购销有限公司储备粮轮换台账，2022年厝仔粮库轮换红麦1773920公斤，2022年7月20日开始轮出至2022年8月10日轮出完毕，实轮出1773920公斤，库存损耗4213公斤；2022年中心粮库轮换晚籼稻谷4050000公斤，2022年7月17日开始轮出至2022年8月4日轮出完毕,并于2022年11月完成新粮的轮入。架空轮换的时间均未超过六个月，符合《石狮市地方储备粮油管理办法》的要求，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企业补贴资金下达及时率（3%）</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当补贴下达到石狮市粮油与物资储备中心，中心是否在每季度的第二个月前及时拨付到企业，及时拨付得3分，每延迟一个月扣1分。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评价小组查阅石狮市粮油与物资储备中心提供相关银行账单，当补贴下达到石狮市粮油与物资储备中心，中心在每季度的第二个月前及时拨付到企业，该项得满分。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产出成本(3%)</w:t>
            </w: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储粮损耗量（3%）</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储粮损耗控制在正常范围内得2分；</w:t>
            </w:r>
          </w:p>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今年储粮的损耗低于去年储粮的损耗则得1分，否则，根据损耗增加的情况酌情扣分。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根据石狮市粮食管理处提供的损益凭证，当年度储粮损耗控制在正常范围内，且今年度储粮的损耗同比低于去年储粮的损耗，该项得满分。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750" w:type="dxa"/>
            <w:vMerge w:val="restart"/>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效益指标(27%)</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经济效益(5%)</w:t>
            </w: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储备粮油轮换损益（5%）</w:t>
            </w:r>
          </w:p>
        </w:tc>
        <w:tc>
          <w:tcPr>
            <w:tcW w:w="5460" w:type="dxa"/>
            <w:vAlign w:val="center"/>
          </w:tcPr>
          <w:p>
            <w:pPr>
              <w:keepNext w:val="0"/>
              <w:keepLines w:val="0"/>
              <w:widowControl/>
              <w:suppressLineNumbers w:val="0"/>
              <w:jc w:val="both"/>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轮换中同比降低亏损得2分；</w:t>
            </w:r>
          </w:p>
          <w:p>
            <w:pPr>
              <w:keepNext w:val="0"/>
              <w:keepLines w:val="0"/>
              <w:widowControl/>
              <w:suppressLineNumbers w:val="0"/>
              <w:jc w:val="both"/>
              <w:textAlignment w:val="center"/>
              <w:rPr>
                <w:rFonts w:hint="default" w:asciiTheme="minorHAnsi" w:hAnsiTheme="minorHAnsi" w:eastAsiaTheme="minorEastAsia" w:cstheme="minorBidi"/>
                <w:color w:val="auto"/>
                <w:kern w:val="2"/>
                <w:sz w:val="21"/>
                <w:szCs w:val="22"/>
                <w:highlight w:val="no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轮换中如出现亏损较大的情况则根据当年粮油的定价酌情扣分；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2022年度稻谷在轮换过程同比降低了亏损，且小麦和食用油的价格上涨，在轮换过程实现增值，该项得满分。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5</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社会效益(14%)</w:t>
            </w:r>
          </w:p>
        </w:tc>
        <w:tc>
          <w:tcPr>
            <w:tcW w:w="1065" w:type="dxa"/>
            <w:vAlign w:val="center"/>
          </w:tcPr>
          <w:p>
            <w:pPr>
              <w:keepNext w:val="0"/>
              <w:keepLines w:val="0"/>
              <w:widowControl/>
              <w:suppressLineNumbers w:val="0"/>
              <w:jc w:val="both"/>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建立安全隐患整改台账（3%）</w:t>
            </w:r>
          </w:p>
        </w:tc>
        <w:tc>
          <w:tcPr>
            <w:tcW w:w="5460" w:type="dxa"/>
            <w:vAlign w:val="center"/>
          </w:tcPr>
          <w:p>
            <w:pPr>
              <w:bidi w:val="0"/>
              <w:jc w:val="both"/>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考察承储、代储企业是否根据每次检查后的整改意见，建立安全隐患整改台账；</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代储企业针对每次检查提出的整改意见仅进行简单拍照存档，未建立安全隐患整改台账。</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宏观调控能力（4%）</w:t>
            </w:r>
          </w:p>
        </w:tc>
        <w:tc>
          <w:tcPr>
            <w:tcW w:w="5460" w:type="dxa"/>
            <w:vAlign w:val="center"/>
          </w:tcPr>
          <w:p>
            <w:pPr>
              <w:bidi w:val="0"/>
              <w:jc w:val="both"/>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宏观调控能力作用显著得4分</w:t>
            </w:r>
          </w:p>
          <w:p>
            <w:pPr>
              <w:bidi w:val="0"/>
              <w:jc w:val="both"/>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能力一般得2分</w:t>
            </w:r>
          </w:p>
          <w:p>
            <w:pPr>
              <w:bidi w:val="0"/>
              <w:jc w:val="both"/>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无作用则得0分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2022年度石狮市级储备粮油保管费和利息补贴的拨付和使用，有效地保障了人员工资、社保等管理费用开支以及市级储备粮所需的储粮药品、仓储保管耗材、粮食品质检验、消防、防汛器材、物资、设施等的购买费用，对切实加强市级储备粮管理，确保本市储备粮保量、保质的储存和轮换，有效发挥市级储备粮在全市宏观调控中的作用，保证石狮市粮油供应安全、维护粮食市场稳定发挥了较好的社会效益。</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应急粮油库存保障效果（3%）</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库存能有效保障日常应急需要，</w:t>
            </w:r>
            <w:r>
              <w:rPr>
                <w:rFonts w:hint="eastAsia" w:ascii="仿宋" w:hAnsi="仿宋" w:eastAsia="仿宋" w:cs="仿宋"/>
                <w:i w:val="0"/>
                <w:iCs w:val="0"/>
                <w:color w:val="auto"/>
                <w:kern w:val="0"/>
                <w:sz w:val="20"/>
                <w:szCs w:val="20"/>
                <w:highlight w:val="none"/>
                <w:u w:val="none"/>
                <w:lang w:val="en-US" w:eastAsia="zh-CN" w:bidi="ar"/>
              </w:rPr>
              <w:t>根据问卷调查第3题进行打分，90%（含）以上计满分；80%（含）-90%，得2分；70%（含）-80%，得1分；低于70%不得分。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i w:val="0"/>
                <w:iCs w:val="0"/>
                <w:color w:val="auto"/>
                <w:kern w:val="0"/>
                <w:sz w:val="20"/>
                <w:szCs w:val="20"/>
                <w:highlight w:val="none"/>
                <w:u w:val="none"/>
                <w:lang w:val="en-US" w:eastAsia="zh-CN" w:bidi="ar"/>
              </w:rPr>
              <w:t>根据50份问卷调查第3题结果显示，100%员工认为石狮市现阶段应急粮油库存是否能得到有效保障。</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粮油应急调控保障能力（4%）</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粮油应急调控保障能力</w:t>
            </w:r>
            <w:r>
              <w:rPr>
                <w:rFonts w:hint="eastAsia" w:ascii="仿宋" w:hAnsi="仿宋" w:eastAsia="仿宋" w:cs="仿宋"/>
                <w:i w:val="0"/>
                <w:iCs w:val="0"/>
                <w:color w:val="auto"/>
                <w:kern w:val="0"/>
                <w:sz w:val="20"/>
                <w:szCs w:val="20"/>
                <w:highlight w:val="none"/>
                <w:u w:val="none"/>
                <w:lang w:val="en-US" w:eastAsia="zh-CN" w:bidi="ar"/>
              </w:rPr>
              <w:t>根据问卷调查第7题进行打分，</w:t>
            </w:r>
            <w:r>
              <w:rPr>
                <w:rFonts w:hint="eastAsia" w:ascii="仿宋" w:hAnsi="仿宋" w:eastAsia="仿宋" w:cs="仿宋"/>
                <w:b w:val="0"/>
                <w:bCs w:val="0"/>
                <w:i w:val="0"/>
                <w:iCs w:val="0"/>
                <w:color w:val="auto"/>
                <w:kern w:val="0"/>
                <w:sz w:val="21"/>
                <w:szCs w:val="21"/>
                <w:highlight w:val="none"/>
                <w:u w:val="none"/>
                <w:lang w:val="en-US" w:eastAsia="zh-CN" w:bidi="ar"/>
              </w:rPr>
              <w:t>确保政府需要时能调得动、用得上.得1分；粮食应急供应网点应做到覆盖全面、布局合理、保障有力。得2分；对不符合有关条件标准的粮食应急保障的网点，及时进行更换或移除，则得1分。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i w:val="0"/>
                <w:iCs w:val="0"/>
                <w:color w:val="auto"/>
                <w:kern w:val="0"/>
                <w:sz w:val="20"/>
                <w:szCs w:val="20"/>
                <w:highlight w:val="none"/>
                <w:u w:val="none"/>
                <w:lang w:val="en-US" w:eastAsia="zh-CN" w:bidi="ar"/>
              </w:rPr>
              <w:t>根据50份问卷调查第7题结果显示，超过百分之90%以上的员工认为本市粮油应急调控保障能力可以做到</w:t>
            </w:r>
            <w:r>
              <w:rPr>
                <w:rFonts w:hint="eastAsia" w:ascii="仿宋" w:hAnsi="仿宋" w:eastAsia="仿宋" w:cs="仿宋"/>
                <w:b w:val="0"/>
                <w:bCs w:val="0"/>
                <w:i w:val="0"/>
                <w:iCs w:val="0"/>
                <w:color w:val="auto"/>
                <w:kern w:val="0"/>
                <w:sz w:val="21"/>
                <w:szCs w:val="21"/>
                <w:highlight w:val="none"/>
                <w:u w:val="none"/>
                <w:lang w:val="en-US" w:eastAsia="zh-CN" w:bidi="ar"/>
              </w:rPr>
              <w:t>确保政府需要时能调得动、粮食应急供应网点应做到覆盖全面、布局合理、保障有力、对不符合有关条件标准的粮食应急保障的网点，及时进行更换或移除。</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可持续影响效益(4%)</w:t>
            </w:r>
          </w:p>
        </w:tc>
        <w:tc>
          <w:tcPr>
            <w:tcW w:w="1065"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建立资金补助长效机制（4%）</w:t>
            </w:r>
          </w:p>
        </w:tc>
        <w:tc>
          <w:tcPr>
            <w:tcW w:w="5460" w:type="dxa"/>
            <w:vAlign w:val="center"/>
          </w:tcPr>
          <w:p>
            <w:pPr>
              <w:keepNext w:val="0"/>
              <w:keepLines w:val="0"/>
              <w:widowControl/>
              <w:suppressLineNumbers w:val="0"/>
              <w:jc w:val="both"/>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建立资金补助长效机制得4分；未建立不得分；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相关单位已建立了粮食风险基金可持续性保障机制，保障市级储备粮油保管费和利息补贴所需，增强了全市粮食宏观调控能力，确保全市粮食供给安全，该项得满分。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750" w:type="dxa"/>
            <w:vMerge w:val="continue"/>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p>
        </w:tc>
        <w:tc>
          <w:tcPr>
            <w:tcW w:w="810" w:type="dxa"/>
            <w:vAlign w:val="center"/>
          </w:tcPr>
          <w:p>
            <w:pPr>
              <w:keepNext w:val="0"/>
              <w:keepLines w:val="0"/>
              <w:widowControl/>
              <w:suppressLineNumbers w:val="0"/>
              <w:jc w:val="center"/>
              <w:textAlignment w:val="center"/>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满意度（4%）</w:t>
            </w:r>
          </w:p>
        </w:tc>
        <w:tc>
          <w:tcPr>
            <w:tcW w:w="106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b w:val="0"/>
                <w:bCs w:val="0"/>
                <w:i w:val="0"/>
                <w:iCs w:val="0"/>
                <w:color w:val="auto"/>
                <w:kern w:val="0"/>
                <w:sz w:val="21"/>
                <w:szCs w:val="21"/>
                <w:highlight w:val="none"/>
                <w:u w:val="none"/>
                <w:lang w:val="en-US" w:eastAsia="zh-CN" w:bidi="ar"/>
              </w:rPr>
              <w:t>服务对象满意度（4%）</w:t>
            </w:r>
          </w:p>
        </w:tc>
        <w:tc>
          <w:tcPr>
            <w:tcW w:w="546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i w:val="0"/>
                <w:iCs w:val="0"/>
                <w:color w:val="auto"/>
                <w:kern w:val="0"/>
                <w:sz w:val="21"/>
                <w:szCs w:val="21"/>
                <w:highlight w:val="none"/>
                <w:u w:val="none"/>
                <w:lang w:val="en-US" w:eastAsia="zh-CN" w:bidi="ar"/>
              </w:rPr>
              <w:t>满意度≥90%，得满分；90%＞满意度≥80%，得分80%；80%＞满意度≥60%，得分50%；满意度≤60%，得0分。</w:t>
            </w:r>
          </w:p>
        </w:tc>
        <w:tc>
          <w:tcPr>
            <w:tcW w:w="6225"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i w:val="0"/>
                <w:iCs w:val="0"/>
                <w:color w:val="auto"/>
                <w:kern w:val="0"/>
                <w:sz w:val="20"/>
                <w:szCs w:val="20"/>
                <w:highlight w:val="none"/>
                <w:u w:val="none"/>
                <w:lang w:val="en-US" w:eastAsia="zh-CN" w:bidi="ar"/>
              </w:rPr>
              <w:t>根据50份问卷调查第8题结果显示，90%员工选择非常满意，该项得满分。</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right"/>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合计</w:t>
            </w:r>
          </w:p>
        </w:tc>
        <w:tc>
          <w:tcPr>
            <w:tcW w:w="534"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100</w:t>
            </w:r>
          </w:p>
        </w:tc>
        <w:tc>
          <w:tcPr>
            <w:tcW w:w="810" w:type="dxa"/>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vertAlign w:val="baseline"/>
                <w:lang w:val="en-US" w:eastAsia="zh-CN"/>
              </w:rPr>
              <w:t>90.71</w:t>
            </w:r>
          </w:p>
        </w:tc>
      </w:tr>
    </w:tbl>
    <w:p>
      <w:pPr>
        <w:rPr>
          <w:rFonts w:hint="eastAsia"/>
          <w:color w:val="auto"/>
          <w:highlight w:val="none"/>
          <w:lang w:val="en-US" w:eastAsia="zh-CN"/>
        </w:rPr>
        <w:sectPr>
          <w:headerReference r:id="rId7" w:type="default"/>
          <w:pgSz w:w="16838" w:h="11906" w:orient="landscape"/>
          <w:pgMar w:top="1587" w:right="1440" w:bottom="1519"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eastAsia" w:ascii="黑体" w:hAnsi="黑体" w:eastAsia="黑体" w:cs="黑体"/>
          <w:b/>
          <w:bCs/>
          <w:color w:val="auto"/>
          <w:kern w:val="44"/>
          <w:sz w:val="28"/>
          <w:szCs w:val="28"/>
          <w:highlight w:val="none"/>
          <w:lang w:val="en-US" w:eastAsia="zh-CN" w:bidi="ar-SA"/>
        </w:rPr>
      </w:pPr>
      <w:bookmarkStart w:id="270" w:name="_Toc13043"/>
      <w:r>
        <w:rPr>
          <w:rFonts w:hint="eastAsia" w:ascii="黑体" w:hAnsi="黑体" w:eastAsia="黑体" w:cs="黑体"/>
          <w:b/>
          <w:bCs/>
          <w:color w:val="auto"/>
          <w:kern w:val="44"/>
          <w:sz w:val="28"/>
          <w:szCs w:val="28"/>
          <w:highlight w:val="none"/>
          <w:lang w:val="en-US" w:eastAsia="zh-CN" w:bidi="ar-SA"/>
        </w:rPr>
        <w:t>四、主要经验和做法</w:t>
      </w:r>
      <w:bookmarkEnd w:id="270"/>
      <w:bookmarkStart w:id="271" w:name="_Toc22681"/>
      <w:bookmarkStart w:id="272" w:name="_Toc10325"/>
      <w:bookmarkStart w:id="273" w:name="_Toc1680"/>
      <w:bookmarkStart w:id="274" w:name="_Toc17138"/>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75" w:name="_Toc27883"/>
      <w:bookmarkStart w:id="276" w:name="_Toc14738"/>
      <w:r>
        <w:rPr>
          <w:rFonts w:hint="eastAsia" w:ascii="楷体" w:hAnsi="楷体" w:eastAsia="楷体" w:cs="楷体"/>
          <w:b/>
          <w:bCs w:val="0"/>
          <w:color w:val="auto"/>
          <w:kern w:val="44"/>
          <w:sz w:val="28"/>
          <w:szCs w:val="28"/>
          <w:highlight w:val="none"/>
          <w:lang w:val="en-US" w:eastAsia="zh-CN" w:bidi="ar-SA"/>
        </w:rPr>
        <w:t>落实责任，健全制度，规范管理</w:t>
      </w:r>
      <w:bookmarkEnd w:id="271"/>
      <w:bookmarkEnd w:id="272"/>
      <w:bookmarkEnd w:id="273"/>
      <w:bookmarkEnd w:id="274"/>
      <w:bookmarkEnd w:id="275"/>
      <w:bookmarkEnd w:id="276"/>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left="0" w:right="0" w:firstLine="640"/>
        <w:jc w:val="both"/>
        <w:textAlignment w:val="auto"/>
        <w:rPr>
          <w:rFonts w:hint="eastAsia" w:ascii="楷体" w:hAnsi="楷体" w:eastAsia="楷体" w:cs="楷体"/>
          <w:b/>
          <w:bCs/>
          <w:i w:val="0"/>
          <w:iCs w:val="0"/>
          <w:caps w:val="0"/>
          <w:color w:val="auto"/>
          <w:spacing w:val="0"/>
          <w:sz w:val="28"/>
          <w:szCs w:val="28"/>
          <w:highlight w:val="none"/>
        </w:rPr>
      </w:pPr>
      <w:r>
        <w:rPr>
          <w:rFonts w:hint="eastAsia" w:ascii="仿宋" w:hAnsi="仿宋" w:eastAsia="仿宋" w:cs="仿宋"/>
          <w:b w:val="0"/>
          <w:bCs w:val="0"/>
          <w:color w:val="auto"/>
          <w:kern w:val="2"/>
          <w:sz w:val="28"/>
          <w:szCs w:val="28"/>
          <w:highlight w:val="none"/>
          <w:lang w:val="en-US" w:eastAsia="zh-CN" w:bidi="ar-SA"/>
        </w:rPr>
        <w:t>2022年，石狮市人民政府及相关职能部门认真贯彻落实各级关于加强储备粮管理的政策措施、储备粮管理办法及配套法规制度，认真履行粮食安全行政首长责任制，建立健全市级储备粮油各项业务管理制度及考核办法并严格组织实施，加强对市级储备粮油数量、质量和存储安全的指导与监管，确保市级储备粮油数量真实、质量良好、储存安全和管理规范。</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77" w:name="_Toc3306"/>
      <w:bookmarkStart w:id="278" w:name="_Toc2452"/>
      <w:bookmarkStart w:id="279" w:name="_Toc18141"/>
      <w:bookmarkStart w:id="280" w:name="_Toc7995"/>
      <w:bookmarkStart w:id="281" w:name="_Toc3047"/>
      <w:bookmarkStart w:id="282" w:name="_Toc20760"/>
      <w:r>
        <w:rPr>
          <w:rFonts w:hint="eastAsia" w:ascii="楷体" w:hAnsi="楷体" w:eastAsia="楷体" w:cs="楷体"/>
          <w:b/>
          <w:bCs w:val="0"/>
          <w:color w:val="auto"/>
          <w:kern w:val="44"/>
          <w:sz w:val="28"/>
          <w:szCs w:val="28"/>
          <w:highlight w:val="none"/>
          <w:lang w:val="en-US" w:eastAsia="zh-CN" w:bidi="ar-SA"/>
        </w:rPr>
        <w:t>强化责任意识，依法依规做好储备粮油管理工作</w:t>
      </w:r>
      <w:bookmarkEnd w:id="277"/>
      <w:bookmarkEnd w:id="278"/>
      <w:bookmarkEnd w:id="279"/>
      <w:bookmarkEnd w:id="280"/>
      <w:bookmarkEnd w:id="281"/>
      <w:bookmarkEnd w:id="282"/>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atLeast"/>
        <w:ind w:left="0" w:right="0" w:firstLine="640"/>
        <w:jc w:val="both"/>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石狮市粮油与物资储备中心、石狮市粮食购销有限公司认真履行市级储备粮数量真实、质量良好、储存安全和资金安全的责任，依照各级有关法律、法规、规章及国家标准和技术规范，建立了市级储备粮各项业务操作及管理制度，并按制度和技术规范要求做好市级储备粮油的各项管理工作，所承储的市级储备粮油总体达到数量真实、质量良好和储存安全以及储得进、管得好、调得动、用得上，并努力节约成本、费用。</w:t>
      </w:r>
    </w:p>
    <w:p>
      <w:pPr>
        <w:keepNext w:val="0"/>
        <w:keepLines w:val="0"/>
        <w:pageBreakBefore w:val="0"/>
        <w:kinsoku/>
        <w:wordWrap/>
        <w:overflowPunct/>
        <w:topLinePunct w:val="0"/>
        <w:autoSpaceDE/>
        <w:autoSpaceDN/>
        <w:bidi w:val="0"/>
        <w:adjustRightInd/>
        <w:snapToGrid/>
        <w:spacing w:beforeAutospacing="0" w:afterAutospacing="0"/>
        <w:textAlignment w:val="auto"/>
        <w:rPr>
          <w:rFonts w:hint="eastAsia" w:ascii="仿宋" w:hAnsi="仿宋" w:eastAsia="仿宋" w:cs="仿宋"/>
          <w:color w:val="auto"/>
          <w:sz w:val="21"/>
          <w:szCs w:val="21"/>
          <w:highlight w:val="none"/>
          <w:lang w:val="en-US" w:eastAsia="zh-CN"/>
        </w:rPr>
      </w:pPr>
      <w:r>
        <w:rPr>
          <w:rFonts w:hint="eastAsia"/>
          <w:color w:val="auto"/>
          <w:highlight w:val="none"/>
          <w:lang w:val="en-US" w:eastAsia="zh-CN"/>
        </w:rPr>
        <w:t xml:space="preserve"> </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default" w:ascii="黑体" w:hAnsi="黑体" w:eastAsia="黑体" w:cs="黑体"/>
          <w:b/>
          <w:bCs/>
          <w:color w:val="auto"/>
          <w:kern w:val="44"/>
          <w:sz w:val="28"/>
          <w:szCs w:val="28"/>
          <w:highlight w:val="none"/>
          <w:lang w:val="en-US" w:eastAsia="zh-CN" w:bidi="ar-SA"/>
        </w:rPr>
      </w:pPr>
      <w:bookmarkStart w:id="283" w:name="_Toc13046"/>
      <w:bookmarkStart w:id="284" w:name="_Toc3112"/>
      <w:bookmarkStart w:id="285" w:name="_Toc15701"/>
      <w:bookmarkStart w:id="286" w:name="_Toc7803"/>
      <w:bookmarkStart w:id="287" w:name="_Toc26752"/>
      <w:r>
        <w:rPr>
          <w:rFonts w:hint="eastAsia" w:ascii="黑体" w:hAnsi="黑体" w:eastAsia="黑体" w:cs="黑体"/>
          <w:b/>
          <w:bCs/>
          <w:color w:val="auto"/>
          <w:kern w:val="44"/>
          <w:sz w:val="28"/>
          <w:szCs w:val="28"/>
          <w:highlight w:val="none"/>
          <w:lang w:val="en-US" w:eastAsia="zh-CN" w:bidi="ar-SA"/>
        </w:rPr>
        <w:t>五、项目存在的主要问题及原因分析</w:t>
      </w:r>
      <w:bookmarkEnd w:id="283"/>
      <w:bookmarkEnd w:id="284"/>
      <w:bookmarkEnd w:id="285"/>
      <w:bookmarkEnd w:id="286"/>
      <w:bookmarkEnd w:id="287"/>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88" w:name="_Toc17113"/>
      <w:r>
        <w:rPr>
          <w:rFonts w:hint="eastAsia" w:ascii="楷体" w:hAnsi="楷体" w:eastAsia="楷体" w:cs="楷体"/>
          <w:b/>
          <w:bCs w:val="0"/>
          <w:color w:val="auto"/>
          <w:kern w:val="44"/>
          <w:sz w:val="28"/>
          <w:szCs w:val="28"/>
          <w:highlight w:val="none"/>
          <w:lang w:val="en-US" w:eastAsia="zh-CN" w:bidi="ar-SA"/>
        </w:rPr>
        <w:t>预算编制准确性有待提高</w:t>
      </w:r>
      <w:bookmarkEnd w:id="288"/>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240" w:lineRule="auto"/>
        <w:ind w:firstLine="560" w:firstLineChars="200"/>
        <w:jc w:val="both"/>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石狮市粮油与物资储备中心编制预算的依据是来源于上年度粮食的价格、本年度拟轮出的粮食数量预估轮换差价，预算编制的过程缺乏科学性，预算编制流程不规范记录不完全，预算编制不够严谨。未能充分联系实际对下达预算指标进行层层分解。</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default" w:ascii="楷体" w:hAnsi="楷体" w:eastAsia="楷体" w:cs="楷体"/>
          <w:b/>
          <w:bCs w:val="0"/>
          <w:color w:val="auto"/>
          <w:kern w:val="44"/>
          <w:sz w:val="28"/>
          <w:szCs w:val="28"/>
          <w:highlight w:val="none"/>
          <w:lang w:val="en-US" w:eastAsia="zh-CN" w:bidi="ar-SA"/>
        </w:rPr>
      </w:pPr>
      <w:bookmarkStart w:id="289" w:name="_Toc19262"/>
      <w:r>
        <w:rPr>
          <w:rFonts w:hint="eastAsia" w:ascii="楷体" w:hAnsi="楷体" w:eastAsia="楷体" w:cs="楷体"/>
          <w:b/>
          <w:bCs w:val="0"/>
          <w:color w:val="auto"/>
          <w:kern w:val="44"/>
          <w:sz w:val="28"/>
          <w:szCs w:val="28"/>
          <w:highlight w:val="none"/>
          <w:lang w:val="en-US" w:eastAsia="zh-CN" w:bidi="ar-SA"/>
        </w:rPr>
        <w:t>管理人员业务水平有待提高</w:t>
      </w:r>
      <w:bookmarkEnd w:id="289"/>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240" w:lineRule="auto"/>
        <w:ind w:firstLine="560"/>
        <w:jc w:val="both"/>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加强粮库工作人员的对智慧粮库软件应用培训学习和新技术的掌握，进一步提高储备粮科学化、智能化管理。</w:t>
      </w:r>
    </w:p>
    <w:p>
      <w:pPr>
        <w:rPr>
          <w:rFonts w:hint="default"/>
          <w:lang w:val="en-US" w:eastAsia="zh-CN"/>
        </w:rPr>
      </w:pPr>
      <w:r>
        <w:rPr>
          <w:rFonts w:hint="eastAsia" w:ascii="仿宋" w:hAnsi="仿宋" w:eastAsia="仿宋" w:cs="仿宋"/>
          <w:b w:val="0"/>
          <w:bCs w:val="0"/>
          <w:color w:val="auto"/>
          <w:kern w:val="2"/>
          <w:sz w:val="28"/>
          <w:szCs w:val="28"/>
          <w:highlight w:val="none"/>
          <w:lang w:val="en-US" w:eastAsia="zh-CN" w:bidi="ar-SA"/>
        </w:rPr>
        <w:t xml:space="preserve">    我中心小组在项目调研走访中发现部分代储企业专职保管员年龄偏大，存在无法及时地学习、掌握新型粮储知识等情况，不利于代储企业提升规范化管理水平。</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90" w:name="_Toc11282"/>
      <w:r>
        <w:rPr>
          <w:rFonts w:hint="eastAsia" w:ascii="楷体" w:hAnsi="楷体" w:eastAsia="楷体" w:cs="楷体"/>
          <w:b/>
          <w:bCs w:val="0"/>
          <w:color w:val="auto"/>
          <w:kern w:val="44"/>
          <w:sz w:val="28"/>
          <w:szCs w:val="28"/>
          <w:highlight w:val="none"/>
          <w:lang w:val="en-US" w:eastAsia="zh-CN" w:bidi="ar-SA"/>
        </w:rPr>
        <w:t>承储企业仓库货位标识不明</w:t>
      </w:r>
      <w:bookmarkEnd w:id="290"/>
    </w:p>
    <w:p>
      <w:pPr>
        <w:pStyle w:val="2"/>
        <w:ind w:left="0" w:leftChars="0" w:firstLine="0" w:firstLineChars="0"/>
        <w:rPr>
          <w:rFonts w:hint="default" w:ascii="仿宋" w:hAnsi="仿宋" w:eastAsia="仿宋" w:cs="仿宋"/>
          <w:b w:val="0"/>
          <w:bCs w:val="0"/>
          <w:color w:val="auto"/>
          <w:kern w:val="2"/>
          <w:sz w:val="28"/>
          <w:szCs w:val="28"/>
          <w:highlight w:val="none"/>
          <w:lang w:val="en-US" w:eastAsia="zh-CN" w:bidi="ar-SA"/>
        </w:rPr>
      </w:pPr>
      <w:r>
        <w:rPr>
          <w:rFonts w:hint="eastAsia"/>
          <w:lang w:val="en-US" w:eastAsia="zh-CN"/>
        </w:rPr>
        <w:t xml:space="preserve">    </w:t>
      </w:r>
      <w:r>
        <w:rPr>
          <w:rFonts w:hint="eastAsia" w:ascii="仿宋" w:hAnsi="仿宋" w:eastAsia="仿宋" w:cs="仿宋"/>
          <w:b w:val="0"/>
          <w:bCs w:val="0"/>
          <w:color w:val="auto"/>
          <w:kern w:val="2"/>
          <w:sz w:val="28"/>
          <w:szCs w:val="28"/>
          <w:highlight w:val="none"/>
          <w:lang w:val="en-US" w:eastAsia="zh-CN" w:bidi="ar-SA"/>
        </w:rPr>
        <w:t xml:space="preserve"> 部分承储单位出现货位卡不完整的情况，不便于仓库粮食的储存与查找，增加了错料、串料风险，降低了员工的工作效率和出入库的管理。</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default" w:ascii="楷体" w:hAnsi="楷体" w:eastAsia="楷体" w:cs="楷体"/>
          <w:b/>
          <w:bCs w:val="0"/>
          <w:color w:val="auto"/>
          <w:kern w:val="44"/>
          <w:sz w:val="28"/>
          <w:szCs w:val="28"/>
          <w:highlight w:val="none"/>
          <w:lang w:val="en-US" w:eastAsia="zh-CN" w:bidi="ar-SA"/>
        </w:rPr>
      </w:pPr>
      <w:bookmarkStart w:id="291" w:name="_Toc23864"/>
      <w:r>
        <w:rPr>
          <w:rFonts w:hint="eastAsia" w:ascii="楷体" w:hAnsi="楷体" w:eastAsia="楷体" w:cs="楷体"/>
          <w:b/>
          <w:bCs w:val="0"/>
          <w:color w:val="auto"/>
          <w:kern w:val="44"/>
          <w:sz w:val="28"/>
          <w:szCs w:val="28"/>
          <w:highlight w:val="none"/>
          <w:lang w:val="en-US" w:eastAsia="zh-CN" w:bidi="ar-SA"/>
        </w:rPr>
        <w:t>安全隐患整改台账有待进一步落实</w:t>
      </w:r>
      <w:bookmarkEnd w:id="291"/>
    </w:p>
    <w:p>
      <w:pPr>
        <w:keepNext w:val="0"/>
        <w:keepLines w:val="0"/>
        <w:pageBreakBefore w:val="0"/>
        <w:widowControl w:val="0"/>
        <w:suppressLineNumbers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代储单位</w:t>
      </w:r>
      <w:r>
        <w:rPr>
          <w:rFonts w:hint="default" w:ascii="仿宋" w:hAnsi="仿宋" w:eastAsia="仿宋" w:cs="仿宋"/>
          <w:b w:val="0"/>
          <w:bCs w:val="0"/>
          <w:color w:val="auto"/>
          <w:kern w:val="2"/>
          <w:sz w:val="28"/>
          <w:szCs w:val="28"/>
          <w:highlight w:val="none"/>
          <w:lang w:val="en-US" w:eastAsia="zh-CN" w:bidi="ar-SA"/>
        </w:rPr>
        <w:t>对安全台账不够重视，所以，在安全台账上投入精力不足，</w:t>
      </w:r>
      <w:r>
        <w:rPr>
          <w:rFonts w:hint="eastAsia" w:ascii="仿宋" w:hAnsi="仿宋" w:eastAsia="仿宋" w:cs="仿宋"/>
          <w:b w:val="0"/>
          <w:bCs w:val="0"/>
          <w:color w:val="auto"/>
          <w:kern w:val="2"/>
          <w:sz w:val="28"/>
          <w:szCs w:val="28"/>
          <w:highlight w:val="none"/>
          <w:lang w:val="en-US" w:eastAsia="zh-CN" w:bidi="ar-SA"/>
        </w:rPr>
        <w:t>仅限于简单的拍照存档</w:t>
      </w:r>
      <w:r>
        <w:rPr>
          <w:rFonts w:hint="default" w:ascii="仿宋" w:hAnsi="仿宋" w:eastAsia="仿宋" w:cs="仿宋"/>
          <w:b w:val="0"/>
          <w:bCs w:val="0"/>
          <w:color w:val="auto"/>
          <w:kern w:val="2"/>
          <w:sz w:val="28"/>
          <w:szCs w:val="28"/>
          <w:highlight w:val="none"/>
          <w:lang w:val="en-US" w:eastAsia="zh-CN" w:bidi="ar-SA"/>
        </w:rPr>
        <w:t>，对建立安全台账的意义缺乏正确的认识。</w:t>
      </w:r>
    </w:p>
    <w:p>
      <w:pPr>
        <w:pStyle w:val="2"/>
        <w:rPr>
          <w:rFonts w:hint="default"/>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firstLine="562" w:firstLineChars="200"/>
        <w:textAlignment w:val="auto"/>
        <w:rPr>
          <w:rFonts w:hint="default" w:ascii="黑体" w:hAnsi="黑体" w:eastAsia="黑体" w:cs="黑体"/>
          <w:b/>
          <w:bCs/>
          <w:color w:val="auto"/>
          <w:kern w:val="44"/>
          <w:sz w:val="28"/>
          <w:szCs w:val="28"/>
          <w:highlight w:val="none"/>
          <w:lang w:val="en-US" w:eastAsia="zh-CN" w:bidi="ar-SA"/>
        </w:rPr>
      </w:pPr>
      <w:bookmarkStart w:id="292" w:name="_Toc18897"/>
      <w:r>
        <w:rPr>
          <w:rFonts w:hint="eastAsia" w:ascii="黑体" w:hAnsi="黑体" w:eastAsia="黑体" w:cs="黑体"/>
          <w:b/>
          <w:bCs/>
          <w:color w:val="auto"/>
          <w:kern w:val="44"/>
          <w:sz w:val="28"/>
          <w:szCs w:val="28"/>
          <w:highlight w:val="none"/>
          <w:lang w:val="en-US" w:eastAsia="zh-CN" w:bidi="ar-SA"/>
        </w:rPr>
        <w:t>六、意见建议</w:t>
      </w:r>
      <w:bookmarkEnd w:id="292"/>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93" w:name="_Toc21271"/>
      <w:bookmarkStart w:id="294" w:name="_Toc27218"/>
      <w:r>
        <w:rPr>
          <w:rFonts w:hint="eastAsia" w:ascii="楷体" w:hAnsi="楷体" w:eastAsia="楷体" w:cs="楷体"/>
          <w:b/>
          <w:bCs w:val="0"/>
          <w:color w:val="auto"/>
          <w:kern w:val="44"/>
          <w:sz w:val="28"/>
          <w:szCs w:val="28"/>
          <w:highlight w:val="none"/>
          <w:lang w:val="en-US" w:eastAsia="zh-CN" w:bidi="ar-SA"/>
        </w:rPr>
        <w:t>提高预算编制的准确性</w:t>
      </w:r>
      <w:bookmarkEnd w:id="293"/>
      <w:bookmarkEnd w:id="294"/>
    </w:p>
    <w:p>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after="0" w:line="240" w:lineRule="auto"/>
        <w:ind w:firstLine="560" w:firstLineChars="200"/>
        <w:jc w:val="both"/>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根据前一年和当年的实施情况作为参照依据，结合地方储备粮油专项工作的实际开展情况，进一步强化部门预算编制人员的预算观念，明确其预算职责，在财务人员、业务人员等单位全员参与的基础上，广泛收集部门各项支出及每个专项资金基础资料，对资金规模的需求做出合理、准确性的预测，提高预算编制的准确性。</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default" w:ascii="楷体" w:hAnsi="楷体" w:eastAsia="楷体" w:cs="楷体"/>
          <w:b/>
          <w:bCs w:val="0"/>
          <w:color w:val="auto"/>
          <w:kern w:val="44"/>
          <w:sz w:val="28"/>
          <w:szCs w:val="28"/>
          <w:highlight w:val="none"/>
          <w:lang w:val="en-US" w:eastAsia="zh-CN" w:bidi="ar-SA"/>
        </w:rPr>
      </w:pPr>
      <w:bookmarkStart w:id="295" w:name="_Toc7297"/>
      <w:r>
        <w:rPr>
          <w:rFonts w:hint="eastAsia" w:ascii="楷体" w:hAnsi="楷体" w:eastAsia="楷体" w:cs="楷体"/>
          <w:b/>
          <w:bCs w:val="0"/>
          <w:color w:val="auto"/>
          <w:kern w:val="44"/>
          <w:sz w:val="28"/>
          <w:szCs w:val="28"/>
          <w:highlight w:val="none"/>
          <w:lang w:val="en-US" w:eastAsia="zh-CN" w:bidi="ar-SA"/>
        </w:rPr>
        <w:t>加强队伍培训，确保人员操作熟练</w:t>
      </w:r>
      <w:bookmarkEnd w:id="295"/>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240" w:lineRule="auto"/>
        <w:ind w:firstLine="560"/>
        <w:jc w:val="both"/>
        <w:textAlignment w:val="auto"/>
        <w:rPr>
          <w:rFonts w:hint="default"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加强承储企业智能化管理，实现设备设施有人管理、软件系统有人维护、数据信息有人更新。高度重视智能化系统的应用培训，结合粮食购销业务、粮食仓储管理、政策性粮食监管要求，组织本地本单位信息化管理员和信息化操作员有针对性地开展培训学习，通过专业培训和上机实操，提高对“智慧粮库”平台的理解力和操作的熟练度，真正做到想用、会用、善用，从而促进粮食的科学储备、延缓陈化、降低损耗。</w:t>
      </w:r>
    </w:p>
    <w:p>
      <w:pPr>
        <w:keepNext w:val="0"/>
        <w:keepLines w:val="0"/>
        <w:widowControl/>
        <w:suppressLineNumbers w:val="0"/>
        <w:ind w:firstLine="560" w:firstLineChars="200"/>
        <w:jc w:val="left"/>
        <w:rPr>
          <w:rFonts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代储</w:t>
      </w:r>
      <w:r>
        <w:rPr>
          <w:rFonts w:ascii="仿宋" w:hAnsi="仿宋" w:eastAsia="仿宋" w:cs="仿宋"/>
          <w:color w:val="000000"/>
          <w:kern w:val="0"/>
          <w:sz w:val="28"/>
          <w:szCs w:val="28"/>
          <w:lang w:val="en-US" w:eastAsia="zh-CN" w:bidi="ar"/>
        </w:rPr>
        <w:t>企业的</w:t>
      </w:r>
      <w:r>
        <w:rPr>
          <w:rFonts w:hint="eastAsia" w:ascii="仿宋" w:hAnsi="仿宋" w:eastAsia="仿宋" w:cs="仿宋"/>
          <w:color w:val="000000"/>
          <w:kern w:val="0"/>
          <w:sz w:val="28"/>
          <w:szCs w:val="28"/>
          <w:lang w:val="en-US" w:eastAsia="zh-CN" w:bidi="ar"/>
        </w:rPr>
        <w:t>专职保管员应加强自身业务学习，不断提高业务素质。</w:t>
      </w:r>
      <w:r>
        <w:rPr>
          <w:rFonts w:ascii="仿宋" w:hAnsi="仿宋" w:eastAsia="仿宋" w:cs="仿宋"/>
          <w:color w:val="000000"/>
          <w:kern w:val="0"/>
          <w:sz w:val="28"/>
          <w:szCs w:val="28"/>
          <w:lang w:val="en-US" w:eastAsia="zh-CN" w:bidi="ar"/>
        </w:rPr>
        <w:t>建议</w:t>
      </w:r>
      <w:r>
        <w:rPr>
          <w:rFonts w:hint="eastAsia" w:ascii="仿宋" w:hAnsi="仿宋" w:eastAsia="仿宋" w:cs="仿宋"/>
          <w:color w:val="000000"/>
          <w:kern w:val="0"/>
          <w:sz w:val="28"/>
          <w:szCs w:val="28"/>
          <w:lang w:val="en-US" w:eastAsia="zh-CN" w:bidi="ar"/>
        </w:rPr>
        <w:t>石狮市粮食购销有限公司</w:t>
      </w:r>
      <w:r>
        <w:rPr>
          <w:rFonts w:ascii="仿宋" w:hAnsi="仿宋" w:eastAsia="仿宋" w:cs="仿宋"/>
          <w:color w:val="000000"/>
          <w:kern w:val="0"/>
          <w:sz w:val="28"/>
          <w:szCs w:val="28"/>
          <w:lang w:val="en-US" w:eastAsia="zh-CN" w:bidi="ar"/>
        </w:rPr>
        <w:t>定期组织</w:t>
      </w:r>
      <w:r>
        <w:rPr>
          <w:rFonts w:hint="eastAsia" w:ascii="仿宋" w:hAnsi="仿宋" w:eastAsia="仿宋" w:cs="仿宋"/>
          <w:color w:val="000000"/>
          <w:kern w:val="0"/>
          <w:sz w:val="28"/>
          <w:szCs w:val="28"/>
          <w:lang w:val="en-US" w:eastAsia="zh-CN" w:bidi="ar"/>
        </w:rPr>
        <w:t>专职保管员</w:t>
      </w:r>
      <w:r>
        <w:rPr>
          <w:rFonts w:ascii="仿宋" w:hAnsi="仿宋" w:eastAsia="仿宋" w:cs="仿宋"/>
          <w:color w:val="000000"/>
          <w:kern w:val="0"/>
          <w:sz w:val="28"/>
          <w:szCs w:val="28"/>
          <w:lang w:val="en-US" w:eastAsia="zh-CN" w:bidi="ar"/>
        </w:rPr>
        <w:t>进行业务技能培训，确保保管员业务水平和技能与储备粮油的规范化管理要求相适应。</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96" w:name="_Toc22851"/>
      <w:r>
        <w:rPr>
          <w:rFonts w:hint="eastAsia" w:ascii="楷体" w:hAnsi="楷体" w:eastAsia="楷体" w:cs="楷体"/>
          <w:b/>
          <w:bCs w:val="0"/>
          <w:color w:val="auto"/>
          <w:kern w:val="44"/>
          <w:sz w:val="28"/>
          <w:szCs w:val="28"/>
          <w:highlight w:val="none"/>
          <w:lang w:val="en-US" w:eastAsia="zh-CN" w:bidi="ar-SA"/>
        </w:rPr>
        <w:t>规范承储企业货位卡管理</w:t>
      </w:r>
      <w:bookmarkEnd w:id="296"/>
    </w:p>
    <w:p>
      <w:pPr>
        <w:pStyle w:val="2"/>
        <w:keepNext w:val="0"/>
        <w:keepLines w:val="0"/>
        <w:pageBreakBefore w:val="0"/>
        <w:widowControl w:val="0"/>
        <w:numPr>
          <w:ilvl w:val="0"/>
          <w:numId w:val="0"/>
        </w:numPr>
        <w:shd w:val="clear"/>
        <w:kinsoku/>
        <w:wordWrap/>
        <w:overflowPunct/>
        <w:topLinePunct w:val="0"/>
        <w:autoSpaceDE/>
        <w:autoSpaceDN/>
        <w:bidi w:val="0"/>
        <w:adjustRightInd/>
        <w:snapToGrid/>
        <w:spacing w:after="0" w:line="240" w:lineRule="auto"/>
        <w:ind w:firstLine="560" w:firstLineChars="200"/>
        <w:jc w:val="both"/>
        <w:textAlignment w:val="auto"/>
        <w:rPr>
          <w:rFonts w:hint="default"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货位清则标识明，标识明则管理成”。清晰规范的货位，显明准确的标识，是地方粮油储备仓储管理的根基。完善的货位卡标识，等同在账实之间增加一道检验工具，便于库存差异查询，确保账实相符;在仓库现场也可清楚查到物料数量，便于检查监督工作，更有利于提升仓储的高速运转。</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ind w:left="0" w:leftChars="0" w:firstLine="420" w:firstLineChars="0"/>
        <w:textAlignment w:val="auto"/>
        <w:outlineLvl w:val="1"/>
        <w:rPr>
          <w:rFonts w:hint="eastAsia" w:ascii="楷体" w:hAnsi="楷体" w:eastAsia="楷体" w:cs="楷体"/>
          <w:b/>
          <w:bCs w:val="0"/>
          <w:color w:val="auto"/>
          <w:kern w:val="44"/>
          <w:sz w:val="28"/>
          <w:szCs w:val="28"/>
          <w:highlight w:val="none"/>
          <w:lang w:val="en-US" w:eastAsia="zh-CN" w:bidi="ar-SA"/>
        </w:rPr>
      </w:pPr>
      <w:bookmarkStart w:id="297" w:name="_Toc15852"/>
      <w:r>
        <w:rPr>
          <w:rFonts w:hint="eastAsia" w:ascii="楷体" w:hAnsi="楷体" w:eastAsia="楷体" w:cs="楷体"/>
          <w:b/>
          <w:bCs w:val="0"/>
          <w:color w:val="auto"/>
          <w:kern w:val="44"/>
          <w:sz w:val="28"/>
          <w:szCs w:val="28"/>
          <w:highlight w:val="none"/>
          <w:lang w:val="en-US" w:eastAsia="zh-CN" w:bidi="ar-SA"/>
        </w:rPr>
        <w:t>建立健全代储企业安全隐患台账管理</w:t>
      </w:r>
      <w:bookmarkEnd w:id="297"/>
    </w:p>
    <w:p>
      <w:pPr>
        <w:keepNext w:val="0"/>
        <w:keepLines w:val="0"/>
        <w:pageBreakBefore w:val="0"/>
        <w:widowControl w:val="0"/>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color w:val="auto"/>
          <w:kern w:val="2"/>
          <w:sz w:val="28"/>
          <w:szCs w:val="28"/>
          <w:highlight w:val="none"/>
          <w:lang w:val="en-US" w:eastAsia="zh-CN" w:bidi="ar-SA"/>
        </w:rPr>
      </w:pPr>
      <w:r>
        <w:rPr>
          <w:rFonts w:hint="default" w:ascii="仿宋" w:hAnsi="仿宋" w:eastAsia="仿宋" w:cs="仿宋"/>
          <w:b w:val="0"/>
          <w:bCs w:val="0"/>
          <w:color w:val="auto"/>
          <w:kern w:val="2"/>
          <w:sz w:val="28"/>
          <w:szCs w:val="28"/>
          <w:highlight w:val="none"/>
          <w:lang w:val="en-US" w:eastAsia="zh-CN" w:bidi="ar-SA"/>
        </w:rPr>
        <w:t>隐患台账是企业安全管理的重要工具，能够帮助企业及时发现、分析和处理安全问题，从而保障企业的安全生产。</w:t>
      </w:r>
      <w:r>
        <w:rPr>
          <w:rFonts w:hint="eastAsia" w:ascii="仿宋" w:hAnsi="仿宋" w:eastAsia="仿宋" w:cs="仿宋"/>
          <w:b w:val="0"/>
          <w:bCs w:val="0"/>
          <w:color w:val="auto"/>
          <w:kern w:val="2"/>
          <w:sz w:val="28"/>
          <w:szCs w:val="28"/>
          <w:highlight w:val="none"/>
          <w:lang w:val="en-US" w:eastAsia="zh-CN" w:bidi="ar-SA"/>
        </w:rPr>
        <w:t>相关单位应督促代储企业建立完整的隐患台账，加强安全监管，及时发现隐患，制定相应的处理措施，跟踪处理情况，定期检查和整改，确保隐患台账的及时性和准确性。</w:t>
      </w:r>
    </w:p>
    <w:p>
      <w:pPr>
        <w:rPr>
          <w:rFonts w:hint="default"/>
          <w:lang w:val="en-US" w:eastAsia="zh-CN"/>
        </w:rPr>
      </w:pPr>
    </w:p>
    <w:p>
      <w:pPr>
        <w:pStyle w:val="4"/>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ind w:firstLine="562" w:firstLineChars="200"/>
        <w:textAlignment w:val="auto"/>
        <w:rPr>
          <w:rFonts w:hint="eastAsia" w:ascii="黑体" w:hAnsi="黑体" w:eastAsia="黑体" w:cs="黑体"/>
          <w:b/>
          <w:bCs/>
          <w:color w:val="auto"/>
          <w:kern w:val="44"/>
          <w:sz w:val="28"/>
          <w:szCs w:val="28"/>
          <w:highlight w:val="none"/>
          <w:lang w:val="en-US" w:eastAsia="zh-CN" w:bidi="ar-SA"/>
        </w:rPr>
      </w:pPr>
      <w:bookmarkStart w:id="298" w:name="_Toc19798"/>
      <w:r>
        <w:rPr>
          <w:rFonts w:hint="eastAsia" w:ascii="黑体" w:hAnsi="黑体" w:eastAsia="黑体" w:cs="黑体"/>
          <w:b/>
          <w:bCs/>
          <w:color w:val="auto"/>
          <w:kern w:val="44"/>
          <w:sz w:val="28"/>
          <w:szCs w:val="28"/>
          <w:highlight w:val="none"/>
          <w:lang w:val="en-US" w:eastAsia="zh-CN" w:bidi="ar-SA"/>
        </w:rPr>
        <w:t>附件说明</w:t>
      </w:r>
      <w:bookmarkEnd w:id="298"/>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2"/>
        <w:rPr>
          <w:rFonts w:hint="default" w:ascii="仿宋" w:hAnsi="仿宋" w:eastAsia="仿宋" w:cs="仿宋"/>
          <w:b w:val="0"/>
          <w:bCs w:val="0"/>
          <w:color w:val="auto"/>
          <w:sz w:val="28"/>
          <w:szCs w:val="28"/>
          <w:highlight w:val="none"/>
          <w:lang w:val="en-US" w:eastAsia="zh-CN"/>
        </w:rPr>
      </w:pPr>
      <w:bookmarkStart w:id="299" w:name="_Toc31829"/>
      <w:r>
        <w:rPr>
          <w:rFonts w:hint="eastAsia" w:ascii="仿宋" w:hAnsi="仿宋" w:eastAsia="仿宋" w:cs="仿宋"/>
          <w:b w:val="0"/>
          <w:bCs w:val="0"/>
          <w:color w:val="auto"/>
          <w:sz w:val="28"/>
          <w:szCs w:val="28"/>
          <w:highlight w:val="none"/>
          <w:lang w:val="en-US" w:eastAsia="zh-CN"/>
        </w:rPr>
        <w:t>附件1 石狮市粮食购销有限公司2022年度发生额及余额表</w:t>
      </w:r>
      <w:bookmarkEnd w:id="299"/>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b w:val="0"/>
          <w:bCs w:val="0"/>
          <w:color w:val="auto"/>
          <w:sz w:val="28"/>
          <w:szCs w:val="28"/>
          <w:highlight w:val="none"/>
          <w:lang w:val="en-US" w:eastAsia="zh-CN"/>
        </w:rPr>
      </w:pPr>
      <w:bookmarkStart w:id="300" w:name="_Toc22357"/>
      <w:r>
        <w:rPr>
          <w:rFonts w:hint="eastAsia" w:ascii="仿宋" w:hAnsi="仿宋" w:eastAsia="仿宋" w:cs="仿宋"/>
          <w:b w:val="0"/>
          <w:bCs w:val="0"/>
          <w:color w:val="auto"/>
          <w:sz w:val="28"/>
          <w:szCs w:val="28"/>
          <w:highlight w:val="none"/>
          <w:lang w:val="en-US" w:eastAsia="zh-CN"/>
        </w:rPr>
        <w:t>附件2 现场调研照片</w:t>
      </w:r>
      <w:bookmarkEnd w:id="30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2"/>
        <w:rPr>
          <w:rFonts w:hint="eastAsia" w:ascii="仿宋" w:hAnsi="仿宋" w:eastAsia="仿宋" w:cs="仿宋"/>
          <w:b w:val="0"/>
          <w:bCs w:val="0"/>
          <w:color w:val="auto"/>
          <w:sz w:val="28"/>
          <w:szCs w:val="28"/>
          <w:highlight w:val="none"/>
          <w:lang w:val="en-US" w:eastAsia="zh-CN"/>
        </w:rPr>
      </w:pPr>
      <w:bookmarkStart w:id="301" w:name="_Toc20306"/>
      <w:r>
        <w:rPr>
          <w:rFonts w:hint="eastAsia" w:ascii="仿宋" w:hAnsi="仿宋" w:eastAsia="仿宋" w:cs="仿宋"/>
          <w:b w:val="0"/>
          <w:bCs w:val="0"/>
          <w:color w:val="auto"/>
          <w:sz w:val="28"/>
          <w:szCs w:val="28"/>
          <w:highlight w:val="none"/>
          <w:lang w:val="en-US" w:eastAsia="zh-CN"/>
        </w:rPr>
        <w:t>附件3 2022年度石狮市地方储备粮油专项问卷调查表</w:t>
      </w:r>
      <w:bookmarkEnd w:id="301"/>
    </w:p>
    <w:p>
      <w:pPr>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 xml:space="preserve">  </w:t>
      </w:r>
    </w:p>
    <w:p>
      <w:pPr>
        <w:rPr>
          <w:rFonts w:hint="eastAsia" w:ascii="仿宋" w:hAnsi="仿宋" w:eastAsia="仿宋" w:cs="仿宋"/>
          <w:b w:val="0"/>
          <w:bCs w:val="0"/>
          <w:color w:val="auto"/>
          <w:kern w:val="2"/>
          <w:sz w:val="28"/>
          <w:szCs w:val="28"/>
          <w:highlight w:val="none"/>
          <w:lang w:val="en-US" w:eastAsia="zh-CN" w:bidi="ar-SA"/>
        </w:rPr>
        <w:sectPr>
          <w:headerReference r:id="rId8" w:type="default"/>
          <w:pgSz w:w="11906" w:h="16838"/>
          <w:pgMar w:top="1440" w:right="1519" w:bottom="1440"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widowControl w:val="0"/>
        <w:numPr>
          <w:ilvl w:val="0"/>
          <w:numId w:val="0"/>
        </w:numPr>
        <w:spacing w:after="120" w:line="240" w:lineRule="auto"/>
        <w:jc w:val="both"/>
        <w:rPr>
          <w:rFonts w:hint="eastAsia"/>
          <w:lang w:val="en-US" w:eastAsia="zh-CN"/>
        </w:rPr>
      </w:pPr>
      <w:r>
        <w:rPr>
          <w:rFonts w:hint="eastAsia" w:ascii="仿宋" w:hAnsi="仿宋" w:eastAsia="仿宋" w:cs="仿宋"/>
          <w:b/>
          <w:bCs w:val="0"/>
          <w:color w:val="auto"/>
          <w:kern w:val="44"/>
          <w:sz w:val="28"/>
          <w:szCs w:val="28"/>
          <w:highlight w:val="none"/>
          <w:lang w:val="en-US" w:eastAsia="zh-CN" w:bidi="ar-SA"/>
        </w:rPr>
        <w:t>附件1 石狮市粮食购销有限公司2022年度发生额及余额表</w:t>
      </w:r>
    </w:p>
    <w:tbl>
      <w:tblPr>
        <w:tblStyle w:val="12"/>
        <w:tblW w:w="14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66"/>
        <w:gridCol w:w="1116"/>
        <w:gridCol w:w="2608"/>
        <w:gridCol w:w="1597"/>
        <w:gridCol w:w="1476"/>
        <w:gridCol w:w="1476"/>
        <w:gridCol w:w="1476"/>
        <w:gridCol w:w="1534"/>
        <w:gridCol w:w="14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43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6"/>
                <w:szCs w:val="36"/>
                <w:u w:val="none"/>
              </w:rPr>
            </w:pPr>
            <w:r>
              <w:rPr>
                <w:rFonts w:hint="eastAsia" w:ascii="黑体" w:hAnsi="宋体" w:eastAsia="黑体" w:cs="黑体"/>
                <w:b/>
                <w:bCs/>
                <w:i w:val="0"/>
                <w:iCs w:val="0"/>
                <w:color w:val="000000"/>
                <w:kern w:val="0"/>
                <w:sz w:val="36"/>
                <w:szCs w:val="36"/>
                <w:u w:val="none"/>
                <w:lang w:val="en-US" w:eastAsia="zh-CN" w:bidi="ar"/>
              </w:rPr>
              <w:t>发生额及余额表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050"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金额式</w:t>
            </w:r>
          </w:p>
        </w:tc>
        <w:tc>
          <w:tcPr>
            <w:tcW w:w="7275" w:type="dxa"/>
            <w:gridSpan w:val="5"/>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月份 2022.01 - 2022.12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9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vMerge w:val="restart"/>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会计期间</w:t>
            </w:r>
          </w:p>
        </w:tc>
        <w:tc>
          <w:tcPr>
            <w:tcW w:w="4005" w:type="dxa"/>
            <w:gridSpan w:val="2"/>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w:t>
            </w:r>
          </w:p>
        </w:tc>
        <w:tc>
          <w:tcPr>
            <w:tcW w:w="3090" w:type="dxa"/>
            <w:gridSpan w:val="2"/>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期初余额</w:t>
            </w:r>
          </w:p>
        </w:tc>
        <w:tc>
          <w:tcPr>
            <w:tcW w:w="2835" w:type="dxa"/>
            <w:gridSpan w:val="2"/>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本期发生</w:t>
            </w:r>
          </w:p>
        </w:tc>
        <w:tc>
          <w:tcPr>
            <w:tcW w:w="2970" w:type="dxa"/>
            <w:gridSpan w:val="2"/>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期末余额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vMerge w:val="continue"/>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编码</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借方</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贷方</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借方</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贷方</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借方</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库存现金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8,588.51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21,510.00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30,098.51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银行存款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23,440,648.26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107,037,173.54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90,585,640.25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39,892,181.55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农发行</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22,603,732.81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95,948,016.41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79,972,319.32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38,579,429.90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基本户013111</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17,546,559.88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51,851,061.88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50,751,130.26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18,646,491.50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贷款户014241</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5,057,172.93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23,939,958.12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28,994,699.06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2,431.99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基础设施基金139001</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20,156,996.41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226,490.00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19,930,506.41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建行635189</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461,935.26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10,201,038.66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10,476,762.56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186,211.36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农行020482</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374,980.19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888,118.47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136,558.37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1,126,540.29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应收账款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洛江粮丰</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各站库并入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石狮粮站-祥和良种场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直属粮库-飘香油厂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直属粮库-后肖面粉厂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直属粮库-惠新饲料厂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直属粮库-傅仰传</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直属粮库-蔡章富</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直属粮库-泉州市粮食局</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直属粮库-金狮食品有限公司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直属粮库-省信托投资公司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祥芝粮站-溪前粮食加工厂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祥芝粮站-宫口粮食加工厂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永宁粮站-洪惜</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永宁粮站-高表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永宁粮站-卢况</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加工厂-其他款项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11220416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加工厂-原材料毁损、报废</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112205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秀加粮油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预付账款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14,642.02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29,848.89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12,793.13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加油卡</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14,642.02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29,848.89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12,793.13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中石化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14,642.02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29,848.89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12,793.13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其他应收款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14,965,126.18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1,562,450.32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1,400,575.32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15,127,001.18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代垫、暂付款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2,589.76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2,589.76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吴朝敬个人所得税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许自汀个人所得税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423.20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423.20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施秀加个人所得税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1,866.56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1,866.56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石狮粮站电话押金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石狮粮站农行票箱押金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应收补贴款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12210503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县市级专储原粮利息补贴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12210505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县市级应急大米利息补贴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12210507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县市级储备食用油利息补贴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军供站暂借款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产投</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11,639,293.58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177,430.56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15,555.56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11,801,168.58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各站库并入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1,824,932.60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1,824,932.60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商运公司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1,382,430.00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1,382,430.00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12211301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专项债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1,382,430.00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1,382,430.00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坏账准备</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3,875,022.60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-150,090.00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3,724,932.60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2013年洛江粮丰公司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石狮粮站-祥和良种场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直属粮库-飘香油厂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直属粮库-后肖面粉厂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直属粮库-惠新饲料厂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直属粮库-傅仰传</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直属粮库-蔡章富</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直属粮库-泉州市粮食局</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直属粮库-金狮食品有限公司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直属粮库-省信托投资公司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祥芝粮站-溪前粮食加工厂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祥芝粮站-宫口粮食加工厂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永宁粮站-洪惜</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永宁粮站-高表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永宁粮站-卢况</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加工厂-其他款项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123117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加工厂-原材料损毁、报废</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应收账款坏账准备</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2013年洛江粮丰公司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其他应收款坏账准备</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1,975,022.60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-150,090.00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1,824,932.60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祥和良种场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47,182.10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47,182.10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顠香油厂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232,750.00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232,750.00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后肖面粉厂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435,933.35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435,933.35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惠新饲料厂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124,246.32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124,246.32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傅仰传-祥芝后湖副食品厂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402,009.78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402,009.78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安徽阜南县朱寨商贸公司-蔡章富</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84,957.18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84,957.18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泉州市粮食局</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13,921.89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13,921.89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金狮食品有限公司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129,207.76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129,207.76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省信托投资公司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3,024.00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溪前粮食加工厂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宫口粮食加工厂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洪惜</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29,243.93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29,243.93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高表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27,840.00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27,840.00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卢况</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23,407.50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23,407.50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加工厂其他款项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42,245.42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42,245.42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加工厂原材料损毁、报废</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16,263.37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16,263.37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12312117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信用风险计提</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150,090.00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-150,090.00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库存商品</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124,647,802.49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23,935,956.00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130,901,400.41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储备粮油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124,647,802.49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23,935,956.00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130,901,400.41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地方储备粮-小麦</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42,582,869.27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4,832,158.08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37,750,711.19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4601188公斤</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4,832,158.08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4,832,158.08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5003261公斤*2.426</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12,137,911.19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12,137,911.19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4800000公斤*2.478</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11,894,400.00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11,894,400.00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4800000公斤*2.858</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13,718,400.00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13,718,400.00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地方储备粮-晚谷</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48,214,564.66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21,117,956.00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11,072,700.00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58,259,820.66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4050000公斤*2.734</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11,072,700.00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11,072,700.00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3900000公斤*3.04</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11,856,000.00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11,856,000.00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7717000公斤*2.848</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21,978,016.00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21,978,016.00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1150165公斤*2.876</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3,307,848.66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3,307,848.66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中5#3473920公斤</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10,595,456.00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10,595,456.00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1405010213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中9#3450000公斤</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10,522,500.00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10,522,500.00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地方储备粮-应急粮</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6,475,000.00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6,614,000.00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应急大米</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5,380,000.00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5,519,000.00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应急小麦粉</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1,095,000.00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1,095,000.00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地方储备食用油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4,605,500.00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5,507,000.00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调和油（金龙鱼）</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3,128,000.00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5,507,000.00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1405010402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大豆油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地方储备粮-早谷</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22,769,868.56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22,769,868.56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1405010502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3555663公斤*3.12</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11,093,668.56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11,093,668.56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1405010503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3950000公斤*2.956</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11,676,200.00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11,676,200.00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长期股权投资</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815,372.02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815,372.02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军粮供应公司股权</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815,372.02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815,372.02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投资性房地产</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18,119,000.00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1,421,000.00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19,540,000.00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转换资产</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17,230,000.00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17,230,000.00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公允价值变动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889,000.00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1,421,000.00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2,310,000.00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固定资产</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99,744,592.13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1,512,936.01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459,046.15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100,798,481.99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原值</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99,744,592.13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1,512,936.01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459,046.15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100,798,481.99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累计折旧</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17,344,966.24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435,052.85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3,108,529.09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20,018,442.48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在建工程</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5,233,683.02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10,337,101.67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15,570,784.69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160402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应急粮食及物资储备工程</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5,233,683.02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10,337,101.67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15,570,784.69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16040201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待摊支出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5,233,683.02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10,337,101.67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15,570,784.69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固定资产清理</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23,993.30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23,993.30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资产合计</w:t>
            </w:r>
            <w:bookmarkStart w:id="302" w:name="_GoBack"/>
            <w:bookmarkEnd w:id="302"/>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288,889,454.63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21,219,988.84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146,615,173.69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113,469,999.59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324,558,014.97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23,743,375.08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短期借款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124,647,802.49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23,935,956.00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130,901,400.41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地方储备粮借款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113,567,302.49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15,904,858.08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21,117,956.00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118,780,400.41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地方储备食用油借款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4,605,500.00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2,379,000.00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5,507,000.00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地方储备应急大米借款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6,475,000.00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439,000.00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应付账款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5,057,172.93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28,993,128.93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23,935,956.00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220215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抚州东乡区红星粮油公司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5,057,172.93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5,057,172.93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220216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石狮峰杰贸易公司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2,818,000.00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2,818,000.00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220217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江西南旅粮食经营公司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21,117,956.00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21,117,956.00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预收账款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17,398,385.22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17,409,385.22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山穗粮油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房租</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29,510.00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40,510.00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220317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中粮面业（福州）</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5,604,675.22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5,604,675.22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220327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漳州龙文区海谦米厂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220328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泉州福海粮油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11,764,200.00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11,764,200.00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合同负债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145,161.42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145,161.42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220601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山穗粮油公司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144,877.02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144,877.02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220602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漳州龙文区海谦米厂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284.40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284.40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应付职工薪酬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1,022,883.69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6,124,646.76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5,806,297.81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704,534.74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工资、奖金、津贴、补贴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569,275.00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3,769,206.80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3,823,168.80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623,237.00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职工福利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531,788.53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537,631.53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5,843.00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职工餐费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39,655.00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44,198.00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4,543.00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职工奖励</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职工体检费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26,733.53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26,733.53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职工补充医疗险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女职工卫生费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22110208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社会化人员费用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364,150.00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365,450.00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社会保险费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724,610.23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724,610.23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养老保险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547,401.61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547,401.61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失业保险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16,534.76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16,534.76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145,048.70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145,048.70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工伤保险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5,922.12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5,922.12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22110305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生育保险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9,703.04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9,703.04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404,169.00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404,169.00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55,618.69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80,829.86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81,665.91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56,454.74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职工教育经费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5,966.00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5,966.00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企业年金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161,682.00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161,682.00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劳务人员薪酬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35,550.00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334,612.34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318,062.34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职工遗属救济金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111,782.00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111,782.00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职工文明奖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340,090.00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-340,090.00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221111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劳务人员文明奖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22,350.00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-22,350.00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应交税费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159,526.77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568,714.10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438,316.93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29,129.60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应交增值税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13,084.84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58,052.29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52,089.74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7,122.29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一般计税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7,477.84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10,827.96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7,686.67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4,336.55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简易计税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5,607.00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47,224.33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44,403.07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2,785.74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应交所得税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115,832.22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216,946.91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101,114.69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本部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115,832.22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216,946.91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101,114.69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应交城建税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915.94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4,063.67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3,646.29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应交房产税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15,612.00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84,022.25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75,430.25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应交土地使用税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13,594.60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140,057.36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140,347.20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13,884.44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应交印花税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225.47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3,566.51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3,589.24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应交教育费附加</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261.70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1,546.52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1,640.93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356.11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应缴残疾人基金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57,218.59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57,218.59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应交车船税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其他应付款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6,239,114.23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2,576,465.47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30,538,670.45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34,201,319.21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职工应交款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837,662.47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847,907.89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10,245.42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养老保险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273,700.99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273,036.03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664.96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失业保险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16,534.80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16,493.23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41.57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39,310.07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39,310.07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404,169.00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404,169.00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个人所得税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30,354.26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30,265.41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88.85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1,301.35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12,072.15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10,770.80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22410207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企业年金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72,292.00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72,562.00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暂收、应付款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70,939.00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90,514.00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19,575.00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履约保证金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26,575.00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26,575.00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蔡国华-永宁资产搭盖拆迁</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26,575.00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26,575.00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1,939.00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-5,061.00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产投集团</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2241040501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代垫社会化管理服务费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636,590.00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206,410.00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272,910.00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703,090.00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储备油押金-华仁油脂</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147,750.00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储备油押金-峰杰公司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租金押金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178,840.00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178,840.00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石狮粮站划入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永宁粮站划入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2241050305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本部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164,540.00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164,540.00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22410506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租赁押金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27,570.00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272,910.00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245,340.00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党组活动经费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49,210.23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9,274.00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39,936.23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224118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浪潮集团-智能化提升尾款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263,000.00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263,000.00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224119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暂借款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5,212,375.00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1,414,805.00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9,195,097.56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12,992,667.56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22411901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产投集团</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5,212,375.00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1,414,805.00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9,195,097.56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12,992,667.56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224120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商运公司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20,110,000.00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20,110,000.00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224121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鸿山镇东埔二村民委员会</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10,800.00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93,180.00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82,380.00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递延收益</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315,040.00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12,518,118.64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13,602,238.64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1,399,160.00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智能化仓库提升补贴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315,040.00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462,880.00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1,547,000.00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1,399,160.00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县市级储备原粮费用补贴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6,186,400.00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6,186,400.00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县市级储备应急粮费用补贴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县市级储备食用油费用补贴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县市级储备原粮利息补贴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县市级储备应急粮利息补贴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县市级储备食用油利息补贴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储备粮轮换差价补贴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61,983.62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61,983.62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农发基础设施基金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农行固定资产借款</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递延所得税负债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4,174,081.47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355,250.00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4,529,331.47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投资性房产评估增值</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4,174,081.47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355,250.00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4,529,331.47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负债小计</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141,760,783.00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86,006,978.62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116,522,071.05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172,275,875.43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实收资本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国家资本金-商业运营公司</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5,000,000.00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资本公积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98,400,336.73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2,013,000.00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100,413,336.73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资本金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98,400,336.73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98,413,336.73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400202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专项债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其他综合收益</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9,867,994.39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9,867,994.39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盈余公积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2,090,714.59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61,708.17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2,152,422.76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法定盈余公积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1,502,139.33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61,708.17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1,563,847.50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任意盈余公积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588,575.26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588,575.26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本年利润</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34,647,325.20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34,647,325.20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利润分配</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10,549,637.08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626,098.89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1,181,472.39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11,105,010.58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提取法定盈余公积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453,709.04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-61,708.17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515,417.21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410402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未分配利润</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11,003,346.12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626,098.89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1,243,180.56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11,620,427.79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权益小计</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125,908,682.79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35,273,424.09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37,903,505.76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128,538,764.46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主营业务收入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17,699,594.96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17,699,594.96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储备粮油销售收入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17,620,374.46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17,620,374.46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过磅费收入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12,012.18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12,012.18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机械使用费收入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22,536.14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22,536.14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机械运行电费收入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12,012.18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12,012.18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虫粮整理费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32,660.00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32,660.00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6051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其他业务收入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882,359.94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882,359.94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605102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租赁收入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882,359.94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882,359.94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其他收益</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12,550,616.74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12,550,616.74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补贴收入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12,525,118.64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12,525,118.64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县市级专储粮轮换销售差价</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61,983.62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61,983.62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县市级专储原粮费用补贴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6,186,400.00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6,186,400.00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县市级专储原粮利息补贴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县市级应急粮费用补贴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县市级应急食用油费用补贴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县市级应急食用油利息补贴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智能化仓库提升</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462,880.00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462,880.00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60710120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25,498.10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25,498.10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公允价值变动损益</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1,421,000.00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1,421,000.00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营业外收入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1,317,564.67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1,317,564.67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补贴收入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县市级专储原粮利息补贴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县市级应急大米利息补贴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63010107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县市级储备食用油利息补贴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40.14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40.14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逾期占仓费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22,924.53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22,924.53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630109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资产入账</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1,294,600.00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1,294,600.00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主营业务成本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储备粮油销售成本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17,682,358.08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税金及附加</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285,112.50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285,112.50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房产税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75,430.25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75,430.25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城建税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3,646.29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3,646.29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印花税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3,589.24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3,589.24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教育费附加</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1,640.93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1,640.93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土地使用税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140,347.20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140,347.20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车船使用税</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640308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残疾人基金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57,218.59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57,218.59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销售费用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533,223.92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533,223.92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保管费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533,223.92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533,223.92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仓库用品</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31,360.12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31,360.12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实验室费用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834.80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834.80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检验费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27,960.00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27,960.00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薰蒸费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52,470.00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52,470.00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代储保管费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412,499.00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412,499.00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66010106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应急物资管理费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9,971,958.00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9,971,958.00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业务招待费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2,974.00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2,974.00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修理费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134,701.87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134,701.87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低值易耗品摊销</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-30,788.00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-30,788.00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折旧费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3,108,529.09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3,108,529.09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99,665.91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99,665.91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劳动保险费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1,201,842.23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1,201,842.23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养老保险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547,401.61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547,401.61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失业保险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16,534.76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16,534.76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145,048.70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145,048.70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工伤保险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5,922.12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5,922.12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生育保险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9,703.04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9,703.04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离退休人员支出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365,450.00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365,450.00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66020607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职工遗属支出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111,782.00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111,782.00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职工教育经费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12,766.00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12,766.00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职工工资、奖金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3,817,824.50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3,817,824.50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660209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印花、房产、土地、车船使用税、残疾人基金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邮、水、电费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258,628.00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258,628.00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邮电费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27,427.07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27,427.07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66021002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水费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36,806.35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36,806.35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66021003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电费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194,394.58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194,394.58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40,684.80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40,684.80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书报资料费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736.00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736.00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职工住房公积金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385,159.00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385,159.00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保安费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186,800.00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186,800.00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职工福利费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172,391.53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172,391.53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职工餐费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44,198.00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44,198.00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职工奖励金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66021505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职工体检费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26,733.53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26,733.53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66021506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职工补充医疗险</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66021507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女职工卫生费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中介费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160,697.50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160,697.50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安全生产费用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113,815.50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113,815.50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企业年金</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161,682.00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161,682.00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660219</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54,703.41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54,703.41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660220</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差旅费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10,185.05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10,185.05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66022001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小车费用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615.05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615.05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66022002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出差费用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9,570.00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9,570.00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车辆费用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65,515.35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65,515.35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保险费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12,471.46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12,471.46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汽油费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29,848.89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29,848.89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车辆维修</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23,195.00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23,195.00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劳务派遣服务费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660224</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劳务人员薪酬</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318,062.34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318,062.34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660225</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创城创文明经费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32,998.62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32,998.62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660226</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职工文明奖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-332,266.70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-332,266.70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660227</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劳务人员文明奖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-22,350.00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-22,350.00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660228</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人力资源服务费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66022801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劳务外包费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4,422,340.88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4,422,340.88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利息支出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4,846,855.02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4,846,855.02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原粮利息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4,387,689.78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应急大米利息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262,044.91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食用油利息</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197,120.33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利息收入</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-425,474.14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-425,474.14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660303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手续费</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960.00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信用减值损失</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营业外支出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52,786.57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52,786.57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671101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3,793.27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3,793.27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671102</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退休人员支出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25,000.00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25,000.00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671103</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资产清理支出</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23,993.30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23,993.30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所得税费用</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456,364.69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456,364.69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6901</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以前年度损益调整</w:t>
            </w: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损益小计</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67,275,280.95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67,275,280.95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2022.01-2022.12</w:t>
            </w:r>
          </w:p>
        </w:tc>
        <w:tc>
          <w:tcPr>
            <w:tcW w:w="10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910" w:type="dxa"/>
            <w:tcBorders>
              <w:top w:val="single" w:color="8DAED9" w:sz="4" w:space="0"/>
              <w:left w:val="single" w:color="8DAED9" w:sz="4" w:space="0"/>
              <w:bottom w:val="single" w:color="8DAED9" w:sz="4" w:space="0"/>
              <w:right w:val="single" w:color="8DAED9"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62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288,889,454.63 </w:t>
            </w:r>
          </w:p>
        </w:tc>
        <w:tc>
          <w:tcPr>
            <w:tcW w:w="147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288,889,454.63 </w:t>
            </w:r>
          </w:p>
        </w:tc>
        <w:tc>
          <w:tcPr>
            <w:tcW w:w="1440"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335,170,857.35 </w:t>
            </w:r>
          </w:p>
        </w:tc>
        <w:tc>
          <w:tcPr>
            <w:tcW w:w="139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335,170,857.35 </w:t>
            </w:r>
          </w:p>
        </w:tc>
        <w:tc>
          <w:tcPr>
            <w:tcW w:w="154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324,558,014.97 </w:t>
            </w:r>
          </w:p>
        </w:tc>
        <w:tc>
          <w:tcPr>
            <w:tcW w:w="1425" w:type="dxa"/>
            <w:tcBorders>
              <w:top w:val="single" w:color="8DAED9" w:sz="4" w:space="0"/>
              <w:left w:val="single" w:color="8DAED9" w:sz="4" w:space="0"/>
              <w:bottom w:val="single" w:color="8DAED9" w:sz="4" w:space="0"/>
              <w:right w:val="single" w:color="8DAED9"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324,558,014.97 </w:t>
            </w:r>
          </w:p>
        </w:tc>
      </w:tr>
    </w:tbl>
    <w:p>
      <w:pPr>
        <w:pStyle w:val="2"/>
        <w:widowControl w:val="0"/>
        <w:numPr>
          <w:ilvl w:val="0"/>
          <w:numId w:val="0"/>
        </w:numPr>
        <w:spacing w:after="120" w:line="240" w:lineRule="auto"/>
        <w:jc w:val="both"/>
        <w:rPr>
          <w:rFonts w:hint="eastAsia" w:ascii="仿宋" w:hAnsi="仿宋" w:eastAsia="仿宋" w:cs="仿宋"/>
          <w:b/>
          <w:bCs w:val="0"/>
          <w:color w:val="auto"/>
          <w:kern w:val="44"/>
          <w:sz w:val="28"/>
          <w:szCs w:val="28"/>
          <w:highlight w:val="none"/>
          <w:lang w:val="en-US" w:eastAsia="zh-CN" w:bidi="ar-SA"/>
        </w:rPr>
        <w:sectPr>
          <w:headerReference r:id="rId9" w:type="default"/>
          <w:pgSz w:w="16838" w:h="11906" w:orient="landscape"/>
          <w:pgMar w:top="1587" w:right="1440" w:bottom="1519"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widowControl w:val="0"/>
        <w:numPr>
          <w:ilvl w:val="0"/>
          <w:numId w:val="0"/>
        </w:numPr>
        <w:spacing w:after="120" w:line="240" w:lineRule="auto"/>
        <w:jc w:val="both"/>
        <w:rPr>
          <w:rFonts w:hint="eastAsia" w:ascii="仿宋" w:hAnsi="仿宋" w:eastAsia="仿宋" w:cs="仿宋"/>
          <w:b/>
          <w:bCs w:val="0"/>
          <w:color w:val="auto"/>
          <w:kern w:val="44"/>
          <w:sz w:val="28"/>
          <w:szCs w:val="28"/>
          <w:highlight w:val="none"/>
          <w:lang w:val="en-US" w:eastAsia="zh-CN" w:bidi="ar-SA"/>
        </w:rPr>
      </w:pPr>
      <w:r>
        <w:rPr>
          <w:rFonts w:hint="eastAsia" w:ascii="仿宋" w:hAnsi="仿宋" w:eastAsia="仿宋" w:cs="仿宋"/>
          <w:b/>
          <w:bCs w:val="0"/>
          <w:color w:val="auto"/>
          <w:kern w:val="44"/>
          <w:sz w:val="28"/>
          <w:szCs w:val="28"/>
          <w:highlight w:val="none"/>
          <w:lang w:val="en-US" w:eastAsia="zh-CN" w:bidi="ar-SA"/>
        </w:rPr>
        <w:t>附件2 现场调研照片</w:t>
      </w:r>
    </w:p>
    <w:p>
      <w:pPr>
        <w:pStyle w:val="2"/>
        <w:ind w:left="0" w:leftChars="0" w:firstLine="0" w:firstLineChars="0"/>
        <w:rPr>
          <w:rFonts w:hint="eastAsia"/>
          <w:color w:val="auto"/>
          <w:highlight w:val="none"/>
          <w:lang w:val="en-US" w:eastAsia="zh-CN"/>
        </w:rPr>
      </w:pPr>
      <w:r>
        <w:rPr>
          <w:rFonts w:hint="eastAsia" w:ascii="仿宋" w:hAnsi="仿宋" w:eastAsia="仿宋" w:cs="仿宋"/>
          <w:b/>
          <w:bCs/>
          <w:color w:val="auto"/>
          <w:sz w:val="24"/>
          <w:szCs w:val="24"/>
          <w:highlight w:val="none"/>
          <w:lang w:val="en-US" w:eastAsia="zh-CN"/>
        </w:rPr>
        <w:t>雪浪花面粉有限责任公司</w:t>
      </w:r>
    </w:p>
    <w:p>
      <w:pPr>
        <w:pStyle w:val="2"/>
        <w:spacing w:after="0"/>
        <w:ind w:left="0" w:leftChars="0" w:firstLine="0" w:firstLineChars="0"/>
        <w:jc w:val="both"/>
        <w:rPr>
          <w:rFonts w:hint="default"/>
          <w:color w:val="auto"/>
          <w:highlight w:val="none"/>
          <w:lang w:val="en-US" w:eastAsia="zh-CN"/>
        </w:rPr>
      </w:pPr>
      <w:r>
        <w:rPr>
          <w:rFonts w:hint="eastAsia"/>
          <w:color w:val="auto"/>
          <w:highlight w:val="none"/>
          <w:lang w:val="en-US" w:eastAsia="zh-CN"/>
        </w:rPr>
        <w:drawing>
          <wp:inline distT="0" distB="0" distL="114300" distR="114300">
            <wp:extent cx="1869440" cy="2531745"/>
            <wp:effectExtent l="0" t="0" r="1905" b="16510"/>
            <wp:docPr id="10" name="图片 10" descr="7cc6ff4d350601ee7420b61563e64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cc6ff4d350601ee7420b61563e64c3"/>
                    <pic:cNvPicPr>
                      <a:picLocks noChangeAspect="1"/>
                    </pic:cNvPicPr>
                  </pic:nvPicPr>
                  <pic:blipFill>
                    <a:blip r:embed="rId12"/>
                    <a:srcRect l="29363" t="455" r="11832"/>
                    <a:stretch>
                      <a:fillRect/>
                    </a:stretch>
                  </pic:blipFill>
                  <pic:spPr>
                    <a:xfrm rot="5400000">
                      <a:off x="0" y="0"/>
                      <a:ext cx="1869440" cy="2531745"/>
                    </a:xfrm>
                    <a:prstGeom prst="rect">
                      <a:avLst/>
                    </a:prstGeom>
                  </pic:spPr>
                </pic:pic>
              </a:graphicData>
            </a:graphic>
          </wp:inline>
        </w:drawing>
      </w:r>
      <w:r>
        <w:rPr>
          <w:rFonts w:hint="eastAsia"/>
          <w:color w:val="auto"/>
          <w:highlight w:val="none"/>
          <w:lang w:val="en-US" w:eastAsia="zh-CN"/>
        </w:rPr>
        <w:t xml:space="preserve">    </w:t>
      </w:r>
      <w:r>
        <w:rPr>
          <w:rFonts w:hint="default"/>
          <w:color w:val="auto"/>
          <w:highlight w:val="none"/>
          <w:lang w:val="en-US" w:eastAsia="zh-CN"/>
        </w:rPr>
        <w:drawing>
          <wp:inline distT="0" distB="0" distL="114300" distR="114300">
            <wp:extent cx="2423160" cy="1888490"/>
            <wp:effectExtent l="0" t="0" r="15240" b="16510"/>
            <wp:docPr id="11" name="图片 11" descr="0f31a4b90ff130b4d256563031bd3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0f31a4b90ff130b4d256563031bd3e4"/>
                    <pic:cNvPicPr>
                      <a:picLocks noChangeAspect="1"/>
                    </pic:cNvPicPr>
                  </pic:nvPicPr>
                  <pic:blipFill>
                    <a:blip r:embed="rId13"/>
                    <a:stretch>
                      <a:fillRect/>
                    </a:stretch>
                  </pic:blipFill>
                  <pic:spPr>
                    <a:xfrm>
                      <a:off x="0" y="0"/>
                      <a:ext cx="2423160" cy="1888490"/>
                    </a:xfrm>
                    <a:prstGeom prst="rect">
                      <a:avLst/>
                    </a:prstGeom>
                  </pic:spPr>
                </pic:pic>
              </a:graphicData>
            </a:graphic>
          </wp:inline>
        </w:drawing>
      </w:r>
    </w:p>
    <w:p>
      <w:pPr>
        <w:pStyle w:val="2"/>
        <w:spacing w:after="0"/>
        <w:ind w:left="0" w:leftChars="0" w:firstLine="0" w:firstLineChars="0"/>
        <w:jc w:val="both"/>
        <w:rPr>
          <w:rFonts w:hint="default"/>
          <w:color w:val="auto"/>
          <w:highlight w:val="none"/>
          <w:lang w:val="en-US" w:eastAsia="zh-CN"/>
        </w:rPr>
      </w:pPr>
      <w:r>
        <w:rPr>
          <w:rFonts w:hint="default"/>
          <w:color w:val="auto"/>
          <w:highlight w:val="none"/>
          <w:lang w:val="en-US" w:eastAsia="zh-CN"/>
        </w:rPr>
        <w:drawing>
          <wp:inline distT="0" distB="0" distL="114300" distR="114300">
            <wp:extent cx="2504440" cy="1875790"/>
            <wp:effectExtent l="0" t="0" r="10160" b="10160"/>
            <wp:docPr id="12" name="图片 12" descr="e144719feef68fef97e870f26f17b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144719feef68fef97e870f26f17baa"/>
                    <pic:cNvPicPr>
                      <a:picLocks noChangeAspect="1"/>
                    </pic:cNvPicPr>
                  </pic:nvPicPr>
                  <pic:blipFill>
                    <a:blip r:embed="rId14"/>
                    <a:stretch>
                      <a:fillRect/>
                    </a:stretch>
                  </pic:blipFill>
                  <pic:spPr>
                    <a:xfrm>
                      <a:off x="0" y="0"/>
                      <a:ext cx="2504440" cy="1875790"/>
                    </a:xfrm>
                    <a:prstGeom prst="rect">
                      <a:avLst/>
                    </a:prstGeom>
                  </pic:spPr>
                </pic:pic>
              </a:graphicData>
            </a:graphic>
          </wp:inline>
        </w:drawing>
      </w:r>
      <w:r>
        <w:rPr>
          <w:rFonts w:hint="eastAsia"/>
          <w:color w:val="auto"/>
          <w:highlight w:val="none"/>
          <w:lang w:val="en-US" w:eastAsia="zh-CN"/>
        </w:rPr>
        <w:t xml:space="preserve">    </w:t>
      </w:r>
      <w:r>
        <w:rPr>
          <w:rFonts w:hint="default"/>
          <w:color w:val="auto"/>
          <w:highlight w:val="none"/>
          <w:lang w:val="en-US" w:eastAsia="zh-CN"/>
        </w:rPr>
        <w:drawing>
          <wp:inline distT="0" distB="0" distL="114300" distR="114300">
            <wp:extent cx="2446655" cy="1894205"/>
            <wp:effectExtent l="0" t="0" r="10795" b="10795"/>
            <wp:docPr id="13" name="图片 13" descr="d507704a98b951af7339e7130e6c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507704a98b951af7339e7130e6c335"/>
                    <pic:cNvPicPr>
                      <a:picLocks noChangeAspect="1"/>
                    </pic:cNvPicPr>
                  </pic:nvPicPr>
                  <pic:blipFill>
                    <a:blip r:embed="rId15"/>
                    <a:stretch>
                      <a:fillRect/>
                    </a:stretch>
                  </pic:blipFill>
                  <pic:spPr>
                    <a:xfrm>
                      <a:off x="0" y="0"/>
                      <a:ext cx="2446655" cy="1894205"/>
                    </a:xfrm>
                    <a:prstGeom prst="rect">
                      <a:avLst/>
                    </a:prstGeom>
                  </pic:spPr>
                </pic:pic>
              </a:graphicData>
            </a:graphic>
          </wp:inline>
        </w:drawing>
      </w:r>
    </w:p>
    <w:p>
      <w:pPr>
        <w:pStyle w:val="2"/>
        <w:ind w:left="0" w:leftChars="0" w:firstLine="0" w:firstLineChars="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金源粮油经营部</w:t>
      </w:r>
    </w:p>
    <w:p>
      <w:pPr>
        <w:pStyle w:val="2"/>
        <w:spacing w:after="0"/>
        <w:ind w:left="0" w:leftChars="0" w:firstLine="0" w:firstLineChars="0"/>
        <w:jc w:val="both"/>
        <w:rPr>
          <w:rFonts w:hint="default"/>
          <w:color w:val="auto"/>
          <w:highlight w:val="none"/>
          <w:lang w:val="en-US" w:eastAsia="zh-CN"/>
        </w:rPr>
      </w:pPr>
      <w:r>
        <w:rPr>
          <w:rFonts w:hint="eastAsia"/>
          <w:color w:val="auto"/>
          <w:highlight w:val="none"/>
          <w:lang w:val="en-US" w:eastAsia="zh-CN"/>
        </w:rPr>
        <w:drawing>
          <wp:inline distT="0" distB="0" distL="114300" distR="114300">
            <wp:extent cx="2531110" cy="1758315"/>
            <wp:effectExtent l="0" t="0" r="2540" b="13335"/>
            <wp:docPr id="14" name="图片 14" descr="311353fbef283eaffafbb48256dd7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11353fbef283eaffafbb48256dd73c"/>
                    <pic:cNvPicPr>
                      <a:picLocks noChangeAspect="1"/>
                    </pic:cNvPicPr>
                  </pic:nvPicPr>
                  <pic:blipFill>
                    <a:blip r:embed="rId16"/>
                    <a:stretch>
                      <a:fillRect/>
                    </a:stretch>
                  </pic:blipFill>
                  <pic:spPr>
                    <a:xfrm>
                      <a:off x="0" y="0"/>
                      <a:ext cx="2531110" cy="1758315"/>
                    </a:xfrm>
                    <a:prstGeom prst="rect">
                      <a:avLst/>
                    </a:prstGeom>
                  </pic:spPr>
                </pic:pic>
              </a:graphicData>
            </a:graphic>
          </wp:inline>
        </w:drawing>
      </w:r>
      <w:r>
        <w:rPr>
          <w:rFonts w:hint="eastAsia"/>
          <w:color w:val="auto"/>
          <w:highlight w:val="none"/>
          <w:lang w:val="en-US" w:eastAsia="zh-CN"/>
        </w:rPr>
        <w:t xml:space="preserve">    </w:t>
      </w:r>
      <w:r>
        <w:rPr>
          <w:rFonts w:hint="default"/>
          <w:color w:val="auto"/>
          <w:highlight w:val="none"/>
          <w:lang w:val="en-US" w:eastAsia="zh-CN"/>
        </w:rPr>
        <w:drawing>
          <wp:inline distT="0" distB="0" distL="114300" distR="114300">
            <wp:extent cx="2438400" cy="1757680"/>
            <wp:effectExtent l="0" t="0" r="0" b="13970"/>
            <wp:docPr id="2" name="图片 2" descr="592098c840b5cb8cf050f3c388608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92098c840b5cb8cf050f3c388608b7"/>
                    <pic:cNvPicPr>
                      <a:picLocks noChangeAspect="1"/>
                    </pic:cNvPicPr>
                  </pic:nvPicPr>
                  <pic:blipFill>
                    <a:blip r:embed="rId17"/>
                    <a:stretch>
                      <a:fillRect/>
                    </a:stretch>
                  </pic:blipFill>
                  <pic:spPr>
                    <a:xfrm>
                      <a:off x="0" y="0"/>
                      <a:ext cx="2438400" cy="1757680"/>
                    </a:xfrm>
                    <a:prstGeom prst="rect">
                      <a:avLst/>
                    </a:prstGeom>
                  </pic:spPr>
                </pic:pic>
              </a:graphicData>
            </a:graphic>
          </wp:inline>
        </w:drawing>
      </w:r>
    </w:p>
    <w:p>
      <w:pPr>
        <w:pStyle w:val="2"/>
        <w:spacing w:after="0"/>
        <w:ind w:left="0" w:leftChars="0" w:firstLine="0" w:firstLineChars="0"/>
        <w:jc w:val="both"/>
        <w:rPr>
          <w:rFonts w:hint="eastAsia"/>
          <w:color w:val="auto"/>
          <w:highlight w:val="none"/>
          <w:lang w:val="en-US" w:eastAsia="zh-CN"/>
        </w:rPr>
      </w:pPr>
    </w:p>
    <w:p>
      <w:pPr>
        <w:pStyle w:val="2"/>
        <w:spacing w:after="0"/>
        <w:ind w:left="0" w:leftChars="0" w:firstLine="0" w:firstLineChars="0"/>
        <w:jc w:val="both"/>
        <w:rPr>
          <w:rFonts w:hint="default"/>
          <w:color w:val="auto"/>
          <w:highlight w:val="none"/>
          <w:lang w:val="en-US" w:eastAsia="zh-CN"/>
        </w:rPr>
      </w:pPr>
      <w:r>
        <w:rPr>
          <w:rFonts w:hint="eastAsia"/>
          <w:color w:val="auto"/>
          <w:highlight w:val="none"/>
          <w:lang w:val="en-US" w:eastAsia="zh-CN"/>
        </w:rPr>
        <w:drawing>
          <wp:inline distT="0" distB="0" distL="114300" distR="114300">
            <wp:extent cx="2510155" cy="1778000"/>
            <wp:effectExtent l="0" t="0" r="4445" b="12700"/>
            <wp:docPr id="16" name="图片 16" descr="1128c8c69c54ff594f79ad437c067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128c8c69c54ff594f79ad437c0676f"/>
                    <pic:cNvPicPr>
                      <a:picLocks noChangeAspect="1"/>
                    </pic:cNvPicPr>
                  </pic:nvPicPr>
                  <pic:blipFill>
                    <a:blip r:embed="rId18"/>
                    <a:stretch>
                      <a:fillRect/>
                    </a:stretch>
                  </pic:blipFill>
                  <pic:spPr>
                    <a:xfrm>
                      <a:off x="0" y="0"/>
                      <a:ext cx="2510155" cy="1778000"/>
                    </a:xfrm>
                    <a:prstGeom prst="rect">
                      <a:avLst/>
                    </a:prstGeom>
                  </pic:spPr>
                </pic:pic>
              </a:graphicData>
            </a:graphic>
          </wp:inline>
        </w:drawing>
      </w:r>
      <w:r>
        <w:rPr>
          <w:rFonts w:hint="eastAsia"/>
          <w:color w:val="auto"/>
          <w:highlight w:val="none"/>
          <w:lang w:val="en-US" w:eastAsia="zh-CN"/>
        </w:rPr>
        <w:t xml:space="preserve">    </w:t>
      </w:r>
      <w:r>
        <w:rPr>
          <w:rFonts w:hint="default"/>
          <w:color w:val="auto"/>
          <w:highlight w:val="none"/>
          <w:lang w:val="en-US" w:eastAsia="zh-CN"/>
        </w:rPr>
        <w:drawing>
          <wp:inline distT="0" distB="0" distL="114300" distR="114300">
            <wp:extent cx="2446655" cy="1756410"/>
            <wp:effectExtent l="0" t="0" r="10795" b="15240"/>
            <wp:docPr id="17" name="图片 17" descr="982b7917a86e01de3ccbbe8e242cf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982b7917a86e01de3ccbbe8e242cfb8"/>
                    <pic:cNvPicPr>
                      <a:picLocks noChangeAspect="1"/>
                    </pic:cNvPicPr>
                  </pic:nvPicPr>
                  <pic:blipFill>
                    <a:blip r:embed="rId19"/>
                    <a:stretch>
                      <a:fillRect/>
                    </a:stretch>
                  </pic:blipFill>
                  <pic:spPr>
                    <a:xfrm>
                      <a:off x="0" y="0"/>
                      <a:ext cx="2446655" cy="1756410"/>
                    </a:xfrm>
                    <a:prstGeom prst="rect">
                      <a:avLst/>
                    </a:prstGeom>
                  </pic:spPr>
                </pic:pic>
              </a:graphicData>
            </a:graphic>
          </wp:inline>
        </w:drawing>
      </w:r>
    </w:p>
    <w:p>
      <w:pPr>
        <w:pStyle w:val="2"/>
        <w:ind w:left="0" w:leftChars="0" w:firstLine="0" w:firstLineChars="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石狮市峰杰贸易有限公司</w:t>
      </w:r>
    </w:p>
    <w:p>
      <w:pPr>
        <w:pStyle w:val="2"/>
        <w:ind w:left="0" w:leftChars="0" w:firstLine="0" w:firstLineChars="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drawing>
          <wp:inline distT="0" distB="0" distL="114300" distR="114300">
            <wp:extent cx="2549525" cy="1880235"/>
            <wp:effectExtent l="0" t="0" r="3175" b="5715"/>
            <wp:docPr id="22" name="图片 22" descr="312854d8a2856b4510b126f0dbcf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312854d8a2856b4510b126f0dbcf165"/>
                    <pic:cNvPicPr>
                      <a:picLocks noChangeAspect="1"/>
                    </pic:cNvPicPr>
                  </pic:nvPicPr>
                  <pic:blipFill>
                    <a:blip r:embed="rId20"/>
                    <a:stretch>
                      <a:fillRect/>
                    </a:stretch>
                  </pic:blipFill>
                  <pic:spPr>
                    <a:xfrm>
                      <a:off x="0" y="0"/>
                      <a:ext cx="2549525" cy="1880235"/>
                    </a:xfrm>
                    <a:prstGeom prst="rect">
                      <a:avLst/>
                    </a:prstGeom>
                  </pic:spPr>
                </pic:pic>
              </a:graphicData>
            </a:graphic>
          </wp:inline>
        </w:drawing>
      </w:r>
      <w:r>
        <w:rPr>
          <w:rFonts w:hint="eastAsia" w:ascii="仿宋" w:hAnsi="仿宋" w:eastAsia="仿宋" w:cs="仿宋"/>
          <w:b/>
          <w:bCs/>
          <w:color w:val="auto"/>
          <w:sz w:val="24"/>
          <w:szCs w:val="24"/>
          <w:highlight w:val="none"/>
          <w:lang w:val="en-US" w:eastAsia="zh-CN"/>
        </w:rPr>
        <w:t xml:space="preserve">   </w:t>
      </w:r>
      <w:r>
        <w:rPr>
          <w:rFonts w:hint="default" w:ascii="仿宋" w:hAnsi="仿宋" w:eastAsia="仿宋" w:cs="仿宋"/>
          <w:b/>
          <w:bCs/>
          <w:color w:val="auto"/>
          <w:sz w:val="24"/>
          <w:szCs w:val="24"/>
          <w:highlight w:val="none"/>
          <w:lang w:val="en-US" w:eastAsia="zh-CN"/>
        </w:rPr>
        <w:drawing>
          <wp:inline distT="0" distB="0" distL="114300" distR="114300">
            <wp:extent cx="2636520" cy="1884680"/>
            <wp:effectExtent l="0" t="0" r="11430" b="1270"/>
            <wp:docPr id="23" name="图片 23" descr="2232e9e0cdd50cffadf5a149ecfaf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2232e9e0cdd50cffadf5a149ecfafea"/>
                    <pic:cNvPicPr>
                      <a:picLocks noChangeAspect="1"/>
                    </pic:cNvPicPr>
                  </pic:nvPicPr>
                  <pic:blipFill>
                    <a:blip r:embed="rId21"/>
                    <a:stretch>
                      <a:fillRect/>
                    </a:stretch>
                  </pic:blipFill>
                  <pic:spPr>
                    <a:xfrm>
                      <a:off x="0" y="0"/>
                      <a:ext cx="2636520" cy="1884680"/>
                    </a:xfrm>
                    <a:prstGeom prst="rect">
                      <a:avLst/>
                    </a:prstGeom>
                  </pic:spPr>
                </pic:pic>
              </a:graphicData>
            </a:graphic>
          </wp:inline>
        </w:drawing>
      </w:r>
    </w:p>
    <w:p>
      <w:pPr>
        <w:pStyle w:val="2"/>
        <w:ind w:left="0" w:leftChars="0" w:firstLine="0" w:firstLineChars="0"/>
        <w:rPr>
          <w:rFonts w:hint="default" w:ascii="仿宋" w:hAnsi="仿宋" w:eastAsia="仿宋" w:cs="仿宋"/>
          <w:b/>
          <w:bCs/>
          <w:color w:val="auto"/>
          <w:sz w:val="24"/>
          <w:szCs w:val="24"/>
          <w:highlight w:val="none"/>
          <w:lang w:val="en-US" w:eastAsia="zh-CN"/>
        </w:rPr>
      </w:pPr>
      <w:r>
        <w:rPr>
          <w:rFonts w:hint="default" w:ascii="仿宋" w:hAnsi="仿宋" w:eastAsia="仿宋" w:cs="仿宋"/>
          <w:b/>
          <w:bCs/>
          <w:color w:val="auto"/>
          <w:sz w:val="24"/>
          <w:szCs w:val="24"/>
          <w:highlight w:val="none"/>
          <w:lang w:val="en-US" w:eastAsia="zh-CN"/>
        </w:rPr>
        <w:drawing>
          <wp:inline distT="0" distB="0" distL="114300" distR="114300">
            <wp:extent cx="2543175" cy="1938655"/>
            <wp:effectExtent l="0" t="0" r="9525" b="4445"/>
            <wp:docPr id="24" name="图片 24" descr="1bc460dea8bed889889aa69aea38a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bc460dea8bed889889aa69aea38afe"/>
                    <pic:cNvPicPr>
                      <a:picLocks noChangeAspect="1"/>
                    </pic:cNvPicPr>
                  </pic:nvPicPr>
                  <pic:blipFill>
                    <a:blip r:embed="rId22"/>
                    <a:stretch>
                      <a:fillRect/>
                    </a:stretch>
                  </pic:blipFill>
                  <pic:spPr>
                    <a:xfrm>
                      <a:off x="0" y="0"/>
                      <a:ext cx="2543175" cy="1938655"/>
                    </a:xfrm>
                    <a:prstGeom prst="rect">
                      <a:avLst/>
                    </a:prstGeom>
                  </pic:spPr>
                </pic:pic>
              </a:graphicData>
            </a:graphic>
          </wp:inline>
        </w:drawing>
      </w:r>
      <w:r>
        <w:rPr>
          <w:rFonts w:hint="eastAsia" w:ascii="仿宋" w:hAnsi="仿宋" w:eastAsia="仿宋" w:cs="仿宋"/>
          <w:b/>
          <w:bCs/>
          <w:color w:val="auto"/>
          <w:sz w:val="24"/>
          <w:szCs w:val="24"/>
          <w:highlight w:val="none"/>
          <w:lang w:val="en-US" w:eastAsia="zh-CN"/>
        </w:rPr>
        <w:t xml:space="preserve">    </w:t>
      </w:r>
      <w:r>
        <w:rPr>
          <w:rFonts w:hint="default" w:ascii="仿宋" w:hAnsi="仿宋" w:eastAsia="仿宋" w:cs="仿宋"/>
          <w:b/>
          <w:bCs/>
          <w:color w:val="auto"/>
          <w:sz w:val="24"/>
          <w:szCs w:val="24"/>
          <w:highlight w:val="none"/>
          <w:lang w:val="en-US" w:eastAsia="zh-CN"/>
        </w:rPr>
        <w:drawing>
          <wp:inline distT="0" distB="0" distL="114300" distR="114300">
            <wp:extent cx="2567940" cy="1898650"/>
            <wp:effectExtent l="0" t="0" r="3810" b="6350"/>
            <wp:docPr id="25" name="图片 25" descr="cbac42ec6e0d5117c77a162ecada0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bac42ec6e0d5117c77a162ecada0ce"/>
                    <pic:cNvPicPr>
                      <a:picLocks noChangeAspect="1"/>
                    </pic:cNvPicPr>
                  </pic:nvPicPr>
                  <pic:blipFill>
                    <a:blip r:embed="rId23"/>
                    <a:stretch>
                      <a:fillRect/>
                    </a:stretch>
                  </pic:blipFill>
                  <pic:spPr>
                    <a:xfrm>
                      <a:off x="0" y="0"/>
                      <a:ext cx="2567940" cy="1898650"/>
                    </a:xfrm>
                    <a:prstGeom prst="rect">
                      <a:avLst/>
                    </a:prstGeom>
                  </pic:spPr>
                </pic:pic>
              </a:graphicData>
            </a:graphic>
          </wp:inline>
        </w:drawing>
      </w:r>
    </w:p>
    <w:p>
      <w:pPr>
        <w:pStyle w:val="2"/>
        <w:ind w:left="0" w:leftChars="0" w:firstLine="0" w:firstLineChars="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中心粮库</w:t>
      </w:r>
    </w:p>
    <w:p>
      <w:pPr>
        <w:pStyle w:val="2"/>
        <w:ind w:left="0" w:leftChars="0" w:firstLine="0" w:firstLineChars="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drawing>
          <wp:inline distT="0" distB="0" distL="114300" distR="114300">
            <wp:extent cx="2535555" cy="1901825"/>
            <wp:effectExtent l="0" t="0" r="17145" b="3175"/>
            <wp:docPr id="18" name="图片 18" descr="a28b49018b7a65e7ce4e43ec4d2eb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a28b49018b7a65e7ce4e43ec4d2eb47"/>
                    <pic:cNvPicPr>
                      <a:picLocks noChangeAspect="1"/>
                    </pic:cNvPicPr>
                  </pic:nvPicPr>
                  <pic:blipFill>
                    <a:blip r:embed="rId24"/>
                    <a:stretch>
                      <a:fillRect/>
                    </a:stretch>
                  </pic:blipFill>
                  <pic:spPr>
                    <a:xfrm>
                      <a:off x="0" y="0"/>
                      <a:ext cx="2535555" cy="1901825"/>
                    </a:xfrm>
                    <a:prstGeom prst="rect">
                      <a:avLst/>
                    </a:prstGeom>
                  </pic:spPr>
                </pic:pic>
              </a:graphicData>
            </a:graphic>
          </wp:inline>
        </w:drawing>
      </w:r>
      <w:r>
        <w:rPr>
          <w:rFonts w:hint="eastAsia" w:ascii="仿宋" w:hAnsi="仿宋" w:eastAsia="仿宋" w:cs="仿宋"/>
          <w:b/>
          <w:bCs/>
          <w:color w:val="auto"/>
          <w:sz w:val="24"/>
          <w:szCs w:val="24"/>
          <w:highlight w:val="none"/>
          <w:lang w:val="en-US" w:eastAsia="zh-CN"/>
        </w:rPr>
        <w:t xml:space="preserve">    </w:t>
      </w:r>
      <w:r>
        <w:rPr>
          <w:rFonts w:hint="default" w:ascii="仿宋" w:hAnsi="仿宋" w:eastAsia="仿宋" w:cs="仿宋"/>
          <w:b/>
          <w:bCs/>
          <w:color w:val="auto"/>
          <w:sz w:val="24"/>
          <w:szCs w:val="24"/>
          <w:highlight w:val="none"/>
          <w:lang w:val="en-US" w:eastAsia="zh-CN"/>
        </w:rPr>
        <w:drawing>
          <wp:inline distT="0" distB="0" distL="114300" distR="114300">
            <wp:extent cx="2582545" cy="1884680"/>
            <wp:effectExtent l="0" t="0" r="8255" b="1270"/>
            <wp:docPr id="19" name="图片 19" descr="189e24f803887d0b0ff8a81fa41b1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89e24f803887d0b0ff8a81fa41b1e2"/>
                    <pic:cNvPicPr>
                      <a:picLocks noChangeAspect="1"/>
                    </pic:cNvPicPr>
                  </pic:nvPicPr>
                  <pic:blipFill>
                    <a:blip r:embed="rId25"/>
                    <a:stretch>
                      <a:fillRect/>
                    </a:stretch>
                  </pic:blipFill>
                  <pic:spPr>
                    <a:xfrm>
                      <a:off x="0" y="0"/>
                      <a:ext cx="2582545" cy="1884680"/>
                    </a:xfrm>
                    <a:prstGeom prst="rect">
                      <a:avLst/>
                    </a:prstGeom>
                  </pic:spPr>
                </pic:pic>
              </a:graphicData>
            </a:graphic>
          </wp:inline>
        </w:drawing>
      </w:r>
    </w:p>
    <w:p>
      <w:pPr>
        <w:pStyle w:val="2"/>
        <w:spacing w:after="0"/>
        <w:ind w:left="0" w:leftChars="0" w:firstLine="0" w:firstLineChars="0"/>
        <w:jc w:val="both"/>
        <w:rPr>
          <w:rFonts w:hint="default" w:ascii="仿宋" w:hAnsi="仿宋" w:eastAsia="仿宋" w:cs="仿宋"/>
          <w:b/>
          <w:bCs/>
          <w:color w:val="auto"/>
          <w:sz w:val="24"/>
          <w:szCs w:val="24"/>
          <w:highlight w:val="none"/>
          <w:lang w:val="en-US" w:eastAsia="zh-CN"/>
        </w:rPr>
      </w:pPr>
      <w:r>
        <w:rPr>
          <w:rFonts w:hint="default" w:ascii="仿宋" w:hAnsi="仿宋" w:eastAsia="仿宋" w:cs="仿宋"/>
          <w:b/>
          <w:bCs/>
          <w:color w:val="auto"/>
          <w:sz w:val="24"/>
          <w:szCs w:val="24"/>
          <w:highlight w:val="none"/>
          <w:lang w:val="en-US" w:eastAsia="zh-CN"/>
        </w:rPr>
        <w:drawing>
          <wp:inline distT="0" distB="0" distL="114300" distR="114300">
            <wp:extent cx="2541270" cy="1988185"/>
            <wp:effectExtent l="0" t="0" r="11430" b="12065"/>
            <wp:docPr id="20" name="图片 20" descr="09a7fcd5bd3b398d778e4eccc760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9a7fcd5bd3b398d778e4eccc760936"/>
                    <pic:cNvPicPr>
                      <a:picLocks noChangeAspect="1"/>
                    </pic:cNvPicPr>
                  </pic:nvPicPr>
                  <pic:blipFill>
                    <a:blip r:embed="rId26"/>
                    <a:stretch>
                      <a:fillRect/>
                    </a:stretch>
                  </pic:blipFill>
                  <pic:spPr>
                    <a:xfrm>
                      <a:off x="0" y="0"/>
                      <a:ext cx="2541270" cy="1988185"/>
                    </a:xfrm>
                    <a:prstGeom prst="rect">
                      <a:avLst/>
                    </a:prstGeom>
                  </pic:spPr>
                </pic:pic>
              </a:graphicData>
            </a:graphic>
          </wp:inline>
        </w:drawing>
      </w:r>
      <w:r>
        <w:rPr>
          <w:rFonts w:hint="eastAsia" w:ascii="仿宋" w:hAnsi="仿宋" w:eastAsia="仿宋" w:cs="仿宋"/>
          <w:b/>
          <w:bCs/>
          <w:color w:val="auto"/>
          <w:sz w:val="24"/>
          <w:szCs w:val="24"/>
          <w:highlight w:val="none"/>
          <w:lang w:val="en-US" w:eastAsia="zh-CN"/>
        </w:rPr>
        <w:t xml:space="preserve">    </w:t>
      </w:r>
      <w:r>
        <w:rPr>
          <w:rFonts w:hint="default" w:ascii="仿宋" w:hAnsi="仿宋" w:eastAsia="仿宋" w:cs="仿宋"/>
          <w:b/>
          <w:bCs/>
          <w:color w:val="auto"/>
          <w:sz w:val="24"/>
          <w:szCs w:val="24"/>
          <w:highlight w:val="none"/>
          <w:lang w:val="en-US" w:eastAsia="zh-CN"/>
        </w:rPr>
        <w:drawing>
          <wp:inline distT="0" distB="0" distL="114300" distR="114300">
            <wp:extent cx="2600960" cy="1940560"/>
            <wp:effectExtent l="0" t="0" r="8890" b="2540"/>
            <wp:docPr id="21" name="图片 21" descr="5b7d690d9726a7e212cfc018b9b3d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5b7d690d9726a7e212cfc018b9b3d73"/>
                    <pic:cNvPicPr>
                      <a:picLocks noChangeAspect="1"/>
                    </pic:cNvPicPr>
                  </pic:nvPicPr>
                  <pic:blipFill>
                    <a:blip r:embed="rId27"/>
                    <a:stretch>
                      <a:fillRect/>
                    </a:stretch>
                  </pic:blipFill>
                  <pic:spPr>
                    <a:xfrm>
                      <a:off x="0" y="0"/>
                      <a:ext cx="2600960" cy="1940560"/>
                    </a:xfrm>
                    <a:prstGeom prst="rect">
                      <a:avLst/>
                    </a:prstGeom>
                  </pic:spPr>
                </pic:pic>
              </a:graphicData>
            </a:graphic>
          </wp:inline>
        </w:drawing>
      </w:r>
    </w:p>
    <w:p>
      <w:pPr>
        <w:pStyle w:val="2"/>
        <w:widowControl w:val="0"/>
        <w:numPr>
          <w:ilvl w:val="0"/>
          <w:numId w:val="0"/>
        </w:numPr>
        <w:spacing w:after="120" w:line="240" w:lineRule="auto"/>
        <w:jc w:val="both"/>
        <w:rPr>
          <w:rFonts w:hint="eastAsia" w:ascii="仿宋" w:hAnsi="仿宋" w:eastAsia="仿宋" w:cs="仿宋"/>
          <w:b/>
          <w:bCs w:val="0"/>
          <w:color w:val="auto"/>
          <w:kern w:val="44"/>
          <w:sz w:val="28"/>
          <w:szCs w:val="28"/>
          <w:highlight w:val="none"/>
          <w:lang w:val="en-US" w:eastAsia="zh-CN" w:bidi="ar-SA"/>
        </w:rPr>
      </w:pPr>
      <w:r>
        <w:rPr>
          <w:rFonts w:hint="eastAsia" w:ascii="仿宋" w:hAnsi="仿宋" w:eastAsia="仿宋" w:cs="仿宋"/>
          <w:b/>
          <w:bCs w:val="0"/>
          <w:color w:val="auto"/>
          <w:kern w:val="44"/>
          <w:sz w:val="28"/>
          <w:szCs w:val="28"/>
          <w:highlight w:val="none"/>
          <w:lang w:val="en-US" w:eastAsia="zh-CN" w:bidi="ar-SA"/>
        </w:rPr>
        <w:t>附件3 调查问卷</w:t>
      </w:r>
    </w:p>
    <w:p>
      <w:pPr>
        <w:keepNext w:val="0"/>
        <w:keepLines w:val="0"/>
        <w:pageBreakBefore w:val="0"/>
        <w:widowControl/>
        <w:kinsoku/>
        <w:wordWrap/>
        <w:overflowPunct/>
        <w:topLinePunct w:val="0"/>
        <w:autoSpaceDE/>
        <w:autoSpaceDN/>
        <w:bidi w:val="0"/>
        <w:adjustRightInd/>
        <w:snapToGrid/>
        <w:ind w:firstLine="159"/>
        <w:jc w:val="center"/>
        <w:textAlignment w:val="auto"/>
        <w:rPr>
          <w:rFonts w:hint="eastAsia"/>
          <w:b/>
          <w:color w:val="auto"/>
          <w:sz w:val="32"/>
          <w:highlight w:val="none"/>
          <w:lang w:val="en-US" w:eastAsia="zh-CN"/>
        </w:rPr>
      </w:pPr>
      <w:r>
        <w:rPr>
          <w:rFonts w:hint="eastAsia"/>
          <w:b/>
          <w:color w:val="auto"/>
          <w:sz w:val="32"/>
          <w:highlight w:val="none"/>
          <w:lang w:val="en-US" w:eastAsia="zh-CN"/>
        </w:rPr>
        <w:t>石狮市财政局2022年预算绩效重点评价地方储备粮油</w:t>
      </w:r>
    </w:p>
    <w:p>
      <w:pPr>
        <w:keepNext w:val="0"/>
        <w:keepLines w:val="0"/>
        <w:pageBreakBefore w:val="0"/>
        <w:widowControl/>
        <w:kinsoku/>
        <w:wordWrap/>
        <w:overflowPunct/>
        <w:topLinePunct w:val="0"/>
        <w:autoSpaceDE/>
        <w:autoSpaceDN/>
        <w:bidi w:val="0"/>
        <w:adjustRightInd/>
        <w:snapToGrid/>
        <w:ind w:firstLine="159"/>
        <w:jc w:val="center"/>
        <w:textAlignment w:val="auto"/>
        <w:rPr>
          <w:color w:val="auto"/>
          <w:highlight w:val="none"/>
        </w:rPr>
      </w:pPr>
      <w:r>
        <w:rPr>
          <w:rFonts w:hint="eastAsia"/>
          <w:b/>
          <w:color w:val="auto"/>
          <w:sz w:val="32"/>
          <w:highlight w:val="none"/>
          <w:lang w:val="en-US" w:eastAsia="zh-CN"/>
        </w:rPr>
        <w:t>项目</w:t>
      </w:r>
      <w:r>
        <w:rPr>
          <w:b/>
          <w:color w:val="auto"/>
          <w:sz w:val="32"/>
          <w:highlight w:val="none"/>
        </w:rPr>
        <w:t>调查问卷</w:t>
      </w:r>
    </w:p>
    <w:p>
      <w:pPr>
        <w:rPr>
          <w:color w:val="auto"/>
          <w:highlight w:val="none"/>
        </w:rPr>
      </w:pPr>
    </w:p>
    <w:p>
      <w:pPr>
        <w:rPr>
          <w:color w:val="auto"/>
          <w:highlight w:val="none"/>
        </w:rPr>
      </w:pPr>
      <w:r>
        <w:rPr>
          <w:b w:val="0"/>
          <w:color w:val="auto"/>
          <w:sz w:val="24"/>
          <w:highlight w:val="none"/>
        </w:rPr>
        <w:t>第</w:t>
      </w:r>
      <w:r>
        <w:rPr>
          <w:rFonts w:hint="eastAsia" w:eastAsia="宋体"/>
          <w:b w:val="0"/>
          <w:color w:val="auto"/>
          <w:sz w:val="24"/>
          <w:highlight w:val="none"/>
          <w:lang w:val="en-US" w:eastAsia="zh-CN"/>
        </w:rPr>
        <w:t>1</w:t>
      </w:r>
      <w:r>
        <w:rPr>
          <w:b w:val="0"/>
          <w:color w:val="auto"/>
          <w:sz w:val="24"/>
          <w:highlight w:val="none"/>
        </w:rPr>
        <w:t>题   您是否了解地方储备粮油政策      [单选题]</w:t>
      </w:r>
    </w:p>
    <w:p>
      <w:pPr>
        <w:rPr>
          <w:b w:val="0"/>
          <w:color w:val="auto"/>
          <w:sz w:val="24"/>
          <w:highlight w:val="none"/>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98"/>
        <w:gridCol w:w="1073"/>
        <w:gridCol w:w="474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了解</w:t>
            </w:r>
          </w:p>
        </w:tc>
        <w:tc>
          <w:tcPr>
            <w:shd w:val="clear" w:color="auto" w:fill="FFFFFF"/>
            <w:vAlign w:val="center"/>
          </w:tcPr>
          <w:p>
            <w:pPr>
              <w:jc w:val="center"/>
              <w:rPr>
                <w:color w:val="auto"/>
                <w:highlight w:val="none"/>
              </w:rPr>
            </w:pPr>
            <w:r>
              <w:rPr>
                <w:color w:val="auto"/>
                <w:highlight w:val="none"/>
              </w:rPr>
              <w:t>48</w:t>
            </w:r>
          </w:p>
        </w:tc>
        <w:tc>
          <w:tcPr>
            <w:shd w:val="clear" w:color="auto" w:fill="FFFFFF"/>
            <w:vAlign w:val="center"/>
          </w:tcPr>
          <w:p>
            <w:pPr>
              <w:jc w:val="left"/>
              <w:rPr>
                <w:color w:val="auto"/>
                <w:highlight w:val="none"/>
              </w:rPr>
            </w:pPr>
            <w:r>
              <w:rPr>
                <w:color w:val="auto"/>
                <w:highlight w:val="none"/>
              </w:rPr>
              <w:drawing>
                <wp:inline distT="0" distB="0" distL="114300" distR="114300">
                  <wp:extent cx="1295400" cy="1143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8"/>
                          <a:stretch>
                            <a:fillRect/>
                          </a:stretch>
                        </pic:blipFill>
                        <pic:spPr>
                          <a:xfrm>
                            <a:off x="0" y="0"/>
                            <a:ext cx="1295400" cy="114300"/>
                          </a:xfrm>
                          <a:prstGeom prst="rect">
                            <a:avLst/>
                          </a:prstGeom>
                          <a:noFill/>
                          <a:ln>
                            <a:noFill/>
                          </a:ln>
                        </pic:spPr>
                      </pic:pic>
                    </a:graphicData>
                  </a:graphic>
                </wp:inline>
              </w:drawing>
            </w:r>
            <w:r>
              <w:rPr>
                <w:color w:val="auto"/>
                <w:highlight w:val="none"/>
              </w:rPr>
              <w:drawing>
                <wp:inline distT="0" distB="0" distL="114300" distR="114300">
                  <wp:extent cx="57150" cy="1143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9"/>
                          <a:stretch>
                            <a:fillRect/>
                          </a:stretch>
                        </pic:blipFill>
                        <pic:spPr>
                          <a:xfrm>
                            <a:off x="0" y="0"/>
                            <a:ext cx="57150" cy="114300"/>
                          </a:xfrm>
                          <a:prstGeom prst="rect">
                            <a:avLst/>
                          </a:prstGeom>
                          <a:noFill/>
                          <a:ln>
                            <a:noFill/>
                          </a:ln>
                        </pic:spPr>
                      </pic:pic>
                    </a:graphicData>
                  </a:graphic>
                </wp:inline>
              </w:drawing>
            </w:r>
            <w:r>
              <w:rPr>
                <w:color w:val="auto"/>
                <w:highlight w:val="none"/>
              </w:rPr>
              <w:t>96%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有点了解</w:t>
            </w:r>
          </w:p>
        </w:tc>
        <w:tc>
          <w:tcPr>
            <w:shd w:val="clear" w:color="auto" w:fill="FAFAFA"/>
            <w:vAlign w:val="center"/>
          </w:tcPr>
          <w:p>
            <w:pPr>
              <w:jc w:val="center"/>
              <w:rPr>
                <w:color w:val="auto"/>
                <w:highlight w:val="none"/>
              </w:rPr>
            </w:pPr>
            <w:r>
              <w:rPr>
                <w:color w:val="auto"/>
                <w:highlight w:val="none"/>
              </w:rPr>
              <w:t>2</w:t>
            </w:r>
          </w:p>
        </w:tc>
        <w:tc>
          <w:tcPr>
            <w:shd w:val="clear" w:color="auto" w:fill="FAFAFA"/>
            <w:vAlign w:val="center"/>
          </w:tcPr>
          <w:p>
            <w:pPr>
              <w:jc w:val="left"/>
              <w:rPr>
                <w:color w:val="auto"/>
                <w:highlight w:val="none"/>
              </w:rPr>
            </w:pPr>
            <w:r>
              <w:rPr>
                <w:color w:val="auto"/>
                <w:highlight w:val="none"/>
              </w:rPr>
              <w:drawing>
                <wp:inline distT="0" distB="0" distL="114300" distR="114300">
                  <wp:extent cx="47625" cy="114300"/>
                  <wp:effectExtent l="0" t="0" r="952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30"/>
                          <a:stretch>
                            <a:fillRect/>
                          </a:stretch>
                        </pic:blipFill>
                        <pic:spPr>
                          <a:xfrm>
                            <a:off x="0" y="0"/>
                            <a:ext cx="47625" cy="114300"/>
                          </a:xfrm>
                          <a:prstGeom prst="rect">
                            <a:avLst/>
                          </a:prstGeom>
                          <a:noFill/>
                          <a:ln>
                            <a:noFill/>
                          </a:ln>
                        </pic:spPr>
                      </pic:pic>
                    </a:graphicData>
                  </a:graphic>
                </wp:inline>
              </w:drawing>
            </w:r>
            <w:r>
              <w:rPr>
                <w:color w:val="auto"/>
                <w:highlight w:val="none"/>
              </w:rPr>
              <w:drawing>
                <wp:inline distT="0" distB="0" distL="114300" distR="114300">
                  <wp:extent cx="1304925" cy="114300"/>
                  <wp:effectExtent l="0" t="0" r="952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31"/>
                          <a:stretch>
                            <a:fillRect/>
                          </a:stretch>
                        </pic:blipFill>
                        <pic:spPr>
                          <a:xfrm>
                            <a:off x="0" y="0"/>
                            <a:ext cx="1304925" cy="114300"/>
                          </a:xfrm>
                          <a:prstGeom prst="rect">
                            <a:avLst/>
                          </a:prstGeom>
                          <a:noFill/>
                          <a:ln>
                            <a:noFill/>
                          </a:ln>
                        </pic:spPr>
                      </pic:pic>
                    </a:graphicData>
                  </a:graphic>
                </wp:inline>
              </w:drawing>
            </w:r>
            <w:r>
              <w:rPr>
                <w:color w:val="auto"/>
                <w:highlight w:val="none"/>
              </w:rPr>
              <w:t>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不知道</w:t>
            </w:r>
          </w:p>
        </w:tc>
        <w:tc>
          <w:tcPr>
            <w:shd w:val="clear" w:color="auto" w:fill="FFFFFF"/>
            <w:vAlign w:val="center"/>
          </w:tcPr>
          <w:p>
            <w:pPr>
              <w:jc w:val="center"/>
              <w:rPr>
                <w:color w:val="auto"/>
                <w:highlight w:val="none"/>
              </w:rPr>
            </w:pPr>
            <w:r>
              <w:rPr>
                <w:color w:val="auto"/>
                <w:highlight w:val="none"/>
              </w:rPr>
              <w:t>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shd w:val="clear" w:color="auto" w:fill="F5F5F5"/>
            <w:vAlign w:val="center"/>
          </w:tcPr>
          <w:p>
            <w:pPr>
              <w:jc w:val="left"/>
              <w:rPr>
                <w:color w:val="auto"/>
                <w:highlight w:val="none"/>
              </w:rPr>
            </w:pPr>
          </w:p>
        </w:tc>
      </w:tr>
    </w:tbl>
    <w:p>
      <w:pPr>
        <w:rPr>
          <w:color w:val="auto"/>
          <w:highlight w:val="none"/>
        </w:rPr>
      </w:pPr>
    </w:p>
    <w:p>
      <w:pPr>
        <w:rPr>
          <w:color w:val="auto"/>
          <w:highlight w:val="none"/>
        </w:rPr>
      </w:pPr>
    </w:p>
    <w:p>
      <w:pPr>
        <w:rPr>
          <w:color w:val="auto"/>
          <w:highlight w:val="none"/>
        </w:rPr>
      </w:pPr>
      <w:r>
        <w:rPr>
          <w:b w:val="0"/>
          <w:color w:val="auto"/>
          <w:sz w:val="24"/>
          <w:highlight w:val="none"/>
        </w:rPr>
        <w:t>第</w:t>
      </w:r>
      <w:r>
        <w:rPr>
          <w:rFonts w:hint="eastAsia" w:eastAsia="宋体"/>
          <w:b w:val="0"/>
          <w:color w:val="auto"/>
          <w:sz w:val="24"/>
          <w:highlight w:val="none"/>
          <w:lang w:val="en-US" w:eastAsia="zh-CN"/>
        </w:rPr>
        <w:t>2</w:t>
      </w:r>
      <w:r>
        <w:rPr>
          <w:b w:val="0"/>
          <w:color w:val="auto"/>
          <w:sz w:val="24"/>
          <w:highlight w:val="none"/>
        </w:rPr>
        <w:t>题   代储点是否具备与政府要求相匹配的粮食储备规模、粮食品种、储粮周期、储存功能、仓型、进出粮方式、科学储粮方式。      [单选题]</w:t>
      </w:r>
    </w:p>
    <w:p>
      <w:pPr>
        <w:rPr>
          <w:b w:val="0"/>
          <w:color w:val="auto"/>
          <w:sz w:val="24"/>
          <w:highlight w:val="none"/>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80"/>
        <w:gridCol w:w="1067"/>
        <w:gridCol w:w="476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具备</w:t>
            </w:r>
          </w:p>
        </w:tc>
        <w:tc>
          <w:tcPr>
            <w:shd w:val="clear" w:color="auto" w:fill="FFFFFF"/>
            <w:vAlign w:val="center"/>
          </w:tcPr>
          <w:p>
            <w:pPr>
              <w:jc w:val="center"/>
              <w:rPr>
                <w:color w:val="auto"/>
                <w:highlight w:val="none"/>
              </w:rPr>
            </w:pPr>
            <w:r>
              <w:rPr>
                <w:color w:val="auto"/>
                <w:highlight w:val="none"/>
              </w:rPr>
              <w:t>47</w:t>
            </w:r>
          </w:p>
        </w:tc>
        <w:tc>
          <w:tcPr>
            <w:shd w:val="clear" w:color="auto" w:fill="FFFFFF"/>
            <w:vAlign w:val="center"/>
          </w:tcPr>
          <w:p>
            <w:pPr>
              <w:jc w:val="left"/>
              <w:rPr>
                <w:color w:val="auto"/>
                <w:highlight w:val="none"/>
              </w:rPr>
            </w:pPr>
            <w:r>
              <w:rPr>
                <w:color w:val="auto"/>
                <w:highlight w:val="none"/>
              </w:rPr>
              <w:drawing>
                <wp:inline distT="0" distB="0" distL="114300" distR="114300">
                  <wp:extent cx="1266825" cy="114300"/>
                  <wp:effectExtent l="0" t="0" r="9525" b="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
                          <pic:cNvPicPr>
                            <a:picLocks noChangeAspect="1"/>
                          </pic:cNvPicPr>
                        </pic:nvPicPr>
                        <pic:blipFill>
                          <a:blip r:embed="rId33"/>
                          <a:stretch>
                            <a:fillRect/>
                          </a:stretch>
                        </pic:blipFill>
                        <pic:spPr>
                          <a:xfrm>
                            <a:off x="0" y="0"/>
                            <a:ext cx="1266825" cy="114300"/>
                          </a:xfrm>
                          <a:prstGeom prst="rect">
                            <a:avLst/>
                          </a:prstGeom>
                          <a:noFill/>
                          <a:ln>
                            <a:noFill/>
                          </a:ln>
                        </pic:spPr>
                      </pic:pic>
                    </a:graphicData>
                  </a:graphic>
                </wp:inline>
              </w:drawing>
            </w:r>
            <w:r>
              <w:rPr>
                <w:color w:val="auto"/>
                <w:highlight w:val="none"/>
              </w:rPr>
              <w:drawing>
                <wp:inline distT="0" distB="0" distL="114300" distR="114300">
                  <wp:extent cx="85725" cy="114300"/>
                  <wp:effectExtent l="0" t="0" r="952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4"/>
                          <a:stretch>
                            <a:fillRect/>
                          </a:stretch>
                        </pic:blipFill>
                        <pic:spPr>
                          <a:xfrm>
                            <a:off x="0" y="0"/>
                            <a:ext cx="85725" cy="114300"/>
                          </a:xfrm>
                          <a:prstGeom prst="rect">
                            <a:avLst/>
                          </a:prstGeom>
                          <a:noFill/>
                          <a:ln>
                            <a:noFill/>
                          </a:ln>
                        </pic:spPr>
                      </pic:pic>
                    </a:graphicData>
                  </a:graphic>
                </wp:inline>
              </w:drawing>
            </w:r>
            <w:r>
              <w:rPr>
                <w:color w:val="auto"/>
                <w:highlight w:val="none"/>
              </w:rPr>
              <w:t>94%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部分具备</w:t>
            </w:r>
          </w:p>
        </w:tc>
        <w:tc>
          <w:tcPr>
            <w:shd w:val="clear" w:color="auto" w:fill="FAFAFA"/>
            <w:vAlign w:val="center"/>
          </w:tcPr>
          <w:p>
            <w:pPr>
              <w:jc w:val="center"/>
              <w:rPr>
                <w:color w:val="auto"/>
                <w:highlight w:val="none"/>
              </w:rPr>
            </w:pPr>
            <w:r>
              <w:rPr>
                <w:color w:val="auto"/>
                <w:highlight w:val="none"/>
              </w:rPr>
              <w:t>3</w:t>
            </w:r>
          </w:p>
        </w:tc>
        <w:tc>
          <w:tcPr>
            <w:shd w:val="clear" w:color="auto" w:fill="FAFAFA"/>
            <w:vAlign w:val="center"/>
          </w:tcPr>
          <w:p>
            <w:pPr>
              <w:jc w:val="left"/>
              <w:rPr>
                <w:color w:val="auto"/>
                <w:highlight w:val="none"/>
              </w:rPr>
            </w:pPr>
            <w:r>
              <w:rPr>
                <w:color w:val="auto"/>
                <w:highlight w:val="none"/>
              </w:rPr>
              <w:drawing>
                <wp:inline distT="0" distB="0" distL="114300" distR="114300">
                  <wp:extent cx="76200" cy="11430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5"/>
                          <a:stretch>
                            <a:fillRect/>
                          </a:stretch>
                        </pic:blipFill>
                        <pic:spPr>
                          <a:xfrm>
                            <a:off x="0" y="0"/>
                            <a:ext cx="76200" cy="114300"/>
                          </a:xfrm>
                          <a:prstGeom prst="rect">
                            <a:avLst/>
                          </a:prstGeom>
                          <a:noFill/>
                          <a:ln>
                            <a:noFill/>
                          </a:ln>
                        </pic:spPr>
                      </pic:pic>
                    </a:graphicData>
                  </a:graphic>
                </wp:inline>
              </w:drawing>
            </w:r>
            <w:r>
              <w:rPr>
                <w:color w:val="auto"/>
                <w:highlight w:val="none"/>
              </w:rPr>
              <w:drawing>
                <wp:inline distT="0" distB="0" distL="114300" distR="114300">
                  <wp:extent cx="1276350" cy="114300"/>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pic:cNvPicPr>
                            <a:picLocks noChangeAspect="1"/>
                          </pic:cNvPicPr>
                        </pic:nvPicPr>
                        <pic:blipFill>
                          <a:blip r:embed="rId36"/>
                          <a:stretch>
                            <a:fillRect/>
                          </a:stretch>
                        </pic:blipFill>
                        <pic:spPr>
                          <a:xfrm>
                            <a:off x="0" y="0"/>
                            <a:ext cx="1276350" cy="114300"/>
                          </a:xfrm>
                          <a:prstGeom prst="rect">
                            <a:avLst/>
                          </a:prstGeom>
                          <a:noFill/>
                          <a:ln>
                            <a:noFill/>
                          </a:ln>
                        </pic:spPr>
                      </pic:pic>
                    </a:graphicData>
                  </a:graphic>
                </wp:inline>
              </w:drawing>
            </w:r>
            <w:r>
              <w:rPr>
                <w:color w:val="auto"/>
                <w:highlight w:val="none"/>
              </w:rPr>
              <w:t>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不具备</w:t>
            </w:r>
          </w:p>
        </w:tc>
        <w:tc>
          <w:tcPr>
            <w:shd w:val="clear" w:color="auto" w:fill="FFFFFF"/>
            <w:vAlign w:val="center"/>
          </w:tcPr>
          <w:p>
            <w:pPr>
              <w:jc w:val="center"/>
              <w:rPr>
                <w:color w:val="auto"/>
                <w:highlight w:val="none"/>
              </w:rPr>
            </w:pPr>
            <w:r>
              <w:rPr>
                <w:color w:val="auto"/>
                <w:highlight w:val="none"/>
              </w:rPr>
              <w:t>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0"/>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shd w:val="clear" w:color="auto" w:fill="F5F5F5"/>
            <w:vAlign w:val="center"/>
          </w:tcPr>
          <w:p>
            <w:pPr>
              <w:jc w:val="left"/>
              <w:rPr>
                <w:color w:val="auto"/>
                <w:highlight w:val="none"/>
              </w:rPr>
            </w:pPr>
          </w:p>
        </w:tc>
      </w:tr>
    </w:tbl>
    <w:p>
      <w:pPr>
        <w:rPr>
          <w:color w:val="auto"/>
          <w:highlight w:val="none"/>
        </w:rPr>
      </w:pPr>
    </w:p>
    <w:p>
      <w:pPr>
        <w:rPr>
          <w:color w:val="auto"/>
          <w:highlight w:val="none"/>
        </w:rPr>
      </w:pPr>
    </w:p>
    <w:p>
      <w:pPr>
        <w:rPr>
          <w:color w:val="auto"/>
          <w:highlight w:val="none"/>
        </w:rPr>
      </w:pPr>
      <w:r>
        <w:rPr>
          <w:b w:val="0"/>
          <w:color w:val="auto"/>
          <w:sz w:val="24"/>
          <w:highlight w:val="none"/>
        </w:rPr>
        <w:t>第</w:t>
      </w:r>
      <w:r>
        <w:rPr>
          <w:rFonts w:hint="eastAsia" w:eastAsia="宋体"/>
          <w:b w:val="0"/>
          <w:color w:val="auto"/>
          <w:sz w:val="24"/>
          <w:highlight w:val="none"/>
          <w:lang w:val="en-US" w:eastAsia="zh-CN"/>
        </w:rPr>
        <w:t>3</w:t>
      </w:r>
      <w:r>
        <w:rPr>
          <w:b w:val="0"/>
          <w:color w:val="auto"/>
          <w:sz w:val="24"/>
          <w:highlight w:val="none"/>
        </w:rPr>
        <w:t>题   您认为石狮市现阶段应急粮油库存是否能得到有效保障？      [单选题]</w:t>
      </w:r>
    </w:p>
    <w:p>
      <w:pPr>
        <w:rPr>
          <w:b w:val="0"/>
          <w:color w:val="auto"/>
          <w:sz w:val="24"/>
          <w:highlight w:val="none"/>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20"/>
        <w:gridCol w:w="1047"/>
        <w:gridCol w:w="484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能</w:t>
            </w:r>
          </w:p>
        </w:tc>
        <w:tc>
          <w:tcPr>
            <w:shd w:val="clear" w:color="auto" w:fill="FFFFFF"/>
            <w:vAlign w:val="center"/>
          </w:tcPr>
          <w:p>
            <w:pPr>
              <w:jc w:val="center"/>
              <w:rPr>
                <w:color w:val="auto"/>
                <w:highlight w:val="none"/>
              </w:rPr>
            </w:pPr>
            <w:r>
              <w:rPr>
                <w:color w:val="auto"/>
                <w:highlight w:val="none"/>
              </w:rPr>
              <w:t>50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4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1"/>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不能</w:t>
            </w:r>
          </w:p>
        </w:tc>
        <w:tc>
          <w:tcPr>
            <w:shd w:val="clear" w:color="auto" w:fill="FAFAFA"/>
            <w:vAlign w:val="center"/>
          </w:tcPr>
          <w:p>
            <w:pPr>
              <w:jc w:val="center"/>
              <w:rPr>
                <w:color w:val="auto"/>
                <w:highlight w:val="none"/>
              </w:rPr>
            </w:pPr>
            <w:r>
              <w:rPr>
                <w:color w:val="auto"/>
                <w:highlight w:val="none"/>
              </w:rPr>
              <w:t>0</w:t>
            </w:r>
          </w:p>
        </w:tc>
        <w:tc>
          <w:tcPr>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shd w:val="clear" w:color="auto" w:fill="F5F5F5"/>
            <w:vAlign w:val="center"/>
          </w:tcPr>
          <w:p>
            <w:pPr>
              <w:jc w:val="left"/>
              <w:rPr>
                <w:color w:val="auto"/>
                <w:highlight w:val="none"/>
              </w:rPr>
            </w:pPr>
          </w:p>
        </w:tc>
      </w:tr>
    </w:tbl>
    <w:p>
      <w:pPr>
        <w:rPr>
          <w:color w:val="auto"/>
          <w:highlight w:val="none"/>
        </w:rPr>
      </w:pPr>
    </w:p>
    <w:p>
      <w:pPr>
        <w:rPr>
          <w:color w:val="auto"/>
          <w:highlight w:val="none"/>
        </w:rPr>
      </w:pPr>
    </w:p>
    <w:p>
      <w:pPr>
        <w:rPr>
          <w:b w:val="0"/>
          <w:color w:val="auto"/>
          <w:sz w:val="24"/>
          <w:highlight w:val="none"/>
        </w:rPr>
      </w:pPr>
    </w:p>
    <w:p>
      <w:pPr>
        <w:rPr>
          <w:color w:val="auto"/>
          <w:highlight w:val="none"/>
        </w:rPr>
      </w:pPr>
      <w:r>
        <w:rPr>
          <w:b w:val="0"/>
          <w:color w:val="auto"/>
          <w:sz w:val="24"/>
          <w:highlight w:val="none"/>
        </w:rPr>
        <w:t>第</w:t>
      </w:r>
      <w:r>
        <w:rPr>
          <w:rFonts w:hint="eastAsia" w:eastAsia="宋体"/>
          <w:b w:val="0"/>
          <w:color w:val="auto"/>
          <w:sz w:val="24"/>
          <w:highlight w:val="none"/>
          <w:lang w:val="en-US" w:eastAsia="zh-CN"/>
        </w:rPr>
        <w:t>4</w:t>
      </w:r>
      <w:r>
        <w:rPr>
          <w:b w:val="0"/>
          <w:color w:val="auto"/>
          <w:sz w:val="24"/>
          <w:highlight w:val="none"/>
        </w:rPr>
        <w:t>题   地方政府储备粮承储企业不得有下列行为：      [多选题]</w:t>
      </w:r>
    </w:p>
    <w:p>
      <w:pPr>
        <w:rPr>
          <w:b w:val="0"/>
          <w:color w:val="auto"/>
          <w:sz w:val="24"/>
          <w:highlight w:val="none"/>
        </w:rPr>
      </w:pPr>
    </w:p>
    <w:tbl>
      <w:tblPr>
        <w:tblStyle w:val="12"/>
        <w:tblW w:w="5215"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5898"/>
        <w:gridCol w:w="555"/>
        <w:gridCol w:w="2951"/>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tcW w:w="1569" w:type="pct"/>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挤占、截留、挪用地方政府储备粮财政补贴和信贷资金；</w:t>
            </w:r>
          </w:p>
        </w:tc>
        <w:tc>
          <w:tcPr>
            <w:shd w:val="clear" w:color="auto" w:fill="FFFFFF"/>
            <w:vAlign w:val="center"/>
          </w:tcPr>
          <w:p>
            <w:pPr>
              <w:jc w:val="center"/>
              <w:rPr>
                <w:color w:val="auto"/>
                <w:highlight w:val="none"/>
              </w:rPr>
            </w:pPr>
            <w:r>
              <w:rPr>
                <w:color w:val="auto"/>
                <w:highlight w:val="none"/>
              </w:rPr>
              <w:t>50</w:t>
            </w:r>
          </w:p>
        </w:tc>
        <w:tc>
          <w:tcPr>
            <w:tcW w:w="1569" w:type="pct"/>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6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虚报、瞒报地方政府储备粮数量；</w:t>
            </w:r>
          </w:p>
        </w:tc>
        <w:tc>
          <w:tcPr>
            <w:shd w:val="clear" w:color="auto" w:fill="FAFAFA"/>
            <w:vAlign w:val="center"/>
          </w:tcPr>
          <w:p>
            <w:pPr>
              <w:jc w:val="center"/>
              <w:rPr>
                <w:color w:val="auto"/>
                <w:highlight w:val="none"/>
              </w:rPr>
            </w:pPr>
            <w:r>
              <w:rPr>
                <w:color w:val="auto"/>
                <w:highlight w:val="none"/>
              </w:rPr>
              <w:t>50</w:t>
            </w:r>
          </w:p>
        </w:tc>
        <w:tc>
          <w:tcPr>
            <w:tcW w:w="1569" w:type="pct"/>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3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质量安全不达标，以陈顶新、掺杂使假、以次充好；</w:t>
            </w:r>
          </w:p>
        </w:tc>
        <w:tc>
          <w:tcPr>
            <w:shd w:val="clear" w:color="auto" w:fill="FFFFFF"/>
            <w:vAlign w:val="center"/>
          </w:tcPr>
          <w:p>
            <w:pPr>
              <w:jc w:val="center"/>
              <w:rPr>
                <w:color w:val="auto"/>
                <w:highlight w:val="none"/>
              </w:rPr>
            </w:pPr>
            <w:r>
              <w:rPr>
                <w:color w:val="auto"/>
                <w:highlight w:val="none"/>
              </w:rPr>
              <w:t>50</w:t>
            </w:r>
          </w:p>
        </w:tc>
        <w:tc>
          <w:tcPr>
            <w:tcW w:w="1569" w:type="pct"/>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6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擅自变更地方政府储备粮的品种和储存库点；</w:t>
            </w:r>
          </w:p>
        </w:tc>
        <w:tc>
          <w:tcPr>
            <w:shd w:val="clear" w:color="auto" w:fill="FAFAFA"/>
            <w:vAlign w:val="center"/>
          </w:tcPr>
          <w:p>
            <w:pPr>
              <w:jc w:val="center"/>
              <w:rPr>
                <w:color w:val="auto"/>
                <w:highlight w:val="none"/>
              </w:rPr>
            </w:pPr>
            <w:r>
              <w:rPr>
                <w:color w:val="auto"/>
                <w:highlight w:val="none"/>
              </w:rPr>
              <w:t>50</w:t>
            </w:r>
          </w:p>
        </w:tc>
        <w:tc>
          <w:tcPr>
            <w:tcW w:w="1569" w:type="pct"/>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6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延误轮换或者因管理不善等造成储粮事故；</w:t>
            </w:r>
          </w:p>
        </w:tc>
        <w:tc>
          <w:tcPr>
            <w:shd w:val="clear" w:color="auto" w:fill="FFFFFF"/>
            <w:vAlign w:val="center"/>
          </w:tcPr>
          <w:p>
            <w:pPr>
              <w:jc w:val="center"/>
              <w:rPr>
                <w:color w:val="auto"/>
                <w:highlight w:val="none"/>
              </w:rPr>
            </w:pPr>
            <w:r>
              <w:rPr>
                <w:color w:val="auto"/>
                <w:highlight w:val="none"/>
              </w:rPr>
              <w:t>50</w:t>
            </w:r>
          </w:p>
        </w:tc>
        <w:tc>
          <w:tcPr>
            <w:tcW w:w="1569" w:type="pct"/>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6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利用地方政府储备粮及其贷款资金从事与储备业务无关的经营活动；</w:t>
            </w:r>
          </w:p>
        </w:tc>
        <w:tc>
          <w:tcPr>
            <w:shd w:val="clear" w:color="auto" w:fill="FAFAFA"/>
            <w:vAlign w:val="center"/>
          </w:tcPr>
          <w:p>
            <w:pPr>
              <w:jc w:val="center"/>
              <w:rPr>
                <w:color w:val="auto"/>
                <w:highlight w:val="none"/>
              </w:rPr>
            </w:pPr>
            <w:r>
              <w:rPr>
                <w:color w:val="auto"/>
                <w:highlight w:val="none"/>
              </w:rPr>
              <w:t>50</w:t>
            </w:r>
          </w:p>
        </w:tc>
        <w:tc>
          <w:tcPr>
            <w:tcW w:w="1569" w:type="pct"/>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5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以低价购进高价入账、高价售出低价入账，一粮多用、虚列成本费用或者其他手段，骗取地方政府储备粮财政补贴和信贷资金；</w:t>
            </w:r>
          </w:p>
        </w:tc>
        <w:tc>
          <w:tcPr>
            <w:shd w:val="clear" w:color="auto" w:fill="FAFAFA"/>
            <w:vAlign w:val="center"/>
          </w:tcPr>
          <w:p>
            <w:pPr>
              <w:jc w:val="center"/>
              <w:rPr>
                <w:color w:val="auto"/>
                <w:highlight w:val="none"/>
              </w:rPr>
            </w:pPr>
            <w:r>
              <w:rPr>
                <w:color w:val="auto"/>
                <w:highlight w:val="none"/>
              </w:rPr>
              <w:t>50</w:t>
            </w:r>
          </w:p>
        </w:tc>
        <w:tc>
          <w:tcPr>
            <w:tcW w:w="1569" w:type="pct"/>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擅自动用承储的地方政府储备粮；</w:t>
            </w:r>
          </w:p>
        </w:tc>
        <w:tc>
          <w:tcPr>
            <w:shd w:val="clear" w:color="auto" w:fill="FFFFFF"/>
            <w:vAlign w:val="center"/>
          </w:tcPr>
          <w:p>
            <w:pPr>
              <w:jc w:val="center"/>
              <w:rPr>
                <w:color w:val="auto"/>
                <w:highlight w:val="none"/>
              </w:rPr>
            </w:pPr>
            <w:r>
              <w:rPr>
                <w:color w:val="auto"/>
                <w:highlight w:val="none"/>
              </w:rPr>
              <w:t>50</w:t>
            </w:r>
          </w:p>
        </w:tc>
        <w:tc>
          <w:tcPr>
            <w:tcW w:w="1569" w:type="pct"/>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4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5"/>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tcW w:w="1569" w:type="pct"/>
            <w:shd w:val="clear" w:color="auto" w:fill="F5F5F5"/>
            <w:vAlign w:val="center"/>
          </w:tcPr>
          <w:p>
            <w:pPr>
              <w:jc w:val="left"/>
              <w:rPr>
                <w:color w:val="auto"/>
                <w:highlight w:val="none"/>
              </w:rPr>
            </w:pPr>
          </w:p>
        </w:tc>
      </w:tr>
    </w:tbl>
    <w:p>
      <w:pPr>
        <w:rPr>
          <w:color w:val="auto"/>
          <w:highlight w:val="none"/>
        </w:rPr>
      </w:pPr>
    </w:p>
    <w:p>
      <w:pPr>
        <w:rPr>
          <w:color w:val="auto"/>
          <w:highlight w:val="none"/>
        </w:rPr>
      </w:pPr>
    </w:p>
    <w:p>
      <w:pPr>
        <w:rPr>
          <w:color w:val="auto"/>
          <w:highlight w:val="none"/>
        </w:rPr>
      </w:pPr>
      <w:r>
        <w:rPr>
          <w:b w:val="0"/>
          <w:color w:val="auto"/>
          <w:sz w:val="24"/>
          <w:highlight w:val="none"/>
        </w:rPr>
        <w:t>第</w:t>
      </w:r>
      <w:r>
        <w:rPr>
          <w:rFonts w:hint="eastAsia"/>
          <w:b w:val="0"/>
          <w:color w:val="auto"/>
          <w:sz w:val="24"/>
          <w:highlight w:val="none"/>
          <w:lang w:val="en-US" w:eastAsia="zh-CN"/>
        </w:rPr>
        <w:t>5</w:t>
      </w:r>
      <w:r>
        <w:rPr>
          <w:b w:val="0"/>
          <w:color w:val="auto"/>
          <w:sz w:val="24"/>
          <w:highlight w:val="none"/>
        </w:rPr>
        <w:t>题   本市粮油应急调控保障能力可以做到      [多选题]</w:t>
      </w:r>
    </w:p>
    <w:p>
      <w:pPr>
        <w:rPr>
          <w:b w:val="0"/>
          <w:color w:val="auto"/>
          <w:sz w:val="24"/>
          <w:highlight w:val="none"/>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977"/>
        <w:gridCol w:w="717"/>
        <w:gridCol w:w="332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确保政府需要时调得动、用得上</w:t>
            </w:r>
          </w:p>
        </w:tc>
        <w:tc>
          <w:tcPr>
            <w:shd w:val="clear" w:color="auto" w:fill="FFFFFF"/>
            <w:vAlign w:val="center"/>
          </w:tcPr>
          <w:p>
            <w:pPr>
              <w:jc w:val="center"/>
              <w:rPr>
                <w:color w:val="auto"/>
                <w:highlight w:val="none"/>
              </w:rPr>
            </w:pPr>
            <w:r>
              <w:rPr>
                <w:color w:val="auto"/>
                <w:highlight w:val="none"/>
              </w:rPr>
              <w:t>50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5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8"/>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粮食应急供应网点做到覆盖全面、保障有力</w:t>
            </w:r>
          </w:p>
        </w:tc>
        <w:tc>
          <w:tcPr>
            <w:shd w:val="clear" w:color="auto" w:fill="FAFAFA"/>
            <w:vAlign w:val="center"/>
          </w:tcPr>
          <w:p>
            <w:pPr>
              <w:jc w:val="center"/>
              <w:rPr>
                <w:rFonts w:hint="default" w:eastAsiaTheme="minorEastAsia"/>
                <w:color w:val="auto"/>
                <w:highlight w:val="none"/>
                <w:lang w:val="en-US" w:eastAsia="zh-CN"/>
              </w:rPr>
            </w:pPr>
            <w:r>
              <w:rPr>
                <w:rFonts w:hint="eastAsia"/>
                <w:color w:val="auto"/>
                <w:highlight w:val="none"/>
                <w:lang w:val="en-US" w:eastAsia="zh-CN"/>
              </w:rPr>
              <w:t>50</w:t>
            </w:r>
          </w:p>
        </w:tc>
        <w:tc>
          <w:tcPr>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rFonts w:hint="eastAsia"/>
                <w:color w:val="auto"/>
                <w:highlight w:val="none"/>
                <w:lang w:val="en-US" w:eastAsia="zh-CN"/>
              </w:rPr>
              <w:t>100</w:t>
            </w:r>
            <w:r>
              <w:rPr>
                <w:color w:val="auto"/>
                <w:highlight w:val="none"/>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对不符合有关标准的网点及时进行更换、移除</w:t>
            </w:r>
          </w:p>
        </w:tc>
        <w:tc>
          <w:tcPr>
            <w:shd w:val="clear" w:color="auto" w:fill="FFFFFF"/>
            <w:vAlign w:val="center"/>
          </w:tcPr>
          <w:p>
            <w:pPr>
              <w:jc w:val="center"/>
              <w:rPr>
                <w:color w:val="auto"/>
                <w:highlight w:val="none"/>
              </w:rPr>
            </w:pPr>
            <w:r>
              <w:rPr>
                <w:color w:val="auto"/>
                <w:highlight w:val="none"/>
              </w:rPr>
              <w:t>50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6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8"/>
                          <pic:cNvPicPr>
                            <a:picLocks noChangeAspect="1"/>
                          </pic:cNvPicPr>
                        </pic:nvPicPr>
                        <pic:blipFill>
                          <a:blip r:embed="rId37"/>
                          <a:stretch>
                            <a:fillRect/>
                          </a:stretch>
                        </pic:blipFill>
                        <pic:spPr>
                          <a:xfrm>
                            <a:off x="0" y="0"/>
                            <a:ext cx="1352550" cy="114300"/>
                          </a:xfrm>
                          <a:prstGeom prst="rect">
                            <a:avLst/>
                          </a:prstGeom>
                          <a:noFill/>
                          <a:ln>
                            <a:noFill/>
                          </a:ln>
                        </pic:spPr>
                      </pic:pic>
                    </a:graphicData>
                  </a:graphic>
                </wp:inline>
              </w:drawing>
            </w:r>
            <w:r>
              <w:rPr>
                <w:color w:val="auto"/>
                <w:highlight w:val="none"/>
              </w:rP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无法做到</w:t>
            </w:r>
          </w:p>
        </w:tc>
        <w:tc>
          <w:tcPr>
            <w:shd w:val="clear" w:color="auto" w:fill="FAFAFA"/>
            <w:vAlign w:val="center"/>
          </w:tcPr>
          <w:p>
            <w:pPr>
              <w:jc w:val="center"/>
              <w:rPr>
                <w:color w:val="auto"/>
                <w:highlight w:val="none"/>
              </w:rPr>
            </w:pPr>
            <w:r>
              <w:rPr>
                <w:color w:val="auto"/>
                <w:highlight w:val="none"/>
              </w:rPr>
              <w:t>0</w:t>
            </w:r>
          </w:p>
        </w:tc>
        <w:tc>
          <w:tcPr>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5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3"/>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shd w:val="clear" w:color="auto" w:fill="F5F5F5"/>
            <w:vAlign w:val="center"/>
          </w:tcPr>
          <w:p>
            <w:pPr>
              <w:jc w:val="left"/>
              <w:rPr>
                <w:color w:val="auto"/>
                <w:highlight w:val="none"/>
              </w:rPr>
            </w:pPr>
          </w:p>
        </w:tc>
      </w:tr>
    </w:tbl>
    <w:p>
      <w:pPr>
        <w:rPr>
          <w:color w:val="auto"/>
          <w:highlight w:val="none"/>
        </w:rPr>
      </w:pPr>
    </w:p>
    <w:p>
      <w:pPr>
        <w:rPr>
          <w:color w:val="auto"/>
          <w:highlight w:val="none"/>
        </w:rPr>
      </w:pPr>
    </w:p>
    <w:p>
      <w:pPr>
        <w:rPr>
          <w:color w:val="auto"/>
          <w:highlight w:val="none"/>
        </w:rPr>
      </w:pPr>
      <w:r>
        <w:rPr>
          <w:b w:val="0"/>
          <w:color w:val="auto"/>
          <w:sz w:val="24"/>
          <w:highlight w:val="none"/>
        </w:rPr>
        <w:t>第</w:t>
      </w:r>
      <w:r>
        <w:rPr>
          <w:rFonts w:hint="eastAsia"/>
          <w:b w:val="0"/>
          <w:color w:val="auto"/>
          <w:sz w:val="24"/>
          <w:highlight w:val="none"/>
          <w:lang w:val="en-US" w:eastAsia="zh-CN"/>
        </w:rPr>
        <w:t>6</w:t>
      </w:r>
      <w:r>
        <w:rPr>
          <w:b w:val="0"/>
          <w:color w:val="auto"/>
          <w:sz w:val="24"/>
          <w:highlight w:val="none"/>
        </w:rPr>
        <w:t>题   您对地方储备粮油工作整体效果满意程度是？      [单选题]</w:t>
      </w:r>
    </w:p>
    <w:p>
      <w:pPr>
        <w:rPr>
          <w:b w:val="0"/>
          <w:color w:val="auto"/>
          <w:sz w:val="24"/>
          <w:highlight w:val="none"/>
        </w:rPr>
      </w:pPr>
    </w:p>
    <w:tbl>
      <w:tblPr>
        <w:tblStyle w:val="12"/>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80"/>
        <w:gridCol w:w="1067"/>
        <w:gridCol w:w="476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选项</w:t>
            </w:r>
          </w:p>
        </w:tc>
        <w:tc>
          <w:tcPr>
            <w:shd w:val="clear" w:color="auto" w:fill="F5F5F5"/>
            <w:vAlign w:val="center"/>
          </w:tcPr>
          <w:p>
            <w:pPr>
              <w:jc w:val="center"/>
              <w:rPr>
                <w:color w:val="auto"/>
                <w:highlight w:val="none"/>
              </w:rPr>
            </w:pPr>
            <w:r>
              <w:rPr>
                <w:color w:val="auto"/>
                <w:highlight w:val="none"/>
              </w:rPr>
              <w:t>小计</w:t>
            </w:r>
          </w:p>
        </w:tc>
        <w:tc>
          <w:tcPr>
            <w:shd w:val="clear" w:color="auto" w:fill="F5F5F5"/>
            <w:vAlign w:val="center"/>
          </w:tcPr>
          <w:p>
            <w:pPr>
              <w:jc w:val="left"/>
              <w:rPr>
                <w:color w:val="auto"/>
                <w:highlight w:val="none"/>
              </w:rPr>
            </w:pPr>
            <w:r>
              <w:rPr>
                <w:color w:val="auto"/>
                <w:highlight w:val="none"/>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非常满意</w:t>
            </w:r>
          </w:p>
        </w:tc>
        <w:tc>
          <w:tcPr>
            <w:shd w:val="clear" w:color="auto" w:fill="FFFFFF"/>
            <w:vAlign w:val="center"/>
          </w:tcPr>
          <w:p>
            <w:pPr>
              <w:jc w:val="center"/>
              <w:rPr>
                <w:color w:val="auto"/>
                <w:highlight w:val="none"/>
              </w:rPr>
            </w:pPr>
            <w:r>
              <w:rPr>
                <w:color w:val="auto"/>
                <w:highlight w:val="none"/>
              </w:rPr>
              <w:t>45</w:t>
            </w:r>
          </w:p>
        </w:tc>
        <w:tc>
          <w:tcPr>
            <w:shd w:val="clear" w:color="auto" w:fill="FFFFFF"/>
            <w:vAlign w:val="center"/>
          </w:tcPr>
          <w:p>
            <w:pPr>
              <w:jc w:val="left"/>
              <w:rPr>
                <w:color w:val="auto"/>
                <w:highlight w:val="none"/>
              </w:rPr>
            </w:pPr>
            <w:r>
              <w:rPr>
                <w:color w:val="auto"/>
                <w:highlight w:val="none"/>
              </w:rPr>
              <w:drawing>
                <wp:inline distT="0" distB="0" distL="114300" distR="114300">
                  <wp:extent cx="1209675" cy="114300"/>
                  <wp:effectExtent l="0" t="0" r="9525" b="0"/>
                  <wp:docPr id="5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4"/>
                          <pic:cNvPicPr>
                            <a:picLocks noChangeAspect="1"/>
                          </pic:cNvPicPr>
                        </pic:nvPicPr>
                        <pic:blipFill>
                          <a:blip r:embed="rId38"/>
                          <a:stretch>
                            <a:fillRect/>
                          </a:stretch>
                        </pic:blipFill>
                        <pic:spPr>
                          <a:xfrm>
                            <a:off x="0" y="0"/>
                            <a:ext cx="1209675" cy="114300"/>
                          </a:xfrm>
                          <a:prstGeom prst="rect">
                            <a:avLst/>
                          </a:prstGeom>
                          <a:noFill/>
                          <a:ln>
                            <a:noFill/>
                          </a:ln>
                        </pic:spPr>
                      </pic:pic>
                    </a:graphicData>
                  </a:graphic>
                </wp:inline>
              </w:drawing>
            </w:r>
            <w:r>
              <w:rPr>
                <w:color w:val="auto"/>
                <w:highlight w:val="none"/>
              </w:rPr>
              <w:drawing>
                <wp:inline distT="0" distB="0" distL="114300" distR="114300">
                  <wp:extent cx="142875" cy="114300"/>
                  <wp:effectExtent l="0" t="0" r="9525" b="0"/>
                  <wp:docPr id="5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5"/>
                          <pic:cNvPicPr>
                            <a:picLocks noChangeAspect="1"/>
                          </pic:cNvPicPr>
                        </pic:nvPicPr>
                        <pic:blipFill>
                          <a:blip r:embed="rId39"/>
                          <a:stretch>
                            <a:fillRect/>
                          </a:stretch>
                        </pic:blipFill>
                        <pic:spPr>
                          <a:xfrm>
                            <a:off x="0" y="0"/>
                            <a:ext cx="142875" cy="114300"/>
                          </a:xfrm>
                          <a:prstGeom prst="rect">
                            <a:avLst/>
                          </a:prstGeom>
                          <a:noFill/>
                          <a:ln>
                            <a:noFill/>
                          </a:ln>
                        </pic:spPr>
                      </pic:pic>
                    </a:graphicData>
                  </a:graphic>
                </wp:inline>
              </w:drawing>
            </w:r>
            <w:r>
              <w:rPr>
                <w:color w:val="auto"/>
                <w:highlight w:val="none"/>
              </w:rPr>
              <w:t>90%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比较满意</w:t>
            </w:r>
          </w:p>
        </w:tc>
        <w:tc>
          <w:tcPr>
            <w:shd w:val="clear" w:color="auto" w:fill="FAFAFA"/>
            <w:vAlign w:val="center"/>
          </w:tcPr>
          <w:p>
            <w:pPr>
              <w:jc w:val="center"/>
              <w:rPr>
                <w:color w:val="auto"/>
                <w:highlight w:val="none"/>
              </w:rPr>
            </w:pPr>
            <w:r>
              <w:rPr>
                <w:color w:val="auto"/>
                <w:highlight w:val="none"/>
              </w:rPr>
              <w:t>5</w:t>
            </w:r>
          </w:p>
        </w:tc>
        <w:tc>
          <w:tcPr>
            <w:shd w:val="clear" w:color="auto" w:fill="FAFAFA"/>
            <w:vAlign w:val="center"/>
          </w:tcPr>
          <w:p>
            <w:pPr>
              <w:jc w:val="left"/>
              <w:rPr>
                <w:color w:val="auto"/>
                <w:highlight w:val="none"/>
              </w:rPr>
            </w:pPr>
            <w:r>
              <w:rPr>
                <w:color w:val="auto"/>
                <w:highlight w:val="none"/>
              </w:rPr>
              <w:drawing>
                <wp:inline distT="0" distB="0" distL="114300" distR="114300">
                  <wp:extent cx="133350" cy="114300"/>
                  <wp:effectExtent l="0" t="0" r="0" b="0"/>
                  <wp:docPr id="4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6"/>
                          <pic:cNvPicPr>
                            <a:picLocks noChangeAspect="1"/>
                          </pic:cNvPicPr>
                        </pic:nvPicPr>
                        <pic:blipFill>
                          <a:blip r:embed="rId40"/>
                          <a:stretch>
                            <a:fillRect/>
                          </a:stretch>
                        </pic:blipFill>
                        <pic:spPr>
                          <a:xfrm>
                            <a:off x="0" y="0"/>
                            <a:ext cx="133350" cy="114300"/>
                          </a:xfrm>
                          <a:prstGeom prst="rect">
                            <a:avLst/>
                          </a:prstGeom>
                          <a:noFill/>
                          <a:ln>
                            <a:noFill/>
                          </a:ln>
                        </pic:spPr>
                      </pic:pic>
                    </a:graphicData>
                  </a:graphic>
                </wp:inline>
              </w:drawing>
            </w:r>
            <w:r>
              <w:rPr>
                <w:color w:val="auto"/>
                <w:highlight w:val="none"/>
              </w:rPr>
              <w:drawing>
                <wp:inline distT="0" distB="0" distL="114300" distR="114300">
                  <wp:extent cx="1219200" cy="114300"/>
                  <wp:effectExtent l="0" t="0" r="0" b="0"/>
                  <wp:docPr id="4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7"/>
                          <pic:cNvPicPr>
                            <a:picLocks noChangeAspect="1"/>
                          </pic:cNvPicPr>
                        </pic:nvPicPr>
                        <pic:blipFill>
                          <a:blip r:embed="rId41"/>
                          <a:stretch>
                            <a:fillRect/>
                          </a:stretch>
                        </pic:blipFill>
                        <pic:spPr>
                          <a:xfrm>
                            <a:off x="0" y="0"/>
                            <a:ext cx="1219200" cy="114300"/>
                          </a:xfrm>
                          <a:prstGeom prst="rect">
                            <a:avLst/>
                          </a:prstGeom>
                          <a:noFill/>
                          <a:ln>
                            <a:noFill/>
                          </a:ln>
                        </pic:spPr>
                      </pic:pic>
                    </a:graphicData>
                  </a:graphic>
                </wp:inline>
              </w:drawing>
            </w:r>
            <w:r>
              <w:rPr>
                <w:color w:val="auto"/>
                <w:highlight w:val="none"/>
              </w:rPr>
              <w:t>10%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rPr>
                <w:color w:val="auto"/>
                <w:highlight w:val="none"/>
              </w:rPr>
            </w:pPr>
            <w:r>
              <w:rPr>
                <w:color w:val="auto"/>
                <w:highlight w:val="none"/>
              </w:rPr>
              <w:t>一般</w:t>
            </w:r>
          </w:p>
        </w:tc>
        <w:tc>
          <w:tcPr>
            <w:shd w:val="clear" w:color="auto" w:fill="FFFFFF"/>
            <w:vAlign w:val="center"/>
          </w:tcPr>
          <w:p>
            <w:pPr>
              <w:jc w:val="center"/>
              <w:rPr>
                <w:color w:val="auto"/>
                <w:highlight w:val="none"/>
              </w:rPr>
            </w:pPr>
            <w:r>
              <w:rPr>
                <w:color w:val="auto"/>
                <w:highlight w:val="none"/>
              </w:rPr>
              <w:t>0</w:t>
            </w:r>
          </w:p>
        </w:tc>
        <w:tc>
          <w:tcPr>
            <w:shd w:val="clear" w:color="auto" w:fill="FFFFFF"/>
            <w:vAlign w:val="center"/>
          </w:tcPr>
          <w:p>
            <w:pPr>
              <w:jc w:val="left"/>
              <w:rPr>
                <w:color w:val="auto"/>
                <w:highlight w:val="none"/>
              </w:rPr>
            </w:pPr>
            <w:r>
              <w:rPr>
                <w:color w:val="auto"/>
                <w:highlight w:val="none"/>
              </w:rPr>
              <w:drawing>
                <wp:inline distT="0" distB="0" distL="114300" distR="114300">
                  <wp:extent cx="1352550" cy="114300"/>
                  <wp:effectExtent l="0" t="0" r="0" b="0"/>
                  <wp:docPr id="4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8"/>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rPr>
                <w:color w:val="auto"/>
                <w:highlight w:val="none"/>
              </w:rPr>
            </w:pPr>
            <w:r>
              <w:rPr>
                <w:color w:val="auto"/>
                <w:highlight w:val="none"/>
              </w:rPr>
              <w:t>不满意</w:t>
            </w:r>
          </w:p>
        </w:tc>
        <w:tc>
          <w:tcPr>
            <w:shd w:val="clear" w:color="auto" w:fill="FAFAFA"/>
            <w:vAlign w:val="center"/>
          </w:tcPr>
          <w:p>
            <w:pPr>
              <w:jc w:val="center"/>
              <w:rPr>
                <w:color w:val="auto"/>
                <w:highlight w:val="none"/>
              </w:rPr>
            </w:pPr>
            <w:r>
              <w:rPr>
                <w:color w:val="auto"/>
                <w:highlight w:val="none"/>
              </w:rPr>
              <w:t>0</w:t>
            </w:r>
          </w:p>
        </w:tc>
        <w:tc>
          <w:tcPr>
            <w:shd w:val="clear" w:color="auto" w:fill="FAFAFA"/>
            <w:vAlign w:val="center"/>
          </w:tcPr>
          <w:p>
            <w:pPr>
              <w:jc w:val="left"/>
              <w:rPr>
                <w:color w:val="auto"/>
                <w:highlight w:val="none"/>
              </w:rPr>
            </w:pPr>
            <w:r>
              <w:rPr>
                <w:color w:val="auto"/>
                <w:highlight w:val="none"/>
              </w:rPr>
              <w:drawing>
                <wp:inline distT="0" distB="0" distL="114300" distR="114300">
                  <wp:extent cx="1352550" cy="114300"/>
                  <wp:effectExtent l="0" t="0" r="0" b="0"/>
                  <wp:docPr id="5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pic:cNvPicPr>
                            <a:picLocks noChangeAspect="1"/>
                          </pic:cNvPicPr>
                        </pic:nvPicPr>
                        <pic:blipFill>
                          <a:blip r:embed="rId32"/>
                          <a:stretch>
                            <a:fillRect/>
                          </a:stretch>
                        </pic:blipFill>
                        <pic:spPr>
                          <a:xfrm>
                            <a:off x="0" y="0"/>
                            <a:ext cx="1352550" cy="114300"/>
                          </a:xfrm>
                          <a:prstGeom prst="rect">
                            <a:avLst/>
                          </a:prstGeom>
                          <a:noFill/>
                          <a:ln>
                            <a:noFill/>
                          </a:ln>
                        </pic:spPr>
                      </pic:pic>
                    </a:graphicData>
                  </a:graphic>
                </wp:inline>
              </w:drawing>
            </w:r>
            <w:r>
              <w:rPr>
                <w:color w:val="auto"/>
                <w:highlight w:val="none"/>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rPr>
                <w:color w:val="auto"/>
                <w:highlight w:val="none"/>
              </w:rPr>
            </w:pPr>
            <w:r>
              <w:rPr>
                <w:color w:val="auto"/>
                <w:highlight w:val="none"/>
              </w:rPr>
              <w:t>本题有效填写人次</w:t>
            </w:r>
          </w:p>
        </w:tc>
        <w:tc>
          <w:tcPr>
            <w:shd w:val="clear" w:color="auto" w:fill="F5F5F5"/>
            <w:vAlign w:val="center"/>
          </w:tcPr>
          <w:p>
            <w:pPr>
              <w:jc w:val="center"/>
              <w:rPr>
                <w:color w:val="auto"/>
                <w:highlight w:val="none"/>
              </w:rPr>
            </w:pPr>
            <w:r>
              <w:rPr>
                <w:color w:val="auto"/>
                <w:highlight w:val="none"/>
              </w:rPr>
              <w:t>50</w:t>
            </w:r>
          </w:p>
        </w:tc>
        <w:tc>
          <w:tcPr>
            <w:shd w:val="clear" w:color="auto" w:fill="F5F5F5"/>
            <w:vAlign w:val="center"/>
          </w:tcPr>
          <w:p>
            <w:pPr>
              <w:jc w:val="left"/>
              <w:rPr>
                <w:color w:val="auto"/>
                <w:highlight w:val="none"/>
              </w:rPr>
            </w:pPr>
          </w:p>
        </w:tc>
      </w:tr>
    </w:tbl>
    <w:p>
      <w:pPr>
        <w:pStyle w:val="2"/>
        <w:ind w:left="0" w:leftChars="0" w:firstLine="0" w:firstLineChars="0"/>
        <w:rPr>
          <w:rFonts w:hint="default"/>
          <w:color w:val="auto"/>
          <w:highlight w:val="none"/>
          <w:lang w:val="en-US" w:eastAsia="zh-CN"/>
        </w:rPr>
      </w:pPr>
    </w:p>
    <w:sectPr>
      <w:headerReference r:id="rId10" w:type="default"/>
      <w:pgSz w:w="11906" w:h="16838"/>
      <w:pgMar w:top="1440" w:right="1519" w:bottom="1440"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行楷">
    <w:panose1 w:val="02010800040101010101"/>
    <w:charset w:val="86"/>
    <w:family w:val="auto"/>
    <w:pitch w:val="default"/>
    <w:sig w:usb0="00000001" w:usb1="080F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outlineLvl w:val="1"/>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hHYYMw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ChHYYMwIAAGMEAAAOAAAAAAAAAAEAIAAA&#10;ADUBAABkcnMvZTJvRG9jLnhtbFBLBQYAAAAABgAGAFkBAADa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1"/>
        <w:right w:val="none" w:color="auto" w:sz="0" w:space="0"/>
        <w:between w:val="none" w:color="auto" w:sz="0" w:space="0"/>
      </w:pBdr>
      <w:rPr>
        <w:rFonts w:hint="default" w:eastAsiaTheme="minorEastAsia"/>
        <w:lang w:val="en-US" w:eastAsia="zh-CN"/>
      </w:rPr>
    </w:pPr>
    <w:r>
      <w:rPr>
        <w:rFonts w:hint="eastAsia"/>
        <w:b/>
        <w:bCs/>
        <w:sz w:val="18"/>
        <w:szCs w:val="18"/>
      </w:rPr>
      <w:drawing>
        <wp:anchor distT="0" distB="0" distL="114300" distR="114300" simplePos="0" relativeHeight="251659264" behindDoc="0" locked="0" layoutInCell="1" allowOverlap="1">
          <wp:simplePos x="0" y="0"/>
          <wp:positionH relativeFrom="column">
            <wp:posOffset>5314315</wp:posOffset>
          </wp:positionH>
          <wp:positionV relativeFrom="paragraph">
            <wp:posOffset>-134620</wp:posOffset>
          </wp:positionV>
          <wp:extent cx="314325" cy="306705"/>
          <wp:effectExtent l="0" t="0" r="5715" b="13335"/>
          <wp:wrapSquare wrapText="bothSides"/>
          <wp:docPr id="191" name="图片 191"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b/>
        <w:bCs/>
        <w:sz w:val="18"/>
        <w:szCs w:val="18"/>
        <w:lang w:val="en-US" w:eastAsia="zh-CN"/>
      </w:rPr>
      <w:t xml:space="preserve">                                                 </w:t>
    </w:r>
    <w:r>
      <w:rPr>
        <w:rFonts w:hint="eastAsia"/>
        <w:b/>
        <w:bCs/>
        <w:sz w:val="18"/>
        <w:szCs w:val="18"/>
      </w:rPr>
      <w:t>泉州市招标咨询中心地方财政绩效评价所</w:t>
    </w:r>
    <w:r>
      <w:rPr>
        <w:rFonts w:hint="eastAsia"/>
        <w:b/>
        <w:bCs/>
        <w:sz w:val="18"/>
        <w:szCs w:val="18"/>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0288" behindDoc="0" locked="0" layoutInCell="1" allowOverlap="1">
          <wp:simplePos x="0" y="0"/>
          <wp:positionH relativeFrom="column">
            <wp:posOffset>5565140</wp:posOffset>
          </wp:positionH>
          <wp:positionV relativeFrom="paragraph">
            <wp:posOffset>-77470</wp:posOffset>
          </wp:positionV>
          <wp:extent cx="306705" cy="299085"/>
          <wp:effectExtent l="0" t="0" r="13335" b="5715"/>
          <wp:wrapSquare wrapText="bothSides"/>
          <wp:docPr id="3" name="图片 3"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pBdr>
        <w:bottom w:val="none" w:color="auto" w:sz="0" w:space="1"/>
      </w:pBdr>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1312" behindDoc="0" locked="0" layoutInCell="1" allowOverlap="1">
          <wp:simplePos x="0" y="0"/>
          <wp:positionH relativeFrom="column">
            <wp:posOffset>8879840</wp:posOffset>
          </wp:positionH>
          <wp:positionV relativeFrom="paragraph">
            <wp:posOffset>-46990</wp:posOffset>
          </wp:positionV>
          <wp:extent cx="306705" cy="299085"/>
          <wp:effectExtent l="0" t="0" r="13335" b="5715"/>
          <wp:wrapSquare wrapText="bothSides"/>
          <wp:docPr id="1" name="图片 1"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pBdr>
        <w:bottom w:val="none" w:color="auto" w:sz="0" w:space="1"/>
      </w:pBdr>
      <w:rPr>
        <w:rFonts w:hint="default"/>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2336" behindDoc="0" locked="0" layoutInCell="1" allowOverlap="1">
          <wp:simplePos x="0" y="0"/>
          <wp:positionH relativeFrom="column">
            <wp:posOffset>5628640</wp:posOffset>
          </wp:positionH>
          <wp:positionV relativeFrom="paragraph">
            <wp:posOffset>-142240</wp:posOffset>
          </wp:positionV>
          <wp:extent cx="306705" cy="299085"/>
          <wp:effectExtent l="0" t="0" r="17145" b="5715"/>
          <wp:wrapSquare wrapText="bothSides"/>
          <wp:docPr id="59" name="图片 59"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pBdr>
        <w:bottom w:val="none" w:color="auto" w:sz="0" w:space="1"/>
      </w:pBdr>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4384" behindDoc="0" locked="0" layoutInCell="1" allowOverlap="1">
          <wp:simplePos x="0" y="0"/>
          <wp:positionH relativeFrom="column">
            <wp:posOffset>8867140</wp:posOffset>
          </wp:positionH>
          <wp:positionV relativeFrom="paragraph">
            <wp:posOffset>-78740</wp:posOffset>
          </wp:positionV>
          <wp:extent cx="306705" cy="299085"/>
          <wp:effectExtent l="0" t="0" r="17145" b="5715"/>
          <wp:wrapSquare wrapText="bothSides"/>
          <wp:docPr id="15" name="图片 15"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pBdr>
        <w:bottom w:val="none" w:color="auto" w:sz="0" w:space="1"/>
      </w:pBdr>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5408" behindDoc="0" locked="0" layoutInCell="1" allowOverlap="1">
          <wp:simplePos x="0" y="0"/>
          <wp:positionH relativeFrom="column">
            <wp:posOffset>5604510</wp:posOffset>
          </wp:positionH>
          <wp:positionV relativeFrom="paragraph">
            <wp:posOffset>-99695</wp:posOffset>
          </wp:positionV>
          <wp:extent cx="306705" cy="299085"/>
          <wp:effectExtent l="0" t="0" r="17145" b="5715"/>
          <wp:wrapSquare wrapText="bothSides"/>
          <wp:docPr id="30" name="图片 30"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pBdr>
        <w:bottom w:val="none" w:color="auto" w:sz="0" w:space="1"/>
      </w:pBdr>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D5DFA"/>
    <w:multiLevelType w:val="multilevel"/>
    <w:tmpl w:val="81ED5DFA"/>
    <w:lvl w:ilvl="0" w:tentative="0">
      <w:start w:val="1"/>
      <w:numFmt w:val="chineseCounting"/>
      <w:pStyle w:val="4"/>
      <w:suff w:val="nothing"/>
      <w:lvlText w:val="%1、"/>
      <w:lvlJc w:val="left"/>
      <w:pPr>
        <w:ind w:left="0" w:firstLine="0"/>
      </w:pPr>
      <w:rPr>
        <w:rFonts w:hint="eastAsia" w:ascii="黑体" w:hAnsi="黑体" w:eastAsia="黑体" w:cs="黑体"/>
        <w:sz w:val="28"/>
        <w:szCs w:val="28"/>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D94E95D"/>
    <w:multiLevelType w:val="singleLevel"/>
    <w:tmpl w:val="0D94E95D"/>
    <w:lvl w:ilvl="0" w:tentative="0">
      <w:start w:val="1"/>
      <w:numFmt w:val="chineseCounting"/>
      <w:suff w:val="nothing"/>
      <w:lvlText w:val="（%1）"/>
      <w:lvlJc w:val="left"/>
      <w:pPr>
        <w:ind w:left="0" w:firstLine="420"/>
      </w:pPr>
      <w:rPr>
        <w:rFonts w:hint="eastAsia"/>
      </w:rPr>
    </w:lvl>
  </w:abstractNum>
  <w:abstractNum w:abstractNumId="2">
    <w:nsid w:val="1C44C56A"/>
    <w:multiLevelType w:val="singleLevel"/>
    <w:tmpl w:val="1C44C56A"/>
    <w:lvl w:ilvl="0" w:tentative="0">
      <w:start w:val="1"/>
      <w:numFmt w:val="chineseCounting"/>
      <w:suff w:val="nothing"/>
      <w:lvlText w:val="（%1）"/>
      <w:lvlJc w:val="left"/>
      <w:pPr>
        <w:ind w:left="0" w:firstLine="420"/>
      </w:pPr>
      <w:rPr>
        <w:rFonts w:hint="eastAsia" w:ascii="楷体" w:hAnsi="楷体" w:eastAsia="楷体" w:cs="楷体"/>
        <w:sz w:val="28"/>
        <w:szCs w:val="28"/>
      </w:rPr>
    </w:lvl>
  </w:abstractNum>
  <w:abstractNum w:abstractNumId="3">
    <w:nsid w:val="28F9012A"/>
    <w:multiLevelType w:val="multilevel"/>
    <w:tmpl w:val="28F9012A"/>
    <w:lvl w:ilvl="0" w:tentative="0">
      <w:start w:val="1"/>
      <w:numFmt w:val="chineseCounting"/>
      <w:suff w:val="nothing"/>
      <w:lvlText w:val="%1、"/>
      <w:lvlJc w:val="left"/>
      <w:pPr>
        <w:tabs>
          <w:tab w:val="left" w:pos="0"/>
        </w:tabs>
        <w:ind w:left="0" w:firstLine="0"/>
      </w:pPr>
      <w:rPr>
        <w:rFonts w:hint="eastAsia"/>
      </w:rPr>
    </w:lvl>
    <w:lvl w:ilvl="1" w:tentative="0">
      <w:start w:val="1"/>
      <w:numFmt w:val="chineseCounting"/>
      <w:pStyle w:val="5"/>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55F1354D"/>
    <w:multiLevelType w:val="singleLevel"/>
    <w:tmpl w:val="55F1354D"/>
    <w:lvl w:ilvl="0" w:tentative="0">
      <w:start w:val="1"/>
      <w:numFmt w:val="chineseCounting"/>
      <w:suff w:val="nothing"/>
      <w:lvlText w:val="（%1）"/>
      <w:lvlJc w:val="left"/>
      <w:pPr>
        <w:ind w:left="0" w:firstLine="420"/>
      </w:pPr>
      <w:rPr>
        <w:rFonts w:hint="eastAsia"/>
      </w:rPr>
    </w:lvl>
  </w:abstractNum>
  <w:abstractNum w:abstractNumId="5">
    <w:nsid w:val="77480EED"/>
    <w:multiLevelType w:val="singleLevel"/>
    <w:tmpl w:val="77480EED"/>
    <w:lvl w:ilvl="0" w:tentative="0">
      <w:start w:val="1"/>
      <w:numFmt w:val="chineseCounting"/>
      <w:suff w:val="nothing"/>
      <w:lvlText w:val="（%1）"/>
      <w:lvlJc w:val="left"/>
      <w:pPr>
        <w:ind w:left="0" w:firstLine="420"/>
      </w:pPr>
      <w:rPr>
        <w:rFonts w:hint="eastAsia"/>
      </w:rPr>
    </w:lvl>
  </w:abstractNum>
  <w:abstractNum w:abstractNumId="6">
    <w:nsid w:val="7AA8DB54"/>
    <w:multiLevelType w:val="singleLevel"/>
    <w:tmpl w:val="7AA8DB54"/>
    <w:lvl w:ilvl="0" w:tentative="0">
      <w:start w:val="7"/>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jYzRiOTBjNTBjZDkwNDA1NTA4OTA0MTdlNGQ1ZDMifQ=="/>
  </w:docVars>
  <w:rsids>
    <w:rsidRoot w:val="07E16363"/>
    <w:rsid w:val="02A604E3"/>
    <w:rsid w:val="02C57E23"/>
    <w:rsid w:val="041132CF"/>
    <w:rsid w:val="042042C5"/>
    <w:rsid w:val="04E64D49"/>
    <w:rsid w:val="06A2436E"/>
    <w:rsid w:val="07797F74"/>
    <w:rsid w:val="07E16363"/>
    <w:rsid w:val="09BD73CF"/>
    <w:rsid w:val="0A8D08C3"/>
    <w:rsid w:val="0AF7145F"/>
    <w:rsid w:val="0B1877C4"/>
    <w:rsid w:val="0C913FB2"/>
    <w:rsid w:val="0E473CE2"/>
    <w:rsid w:val="0E48359D"/>
    <w:rsid w:val="0F745044"/>
    <w:rsid w:val="10D651B4"/>
    <w:rsid w:val="11785309"/>
    <w:rsid w:val="12280F14"/>
    <w:rsid w:val="12F901BB"/>
    <w:rsid w:val="156C33C0"/>
    <w:rsid w:val="17A96653"/>
    <w:rsid w:val="191B0DA1"/>
    <w:rsid w:val="1A482285"/>
    <w:rsid w:val="1CAE0268"/>
    <w:rsid w:val="1CC02BBF"/>
    <w:rsid w:val="1CC64740"/>
    <w:rsid w:val="1DD54D2C"/>
    <w:rsid w:val="1E664EF8"/>
    <w:rsid w:val="1E98381F"/>
    <w:rsid w:val="22486A69"/>
    <w:rsid w:val="240D2038"/>
    <w:rsid w:val="252512E3"/>
    <w:rsid w:val="25CE197B"/>
    <w:rsid w:val="27CE5180"/>
    <w:rsid w:val="2A467D32"/>
    <w:rsid w:val="2A770838"/>
    <w:rsid w:val="2A9154ED"/>
    <w:rsid w:val="2AC05D36"/>
    <w:rsid w:val="2B093F9D"/>
    <w:rsid w:val="2E9D013C"/>
    <w:rsid w:val="3511718E"/>
    <w:rsid w:val="369B6AF7"/>
    <w:rsid w:val="374D05BC"/>
    <w:rsid w:val="3760340A"/>
    <w:rsid w:val="37712166"/>
    <w:rsid w:val="37910B9E"/>
    <w:rsid w:val="381B5E1E"/>
    <w:rsid w:val="383A795F"/>
    <w:rsid w:val="386E4340"/>
    <w:rsid w:val="39D65EF4"/>
    <w:rsid w:val="3A086DB2"/>
    <w:rsid w:val="3A5169AB"/>
    <w:rsid w:val="3A83376C"/>
    <w:rsid w:val="3C173A19"/>
    <w:rsid w:val="3D9236E4"/>
    <w:rsid w:val="3EB92D70"/>
    <w:rsid w:val="40363F4D"/>
    <w:rsid w:val="408C7674"/>
    <w:rsid w:val="45D56CF8"/>
    <w:rsid w:val="4743767B"/>
    <w:rsid w:val="492E31F7"/>
    <w:rsid w:val="4CB30DFF"/>
    <w:rsid w:val="4E3C7C3F"/>
    <w:rsid w:val="4E9C381F"/>
    <w:rsid w:val="52383DE0"/>
    <w:rsid w:val="523C2DF0"/>
    <w:rsid w:val="535A2C04"/>
    <w:rsid w:val="54372316"/>
    <w:rsid w:val="54F16968"/>
    <w:rsid w:val="55313209"/>
    <w:rsid w:val="556E620B"/>
    <w:rsid w:val="55E24503"/>
    <w:rsid w:val="56A417B8"/>
    <w:rsid w:val="5730129E"/>
    <w:rsid w:val="58030761"/>
    <w:rsid w:val="585F6FDE"/>
    <w:rsid w:val="5A85568C"/>
    <w:rsid w:val="5BDD7C46"/>
    <w:rsid w:val="5C1E200D"/>
    <w:rsid w:val="5C3A20CE"/>
    <w:rsid w:val="5DCA7D57"/>
    <w:rsid w:val="5EC808B2"/>
    <w:rsid w:val="5FF30A64"/>
    <w:rsid w:val="60562829"/>
    <w:rsid w:val="60584F1D"/>
    <w:rsid w:val="6219743F"/>
    <w:rsid w:val="62443D4A"/>
    <w:rsid w:val="62A84EB6"/>
    <w:rsid w:val="632779F9"/>
    <w:rsid w:val="6374209F"/>
    <w:rsid w:val="63D950DD"/>
    <w:rsid w:val="652048DD"/>
    <w:rsid w:val="67584625"/>
    <w:rsid w:val="68A24AB7"/>
    <w:rsid w:val="6A1011E7"/>
    <w:rsid w:val="6A8A28EE"/>
    <w:rsid w:val="6A8D0A8A"/>
    <w:rsid w:val="6AEA083B"/>
    <w:rsid w:val="6C2C723B"/>
    <w:rsid w:val="6C924135"/>
    <w:rsid w:val="6D9E41C2"/>
    <w:rsid w:val="6EBD1AB8"/>
    <w:rsid w:val="703B2D36"/>
    <w:rsid w:val="709829F2"/>
    <w:rsid w:val="74732F7F"/>
    <w:rsid w:val="75A82C1C"/>
    <w:rsid w:val="761A74E7"/>
    <w:rsid w:val="764B3481"/>
    <w:rsid w:val="79BC4EE7"/>
    <w:rsid w:val="7B8845BE"/>
    <w:rsid w:val="7C4F182A"/>
    <w:rsid w:val="7C773348"/>
    <w:rsid w:val="ADEE4E72"/>
    <w:rsid w:val="D7FFA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numPr>
        <w:ilvl w:val="0"/>
        <w:numId w:val="1"/>
      </w:numPr>
      <w:spacing w:beforeAutospacing="1" w:afterAutospacing="1"/>
      <w:jc w:val="left"/>
      <w:outlineLvl w:val="0"/>
    </w:pPr>
    <w:rPr>
      <w:rFonts w:hint="eastAsia" w:ascii="宋体" w:hAnsi="宋体" w:eastAsia="宋体" w:cs="Times New Roman"/>
      <w:b/>
      <w:bCs/>
      <w:kern w:val="44"/>
      <w:sz w:val="48"/>
      <w:szCs w:val="48"/>
    </w:rPr>
  </w:style>
  <w:style w:type="paragraph" w:styleId="5">
    <w:name w:val="heading 2"/>
    <w:basedOn w:val="1"/>
    <w:next w:val="1"/>
    <w:unhideWhenUsed/>
    <w:qFormat/>
    <w:uiPriority w:val="9"/>
    <w:pPr>
      <w:keepNext/>
      <w:keepLines/>
      <w:numPr>
        <w:ilvl w:val="1"/>
        <w:numId w:val="2"/>
      </w:numPr>
      <w:spacing w:before="260" w:beforeLines="0" w:beforeAutospacing="0" w:after="260" w:afterLines="0" w:afterAutospacing="0" w:line="413" w:lineRule="auto"/>
      <w:outlineLvl w:val="1"/>
    </w:pPr>
    <w:rPr>
      <w:rFonts w:ascii="Arial" w:hAnsi="Arial" w:eastAsia="黑体"/>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line="240" w:lineRule="auto"/>
      <w:ind w:left="420" w:leftChars="200" w:firstLine="420" w:firstLineChars="200"/>
    </w:pPr>
    <w:rPr>
      <w:sz w:val="21"/>
    </w:rPr>
  </w:style>
  <w:style w:type="paragraph" w:styleId="3">
    <w:name w:val="Body Text Indent"/>
    <w:basedOn w:val="1"/>
    <w:next w:val="1"/>
    <w:qFormat/>
    <w:uiPriority w:val="0"/>
    <w:pPr>
      <w:spacing w:line="500" w:lineRule="exact"/>
      <w:ind w:left="1588" w:leftChars="832" w:firstLine="433" w:firstLineChars="196"/>
    </w:pPr>
    <w:rPr>
      <w:sz w:val="24"/>
    </w:rPr>
  </w:style>
  <w:style w:type="paragraph" w:styleId="6">
    <w:name w:val="toc 3"/>
    <w:basedOn w:val="1"/>
    <w:next w:val="1"/>
    <w:qFormat/>
    <w:uiPriority w:val="0"/>
    <w:pPr>
      <w:ind w:left="840" w:leftChars="4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right" w:leader="dot" w:pos="8777"/>
      </w:tabs>
      <w:spacing w:line="360" w:lineRule="auto"/>
    </w:pPr>
    <w:rPr>
      <w:rFonts w:ascii="Times New Roman" w:hAnsi="Times New Roman" w:eastAsia="宋体" w:cs="Times New Roman"/>
      <w:szCs w:val="24"/>
    </w:rPr>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paragraph" w:customStyle="1" w:styleId="16">
    <w:name w:val="WPSOffice手动目录 1"/>
    <w:qFormat/>
    <w:uiPriority w:val="0"/>
    <w:pPr>
      <w:ind w:leftChars="0"/>
    </w:pPr>
    <w:rPr>
      <w:rFonts w:ascii="Times New Roman" w:hAnsi="Times New Roman" w:eastAsia="Times New Roman" w:cs="Times New Roman"/>
      <w:sz w:val="20"/>
      <w:szCs w:val="20"/>
    </w:rPr>
  </w:style>
  <w:style w:type="paragraph" w:customStyle="1" w:styleId="17">
    <w:name w:val="p0"/>
    <w:qFormat/>
    <w:uiPriority w:val="0"/>
    <w:pPr>
      <w:widowControl w:val="0"/>
      <w:jc w:val="both"/>
    </w:pPr>
    <w:rPr>
      <w:rFonts w:ascii="Calibri" w:hAnsi="Calibri" w:eastAsia="宋体" w:cs="Times New Roman"/>
      <w:kern w:val="2"/>
      <w:sz w:val="21"/>
      <w:szCs w:val="24"/>
      <w:lang w:val="en-US" w:eastAsia="zh-CN" w:bidi="ar-SA"/>
    </w:rPr>
  </w:style>
  <w:style w:type="character" w:customStyle="1" w:styleId="18">
    <w:name w:val="font11"/>
    <w:basedOn w:val="14"/>
    <w:qFormat/>
    <w:uiPriority w:val="0"/>
    <w:rPr>
      <w:rFonts w:hint="eastAsia" w:ascii="仿宋" w:hAnsi="仿宋" w:eastAsia="仿宋" w:cs="仿宋"/>
      <w:color w:val="000000"/>
      <w:sz w:val="24"/>
      <w:szCs w:val="24"/>
      <w:u w:val="none"/>
    </w:rPr>
  </w:style>
  <w:style w:type="character" w:customStyle="1" w:styleId="19">
    <w:name w:val="font21"/>
    <w:basedOn w:val="14"/>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1.png"/><Relationship Id="rId40" Type="http://schemas.openxmlformats.org/officeDocument/2006/relationships/image" Target="media/image30.png"/><Relationship Id="rId4" Type="http://schemas.openxmlformats.org/officeDocument/2006/relationships/footer" Target="foot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jpeg"/><Relationship Id="rId26" Type="http://schemas.openxmlformats.org/officeDocument/2006/relationships/image" Target="media/image16.jpeg"/><Relationship Id="rId25" Type="http://schemas.openxmlformats.org/officeDocument/2006/relationships/image" Target="media/image15.jpeg"/><Relationship Id="rId24" Type="http://schemas.openxmlformats.org/officeDocument/2006/relationships/image" Target="media/image14.jpeg"/><Relationship Id="rId23" Type="http://schemas.openxmlformats.org/officeDocument/2006/relationships/image" Target="media/image13.jpeg"/><Relationship Id="rId22" Type="http://schemas.openxmlformats.org/officeDocument/2006/relationships/image" Target="media/image12.jpeg"/><Relationship Id="rId21" Type="http://schemas.openxmlformats.org/officeDocument/2006/relationships/image" Target="media/image11.jpeg"/><Relationship Id="rId20" Type="http://schemas.openxmlformats.org/officeDocument/2006/relationships/image" Target="media/image10.jpeg"/><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jpeg"/><Relationship Id="rId17" Type="http://schemas.openxmlformats.org/officeDocument/2006/relationships/image" Target="media/image7.jpeg"/><Relationship Id="rId16" Type="http://schemas.openxmlformats.org/officeDocument/2006/relationships/image" Target="media/image6.jpeg"/><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15463</Words>
  <Characters>30167</Characters>
  <Lines>0</Lines>
  <Paragraphs>0</Paragraphs>
  <TotalTime>12</TotalTime>
  <ScaleCrop>false</ScaleCrop>
  <LinksUpToDate>false</LinksUpToDate>
  <CharactersWithSpaces>32458</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2023-06-29T03:11:00Z</dcterms:created>
  <dc:creator>小迷糊</dc:creator>
  <cp:lastModifiedBy>thtf</cp:lastModifiedBy>
  <dcterms:modified xsi:type="dcterms:W3CDTF">2024-12-09T16:33:40Z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F6B602449A704B8FB6E0C14E04A44530_13</vt:lpwstr>
  </property>
</Properties>
</file>