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widowControl w:val="0"/>
        <w:kinsoku/>
        <w:wordWrap/>
        <w:overflowPunct/>
        <w:topLinePunct w:val="0"/>
        <w:autoSpaceDE/>
        <w:autoSpaceDN/>
        <w:bidi w:val="0"/>
        <w:adjustRightInd/>
        <w:snapToGrid/>
        <w:rPr>
          <w:rFonts w:hint="eastAsia" w:ascii="宋体" w:hAnsi="宋体" w:eastAsia="宋体" w:cs="宋体"/>
          <w:color w:val="auto"/>
          <w:sz w:val="52"/>
          <w:szCs w:val="52"/>
          <w:lang w:val="en-US" w:eastAsia="zh-CN"/>
        </w:rPr>
      </w:pPr>
      <w:r>
        <w:rPr>
          <w:rFonts w:hint="eastAsia" w:ascii="宋体" w:hAnsi="宋体" w:eastAsia="宋体" w:cs="宋体"/>
          <w:color w:val="auto"/>
          <w:sz w:val="52"/>
          <w:szCs w:val="52"/>
          <w:lang w:val="en-US" w:eastAsia="zh-CN"/>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color w:val="auto"/>
          <w:sz w:val="52"/>
          <w:szCs w:val="52"/>
          <w:lang w:val="en-US" w:eastAsia="zh-CN"/>
        </w:rPr>
        <w:instrText xml:space="preserve">ADDIN CNKISM.UserStyle</w:instrText>
      </w:r>
      <w:r>
        <w:rPr>
          <w:rFonts w:hint="eastAsia" w:ascii="宋体" w:hAnsi="宋体" w:eastAsia="宋体" w:cs="宋体"/>
          <w:color w:val="auto"/>
          <w:sz w:val="52"/>
          <w:szCs w:val="52"/>
          <w:lang w:val="en-US" w:eastAsia="zh-CN"/>
        </w:rPr>
        <w:fldChar w:fldCharType="end"/>
      </w:r>
    </w:p>
    <w:p>
      <w:pPr>
        <w:keepLines w:val="0"/>
        <w:pageBreakBefore w:val="0"/>
        <w:widowControl w:val="0"/>
        <w:kinsoku/>
        <w:wordWrap/>
        <w:overflowPunct/>
        <w:topLinePunct w:val="0"/>
        <w:autoSpaceDE/>
        <w:autoSpaceDN/>
        <w:bidi w:val="0"/>
        <w:adjustRightInd/>
        <w:snapToGrid/>
        <w:spacing w:line="360" w:lineRule="auto"/>
        <w:jc w:val="center"/>
        <w:rPr>
          <w:rFonts w:hint="default" w:ascii="仿宋" w:hAnsi="仿宋" w:eastAsia="仿宋" w:cs="仿宋"/>
          <w:b/>
          <w:color w:val="auto"/>
          <w:kern w:val="0"/>
          <w:sz w:val="52"/>
          <w:szCs w:val="52"/>
          <w:lang w:val="en-US" w:eastAsia="zh-CN"/>
        </w:rPr>
      </w:pPr>
      <w:r>
        <w:rPr>
          <w:rFonts w:hint="eastAsia" w:ascii="仿宋" w:hAnsi="仿宋" w:eastAsia="仿宋" w:cs="仿宋"/>
          <w:b/>
          <w:color w:val="auto"/>
          <w:kern w:val="0"/>
          <w:sz w:val="52"/>
          <w:szCs w:val="52"/>
          <w:lang w:eastAsia="zh-CN"/>
        </w:rPr>
        <w:t>2022年度石狮市水路运输业补贴资金</w:t>
      </w:r>
    </w:p>
    <w:p>
      <w:pPr>
        <w:pStyle w:val="2"/>
        <w:keepLines w:val="0"/>
        <w:pageBreakBefore w:val="0"/>
        <w:widowControl w:val="0"/>
        <w:kinsoku/>
        <w:wordWrap/>
        <w:overflowPunct/>
        <w:topLinePunct w:val="0"/>
        <w:autoSpaceDE/>
        <w:autoSpaceDN/>
        <w:bidi w:val="0"/>
        <w:adjustRightInd/>
        <w:snapToGrid/>
        <w:rPr>
          <w:rFonts w:hint="default"/>
          <w:color w:val="auto"/>
          <w:lang w:val="en-US" w:eastAsia="zh-CN"/>
        </w:rPr>
      </w:pPr>
    </w:p>
    <w:p>
      <w:pPr>
        <w:pStyle w:val="2"/>
        <w:keepLines w:val="0"/>
        <w:pageBreakBefore w:val="0"/>
        <w:widowControl w:val="0"/>
        <w:kinsoku/>
        <w:wordWrap/>
        <w:overflowPunct/>
        <w:topLinePunct w:val="0"/>
        <w:autoSpaceDE/>
        <w:autoSpaceDN/>
        <w:bidi w:val="0"/>
        <w:adjustRightInd/>
        <w:snapToGrid/>
        <w:rPr>
          <w:rFonts w:hint="default"/>
          <w:color w:val="auto"/>
          <w:lang w:val="en-US" w:eastAsia="zh-CN"/>
        </w:rPr>
      </w:pPr>
    </w:p>
    <w:p>
      <w:pPr>
        <w:keepLines w:val="0"/>
        <w:pageBreakBefore w:val="0"/>
        <w:widowControl w:val="0"/>
        <w:kinsoku/>
        <w:wordWrap/>
        <w:overflowPunct/>
        <w:topLinePunct w:val="0"/>
        <w:autoSpaceDE/>
        <w:autoSpaceDN/>
        <w:bidi w:val="0"/>
        <w:adjustRightInd/>
        <w:snapToGrid/>
        <w:spacing w:line="360" w:lineRule="auto"/>
        <w:jc w:val="center"/>
        <w:rPr>
          <w:rFonts w:hint="eastAsia" w:ascii="华文行楷" w:hAnsi="楷体" w:eastAsia="华文行楷" w:cs="Arial"/>
          <w:b/>
          <w:color w:val="auto"/>
          <w:kern w:val="2"/>
          <w:sz w:val="84"/>
          <w:szCs w:val="84"/>
          <w:lang w:val="en-US" w:eastAsia="zh-CN" w:bidi="ar-SA"/>
        </w:rPr>
      </w:pPr>
      <w:r>
        <w:rPr>
          <w:rFonts w:hint="eastAsia" w:ascii="华文行楷" w:hAnsi="楷体" w:eastAsia="华文行楷" w:cs="Arial"/>
          <w:b/>
          <w:color w:val="auto"/>
          <w:kern w:val="2"/>
          <w:sz w:val="84"/>
          <w:szCs w:val="84"/>
          <w:lang w:val="en-US" w:eastAsia="zh-CN" w:bidi="ar-SA"/>
        </w:rPr>
        <w:t>绩效评价报告</w:t>
      </w:r>
    </w:p>
    <w:p>
      <w:pPr>
        <w:keepLines w:val="0"/>
        <w:pageBreakBefore w:val="0"/>
        <w:widowControl w:val="0"/>
        <w:kinsoku/>
        <w:wordWrap/>
        <w:overflowPunct/>
        <w:topLinePunct w:val="0"/>
        <w:autoSpaceDE/>
        <w:autoSpaceDN/>
        <w:bidi w:val="0"/>
        <w:adjustRightInd/>
        <w:snapToGrid/>
        <w:ind w:firstLine="640" w:firstLineChars="200"/>
        <w:jc w:val="center"/>
        <w:rPr>
          <w:rFonts w:hint="eastAsia" w:ascii="方正小标宋简体" w:hAnsi="宋体" w:eastAsia="方正小标宋简体" w:cs="Arial"/>
          <w:color w:val="auto"/>
          <w:kern w:val="2"/>
          <w:sz w:val="32"/>
          <w:szCs w:val="32"/>
          <w:lang w:val="en-US" w:eastAsia="zh-CN" w:bidi="ar-SA"/>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rPr>
      </w:pPr>
      <w:r>
        <w:rPr>
          <w:rFonts w:hint="eastAsia" w:ascii="方正小标宋简体" w:hAnsi="宋体" w:eastAsia="方正小标宋简体" w:cs="Arial"/>
          <w:color w:val="auto"/>
          <w:sz w:val="32"/>
          <w:szCs w:val="32"/>
        </w:rPr>
        <w:t>编号：泉招咨绩</w:t>
      </w:r>
      <w:r>
        <w:rPr>
          <w:rFonts w:hint="eastAsia" w:ascii="方正小标宋简体" w:hAnsi="宋体" w:eastAsia="方正小标宋简体" w:cs="Arial"/>
          <w:color w:val="auto"/>
          <w:sz w:val="32"/>
          <w:szCs w:val="32"/>
          <w:lang w:eastAsia="zh-CN"/>
        </w:rPr>
        <w:t>【</w:t>
      </w:r>
      <w:r>
        <w:rPr>
          <w:rFonts w:hint="eastAsia" w:ascii="方正小标宋简体" w:hAnsi="宋体" w:eastAsia="方正小标宋简体" w:cs="Arial"/>
          <w:color w:val="auto"/>
          <w:sz w:val="32"/>
          <w:szCs w:val="32"/>
        </w:rPr>
        <w:t>202</w:t>
      </w:r>
      <w:r>
        <w:rPr>
          <w:rFonts w:hint="eastAsia" w:ascii="方正小标宋简体" w:hAnsi="宋体" w:eastAsia="方正小标宋简体" w:cs="Arial"/>
          <w:color w:val="auto"/>
          <w:sz w:val="32"/>
          <w:szCs w:val="32"/>
          <w:lang w:val="en-US" w:eastAsia="zh-CN"/>
        </w:rPr>
        <w:t>3</w:t>
      </w:r>
      <w:r>
        <w:rPr>
          <w:rFonts w:hint="eastAsia" w:ascii="方正小标宋简体" w:hAnsi="宋体" w:eastAsia="方正小标宋简体" w:cs="Arial"/>
          <w:color w:val="auto"/>
          <w:sz w:val="32"/>
          <w:szCs w:val="32"/>
          <w:lang w:eastAsia="zh-CN"/>
        </w:rPr>
        <w:t>】</w:t>
      </w:r>
      <w:r>
        <w:rPr>
          <w:rFonts w:hint="eastAsia" w:ascii="方正小标宋简体" w:hAnsi="宋体" w:eastAsia="方正小标宋简体" w:cs="Arial"/>
          <w:color w:val="auto"/>
          <w:sz w:val="32"/>
          <w:szCs w:val="32"/>
          <w:lang w:val="en-US" w:eastAsia="zh-CN"/>
        </w:rPr>
        <w:t>6-7</w:t>
      </w:r>
      <w:r>
        <w:rPr>
          <w:rFonts w:hint="eastAsia" w:ascii="方正小标宋简体" w:hAnsi="宋体" w:eastAsia="方正小标宋简体" w:cs="Arial"/>
          <w:color w:val="auto"/>
          <w:sz w:val="32"/>
          <w:szCs w:val="32"/>
        </w:rPr>
        <w:t>号</w:t>
      </w: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lang w:val="en-US" w:eastAsia="zh-CN"/>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lang w:val="en-US" w:eastAsia="zh-CN"/>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lang w:val="en-US" w:eastAsia="zh-CN"/>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lang w:val="en-US" w:eastAsia="zh-CN"/>
        </w:rPr>
      </w:pPr>
    </w:p>
    <w:p>
      <w:pPr>
        <w:pStyle w:val="2"/>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rPr>
          <w:rFonts w:hint="eastAsia" w:ascii="方正小标宋简体" w:hAnsi="宋体" w:eastAsia="方正小标宋简体" w:cs="Arial"/>
          <w:color w:val="auto"/>
          <w:sz w:val="21"/>
          <w:szCs w:val="21"/>
          <w:lang w:val="en-US" w:eastAsia="zh-CN"/>
        </w:rPr>
      </w:pP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both"/>
        <w:textAlignment w:val="auto"/>
        <w:outlineLvl w:val="0"/>
        <w:rPr>
          <w:rStyle w:val="21"/>
          <w:rFonts w:hint="eastAsia" w:ascii="仿宋" w:hAnsi="仿宋" w:eastAsia="仿宋" w:cs="仿宋"/>
          <w:b w:val="0"/>
          <w:bCs/>
          <w:i w:val="0"/>
          <w:caps w:val="0"/>
          <w:color w:val="auto"/>
          <w:spacing w:val="0"/>
          <w:sz w:val="32"/>
          <w:szCs w:val="32"/>
          <w:highlight w:val="none"/>
          <w:shd w:val="clear" w:fill="FFFFFF"/>
          <w:lang w:val="en-US" w:eastAsia="zh-CN" w:bidi="ar"/>
        </w:rPr>
      </w:pPr>
      <w:bookmarkStart w:id="0" w:name="_Toc20241"/>
      <w:bookmarkStart w:id="1" w:name="_Toc5524"/>
      <w:bookmarkStart w:id="2" w:name="_Toc19535"/>
      <w:bookmarkStart w:id="3" w:name="_Toc29326"/>
      <w:r>
        <w:rPr>
          <w:rStyle w:val="21"/>
          <w:rFonts w:hint="eastAsia" w:ascii="仿宋" w:hAnsi="仿宋" w:eastAsia="仿宋" w:cs="仿宋"/>
          <w:b/>
          <w:bCs w:val="0"/>
          <w:i w:val="0"/>
          <w:caps w:val="0"/>
          <w:color w:val="auto"/>
          <w:spacing w:val="0"/>
          <w:sz w:val="32"/>
          <w:szCs w:val="32"/>
          <w:highlight w:val="none"/>
          <w:shd w:val="clear" w:fill="FFFFFF"/>
          <w:lang w:val="en-US" w:eastAsia="zh-CN" w:bidi="ar"/>
        </w:rPr>
        <w:t>委托单位：</w:t>
      </w:r>
      <w:r>
        <w:rPr>
          <w:rStyle w:val="21"/>
          <w:rFonts w:hint="eastAsia" w:ascii="仿宋" w:hAnsi="仿宋" w:eastAsia="仿宋" w:cs="仿宋"/>
          <w:b w:val="0"/>
          <w:bCs/>
          <w:i w:val="0"/>
          <w:caps w:val="0"/>
          <w:color w:val="auto"/>
          <w:spacing w:val="0"/>
          <w:sz w:val="32"/>
          <w:szCs w:val="32"/>
          <w:highlight w:val="none"/>
          <w:shd w:val="clear" w:fill="FFFFFF"/>
          <w:lang w:val="en-US" w:eastAsia="zh-CN" w:bidi="ar"/>
        </w:rPr>
        <w:t>石狮市财政局</w:t>
      </w:r>
      <w:bookmarkEnd w:id="0"/>
      <w:bookmarkEnd w:id="1"/>
      <w:bookmarkEnd w:id="2"/>
      <w:bookmarkEnd w:id="3"/>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both"/>
        <w:textAlignment w:val="auto"/>
        <w:outlineLvl w:val="0"/>
        <w:rPr>
          <w:rStyle w:val="21"/>
          <w:rFonts w:hint="eastAsia" w:ascii="仿宋" w:hAnsi="仿宋" w:eastAsia="仿宋" w:cs="仿宋"/>
          <w:b w:val="0"/>
          <w:bCs/>
          <w:i w:val="0"/>
          <w:caps w:val="0"/>
          <w:color w:val="auto"/>
          <w:spacing w:val="0"/>
          <w:sz w:val="32"/>
          <w:szCs w:val="32"/>
          <w:highlight w:val="none"/>
          <w:shd w:val="clear" w:fill="FFFFFF"/>
          <w:lang w:val="en-US" w:eastAsia="zh-CN" w:bidi="ar"/>
        </w:rPr>
      </w:pPr>
      <w:bookmarkStart w:id="4" w:name="_Toc18763"/>
      <w:bookmarkStart w:id="5" w:name="_Toc30978"/>
      <w:bookmarkStart w:id="6" w:name="_Toc2004"/>
      <w:bookmarkStart w:id="7" w:name="_Toc6979"/>
      <w:r>
        <w:rPr>
          <w:rStyle w:val="21"/>
          <w:rFonts w:hint="eastAsia" w:ascii="仿宋" w:hAnsi="仿宋" w:eastAsia="仿宋" w:cs="仿宋"/>
          <w:b/>
          <w:bCs w:val="0"/>
          <w:i w:val="0"/>
          <w:caps w:val="0"/>
          <w:color w:val="auto"/>
          <w:spacing w:val="0"/>
          <w:sz w:val="32"/>
          <w:szCs w:val="32"/>
          <w:highlight w:val="none"/>
          <w:shd w:val="clear" w:fill="FFFFFF"/>
          <w:lang w:val="en-US" w:eastAsia="zh-CN" w:bidi="ar"/>
        </w:rPr>
        <w:t>实施单位：</w:t>
      </w:r>
      <w:r>
        <w:rPr>
          <w:rStyle w:val="21"/>
          <w:rFonts w:hint="eastAsia" w:ascii="仿宋" w:hAnsi="仿宋" w:eastAsia="仿宋" w:cs="仿宋"/>
          <w:b w:val="0"/>
          <w:bCs/>
          <w:i w:val="0"/>
          <w:caps w:val="0"/>
          <w:color w:val="auto"/>
          <w:spacing w:val="0"/>
          <w:sz w:val="32"/>
          <w:szCs w:val="32"/>
          <w:highlight w:val="none"/>
          <w:shd w:val="clear" w:fill="FFFFFF"/>
          <w:lang w:val="en-US" w:eastAsia="zh-CN" w:bidi="ar"/>
        </w:rPr>
        <w:t>石狮市交通和港口发展局</w:t>
      </w:r>
      <w:bookmarkEnd w:id="4"/>
      <w:bookmarkEnd w:id="5"/>
      <w:bookmarkEnd w:id="6"/>
      <w:bookmarkEnd w:id="7"/>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1927" w:firstLineChars="600"/>
        <w:jc w:val="both"/>
        <w:textAlignment w:val="auto"/>
        <w:outlineLvl w:val="0"/>
        <w:rPr>
          <w:rFonts w:hint="eastAsia" w:ascii="仿宋" w:hAnsi="仿宋" w:eastAsia="仿宋" w:cs="仿宋"/>
          <w:b w:val="0"/>
          <w:bCs/>
          <w:color w:val="auto"/>
          <w:sz w:val="32"/>
          <w:szCs w:val="32"/>
          <w:u w:val="single"/>
        </w:rPr>
      </w:pPr>
      <w:bookmarkStart w:id="8" w:name="_Toc21329"/>
      <w:bookmarkStart w:id="9" w:name="_Toc8077"/>
      <w:bookmarkStart w:id="10" w:name="_Toc17923"/>
      <w:bookmarkStart w:id="11" w:name="_Toc619"/>
      <w:r>
        <w:rPr>
          <w:rStyle w:val="21"/>
          <w:rFonts w:hint="eastAsia" w:ascii="仿宋" w:hAnsi="仿宋" w:eastAsia="仿宋" w:cs="仿宋"/>
          <w:b/>
          <w:bCs w:val="0"/>
          <w:i w:val="0"/>
          <w:caps w:val="0"/>
          <w:color w:val="auto"/>
          <w:spacing w:val="0"/>
          <w:sz w:val="32"/>
          <w:szCs w:val="32"/>
          <w:highlight w:val="none"/>
          <w:shd w:val="clear" w:fill="FFFFFF"/>
          <w:lang w:val="en-US" w:eastAsia="zh-CN" w:bidi="ar"/>
        </w:rPr>
        <w:t>编制单位：</w:t>
      </w:r>
      <w:r>
        <w:rPr>
          <w:rStyle w:val="21"/>
          <w:rFonts w:hint="eastAsia" w:ascii="仿宋" w:hAnsi="仿宋" w:eastAsia="仿宋" w:cs="仿宋"/>
          <w:b w:val="0"/>
          <w:bCs/>
          <w:i w:val="0"/>
          <w:caps w:val="0"/>
          <w:color w:val="auto"/>
          <w:spacing w:val="0"/>
          <w:sz w:val="32"/>
          <w:szCs w:val="32"/>
          <w:highlight w:val="none"/>
          <w:shd w:val="clear" w:fill="FFFFFF"/>
          <w:lang w:val="en-US" w:eastAsia="zh-CN" w:bidi="ar"/>
        </w:rPr>
        <w:t>泉州市招标咨询中心有限公司</w:t>
      </w:r>
      <w:bookmarkEnd w:id="8"/>
      <w:bookmarkEnd w:id="9"/>
      <w:bookmarkEnd w:id="10"/>
      <w:bookmarkEnd w:id="11"/>
    </w:p>
    <w:p>
      <w:pPr>
        <w:keepLines w:val="0"/>
        <w:pageBreakBefore w:val="0"/>
        <w:widowControl w:val="0"/>
        <w:kinsoku/>
        <w:wordWrap/>
        <w:overflowPunct/>
        <w:topLinePunct w:val="0"/>
        <w:autoSpaceDE/>
        <w:autoSpaceDN/>
        <w:bidi w:val="0"/>
        <w:adjustRightInd/>
        <w:snapToGrid/>
        <w:jc w:val="center"/>
        <w:rPr>
          <w:rFonts w:hint="eastAsia" w:ascii="仿宋" w:hAnsi="仿宋" w:eastAsia="仿宋" w:cs="仿宋"/>
          <w:b w:val="0"/>
          <w:bCs/>
          <w:color w:val="auto"/>
          <w:sz w:val="30"/>
          <w:szCs w:val="30"/>
          <w:u w:val="none"/>
          <w:lang w:val="en-US" w:eastAsia="zh-CN"/>
        </w:rPr>
      </w:pP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600" w:firstLineChars="200"/>
        <w:jc w:val="center"/>
        <w:rPr>
          <w:rStyle w:val="21"/>
          <w:rFonts w:hint="eastAsia" w:ascii="仿宋" w:hAnsi="仿宋" w:eastAsia="仿宋" w:cs="仿宋"/>
          <w:b w:val="0"/>
          <w:bCs/>
          <w:i w:val="0"/>
          <w:caps w:val="0"/>
          <w:color w:val="auto"/>
          <w:spacing w:val="0"/>
          <w:sz w:val="30"/>
          <w:szCs w:val="30"/>
          <w:highlight w:val="none"/>
          <w:shd w:val="clear" w:fill="FFFFFF"/>
          <w:lang w:val="en-US" w:eastAsia="zh-CN" w:bidi="ar"/>
        </w:rPr>
      </w:pPr>
      <w:r>
        <w:rPr>
          <w:rStyle w:val="21"/>
          <w:rFonts w:hint="eastAsia" w:ascii="仿宋" w:hAnsi="仿宋" w:eastAsia="仿宋" w:cs="仿宋"/>
          <w:b w:val="0"/>
          <w:bCs/>
          <w:i w:val="0"/>
          <w:caps w:val="0"/>
          <w:color w:val="auto"/>
          <w:spacing w:val="0"/>
          <w:sz w:val="30"/>
          <w:szCs w:val="30"/>
          <w:highlight w:val="none"/>
          <w:shd w:val="clear" w:fill="FFFFFF"/>
          <w:lang w:val="en-US" w:eastAsia="zh-CN" w:bidi="ar"/>
        </w:rPr>
        <w:t xml:space="preserve">2023年7月 </w:t>
      </w: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leftChars="0" w:right="0" w:firstLine="600" w:firstLineChars="200"/>
        <w:jc w:val="center"/>
        <w:rPr>
          <w:rStyle w:val="21"/>
          <w:rFonts w:hint="eastAsia" w:ascii="仿宋" w:hAnsi="仿宋" w:eastAsia="仿宋" w:cs="仿宋"/>
          <w:b w:val="0"/>
          <w:bCs/>
          <w:i w:val="0"/>
          <w:caps w:val="0"/>
          <w:color w:val="auto"/>
          <w:spacing w:val="0"/>
          <w:sz w:val="30"/>
          <w:szCs w:val="30"/>
          <w:highlight w:val="none"/>
          <w:shd w:val="clear" w:fill="FFFFFF"/>
          <w:lang w:val="en-US" w:eastAsia="zh-CN" w:bidi="ar"/>
        </w:rPr>
        <w:sectPr>
          <w:headerReference r:id="rId3" w:type="default"/>
          <w:footerReference r:id="rId4" w:type="default"/>
          <w:pgSz w:w="11906" w:h="16838"/>
          <w:pgMar w:top="1417" w:right="1474" w:bottom="1417" w:left="1587" w:header="851" w:footer="992"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2"/>
        <w:keepLines w:val="0"/>
        <w:pageBreakBefore w:val="0"/>
        <w:widowControl w:val="0"/>
        <w:kinsoku/>
        <w:wordWrap/>
        <w:overflowPunct/>
        <w:topLinePunct w:val="0"/>
        <w:autoSpaceDE/>
        <w:autoSpaceDN/>
        <w:bidi w:val="0"/>
        <w:adjustRightInd/>
        <w:snapToGrid/>
        <w:ind w:left="0" w:leftChars="0" w:firstLine="0" w:firstLineChars="0"/>
        <w:rPr>
          <w:rFonts w:hint="eastAsia" w:ascii="仿宋" w:hAnsi="仿宋" w:eastAsia="仿宋" w:cs="仿宋"/>
          <w:color w:val="auto"/>
        </w:rPr>
      </w:pPr>
    </w:p>
    <w:sdt>
      <w:sdtPr>
        <w:rPr>
          <w:rFonts w:ascii="宋体" w:hAnsi="宋体" w:eastAsia="宋体" w:cstheme="minorBidi"/>
          <w:kern w:val="2"/>
          <w:sz w:val="21"/>
          <w:szCs w:val="22"/>
          <w:lang w:val="en-US" w:eastAsia="zh-CN" w:bidi="ar-SA"/>
        </w:rPr>
        <w:id w:val="147477052"/>
        <w15:color w:val="DBDBDB"/>
        <w:docPartObj>
          <w:docPartGallery w:val="Table of Contents"/>
          <w:docPartUnique/>
        </w:docPartObj>
      </w:sdtPr>
      <w:sdtEndPr>
        <w:rPr>
          <w:rFonts w:ascii="宋体" w:hAnsi="宋体" w:eastAsia="宋体" w:cstheme="minorBidi"/>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33"/>
            <w:tabs>
              <w:tab w:val="right" w:leader="dot" w:pos="8845"/>
            </w:tabs>
          </w:pPr>
          <w:r>
            <w:fldChar w:fldCharType="begin"/>
          </w:r>
          <w:r>
            <w:instrText xml:space="preserve">TOC \o "1-3" \h \u </w:instrText>
          </w:r>
          <w:r>
            <w:fldChar w:fldCharType="separate"/>
          </w:r>
          <w:r>
            <w:fldChar w:fldCharType="begin"/>
          </w:r>
          <w:r>
            <w:instrText xml:space="preserve"> HYPERLINK \l _Toc27185 </w:instrText>
          </w:r>
          <w:r>
            <w:fldChar w:fldCharType="separate"/>
          </w:r>
          <w:r>
            <w:rPr>
              <w:rFonts w:hint="eastAsia" w:ascii="黑体" w:hAnsi="黑体" w:eastAsia="黑体" w:cs="黑体"/>
              <w:bCs/>
              <w:szCs w:val="28"/>
              <w:highlight w:val="none"/>
              <w:lang w:val="en-US" w:eastAsia="zh-CN"/>
            </w:rPr>
            <w:t>前 言</w:t>
          </w:r>
          <w:r>
            <w:tab/>
          </w:r>
          <w:r>
            <w:fldChar w:fldCharType="begin"/>
          </w:r>
          <w:r>
            <w:instrText xml:space="preserve"> PAGEREF _Toc27185 \h </w:instrText>
          </w:r>
          <w:r>
            <w:fldChar w:fldCharType="separate"/>
          </w:r>
          <w:r>
            <w:t>1</w:t>
          </w:r>
          <w:r>
            <w:fldChar w:fldCharType="end"/>
          </w:r>
          <w:r>
            <w:fldChar w:fldCharType="end"/>
          </w:r>
        </w:p>
        <w:p>
          <w:pPr>
            <w:pStyle w:val="33"/>
            <w:tabs>
              <w:tab w:val="right" w:leader="dot" w:pos="8845"/>
            </w:tabs>
          </w:pPr>
          <w:r>
            <w:fldChar w:fldCharType="begin"/>
          </w:r>
          <w:r>
            <w:instrText xml:space="preserve"> HYPERLINK \l _Toc15668 </w:instrText>
          </w:r>
          <w:r>
            <w:fldChar w:fldCharType="separate"/>
          </w:r>
          <w:r>
            <w:rPr>
              <w:rFonts w:hint="eastAsia" w:ascii="黑体" w:hAnsi="黑体" w:eastAsia="黑体" w:cs="黑体"/>
              <w:bCs w:val="0"/>
              <w:szCs w:val="28"/>
            </w:rPr>
            <w:t>一、</w:t>
          </w:r>
          <w:r>
            <w:rPr>
              <w:rFonts w:hint="eastAsia" w:ascii="黑体" w:hAnsi="黑体" w:eastAsia="黑体" w:cs="黑体"/>
              <w:bCs w:val="0"/>
              <w:szCs w:val="28"/>
              <w:lang w:val="en-US" w:eastAsia="zh-CN"/>
            </w:rPr>
            <w:t>基本情况</w:t>
          </w:r>
          <w:r>
            <w:tab/>
          </w:r>
          <w:r>
            <w:fldChar w:fldCharType="begin"/>
          </w:r>
          <w:r>
            <w:instrText xml:space="preserve"> PAGEREF _Toc15668 \h </w:instrText>
          </w:r>
          <w:r>
            <w:fldChar w:fldCharType="separate"/>
          </w:r>
          <w:r>
            <w:t>2</w:t>
          </w:r>
          <w:r>
            <w:fldChar w:fldCharType="end"/>
          </w:r>
          <w:r>
            <w:fldChar w:fldCharType="end"/>
          </w:r>
        </w:p>
        <w:p>
          <w:pPr>
            <w:pStyle w:val="35"/>
            <w:tabs>
              <w:tab w:val="right" w:leader="dot" w:pos="8845"/>
            </w:tabs>
          </w:pPr>
          <w:r>
            <w:fldChar w:fldCharType="begin"/>
          </w:r>
          <w:r>
            <w:instrText xml:space="preserve"> HYPERLINK \l _Toc27120 </w:instrText>
          </w:r>
          <w:r>
            <w:fldChar w:fldCharType="separate"/>
          </w:r>
          <w:r>
            <w:rPr>
              <w:rFonts w:hint="eastAsia" w:ascii="楷体" w:hAnsi="楷体" w:eastAsia="楷体" w:cs="楷体"/>
              <w:bCs/>
              <w:i w:val="0"/>
              <w:iCs w:val="0"/>
              <w:caps w:val="0"/>
              <w:spacing w:val="0"/>
              <w:szCs w:val="28"/>
              <w:shd w:val="clear" w:fill="FFFFFF"/>
              <w:lang w:val="en-US" w:eastAsia="zh-CN"/>
            </w:rPr>
            <w:t>（一）项目背景</w:t>
          </w:r>
          <w:r>
            <w:tab/>
          </w:r>
          <w:r>
            <w:fldChar w:fldCharType="begin"/>
          </w:r>
          <w:r>
            <w:instrText xml:space="preserve"> PAGEREF _Toc27120 \h </w:instrText>
          </w:r>
          <w:r>
            <w:fldChar w:fldCharType="separate"/>
          </w:r>
          <w:r>
            <w:t>2</w:t>
          </w:r>
          <w:r>
            <w:fldChar w:fldCharType="end"/>
          </w:r>
          <w:r>
            <w:fldChar w:fldCharType="end"/>
          </w:r>
        </w:p>
        <w:p>
          <w:pPr>
            <w:pStyle w:val="35"/>
            <w:tabs>
              <w:tab w:val="right" w:leader="dot" w:pos="8845"/>
            </w:tabs>
          </w:pPr>
          <w:r>
            <w:fldChar w:fldCharType="begin"/>
          </w:r>
          <w:r>
            <w:instrText xml:space="preserve"> HYPERLINK \l _Toc7518 </w:instrText>
          </w:r>
          <w:r>
            <w:fldChar w:fldCharType="separate"/>
          </w:r>
          <w:r>
            <w:rPr>
              <w:rFonts w:hint="eastAsia" w:ascii="楷体" w:hAnsi="楷体" w:eastAsia="楷体" w:cs="楷体"/>
              <w:bCs/>
              <w:szCs w:val="28"/>
              <w:lang w:val="en-US" w:eastAsia="zh-CN"/>
            </w:rPr>
            <w:t>（二）立项依据</w:t>
          </w:r>
          <w:r>
            <w:tab/>
          </w:r>
          <w:r>
            <w:fldChar w:fldCharType="begin"/>
          </w:r>
          <w:r>
            <w:instrText xml:space="preserve"> PAGEREF _Toc7518 \h </w:instrText>
          </w:r>
          <w:r>
            <w:fldChar w:fldCharType="separate"/>
          </w:r>
          <w:r>
            <w:t>3</w:t>
          </w:r>
          <w:r>
            <w:fldChar w:fldCharType="end"/>
          </w:r>
          <w:r>
            <w:fldChar w:fldCharType="end"/>
          </w:r>
        </w:p>
        <w:p>
          <w:pPr>
            <w:pStyle w:val="35"/>
            <w:tabs>
              <w:tab w:val="right" w:leader="dot" w:pos="8845"/>
            </w:tabs>
          </w:pPr>
          <w:r>
            <w:fldChar w:fldCharType="begin"/>
          </w:r>
          <w:r>
            <w:instrText xml:space="preserve"> HYPERLINK \l _Toc21931 </w:instrText>
          </w:r>
          <w:r>
            <w:fldChar w:fldCharType="separate"/>
          </w:r>
          <w:r>
            <w:rPr>
              <w:rFonts w:hint="eastAsia" w:ascii="楷体" w:hAnsi="楷体" w:eastAsia="楷体" w:cs="楷体"/>
              <w:bCs/>
              <w:szCs w:val="28"/>
              <w:lang w:val="en-US" w:eastAsia="zh-CN"/>
            </w:rPr>
            <w:t>（三）项目绩效目标</w:t>
          </w:r>
          <w:r>
            <w:tab/>
          </w:r>
          <w:r>
            <w:fldChar w:fldCharType="begin"/>
          </w:r>
          <w:r>
            <w:instrText xml:space="preserve"> PAGEREF _Toc21931 \h </w:instrText>
          </w:r>
          <w:r>
            <w:fldChar w:fldCharType="separate"/>
          </w:r>
          <w:r>
            <w:t>3</w:t>
          </w:r>
          <w:r>
            <w:fldChar w:fldCharType="end"/>
          </w:r>
          <w:r>
            <w:fldChar w:fldCharType="end"/>
          </w:r>
        </w:p>
        <w:p>
          <w:pPr>
            <w:pStyle w:val="33"/>
            <w:tabs>
              <w:tab w:val="right" w:leader="dot" w:pos="8845"/>
            </w:tabs>
          </w:pPr>
          <w:r>
            <w:fldChar w:fldCharType="begin"/>
          </w:r>
          <w:r>
            <w:instrText xml:space="preserve"> HYPERLINK \l _Toc23629 </w:instrText>
          </w:r>
          <w:r>
            <w:fldChar w:fldCharType="separate"/>
          </w:r>
          <w:r>
            <w:rPr>
              <w:rFonts w:hint="eastAsia" w:ascii="黑体" w:hAnsi="黑体" w:eastAsia="黑体" w:cs="黑体"/>
              <w:bCs w:val="0"/>
              <w:szCs w:val="28"/>
              <w:lang w:val="en-US" w:eastAsia="zh-CN"/>
            </w:rPr>
            <w:t>二、政策概况</w:t>
          </w:r>
          <w:r>
            <w:tab/>
          </w:r>
          <w:r>
            <w:fldChar w:fldCharType="begin"/>
          </w:r>
          <w:r>
            <w:instrText xml:space="preserve"> PAGEREF _Toc23629 \h </w:instrText>
          </w:r>
          <w:r>
            <w:fldChar w:fldCharType="separate"/>
          </w:r>
          <w:r>
            <w:t>4</w:t>
          </w:r>
          <w:r>
            <w:fldChar w:fldCharType="end"/>
          </w:r>
          <w:r>
            <w:fldChar w:fldCharType="end"/>
          </w:r>
        </w:p>
        <w:p>
          <w:pPr>
            <w:pStyle w:val="35"/>
            <w:tabs>
              <w:tab w:val="right" w:leader="dot" w:pos="8845"/>
            </w:tabs>
          </w:pPr>
          <w:r>
            <w:fldChar w:fldCharType="begin"/>
          </w:r>
          <w:r>
            <w:instrText xml:space="preserve"> HYPERLINK \l _Toc1767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一</w:t>
          </w:r>
          <w:r>
            <w:rPr>
              <w:rFonts w:hint="eastAsia" w:ascii="楷体" w:hAnsi="楷体" w:eastAsia="楷体" w:cs="楷体"/>
              <w:bCs w:val="0"/>
              <w:szCs w:val="28"/>
            </w:rPr>
            <w:t>）</w:t>
          </w:r>
          <w:r>
            <w:rPr>
              <w:rFonts w:hint="eastAsia" w:ascii="楷体" w:hAnsi="楷体" w:eastAsia="楷体" w:cs="楷体"/>
              <w:bCs w:val="0"/>
              <w:szCs w:val="28"/>
              <w:lang w:val="en-US" w:eastAsia="zh-CN"/>
            </w:rPr>
            <w:t>政策内容</w:t>
          </w:r>
          <w:r>
            <w:tab/>
          </w:r>
          <w:r>
            <w:fldChar w:fldCharType="begin"/>
          </w:r>
          <w:r>
            <w:instrText xml:space="preserve"> PAGEREF _Toc1767 \h </w:instrText>
          </w:r>
          <w:r>
            <w:fldChar w:fldCharType="separate"/>
          </w:r>
          <w:r>
            <w:t>4</w:t>
          </w:r>
          <w:r>
            <w:fldChar w:fldCharType="end"/>
          </w:r>
          <w:r>
            <w:fldChar w:fldCharType="end"/>
          </w:r>
        </w:p>
        <w:p>
          <w:pPr>
            <w:pStyle w:val="33"/>
            <w:tabs>
              <w:tab w:val="right" w:leader="dot" w:pos="8845"/>
            </w:tabs>
            <w:ind w:firstLine="400" w:firstLineChars="200"/>
          </w:pPr>
          <w:r>
            <w:fldChar w:fldCharType="begin"/>
          </w:r>
          <w:r>
            <w:instrText xml:space="preserve"> HYPERLINK \l _Toc5399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二</w:t>
          </w:r>
          <w:r>
            <w:rPr>
              <w:rFonts w:hint="eastAsia" w:ascii="楷体" w:hAnsi="楷体" w:eastAsia="楷体" w:cs="楷体"/>
              <w:bCs w:val="0"/>
              <w:szCs w:val="28"/>
            </w:rPr>
            <w:t>）</w:t>
          </w:r>
          <w:r>
            <w:rPr>
              <w:rFonts w:hint="eastAsia" w:ascii="楷体" w:hAnsi="楷体" w:eastAsia="楷体" w:cs="楷体"/>
              <w:bCs w:val="0"/>
              <w:szCs w:val="28"/>
              <w:lang w:val="en-US" w:eastAsia="zh-CN"/>
            </w:rPr>
            <w:t>政策实施效果</w:t>
          </w:r>
          <w:r>
            <w:tab/>
          </w:r>
          <w:r>
            <w:fldChar w:fldCharType="begin"/>
          </w:r>
          <w:r>
            <w:instrText xml:space="preserve"> PAGEREF _Toc5399 \h </w:instrText>
          </w:r>
          <w:r>
            <w:fldChar w:fldCharType="separate"/>
          </w:r>
          <w:r>
            <w:t>4</w:t>
          </w:r>
          <w:r>
            <w:fldChar w:fldCharType="end"/>
          </w:r>
          <w:r>
            <w:fldChar w:fldCharType="end"/>
          </w:r>
        </w:p>
        <w:p>
          <w:pPr>
            <w:pStyle w:val="35"/>
            <w:tabs>
              <w:tab w:val="right" w:leader="dot" w:pos="8845"/>
            </w:tabs>
          </w:pPr>
          <w:r>
            <w:fldChar w:fldCharType="begin"/>
          </w:r>
          <w:r>
            <w:instrText xml:space="preserve"> HYPERLINK \l _Toc7719 </w:instrText>
          </w:r>
          <w:r>
            <w:fldChar w:fldCharType="separate"/>
          </w:r>
          <w:r>
            <w:rPr>
              <w:rFonts w:hint="eastAsia" w:ascii="楷体" w:hAnsi="楷体" w:eastAsia="楷体" w:cs="楷体"/>
              <w:bCs w:val="0"/>
              <w:i w:val="0"/>
              <w:iCs w:val="0"/>
              <w:caps w:val="0"/>
              <w:spacing w:val="0"/>
              <w:szCs w:val="28"/>
              <w:shd w:val="clear" w:fill="FFFFFF"/>
              <w:lang w:eastAsia="zh-CN"/>
            </w:rPr>
            <w:t>（</w:t>
          </w:r>
          <w:r>
            <w:rPr>
              <w:rFonts w:hint="eastAsia" w:ascii="楷体" w:hAnsi="楷体" w:eastAsia="楷体" w:cs="楷体"/>
              <w:bCs w:val="0"/>
              <w:i w:val="0"/>
              <w:iCs w:val="0"/>
              <w:caps w:val="0"/>
              <w:spacing w:val="0"/>
              <w:szCs w:val="28"/>
              <w:shd w:val="clear" w:fill="FFFFFF"/>
              <w:lang w:val="en-US" w:eastAsia="zh-CN"/>
            </w:rPr>
            <w:t>三</w:t>
          </w:r>
          <w:r>
            <w:rPr>
              <w:rFonts w:hint="eastAsia" w:ascii="楷体" w:hAnsi="楷体" w:eastAsia="楷体" w:cs="楷体"/>
              <w:bCs w:val="0"/>
              <w:i w:val="0"/>
              <w:iCs w:val="0"/>
              <w:caps w:val="0"/>
              <w:spacing w:val="0"/>
              <w:szCs w:val="28"/>
              <w:shd w:val="clear" w:fill="FFFFFF"/>
              <w:lang w:eastAsia="zh-CN"/>
            </w:rPr>
            <w:t>）</w:t>
          </w:r>
          <w:r>
            <w:rPr>
              <w:rFonts w:hint="eastAsia" w:ascii="楷体" w:hAnsi="楷体" w:eastAsia="楷体" w:cs="楷体"/>
              <w:bCs w:val="0"/>
              <w:i w:val="0"/>
              <w:iCs w:val="0"/>
              <w:caps w:val="0"/>
              <w:spacing w:val="0"/>
              <w:szCs w:val="28"/>
              <w:shd w:val="clear" w:fill="FFFFFF"/>
              <w:lang w:val="en-US" w:eastAsia="zh-CN"/>
            </w:rPr>
            <w:t>政策</w:t>
          </w:r>
          <w:r>
            <w:rPr>
              <w:rFonts w:hint="eastAsia" w:ascii="楷体" w:hAnsi="楷体" w:eastAsia="楷体" w:cs="楷体"/>
              <w:bCs w:val="0"/>
              <w:i w:val="0"/>
              <w:iCs w:val="0"/>
              <w:caps w:val="0"/>
              <w:spacing w:val="0"/>
              <w:szCs w:val="28"/>
              <w:shd w:val="clear" w:fill="FFFFFF"/>
            </w:rPr>
            <w:t>资金的申请、审核及兑付</w:t>
          </w:r>
          <w:r>
            <w:tab/>
          </w:r>
          <w:r>
            <w:fldChar w:fldCharType="begin"/>
          </w:r>
          <w:r>
            <w:instrText xml:space="preserve"> PAGEREF _Toc7719 \h </w:instrText>
          </w:r>
          <w:r>
            <w:fldChar w:fldCharType="separate"/>
          </w:r>
          <w:r>
            <w:t>5</w:t>
          </w:r>
          <w:r>
            <w:fldChar w:fldCharType="end"/>
          </w:r>
          <w:r>
            <w:fldChar w:fldCharType="end"/>
          </w:r>
        </w:p>
        <w:p>
          <w:pPr>
            <w:pStyle w:val="35"/>
            <w:tabs>
              <w:tab w:val="right" w:leader="dot" w:pos="8845"/>
            </w:tabs>
          </w:pPr>
          <w:r>
            <w:fldChar w:fldCharType="begin"/>
          </w:r>
          <w:r>
            <w:instrText xml:space="preserve"> HYPERLINK \l _Toc3471 </w:instrText>
          </w:r>
          <w:r>
            <w:fldChar w:fldCharType="separate"/>
          </w:r>
          <w:r>
            <w:rPr>
              <w:rFonts w:hint="eastAsia" w:ascii="楷体" w:hAnsi="楷体" w:eastAsia="楷体" w:cs="楷体"/>
              <w:bCs w:val="0"/>
              <w:i w:val="0"/>
              <w:iCs w:val="0"/>
              <w:caps w:val="0"/>
              <w:spacing w:val="0"/>
              <w:szCs w:val="28"/>
              <w:shd w:val="clear" w:fill="FFFFFF"/>
              <w:lang w:eastAsia="zh-CN"/>
            </w:rPr>
            <w:t>（</w:t>
          </w:r>
          <w:r>
            <w:rPr>
              <w:rFonts w:hint="eastAsia" w:ascii="楷体" w:hAnsi="楷体" w:eastAsia="楷体" w:cs="楷体"/>
              <w:bCs w:val="0"/>
              <w:i w:val="0"/>
              <w:iCs w:val="0"/>
              <w:caps w:val="0"/>
              <w:spacing w:val="0"/>
              <w:szCs w:val="28"/>
              <w:shd w:val="clear" w:fill="FFFFFF"/>
              <w:lang w:val="en-US" w:eastAsia="zh-CN"/>
            </w:rPr>
            <w:t>四</w:t>
          </w:r>
          <w:r>
            <w:rPr>
              <w:rFonts w:hint="eastAsia" w:ascii="楷体" w:hAnsi="楷体" w:eastAsia="楷体" w:cs="楷体"/>
              <w:bCs w:val="0"/>
              <w:i w:val="0"/>
              <w:iCs w:val="0"/>
              <w:caps w:val="0"/>
              <w:spacing w:val="0"/>
              <w:szCs w:val="28"/>
              <w:shd w:val="clear" w:fill="FFFFFF"/>
              <w:lang w:eastAsia="zh-CN"/>
            </w:rPr>
            <w:t>）</w:t>
          </w:r>
          <w:r>
            <w:rPr>
              <w:rFonts w:hint="eastAsia" w:ascii="楷体" w:hAnsi="楷体" w:eastAsia="楷体" w:cs="楷体"/>
              <w:bCs w:val="0"/>
              <w:i w:val="0"/>
              <w:iCs w:val="0"/>
              <w:caps w:val="0"/>
              <w:spacing w:val="0"/>
              <w:szCs w:val="28"/>
              <w:shd w:val="clear" w:fill="FFFFFF"/>
            </w:rPr>
            <w:t>专项资金的管理与监督</w:t>
          </w:r>
          <w:r>
            <w:tab/>
          </w:r>
          <w:r>
            <w:fldChar w:fldCharType="begin"/>
          </w:r>
          <w:r>
            <w:instrText xml:space="preserve"> PAGEREF _Toc3471 \h </w:instrText>
          </w:r>
          <w:r>
            <w:fldChar w:fldCharType="separate"/>
          </w:r>
          <w:r>
            <w:t>6</w:t>
          </w:r>
          <w:r>
            <w:fldChar w:fldCharType="end"/>
          </w:r>
          <w:r>
            <w:fldChar w:fldCharType="end"/>
          </w:r>
        </w:p>
        <w:p>
          <w:pPr>
            <w:pStyle w:val="33"/>
            <w:tabs>
              <w:tab w:val="right" w:leader="dot" w:pos="8845"/>
            </w:tabs>
            <w:ind w:firstLine="400" w:firstLineChars="200"/>
          </w:pPr>
          <w:r>
            <w:fldChar w:fldCharType="begin"/>
          </w:r>
          <w:r>
            <w:instrText xml:space="preserve"> HYPERLINK \l _Toc1216 </w:instrText>
          </w:r>
          <w:r>
            <w:fldChar w:fldCharType="separate"/>
          </w:r>
          <w:r>
            <w:rPr>
              <w:rFonts w:hint="eastAsia" w:ascii="楷体" w:hAnsi="楷体" w:eastAsia="楷体" w:cs="楷体"/>
              <w:bCs w:val="0"/>
              <w:szCs w:val="28"/>
              <w:lang w:val="en-US" w:eastAsia="zh-CN"/>
            </w:rPr>
            <w:t>（五）资金投入</w:t>
          </w:r>
          <w:r>
            <w:tab/>
          </w:r>
          <w:r>
            <w:fldChar w:fldCharType="begin"/>
          </w:r>
          <w:r>
            <w:instrText xml:space="preserve"> PAGEREF _Toc1216 \h </w:instrText>
          </w:r>
          <w:r>
            <w:fldChar w:fldCharType="separate"/>
          </w:r>
          <w:r>
            <w:t>7</w:t>
          </w:r>
          <w:r>
            <w:fldChar w:fldCharType="end"/>
          </w:r>
          <w:r>
            <w:fldChar w:fldCharType="end"/>
          </w:r>
        </w:p>
        <w:p>
          <w:pPr>
            <w:pStyle w:val="33"/>
            <w:tabs>
              <w:tab w:val="right" w:leader="dot" w:pos="8845"/>
            </w:tabs>
          </w:pPr>
          <w:r>
            <w:fldChar w:fldCharType="begin"/>
          </w:r>
          <w:r>
            <w:instrText xml:space="preserve"> HYPERLINK \l _Toc24417 </w:instrText>
          </w:r>
          <w:r>
            <w:fldChar w:fldCharType="separate"/>
          </w:r>
          <w:r>
            <w:rPr>
              <w:rFonts w:hint="eastAsia" w:ascii="黑体" w:hAnsi="黑体" w:eastAsia="黑体" w:cs="黑体"/>
              <w:szCs w:val="28"/>
              <w:lang w:val="en-US" w:eastAsia="zh-CN"/>
            </w:rPr>
            <w:t>四、</w:t>
          </w:r>
          <w:r>
            <w:rPr>
              <w:rFonts w:hint="eastAsia" w:ascii="黑体" w:hAnsi="黑体" w:eastAsia="黑体" w:cs="黑体"/>
              <w:szCs w:val="28"/>
            </w:rPr>
            <w:t>绩效</w:t>
          </w:r>
          <w:r>
            <w:rPr>
              <w:rFonts w:hint="eastAsia" w:ascii="黑体" w:hAnsi="黑体" w:eastAsia="黑体" w:cs="黑体"/>
              <w:bCs w:val="0"/>
              <w:szCs w:val="28"/>
            </w:rPr>
            <w:t>评价</w:t>
          </w:r>
          <w:r>
            <w:rPr>
              <w:rFonts w:hint="eastAsia" w:ascii="黑体" w:hAnsi="黑体" w:eastAsia="黑体" w:cs="黑体"/>
              <w:szCs w:val="28"/>
            </w:rPr>
            <w:t>工作情况</w:t>
          </w:r>
          <w:r>
            <w:tab/>
          </w:r>
          <w:r>
            <w:fldChar w:fldCharType="begin"/>
          </w:r>
          <w:r>
            <w:instrText xml:space="preserve"> PAGEREF _Toc24417 \h </w:instrText>
          </w:r>
          <w:r>
            <w:fldChar w:fldCharType="separate"/>
          </w:r>
          <w:r>
            <w:t>7</w:t>
          </w:r>
          <w:r>
            <w:fldChar w:fldCharType="end"/>
          </w:r>
          <w:r>
            <w:fldChar w:fldCharType="end"/>
          </w:r>
        </w:p>
        <w:p>
          <w:pPr>
            <w:pStyle w:val="33"/>
            <w:tabs>
              <w:tab w:val="right" w:leader="dot" w:pos="8845"/>
            </w:tabs>
          </w:pPr>
          <w:r>
            <w:fldChar w:fldCharType="begin"/>
          </w:r>
          <w:r>
            <w:instrText xml:space="preserve"> HYPERLINK \l _Toc7569 </w:instrText>
          </w:r>
          <w:r>
            <w:fldChar w:fldCharType="separate"/>
          </w:r>
          <w:r>
            <w:rPr>
              <w:rFonts w:hint="eastAsia" w:ascii="楷体" w:hAnsi="楷体" w:eastAsia="楷体" w:cs="楷体"/>
              <w:bCs w:val="0"/>
              <w:szCs w:val="28"/>
            </w:rPr>
            <w:t>（一）评价目的</w:t>
          </w:r>
          <w:r>
            <w:tab/>
          </w:r>
          <w:r>
            <w:fldChar w:fldCharType="begin"/>
          </w:r>
          <w:r>
            <w:instrText xml:space="preserve"> PAGEREF _Toc7569 \h </w:instrText>
          </w:r>
          <w:r>
            <w:fldChar w:fldCharType="separate"/>
          </w:r>
          <w:r>
            <w:t>7</w:t>
          </w:r>
          <w:r>
            <w:fldChar w:fldCharType="end"/>
          </w:r>
          <w:r>
            <w:fldChar w:fldCharType="end"/>
          </w:r>
        </w:p>
        <w:p>
          <w:pPr>
            <w:pStyle w:val="33"/>
            <w:tabs>
              <w:tab w:val="right" w:leader="dot" w:pos="8845"/>
            </w:tabs>
          </w:pPr>
          <w:r>
            <w:fldChar w:fldCharType="begin"/>
          </w:r>
          <w:r>
            <w:instrText xml:space="preserve"> HYPERLINK \l _Toc3254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二</w:t>
          </w:r>
          <w:r>
            <w:rPr>
              <w:rFonts w:hint="eastAsia" w:ascii="楷体" w:hAnsi="楷体" w:eastAsia="楷体" w:cs="楷体"/>
              <w:bCs w:val="0"/>
              <w:szCs w:val="28"/>
            </w:rPr>
            <w:t>）评价依据</w:t>
          </w:r>
          <w:r>
            <w:tab/>
          </w:r>
          <w:r>
            <w:fldChar w:fldCharType="begin"/>
          </w:r>
          <w:r>
            <w:instrText xml:space="preserve"> PAGEREF _Toc3254 \h </w:instrText>
          </w:r>
          <w:r>
            <w:fldChar w:fldCharType="separate"/>
          </w:r>
          <w:r>
            <w:t>7</w:t>
          </w:r>
          <w:r>
            <w:fldChar w:fldCharType="end"/>
          </w:r>
          <w:r>
            <w:fldChar w:fldCharType="end"/>
          </w:r>
        </w:p>
        <w:p>
          <w:pPr>
            <w:pStyle w:val="33"/>
            <w:tabs>
              <w:tab w:val="right" w:leader="dot" w:pos="8845"/>
            </w:tabs>
          </w:pPr>
          <w:r>
            <w:fldChar w:fldCharType="begin"/>
          </w:r>
          <w:r>
            <w:instrText xml:space="preserve"> HYPERLINK \l _Toc12047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三</w:t>
          </w:r>
          <w:r>
            <w:rPr>
              <w:rFonts w:hint="eastAsia" w:ascii="楷体" w:hAnsi="楷体" w:eastAsia="楷体" w:cs="楷体"/>
              <w:bCs w:val="0"/>
              <w:szCs w:val="28"/>
            </w:rPr>
            <w:t>）评价原则</w:t>
          </w:r>
          <w:r>
            <w:tab/>
          </w:r>
          <w:r>
            <w:fldChar w:fldCharType="begin"/>
          </w:r>
          <w:r>
            <w:instrText xml:space="preserve"> PAGEREF _Toc12047 \h </w:instrText>
          </w:r>
          <w:r>
            <w:fldChar w:fldCharType="separate"/>
          </w:r>
          <w:r>
            <w:t>8</w:t>
          </w:r>
          <w:r>
            <w:fldChar w:fldCharType="end"/>
          </w:r>
          <w:r>
            <w:fldChar w:fldCharType="end"/>
          </w:r>
        </w:p>
        <w:p>
          <w:pPr>
            <w:pStyle w:val="33"/>
            <w:tabs>
              <w:tab w:val="right" w:leader="dot" w:pos="8845"/>
            </w:tabs>
          </w:pPr>
          <w:r>
            <w:fldChar w:fldCharType="begin"/>
          </w:r>
          <w:r>
            <w:instrText xml:space="preserve"> HYPERLINK \l _Toc13857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四</w:t>
          </w:r>
          <w:r>
            <w:rPr>
              <w:rFonts w:hint="eastAsia" w:ascii="楷体" w:hAnsi="楷体" w:eastAsia="楷体" w:cs="楷体"/>
              <w:bCs w:val="0"/>
              <w:szCs w:val="28"/>
            </w:rPr>
            <w:t>）评定方法</w:t>
          </w:r>
          <w:r>
            <w:tab/>
          </w:r>
          <w:r>
            <w:fldChar w:fldCharType="begin"/>
          </w:r>
          <w:r>
            <w:instrText xml:space="preserve"> PAGEREF _Toc13857 \h </w:instrText>
          </w:r>
          <w:r>
            <w:fldChar w:fldCharType="separate"/>
          </w:r>
          <w:r>
            <w:t>9</w:t>
          </w:r>
          <w:r>
            <w:fldChar w:fldCharType="end"/>
          </w:r>
          <w:r>
            <w:fldChar w:fldCharType="end"/>
          </w:r>
        </w:p>
        <w:p>
          <w:pPr>
            <w:pStyle w:val="33"/>
            <w:tabs>
              <w:tab w:val="right" w:leader="dot" w:pos="8845"/>
            </w:tabs>
          </w:pPr>
          <w:r>
            <w:fldChar w:fldCharType="begin"/>
          </w:r>
          <w:r>
            <w:instrText xml:space="preserve"> HYPERLINK \l _Toc28998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五</w:t>
          </w:r>
          <w:r>
            <w:rPr>
              <w:rFonts w:hint="eastAsia" w:ascii="楷体" w:hAnsi="楷体" w:eastAsia="楷体" w:cs="楷体"/>
              <w:bCs w:val="0"/>
              <w:szCs w:val="28"/>
            </w:rPr>
            <w:t>）组织实施</w:t>
          </w:r>
          <w:r>
            <w:tab/>
          </w:r>
          <w:r>
            <w:fldChar w:fldCharType="begin"/>
          </w:r>
          <w:r>
            <w:instrText xml:space="preserve"> PAGEREF _Toc28998 \h </w:instrText>
          </w:r>
          <w:r>
            <w:fldChar w:fldCharType="separate"/>
          </w:r>
          <w:r>
            <w:t>9</w:t>
          </w:r>
          <w:r>
            <w:fldChar w:fldCharType="end"/>
          </w:r>
          <w:r>
            <w:fldChar w:fldCharType="end"/>
          </w:r>
        </w:p>
        <w:p>
          <w:pPr>
            <w:pStyle w:val="33"/>
            <w:tabs>
              <w:tab w:val="right" w:leader="dot" w:pos="8845"/>
            </w:tabs>
          </w:pPr>
          <w:r>
            <w:fldChar w:fldCharType="begin"/>
          </w:r>
          <w:r>
            <w:instrText xml:space="preserve"> HYPERLINK \l _Toc6787 </w:instrText>
          </w:r>
          <w:r>
            <w:fldChar w:fldCharType="separate"/>
          </w:r>
          <w:r>
            <w:rPr>
              <w:rFonts w:hint="eastAsia" w:ascii="黑体" w:hAnsi="黑体" w:eastAsia="黑体" w:cs="黑体"/>
              <w:szCs w:val="28"/>
              <w:lang w:val="en-US" w:eastAsia="zh-CN"/>
            </w:rPr>
            <w:t>四</w:t>
          </w:r>
          <w:r>
            <w:rPr>
              <w:rFonts w:hint="eastAsia" w:ascii="黑体" w:hAnsi="黑体" w:eastAsia="黑体" w:cs="黑体"/>
              <w:szCs w:val="28"/>
            </w:rPr>
            <w:t>、项目绩效评价指标体系及得分情况</w:t>
          </w:r>
          <w:r>
            <w:tab/>
          </w:r>
          <w:r>
            <w:fldChar w:fldCharType="begin"/>
          </w:r>
          <w:r>
            <w:instrText xml:space="preserve"> PAGEREF _Toc6787 \h </w:instrText>
          </w:r>
          <w:r>
            <w:fldChar w:fldCharType="separate"/>
          </w:r>
          <w:r>
            <w:t>10</w:t>
          </w:r>
          <w:r>
            <w:fldChar w:fldCharType="end"/>
          </w:r>
          <w:r>
            <w:fldChar w:fldCharType="end"/>
          </w:r>
        </w:p>
        <w:p>
          <w:pPr>
            <w:pStyle w:val="33"/>
            <w:tabs>
              <w:tab w:val="right" w:leader="dot" w:pos="8845"/>
            </w:tabs>
          </w:pPr>
          <w:r>
            <w:fldChar w:fldCharType="begin"/>
          </w:r>
          <w:r>
            <w:instrText xml:space="preserve"> HYPERLINK \l _Toc10876 </w:instrText>
          </w:r>
          <w:r>
            <w:fldChar w:fldCharType="separate"/>
          </w:r>
          <w:r>
            <w:rPr>
              <w:rFonts w:hint="eastAsia" w:ascii="黑体" w:hAnsi="黑体" w:eastAsia="黑体" w:cs="黑体"/>
              <w:szCs w:val="28"/>
              <w:lang w:val="en-US" w:eastAsia="zh-CN"/>
            </w:rPr>
            <w:t>五</w:t>
          </w:r>
          <w:r>
            <w:rPr>
              <w:rFonts w:hint="eastAsia" w:ascii="黑体" w:hAnsi="黑体" w:eastAsia="黑体" w:cs="黑体"/>
              <w:szCs w:val="28"/>
            </w:rPr>
            <w:t>、绩效评价</w:t>
          </w:r>
          <w:r>
            <w:rPr>
              <w:rFonts w:hint="eastAsia" w:ascii="黑体" w:hAnsi="黑体" w:eastAsia="黑体" w:cs="黑体"/>
              <w:szCs w:val="28"/>
              <w:lang w:val="en-US" w:eastAsia="zh-CN"/>
            </w:rPr>
            <w:t>指标</w:t>
          </w:r>
          <w:r>
            <w:rPr>
              <w:rFonts w:hint="eastAsia" w:ascii="黑体" w:hAnsi="黑体" w:eastAsia="黑体" w:cs="黑体"/>
              <w:szCs w:val="28"/>
            </w:rPr>
            <w:t>分析</w:t>
          </w:r>
          <w:r>
            <w:tab/>
          </w:r>
          <w:r>
            <w:fldChar w:fldCharType="begin"/>
          </w:r>
          <w:r>
            <w:instrText xml:space="preserve"> PAGEREF _Toc10876 \h </w:instrText>
          </w:r>
          <w:r>
            <w:fldChar w:fldCharType="separate"/>
          </w:r>
          <w:r>
            <w:t>19</w:t>
          </w:r>
          <w:r>
            <w:fldChar w:fldCharType="end"/>
          </w:r>
          <w:r>
            <w:fldChar w:fldCharType="end"/>
          </w:r>
        </w:p>
        <w:p>
          <w:pPr>
            <w:pStyle w:val="33"/>
            <w:tabs>
              <w:tab w:val="right" w:leader="dot" w:pos="8845"/>
            </w:tabs>
          </w:pPr>
          <w:r>
            <w:fldChar w:fldCharType="begin"/>
          </w:r>
          <w:r>
            <w:instrText xml:space="preserve"> HYPERLINK \l _Toc26639 </w:instrText>
          </w:r>
          <w:r>
            <w:fldChar w:fldCharType="separate"/>
          </w:r>
          <w:r>
            <w:rPr>
              <w:rFonts w:hint="eastAsia" w:ascii="楷体" w:hAnsi="楷体" w:eastAsia="楷体" w:cs="楷体"/>
              <w:bCs w:val="0"/>
              <w:szCs w:val="28"/>
            </w:rPr>
            <w:t>（一）</w:t>
          </w:r>
          <w:r>
            <w:rPr>
              <w:rFonts w:hint="eastAsia" w:ascii="楷体" w:hAnsi="楷体" w:eastAsia="楷体" w:cs="楷体"/>
              <w:bCs w:val="0"/>
              <w:szCs w:val="28"/>
              <w:lang w:val="en-US" w:eastAsia="zh-CN"/>
            </w:rPr>
            <w:t>项目决策情况</w:t>
          </w:r>
          <w:r>
            <w:tab/>
          </w:r>
          <w:r>
            <w:fldChar w:fldCharType="begin"/>
          </w:r>
          <w:r>
            <w:instrText xml:space="preserve"> PAGEREF _Toc26639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_Toc23713 </w:instrText>
          </w:r>
          <w:r>
            <w:fldChar w:fldCharType="separate"/>
          </w:r>
          <w:r>
            <w:rPr>
              <w:rFonts w:hint="eastAsia" w:ascii="仿宋" w:hAnsi="仿宋" w:eastAsia="仿宋" w:cs="仿宋"/>
              <w:szCs w:val="28"/>
            </w:rPr>
            <w:t>1.项目立项分析</w:t>
          </w:r>
          <w:r>
            <w:tab/>
          </w:r>
          <w:r>
            <w:fldChar w:fldCharType="begin"/>
          </w:r>
          <w:r>
            <w:instrText xml:space="preserve"> PAGEREF _Toc23713 \h </w:instrText>
          </w:r>
          <w:r>
            <w:fldChar w:fldCharType="separate"/>
          </w:r>
          <w:r>
            <w:t>19</w:t>
          </w:r>
          <w:r>
            <w:fldChar w:fldCharType="end"/>
          </w:r>
          <w:r>
            <w:fldChar w:fldCharType="end"/>
          </w:r>
        </w:p>
        <w:p>
          <w:pPr>
            <w:pStyle w:val="34"/>
            <w:tabs>
              <w:tab w:val="right" w:leader="dot" w:pos="8845"/>
            </w:tabs>
          </w:pPr>
          <w:r>
            <w:fldChar w:fldCharType="begin"/>
          </w:r>
          <w:r>
            <w:instrText xml:space="preserve"> HYPERLINK \l _Toc19002 </w:instrText>
          </w:r>
          <w:r>
            <w:fldChar w:fldCharType="separate"/>
          </w:r>
          <w:r>
            <w:rPr>
              <w:rFonts w:hint="eastAsia" w:ascii="仿宋" w:hAnsi="仿宋" w:eastAsia="仿宋" w:cs="仿宋"/>
              <w:szCs w:val="28"/>
            </w:rPr>
            <w:t>2.绩效目标分析</w:t>
          </w:r>
          <w:r>
            <w:tab/>
          </w:r>
          <w:r>
            <w:fldChar w:fldCharType="begin"/>
          </w:r>
          <w:r>
            <w:instrText xml:space="preserve"> PAGEREF _Toc19002 \h </w:instrText>
          </w:r>
          <w:r>
            <w:fldChar w:fldCharType="separate"/>
          </w:r>
          <w:r>
            <w:t>20</w:t>
          </w:r>
          <w:r>
            <w:fldChar w:fldCharType="end"/>
          </w:r>
          <w:r>
            <w:fldChar w:fldCharType="end"/>
          </w:r>
        </w:p>
        <w:p>
          <w:pPr>
            <w:pStyle w:val="34"/>
            <w:tabs>
              <w:tab w:val="right" w:leader="dot" w:pos="8845"/>
            </w:tabs>
          </w:pPr>
          <w:r>
            <w:fldChar w:fldCharType="begin"/>
          </w:r>
          <w:r>
            <w:instrText xml:space="preserve"> HYPERLINK \l _Toc14870 </w:instrText>
          </w:r>
          <w:r>
            <w:fldChar w:fldCharType="separate"/>
          </w:r>
          <w:r>
            <w:rPr>
              <w:rFonts w:hint="eastAsia" w:ascii="仿宋" w:hAnsi="仿宋" w:eastAsia="仿宋" w:cs="仿宋"/>
              <w:bCs w:val="0"/>
              <w:szCs w:val="28"/>
              <w:lang w:val="en-US" w:eastAsia="zh-CN"/>
            </w:rPr>
            <w:t>3.资金投入</w:t>
          </w:r>
          <w:r>
            <w:tab/>
          </w:r>
          <w:r>
            <w:fldChar w:fldCharType="begin"/>
          </w:r>
          <w:r>
            <w:instrText xml:space="preserve"> PAGEREF _Toc14870 \h </w:instrText>
          </w:r>
          <w:r>
            <w:fldChar w:fldCharType="separate"/>
          </w:r>
          <w:r>
            <w:t>21</w:t>
          </w:r>
          <w:r>
            <w:fldChar w:fldCharType="end"/>
          </w:r>
          <w:r>
            <w:fldChar w:fldCharType="end"/>
          </w:r>
        </w:p>
        <w:p>
          <w:pPr>
            <w:pStyle w:val="34"/>
            <w:tabs>
              <w:tab w:val="right" w:leader="dot" w:pos="8845"/>
            </w:tabs>
          </w:pPr>
          <w:r>
            <w:fldChar w:fldCharType="begin"/>
          </w:r>
          <w:r>
            <w:instrText xml:space="preserve"> HYPERLINK \l _Toc26310 </w:instrText>
          </w:r>
          <w:r>
            <w:fldChar w:fldCharType="separate"/>
          </w:r>
          <w:r>
            <w:rPr>
              <w:rFonts w:hint="eastAsia" w:ascii="楷体" w:hAnsi="楷体" w:eastAsia="楷体" w:cs="楷体"/>
              <w:szCs w:val="28"/>
            </w:rPr>
            <w:t>（二）项目过程情况</w:t>
          </w:r>
          <w:r>
            <w:tab/>
          </w:r>
          <w:r>
            <w:fldChar w:fldCharType="begin"/>
          </w:r>
          <w:r>
            <w:instrText xml:space="preserve"> PAGEREF _Toc26310 \h </w:instrText>
          </w:r>
          <w:r>
            <w:fldChar w:fldCharType="separate"/>
          </w:r>
          <w:r>
            <w:t>21</w:t>
          </w:r>
          <w:r>
            <w:fldChar w:fldCharType="end"/>
          </w:r>
          <w:r>
            <w:fldChar w:fldCharType="end"/>
          </w:r>
        </w:p>
        <w:p>
          <w:pPr>
            <w:pStyle w:val="34"/>
            <w:tabs>
              <w:tab w:val="right" w:leader="dot" w:pos="8845"/>
            </w:tabs>
          </w:pPr>
          <w:r>
            <w:fldChar w:fldCharType="begin"/>
          </w:r>
          <w:r>
            <w:instrText xml:space="preserve"> HYPERLINK \l _Toc32008 </w:instrText>
          </w:r>
          <w:r>
            <w:fldChar w:fldCharType="separate"/>
          </w:r>
          <w:r>
            <w:rPr>
              <w:rFonts w:hint="eastAsia" w:ascii="仿宋" w:hAnsi="仿宋" w:eastAsia="仿宋" w:cs="仿宋"/>
              <w:szCs w:val="28"/>
            </w:rPr>
            <w:t>1.资金管理情况分析</w:t>
          </w:r>
          <w:r>
            <w:tab/>
          </w:r>
          <w:r>
            <w:fldChar w:fldCharType="begin"/>
          </w:r>
          <w:r>
            <w:instrText xml:space="preserve"> PAGEREF _Toc32008 \h </w:instrText>
          </w:r>
          <w:r>
            <w:fldChar w:fldCharType="separate"/>
          </w:r>
          <w:r>
            <w:t>22</w:t>
          </w:r>
          <w:r>
            <w:fldChar w:fldCharType="end"/>
          </w:r>
          <w:r>
            <w:fldChar w:fldCharType="end"/>
          </w:r>
        </w:p>
        <w:p>
          <w:pPr>
            <w:pStyle w:val="34"/>
            <w:tabs>
              <w:tab w:val="right" w:leader="dot" w:pos="8845"/>
            </w:tabs>
          </w:pPr>
          <w:r>
            <w:fldChar w:fldCharType="begin"/>
          </w:r>
          <w:r>
            <w:instrText xml:space="preserve"> HYPERLINK \l _Toc17480 </w:instrText>
          </w:r>
          <w:r>
            <w:fldChar w:fldCharType="separate"/>
          </w:r>
          <w:r>
            <w:rPr>
              <w:rFonts w:hint="eastAsia" w:ascii="仿宋" w:hAnsi="仿宋" w:eastAsia="仿宋" w:cs="仿宋"/>
            </w:rPr>
            <w:t>2.组织实施情况分析</w:t>
          </w:r>
          <w:r>
            <w:tab/>
          </w:r>
          <w:r>
            <w:fldChar w:fldCharType="begin"/>
          </w:r>
          <w:r>
            <w:instrText xml:space="preserve"> PAGEREF _Toc17480 \h </w:instrText>
          </w:r>
          <w:r>
            <w:fldChar w:fldCharType="separate"/>
          </w:r>
          <w:r>
            <w:t>22</w:t>
          </w:r>
          <w:r>
            <w:fldChar w:fldCharType="end"/>
          </w:r>
          <w:r>
            <w:fldChar w:fldCharType="end"/>
          </w:r>
        </w:p>
        <w:p>
          <w:pPr>
            <w:pStyle w:val="34"/>
            <w:tabs>
              <w:tab w:val="right" w:leader="dot" w:pos="8845"/>
            </w:tabs>
          </w:pPr>
          <w:r>
            <w:fldChar w:fldCharType="begin"/>
          </w:r>
          <w:r>
            <w:instrText xml:space="preserve"> HYPERLINK \l _Toc30173 </w:instrText>
          </w:r>
          <w:r>
            <w:fldChar w:fldCharType="separate"/>
          </w:r>
          <w:r>
            <w:rPr>
              <w:rFonts w:hint="eastAsia" w:ascii="楷体" w:hAnsi="楷体" w:eastAsia="楷体" w:cs="楷体"/>
              <w:szCs w:val="18"/>
            </w:rPr>
            <w:t>（三）项目产出情况</w:t>
          </w:r>
          <w:r>
            <w:tab/>
          </w:r>
          <w:r>
            <w:fldChar w:fldCharType="begin"/>
          </w:r>
          <w:r>
            <w:instrText xml:space="preserve"> PAGEREF _Toc30173 \h </w:instrText>
          </w:r>
          <w:r>
            <w:fldChar w:fldCharType="separate"/>
          </w:r>
          <w:r>
            <w:t>23</w:t>
          </w:r>
          <w:r>
            <w:fldChar w:fldCharType="end"/>
          </w:r>
          <w:r>
            <w:fldChar w:fldCharType="end"/>
          </w:r>
        </w:p>
        <w:p>
          <w:pPr>
            <w:pStyle w:val="34"/>
            <w:tabs>
              <w:tab w:val="right" w:leader="dot" w:pos="8845"/>
            </w:tabs>
          </w:pPr>
          <w:r>
            <w:fldChar w:fldCharType="begin"/>
          </w:r>
          <w:r>
            <w:instrText xml:space="preserve"> HYPERLINK \l _Toc1551 </w:instrText>
          </w:r>
          <w:r>
            <w:fldChar w:fldCharType="separate"/>
          </w:r>
          <w:r>
            <w:rPr>
              <w:rFonts w:hint="eastAsia" w:ascii="仿宋" w:hAnsi="仿宋" w:eastAsia="仿宋" w:cs="仿宋"/>
            </w:rPr>
            <w:t>1.从产出数量指标看</w:t>
          </w:r>
          <w:r>
            <w:tab/>
          </w:r>
          <w:r>
            <w:fldChar w:fldCharType="begin"/>
          </w:r>
          <w:r>
            <w:instrText xml:space="preserve"> PAGEREF _Toc1551 \h </w:instrText>
          </w:r>
          <w:r>
            <w:fldChar w:fldCharType="separate"/>
          </w:r>
          <w:r>
            <w:t>23</w:t>
          </w:r>
          <w:r>
            <w:fldChar w:fldCharType="end"/>
          </w:r>
          <w:r>
            <w:fldChar w:fldCharType="end"/>
          </w:r>
        </w:p>
        <w:p>
          <w:pPr>
            <w:pStyle w:val="34"/>
            <w:tabs>
              <w:tab w:val="right" w:leader="dot" w:pos="8845"/>
            </w:tabs>
          </w:pPr>
          <w:r>
            <w:fldChar w:fldCharType="begin"/>
          </w:r>
          <w:r>
            <w:instrText xml:space="preserve"> HYPERLINK \l _Toc15350 </w:instrText>
          </w:r>
          <w:r>
            <w:fldChar w:fldCharType="separate"/>
          </w:r>
          <w:r>
            <w:rPr>
              <w:rFonts w:hint="eastAsia" w:ascii="仿宋" w:hAnsi="仿宋" w:eastAsia="仿宋" w:cs="仿宋"/>
              <w:szCs w:val="22"/>
              <w:lang w:val="en-US" w:eastAsia="zh-CN"/>
            </w:rPr>
            <w:t>2</w:t>
          </w:r>
          <w:r>
            <w:rPr>
              <w:rFonts w:hint="eastAsia" w:ascii="仿宋" w:hAnsi="仿宋" w:eastAsia="仿宋" w:cs="仿宋"/>
              <w:szCs w:val="22"/>
            </w:rPr>
            <w:t>.从产出质量指标看</w:t>
          </w:r>
          <w:r>
            <w:tab/>
          </w:r>
          <w:r>
            <w:fldChar w:fldCharType="begin"/>
          </w:r>
          <w:r>
            <w:instrText xml:space="preserve"> PAGEREF _Toc15350 \h </w:instrText>
          </w:r>
          <w:r>
            <w:fldChar w:fldCharType="separate"/>
          </w:r>
          <w:r>
            <w:t>24</w:t>
          </w:r>
          <w:r>
            <w:fldChar w:fldCharType="end"/>
          </w:r>
          <w:r>
            <w:fldChar w:fldCharType="end"/>
          </w:r>
        </w:p>
        <w:p>
          <w:pPr>
            <w:pStyle w:val="34"/>
            <w:tabs>
              <w:tab w:val="right" w:leader="dot" w:pos="8845"/>
            </w:tabs>
          </w:pPr>
          <w:r>
            <w:fldChar w:fldCharType="begin"/>
          </w:r>
          <w:r>
            <w:instrText xml:space="preserve"> HYPERLINK \l _Toc30910 </w:instrText>
          </w:r>
          <w:r>
            <w:fldChar w:fldCharType="separate"/>
          </w:r>
          <w:r>
            <w:rPr>
              <w:rFonts w:hint="eastAsia" w:ascii="仿宋" w:hAnsi="仿宋" w:eastAsia="仿宋" w:cs="仿宋"/>
              <w:szCs w:val="22"/>
              <w:lang w:val="en-US" w:eastAsia="zh-CN"/>
            </w:rPr>
            <w:t>3</w:t>
          </w:r>
          <w:r>
            <w:rPr>
              <w:rFonts w:hint="eastAsia" w:ascii="仿宋" w:hAnsi="仿宋" w:eastAsia="仿宋" w:cs="仿宋"/>
              <w:szCs w:val="22"/>
            </w:rPr>
            <w:t>.从产出时效指标看</w:t>
          </w:r>
          <w:r>
            <w:tab/>
          </w:r>
          <w:r>
            <w:fldChar w:fldCharType="begin"/>
          </w:r>
          <w:r>
            <w:instrText xml:space="preserve"> PAGEREF _Toc30910 \h </w:instrText>
          </w:r>
          <w:r>
            <w:fldChar w:fldCharType="separate"/>
          </w:r>
          <w:r>
            <w:t>25</w:t>
          </w:r>
          <w:r>
            <w:fldChar w:fldCharType="end"/>
          </w:r>
          <w:r>
            <w:fldChar w:fldCharType="end"/>
          </w:r>
        </w:p>
        <w:p>
          <w:pPr>
            <w:pStyle w:val="34"/>
            <w:tabs>
              <w:tab w:val="right" w:leader="dot" w:pos="8845"/>
            </w:tabs>
          </w:pPr>
          <w:r>
            <w:fldChar w:fldCharType="begin"/>
          </w:r>
          <w:r>
            <w:instrText xml:space="preserve"> HYPERLINK \l _Toc12576 </w:instrText>
          </w:r>
          <w:r>
            <w:fldChar w:fldCharType="separate"/>
          </w:r>
          <w:r>
            <w:rPr>
              <w:rFonts w:hint="eastAsia" w:ascii="楷体" w:hAnsi="楷体" w:eastAsia="楷体" w:cs="楷体"/>
              <w:szCs w:val="28"/>
              <w:lang w:eastAsia="zh-CN"/>
            </w:rPr>
            <w:t>（</w:t>
          </w:r>
          <w:r>
            <w:rPr>
              <w:rFonts w:hint="eastAsia" w:ascii="楷体" w:hAnsi="楷体" w:eastAsia="楷体" w:cs="楷体"/>
              <w:szCs w:val="28"/>
              <w:lang w:val="en-US" w:eastAsia="zh-CN"/>
            </w:rPr>
            <w:t>四</w:t>
          </w:r>
          <w:r>
            <w:rPr>
              <w:rFonts w:hint="eastAsia" w:ascii="楷体" w:hAnsi="楷体" w:eastAsia="楷体" w:cs="楷体"/>
              <w:szCs w:val="28"/>
              <w:lang w:eastAsia="zh-CN"/>
            </w:rPr>
            <w:t>）</w:t>
          </w:r>
          <w:r>
            <w:rPr>
              <w:rFonts w:hint="eastAsia" w:ascii="楷体" w:hAnsi="楷体" w:eastAsia="楷体" w:cs="楷体"/>
              <w:szCs w:val="28"/>
              <w:lang w:val="en-US" w:eastAsia="zh-CN"/>
            </w:rPr>
            <w:t>成本指标</w:t>
          </w:r>
          <w:r>
            <w:tab/>
          </w:r>
          <w:r>
            <w:fldChar w:fldCharType="begin"/>
          </w:r>
          <w:r>
            <w:instrText xml:space="preserve"> PAGEREF _Toc12576 \h </w:instrText>
          </w:r>
          <w:r>
            <w:fldChar w:fldCharType="separate"/>
          </w:r>
          <w:r>
            <w:t>25</w:t>
          </w:r>
          <w:r>
            <w:fldChar w:fldCharType="end"/>
          </w:r>
          <w:r>
            <w:fldChar w:fldCharType="end"/>
          </w:r>
        </w:p>
        <w:p>
          <w:pPr>
            <w:pStyle w:val="34"/>
            <w:tabs>
              <w:tab w:val="right" w:leader="dot" w:pos="8845"/>
            </w:tabs>
          </w:pPr>
          <w:r>
            <w:fldChar w:fldCharType="begin"/>
          </w:r>
          <w:r>
            <w:instrText xml:space="preserve"> HYPERLINK \l _Toc23868 </w:instrText>
          </w:r>
          <w:r>
            <w:fldChar w:fldCharType="separate"/>
          </w:r>
          <w:r>
            <w:rPr>
              <w:rFonts w:hint="eastAsia" w:ascii="楷体" w:hAnsi="楷体" w:eastAsia="楷体" w:cs="楷体"/>
              <w:kern w:val="2"/>
              <w:szCs w:val="28"/>
              <w:lang w:val="en-US" w:eastAsia="zh-CN" w:bidi="ar-SA"/>
            </w:rPr>
            <w:t>（五）项目效益情况</w:t>
          </w:r>
          <w:r>
            <w:tab/>
          </w:r>
          <w:r>
            <w:fldChar w:fldCharType="begin"/>
          </w:r>
          <w:r>
            <w:instrText xml:space="preserve"> PAGEREF _Toc23868 \h </w:instrText>
          </w:r>
          <w:r>
            <w:fldChar w:fldCharType="separate"/>
          </w:r>
          <w:r>
            <w:t>25</w:t>
          </w:r>
          <w:r>
            <w:fldChar w:fldCharType="end"/>
          </w:r>
          <w:r>
            <w:fldChar w:fldCharType="end"/>
          </w:r>
        </w:p>
        <w:p>
          <w:pPr>
            <w:pStyle w:val="34"/>
            <w:tabs>
              <w:tab w:val="right" w:leader="dot" w:pos="8845"/>
            </w:tabs>
          </w:pPr>
          <w:r>
            <w:fldChar w:fldCharType="begin"/>
          </w:r>
          <w:r>
            <w:instrText xml:space="preserve"> HYPERLINK \l _Toc13518 </w:instrText>
          </w:r>
          <w:r>
            <w:fldChar w:fldCharType="separate"/>
          </w:r>
          <w:r>
            <w:rPr>
              <w:rFonts w:hint="eastAsia" w:ascii="仿宋" w:hAnsi="仿宋" w:eastAsia="仿宋" w:cs="仿宋"/>
            </w:rPr>
            <w:t>1.</w:t>
          </w:r>
          <w:r>
            <w:rPr>
              <w:rFonts w:hint="eastAsia" w:ascii="仿宋" w:hAnsi="仿宋" w:eastAsia="仿宋" w:cs="仿宋"/>
              <w:lang w:val="en-US" w:eastAsia="zh-CN"/>
            </w:rPr>
            <w:t>经济</w:t>
          </w:r>
          <w:r>
            <w:rPr>
              <w:rFonts w:hint="eastAsia" w:ascii="仿宋" w:hAnsi="仿宋" w:eastAsia="仿宋" w:cs="仿宋"/>
            </w:rPr>
            <w:t>效益分析</w:t>
          </w:r>
          <w:r>
            <w:tab/>
          </w:r>
          <w:r>
            <w:fldChar w:fldCharType="begin"/>
          </w:r>
          <w:r>
            <w:instrText xml:space="preserve"> PAGEREF _Toc13518 \h </w:instrText>
          </w:r>
          <w:r>
            <w:fldChar w:fldCharType="separate"/>
          </w:r>
          <w:r>
            <w:t>25</w:t>
          </w:r>
          <w:r>
            <w:fldChar w:fldCharType="end"/>
          </w:r>
          <w:r>
            <w:fldChar w:fldCharType="end"/>
          </w:r>
        </w:p>
        <w:p>
          <w:pPr>
            <w:pStyle w:val="34"/>
            <w:tabs>
              <w:tab w:val="right" w:leader="dot" w:pos="8845"/>
            </w:tabs>
          </w:pPr>
          <w:r>
            <w:fldChar w:fldCharType="begin"/>
          </w:r>
          <w:r>
            <w:instrText xml:space="preserve"> HYPERLINK \l _Toc5559 </w:instrText>
          </w:r>
          <w:r>
            <w:fldChar w:fldCharType="separate"/>
          </w:r>
          <w:r>
            <w:rPr>
              <w:rFonts w:hint="eastAsia" w:ascii="仿宋" w:hAnsi="仿宋" w:eastAsia="仿宋" w:cs="仿宋"/>
              <w:bCs w:val="0"/>
              <w:lang w:val="en-US" w:eastAsia="zh-CN"/>
            </w:rPr>
            <w:t>2.社会</w:t>
          </w:r>
          <w:r>
            <w:rPr>
              <w:rFonts w:hint="eastAsia" w:ascii="仿宋" w:hAnsi="仿宋" w:eastAsia="仿宋" w:cs="仿宋"/>
              <w:bCs w:val="0"/>
              <w:lang w:eastAsia="zh-CN"/>
            </w:rPr>
            <w:t>效益分析</w:t>
          </w:r>
          <w:r>
            <w:tab/>
          </w:r>
          <w:r>
            <w:fldChar w:fldCharType="begin"/>
          </w:r>
          <w:r>
            <w:instrText xml:space="preserve"> PAGEREF _Toc5559 \h </w:instrText>
          </w:r>
          <w:r>
            <w:fldChar w:fldCharType="separate"/>
          </w:r>
          <w:r>
            <w:t>26</w:t>
          </w:r>
          <w:r>
            <w:fldChar w:fldCharType="end"/>
          </w:r>
          <w:r>
            <w:fldChar w:fldCharType="end"/>
          </w:r>
        </w:p>
        <w:p>
          <w:pPr>
            <w:pStyle w:val="34"/>
            <w:tabs>
              <w:tab w:val="right" w:leader="dot" w:pos="8845"/>
            </w:tabs>
          </w:pPr>
          <w:r>
            <w:fldChar w:fldCharType="begin"/>
          </w:r>
          <w:r>
            <w:instrText xml:space="preserve"> HYPERLINK \l _Toc15005 </w:instrText>
          </w:r>
          <w:r>
            <w:fldChar w:fldCharType="separate"/>
          </w:r>
          <w:r>
            <w:rPr>
              <w:rFonts w:hint="eastAsia" w:ascii="仿宋" w:hAnsi="仿宋" w:eastAsia="仿宋" w:cs="仿宋"/>
              <w:lang w:val="en-US" w:eastAsia="zh-CN"/>
            </w:rPr>
            <w:t>3</w:t>
          </w:r>
          <w:r>
            <w:rPr>
              <w:rFonts w:hint="eastAsia" w:ascii="仿宋" w:hAnsi="仿宋" w:eastAsia="仿宋" w:cs="仿宋"/>
            </w:rPr>
            <w:t>.</w:t>
          </w:r>
          <w:r>
            <w:rPr>
              <w:rFonts w:hint="eastAsia" w:ascii="仿宋" w:hAnsi="仿宋" w:eastAsia="仿宋" w:cs="仿宋"/>
              <w:lang w:val="en-US" w:eastAsia="zh-CN"/>
            </w:rPr>
            <w:t>生态效益</w:t>
          </w:r>
          <w:r>
            <w:rPr>
              <w:rFonts w:hint="eastAsia" w:ascii="仿宋" w:hAnsi="仿宋" w:eastAsia="仿宋" w:cs="仿宋"/>
            </w:rPr>
            <w:t>分析</w:t>
          </w:r>
          <w:r>
            <w:tab/>
          </w:r>
          <w:r>
            <w:fldChar w:fldCharType="begin"/>
          </w:r>
          <w:r>
            <w:instrText xml:space="preserve"> PAGEREF _Toc15005 \h </w:instrText>
          </w:r>
          <w:r>
            <w:fldChar w:fldCharType="separate"/>
          </w:r>
          <w:r>
            <w:t>27</w:t>
          </w:r>
          <w:r>
            <w:fldChar w:fldCharType="end"/>
          </w:r>
          <w:r>
            <w:fldChar w:fldCharType="end"/>
          </w:r>
        </w:p>
        <w:p>
          <w:pPr>
            <w:pStyle w:val="34"/>
            <w:tabs>
              <w:tab w:val="right" w:leader="dot" w:pos="8845"/>
            </w:tabs>
          </w:pPr>
          <w:r>
            <w:fldChar w:fldCharType="begin"/>
          </w:r>
          <w:r>
            <w:instrText xml:space="preserve"> HYPERLINK \l _Toc23379 </w:instrText>
          </w:r>
          <w:r>
            <w:fldChar w:fldCharType="separate"/>
          </w:r>
          <w:r>
            <w:rPr>
              <w:rFonts w:hint="eastAsia" w:ascii="仿宋" w:hAnsi="仿宋" w:eastAsia="仿宋" w:cs="仿宋"/>
              <w:lang w:val="en-US" w:eastAsia="zh-CN"/>
            </w:rPr>
            <w:t>4</w:t>
          </w:r>
          <w:r>
            <w:rPr>
              <w:rFonts w:hint="eastAsia" w:ascii="仿宋" w:hAnsi="仿宋" w:eastAsia="仿宋" w:cs="仿宋"/>
            </w:rPr>
            <w:t>.服务对象满意度</w:t>
          </w:r>
          <w:r>
            <w:tab/>
          </w:r>
          <w:r>
            <w:fldChar w:fldCharType="begin"/>
          </w:r>
          <w:r>
            <w:instrText xml:space="preserve"> PAGEREF _Toc23379 \h </w:instrText>
          </w:r>
          <w:r>
            <w:fldChar w:fldCharType="separate"/>
          </w:r>
          <w:r>
            <w:t>27</w:t>
          </w:r>
          <w:r>
            <w:fldChar w:fldCharType="end"/>
          </w:r>
          <w:r>
            <w:fldChar w:fldCharType="end"/>
          </w:r>
        </w:p>
        <w:p>
          <w:pPr>
            <w:pStyle w:val="33"/>
            <w:tabs>
              <w:tab w:val="right" w:leader="dot" w:pos="8845"/>
            </w:tabs>
          </w:pPr>
          <w:r>
            <w:fldChar w:fldCharType="begin"/>
          </w:r>
          <w:r>
            <w:instrText xml:space="preserve"> HYPERLINK \l _Toc29753 </w:instrText>
          </w:r>
          <w:r>
            <w:fldChar w:fldCharType="separate"/>
          </w:r>
          <w:r>
            <w:rPr>
              <w:rFonts w:hint="eastAsia" w:ascii="黑体" w:hAnsi="黑体" w:eastAsia="黑体" w:cs="黑体"/>
              <w:szCs w:val="28"/>
              <w:lang w:val="en-US" w:eastAsia="zh-CN"/>
            </w:rPr>
            <w:t>七</w:t>
          </w:r>
          <w:r>
            <w:rPr>
              <w:rFonts w:hint="eastAsia" w:ascii="黑体" w:hAnsi="黑体" w:eastAsia="黑体" w:cs="黑体"/>
              <w:szCs w:val="28"/>
            </w:rPr>
            <w:t>、</w:t>
          </w:r>
          <w:r>
            <w:rPr>
              <w:rFonts w:hint="eastAsia" w:ascii="黑体" w:hAnsi="黑体" w:eastAsia="黑体" w:cs="黑体"/>
              <w:szCs w:val="28"/>
              <w:lang w:val="en-US" w:eastAsia="zh-CN"/>
            </w:rPr>
            <w:t>主要问题</w:t>
          </w:r>
          <w:r>
            <w:tab/>
          </w:r>
          <w:r>
            <w:fldChar w:fldCharType="begin"/>
          </w:r>
          <w:r>
            <w:instrText xml:space="preserve"> PAGEREF _Toc29753 \h </w:instrText>
          </w:r>
          <w:r>
            <w:fldChar w:fldCharType="separate"/>
          </w:r>
          <w:r>
            <w:t>27</w:t>
          </w:r>
          <w:r>
            <w:fldChar w:fldCharType="end"/>
          </w:r>
          <w:r>
            <w:fldChar w:fldCharType="end"/>
          </w:r>
        </w:p>
        <w:p>
          <w:pPr>
            <w:pStyle w:val="35"/>
            <w:tabs>
              <w:tab w:val="right" w:leader="dot" w:pos="8845"/>
            </w:tabs>
          </w:pPr>
          <w:r>
            <w:fldChar w:fldCharType="begin"/>
          </w:r>
          <w:r>
            <w:instrText xml:space="preserve"> HYPERLINK \l _Toc2332 </w:instrText>
          </w:r>
          <w:r>
            <w:fldChar w:fldCharType="separate"/>
          </w:r>
          <w:r>
            <w:rPr>
              <w:rFonts w:hint="eastAsia" w:ascii="楷体" w:hAnsi="楷体" w:eastAsia="楷体" w:cs="楷体"/>
              <w:bCs/>
              <w:kern w:val="2"/>
              <w:szCs w:val="28"/>
              <w:lang w:val="en-US" w:eastAsia="zh-CN" w:bidi="ar-SA"/>
            </w:rPr>
            <w:t>（一）政策的执行与规范性文件的衔接上存在瑕疵</w:t>
          </w:r>
          <w:r>
            <w:tab/>
          </w:r>
          <w:r>
            <w:fldChar w:fldCharType="begin"/>
          </w:r>
          <w:r>
            <w:instrText xml:space="preserve"> PAGEREF _Toc2332 \h </w:instrText>
          </w:r>
          <w:r>
            <w:fldChar w:fldCharType="separate"/>
          </w:r>
          <w:r>
            <w:t>27</w:t>
          </w:r>
          <w:r>
            <w:fldChar w:fldCharType="end"/>
          </w:r>
          <w:r>
            <w:fldChar w:fldCharType="end"/>
          </w:r>
        </w:p>
        <w:p>
          <w:pPr>
            <w:pStyle w:val="35"/>
            <w:tabs>
              <w:tab w:val="right" w:leader="dot" w:pos="8845"/>
            </w:tabs>
          </w:pPr>
          <w:r>
            <w:fldChar w:fldCharType="begin"/>
          </w:r>
          <w:r>
            <w:instrText xml:space="preserve"> HYPERLINK \l _Toc6960 </w:instrText>
          </w:r>
          <w:r>
            <w:fldChar w:fldCharType="separate"/>
          </w:r>
          <w:r>
            <w:rPr>
              <w:rFonts w:hint="eastAsia" w:ascii="楷体" w:hAnsi="楷体" w:eastAsia="楷体" w:cs="楷体"/>
              <w:bCs/>
              <w:szCs w:val="28"/>
              <w:lang w:val="en-US" w:eastAsia="zh-CN"/>
            </w:rPr>
            <w:t>（二）部分政策兑现存在凑齐批量审核现象</w:t>
          </w:r>
          <w:r>
            <w:tab/>
          </w:r>
          <w:r>
            <w:fldChar w:fldCharType="begin"/>
          </w:r>
          <w:r>
            <w:instrText xml:space="preserve"> PAGEREF _Toc6960 \h </w:instrText>
          </w:r>
          <w:r>
            <w:fldChar w:fldCharType="separate"/>
          </w:r>
          <w:r>
            <w:t>28</w:t>
          </w:r>
          <w:r>
            <w:fldChar w:fldCharType="end"/>
          </w:r>
          <w:r>
            <w:fldChar w:fldCharType="end"/>
          </w:r>
        </w:p>
        <w:p>
          <w:pPr>
            <w:pStyle w:val="35"/>
            <w:tabs>
              <w:tab w:val="right" w:leader="dot" w:pos="8845"/>
            </w:tabs>
          </w:pPr>
          <w:r>
            <w:fldChar w:fldCharType="begin"/>
          </w:r>
          <w:r>
            <w:instrText xml:space="preserve"> HYPERLINK \l _Toc606 </w:instrText>
          </w:r>
          <w:r>
            <w:fldChar w:fldCharType="separate"/>
          </w:r>
          <w:r>
            <w:rPr>
              <w:rFonts w:hint="eastAsia" w:ascii="楷体" w:hAnsi="楷体" w:eastAsia="楷体" w:cs="楷体"/>
              <w:bCs/>
              <w:szCs w:val="28"/>
              <w:lang w:val="en-US" w:eastAsia="zh-CN"/>
            </w:rPr>
            <w:t>（三）新增船舶稳定性不足，迁出船舶数量多</w:t>
          </w:r>
          <w:r>
            <w:tab/>
          </w:r>
          <w:r>
            <w:fldChar w:fldCharType="begin"/>
          </w:r>
          <w:r>
            <w:instrText xml:space="preserve"> PAGEREF _Toc606 \h </w:instrText>
          </w:r>
          <w:r>
            <w:fldChar w:fldCharType="separate"/>
          </w:r>
          <w:r>
            <w:t>28</w:t>
          </w:r>
          <w:r>
            <w:fldChar w:fldCharType="end"/>
          </w:r>
          <w:r>
            <w:fldChar w:fldCharType="end"/>
          </w:r>
        </w:p>
        <w:p>
          <w:pPr>
            <w:pStyle w:val="33"/>
            <w:tabs>
              <w:tab w:val="right" w:leader="dot" w:pos="8845"/>
            </w:tabs>
          </w:pPr>
          <w:r>
            <w:fldChar w:fldCharType="begin"/>
          </w:r>
          <w:r>
            <w:instrText xml:space="preserve"> HYPERLINK \l _Toc14757 </w:instrText>
          </w:r>
          <w:r>
            <w:fldChar w:fldCharType="separate"/>
          </w:r>
          <w:r>
            <w:rPr>
              <w:rFonts w:hint="eastAsia" w:ascii="黑体" w:hAnsi="黑体" w:eastAsia="黑体" w:cs="黑体"/>
              <w:bCs/>
              <w:kern w:val="2"/>
              <w:szCs w:val="28"/>
              <w:lang w:val="en-US" w:eastAsia="zh-CN" w:bidi="ar-SA"/>
            </w:rPr>
            <w:t>八、建议</w:t>
          </w:r>
          <w:r>
            <w:tab/>
          </w:r>
          <w:r>
            <w:fldChar w:fldCharType="begin"/>
          </w:r>
          <w:r>
            <w:instrText xml:space="preserve"> PAGEREF _Toc14757 \h </w:instrText>
          </w:r>
          <w:r>
            <w:fldChar w:fldCharType="separate"/>
          </w:r>
          <w:r>
            <w:t>29</w:t>
          </w:r>
          <w:r>
            <w:fldChar w:fldCharType="end"/>
          </w:r>
          <w:r>
            <w:fldChar w:fldCharType="end"/>
          </w:r>
        </w:p>
        <w:p>
          <w:pPr>
            <w:pStyle w:val="35"/>
            <w:tabs>
              <w:tab w:val="right" w:leader="dot" w:pos="8845"/>
            </w:tabs>
          </w:pPr>
          <w:r>
            <w:fldChar w:fldCharType="begin"/>
          </w:r>
          <w:r>
            <w:instrText xml:space="preserve"> HYPERLINK \l _Toc16786 </w:instrText>
          </w:r>
          <w:r>
            <w:fldChar w:fldCharType="separate"/>
          </w:r>
          <w:r>
            <w:rPr>
              <w:rFonts w:hint="eastAsia" w:ascii="楷体" w:hAnsi="楷体" w:eastAsia="楷体" w:cs="楷体"/>
              <w:bCs/>
              <w:kern w:val="2"/>
              <w:szCs w:val="28"/>
              <w:lang w:val="en-US" w:eastAsia="zh-CN" w:bidi="ar-SA"/>
            </w:rPr>
            <w:t>（一）完善政策管理制度或提高制度执行有效性</w:t>
          </w:r>
          <w:r>
            <w:tab/>
          </w:r>
          <w:r>
            <w:fldChar w:fldCharType="begin"/>
          </w:r>
          <w:r>
            <w:instrText xml:space="preserve"> PAGEREF _Toc16786 \h </w:instrText>
          </w:r>
          <w:r>
            <w:fldChar w:fldCharType="separate"/>
          </w:r>
          <w:r>
            <w:t>29</w:t>
          </w:r>
          <w:r>
            <w:fldChar w:fldCharType="end"/>
          </w:r>
          <w:r>
            <w:fldChar w:fldCharType="end"/>
          </w:r>
        </w:p>
        <w:p>
          <w:pPr>
            <w:pStyle w:val="35"/>
            <w:tabs>
              <w:tab w:val="right" w:leader="dot" w:pos="8845"/>
            </w:tabs>
          </w:pPr>
          <w:r>
            <w:fldChar w:fldCharType="begin"/>
          </w:r>
          <w:r>
            <w:instrText xml:space="preserve"> HYPERLINK \l _Toc1012 </w:instrText>
          </w:r>
          <w:r>
            <w:fldChar w:fldCharType="separate"/>
          </w:r>
          <w:r>
            <w:rPr>
              <w:rFonts w:hint="eastAsia" w:ascii="楷体" w:hAnsi="楷体" w:eastAsia="楷体" w:cs="楷体"/>
              <w:bCs/>
              <w:szCs w:val="28"/>
              <w:lang w:val="en-US" w:eastAsia="zh-CN"/>
            </w:rPr>
            <w:t>（二）定期审核、及时审批</w:t>
          </w:r>
          <w:r>
            <w:tab/>
          </w:r>
          <w:r>
            <w:fldChar w:fldCharType="begin"/>
          </w:r>
          <w:r>
            <w:instrText xml:space="preserve"> PAGEREF _Toc1012 \h </w:instrText>
          </w:r>
          <w:r>
            <w:fldChar w:fldCharType="separate"/>
          </w:r>
          <w:r>
            <w:t>29</w:t>
          </w:r>
          <w:r>
            <w:fldChar w:fldCharType="end"/>
          </w:r>
          <w:r>
            <w:fldChar w:fldCharType="end"/>
          </w:r>
        </w:p>
        <w:p>
          <w:pPr>
            <w:pStyle w:val="35"/>
            <w:tabs>
              <w:tab w:val="right" w:leader="dot" w:pos="8845"/>
            </w:tabs>
          </w:pPr>
          <w:r>
            <w:fldChar w:fldCharType="begin"/>
          </w:r>
          <w:r>
            <w:instrText xml:space="preserve"> HYPERLINK \l _Toc17409 </w:instrText>
          </w:r>
          <w:r>
            <w:fldChar w:fldCharType="separate"/>
          </w:r>
          <w:r>
            <w:rPr>
              <w:rFonts w:hint="eastAsia" w:ascii="楷体" w:hAnsi="楷体" w:eastAsia="楷体" w:cs="楷体"/>
              <w:bCs/>
              <w:kern w:val="2"/>
              <w:szCs w:val="28"/>
              <w:lang w:val="en-US" w:eastAsia="zh-CN" w:bidi="ar-SA"/>
            </w:rPr>
            <w:t>（三）下一步应以水路运输业提质增效为目标，提升行业管理水平</w:t>
          </w:r>
          <w:r>
            <w:tab/>
          </w:r>
          <w:r>
            <w:fldChar w:fldCharType="begin"/>
          </w:r>
          <w:r>
            <w:instrText xml:space="preserve"> PAGEREF _Toc17409 \h </w:instrText>
          </w:r>
          <w:r>
            <w:fldChar w:fldCharType="separate"/>
          </w:r>
          <w:r>
            <w:t>30</w:t>
          </w:r>
          <w:r>
            <w:fldChar w:fldCharType="end"/>
          </w:r>
          <w:r>
            <w:fldChar w:fldCharType="end"/>
          </w:r>
        </w:p>
        <w:p>
          <w:pPr>
            <w:pStyle w:val="33"/>
            <w:tabs>
              <w:tab w:val="right" w:leader="dot" w:pos="8845"/>
            </w:tabs>
          </w:pPr>
          <w:r>
            <w:fldChar w:fldCharType="begin"/>
          </w:r>
          <w:r>
            <w:instrText xml:space="preserve"> HYPERLINK \l _Toc27952 </w:instrText>
          </w:r>
          <w:r>
            <w:fldChar w:fldCharType="separate"/>
          </w:r>
          <w:r>
            <w:rPr>
              <w:rFonts w:hint="eastAsia" w:ascii="黑体" w:hAnsi="黑体" w:eastAsia="黑体" w:cs="黑体"/>
              <w:bCs/>
              <w:szCs w:val="28"/>
              <w:lang w:val="en-US" w:eastAsia="zh-CN"/>
            </w:rPr>
            <w:t>九、</w:t>
          </w:r>
          <w:r>
            <w:rPr>
              <w:rFonts w:hint="eastAsia" w:ascii="黑体" w:hAnsi="黑体" w:eastAsia="黑体" w:cs="黑体"/>
              <w:bCs/>
              <w:szCs w:val="28"/>
            </w:rPr>
            <w:t>其他需说明的事项</w:t>
          </w:r>
          <w:r>
            <w:tab/>
          </w:r>
          <w:r>
            <w:fldChar w:fldCharType="begin"/>
          </w:r>
          <w:r>
            <w:instrText xml:space="preserve"> PAGEREF _Toc27952 \h </w:instrText>
          </w:r>
          <w:r>
            <w:fldChar w:fldCharType="separate"/>
          </w:r>
          <w:r>
            <w:t>30</w:t>
          </w:r>
          <w:r>
            <w:fldChar w:fldCharType="end"/>
          </w:r>
          <w:r>
            <w:fldChar w:fldCharType="end"/>
          </w:r>
        </w:p>
        <w:p>
          <w:pPr>
            <w:pStyle w:val="33"/>
            <w:tabs>
              <w:tab w:val="right" w:leader="dot" w:pos="8845"/>
            </w:tabs>
          </w:pPr>
          <w:r>
            <w:fldChar w:fldCharType="begin"/>
          </w:r>
          <w:r>
            <w:instrText xml:space="preserve"> HYPERLINK \l _Toc30927 </w:instrText>
          </w:r>
          <w:r>
            <w:fldChar w:fldCharType="separate"/>
          </w:r>
          <w:r>
            <w:rPr>
              <w:rFonts w:hint="eastAsia" w:ascii="黑体" w:hAnsi="黑体" w:eastAsia="黑体" w:cs="黑体"/>
              <w:bCs/>
              <w:szCs w:val="28"/>
              <w:lang w:val="en-US" w:eastAsia="zh-CN"/>
            </w:rPr>
            <w:t>十、</w:t>
          </w:r>
          <w:r>
            <w:rPr>
              <w:rFonts w:hint="eastAsia" w:ascii="黑体" w:hAnsi="黑体" w:eastAsia="黑体" w:cs="黑体"/>
              <w:bCs/>
              <w:szCs w:val="28"/>
            </w:rPr>
            <w:t>附件说明</w:t>
          </w:r>
          <w:r>
            <w:tab/>
          </w:r>
          <w:r>
            <w:fldChar w:fldCharType="begin"/>
          </w:r>
          <w:r>
            <w:instrText xml:space="preserve"> PAGEREF _Toc30927 \h </w:instrText>
          </w:r>
          <w:r>
            <w:fldChar w:fldCharType="separate"/>
          </w:r>
          <w:r>
            <w:t>31</w:t>
          </w:r>
          <w:r>
            <w:fldChar w:fldCharType="end"/>
          </w:r>
          <w:r>
            <w:fldChar w:fldCharType="end"/>
          </w:r>
        </w:p>
        <w:p>
          <w:pPr>
            <w:pStyle w:val="33"/>
            <w:keepNext w:val="0"/>
            <w:keepLines w:val="0"/>
            <w:pageBreakBefore w:val="0"/>
            <w:widowControl/>
            <w:tabs>
              <w:tab w:val="right" w:leader="dot" w:pos="8845"/>
            </w:tabs>
            <w:kinsoku/>
            <w:wordWrap/>
            <w:overflowPunct/>
            <w:topLinePunct w:val="0"/>
            <w:autoSpaceDE/>
            <w:autoSpaceDN/>
            <w:bidi w:val="0"/>
            <w:adjustRightInd w:val="0"/>
            <w:snapToGrid/>
            <w:ind w:firstLine="400" w:firstLineChars="200"/>
            <w:textAlignment w:val="auto"/>
          </w:pPr>
          <w:r>
            <w:fldChar w:fldCharType="begin"/>
          </w:r>
          <w:r>
            <w:instrText xml:space="preserve"> HYPERLINK \l _Toc13276 </w:instrText>
          </w:r>
          <w:r>
            <w:fldChar w:fldCharType="separate"/>
          </w:r>
          <w:r>
            <w:rPr>
              <w:rFonts w:hint="eastAsia" w:ascii="仿宋" w:hAnsi="仿宋" w:eastAsia="仿宋" w:cs="仿宋"/>
              <w:bCs/>
              <w:kern w:val="0"/>
              <w:szCs w:val="28"/>
              <w:lang w:val="en-US" w:eastAsia="zh-CN"/>
            </w:rPr>
            <w:t>附件1  石狮市促进水路运输业发展政策满意度调查</w:t>
          </w:r>
          <w:r>
            <w:tab/>
          </w:r>
          <w:r>
            <w:fldChar w:fldCharType="begin"/>
          </w:r>
          <w:r>
            <w:instrText xml:space="preserve"> PAGEREF _Toc13276 \h </w:instrText>
          </w:r>
          <w:r>
            <w:fldChar w:fldCharType="separate"/>
          </w:r>
          <w:r>
            <w:t>32</w:t>
          </w:r>
          <w:r>
            <w:fldChar w:fldCharType="end"/>
          </w:r>
          <w:r>
            <w:fldChar w:fldCharType="end"/>
          </w:r>
        </w:p>
        <w:p>
          <w:pPr>
            <w:pStyle w:val="33"/>
            <w:keepNext w:val="0"/>
            <w:keepLines w:val="0"/>
            <w:pageBreakBefore w:val="0"/>
            <w:widowControl/>
            <w:tabs>
              <w:tab w:val="right" w:leader="dot" w:pos="8845"/>
            </w:tabs>
            <w:kinsoku/>
            <w:wordWrap/>
            <w:overflowPunct/>
            <w:topLinePunct w:val="0"/>
            <w:autoSpaceDE/>
            <w:autoSpaceDN/>
            <w:bidi w:val="0"/>
            <w:adjustRightInd w:val="0"/>
            <w:snapToGrid/>
            <w:ind w:firstLine="400" w:firstLineChars="200"/>
            <w:textAlignment w:val="auto"/>
          </w:pPr>
          <w:r>
            <w:fldChar w:fldCharType="begin"/>
          </w:r>
          <w:r>
            <w:instrText xml:space="preserve"> HYPERLINK \l _Toc2357 </w:instrText>
          </w:r>
          <w:r>
            <w:fldChar w:fldCharType="separate"/>
          </w:r>
          <w:r>
            <w:rPr>
              <w:rFonts w:hint="eastAsia" w:ascii="仿宋" w:hAnsi="仿宋" w:eastAsia="仿宋" w:cs="仿宋"/>
              <w:bCs w:val="0"/>
              <w:szCs w:val="28"/>
              <w:lang w:val="en-US" w:eastAsia="zh-CN"/>
            </w:rPr>
            <w:t>附件2</w:t>
          </w:r>
          <w:r>
            <w:rPr>
              <w:rFonts w:hint="eastAsia" w:ascii="仿宋" w:hAnsi="仿宋" w:eastAsia="仿宋" w:cs="仿宋"/>
              <w:bCs w:val="0"/>
              <w:kern w:val="0"/>
              <w:szCs w:val="28"/>
              <w:lang w:val="en-US" w:eastAsia="zh-CN"/>
            </w:rPr>
            <w:t xml:space="preserve">  石狮市已申领奖补资金船舶迁出明细表</w:t>
          </w:r>
          <w:r>
            <w:tab/>
          </w:r>
          <w:r>
            <w:fldChar w:fldCharType="begin"/>
          </w:r>
          <w:r>
            <w:instrText xml:space="preserve"> PAGEREF _Toc2357 \h </w:instrText>
          </w:r>
          <w:r>
            <w:fldChar w:fldCharType="separate"/>
          </w:r>
          <w:r>
            <w:t>36</w:t>
          </w:r>
          <w:r>
            <w:fldChar w:fldCharType="end"/>
          </w:r>
          <w:r>
            <w:fldChar w:fldCharType="end"/>
          </w:r>
        </w:p>
        <w:p>
          <w:r>
            <w:fldChar w:fldCharType="end"/>
          </w:r>
        </w:p>
      </w:sdtContent>
    </w:sdt>
    <w:p>
      <w:pPr>
        <w:keepLines w:val="0"/>
        <w:pageBreakBefore w:val="0"/>
        <w:widowControl w:val="0"/>
        <w:shd w:val="clear" w:fill="FFFFFF" w:themeFill="background1"/>
        <w:kinsoku/>
        <w:wordWrap/>
        <w:overflowPunct/>
        <w:topLinePunct w:val="0"/>
        <w:autoSpaceDE/>
        <w:autoSpaceDN/>
        <w:bidi w:val="0"/>
        <w:adjustRightInd/>
        <w:snapToGrid/>
        <w:spacing w:line="240" w:lineRule="auto"/>
        <w:ind w:right="0"/>
        <w:jc w:val="center"/>
        <w:outlineLvl w:val="0"/>
        <w:rPr>
          <w:rFonts w:hint="eastAsia" w:ascii="黑体" w:hAnsi="黑体" w:eastAsia="黑体" w:cs="黑体"/>
          <w:b/>
          <w:bCs/>
          <w:color w:val="auto"/>
          <w:sz w:val="28"/>
          <w:szCs w:val="28"/>
          <w:highlight w:val="none"/>
          <w:lang w:val="en-US" w:eastAsia="zh-CN"/>
        </w:rPr>
        <w:sectPr>
          <w:headerReference r:id="rId5" w:type="default"/>
          <w:footerReference r:id="rId6" w:type="default"/>
          <w:pgSz w:w="11906" w:h="16838"/>
          <w:pgMar w:top="1417" w:right="1474" w:bottom="1417"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12" w:name="_Toc27185"/>
    </w:p>
    <w:p>
      <w:pPr>
        <w:keepLines w:val="0"/>
        <w:pageBreakBefore w:val="0"/>
        <w:widowControl w:val="0"/>
        <w:shd w:val="clear" w:fill="FFFFFF" w:themeFill="background1"/>
        <w:kinsoku/>
        <w:wordWrap/>
        <w:overflowPunct/>
        <w:topLinePunct w:val="0"/>
        <w:autoSpaceDE/>
        <w:autoSpaceDN/>
        <w:bidi w:val="0"/>
        <w:adjustRightInd/>
        <w:snapToGrid/>
        <w:spacing w:line="240" w:lineRule="auto"/>
        <w:ind w:right="0"/>
        <w:jc w:val="center"/>
        <w:outlineLvl w:val="0"/>
        <w:rPr>
          <w:rFonts w:hint="eastAsia" w:ascii="黑体" w:hAnsi="黑体" w:eastAsia="黑体" w:cs="黑体"/>
          <w:color w:val="auto"/>
          <w:sz w:val="28"/>
          <w:szCs w:val="28"/>
        </w:rPr>
      </w:pPr>
      <w:r>
        <w:rPr>
          <w:rFonts w:hint="eastAsia" w:ascii="黑体" w:hAnsi="黑体" w:eastAsia="黑体" w:cs="黑体"/>
          <w:b/>
          <w:bCs/>
          <w:color w:val="auto"/>
          <w:sz w:val="28"/>
          <w:szCs w:val="28"/>
          <w:highlight w:val="none"/>
          <w:lang w:val="en-US" w:eastAsia="zh-CN"/>
        </w:rPr>
        <w:t>前 言</w:t>
      </w:r>
      <w:bookmarkEnd w:id="12"/>
    </w:p>
    <w:p>
      <w:pPr>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为加强财政资金管理，强化支出责任，提高财政资金的使用效益，建立科学、合理的财政支出绩效评价管理体系，为领导决策提供科学有力的依据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泉州市招标咨询中心地方财政绩效评价所接受</w:t>
      </w:r>
      <w:r>
        <w:rPr>
          <w:rFonts w:hint="eastAsia" w:ascii="仿宋" w:hAnsi="仿宋" w:eastAsia="仿宋" w:cs="仿宋"/>
          <w:color w:val="auto"/>
          <w:sz w:val="28"/>
          <w:szCs w:val="28"/>
          <w:highlight w:val="none"/>
          <w:lang w:val="en-US" w:eastAsia="zh-CN"/>
        </w:rPr>
        <w:t>石狮市财政局</w:t>
      </w:r>
      <w:r>
        <w:rPr>
          <w:rFonts w:hint="eastAsia" w:ascii="仿宋" w:hAnsi="仿宋" w:eastAsia="仿宋" w:cs="仿宋"/>
          <w:color w:val="auto"/>
          <w:sz w:val="28"/>
          <w:szCs w:val="28"/>
          <w:highlight w:val="none"/>
        </w:rPr>
        <w:t>委托，组织专业人员成立绩效评价工作组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rPr>
        <w:t>根据《中华人民共和国预算法》《中共中央国务院关于全面实施预算绩效管理的意见》规定，按照财政部《关于印发&lt;项目支出绩效评价管理办法&gt;的通知》（财预〔2020〕10号）、《福建省财政支出绩效评价管理办法》（闽财绩〔2015〕4号）等有关文件要求，对</w:t>
      </w:r>
      <w:r>
        <w:rPr>
          <w:rFonts w:hint="eastAsia" w:ascii="仿宋" w:hAnsi="仿宋" w:eastAsia="仿宋" w:cs="仿宋"/>
          <w:color w:val="auto"/>
          <w:sz w:val="28"/>
          <w:szCs w:val="28"/>
          <w:lang w:val="en-US" w:eastAsia="zh-CN"/>
        </w:rPr>
        <w:t>2022年度石狮市水路运输业补贴资金开展</w:t>
      </w:r>
      <w:r>
        <w:rPr>
          <w:rFonts w:hint="eastAsia" w:ascii="仿宋" w:hAnsi="仿宋" w:eastAsia="仿宋" w:cs="仿宋"/>
          <w:color w:val="auto"/>
          <w:sz w:val="28"/>
          <w:szCs w:val="28"/>
        </w:rPr>
        <w:t>绩效评价工作。按照财政部《第三方机构预算绩效评价业务监督管理暂行办法》（财监〔2021〕4号）的要求，以第三方身份出具报告。评价报告主要供</w:t>
      </w:r>
      <w:r>
        <w:rPr>
          <w:rFonts w:hint="eastAsia" w:ascii="仿宋" w:hAnsi="仿宋" w:eastAsia="仿宋" w:cs="仿宋"/>
          <w:color w:val="auto"/>
          <w:sz w:val="28"/>
          <w:szCs w:val="28"/>
          <w:lang w:val="en-US" w:eastAsia="zh-CN"/>
        </w:rPr>
        <w:t>石狮市财政局</w:t>
      </w:r>
      <w:r>
        <w:rPr>
          <w:rFonts w:hint="eastAsia" w:ascii="仿宋" w:hAnsi="仿宋" w:eastAsia="仿宋" w:cs="仿宋"/>
          <w:color w:val="auto"/>
          <w:sz w:val="28"/>
          <w:szCs w:val="28"/>
        </w:rPr>
        <w:t>了解</w:t>
      </w:r>
      <w:r>
        <w:rPr>
          <w:rFonts w:hint="eastAsia" w:ascii="仿宋" w:hAnsi="仿宋" w:eastAsia="仿宋" w:cs="仿宋"/>
          <w:color w:val="auto"/>
          <w:sz w:val="28"/>
          <w:szCs w:val="28"/>
          <w:lang w:val="en-US" w:eastAsia="zh-CN"/>
        </w:rPr>
        <w:t>2022年水路运输业补贴</w:t>
      </w:r>
      <w:r>
        <w:rPr>
          <w:rFonts w:hint="eastAsia" w:ascii="仿宋" w:hAnsi="仿宋" w:eastAsia="仿宋" w:cs="仿宋"/>
          <w:color w:val="auto"/>
          <w:sz w:val="28"/>
          <w:szCs w:val="28"/>
        </w:rPr>
        <w:t>资金的绩效情况，并据以加强对未来该项资金拨付、使用的管理。</w:t>
      </w:r>
    </w:p>
    <w:p>
      <w:pPr>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绩效评价工作小组在收集、整理、汇总、分析相关资料的基础上，通过查账、实地调研和问卷调查等方式进行了解核实，并对相关评价指标进行汇总分析，对照评价指标和标准进行评议打分，形成《</w:t>
      </w:r>
      <w:r>
        <w:rPr>
          <w:rFonts w:hint="eastAsia" w:ascii="仿宋" w:hAnsi="仿宋" w:eastAsia="仿宋" w:cs="仿宋"/>
          <w:color w:val="auto"/>
          <w:sz w:val="28"/>
          <w:szCs w:val="28"/>
          <w:highlight w:val="none"/>
          <w:lang w:eastAsia="zh-CN"/>
        </w:rPr>
        <w:t>2022年度石狮市水路运输业补贴资金</w:t>
      </w:r>
      <w:r>
        <w:rPr>
          <w:rFonts w:hint="eastAsia" w:ascii="仿宋" w:hAnsi="仿宋" w:eastAsia="仿宋" w:cs="仿宋"/>
          <w:b w:val="0"/>
          <w:bCs w:val="0"/>
          <w:color w:val="auto"/>
          <w:sz w:val="28"/>
          <w:szCs w:val="28"/>
          <w:highlight w:val="none"/>
        </w:rPr>
        <w:t>绩效评价报告》。</w:t>
      </w:r>
    </w:p>
    <w:p>
      <w:pPr>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黑体" w:hAnsi="黑体" w:eastAsia="黑体" w:cs="黑体"/>
          <w:b/>
          <w:bCs/>
          <w:color w:val="auto"/>
          <w:kern w:val="2"/>
          <w:sz w:val="24"/>
          <w:szCs w:val="28"/>
          <w:lang w:val="en-US" w:eastAsia="zh-CN" w:bidi="ar-SA"/>
        </w:rPr>
      </w:pPr>
      <w:r>
        <w:rPr>
          <w:rFonts w:hint="eastAsia" w:ascii="黑体" w:hAnsi="黑体" w:eastAsia="黑体" w:cs="黑体"/>
          <w:b/>
          <w:bCs/>
          <w:color w:val="auto"/>
          <w:kern w:val="2"/>
          <w:sz w:val="24"/>
          <w:szCs w:val="28"/>
          <w:lang w:val="en-US" w:eastAsia="zh-CN" w:bidi="ar-SA"/>
        </w:rPr>
        <w:t>报告正文</w:t>
      </w:r>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rPr>
          <w:rFonts w:hint="eastAsia" w:ascii="黑体" w:hAnsi="黑体" w:eastAsia="黑体" w:cs="黑体"/>
          <w:b/>
          <w:bCs w:val="0"/>
          <w:color w:val="auto"/>
          <w:sz w:val="28"/>
          <w:szCs w:val="28"/>
          <w:lang w:eastAsia="zh-CN"/>
        </w:rPr>
      </w:pPr>
      <w:bookmarkStart w:id="13" w:name="_Toc8347"/>
      <w:bookmarkStart w:id="14" w:name="_Toc15668"/>
      <w:r>
        <w:rPr>
          <w:rFonts w:hint="eastAsia" w:ascii="黑体" w:hAnsi="黑体" w:eastAsia="黑体" w:cs="黑体"/>
          <w:b/>
          <w:bCs w:val="0"/>
          <w:color w:val="auto"/>
          <w:sz w:val="28"/>
          <w:szCs w:val="28"/>
        </w:rPr>
        <w:t>一、</w:t>
      </w:r>
      <w:r>
        <w:rPr>
          <w:rFonts w:hint="eastAsia" w:ascii="黑体" w:hAnsi="黑体" w:eastAsia="黑体" w:cs="黑体"/>
          <w:b/>
          <w:bCs w:val="0"/>
          <w:color w:val="auto"/>
          <w:sz w:val="28"/>
          <w:szCs w:val="28"/>
          <w:lang w:val="en-US" w:eastAsia="zh-CN"/>
        </w:rPr>
        <w:t>基本情况</w:t>
      </w:r>
      <w:bookmarkEnd w:id="13"/>
      <w:bookmarkEnd w:id="14"/>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i w:val="0"/>
          <w:iCs w:val="0"/>
          <w:caps w:val="0"/>
          <w:color w:val="auto"/>
          <w:spacing w:val="0"/>
          <w:sz w:val="28"/>
          <w:szCs w:val="28"/>
          <w:shd w:val="clear" w:fill="FFFFFF"/>
          <w:lang w:val="en-US" w:eastAsia="zh-CN"/>
        </w:rPr>
      </w:pPr>
      <w:bookmarkStart w:id="15" w:name="_Toc27120"/>
      <w:bookmarkStart w:id="16" w:name="_Toc19244"/>
      <w:r>
        <w:rPr>
          <w:rFonts w:hint="eastAsia" w:ascii="楷体" w:hAnsi="楷体" w:eastAsia="楷体" w:cs="楷体"/>
          <w:b/>
          <w:bCs/>
          <w:i w:val="0"/>
          <w:iCs w:val="0"/>
          <w:caps w:val="0"/>
          <w:color w:val="auto"/>
          <w:spacing w:val="0"/>
          <w:sz w:val="28"/>
          <w:szCs w:val="28"/>
          <w:shd w:val="clear" w:fill="FFFFFF"/>
          <w:lang w:val="en-US" w:eastAsia="zh-CN"/>
        </w:rPr>
        <w:t>（一）项目背景</w:t>
      </w:r>
      <w:bookmarkEnd w:id="15"/>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i w:val="0"/>
          <w:iCs w:val="0"/>
          <w:caps w:val="0"/>
          <w:color w:val="auto"/>
          <w:spacing w:val="0"/>
          <w:sz w:val="28"/>
          <w:szCs w:val="28"/>
          <w:shd w:val="clear" w:fill="FFFFFF"/>
        </w:rPr>
      </w:pPr>
      <w:bookmarkStart w:id="17" w:name="_Toc30922"/>
      <w:bookmarkStart w:id="18" w:name="_Toc936"/>
      <w:bookmarkStart w:id="19" w:name="_Toc1309"/>
      <w:bookmarkStart w:id="20" w:name="_Toc16601"/>
      <w:bookmarkStart w:id="21" w:name="_Toc28402"/>
      <w:r>
        <w:rPr>
          <w:rFonts w:hint="eastAsia" w:ascii="仿宋" w:hAnsi="仿宋" w:eastAsia="仿宋" w:cs="仿宋"/>
          <w:i w:val="0"/>
          <w:iCs w:val="0"/>
          <w:caps w:val="0"/>
          <w:color w:val="auto"/>
          <w:spacing w:val="0"/>
          <w:sz w:val="28"/>
          <w:szCs w:val="28"/>
          <w:shd w:val="clear" w:fill="FFFFFF"/>
        </w:rPr>
        <w:t>水路运输是交通运输现代服务业的重要组成。对于三面环海的石狮来说，水运业也是</w:t>
      </w:r>
      <w:r>
        <w:rPr>
          <w:rFonts w:hint="eastAsia" w:ascii="仿宋" w:hAnsi="仿宋" w:eastAsia="仿宋" w:cs="仿宋"/>
          <w:i w:val="0"/>
          <w:iCs w:val="0"/>
          <w:caps w:val="0"/>
          <w:color w:val="auto"/>
          <w:spacing w:val="0"/>
          <w:sz w:val="28"/>
          <w:szCs w:val="28"/>
          <w:shd w:val="clear" w:fill="FFFFFF"/>
          <w:lang w:eastAsia="zh-CN"/>
        </w:rPr>
        <w:t>石狮市</w:t>
      </w:r>
      <w:r>
        <w:rPr>
          <w:rFonts w:hint="eastAsia" w:ascii="仿宋" w:hAnsi="仿宋" w:eastAsia="仿宋" w:cs="仿宋"/>
          <w:i w:val="0"/>
          <w:iCs w:val="0"/>
          <w:caps w:val="0"/>
          <w:color w:val="auto"/>
          <w:spacing w:val="0"/>
          <w:sz w:val="28"/>
          <w:szCs w:val="28"/>
          <w:shd w:val="clear" w:fill="FFFFFF"/>
        </w:rPr>
        <w:t>3+3+N产业体系中港口物流经济的重要支撑。</w:t>
      </w:r>
      <w:r>
        <w:rPr>
          <w:rFonts w:hint="eastAsia" w:ascii="仿宋" w:hAnsi="仿宋" w:eastAsia="仿宋" w:cs="仿宋"/>
          <w:i w:val="0"/>
          <w:iCs w:val="0"/>
          <w:caps w:val="0"/>
          <w:color w:val="auto"/>
          <w:spacing w:val="0"/>
          <w:sz w:val="28"/>
          <w:szCs w:val="28"/>
          <w:shd w:val="clear" w:fill="FFFFFF"/>
          <w:lang w:val="en-US" w:eastAsia="zh-CN"/>
        </w:rPr>
        <w:t>为贯彻落实党中央、国务院关于推进供给侧结构性改革、建设海洋强国的决策部署，深化结构调整，加快转型升级，促进水路运输业持续健康发展，进一步做大做强石狮市水路运输业，</w:t>
      </w:r>
      <w:r>
        <w:rPr>
          <w:rFonts w:hint="eastAsia" w:ascii="仿宋" w:hAnsi="仿宋" w:eastAsia="仿宋" w:cs="仿宋"/>
          <w:i w:val="0"/>
          <w:iCs w:val="0"/>
          <w:caps w:val="0"/>
          <w:color w:val="auto"/>
          <w:spacing w:val="0"/>
          <w:sz w:val="28"/>
          <w:szCs w:val="28"/>
          <w:shd w:val="clear" w:fill="FFFFFF"/>
        </w:rPr>
        <w:t>近年来，泉州、石狮两级政府先后出台文件，从鼓励新增船舶运力、实施船舶贴息贷款等方面推出一系列扶持措施，鼓励水运业壮大发展规模。作为行业主管部门，</w:t>
      </w:r>
      <w:r>
        <w:rPr>
          <w:rFonts w:hint="eastAsia" w:ascii="仿宋" w:hAnsi="仿宋" w:eastAsia="仿宋" w:cs="仿宋"/>
          <w:i w:val="0"/>
          <w:iCs w:val="0"/>
          <w:caps w:val="0"/>
          <w:color w:val="auto"/>
          <w:spacing w:val="0"/>
          <w:sz w:val="28"/>
          <w:szCs w:val="28"/>
          <w:shd w:val="clear" w:fill="FFFFFF"/>
          <w:lang w:val="en-US" w:eastAsia="zh-CN"/>
        </w:rPr>
        <w:t>石狮市</w:t>
      </w:r>
      <w:r>
        <w:rPr>
          <w:rFonts w:hint="eastAsia" w:ascii="仿宋" w:hAnsi="仿宋" w:eastAsia="仿宋" w:cs="仿宋"/>
          <w:i w:val="0"/>
          <w:iCs w:val="0"/>
          <w:caps w:val="0"/>
          <w:color w:val="auto"/>
          <w:spacing w:val="0"/>
          <w:sz w:val="28"/>
          <w:szCs w:val="28"/>
          <w:shd w:val="clear" w:fill="FFFFFF"/>
        </w:rPr>
        <w:t>交通</w:t>
      </w:r>
      <w:r>
        <w:rPr>
          <w:rFonts w:hint="eastAsia" w:ascii="仿宋" w:hAnsi="仿宋" w:eastAsia="仿宋" w:cs="仿宋"/>
          <w:i w:val="0"/>
          <w:iCs w:val="0"/>
          <w:caps w:val="0"/>
          <w:color w:val="auto"/>
          <w:spacing w:val="0"/>
          <w:sz w:val="28"/>
          <w:szCs w:val="28"/>
          <w:shd w:val="clear" w:fill="FFFFFF"/>
          <w:lang w:val="en-US" w:eastAsia="zh-CN"/>
        </w:rPr>
        <w:t>和</w:t>
      </w:r>
      <w:r>
        <w:rPr>
          <w:rFonts w:hint="eastAsia" w:ascii="仿宋" w:hAnsi="仿宋" w:eastAsia="仿宋" w:cs="仿宋"/>
          <w:i w:val="0"/>
          <w:iCs w:val="0"/>
          <w:caps w:val="0"/>
          <w:color w:val="auto"/>
          <w:spacing w:val="0"/>
          <w:sz w:val="28"/>
          <w:szCs w:val="28"/>
          <w:shd w:val="clear" w:fill="FFFFFF"/>
        </w:rPr>
        <w:t>港口</w:t>
      </w:r>
      <w:r>
        <w:rPr>
          <w:rFonts w:hint="eastAsia" w:ascii="仿宋" w:hAnsi="仿宋" w:eastAsia="仿宋" w:cs="仿宋"/>
          <w:i w:val="0"/>
          <w:iCs w:val="0"/>
          <w:caps w:val="0"/>
          <w:color w:val="auto"/>
          <w:spacing w:val="0"/>
          <w:sz w:val="28"/>
          <w:szCs w:val="28"/>
          <w:shd w:val="clear" w:fill="FFFFFF"/>
          <w:lang w:val="en-US" w:eastAsia="zh-CN"/>
        </w:rPr>
        <w:t>发展</w:t>
      </w:r>
      <w:r>
        <w:rPr>
          <w:rFonts w:hint="eastAsia" w:ascii="仿宋" w:hAnsi="仿宋" w:eastAsia="仿宋" w:cs="仿宋"/>
          <w:i w:val="0"/>
          <w:iCs w:val="0"/>
          <w:caps w:val="0"/>
          <w:color w:val="auto"/>
          <w:spacing w:val="0"/>
          <w:sz w:val="28"/>
          <w:szCs w:val="28"/>
          <w:shd w:val="clear" w:fill="FFFFFF"/>
        </w:rPr>
        <w:t>局同时也积极引导本地企业家将注册地址在外地的船舶回迁石狮，鼓励发展万吨以上的运输船舶，共同做好创在石狮文章、做强</w:t>
      </w:r>
      <w:r>
        <w:rPr>
          <w:rFonts w:hint="eastAsia" w:ascii="仿宋" w:hAnsi="仿宋" w:eastAsia="仿宋" w:cs="仿宋"/>
          <w:i w:val="0"/>
          <w:iCs w:val="0"/>
          <w:caps w:val="0"/>
          <w:color w:val="auto"/>
          <w:spacing w:val="0"/>
          <w:sz w:val="28"/>
          <w:szCs w:val="28"/>
          <w:shd w:val="clear" w:fill="FFFFFF"/>
          <w:lang w:eastAsia="zh-CN"/>
        </w:rPr>
        <w:t>石狮市</w:t>
      </w:r>
      <w:r>
        <w:rPr>
          <w:rFonts w:hint="eastAsia" w:ascii="仿宋" w:hAnsi="仿宋" w:eastAsia="仿宋" w:cs="仿宋"/>
          <w:i w:val="0"/>
          <w:iCs w:val="0"/>
          <w:caps w:val="0"/>
          <w:color w:val="auto"/>
          <w:spacing w:val="0"/>
          <w:sz w:val="28"/>
          <w:szCs w:val="28"/>
          <w:shd w:val="clear" w:fill="FFFFFF"/>
        </w:rPr>
        <w:t>港口经济。</w:t>
      </w:r>
      <w:bookmarkEnd w:id="17"/>
      <w:bookmarkEnd w:id="18"/>
      <w:bookmarkEnd w:id="19"/>
      <w:bookmarkEnd w:id="20"/>
      <w:bookmarkEnd w:id="21"/>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b w:val="0"/>
          <w:bCs w:val="0"/>
          <w:color w:val="auto"/>
          <w:sz w:val="28"/>
          <w:szCs w:val="28"/>
          <w:lang w:val="en-US" w:eastAsia="zh-CN"/>
        </w:rPr>
      </w:pPr>
      <w:bookmarkStart w:id="22" w:name="_Toc22371"/>
      <w:bookmarkStart w:id="23" w:name="_Toc22096"/>
      <w:bookmarkStart w:id="24" w:name="_Toc8417"/>
      <w:bookmarkStart w:id="25" w:name="_Toc32529"/>
      <w:bookmarkStart w:id="26" w:name="_Toc8801"/>
      <w:r>
        <w:rPr>
          <w:rFonts w:hint="eastAsia" w:ascii="仿宋" w:hAnsi="仿宋" w:eastAsia="仿宋" w:cs="仿宋"/>
          <w:i w:val="0"/>
          <w:iCs w:val="0"/>
          <w:caps w:val="0"/>
          <w:color w:val="auto"/>
          <w:spacing w:val="0"/>
          <w:sz w:val="28"/>
          <w:szCs w:val="28"/>
          <w:shd w:val="clear" w:fill="FFFFFF"/>
          <w:lang w:val="en-US" w:eastAsia="zh-CN"/>
        </w:rPr>
        <w:t>2017年11月，泉州市人民政府印发《关于进一步促进水路运输业发展的实施意见》（泉政文〔2017〕150号），</w:t>
      </w:r>
      <w:r>
        <w:rPr>
          <w:rFonts w:hint="eastAsia" w:ascii="仿宋" w:hAnsi="仿宋" w:eastAsia="仿宋" w:cs="仿宋"/>
          <w:i w:val="0"/>
          <w:iCs w:val="0"/>
          <w:caps w:val="0"/>
          <w:color w:val="auto"/>
          <w:spacing w:val="0"/>
          <w:sz w:val="28"/>
          <w:szCs w:val="28"/>
          <w:shd w:val="clear" w:fill="FFFFFF"/>
        </w:rPr>
        <w:t>对泉州市水路运输企业新增船龄在1</w:t>
      </w:r>
      <w:r>
        <w:rPr>
          <w:rFonts w:hint="eastAsia" w:ascii="仿宋" w:hAnsi="仿宋" w:eastAsia="仿宋" w:cs="仿宋"/>
          <w:i w:val="0"/>
          <w:iCs w:val="0"/>
          <w:caps w:val="0"/>
          <w:color w:val="auto"/>
          <w:spacing w:val="0"/>
          <w:sz w:val="28"/>
          <w:szCs w:val="28"/>
          <w:shd w:val="clear" w:fill="FFFFFF"/>
          <w:lang w:val="en-US" w:eastAsia="zh-CN"/>
        </w:rPr>
        <w:t>5</w:t>
      </w:r>
      <w:r>
        <w:rPr>
          <w:rFonts w:hint="eastAsia" w:ascii="仿宋" w:hAnsi="仿宋" w:eastAsia="仿宋" w:cs="仿宋"/>
          <w:i w:val="0"/>
          <w:iCs w:val="0"/>
          <w:caps w:val="0"/>
          <w:color w:val="auto"/>
          <w:spacing w:val="0"/>
          <w:sz w:val="28"/>
          <w:szCs w:val="28"/>
          <w:shd w:val="clear" w:fill="FFFFFF"/>
        </w:rPr>
        <w:t>年（含）以内并在</w:t>
      </w:r>
      <w:r>
        <w:rPr>
          <w:rFonts w:hint="eastAsia" w:ascii="仿宋" w:hAnsi="仿宋" w:eastAsia="仿宋" w:cs="仿宋"/>
          <w:i w:val="0"/>
          <w:iCs w:val="0"/>
          <w:caps w:val="0"/>
          <w:color w:val="auto"/>
          <w:spacing w:val="0"/>
          <w:sz w:val="28"/>
          <w:szCs w:val="28"/>
          <w:shd w:val="clear" w:fill="FFFFFF"/>
          <w:lang w:val="en-US" w:eastAsia="zh-CN"/>
        </w:rPr>
        <w:t>石狮市</w:t>
      </w:r>
      <w:r>
        <w:rPr>
          <w:rFonts w:hint="eastAsia" w:ascii="仿宋" w:hAnsi="仿宋" w:eastAsia="仿宋" w:cs="仿宋"/>
          <w:i w:val="0"/>
          <w:iCs w:val="0"/>
          <w:caps w:val="0"/>
          <w:color w:val="auto"/>
          <w:spacing w:val="0"/>
          <w:sz w:val="28"/>
          <w:szCs w:val="28"/>
          <w:shd w:val="clear" w:fill="FFFFFF"/>
        </w:rPr>
        <w:t>入户、自有并合法经营的5000载重吨及以上的船舶，每载重吨给予一次性奖励100元。同时，对</w:t>
      </w:r>
      <w:r>
        <w:rPr>
          <w:rFonts w:hint="eastAsia" w:ascii="仿宋" w:hAnsi="仿宋" w:eastAsia="仿宋" w:cs="仿宋"/>
          <w:i w:val="0"/>
          <w:iCs w:val="0"/>
          <w:caps w:val="0"/>
          <w:color w:val="auto"/>
          <w:spacing w:val="0"/>
          <w:sz w:val="28"/>
          <w:szCs w:val="28"/>
          <w:shd w:val="clear" w:fill="FFFFFF"/>
          <w:lang w:val="en-US" w:eastAsia="zh-CN"/>
        </w:rPr>
        <w:t>泉州</w:t>
      </w:r>
      <w:r>
        <w:rPr>
          <w:rFonts w:hint="eastAsia" w:ascii="仿宋" w:hAnsi="仿宋" w:eastAsia="仿宋" w:cs="仿宋"/>
          <w:i w:val="0"/>
          <w:iCs w:val="0"/>
          <w:caps w:val="0"/>
          <w:color w:val="auto"/>
          <w:spacing w:val="0"/>
          <w:sz w:val="28"/>
          <w:szCs w:val="28"/>
          <w:shd w:val="clear" w:fill="FFFFFF"/>
        </w:rPr>
        <w:t>市水路运输企业总运力规模新达到10万载重吨及以上的，给予企业一次性奖励100万元；每增加5万载重吨的，再奖励70万元，每家企业累计</w:t>
      </w:r>
      <w:r>
        <w:rPr>
          <w:rFonts w:hint="eastAsia" w:ascii="仿宋" w:hAnsi="仿宋" w:eastAsia="仿宋" w:cs="仿宋"/>
          <w:i w:val="0"/>
          <w:iCs w:val="0"/>
          <w:caps w:val="0"/>
          <w:color w:val="auto"/>
          <w:spacing w:val="0"/>
          <w:sz w:val="28"/>
          <w:szCs w:val="28"/>
          <w:shd w:val="clear" w:fill="FFFFFF"/>
          <w:lang w:val="en-US" w:eastAsia="zh-CN"/>
        </w:rPr>
        <w:t>在本项</w:t>
      </w:r>
      <w:r>
        <w:rPr>
          <w:rFonts w:hint="eastAsia" w:ascii="仿宋" w:hAnsi="仿宋" w:eastAsia="仿宋" w:cs="仿宋"/>
          <w:i w:val="0"/>
          <w:iCs w:val="0"/>
          <w:caps w:val="0"/>
          <w:color w:val="auto"/>
          <w:spacing w:val="0"/>
          <w:sz w:val="28"/>
          <w:szCs w:val="28"/>
          <w:shd w:val="clear" w:fill="FFFFFF"/>
        </w:rPr>
        <w:t>奖励总金额不超过350万元。</w:t>
      </w:r>
      <w:r>
        <w:rPr>
          <w:rFonts w:hint="eastAsia" w:ascii="仿宋" w:hAnsi="仿宋" w:eastAsia="仿宋" w:cs="仿宋"/>
          <w:i w:val="0"/>
          <w:iCs w:val="0"/>
          <w:caps w:val="0"/>
          <w:color w:val="auto"/>
          <w:spacing w:val="0"/>
          <w:sz w:val="28"/>
          <w:szCs w:val="28"/>
          <w:shd w:val="clear" w:fill="FFFFFF"/>
          <w:lang w:val="en-US" w:eastAsia="zh-CN"/>
        </w:rPr>
        <w:t>对于泉州市水路运输企业新增5000载重吨以上、船龄在5年（含）以内且符合节能减排标准的自有船舶所实施的项目贷款利息按年贷款利息的20%给予补贴，单艘船舶累计贷款贴息补贴不超过500万元。</w:t>
      </w:r>
      <w:bookmarkEnd w:id="22"/>
      <w:bookmarkEnd w:id="23"/>
      <w:bookmarkEnd w:id="24"/>
      <w:bookmarkEnd w:id="25"/>
      <w:bookmarkEnd w:id="26"/>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2021年4月，</w:t>
      </w:r>
      <w:r>
        <w:rPr>
          <w:rFonts w:hint="eastAsia" w:ascii="仿宋" w:hAnsi="仿宋" w:eastAsia="仿宋" w:cs="仿宋"/>
          <w:i w:val="0"/>
          <w:iCs w:val="0"/>
          <w:caps w:val="0"/>
          <w:color w:val="auto"/>
          <w:spacing w:val="0"/>
          <w:sz w:val="28"/>
          <w:szCs w:val="28"/>
          <w:shd w:val="clear" w:fill="FFFFFF"/>
        </w:rPr>
        <w:t>《泉州市人民政府关于修改&lt;泉州市人民政府关于进一步促进水路运输业发展的实施意见&gt;的通知》（简称《通知》）正式印发</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i w:val="0"/>
          <w:iCs w:val="0"/>
          <w:caps w:val="0"/>
          <w:color w:val="auto"/>
          <w:spacing w:val="0"/>
          <w:sz w:val="28"/>
          <w:szCs w:val="28"/>
          <w:shd w:val="clear" w:fill="FFFFFF"/>
        </w:rPr>
        <w:t>根据该文件精神，2017年起实施并于2020年12月31日到期的水运业扶持政策有效期将延续至2023年的12月31日，</w:t>
      </w:r>
      <w:r>
        <w:rPr>
          <w:rFonts w:hint="eastAsia" w:ascii="仿宋" w:hAnsi="仿宋" w:eastAsia="仿宋" w:cs="仿宋"/>
          <w:i w:val="0"/>
          <w:iCs w:val="0"/>
          <w:caps w:val="0"/>
          <w:color w:val="auto"/>
          <w:spacing w:val="0"/>
          <w:sz w:val="28"/>
          <w:szCs w:val="28"/>
          <w:shd w:val="clear" w:fill="FFFFFF"/>
          <w:lang w:val="en-US" w:eastAsia="zh-CN"/>
        </w:rPr>
        <w:t>并适当提高新增运力奖励门槛，将鼓励企业新增运力中的船龄限制，由15年（含）以内调整为10年（含）以内。</w:t>
      </w:r>
      <w:r>
        <w:rPr>
          <w:rFonts w:hint="eastAsia" w:ascii="仿宋" w:hAnsi="仿宋" w:eastAsia="仿宋" w:cs="仿宋"/>
          <w:i w:val="0"/>
          <w:iCs w:val="0"/>
          <w:caps w:val="0"/>
          <w:color w:val="auto"/>
          <w:spacing w:val="0"/>
          <w:sz w:val="28"/>
          <w:szCs w:val="28"/>
          <w:shd w:val="clear" w:fill="FFFFFF"/>
        </w:rPr>
        <w:t>延续该政策主要是继续促进泉州水运企业加快转型升级，带动整个产业链发展，进一步服务实体经济。新修改的政策以2020年12月31日企业运力情况为基数，从鼓励企业新增运力、促进企业规模发展以及实施船舶贷款贴息三个方面鼓励水运业高质量发展。</w:t>
      </w: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textAlignment w:val="auto"/>
        <w:rPr>
          <w:rFonts w:hint="default"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石狮市当前的水运企业扶持政策参照</w:t>
      </w:r>
      <w:r>
        <w:rPr>
          <w:rFonts w:hint="eastAsia" w:ascii="仿宋" w:hAnsi="仿宋" w:eastAsia="仿宋" w:cs="仿宋"/>
          <w:b w:val="0"/>
          <w:bCs w:val="0"/>
          <w:color w:val="auto"/>
          <w:sz w:val="28"/>
          <w:szCs w:val="28"/>
          <w:lang w:val="en-US" w:eastAsia="zh-CN"/>
        </w:rPr>
        <w:t>泉州市人民政府关于修改《泉州市人民政府关于进一步促进水路运输业发展的实施意见》的通知（泉政文〔2021〕15号）执行。</w:t>
      </w:r>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color w:val="auto"/>
          <w:sz w:val="28"/>
          <w:szCs w:val="28"/>
          <w:lang w:val="en-US" w:eastAsia="zh-CN"/>
        </w:rPr>
      </w:pPr>
      <w:bookmarkStart w:id="27" w:name="_Toc7518"/>
      <w:r>
        <w:rPr>
          <w:rFonts w:hint="eastAsia" w:ascii="楷体" w:hAnsi="楷体" w:eastAsia="楷体" w:cs="楷体"/>
          <w:b/>
          <w:bCs/>
          <w:color w:val="auto"/>
          <w:sz w:val="28"/>
          <w:szCs w:val="28"/>
          <w:lang w:val="en-US" w:eastAsia="zh-CN"/>
        </w:rPr>
        <w:t>（二）立项依据</w:t>
      </w:r>
      <w:bookmarkEnd w:id="16"/>
      <w:bookmarkEnd w:id="27"/>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default" w:ascii="仿宋" w:hAnsi="仿宋" w:eastAsia="仿宋" w:cs="仿宋"/>
          <w:b w:val="0"/>
          <w:bCs w:val="0"/>
          <w:color w:val="auto"/>
          <w:sz w:val="28"/>
          <w:szCs w:val="28"/>
          <w:lang w:val="en-US" w:eastAsia="zh-CN"/>
        </w:rPr>
      </w:pPr>
      <w:bookmarkStart w:id="28" w:name="_Toc17780"/>
      <w:bookmarkStart w:id="29" w:name="_Toc11198"/>
      <w:bookmarkStart w:id="30" w:name="_Toc6258"/>
      <w:bookmarkStart w:id="31" w:name="_Toc9924"/>
      <w:bookmarkStart w:id="32" w:name="_Toc23674"/>
      <w:bookmarkStart w:id="33" w:name="_Toc21106"/>
      <w:r>
        <w:rPr>
          <w:rFonts w:hint="eastAsia" w:ascii="仿宋" w:hAnsi="仿宋" w:eastAsia="仿宋" w:cs="仿宋"/>
          <w:b w:val="0"/>
          <w:bCs w:val="0"/>
          <w:color w:val="auto"/>
          <w:sz w:val="28"/>
          <w:szCs w:val="28"/>
          <w:lang w:val="en-US" w:eastAsia="zh-CN"/>
        </w:rPr>
        <w:t>泉州市人民政府关于修改《泉州市人民政府关于进一步促进水路运输业发展的实施意见》的通知（泉政文〔2021〕15号）</w:t>
      </w:r>
      <w:bookmarkEnd w:id="28"/>
      <w:bookmarkEnd w:id="29"/>
      <w:bookmarkEnd w:id="30"/>
      <w:bookmarkEnd w:id="31"/>
      <w:bookmarkEnd w:id="32"/>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color w:val="auto"/>
          <w:sz w:val="28"/>
          <w:szCs w:val="28"/>
          <w:lang w:val="en-US" w:eastAsia="zh-CN"/>
        </w:rPr>
      </w:pPr>
      <w:bookmarkStart w:id="34" w:name="_Toc21931"/>
      <w:r>
        <w:rPr>
          <w:rFonts w:hint="eastAsia" w:ascii="楷体" w:hAnsi="楷体" w:eastAsia="楷体" w:cs="楷体"/>
          <w:b/>
          <w:bCs/>
          <w:color w:val="auto"/>
          <w:sz w:val="28"/>
          <w:szCs w:val="28"/>
          <w:lang w:val="en-US" w:eastAsia="zh-CN"/>
        </w:rPr>
        <w:t>（三）项目绩效目标</w:t>
      </w:r>
      <w:bookmarkEnd w:id="33"/>
      <w:bookmarkEnd w:id="34"/>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0" w:firstLineChars="200"/>
        <w:textAlignment w:val="auto"/>
        <w:outlineLvl w:val="2"/>
        <w:rPr>
          <w:rFonts w:hint="eastAsia" w:ascii="仿宋" w:hAnsi="仿宋" w:eastAsia="仿宋" w:cs="仿宋"/>
          <w:b w:val="0"/>
          <w:bCs/>
          <w:color w:val="auto"/>
          <w:sz w:val="28"/>
          <w:szCs w:val="28"/>
          <w:lang w:val="en-US" w:eastAsia="zh-CN"/>
        </w:rPr>
      </w:pPr>
      <w:bookmarkStart w:id="35" w:name="_Toc28458"/>
      <w:bookmarkStart w:id="36" w:name="_Toc25203"/>
      <w:bookmarkStart w:id="37" w:name="_Toc31444"/>
      <w:bookmarkStart w:id="38" w:name="_Toc18811"/>
      <w:bookmarkStart w:id="39" w:name="_Toc19438"/>
      <w:r>
        <w:rPr>
          <w:rFonts w:hint="eastAsia" w:ascii="仿宋" w:hAnsi="仿宋" w:eastAsia="仿宋" w:cs="仿宋"/>
          <w:b w:val="0"/>
          <w:bCs/>
          <w:color w:val="auto"/>
          <w:sz w:val="28"/>
          <w:szCs w:val="28"/>
          <w:lang w:val="en-US" w:eastAsia="zh-CN"/>
        </w:rPr>
        <w:t>1.总体绩效目标</w:t>
      </w:r>
      <w:bookmarkEnd w:id="35"/>
      <w:bookmarkEnd w:id="36"/>
      <w:bookmarkEnd w:id="37"/>
      <w:bookmarkEnd w:id="38"/>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0" w:firstLineChars="200"/>
        <w:textAlignment w:val="auto"/>
        <w:outlineLvl w:val="1"/>
        <w:rPr>
          <w:rFonts w:hint="eastAsia" w:ascii="仿宋" w:hAnsi="仿宋" w:eastAsia="仿宋" w:cs="仿宋"/>
          <w:b w:val="0"/>
          <w:bCs/>
          <w:color w:val="auto"/>
          <w:sz w:val="28"/>
          <w:szCs w:val="28"/>
        </w:rPr>
      </w:pPr>
      <w:bookmarkStart w:id="40" w:name="_Toc1809"/>
      <w:bookmarkStart w:id="41" w:name="_Toc18380"/>
      <w:bookmarkStart w:id="42" w:name="_Toc24845"/>
      <w:bookmarkStart w:id="43" w:name="_Toc27693"/>
      <w:bookmarkStart w:id="44" w:name="_Toc14208"/>
      <w:r>
        <w:rPr>
          <w:rFonts w:hint="eastAsia" w:ascii="仿宋" w:hAnsi="仿宋" w:eastAsia="仿宋" w:cs="仿宋"/>
          <w:b w:val="0"/>
          <w:bCs/>
          <w:color w:val="auto"/>
          <w:sz w:val="28"/>
          <w:szCs w:val="28"/>
        </w:rPr>
        <w:t>对</w:t>
      </w:r>
      <w:r>
        <w:rPr>
          <w:rFonts w:hint="eastAsia" w:ascii="仿宋" w:hAnsi="仿宋" w:eastAsia="仿宋" w:cs="仿宋"/>
          <w:b w:val="0"/>
          <w:bCs/>
          <w:color w:val="auto"/>
          <w:sz w:val="28"/>
          <w:szCs w:val="28"/>
          <w:lang w:eastAsia="zh-CN"/>
        </w:rPr>
        <w:t>石狮市</w:t>
      </w:r>
      <w:r>
        <w:rPr>
          <w:rFonts w:hint="eastAsia" w:ascii="仿宋" w:hAnsi="仿宋" w:eastAsia="仿宋" w:cs="仿宋"/>
          <w:b w:val="0"/>
          <w:bCs/>
          <w:color w:val="auto"/>
          <w:sz w:val="28"/>
          <w:szCs w:val="28"/>
        </w:rPr>
        <w:t>水路运输企业新增船舶运力规模补助及贷款贴息进行奖励</w:t>
      </w:r>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sz w:val="28"/>
          <w:szCs w:val="28"/>
        </w:rPr>
        <w:t>促进</w:t>
      </w:r>
      <w:r>
        <w:rPr>
          <w:rFonts w:hint="eastAsia" w:ascii="仿宋" w:hAnsi="仿宋" w:eastAsia="仿宋" w:cs="仿宋"/>
          <w:b w:val="0"/>
          <w:bCs/>
          <w:color w:val="auto"/>
          <w:sz w:val="28"/>
          <w:szCs w:val="28"/>
          <w:lang w:val="en-US" w:eastAsia="zh-CN"/>
        </w:rPr>
        <w:t>石狮市</w:t>
      </w:r>
      <w:r>
        <w:rPr>
          <w:rFonts w:hint="eastAsia" w:ascii="仿宋" w:hAnsi="仿宋" w:eastAsia="仿宋" w:cs="仿宋"/>
          <w:b w:val="0"/>
          <w:bCs/>
          <w:color w:val="auto"/>
          <w:sz w:val="28"/>
          <w:szCs w:val="28"/>
        </w:rPr>
        <w:t>水运企业加快转型升级，带动整个产业链发展，进一步服务实体经济。</w:t>
      </w:r>
      <w:bookmarkEnd w:id="40"/>
      <w:bookmarkEnd w:id="41"/>
      <w:bookmarkEnd w:id="42"/>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sz w:val="28"/>
          <w:szCs w:val="28"/>
          <w:lang w:val="en-US" w:eastAsia="zh-CN"/>
        </w:rPr>
      </w:pPr>
      <w:bookmarkStart w:id="45" w:name="_Toc7603"/>
      <w:bookmarkStart w:id="46" w:name="_Toc11934"/>
      <w:r>
        <w:rPr>
          <w:rFonts w:hint="eastAsia" w:ascii="仿宋" w:hAnsi="仿宋" w:eastAsia="仿宋" w:cs="仿宋"/>
          <w:sz w:val="28"/>
          <w:szCs w:val="28"/>
          <w:lang w:val="en-US" w:eastAsia="zh-CN"/>
        </w:rPr>
        <w:t>2.具体绩效目标</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合理合规使用补助资金；</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eastAsia="zh-CN"/>
        </w:rPr>
      </w:pPr>
      <w:r>
        <w:rPr>
          <w:rFonts w:hint="eastAsia" w:ascii="仿宋" w:hAnsi="仿宋" w:eastAsia="仿宋" w:cs="仿宋"/>
          <w:b w:val="0"/>
          <w:bCs/>
          <w:color w:val="auto"/>
          <w:sz w:val="28"/>
          <w:szCs w:val="28"/>
          <w:lang w:eastAsia="zh-CN"/>
        </w:rPr>
        <w:t>新增船舶17艘；</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eastAsia="zh-CN"/>
        </w:rPr>
      </w:pPr>
      <w:r>
        <w:rPr>
          <w:rFonts w:hint="eastAsia" w:ascii="仿宋" w:hAnsi="仿宋" w:eastAsia="仿宋" w:cs="仿宋"/>
          <w:b w:val="0"/>
          <w:bCs/>
          <w:color w:val="auto"/>
          <w:sz w:val="28"/>
          <w:szCs w:val="28"/>
          <w:lang w:eastAsia="zh-CN"/>
        </w:rPr>
        <w:t>税收1000万元；</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eastAsia="zh-CN"/>
        </w:rPr>
      </w:pPr>
      <w:r>
        <w:rPr>
          <w:rFonts w:hint="eastAsia" w:ascii="仿宋" w:hAnsi="仿宋" w:eastAsia="仿宋" w:cs="仿宋"/>
          <w:b w:val="0"/>
          <w:bCs/>
          <w:color w:val="auto"/>
          <w:sz w:val="28"/>
          <w:szCs w:val="28"/>
          <w:lang w:eastAsia="zh-CN"/>
        </w:rPr>
        <w:t>为社会提供</w:t>
      </w:r>
      <w:r>
        <w:rPr>
          <w:rFonts w:hint="eastAsia" w:ascii="仿宋" w:hAnsi="仿宋" w:eastAsia="仿宋" w:cs="仿宋"/>
          <w:b w:val="0"/>
          <w:bCs/>
          <w:color w:val="auto"/>
          <w:sz w:val="28"/>
          <w:szCs w:val="28"/>
          <w:lang w:val="en-US" w:eastAsia="zh-CN"/>
        </w:rPr>
        <w:t>就业</w:t>
      </w:r>
      <w:r>
        <w:rPr>
          <w:rFonts w:hint="eastAsia" w:ascii="仿宋" w:hAnsi="仿宋" w:eastAsia="仿宋" w:cs="仿宋"/>
          <w:b w:val="0"/>
          <w:bCs/>
          <w:color w:val="auto"/>
          <w:sz w:val="28"/>
          <w:szCs w:val="28"/>
          <w:lang w:eastAsia="zh-CN"/>
        </w:rPr>
        <w:t>人数200人；</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eastAsia="zh-CN"/>
        </w:rPr>
      </w:pPr>
      <w:r>
        <w:rPr>
          <w:rFonts w:hint="eastAsia" w:ascii="仿宋" w:hAnsi="仿宋" w:eastAsia="仿宋" w:cs="仿宋"/>
          <w:b w:val="0"/>
          <w:bCs/>
          <w:color w:val="auto"/>
          <w:sz w:val="28"/>
          <w:szCs w:val="28"/>
          <w:lang w:val="en-US" w:eastAsia="zh-CN"/>
        </w:rPr>
        <w:t>受助企业满意度</w:t>
      </w:r>
      <w:r>
        <w:rPr>
          <w:rFonts w:hint="eastAsia" w:ascii="仿宋" w:hAnsi="仿宋" w:eastAsia="仿宋" w:cs="仿宋"/>
          <w:b w:val="0"/>
          <w:bCs/>
          <w:color w:val="auto"/>
          <w:sz w:val="28"/>
          <w:szCs w:val="28"/>
          <w:lang w:eastAsia="zh-CN"/>
        </w:rPr>
        <w:t>大于等于90%。</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0"/>
        <w:rPr>
          <w:rFonts w:hint="eastAsia" w:ascii="黑体" w:hAnsi="黑体" w:eastAsia="黑体" w:cs="黑体"/>
          <w:b/>
          <w:bCs w:val="0"/>
          <w:color w:val="auto"/>
          <w:sz w:val="28"/>
          <w:szCs w:val="28"/>
          <w:lang w:val="en-US" w:eastAsia="zh-CN"/>
        </w:rPr>
      </w:pPr>
      <w:bookmarkStart w:id="47" w:name="_Toc23629"/>
      <w:r>
        <w:rPr>
          <w:rFonts w:hint="eastAsia" w:ascii="黑体" w:hAnsi="黑体" w:eastAsia="黑体" w:cs="黑体"/>
          <w:b/>
          <w:bCs w:val="0"/>
          <w:color w:val="auto"/>
          <w:sz w:val="28"/>
          <w:szCs w:val="28"/>
          <w:lang w:val="en-US" w:eastAsia="zh-CN"/>
        </w:rPr>
        <w:t>二、政策概况</w:t>
      </w:r>
      <w:bookmarkEnd w:id="47"/>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val="0"/>
          <w:color w:val="auto"/>
          <w:sz w:val="28"/>
          <w:szCs w:val="28"/>
          <w:lang w:val="en-US" w:eastAsia="zh-CN"/>
        </w:rPr>
      </w:pPr>
      <w:bookmarkStart w:id="48" w:name="_Toc1767"/>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一</w:t>
      </w:r>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政策内容</w:t>
      </w:r>
      <w:bookmarkEnd w:id="39"/>
      <w:bookmarkEnd w:id="48"/>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b w:val="0"/>
          <w:bCs w:val="0"/>
          <w:color w:val="auto"/>
          <w:sz w:val="28"/>
          <w:szCs w:val="28"/>
          <w:lang w:val="en-US" w:eastAsia="zh-CN"/>
        </w:rPr>
      </w:pPr>
      <w:bookmarkStart w:id="49" w:name="_Toc20603"/>
      <w:bookmarkStart w:id="50" w:name="_Toc10922"/>
      <w:bookmarkStart w:id="51" w:name="_Toc27703"/>
      <w:bookmarkStart w:id="52" w:name="_Toc1574"/>
      <w:bookmarkStart w:id="53" w:name="_Toc18962"/>
      <w:bookmarkStart w:id="54" w:name="_Toc30778"/>
      <w:r>
        <w:rPr>
          <w:rFonts w:hint="eastAsia" w:ascii="仿宋" w:hAnsi="仿宋" w:eastAsia="仿宋" w:cs="仿宋"/>
          <w:i w:val="0"/>
          <w:iCs w:val="0"/>
          <w:caps w:val="0"/>
          <w:color w:val="auto"/>
          <w:spacing w:val="0"/>
          <w:sz w:val="28"/>
          <w:szCs w:val="28"/>
          <w:shd w:val="clear" w:fill="FFFFFF"/>
        </w:rPr>
        <w:t>对泉州市水路运输企业新增（不含泉州市域内过户）船龄在10年（含）以内并在该市入户、自有并合法经营的5000载重吨及以上的船舶，每载重吨给予一次性奖励100元。同时，对该市水路运输企业总运力规模新达到10万载重吨及以上的，给予企业一次性奖励100万元；每增加5万载重吨的，再奖励70万元，每家企业累计奖励总金额不超过350万元。</w:t>
      </w:r>
      <w:bookmarkEnd w:id="49"/>
      <w:bookmarkEnd w:id="50"/>
      <w:bookmarkEnd w:id="51"/>
      <w:bookmarkEnd w:id="52"/>
      <w:bookmarkEnd w:id="53"/>
    </w:p>
    <w:bookmarkEnd w:id="54"/>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lang w:val="en-US" w:eastAsia="zh-CN"/>
        </w:rPr>
      </w:pPr>
      <w:bookmarkStart w:id="55" w:name="_Toc7081"/>
      <w:bookmarkStart w:id="56" w:name="_Toc5399"/>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二</w:t>
      </w:r>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政策实施</w:t>
      </w:r>
      <w:bookmarkEnd w:id="55"/>
      <w:r>
        <w:rPr>
          <w:rFonts w:hint="eastAsia" w:ascii="楷体" w:hAnsi="楷体" w:eastAsia="楷体" w:cs="楷体"/>
          <w:b/>
          <w:bCs w:val="0"/>
          <w:color w:val="auto"/>
          <w:sz w:val="28"/>
          <w:szCs w:val="28"/>
          <w:lang w:val="en-US" w:eastAsia="zh-CN"/>
        </w:rPr>
        <w:t>效果</w:t>
      </w:r>
      <w:bookmarkEnd w:id="56"/>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i w:val="0"/>
          <w:iCs w:val="0"/>
          <w:caps w:val="0"/>
          <w:color w:val="auto"/>
          <w:spacing w:val="0"/>
          <w:sz w:val="28"/>
          <w:szCs w:val="28"/>
          <w:shd w:val="clear" w:fill="FFFFFF"/>
        </w:rPr>
        <w:t>2021年，全市新增水路运输企业2家，</w:t>
      </w:r>
      <w:r>
        <w:rPr>
          <w:rFonts w:hint="eastAsia" w:ascii="仿宋" w:hAnsi="仿宋" w:eastAsia="仿宋" w:cs="仿宋"/>
          <w:b w:val="0"/>
          <w:bCs w:val="0"/>
          <w:i w:val="0"/>
          <w:iCs w:val="0"/>
          <w:caps w:val="0"/>
          <w:color w:val="auto"/>
          <w:spacing w:val="0"/>
          <w:sz w:val="28"/>
          <w:szCs w:val="28"/>
          <w:shd w:val="clear" w:fill="FFFFFF"/>
          <w:lang w:val="en-US" w:eastAsia="zh-CN"/>
        </w:rPr>
        <w:t>年底</w:t>
      </w:r>
      <w:r>
        <w:rPr>
          <w:rFonts w:hint="eastAsia" w:ascii="仿宋" w:hAnsi="仿宋" w:eastAsia="仿宋" w:cs="仿宋"/>
          <w:b w:val="0"/>
          <w:bCs w:val="0"/>
          <w:i w:val="0"/>
          <w:iCs w:val="0"/>
          <w:caps w:val="0"/>
          <w:color w:val="auto"/>
          <w:spacing w:val="0"/>
          <w:sz w:val="28"/>
          <w:szCs w:val="28"/>
          <w:shd w:val="clear" w:fill="FFFFFF"/>
        </w:rPr>
        <w:t>全市已有水路运输企业29家，主要从事国内沿海及长江中下游各港间普通货船运输,水路运输辅助业16家。运力方面，2021年全市新增水路运输船舶19艘/43.02万载重吨，总投资12.36亿元，位居泉州市各县市第一位。</w:t>
      </w:r>
      <w:r>
        <w:rPr>
          <w:rFonts w:hint="eastAsia" w:ascii="仿宋" w:hAnsi="仿宋" w:eastAsia="仿宋" w:cs="仿宋"/>
          <w:b w:val="0"/>
          <w:bCs w:val="0"/>
          <w:i w:val="0"/>
          <w:iCs w:val="0"/>
          <w:caps w:val="0"/>
          <w:color w:val="auto"/>
          <w:spacing w:val="0"/>
          <w:sz w:val="28"/>
          <w:szCs w:val="28"/>
          <w:shd w:val="clear" w:fill="FFFFFF"/>
          <w:lang w:val="en-US" w:eastAsia="zh-CN"/>
        </w:rPr>
        <w:t>2022年，</w:t>
      </w:r>
      <w:r>
        <w:rPr>
          <w:rFonts w:hint="eastAsia" w:ascii="仿宋" w:hAnsi="仿宋" w:eastAsia="仿宋" w:cs="仿宋"/>
          <w:b w:val="0"/>
          <w:bCs w:val="0"/>
          <w:i w:val="0"/>
          <w:iCs w:val="0"/>
          <w:caps w:val="0"/>
          <w:color w:val="auto"/>
          <w:spacing w:val="0"/>
          <w:kern w:val="0"/>
          <w:sz w:val="28"/>
          <w:szCs w:val="28"/>
          <w:shd w:val="clear" w:fill="FFFFFF"/>
          <w:lang w:val="en-US" w:eastAsia="zh-CN" w:bidi="ar"/>
        </w:rPr>
        <w:t>全市又新增水路运输企业10家，新增船舶24艘，累计新增运力68.26万载重吨。截至2022年底，全市水路运输企业38家，</w:t>
      </w:r>
      <w:r>
        <w:rPr>
          <w:rFonts w:hint="eastAsia" w:ascii="仿宋" w:hAnsi="仿宋" w:eastAsia="仿宋" w:cs="仿宋"/>
          <w:b w:val="0"/>
          <w:bCs w:val="0"/>
          <w:color w:val="auto"/>
          <w:sz w:val="28"/>
          <w:szCs w:val="28"/>
          <w:highlight w:val="none"/>
        </w:rPr>
        <w:t>水路运输辅助业14家</w:t>
      </w:r>
      <w:r>
        <w:rPr>
          <w:rFonts w:hint="eastAsia" w:ascii="仿宋" w:hAnsi="仿宋" w:eastAsia="仿宋" w:cs="仿宋"/>
          <w:b w:val="0"/>
          <w:bCs w:val="0"/>
          <w:color w:val="auto"/>
          <w:sz w:val="28"/>
          <w:szCs w:val="28"/>
          <w:highlight w:val="none"/>
          <w:lang w:eastAsia="zh-CN"/>
        </w:rPr>
        <w:t>，</w:t>
      </w:r>
      <w:r>
        <w:rPr>
          <w:rFonts w:hint="eastAsia" w:ascii="仿宋" w:hAnsi="仿宋" w:eastAsia="仿宋" w:cs="仿宋"/>
          <w:b w:val="0"/>
          <w:bCs w:val="0"/>
          <w:i w:val="0"/>
          <w:iCs w:val="0"/>
          <w:caps w:val="0"/>
          <w:color w:val="auto"/>
          <w:spacing w:val="0"/>
          <w:kern w:val="0"/>
          <w:sz w:val="28"/>
          <w:szCs w:val="28"/>
          <w:shd w:val="clear" w:fill="FFFFFF"/>
          <w:lang w:val="en-US" w:eastAsia="zh-CN" w:bidi="ar"/>
        </w:rPr>
        <w:t>共有船舶106艘，运力总量突破200万载重吨，达</w:t>
      </w:r>
      <w:r>
        <w:rPr>
          <w:rFonts w:hint="eastAsia" w:ascii="仿宋" w:hAnsi="仿宋" w:eastAsia="仿宋" w:cs="仿宋"/>
          <w:b w:val="0"/>
          <w:bCs w:val="0"/>
          <w:color w:val="auto"/>
          <w:sz w:val="28"/>
          <w:szCs w:val="28"/>
          <w:highlight w:val="none"/>
        </w:rPr>
        <w:t>20</w:t>
      </w:r>
      <w:r>
        <w:rPr>
          <w:rFonts w:hint="eastAsia" w:ascii="仿宋" w:hAnsi="仿宋" w:eastAsia="仿宋" w:cs="仿宋"/>
          <w:b w:val="0"/>
          <w:bCs w:val="0"/>
          <w:color w:val="auto"/>
          <w:sz w:val="28"/>
          <w:szCs w:val="28"/>
          <w:highlight w:val="none"/>
          <w:lang w:val="en-US" w:eastAsia="zh-CN"/>
        </w:rPr>
        <w:t>7.31</w:t>
      </w:r>
      <w:r>
        <w:rPr>
          <w:rFonts w:hint="eastAsia" w:ascii="仿宋" w:hAnsi="仿宋" w:eastAsia="仿宋" w:cs="仿宋"/>
          <w:b w:val="0"/>
          <w:bCs w:val="0"/>
          <w:i w:val="0"/>
          <w:iCs w:val="0"/>
          <w:caps w:val="0"/>
          <w:color w:val="auto"/>
          <w:spacing w:val="0"/>
          <w:kern w:val="0"/>
          <w:sz w:val="28"/>
          <w:szCs w:val="28"/>
          <w:shd w:val="clear" w:fill="FFFFFF"/>
          <w:lang w:val="en-US" w:eastAsia="zh-CN" w:bidi="ar"/>
        </w:rPr>
        <w:t>万载重吨，稳居泉州各县（市、区）第一。</w:t>
      </w:r>
      <w:r>
        <w:rPr>
          <w:rFonts w:hint="eastAsia" w:ascii="仿宋" w:hAnsi="仿宋" w:eastAsia="仿宋" w:cs="仿宋"/>
          <w:b w:val="0"/>
          <w:bCs w:val="0"/>
          <w:color w:val="auto"/>
          <w:sz w:val="28"/>
          <w:szCs w:val="28"/>
          <w:highlight w:val="none"/>
        </w:rPr>
        <w:t>其中，5000载重吨以下船舶5艘2.4518万载重吨；5000～10000载重吨船舶37艘</w:t>
      </w:r>
      <w:r>
        <w:rPr>
          <w:rFonts w:hint="eastAsia" w:ascii="仿宋" w:hAnsi="仿宋" w:eastAsia="仿宋" w:cs="仿宋"/>
          <w:b w:val="0"/>
          <w:bCs w:val="0"/>
          <w:color w:val="auto"/>
          <w:sz w:val="28"/>
          <w:szCs w:val="28"/>
        </w:rPr>
        <w:t>24.2914万载重吨；10000～20000载重吨船舶3</w:t>
      </w:r>
      <w:r>
        <w:rPr>
          <w:rFonts w:hint="eastAsia" w:ascii="仿宋" w:hAnsi="仿宋" w:eastAsia="仿宋" w:cs="仿宋"/>
          <w:b w:val="0"/>
          <w:bCs w:val="0"/>
          <w:color w:val="auto"/>
          <w:sz w:val="28"/>
          <w:szCs w:val="28"/>
          <w:lang w:val="en-US" w:eastAsia="zh-CN"/>
        </w:rPr>
        <w:t>1</w:t>
      </w:r>
      <w:r>
        <w:rPr>
          <w:rFonts w:hint="eastAsia" w:ascii="仿宋" w:hAnsi="仿宋" w:eastAsia="仿宋" w:cs="仿宋"/>
          <w:b w:val="0"/>
          <w:bCs w:val="0"/>
          <w:color w:val="auto"/>
          <w:sz w:val="28"/>
          <w:szCs w:val="28"/>
        </w:rPr>
        <w:t>艘4</w:t>
      </w:r>
      <w:r>
        <w:rPr>
          <w:rFonts w:hint="eastAsia" w:ascii="仿宋" w:hAnsi="仿宋" w:eastAsia="仿宋" w:cs="仿宋"/>
          <w:b w:val="0"/>
          <w:bCs w:val="0"/>
          <w:color w:val="auto"/>
          <w:sz w:val="28"/>
          <w:szCs w:val="28"/>
          <w:lang w:val="en-US" w:eastAsia="zh-CN"/>
        </w:rPr>
        <w:t>2.49</w:t>
      </w:r>
      <w:r>
        <w:rPr>
          <w:rFonts w:hint="eastAsia" w:ascii="仿宋" w:hAnsi="仿宋" w:eastAsia="仿宋" w:cs="仿宋"/>
          <w:b w:val="0"/>
          <w:bCs w:val="0"/>
          <w:color w:val="auto"/>
          <w:sz w:val="28"/>
          <w:szCs w:val="28"/>
        </w:rPr>
        <w:t>万载重吨；20000载重吨以上船舶33艘138.075785万载重吨，以集装箱（多用途）船舶为主要运输船型。单船最大载重吨位达75311吨位，平均单船1.9</w:t>
      </w:r>
      <w:r>
        <w:rPr>
          <w:rFonts w:hint="eastAsia" w:ascii="仿宋" w:hAnsi="仿宋" w:eastAsia="仿宋" w:cs="仿宋"/>
          <w:b w:val="0"/>
          <w:bCs w:val="0"/>
          <w:color w:val="auto"/>
          <w:sz w:val="28"/>
          <w:szCs w:val="28"/>
          <w:lang w:val="en-US" w:eastAsia="zh-CN"/>
        </w:rPr>
        <w:t>56</w:t>
      </w:r>
      <w:r>
        <w:rPr>
          <w:rFonts w:hint="eastAsia" w:ascii="仿宋" w:hAnsi="仿宋" w:eastAsia="仿宋" w:cs="仿宋"/>
          <w:b w:val="0"/>
          <w:bCs w:val="0"/>
          <w:color w:val="auto"/>
          <w:sz w:val="28"/>
          <w:szCs w:val="28"/>
        </w:rPr>
        <w:t>万载重吨，高于泉州市平均吨位。</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目前，</w:t>
      </w:r>
      <w:r>
        <w:rPr>
          <w:rFonts w:hint="eastAsia" w:ascii="仿宋" w:hAnsi="仿宋" w:eastAsia="仿宋" w:cs="仿宋"/>
          <w:b w:val="0"/>
          <w:bCs w:val="0"/>
          <w:color w:val="auto"/>
          <w:sz w:val="28"/>
          <w:szCs w:val="28"/>
          <w:lang w:eastAsia="zh-CN"/>
        </w:rPr>
        <w:t>石狮市</w:t>
      </w:r>
      <w:r>
        <w:rPr>
          <w:rFonts w:hint="eastAsia" w:ascii="仿宋" w:hAnsi="仿宋" w:eastAsia="仿宋" w:cs="仿宋"/>
          <w:b w:val="0"/>
          <w:bCs w:val="0"/>
          <w:color w:val="auto"/>
          <w:sz w:val="28"/>
          <w:szCs w:val="28"/>
        </w:rPr>
        <w:t>鼎盛、鼎鑫、东亿、恒通、永益等5家船务公司运力规模超10万载重吨。石狮鼎鑫船务有限公司合并管理的散货船运力达58.4162万载重吨，运力规模居泉州市第二，全省第三，为泉州市大宗散货船运输领域专业化龙头企业。</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auto"/>
          <w:sz w:val="28"/>
          <w:szCs w:val="28"/>
        </w:rPr>
        <w:t>2021年1-12月份全市水路完成货运量5437.48万吨，比增12.63%；货运周转量8712637.88万吨公里，比增21.91%。</w:t>
      </w:r>
      <w:r>
        <w:rPr>
          <w:rFonts w:hint="eastAsia" w:ascii="仿宋" w:hAnsi="仿宋" w:eastAsia="仿宋" w:cs="仿宋"/>
          <w:b w:val="0"/>
          <w:bCs w:val="0"/>
          <w:color w:val="auto"/>
          <w:sz w:val="28"/>
          <w:szCs w:val="28"/>
        </w:rPr>
        <w:t>2022年1-12月份累计完成货运量6693.43万吨，比增23.10%；货运周转量10813952.19万吨公里，比增24.12%。</w:t>
      </w:r>
      <w:r>
        <w:rPr>
          <w:rFonts w:hint="eastAsia" w:ascii="仿宋" w:hAnsi="仿宋" w:eastAsia="仿宋" w:cs="仿宋"/>
          <w:b w:val="0"/>
          <w:bCs w:val="0"/>
          <w:color w:val="auto"/>
          <w:sz w:val="28"/>
          <w:szCs w:val="28"/>
          <w:lang w:val="en-US" w:eastAsia="zh-CN"/>
        </w:rPr>
        <w:t>总量</w:t>
      </w:r>
      <w:r>
        <w:rPr>
          <w:rFonts w:hint="eastAsia" w:ascii="仿宋" w:hAnsi="仿宋" w:eastAsia="仿宋" w:cs="仿宋"/>
          <w:b w:val="0"/>
          <w:bCs w:val="0"/>
          <w:color w:val="auto"/>
          <w:kern w:val="0"/>
          <w:sz w:val="28"/>
          <w:szCs w:val="28"/>
        </w:rPr>
        <w:t>居泉州市第</w:t>
      </w:r>
      <w:r>
        <w:rPr>
          <w:rFonts w:hint="eastAsia" w:ascii="仿宋" w:hAnsi="仿宋" w:eastAsia="仿宋" w:cs="仿宋"/>
          <w:b w:val="0"/>
          <w:bCs w:val="0"/>
          <w:color w:val="auto"/>
          <w:kern w:val="0"/>
          <w:sz w:val="28"/>
          <w:szCs w:val="28"/>
          <w:lang w:val="en-US" w:eastAsia="zh-CN"/>
        </w:rPr>
        <w:t>一</w:t>
      </w:r>
      <w:r>
        <w:rPr>
          <w:rFonts w:hint="eastAsia" w:ascii="仿宋" w:hAnsi="仿宋" w:eastAsia="仿宋" w:cs="仿宋"/>
          <w:b w:val="0"/>
          <w:bCs w:val="0"/>
          <w:color w:val="auto"/>
          <w:kern w:val="0"/>
          <w:sz w:val="28"/>
          <w:szCs w:val="28"/>
        </w:rPr>
        <w:t>；</w:t>
      </w:r>
      <w:r>
        <w:rPr>
          <w:rFonts w:hint="eastAsia" w:ascii="仿宋" w:hAnsi="仿宋" w:eastAsia="仿宋" w:cs="仿宋"/>
          <w:b w:val="0"/>
          <w:bCs w:val="0"/>
          <w:color w:val="auto"/>
          <w:sz w:val="28"/>
          <w:szCs w:val="28"/>
        </w:rPr>
        <w:t>运载货物主要以煤炭、粮食、钢铁、矿建材料等,另外一大部分为集装箱运输。</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2" w:firstLineChars="200"/>
        <w:jc w:val="both"/>
        <w:textAlignment w:val="auto"/>
        <w:outlineLvl w:val="1"/>
        <w:rPr>
          <w:rFonts w:hint="eastAsia" w:ascii="楷体" w:hAnsi="楷体" w:eastAsia="楷体" w:cs="楷体"/>
          <w:b/>
          <w:bCs w:val="0"/>
          <w:i w:val="0"/>
          <w:iCs w:val="0"/>
          <w:caps w:val="0"/>
          <w:color w:val="auto"/>
          <w:spacing w:val="0"/>
          <w:sz w:val="28"/>
          <w:szCs w:val="28"/>
        </w:rPr>
      </w:pPr>
      <w:bookmarkStart w:id="57" w:name="_Toc7719"/>
      <w:bookmarkStart w:id="58" w:name="_Toc8989"/>
      <w:r>
        <w:rPr>
          <w:rFonts w:hint="eastAsia" w:ascii="楷体" w:hAnsi="楷体" w:eastAsia="楷体" w:cs="楷体"/>
          <w:b/>
          <w:bCs w:val="0"/>
          <w:i w:val="0"/>
          <w:iCs w:val="0"/>
          <w:caps w:val="0"/>
          <w:color w:val="auto"/>
          <w:spacing w:val="0"/>
          <w:sz w:val="28"/>
          <w:szCs w:val="28"/>
          <w:shd w:val="clear" w:fill="FFFFFF"/>
          <w:lang w:eastAsia="zh-CN"/>
        </w:rPr>
        <w:t>（</w:t>
      </w:r>
      <w:r>
        <w:rPr>
          <w:rFonts w:hint="eastAsia" w:ascii="楷体" w:hAnsi="楷体" w:eastAsia="楷体" w:cs="楷体"/>
          <w:b/>
          <w:bCs w:val="0"/>
          <w:i w:val="0"/>
          <w:iCs w:val="0"/>
          <w:caps w:val="0"/>
          <w:color w:val="auto"/>
          <w:spacing w:val="0"/>
          <w:sz w:val="28"/>
          <w:szCs w:val="28"/>
          <w:shd w:val="clear" w:fill="FFFFFF"/>
          <w:lang w:val="en-US" w:eastAsia="zh-CN"/>
        </w:rPr>
        <w:t>三</w:t>
      </w:r>
      <w:r>
        <w:rPr>
          <w:rFonts w:hint="eastAsia" w:ascii="楷体" w:hAnsi="楷体" w:eastAsia="楷体" w:cs="楷体"/>
          <w:b/>
          <w:bCs w:val="0"/>
          <w:i w:val="0"/>
          <w:iCs w:val="0"/>
          <w:caps w:val="0"/>
          <w:color w:val="auto"/>
          <w:spacing w:val="0"/>
          <w:sz w:val="28"/>
          <w:szCs w:val="28"/>
          <w:shd w:val="clear" w:fill="FFFFFF"/>
          <w:lang w:eastAsia="zh-CN"/>
        </w:rPr>
        <w:t>）</w:t>
      </w:r>
      <w:r>
        <w:rPr>
          <w:rFonts w:hint="eastAsia" w:ascii="楷体" w:hAnsi="楷体" w:eastAsia="楷体" w:cs="楷体"/>
          <w:b/>
          <w:bCs w:val="0"/>
          <w:i w:val="0"/>
          <w:iCs w:val="0"/>
          <w:caps w:val="0"/>
          <w:color w:val="auto"/>
          <w:spacing w:val="0"/>
          <w:sz w:val="28"/>
          <w:szCs w:val="28"/>
          <w:shd w:val="clear" w:fill="FFFFFF"/>
          <w:lang w:val="en-US" w:eastAsia="zh-CN"/>
        </w:rPr>
        <w:t>政策</w:t>
      </w:r>
      <w:r>
        <w:rPr>
          <w:rFonts w:hint="eastAsia" w:ascii="楷体" w:hAnsi="楷体" w:eastAsia="楷体" w:cs="楷体"/>
          <w:b/>
          <w:bCs w:val="0"/>
          <w:i w:val="0"/>
          <w:iCs w:val="0"/>
          <w:caps w:val="0"/>
          <w:color w:val="auto"/>
          <w:spacing w:val="0"/>
          <w:sz w:val="28"/>
          <w:szCs w:val="28"/>
          <w:shd w:val="clear" w:fill="FFFFFF"/>
        </w:rPr>
        <w:t>资金的申请、审核及兑付</w:t>
      </w:r>
      <w:bookmarkEnd w:id="57"/>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1.申请平台。为</w:t>
      </w:r>
      <w:r>
        <w:rPr>
          <w:rFonts w:hint="eastAsia" w:ascii="仿宋" w:hAnsi="仿宋" w:eastAsia="仿宋" w:cs="仿宋"/>
          <w:i w:val="0"/>
          <w:iCs w:val="0"/>
          <w:caps w:val="0"/>
          <w:color w:val="auto"/>
          <w:spacing w:val="0"/>
          <w:sz w:val="28"/>
          <w:szCs w:val="28"/>
          <w:shd w:val="clear" w:fill="FFFFFF"/>
        </w:rPr>
        <w:t>进一步优化</w:t>
      </w:r>
      <w:r>
        <w:rPr>
          <w:rFonts w:hint="eastAsia" w:ascii="仿宋" w:hAnsi="仿宋" w:eastAsia="仿宋" w:cs="仿宋"/>
          <w:i w:val="0"/>
          <w:iCs w:val="0"/>
          <w:caps w:val="0"/>
          <w:color w:val="auto"/>
          <w:spacing w:val="0"/>
          <w:sz w:val="28"/>
          <w:szCs w:val="28"/>
          <w:shd w:val="clear" w:fill="FFFFFF"/>
          <w:lang w:eastAsia="zh-CN"/>
        </w:rPr>
        <w:t>石狮市</w:t>
      </w:r>
      <w:r>
        <w:rPr>
          <w:rFonts w:hint="eastAsia" w:ascii="仿宋" w:hAnsi="仿宋" w:eastAsia="仿宋" w:cs="仿宋"/>
          <w:i w:val="0"/>
          <w:iCs w:val="0"/>
          <w:caps w:val="0"/>
          <w:color w:val="auto"/>
          <w:spacing w:val="0"/>
          <w:sz w:val="28"/>
          <w:szCs w:val="28"/>
          <w:shd w:val="clear" w:fill="FFFFFF"/>
        </w:rPr>
        <w:t>营商环境，提升工作效能，护航民营经济，</w:t>
      </w:r>
      <w:r>
        <w:rPr>
          <w:rFonts w:hint="eastAsia" w:ascii="仿宋" w:hAnsi="仿宋" w:eastAsia="仿宋" w:cs="仿宋"/>
          <w:i w:val="0"/>
          <w:iCs w:val="0"/>
          <w:caps w:val="0"/>
          <w:color w:val="auto"/>
          <w:spacing w:val="0"/>
          <w:sz w:val="28"/>
          <w:szCs w:val="28"/>
          <w:shd w:val="clear" w:fill="FFFFFF"/>
          <w:lang w:val="en-US" w:eastAsia="zh-CN"/>
        </w:rPr>
        <w:t>政策资金的申请、审核通过</w:t>
      </w:r>
      <w:r>
        <w:rPr>
          <w:rFonts w:hint="eastAsia" w:ascii="仿宋" w:hAnsi="仿宋" w:eastAsia="仿宋" w:cs="仿宋"/>
          <w:i w:val="0"/>
          <w:iCs w:val="0"/>
          <w:caps w:val="0"/>
          <w:color w:val="auto"/>
          <w:spacing w:val="0"/>
          <w:sz w:val="28"/>
          <w:szCs w:val="28"/>
          <w:shd w:val="clear" w:fill="FFFFFF"/>
        </w:rPr>
        <w:t>惠企资金线上直达兑付平台</w:t>
      </w:r>
      <w:r>
        <w:rPr>
          <w:rFonts w:hint="eastAsia" w:ascii="仿宋" w:hAnsi="仿宋" w:eastAsia="仿宋" w:cs="仿宋"/>
          <w:i w:val="0"/>
          <w:iCs w:val="0"/>
          <w:caps w:val="0"/>
          <w:color w:val="auto"/>
          <w:spacing w:val="0"/>
          <w:sz w:val="28"/>
          <w:szCs w:val="28"/>
          <w:shd w:val="clear" w:fill="FFFFFF"/>
          <w:lang w:val="en-US" w:eastAsia="zh-CN"/>
        </w:rPr>
        <w:t>操作</w:t>
      </w:r>
      <w:r>
        <w:rPr>
          <w:rFonts w:hint="eastAsia" w:ascii="仿宋" w:hAnsi="仿宋" w:eastAsia="仿宋" w:cs="仿宋"/>
          <w:i w:val="0"/>
          <w:iCs w:val="0"/>
          <w:caps w:val="0"/>
          <w:color w:val="auto"/>
          <w:spacing w:val="0"/>
          <w:sz w:val="28"/>
          <w:szCs w:val="28"/>
          <w:shd w:val="clear" w:fill="FFFFFF"/>
        </w:rPr>
        <w:t>，全面实施惠企资金线上直达兑付及全程监管</w:t>
      </w:r>
      <w:r>
        <w:rPr>
          <w:rFonts w:hint="eastAsia" w:ascii="仿宋" w:hAnsi="仿宋" w:eastAsia="仿宋" w:cs="仿宋"/>
          <w:i w:val="0"/>
          <w:iCs w:val="0"/>
          <w:caps w:val="0"/>
          <w:color w:val="auto"/>
          <w:spacing w:val="0"/>
          <w:sz w:val="28"/>
          <w:szCs w:val="28"/>
          <w:shd w:val="clear" w:fill="FFFFFF"/>
          <w:lang w:eastAsia="zh-CN"/>
        </w:rPr>
        <w:t>。</w:t>
      </w:r>
      <w:r>
        <w:rPr>
          <w:rFonts w:hint="eastAsia" w:ascii="仿宋" w:hAnsi="仿宋" w:eastAsia="仿宋" w:cs="仿宋"/>
          <w:i w:val="0"/>
          <w:iCs w:val="0"/>
          <w:caps w:val="0"/>
          <w:color w:val="auto"/>
          <w:spacing w:val="0"/>
          <w:sz w:val="28"/>
          <w:szCs w:val="28"/>
          <w:shd w:val="clear" w:fill="FFFFFF"/>
        </w:rPr>
        <w:t>惠企资金线上直达兑付平台审批流程分为主管部门审批、市财政局拨款，主管部门统一设定为三级审核（受理—复核—审批），审批通过后，系统自动加盖单位电子公章，直接进入财政拨款流程。 </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lang w:val="en-US" w:eastAsia="zh-CN"/>
        </w:rPr>
        <w:t>2.</w:t>
      </w:r>
      <w:r>
        <w:rPr>
          <w:rFonts w:hint="eastAsia" w:ascii="仿宋" w:hAnsi="仿宋" w:eastAsia="仿宋" w:cs="仿宋"/>
          <w:i w:val="0"/>
          <w:iCs w:val="0"/>
          <w:caps w:val="0"/>
          <w:color w:val="auto"/>
          <w:spacing w:val="0"/>
          <w:sz w:val="28"/>
          <w:szCs w:val="28"/>
          <w:shd w:val="clear" w:fill="FFFFFF"/>
        </w:rPr>
        <w:t>申请。专项资金实行年度申报，每年1月31日前申报上年度的奖励资金。水路运输企业向辖区县（市、区）交通运输主管部门申报，按规定填报奖励资金申请表，提交奖励申请材料的原件及复印件和承诺书一式四份（详见附件）。其中市直（丰泽区、鲤城区、洛江区、泉州开发区，下同）水路运输企业所在区交通运输主管部门应将初审意见及企业申报材料一式三份于15个工作日内报市交通运输局。</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lang w:val="en-US" w:eastAsia="zh-CN"/>
        </w:rPr>
        <w:t>3.</w:t>
      </w:r>
      <w:r>
        <w:rPr>
          <w:rFonts w:hint="eastAsia" w:ascii="仿宋" w:hAnsi="仿宋" w:eastAsia="仿宋" w:cs="仿宋"/>
          <w:i w:val="0"/>
          <w:iCs w:val="0"/>
          <w:caps w:val="0"/>
          <w:color w:val="auto"/>
          <w:spacing w:val="0"/>
          <w:sz w:val="28"/>
          <w:szCs w:val="28"/>
          <w:shd w:val="clear" w:fill="FFFFFF"/>
        </w:rPr>
        <w:t>审核。市、县交通运输主管部门应于每年4月30日前完成审核（必要时组织委托具备资质的第三方机构审核），并将审核结果在一定范围内向社会公示，公示期不少于5个工作日。</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lang w:val="en-US" w:eastAsia="zh-CN"/>
        </w:rPr>
        <w:t>4.</w:t>
      </w:r>
      <w:r>
        <w:rPr>
          <w:rFonts w:hint="eastAsia" w:ascii="仿宋" w:hAnsi="仿宋" w:eastAsia="仿宋" w:cs="仿宋"/>
          <w:i w:val="0"/>
          <w:iCs w:val="0"/>
          <w:caps w:val="0"/>
          <w:color w:val="auto"/>
          <w:spacing w:val="0"/>
          <w:sz w:val="28"/>
          <w:szCs w:val="28"/>
          <w:shd w:val="clear" w:fill="FFFFFF"/>
        </w:rPr>
        <w:t>兑付。经公示无异议，县（市、区）交通运输主管部门、财政部门按照属地政府的有关规定办理专项资金兑付，但应于每年5月30日前完成兑付；市交通运输局将市直水路运输企业申报资金的审核结果报送市财政局，由市财政局在5个工作日内将市本级承担的专项资金下达相关县（市、区），相关县（市、区）收到市级资金指标后在5个工作日内连同县（市、区）承担的专项资金一并兑付给企业。</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2" w:firstLineChars="200"/>
        <w:jc w:val="both"/>
        <w:textAlignment w:val="auto"/>
        <w:outlineLvl w:val="1"/>
        <w:rPr>
          <w:rFonts w:hint="eastAsia" w:ascii="楷体" w:hAnsi="楷体" w:eastAsia="楷体" w:cs="楷体"/>
          <w:b/>
          <w:bCs w:val="0"/>
          <w:i w:val="0"/>
          <w:iCs w:val="0"/>
          <w:caps w:val="0"/>
          <w:color w:val="auto"/>
          <w:spacing w:val="0"/>
          <w:sz w:val="28"/>
          <w:szCs w:val="28"/>
        </w:rPr>
      </w:pPr>
      <w:bookmarkStart w:id="59" w:name="_Toc3471"/>
      <w:r>
        <w:rPr>
          <w:rFonts w:hint="eastAsia" w:ascii="楷体" w:hAnsi="楷体" w:eastAsia="楷体" w:cs="楷体"/>
          <w:b/>
          <w:bCs w:val="0"/>
          <w:i w:val="0"/>
          <w:iCs w:val="0"/>
          <w:caps w:val="0"/>
          <w:color w:val="auto"/>
          <w:spacing w:val="0"/>
          <w:sz w:val="28"/>
          <w:szCs w:val="28"/>
          <w:shd w:val="clear" w:fill="FFFFFF"/>
          <w:lang w:eastAsia="zh-CN"/>
        </w:rPr>
        <w:t>（</w:t>
      </w:r>
      <w:r>
        <w:rPr>
          <w:rFonts w:hint="eastAsia" w:ascii="楷体" w:hAnsi="楷体" w:eastAsia="楷体" w:cs="楷体"/>
          <w:b/>
          <w:bCs w:val="0"/>
          <w:i w:val="0"/>
          <w:iCs w:val="0"/>
          <w:caps w:val="0"/>
          <w:color w:val="auto"/>
          <w:spacing w:val="0"/>
          <w:sz w:val="28"/>
          <w:szCs w:val="28"/>
          <w:shd w:val="clear" w:fill="FFFFFF"/>
          <w:lang w:val="en-US" w:eastAsia="zh-CN"/>
        </w:rPr>
        <w:t>四</w:t>
      </w:r>
      <w:r>
        <w:rPr>
          <w:rFonts w:hint="eastAsia" w:ascii="楷体" w:hAnsi="楷体" w:eastAsia="楷体" w:cs="楷体"/>
          <w:b/>
          <w:bCs w:val="0"/>
          <w:i w:val="0"/>
          <w:iCs w:val="0"/>
          <w:caps w:val="0"/>
          <w:color w:val="auto"/>
          <w:spacing w:val="0"/>
          <w:sz w:val="28"/>
          <w:szCs w:val="28"/>
          <w:shd w:val="clear" w:fill="FFFFFF"/>
          <w:lang w:eastAsia="zh-CN"/>
        </w:rPr>
        <w:t>）</w:t>
      </w:r>
      <w:r>
        <w:rPr>
          <w:rFonts w:hint="eastAsia" w:ascii="楷体" w:hAnsi="楷体" w:eastAsia="楷体" w:cs="楷体"/>
          <w:b/>
          <w:bCs w:val="0"/>
          <w:i w:val="0"/>
          <w:iCs w:val="0"/>
          <w:caps w:val="0"/>
          <w:color w:val="auto"/>
          <w:spacing w:val="0"/>
          <w:sz w:val="28"/>
          <w:szCs w:val="28"/>
          <w:shd w:val="clear" w:fill="FFFFFF"/>
        </w:rPr>
        <w:t>专项资金的管理与监督</w:t>
      </w:r>
      <w:bookmarkEnd w:id="59"/>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lang w:val="en-US" w:eastAsia="zh-CN"/>
        </w:rPr>
        <w:t>1.</w:t>
      </w:r>
      <w:r>
        <w:rPr>
          <w:rFonts w:hint="eastAsia" w:ascii="仿宋" w:hAnsi="仿宋" w:eastAsia="仿宋" w:cs="仿宋"/>
          <w:i w:val="0"/>
          <w:iCs w:val="0"/>
          <w:caps w:val="0"/>
          <w:color w:val="auto"/>
          <w:spacing w:val="0"/>
          <w:sz w:val="28"/>
          <w:szCs w:val="28"/>
          <w:shd w:val="clear" w:fill="FFFFFF"/>
        </w:rPr>
        <w:t>申报企业应建立健全申请水路运输业发展专项资金奖励的档案，完整、准确地记录企业申报奖励事项的基础信息。</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rPr>
      </w:pPr>
      <w:r>
        <w:rPr>
          <w:rFonts w:hint="eastAsia" w:ascii="仿宋" w:hAnsi="仿宋" w:eastAsia="仿宋" w:cs="仿宋"/>
          <w:i w:val="0"/>
          <w:iCs w:val="0"/>
          <w:caps w:val="0"/>
          <w:color w:val="auto"/>
          <w:spacing w:val="0"/>
          <w:sz w:val="28"/>
          <w:szCs w:val="28"/>
          <w:shd w:val="clear" w:fill="FFFFFF"/>
          <w:lang w:val="en-US" w:eastAsia="zh-CN"/>
        </w:rPr>
        <w:t>2.</w:t>
      </w:r>
      <w:r>
        <w:rPr>
          <w:rFonts w:hint="eastAsia" w:ascii="仿宋" w:hAnsi="仿宋" w:eastAsia="仿宋" w:cs="仿宋"/>
          <w:i w:val="0"/>
          <w:iCs w:val="0"/>
          <w:caps w:val="0"/>
          <w:color w:val="auto"/>
          <w:spacing w:val="0"/>
          <w:sz w:val="28"/>
          <w:szCs w:val="28"/>
          <w:shd w:val="clear" w:fill="FFFFFF"/>
        </w:rPr>
        <w:t>县（市、区）交通运输主管部门负责县级专项资金的全面预算绩效管理工作；对项目实施情况进行跟踪服务和检查；归集、整理专项资金的相关拨款文件和财务资料，建立健全申报材料档案，主动接受财政、审计等部门的监督检查。</w:t>
      </w:r>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both"/>
        <w:textAlignment w:val="auto"/>
        <w:rPr>
          <w:rFonts w:hint="eastAsia"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3.</w:t>
      </w:r>
      <w:r>
        <w:rPr>
          <w:rFonts w:hint="eastAsia" w:ascii="仿宋" w:hAnsi="仿宋" w:eastAsia="仿宋" w:cs="仿宋"/>
          <w:i w:val="0"/>
          <w:iCs w:val="0"/>
          <w:caps w:val="0"/>
          <w:color w:val="auto"/>
          <w:spacing w:val="0"/>
          <w:sz w:val="28"/>
          <w:szCs w:val="28"/>
          <w:shd w:val="clear" w:fill="FFFFFF"/>
        </w:rPr>
        <w:t>县（市、区）财政部门负责将专项资金纳入年度预算，监督管理县级负担的专项资金预算执行；严格按照《中华人民共和国预算法》、国库集中支付、政府采购等有关要求及时拨付专项资金，收回未按规定使用或闲置沉淀的专项资金；对专项资金的拨付、使用及管理情况开展监督检查。</w:t>
      </w:r>
    </w:p>
    <w:p>
      <w:pPr>
        <w:pStyle w:val="4"/>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562" w:firstLineChars="200"/>
        <w:textAlignment w:val="auto"/>
        <w:outlineLvl w:val="1"/>
        <w:rPr>
          <w:rFonts w:hint="eastAsia" w:ascii="楷体" w:hAnsi="楷体" w:eastAsia="楷体" w:cs="楷体"/>
          <w:b/>
          <w:bCs w:val="0"/>
          <w:color w:val="auto"/>
          <w:sz w:val="28"/>
          <w:szCs w:val="28"/>
          <w:lang w:val="en-US" w:eastAsia="zh-CN"/>
        </w:rPr>
      </w:pPr>
      <w:bookmarkStart w:id="60" w:name="_Toc26533"/>
      <w:bookmarkStart w:id="61" w:name="_Toc1216"/>
      <w:bookmarkStart w:id="62" w:name="_Toc6754"/>
      <w:r>
        <w:rPr>
          <w:rFonts w:hint="eastAsia" w:ascii="楷体" w:hAnsi="楷体" w:eastAsia="楷体" w:cs="楷体"/>
          <w:b/>
          <w:bCs w:val="0"/>
          <w:color w:val="auto"/>
          <w:sz w:val="28"/>
          <w:szCs w:val="28"/>
          <w:lang w:val="en-US" w:eastAsia="zh-CN"/>
        </w:rPr>
        <w:t>（五）资金投入</w:t>
      </w:r>
      <w:bookmarkEnd w:id="60"/>
      <w:bookmarkEnd w:id="61"/>
    </w:p>
    <w:p>
      <w:pPr>
        <w:pStyle w:val="17"/>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line="240" w:lineRule="auto"/>
        <w:ind w:left="0" w:leftChars="0" w:right="0" w:firstLine="480" w:firstLineChars="200"/>
        <w:jc w:val="both"/>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4"/>
          <w:szCs w:val="24"/>
          <w:shd w:val="clear" w:fill="FFFFFF"/>
        </w:rPr>
        <w:t>　</w:t>
      </w:r>
      <w:r>
        <w:rPr>
          <w:rFonts w:hint="eastAsia" w:ascii="仿宋" w:hAnsi="仿宋" w:eastAsia="仿宋" w:cs="仿宋"/>
          <w:i w:val="0"/>
          <w:iCs w:val="0"/>
          <w:caps w:val="0"/>
          <w:color w:val="auto"/>
          <w:spacing w:val="0"/>
          <w:sz w:val="28"/>
          <w:szCs w:val="28"/>
          <w:shd w:val="clear" w:fill="FFFFFF"/>
        </w:rPr>
        <w:t>202</w:t>
      </w:r>
      <w:r>
        <w:rPr>
          <w:rFonts w:hint="eastAsia" w:ascii="仿宋" w:hAnsi="仿宋" w:eastAsia="仿宋" w:cs="仿宋"/>
          <w:i w:val="0"/>
          <w:iCs w:val="0"/>
          <w:caps w:val="0"/>
          <w:color w:val="auto"/>
          <w:spacing w:val="0"/>
          <w:sz w:val="28"/>
          <w:szCs w:val="28"/>
          <w:shd w:val="clear" w:fill="FFFFFF"/>
          <w:lang w:val="en-US" w:eastAsia="zh-CN"/>
        </w:rPr>
        <w:t>2</w:t>
      </w:r>
      <w:r>
        <w:rPr>
          <w:rFonts w:hint="eastAsia" w:ascii="仿宋" w:hAnsi="仿宋" w:eastAsia="仿宋" w:cs="仿宋"/>
          <w:i w:val="0"/>
          <w:iCs w:val="0"/>
          <w:caps w:val="0"/>
          <w:color w:val="auto"/>
          <w:spacing w:val="0"/>
          <w:sz w:val="28"/>
          <w:szCs w:val="28"/>
          <w:shd w:val="clear" w:fill="FFFFFF"/>
        </w:rPr>
        <w:t>年，</w:t>
      </w:r>
      <w:r>
        <w:rPr>
          <w:rFonts w:hint="eastAsia" w:ascii="仿宋" w:hAnsi="仿宋" w:eastAsia="仿宋" w:cs="仿宋"/>
          <w:i w:val="0"/>
          <w:iCs w:val="0"/>
          <w:caps w:val="0"/>
          <w:color w:val="auto"/>
          <w:spacing w:val="0"/>
          <w:sz w:val="28"/>
          <w:szCs w:val="28"/>
          <w:shd w:val="clear" w:fill="FFFFFF"/>
          <w:lang w:val="en-US" w:eastAsia="zh-CN"/>
        </w:rPr>
        <w:t>石狮市</w:t>
      </w:r>
      <w:r>
        <w:rPr>
          <w:rFonts w:hint="eastAsia" w:ascii="仿宋" w:hAnsi="仿宋" w:eastAsia="仿宋" w:cs="仿宋"/>
          <w:i w:val="0"/>
          <w:iCs w:val="0"/>
          <w:caps w:val="0"/>
          <w:color w:val="auto"/>
          <w:spacing w:val="0"/>
          <w:sz w:val="28"/>
          <w:szCs w:val="28"/>
          <w:shd w:val="clear" w:fill="FFFFFF"/>
        </w:rPr>
        <w:t>财政下达</w:t>
      </w:r>
      <w:r>
        <w:rPr>
          <w:rFonts w:hint="eastAsia" w:ascii="仿宋" w:hAnsi="仿宋" w:eastAsia="仿宋" w:cs="仿宋"/>
          <w:i w:val="0"/>
          <w:iCs w:val="0"/>
          <w:caps w:val="0"/>
          <w:color w:val="auto"/>
          <w:spacing w:val="0"/>
          <w:sz w:val="28"/>
          <w:szCs w:val="28"/>
          <w:shd w:val="clear" w:fill="FFFFFF"/>
          <w:lang w:val="en-US" w:eastAsia="zh-CN"/>
        </w:rPr>
        <w:t>水路运输业补贴指标3459.75</w:t>
      </w:r>
      <w:r>
        <w:rPr>
          <w:rFonts w:hint="eastAsia" w:ascii="仿宋" w:hAnsi="仿宋" w:eastAsia="仿宋" w:cs="仿宋"/>
          <w:i w:val="0"/>
          <w:iCs w:val="0"/>
          <w:caps w:val="0"/>
          <w:color w:val="auto"/>
          <w:spacing w:val="0"/>
          <w:sz w:val="28"/>
          <w:szCs w:val="28"/>
          <w:shd w:val="clear" w:fill="FFFFFF"/>
        </w:rPr>
        <w:t>万元，从鼓励企业新增运力、促进企业规模发展以及实施船舶贷款贴息三个方面鼓励水运业高质量发展。</w:t>
      </w:r>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rPr>
          <w:rFonts w:hint="eastAsia" w:ascii="黑体" w:hAnsi="黑体" w:eastAsia="黑体" w:cs="黑体"/>
          <w:b/>
          <w:color w:val="auto"/>
          <w:sz w:val="28"/>
          <w:szCs w:val="28"/>
        </w:rPr>
      </w:pPr>
      <w:bookmarkStart w:id="63" w:name="_Toc24417"/>
      <w:r>
        <w:rPr>
          <w:rFonts w:hint="eastAsia" w:ascii="黑体" w:hAnsi="黑体" w:eastAsia="黑体" w:cs="黑体"/>
          <w:b/>
          <w:color w:val="auto"/>
          <w:sz w:val="28"/>
          <w:szCs w:val="28"/>
          <w:lang w:val="en-US" w:eastAsia="zh-CN"/>
        </w:rPr>
        <w:t>四、</w:t>
      </w:r>
      <w:r>
        <w:rPr>
          <w:rFonts w:hint="eastAsia" w:ascii="黑体" w:hAnsi="黑体" w:eastAsia="黑体" w:cs="黑体"/>
          <w:b/>
          <w:color w:val="auto"/>
          <w:sz w:val="28"/>
          <w:szCs w:val="28"/>
        </w:rPr>
        <w:t>绩效</w:t>
      </w:r>
      <w:r>
        <w:rPr>
          <w:rFonts w:hint="eastAsia" w:ascii="黑体" w:hAnsi="黑体" w:eastAsia="黑体" w:cs="黑体"/>
          <w:b/>
          <w:bCs w:val="0"/>
          <w:color w:val="auto"/>
          <w:sz w:val="28"/>
          <w:szCs w:val="28"/>
        </w:rPr>
        <w:t>评价</w:t>
      </w:r>
      <w:r>
        <w:rPr>
          <w:rFonts w:hint="eastAsia" w:ascii="黑体" w:hAnsi="黑体" w:eastAsia="黑体" w:cs="黑体"/>
          <w:b/>
          <w:color w:val="auto"/>
          <w:sz w:val="28"/>
          <w:szCs w:val="28"/>
        </w:rPr>
        <w:t>工作情况</w:t>
      </w:r>
      <w:bookmarkEnd w:id="58"/>
      <w:bookmarkEnd w:id="62"/>
      <w:bookmarkEnd w:id="63"/>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outlineLvl w:val="1"/>
        <w:rPr>
          <w:rFonts w:hint="eastAsia" w:ascii="楷体" w:hAnsi="楷体" w:eastAsia="楷体" w:cs="楷体"/>
          <w:b/>
          <w:bCs w:val="0"/>
          <w:color w:val="auto"/>
          <w:sz w:val="28"/>
          <w:szCs w:val="28"/>
        </w:rPr>
      </w:pPr>
      <w:bookmarkStart w:id="64" w:name="_Toc11282"/>
      <w:bookmarkStart w:id="65" w:name="_Toc383"/>
      <w:bookmarkStart w:id="66" w:name="_Toc7569"/>
      <w:r>
        <w:rPr>
          <w:rFonts w:hint="eastAsia" w:ascii="楷体" w:hAnsi="楷体" w:eastAsia="楷体" w:cs="楷体"/>
          <w:b/>
          <w:bCs w:val="0"/>
          <w:color w:val="auto"/>
          <w:sz w:val="28"/>
          <w:szCs w:val="28"/>
        </w:rPr>
        <w:t>（一）评价目的</w:t>
      </w:r>
      <w:bookmarkEnd w:id="64"/>
      <w:bookmarkEnd w:id="65"/>
      <w:bookmarkEnd w:id="66"/>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绩效管理是政府改革的重要方向，财政支出绩效评价是建设效能、责任和廉洁政府的重要手段。为客观评价</w:t>
      </w:r>
      <w:r>
        <w:rPr>
          <w:rFonts w:hint="eastAsia" w:ascii="仿宋" w:hAnsi="仿宋" w:eastAsia="仿宋" w:cs="仿宋"/>
          <w:color w:val="auto"/>
          <w:sz w:val="28"/>
          <w:szCs w:val="28"/>
          <w:lang w:eastAsia="zh-CN"/>
        </w:rPr>
        <w:t>2022年度石狮市水路运输业补贴资金</w:t>
      </w:r>
      <w:r>
        <w:rPr>
          <w:rFonts w:hint="eastAsia" w:ascii="仿宋" w:hAnsi="仿宋" w:eastAsia="仿宋" w:cs="仿宋"/>
          <w:color w:val="auto"/>
          <w:sz w:val="28"/>
          <w:szCs w:val="28"/>
        </w:rPr>
        <w:t>绩效，</w:t>
      </w:r>
      <w:r>
        <w:rPr>
          <w:rFonts w:hint="eastAsia" w:ascii="仿宋" w:hAnsi="仿宋" w:eastAsia="仿宋" w:cs="仿宋"/>
          <w:color w:val="auto"/>
          <w:sz w:val="28"/>
          <w:szCs w:val="28"/>
          <w:lang w:val="en-US" w:eastAsia="zh-CN"/>
        </w:rPr>
        <w:t>2022年水路运输企业新增船舶运力规模补助及贷款贴息奖励资金</w:t>
      </w:r>
      <w:r>
        <w:rPr>
          <w:rFonts w:hint="eastAsia" w:ascii="仿宋" w:hAnsi="仿宋" w:eastAsia="仿宋" w:cs="仿宋"/>
          <w:color w:val="auto"/>
          <w:sz w:val="28"/>
          <w:szCs w:val="28"/>
        </w:rPr>
        <w:t>单位绩效</w:t>
      </w:r>
      <w:r>
        <w:rPr>
          <w:rFonts w:hint="eastAsia" w:ascii="仿宋" w:hAnsi="仿宋" w:eastAsia="仿宋" w:cs="仿宋"/>
          <w:color w:val="auto"/>
          <w:sz w:val="28"/>
          <w:szCs w:val="28"/>
          <w:lang w:val="en-US" w:eastAsia="zh-CN"/>
        </w:rPr>
        <w:t>目标表</w:t>
      </w:r>
      <w:r>
        <w:rPr>
          <w:rFonts w:hint="eastAsia" w:ascii="仿宋" w:hAnsi="仿宋" w:eastAsia="仿宋" w:cs="仿宋"/>
          <w:color w:val="auto"/>
          <w:sz w:val="28"/>
          <w:szCs w:val="28"/>
        </w:rPr>
        <w:t>的基础上，结合项目特点，制定</w:t>
      </w:r>
      <w:r>
        <w:rPr>
          <w:rFonts w:hint="eastAsia" w:ascii="仿宋" w:hAnsi="仿宋" w:eastAsia="仿宋" w:cs="仿宋"/>
          <w:color w:val="auto"/>
          <w:sz w:val="28"/>
          <w:szCs w:val="28"/>
          <w:lang w:eastAsia="zh-CN"/>
        </w:rPr>
        <w:t>2022年度石狮市水路运输业补贴资金</w:t>
      </w:r>
      <w:r>
        <w:rPr>
          <w:rFonts w:hint="eastAsia" w:ascii="仿宋" w:hAnsi="仿宋" w:eastAsia="仿宋" w:cs="仿宋"/>
          <w:color w:val="auto"/>
          <w:sz w:val="28"/>
          <w:szCs w:val="28"/>
        </w:rPr>
        <w:t>绩效评价指标体系，运用科学、规范的评价方法，客观地对项目进行综合性评价，</w:t>
      </w:r>
      <w:r>
        <w:rPr>
          <w:rFonts w:hint="eastAsia" w:ascii="仿宋" w:hAnsi="仿宋" w:eastAsia="仿宋" w:cs="仿宋"/>
          <w:color w:val="auto"/>
          <w:sz w:val="28"/>
          <w:szCs w:val="28"/>
          <w:lang w:eastAsia="zh-CN"/>
        </w:rPr>
        <w:t>2022年度石狮市水路运输业补贴资金</w:t>
      </w:r>
      <w:r>
        <w:rPr>
          <w:rFonts w:hint="eastAsia" w:ascii="仿宋" w:hAnsi="仿宋" w:eastAsia="仿宋" w:cs="仿宋"/>
          <w:color w:val="auto"/>
          <w:sz w:val="28"/>
          <w:szCs w:val="28"/>
        </w:rPr>
        <w:t>在预算、管理及项目实施过程中存在的问题，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pPr>
        <w:pStyle w:val="4"/>
        <w:keepNext/>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67" w:name="_Toc12755"/>
      <w:bookmarkStart w:id="68" w:name="_Toc671"/>
      <w:bookmarkStart w:id="69" w:name="_Toc3254"/>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二</w:t>
      </w:r>
      <w:r>
        <w:rPr>
          <w:rFonts w:hint="eastAsia" w:ascii="楷体" w:hAnsi="楷体" w:eastAsia="楷体" w:cs="楷体"/>
          <w:b/>
          <w:bCs w:val="0"/>
          <w:color w:val="auto"/>
          <w:sz w:val="28"/>
          <w:szCs w:val="28"/>
        </w:rPr>
        <w:t>）评价依据</w:t>
      </w:r>
      <w:bookmarkEnd w:id="67"/>
      <w:bookmarkEnd w:id="68"/>
      <w:bookmarkEnd w:id="69"/>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1.《中共中央</w:t>
      </w:r>
      <w:bookmarkStart w:id="358" w:name="_GoBack"/>
      <w:bookmarkEnd w:id="358"/>
      <w:r>
        <w:rPr>
          <w:rFonts w:hint="eastAsia" w:ascii="仿宋" w:hAnsi="仿宋" w:eastAsia="仿宋" w:cs="仿宋"/>
          <w:color w:val="auto"/>
          <w:sz w:val="28"/>
          <w:szCs w:val="28"/>
        </w:rPr>
        <w:t>国务院关于全面实施预算绩效管理的意见》（中发〔2018〕34号）；</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2.财政部《关于印发&lt;项目支出绩效评价管理办法&gt;的通知》（财预〔2020〕10号）；</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3.《中共福建省委</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福建省人民政府印发&lt;关于全面实施预算绩效管理的实施意见&gt;的通知》（闽委发〔2019〕5号）；</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4.《福建省财政厅关于印发财政支出绩效评价指标体系及使用指南的通知》（闽财绩〔2012〕13号）</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5.《福建省财政厅关于印发&lt;福建省财政支出绩效评价管理暂行办法&gt;的通知》（闽财绩〔2015〕4号）；</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.《泉州市机关效能建设领导小组办公室 泉州市统计局关于印发2020年度县（市、区）、泉州开发区、泉州台商投资区绩效考核指标解释的通知》（泉效办〔2020〕4号）；</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b w:val="0"/>
          <w:bCs w:val="0"/>
          <w:color w:val="auto"/>
          <w:sz w:val="28"/>
          <w:szCs w:val="28"/>
          <w:lang w:val="en-US" w:eastAsia="zh-CN"/>
        </w:rPr>
      </w:pPr>
      <w:bookmarkStart w:id="70" w:name="_Toc18012"/>
      <w:bookmarkStart w:id="71" w:name="_Toc11331"/>
      <w:bookmarkStart w:id="72" w:name="_Toc13702"/>
      <w:bookmarkStart w:id="73" w:name="_Toc24654"/>
      <w:r>
        <w:rPr>
          <w:rFonts w:hint="eastAsia" w:ascii="仿宋" w:hAnsi="仿宋" w:eastAsia="仿宋" w:cs="仿宋"/>
          <w:color w:val="auto"/>
          <w:sz w:val="28"/>
          <w:szCs w:val="28"/>
          <w:lang w:val="en-US" w:eastAsia="zh-CN"/>
        </w:rPr>
        <w:t>7.</w:t>
      </w:r>
      <w:r>
        <w:rPr>
          <w:rFonts w:hint="eastAsia" w:ascii="仿宋" w:hAnsi="仿宋" w:eastAsia="仿宋" w:cs="仿宋"/>
          <w:b w:val="0"/>
          <w:bCs w:val="0"/>
          <w:color w:val="auto"/>
          <w:sz w:val="28"/>
          <w:szCs w:val="28"/>
          <w:lang w:val="en-US" w:eastAsia="zh-CN"/>
        </w:rPr>
        <w:t>泉州市人民政府关于修改《泉州市人民政府关于进一步促进水路运输业发展的实施意见》的通知（泉政文〔2021〕15号）</w:t>
      </w:r>
      <w:bookmarkEnd w:id="70"/>
      <w:bookmarkEnd w:id="71"/>
      <w:bookmarkEnd w:id="72"/>
      <w:bookmarkEnd w:id="73"/>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8.《泉州市促进水路运输业发展专项资金管理规定》的通知（泉交财〔2021〕5号）</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560" w:firstLineChars="200"/>
        <w:textAlignment w:val="auto"/>
        <w:outlineLvl w:val="2"/>
        <w:rPr>
          <w:rFonts w:hint="default" w:eastAsia="仿宋"/>
          <w:color w:val="auto"/>
          <w:lang w:val="en-US" w:eastAsia="zh-CN"/>
        </w:rPr>
      </w:pPr>
      <w:bookmarkStart w:id="74" w:name="_Toc14231"/>
      <w:bookmarkStart w:id="75" w:name="_Toc7193"/>
      <w:bookmarkStart w:id="76" w:name="_Toc283"/>
      <w:bookmarkStart w:id="77" w:name="_Toc25996"/>
      <w:r>
        <w:rPr>
          <w:rFonts w:hint="eastAsia" w:ascii="仿宋" w:hAnsi="仿宋" w:eastAsia="仿宋" w:cs="仿宋"/>
          <w:color w:val="auto"/>
          <w:sz w:val="28"/>
          <w:szCs w:val="28"/>
          <w:lang w:val="en-US" w:eastAsia="zh-CN"/>
        </w:rPr>
        <w:t>9.项目相关的内业资料，财务票据，绩效目标申报表等。</w:t>
      </w:r>
      <w:bookmarkEnd w:id="74"/>
      <w:bookmarkEnd w:id="75"/>
      <w:bookmarkEnd w:id="76"/>
      <w:bookmarkEnd w:id="77"/>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78" w:name="_Toc12047"/>
      <w:bookmarkStart w:id="79" w:name="_Toc12379"/>
      <w:bookmarkStart w:id="80" w:name="_Toc3454"/>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三</w:t>
      </w:r>
      <w:r>
        <w:rPr>
          <w:rFonts w:hint="eastAsia" w:ascii="楷体" w:hAnsi="楷体" w:eastAsia="楷体" w:cs="楷体"/>
          <w:b/>
          <w:bCs w:val="0"/>
          <w:color w:val="auto"/>
          <w:sz w:val="28"/>
          <w:szCs w:val="28"/>
        </w:rPr>
        <w:t>）评价原则</w:t>
      </w:r>
      <w:bookmarkEnd w:id="78"/>
      <w:bookmarkEnd w:id="79"/>
      <w:bookmarkEnd w:id="80"/>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一是科学规范原则。严格执行有关程序，按照科学可行的要求，采用定量与定性分析相结合、理论与实践相结合的方法设计评价指标体系。</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二是公正公开原则。符合真实、客观、公正的要求，依法公开并接受监督。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三是利害关系回避原则。绩效评价工作由</w:t>
      </w:r>
      <w:r>
        <w:rPr>
          <w:rFonts w:hint="eastAsia" w:ascii="仿宋" w:hAnsi="仿宋" w:eastAsia="仿宋" w:cs="仿宋"/>
          <w:bCs/>
          <w:color w:val="auto"/>
          <w:sz w:val="28"/>
          <w:szCs w:val="28"/>
          <w:lang w:eastAsia="zh-CN"/>
        </w:rPr>
        <w:t>石狮市财政局</w:t>
      </w:r>
      <w:r>
        <w:rPr>
          <w:rFonts w:hint="eastAsia" w:ascii="仿宋" w:hAnsi="仿宋" w:eastAsia="仿宋" w:cs="仿宋"/>
          <w:bCs/>
          <w:color w:val="auto"/>
          <w:sz w:val="28"/>
          <w:szCs w:val="28"/>
        </w:rPr>
        <w:t>委托泉州招标咨询中心实施。</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bCs/>
          <w:color w:val="auto"/>
          <w:sz w:val="28"/>
          <w:szCs w:val="28"/>
        </w:rPr>
      </w:pPr>
      <w:r>
        <w:rPr>
          <w:rFonts w:hint="eastAsia" w:ascii="仿宋" w:hAnsi="仿宋" w:eastAsia="仿宋" w:cs="仿宋"/>
          <w:bCs/>
          <w:color w:val="auto"/>
          <w:sz w:val="28"/>
          <w:szCs w:val="28"/>
        </w:rPr>
        <w:t>四是绩效相关原则。绩效评价针对</w:t>
      </w:r>
      <w:r>
        <w:rPr>
          <w:rFonts w:hint="eastAsia" w:ascii="仿宋" w:hAnsi="仿宋" w:eastAsia="仿宋" w:cs="仿宋"/>
          <w:bCs/>
          <w:color w:val="auto"/>
          <w:sz w:val="28"/>
          <w:szCs w:val="28"/>
          <w:lang w:val="en-US" w:eastAsia="zh-CN"/>
        </w:rPr>
        <w:t>2022年度石狮市水路运输业补贴</w:t>
      </w:r>
      <w:r>
        <w:rPr>
          <w:rFonts w:hint="eastAsia" w:ascii="仿宋" w:hAnsi="仿宋" w:eastAsia="仿宋" w:cs="仿宋"/>
          <w:bCs/>
          <w:color w:val="auto"/>
          <w:sz w:val="28"/>
          <w:szCs w:val="28"/>
        </w:rPr>
        <w:t>资金投入及其产出绩效进行，评价结果清晰地反映两者之间的紧密对应关系。</w:t>
      </w:r>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lang w:eastAsia="zh-CN"/>
        </w:rPr>
      </w:pPr>
      <w:bookmarkStart w:id="81" w:name="_Toc13857"/>
      <w:bookmarkStart w:id="82" w:name="_Toc25149"/>
      <w:bookmarkStart w:id="83" w:name="_Toc19785"/>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四</w:t>
      </w:r>
      <w:r>
        <w:rPr>
          <w:rFonts w:hint="eastAsia" w:ascii="楷体" w:hAnsi="楷体" w:eastAsia="楷体" w:cs="楷体"/>
          <w:b/>
          <w:bCs w:val="0"/>
          <w:color w:val="auto"/>
          <w:sz w:val="28"/>
          <w:szCs w:val="28"/>
        </w:rPr>
        <w:t>）评定方法</w:t>
      </w:r>
      <w:bookmarkEnd w:id="81"/>
      <w:bookmarkEnd w:id="82"/>
      <w:bookmarkEnd w:id="83"/>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0" w:firstLineChars="200"/>
        <w:textAlignment w:val="auto"/>
        <w:rPr>
          <w:rFonts w:hint="eastAsia" w:ascii="仿宋" w:hAnsi="仿宋" w:eastAsia="仿宋" w:cs="仿宋"/>
          <w:b w:val="0"/>
          <w:bCs w:val="0"/>
          <w:color w:val="auto"/>
          <w:kern w:val="2"/>
          <w:sz w:val="28"/>
          <w:szCs w:val="28"/>
          <w:lang w:val="en-US" w:eastAsia="zh-CN" w:bidi="ar-SA"/>
        </w:rPr>
      </w:pPr>
      <w:bookmarkStart w:id="84" w:name="_Toc15267"/>
      <w:bookmarkStart w:id="85" w:name="_Toc13451"/>
      <w:bookmarkStart w:id="86" w:name="_Toc22568"/>
      <w:bookmarkStart w:id="87" w:name="_Toc11177"/>
      <w:bookmarkStart w:id="88" w:name="_Toc29103"/>
      <w:bookmarkStart w:id="89" w:name="_Toc31678"/>
      <w:r>
        <w:rPr>
          <w:rFonts w:hint="eastAsia" w:ascii="仿宋" w:hAnsi="仿宋" w:eastAsia="仿宋" w:cs="仿宋"/>
          <w:b w:val="0"/>
          <w:bCs w:val="0"/>
          <w:color w:val="auto"/>
          <w:kern w:val="2"/>
          <w:sz w:val="28"/>
          <w:szCs w:val="28"/>
          <w:lang w:val="en-US" w:eastAsia="zh-CN" w:bidi="ar-SA"/>
        </w:rPr>
        <w:t>本次绩效评价通过实施单位的数据填报，辅以评价工作小组实地调查、查阅问卷、听取汇报、查看项目管理及财务管理资料等方式收集信息，采用成本效益分析法、比较法、公众评判法、问卷调查法等进行评分，以定量考核与以定性分析为相结合，汇总形成评价综合得分。</w:t>
      </w:r>
      <w:bookmarkEnd w:id="84"/>
      <w:bookmarkEnd w:id="85"/>
      <w:bookmarkEnd w:id="86"/>
      <w:bookmarkEnd w:id="87"/>
      <w:bookmarkEnd w:id="88"/>
      <w:bookmarkEnd w:id="89"/>
      <w:bookmarkStart w:id="90" w:name="_Toc5973"/>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91" w:name="_Toc28998"/>
      <w:bookmarkStart w:id="92" w:name="_Toc14997"/>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五</w:t>
      </w:r>
      <w:r>
        <w:rPr>
          <w:rFonts w:hint="eastAsia" w:ascii="楷体" w:hAnsi="楷体" w:eastAsia="楷体" w:cs="楷体"/>
          <w:b/>
          <w:bCs w:val="0"/>
          <w:color w:val="auto"/>
          <w:sz w:val="28"/>
          <w:szCs w:val="28"/>
        </w:rPr>
        <w:t>）组织实施</w:t>
      </w:r>
      <w:bookmarkEnd w:id="90"/>
      <w:bookmarkEnd w:id="91"/>
      <w:bookmarkEnd w:id="92"/>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按照评价工作流程，分为准备阶段、实施阶段和评价报告撰写阶段等三个步骤实施评价工作。</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rPr>
        <w:t>1.准备阶段（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上</w:t>
      </w:r>
      <w:r>
        <w:rPr>
          <w:rFonts w:hint="eastAsia" w:ascii="仿宋" w:hAnsi="仿宋" w:eastAsia="仿宋" w:cs="仿宋"/>
          <w:color w:val="auto"/>
          <w:sz w:val="28"/>
          <w:szCs w:val="28"/>
        </w:rPr>
        <w:t>旬）：泉州市招标咨询中心地方财政绩效评价所三方召开</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rPr>
        <w:t>绩效评价项目启动会议。组成绩效评价工作小组，拟定项目绩效评价实施方案，制定绩效评价工作计划。</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eastAsia="宋体"/>
          <w:color w:val="auto"/>
          <w:sz w:val="28"/>
          <w:szCs w:val="28"/>
        </w:rPr>
      </w:pPr>
      <w:r>
        <w:rPr>
          <w:rFonts w:hint="eastAsia" w:ascii="仿宋" w:hAnsi="仿宋" w:eastAsia="仿宋" w:cs="仿宋"/>
          <w:color w:val="auto"/>
          <w:sz w:val="28"/>
          <w:szCs w:val="28"/>
        </w:rPr>
        <w:t>2.基础资料收集阶段（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中旬前</w:t>
      </w:r>
      <w:r>
        <w:rPr>
          <w:rFonts w:hint="eastAsia" w:ascii="仿宋" w:hAnsi="仿宋" w:eastAsia="仿宋" w:cs="仿宋"/>
          <w:color w:val="auto"/>
          <w:sz w:val="28"/>
          <w:szCs w:val="28"/>
        </w:rPr>
        <w:t>）：根据实施方案，评价工作组提供资料清单给</w:t>
      </w:r>
      <w:r>
        <w:rPr>
          <w:rFonts w:hint="eastAsia" w:ascii="仿宋" w:hAnsi="仿宋" w:eastAsia="仿宋" w:cs="仿宋"/>
          <w:color w:val="auto"/>
          <w:sz w:val="28"/>
          <w:szCs w:val="28"/>
          <w:lang w:val="en-US" w:eastAsia="zh-CN"/>
        </w:rPr>
        <w:t>石狮市交通和港口发展局</w:t>
      </w:r>
      <w:r>
        <w:rPr>
          <w:rFonts w:hint="eastAsia" w:ascii="仿宋" w:hAnsi="仿宋" w:eastAsia="仿宋" w:cs="仿宋"/>
          <w:color w:val="auto"/>
          <w:sz w:val="28"/>
          <w:szCs w:val="28"/>
        </w:rPr>
        <w:t>，我中心安排专业人员</w:t>
      </w:r>
      <w:r>
        <w:rPr>
          <w:rFonts w:hint="eastAsia" w:ascii="仿宋" w:hAnsi="仿宋" w:eastAsia="仿宋" w:cs="仿宋"/>
          <w:color w:val="auto"/>
          <w:sz w:val="28"/>
          <w:szCs w:val="28"/>
          <w:lang w:val="en-US" w:eastAsia="zh-CN"/>
        </w:rPr>
        <w:t>前往实施单位</w:t>
      </w:r>
      <w:r>
        <w:rPr>
          <w:rFonts w:hint="eastAsia" w:ascii="仿宋" w:hAnsi="仿宋" w:eastAsia="仿宋" w:cs="仿宋"/>
          <w:color w:val="auto"/>
          <w:sz w:val="28"/>
          <w:szCs w:val="28"/>
        </w:rPr>
        <w:t>进行首次调研，</w:t>
      </w:r>
      <w:r>
        <w:rPr>
          <w:rFonts w:hint="eastAsia" w:ascii="仿宋" w:hAnsi="仿宋" w:eastAsia="仿宋" w:cs="仿宋"/>
          <w:color w:val="auto"/>
          <w:sz w:val="28"/>
          <w:szCs w:val="28"/>
          <w:lang w:val="en-US" w:eastAsia="zh-CN"/>
        </w:rPr>
        <w:t>了解项目信息及资金使用基本情况，</w:t>
      </w:r>
      <w:r>
        <w:rPr>
          <w:rFonts w:hint="eastAsia" w:ascii="仿宋" w:hAnsi="仿宋" w:eastAsia="仿宋" w:cs="仿宋"/>
          <w:color w:val="auto"/>
          <w:sz w:val="28"/>
          <w:szCs w:val="28"/>
        </w:rPr>
        <w:t>解释资料清单所列资料定义、范围。</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rPr>
        <w:t>3.实施阶段（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5月下旬</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上旬</w:t>
      </w:r>
      <w:r>
        <w:rPr>
          <w:rFonts w:hint="eastAsia" w:ascii="仿宋" w:hAnsi="仿宋" w:eastAsia="仿宋" w:cs="仿宋"/>
          <w:color w:val="auto"/>
          <w:sz w:val="28"/>
          <w:szCs w:val="28"/>
        </w:rPr>
        <w:t>）：根据前期收集回来的基础资料进行分析后，部署开展二次现场调研。由评价专家带队走访项目</w:t>
      </w:r>
      <w:r>
        <w:rPr>
          <w:rFonts w:hint="eastAsia" w:ascii="仿宋" w:hAnsi="仿宋" w:eastAsia="仿宋" w:cs="仿宋"/>
          <w:color w:val="auto"/>
          <w:sz w:val="28"/>
          <w:szCs w:val="28"/>
          <w:lang w:val="en-US" w:eastAsia="zh-CN"/>
        </w:rPr>
        <w:t>实施单位</w:t>
      </w:r>
      <w:r>
        <w:rPr>
          <w:rFonts w:hint="eastAsia" w:ascii="仿宋" w:hAnsi="仿宋" w:eastAsia="仿宋" w:cs="仿宋"/>
          <w:color w:val="auto"/>
          <w:sz w:val="28"/>
          <w:szCs w:val="28"/>
        </w:rPr>
        <w:t>，现场座谈交流，进一步收集项目资料，对项目相关文件进行解读，制定评价指标体系；勘验检查项目现场，听取实施单位情况汇报，查阅核实有关数据资料，开展问卷调查，实施汇总分析。</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4.报告撰写阶段（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中下</w:t>
      </w:r>
      <w:r>
        <w:rPr>
          <w:rFonts w:hint="eastAsia" w:ascii="仿宋" w:hAnsi="仿宋" w:eastAsia="仿宋" w:cs="仿宋"/>
          <w:color w:val="auto"/>
          <w:sz w:val="28"/>
          <w:szCs w:val="28"/>
        </w:rPr>
        <w:t>旬）：经过网络查阅、现场咨询、检查核实等步骤，在收集、整理、汇总、核实、分析相关资料和数据的基础上，对项目管理、政策制度执行以及资金的使用、产生的效果进行综合评价，形成项目绩效评价报告。</w:t>
      </w:r>
    </w:p>
    <w:p>
      <w:pPr>
        <w:pStyle w:val="2"/>
        <w:keepLines w:val="0"/>
        <w:pageBreakBefore w:val="0"/>
        <w:widowControl w:val="0"/>
        <w:kinsoku/>
        <w:wordWrap/>
        <w:overflowPunct/>
        <w:topLinePunct w:val="0"/>
        <w:autoSpaceDE/>
        <w:autoSpaceDN/>
        <w:bidi w:val="0"/>
        <w:adjustRightInd/>
        <w:snapToGrid/>
        <w:spacing w:after="0" w:line="240" w:lineRule="auto"/>
        <w:ind w:left="0" w:leftChars="0"/>
        <w:rPr>
          <w:color w:val="auto"/>
        </w:rPr>
      </w:pPr>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outlineLvl w:val="0"/>
        <w:rPr>
          <w:rFonts w:hint="eastAsia" w:ascii="黑体" w:hAnsi="黑体" w:eastAsia="黑体" w:cs="黑体"/>
          <w:b/>
          <w:color w:val="auto"/>
          <w:sz w:val="28"/>
          <w:szCs w:val="28"/>
        </w:rPr>
      </w:pPr>
      <w:bookmarkStart w:id="93" w:name="_Toc6787"/>
      <w:bookmarkStart w:id="94" w:name="_Toc24130"/>
      <w:bookmarkStart w:id="95" w:name="_Toc9776"/>
      <w:r>
        <w:rPr>
          <w:rFonts w:hint="eastAsia" w:ascii="黑体" w:hAnsi="黑体" w:eastAsia="黑体" w:cs="黑体"/>
          <w:b/>
          <w:color w:val="auto"/>
          <w:sz w:val="28"/>
          <w:szCs w:val="28"/>
          <w:lang w:val="en-US" w:eastAsia="zh-CN"/>
        </w:rPr>
        <w:t>四</w:t>
      </w:r>
      <w:r>
        <w:rPr>
          <w:rFonts w:hint="eastAsia" w:ascii="黑体" w:hAnsi="黑体" w:eastAsia="黑体" w:cs="黑体"/>
          <w:b/>
          <w:color w:val="auto"/>
          <w:sz w:val="28"/>
          <w:szCs w:val="28"/>
        </w:rPr>
        <w:t>、项目绩效评价指标体系及得分情况</w:t>
      </w:r>
      <w:bookmarkEnd w:id="93"/>
      <w:bookmarkEnd w:id="94"/>
      <w:bookmarkEnd w:id="95"/>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hint="eastAsia" w:ascii="仿宋" w:hAnsi="仿宋" w:eastAsia="仿宋" w:cs="仿宋"/>
          <w:color w:val="auto"/>
          <w:sz w:val="28"/>
          <w:szCs w:val="28"/>
        </w:rPr>
        <w:sectPr>
          <w:pgSz w:w="11906" w:h="16838"/>
          <w:pgMar w:top="1417" w:right="1474" w:bottom="1417"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仿宋" w:hAnsi="仿宋" w:eastAsia="仿宋" w:cs="仿宋"/>
          <w:color w:val="auto"/>
          <w:sz w:val="28"/>
          <w:szCs w:val="28"/>
        </w:rPr>
        <w:t>评价工作小组按照相关性、重要性、可比性、系统性及经济性原则，从投入、过程、产出、效果等四个方面设计指标体系，共设置</w:t>
      </w:r>
      <w:r>
        <w:rPr>
          <w:rFonts w:hint="eastAsia" w:ascii="仿宋" w:hAnsi="仿宋" w:eastAsia="仿宋" w:cs="仿宋"/>
          <w:color w:val="auto"/>
          <w:sz w:val="28"/>
          <w:szCs w:val="28"/>
          <w:lang w:val="en-US" w:eastAsia="zh-CN"/>
        </w:rPr>
        <w:t>4个一级指标和13个二级指标，又在二级指标的基础上，结合项目的个性化特征设置立项依据充分性、立项程序规范性、绩效目标合理性、绩效指标明确性、预算编制科学性、资金到位率、预算执行率、预算绩效监控和监督、管理制度健全性、制度执行有效性、船舶增长数量、水路运输企业规模发展情况、船舶贷款贴息政策落实、奖励补贴资金发放准确性、奖励补贴资金发放公平性、新增船舶稳定性补贴发放及时性、水路运输企业税收贡献率、货运量增长率、货运周转量增长率、政策知晓率、水路运输机构带动就业提升度、政策促进节能减排、政策满意度</w:t>
      </w:r>
      <w:r>
        <w:rPr>
          <w:rFonts w:hint="eastAsia" w:ascii="仿宋" w:hAnsi="仿宋" w:eastAsia="仿宋" w:cs="仿宋"/>
          <w:color w:val="auto"/>
          <w:sz w:val="28"/>
          <w:szCs w:val="28"/>
        </w:rPr>
        <w:t>等</w:t>
      </w:r>
      <w:r>
        <w:rPr>
          <w:rFonts w:hint="eastAsia" w:ascii="仿宋" w:hAnsi="仿宋" w:eastAsia="仿宋" w:cs="仿宋"/>
          <w:color w:val="auto"/>
          <w:sz w:val="28"/>
          <w:szCs w:val="28"/>
          <w:lang w:val="en-US" w:eastAsia="zh-CN"/>
        </w:rPr>
        <w:t>25</w:t>
      </w:r>
      <w:r>
        <w:rPr>
          <w:rFonts w:hint="eastAsia" w:ascii="仿宋" w:hAnsi="仿宋" w:eastAsia="仿宋" w:cs="仿宋"/>
          <w:color w:val="auto"/>
          <w:sz w:val="28"/>
          <w:szCs w:val="28"/>
        </w:rPr>
        <w:t>个三级指标。各项指标内容及得分情况详见表</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w:t>
      </w:r>
    </w:p>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表1：</w:t>
      </w:r>
      <w:r>
        <w:rPr>
          <w:rFonts w:hint="eastAsia" w:ascii="仿宋" w:hAnsi="仿宋" w:eastAsia="仿宋" w:cs="仿宋"/>
          <w:b/>
          <w:bCs/>
          <w:color w:val="auto"/>
          <w:sz w:val="28"/>
          <w:szCs w:val="28"/>
          <w:lang w:eastAsia="zh-CN"/>
        </w:rPr>
        <w:t>2022年度石狮市水路运输业补贴资金</w:t>
      </w:r>
      <w:r>
        <w:rPr>
          <w:rFonts w:hint="eastAsia" w:ascii="仿宋" w:hAnsi="仿宋" w:eastAsia="仿宋" w:cs="仿宋"/>
          <w:b/>
          <w:bCs/>
          <w:color w:val="auto"/>
          <w:sz w:val="28"/>
          <w:szCs w:val="28"/>
        </w:rPr>
        <w:t>绩效评价</w:t>
      </w:r>
      <w:r>
        <w:rPr>
          <w:rFonts w:hint="eastAsia" w:ascii="仿宋" w:hAnsi="仿宋" w:eastAsia="仿宋" w:cs="仿宋"/>
          <w:b/>
          <w:bCs/>
          <w:color w:val="auto"/>
          <w:sz w:val="28"/>
          <w:szCs w:val="28"/>
          <w:lang w:val="en-US" w:eastAsia="zh-CN"/>
        </w:rPr>
        <w:t>体系与得分</w:t>
      </w:r>
    </w:p>
    <w:tbl>
      <w:tblPr>
        <w:tblStyle w:val="18"/>
        <w:tblW w:w="15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20"/>
        <w:gridCol w:w="755"/>
        <w:gridCol w:w="1307"/>
        <w:gridCol w:w="4598"/>
        <w:gridCol w:w="764"/>
        <w:gridCol w:w="846"/>
        <w:gridCol w:w="819"/>
        <w:gridCol w:w="5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tblHeader/>
          <w:jc w:val="center"/>
        </w:trPr>
        <w:tc>
          <w:tcPr>
            <w:tcW w:w="7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bookmarkStart w:id="96" w:name="_Toc17295"/>
            <w:r>
              <w:rPr>
                <w:rFonts w:hint="eastAsia" w:ascii="仿宋" w:hAnsi="仿宋" w:eastAsia="仿宋" w:cs="仿宋"/>
                <w:b/>
                <w:bCs/>
                <w:i w:val="0"/>
                <w:iCs w:val="0"/>
                <w:color w:val="323232"/>
                <w:kern w:val="0"/>
                <w:sz w:val="24"/>
                <w:szCs w:val="24"/>
                <w:u w:val="none"/>
                <w:lang w:val="en-US" w:eastAsia="zh-CN" w:bidi="ar"/>
              </w:rPr>
              <w:t>一级指标</w:t>
            </w:r>
          </w:p>
        </w:tc>
        <w:tc>
          <w:tcPr>
            <w:tcW w:w="75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二级指标</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三级指标</w:t>
            </w:r>
          </w:p>
        </w:tc>
        <w:tc>
          <w:tcPr>
            <w:tcW w:w="4598"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指标说明</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分值</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得分</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323232"/>
                <w:kern w:val="0"/>
                <w:sz w:val="24"/>
                <w:szCs w:val="24"/>
                <w:u w:val="none"/>
                <w:lang w:val="en-US" w:eastAsia="zh-CN" w:bidi="ar"/>
              </w:rPr>
              <w:t>扣分</w:t>
            </w:r>
          </w:p>
        </w:tc>
        <w:tc>
          <w:tcPr>
            <w:tcW w:w="5239"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评价过程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决策　</w:t>
            </w: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项目立项　</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立项依据</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充分性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①项目立项是否符合国家水运规划；</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②项目立项是否符合交通运输体系发展规划；</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③项目立项是否与部门职责范围相符，属于部门履职所需；</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④项目是否属于公共财政支持范围，是否符合中央、地方事权支出责任划分原则；</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⑤项目是否与相关部门同类项目或部门内部相关项目重复。</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5</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水运“十四五”发展规划》提出的“要优化船舶运力结构、引导船舶运力有序发展”及泉州市“十四五”现代综合交通运输体系专项规划的第八章第一节，绿色交通建设中提出的要“着力优化泉州运输结构，扩大铁路、水路的货运比例，发展大宗货物铁水运输，充分发挥铁路与水路运输低排放的优势”可知，本政策的实施符合国家水运规划及泉州市交通运输体系发展规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水运企业的奖补措施与石狮市交通和港口发展局职责范围相符，属于部门履职所需；且属于公共财政支持范围，对石狮市水运企业的奖补由石狮市水运主管部门支持，符合中央、地方事权支出责任划分原则；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评价过程中未发现项目与相关部门同类项目相关项目重复。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综上，得5分。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立项程序</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规范性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①项目是否按照规定的程序申请设立；</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②审批文件、材料是否符合相关要求；</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③事前是否已经过必要的可行性研究、专家论证、风险评估、绩效评估、集体决策。</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石狮市促进水路运输业发展的奖补政策参照泉州市人民政府关于修改《泉州市人民政府关于进一步促进水路运输业发展的实施意见》的通知（泉政文【2021】15号）实施，本意见中所指水路运输企业系在泉州市〔含各县（市、区）〕注册、纳税且经营资质符合法律法规要求的企业，故评价认为立项程序规范，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绩效目标　</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绩效目标</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合理性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评价要点：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①项目是否有绩效目标；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②项目绩效目标与实际工作内容是否具有相关性；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③项目预期产出效益和效果是否符合正常的业绩水平；</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④是否与预算确定的资金量相匹配。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符合1项，得1分。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本项目总体绩效目标为促进石狮市水路运输业持续健康发展，绩效目标与实际政策奖补内容相关，但绩效目标未体现项目预期产出效益，绩效目标过于简单、笼统，无法判断是否与预算确定的资金量相匹配，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5"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绩效指标</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明确性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评价要点：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①是否将项目绩效目标细化分解为具体的绩效指标；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②是否通过清晰、可衡量的指标值予以体现；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③是否与项目目标任务数或计划数相对应。</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企业新增船舶运力规模补助及贷款贴息奖励资金绩效目标表中，虽将绩效目标分解，并通过清晰、可衡量的指标值予以体现，但绩效指标设置不够完整。根据水路运输股的工作计划可知，2022年度的绩效目标应为：深化运力结构调整，进一步调整和优化运力结构，加大更新老旧船舶力度、降低平均船龄，淘汰吨位小、船龄高，技术落后、单位能耗高、对环境污染大的船型，积极鼓励发展万吨以上运输船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故本资金的核心绩效指标除设置新增船舶数量、新增就业数量、增加税收以外，还应对运力结构的预期值，平均船龄的目标值或降低值，淘汰吨位小、船龄高的船舶数量，淘汰单位能耗高、对环境污染大的船舶数量，万吨以上运输船舶的增长数量等等进行指标设置。指标设置不够完整导致项目绩效指标无法与计划数相对应。指标满分3分，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资金投入</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预算编制</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科学性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①预算编制依据充分，与年度水路运输发展规划或资金需求相匹配；</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②预算编制科学合理，经过局党委会研究。</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符合1项，得2分。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2</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评价小组查阅实施单位提供的2022年石狮市交通和港口发展局预算公开表及2022年度石狮市交通和港口发展局部门预算公开报告，未发现与本项目相关的预算资料，仅在本项目绩效目标表中了解到本项目预算金额5200万元，2022年实际支出3459.75万元。预算金额根据预算编制前了解到的正在建造的船舶数量及近年来水路运输业发展趋势进行预测，预算编制依据相对充分。但由于企业的船舶购买行为不可控，故预算编制金额与当年实际支出情况存在偏差，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5" w:hRule="atLeast"/>
          <w:jc w:val="center"/>
        </w:trPr>
        <w:tc>
          <w:tcPr>
            <w:tcW w:w="720" w:type="dxa"/>
            <w:vMerge w:val="restart"/>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资金管理</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资金到位率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资金到位率=（实际到位资金/预算资金）×100%。</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资金到位率≥90%，得满分；每不足5%，扣1分，扣完为止。</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0</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预算编制科学性不足，资金预测过高也将影响资金到位率，2022年项目预算5200万元，实际到位资金3459.75万元，资金到位率=66.53%，根据评分标准，满分4分，得0分。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预算执行率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预算执行率=（实际支出资金/实际到位资金）×100%。</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预算执行率≥95%，得满分；每不足5%，扣1分，扣完为止。</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2022年，财政下达指标3459.75万元，当年度实际支付3459.75万元，预算100%执行完毕，该指标得满分。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预算绩效监控和监督</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①实施绩效监控，及时纠偏</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②年终开展绩效自评，并加强结果应用。</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2</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2</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已开展绩效监控及自评。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组织实施</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管理制度</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健全性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①已制定资格审核管理制度；</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②已制定资金发放管理制度；</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③已制定档案管理制度；</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④已制定资金管理制度；</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⑤享受奖励船舶迁出自查监管机制健全性。</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5</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石狮市水路运输业奖补政策的管理制度参照根据泉州市交通运输局泉州市财政局关于印发《泉州市促进水路运输业发展专项资金管理规定》的通知（泉交财〔2021〕5号）执行，该管理规定对资格审核、资金兑付、档案管理进行了规定，同时可根据泉州市港口的监督及数据反馈机制，实时监控已享受奖励的船舶是否迁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综上，管理制度较为健全，该指标得5分。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35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noWrap/>
            <w:vAlign w:val="center"/>
          </w:tcPr>
          <w:p>
            <w:pPr>
              <w:jc w:val="center"/>
              <w:rPr>
                <w:rFonts w:hint="eastAsia" w:ascii="仿宋" w:hAnsi="仿宋" w:eastAsia="仿宋" w:cs="仿宋"/>
                <w:sz w:val="24"/>
                <w:szCs w:val="24"/>
              </w:rPr>
            </w:pPr>
          </w:p>
        </w:tc>
        <w:tc>
          <w:tcPr>
            <w:tcW w:w="1307"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323232"/>
                <w:kern w:val="0"/>
                <w:sz w:val="24"/>
                <w:szCs w:val="24"/>
                <w:u w:val="none"/>
                <w:lang w:val="en-US" w:eastAsia="zh-CN" w:bidi="ar"/>
              </w:rPr>
              <w:t>制度执行</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有效性</w:t>
            </w:r>
          </w:p>
        </w:tc>
        <w:tc>
          <w:tcPr>
            <w:tcW w:w="4598" w:type="dxa"/>
            <w:shd w:val="clear" w:color="auto" w:fill="auto"/>
            <w:noWrap/>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323232"/>
                <w:kern w:val="0"/>
                <w:sz w:val="24"/>
                <w:szCs w:val="24"/>
                <w:u w:val="none"/>
                <w:lang w:val="en-US" w:eastAsia="zh-CN" w:bidi="ar"/>
              </w:rPr>
              <w:t>评价要点：</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①按照资金管理制度规定的程序组织政策申报；（1分）</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②审批流程的规范性；（1分）</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③项目申报的及时性；（1分）</w:t>
            </w:r>
            <w:r>
              <w:rPr>
                <w:rFonts w:hint="eastAsia" w:ascii="仿宋" w:hAnsi="仿宋" w:eastAsia="仿宋" w:cs="仿宋"/>
                <w:i w:val="0"/>
                <w:iCs w:val="0"/>
                <w:color w:val="323232"/>
                <w:kern w:val="0"/>
                <w:sz w:val="24"/>
                <w:szCs w:val="24"/>
                <w:u w:val="none"/>
                <w:lang w:val="en-US" w:eastAsia="zh-CN" w:bidi="ar"/>
              </w:rPr>
              <w:br w:type="textWrapping"/>
            </w:r>
            <w:r>
              <w:rPr>
                <w:rFonts w:hint="eastAsia" w:ascii="仿宋" w:hAnsi="仿宋" w:eastAsia="仿宋" w:cs="仿宋"/>
                <w:i w:val="0"/>
                <w:iCs w:val="0"/>
                <w:color w:val="323232"/>
                <w:kern w:val="0"/>
                <w:sz w:val="24"/>
                <w:szCs w:val="24"/>
                <w:u w:val="none"/>
                <w:lang w:val="en-US" w:eastAsia="zh-CN" w:bidi="ar"/>
              </w:rPr>
              <w:t>④项目审核的及时性。（1分）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323232"/>
                <w:kern w:val="0"/>
                <w:sz w:val="24"/>
                <w:szCs w:val="24"/>
                <w:u w:val="none"/>
                <w:lang w:val="en-US" w:eastAsia="zh-CN" w:bidi="ar"/>
              </w:rPr>
              <w:t>2</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石狮市交通和港口发展局在政策执行期间，每年4-5月通知水运企业进行政策申请，并在惠企平台上进行审核，组织政策申报的程序与惠企平台上的审批流程较为规范；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虽各项审批均按惠企平台规定进行，但根据《泉州市促进水路运输业发展专项资金管理规定》的通知（泉交财〔2021〕5号）规定，“涉及的专项资金实行年度申报，每年l月3l日前申报上年度的奖励资金”“市、县交通运输主管部门应于每年4月30日前完成审核”，石狮市在4-5月才组织政策申请，项目无法在4月30日前完成审核，项目的申报与审核时效均严重滞后于专项资金管理规定的要求节点。满分4分，扣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720" w:type="dxa"/>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产出</w:t>
            </w: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产出数量</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船舶增长数量</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新增船舶数量达到17艘以上，得满分，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完成率≥60%，指标得分=（实际完成值/目标值-60%）/（1-60%）×指标分值。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根据2022年水路运输企业新增船舶运力规模补助及贷款贴息奖励资金绩效目标表，2022年计划新增船舶数量17艘以上，当年度实际新增24艘，根据评分标准，该指标得5分。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水路运输企业规模发展情况</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水路运输业企业运力规模达到政策要求的应补尽补，得满分，否则，酌情扣分。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实施单位在提交的水运企业运力规模证明材料审核过程中，对符合政策要求的，实现应补尽补，该指标得满分。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船舶贷款贴息政策落实</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水路运输业企业新增船舶符合政策规定的，其贷款利息按照规定应补尽补，否则，酌情扣分。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实施单位在提交的水运企业新增船舶贷款贴息证明材料审核过程中，对符合政策要求的，实现应补尽补，该指标得满分。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产出质量</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奖励金发放准确性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水路运输机构奖励金额符合《泉州市人民政府关于修改&lt;泉州市人民政府关于进一步促进水路运输业发展的实施意见&gt;的通知》文件规定的标准，未出现多发、错发的情况，出现1次，扣1分。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评价小组查阅惠企平台上提交的政策申请材料，未发现多发、错发的情况，该指标得满分。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奖励金发放公平性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奖励对象、奖励标准发放的公平性，实现应发尽发、应补尽补，否则，酌情扣分。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石狮市水路运输业奖补政策实施过程中，奖励对象、奖励标准发放实现应发尽发、应补尽补，体现了公平性，该指标得3分。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船舶稳定性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已申领补助资金船舶迁出石狮市比例≤10%，得满分；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实际完成值/目标值≥120%，为不及格，不得分；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实际完成值/目标值≥100%，指标得分=（实际完成值/目标值-1）/20%×指标分值。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2"/>
                <w:szCs w:val="22"/>
                <w:u w:val="none"/>
                <w:lang w:val="en-US" w:eastAsia="zh-CN" w:bidi="ar"/>
              </w:rPr>
              <w:t>4</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根据《泉州市人民政府关于进一步促进水路运输业发展的实施意见》(泉政文〔2021〕15 号)规定，企业或所属船舶未满5年迁出本市的、在承诺经营期内出现低于已获奖励运力规模的，企业需全额退回已兑现的奖励资金。政策期间共有44艘船舶已申领水路运输业发展奖补政策资金，根据泉州市里反馈的信息，有8艘船舶未满5年迁出石狮市，其中5艘光租船舶，3艘船舶出售，虽光租船舶资产所有权未转移，但仍未达到政策要求，迁出比例达到18.18%，由于迁出船舶原受领的补助资金均已足额追回，该指标酌情扣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720"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产出时效</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资金发放及时性</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每笔资金均按照规定的时间节点发放奖励金则得满分，出现一次不及时（有特殊情况影响除外），扣1分。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泉州市促进水路运输业发展专项资金管理规定》的通知（泉交财〔2021〕5号）规定，“县（市、区）交通运输主管部门、财政部门按照属地政府的有关规定办理专项资金兑付，但应于每年5月30日前完成兑付”，评价小组查阅2022年资金支付时间，各项奖励金均晚于5月30日，且2022年有5笔船舶贷款贴息资金在2023年才支付。满分5分，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0" w:hRule="atLeast"/>
          <w:jc w:val="center"/>
        </w:trPr>
        <w:tc>
          <w:tcPr>
            <w:tcW w:w="7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成本指标</w:t>
            </w:r>
          </w:p>
        </w:tc>
        <w:tc>
          <w:tcPr>
            <w:tcW w:w="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经济成本指标</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迁出船舶补助资金追回率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迁出船舶补助资金追回率达到100%，得满分；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追回率＜60%，为不及格，不得分；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追回率≥60%，指标得分=（实际完成值/目标值-60%）/（1-60%）×指标分值。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迁出的8艘船舶已申领补助金已全额追回，该指标得满分。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720" w:type="dxa"/>
            <w:vMerge w:val="restart"/>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效益</w:t>
            </w: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经济效益</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固定资产投资增长率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水路运输企业固定资产投资增长率=（2022年新增固定资产投资额-2021年新增固定资产投资额）/2021年新增固定资产投资额*100%，超过石狮市2022年船舶数量增长率得满分，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完成率≥60%，指标得分=（实际完成值/目标值-60%）/（1-60%）×指标分值。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4.91</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0.09</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2021年石狮市水运业新增全市普通货船载重量43.31万吨，按照每载重吨3000元的船舶造价计算，2021年新增固定资产投资额12.99亿元；2022年新增全市普通货船载重量49.85万载重吨，新增固定资产投资额14.96亿元；固定资产投资增长率为15.11%，2022年石狮市船舶数量增长率为15.22%，故该指标得4.91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货运量增长率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货运量同比上年度有所增长，得满分，持平得50%分数，下降不得分。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2021年1-12月份石狮市全市水路完成货运量5437.48万吨；2022年1-12月份石狮市全市水路累计完成货运量6693.43万吨，同比增长23.10%。该指标得5分。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noWrap/>
            <w:vAlign w:val="center"/>
          </w:tcPr>
          <w:p>
            <w:pPr>
              <w:jc w:val="center"/>
              <w:rPr>
                <w:rFonts w:hint="eastAsia" w:ascii="仿宋" w:hAnsi="仿宋" w:eastAsia="仿宋" w:cs="仿宋"/>
                <w:sz w:val="24"/>
                <w:szCs w:val="24"/>
              </w:rPr>
            </w:pPr>
          </w:p>
        </w:tc>
        <w:tc>
          <w:tcPr>
            <w:tcW w:w="1307"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货运周转量增长率</w:t>
            </w:r>
          </w:p>
        </w:tc>
        <w:tc>
          <w:tcPr>
            <w:tcW w:w="4598" w:type="dxa"/>
            <w:shd w:val="clear" w:color="auto" w:fill="auto"/>
            <w:noWrap/>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货运周转量同比上年度有所增长，得满分，持平得50%分数，下降不得分。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货运周转量8712637.88万吨公里，2022年1-12月份货运周转量10813952.19万吨公里，比增24.12%。该指标得5分。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社会效益</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政策知晓率</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水运企业政策知晓率90%以上，得满分；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知晓率＜60%，为不及格，不得分；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知晓率≥60%，指标得分=（实际完成值/目标值-60%）/（1-60%）×指标分值。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根据问卷调查第1题“请问贵公司对促进水路运输业发展政策是否了解? ”，接受调查的34家企业全部表示了解该政策，政策知晓率达到100%，满分3分，得3分。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5"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vMerge w:val="continue"/>
            <w:shd w:val="clear" w:color="auto" w:fill="auto"/>
            <w:vAlign w:val="center"/>
          </w:tcPr>
          <w:p>
            <w:pPr>
              <w:jc w:val="center"/>
              <w:rPr>
                <w:rFonts w:hint="eastAsia" w:ascii="仿宋" w:hAnsi="仿宋" w:eastAsia="仿宋" w:cs="仿宋"/>
                <w:i w:val="0"/>
                <w:iCs w:val="0"/>
                <w:color w:val="auto"/>
                <w:sz w:val="24"/>
                <w:szCs w:val="24"/>
                <w:u w:val="none"/>
              </w:rPr>
            </w:pP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水路运输机构带动就业提升度</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增加就业机会200个以上，得满分；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完成率＜60%，为不及格，不得分；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完成率≥60%，指标得分=（实际完成值/目标值-60%）/（1-60%）×指标分值。</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2022年水路运输企业新增船舶运力规模补助及贷款贴息奖励资金绩效目标表显示，预计2022年实施该政策增加就业机会200个以上，2022年底石狮市水路运输企业总数38家，问卷调查收回34份有效问卷，根据问卷第9题“近年来，贵公司在促进水路运输业发展政策的带动下增加相关就业岗位数量？”，有6家企业表示增加20个以上岗位，有4家企业表示增加10-20个岗位，有5家企业表示增加5-10个岗位，有6家企业表示增加岗位数5个以下，还有13家企业表示没有变化。</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可以看出，接受调查的34家企业在该政策的带动下所增加的岗位数已超过200个。该指标得满分。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jc w:val="center"/>
        </w:trPr>
        <w:tc>
          <w:tcPr>
            <w:tcW w:w="720" w:type="dxa"/>
            <w:vMerge w:val="continue"/>
            <w:shd w:val="clear" w:color="auto" w:fill="auto"/>
            <w:noWrap/>
            <w:vAlign w:val="center"/>
          </w:tcPr>
          <w:p>
            <w:pPr>
              <w:jc w:val="center"/>
              <w:rPr>
                <w:rFonts w:hint="eastAsia" w:ascii="仿宋" w:hAnsi="仿宋" w:eastAsia="仿宋" w:cs="仿宋"/>
                <w:i w:val="0"/>
                <w:iCs w:val="0"/>
                <w:color w:val="auto"/>
                <w:sz w:val="24"/>
                <w:szCs w:val="24"/>
                <w:u w:val="none"/>
              </w:rPr>
            </w:pPr>
          </w:p>
        </w:tc>
        <w:tc>
          <w:tcPr>
            <w:tcW w:w="7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生态效益</w:t>
            </w:r>
          </w:p>
        </w:tc>
        <w:tc>
          <w:tcPr>
            <w:tcW w:w="130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政策促进节能减排</w:t>
            </w:r>
          </w:p>
        </w:tc>
        <w:tc>
          <w:tcPr>
            <w:tcW w:w="4598"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申请贷款贴息的新增船舶符合交通运输部公布的节能减排标准，具备海上船舶防污底系统证书、防止生活污水污染证书、海上船舶防止油污证书得满分；出现1艘船舶不符合标准，扣1分，扣完为止。</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根据《泉州市人民政府关于进一步促进水路运输业发展的实施意见》(泉政文〔2021〕15 号)规定，申请船舶贷款贴息的新增船舶应符合交通运输部公布的节能减排标准，评价小组查看2022年领取船舶贷款贴息的企业提交的相关资料，均符合标准。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20" w:type="dxa"/>
            <w:shd w:val="clear" w:color="auto" w:fill="auto"/>
            <w:noWrap/>
            <w:vAlign w:val="center"/>
          </w:tcPr>
          <w:p>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满意度</w:t>
            </w:r>
          </w:p>
        </w:tc>
        <w:tc>
          <w:tcPr>
            <w:tcW w:w="75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满意度</w:t>
            </w:r>
          </w:p>
        </w:tc>
        <w:tc>
          <w:tcPr>
            <w:tcW w:w="1307"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政策满意度</w:t>
            </w:r>
          </w:p>
        </w:tc>
        <w:tc>
          <w:tcPr>
            <w:tcW w:w="4598" w:type="dxa"/>
            <w:shd w:val="clear" w:color="auto" w:fill="auto"/>
            <w:noWrap/>
            <w:vAlign w:val="center"/>
          </w:tcPr>
          <w:p>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满意度≥90%，得满分；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90%＞满意度≥80%，得分80%；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80%＞满意度≥60%，得分50%；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满意度≤60%，得0分</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0</w:t>
            </w:r>
          </w:p>
        </w:tc>
        <w:tc>
          <w:tcPr>
            <w:tcW w:w="5239" w:type="dxa"/>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auto"/>
                <w:sz w:val="24"/>
                <w:szCs w:val="24"/>
                <w:u w:val="none"/>
              </w:rPr>
            </w:pPr>
            <w:r>
              <w:rPr>
                <w:rFonts w:hint="eastAsia" w:ascii="仿宋" w:hAnsi="仿宋" w:eastAsia="仿宋" w:cs="仿宋"/>
                <w:i w:val="0"/>
                <w:iCs w:val="0"/>
                <w:color w:val="000000"/>
                <w:kern w:val="0"/>
                <w:sz w:val="24"/>
                <w:szCs w:val="24"/>
                <w:u w:val="none"/>
                <w:lang w:val="en-US" w:eastAsia="zh-CN" w:bidi="ar"/>
              </w:rPr>
              <w:t>根据问卷调查第11题“贵公司对促进水路运输业发展实施意见的综合评价？”，接受调查的34家企业，有25家企业表示非常满意，9家企业表示比较满意，满意度达到100%，该指标得5分。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380" w:type="dxa"/>
            <w:gridSpan w:val="4"/>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合计</w:t>
            </w:r>
          </w:p>
        </w:tc>
        <w:tc>
          <w:tcPr>
            <w:tcW w:w="76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100</w:t>
            </w:r>
          </w:p>
        </w:tc>
        <w:tc>
          <w:tcPr>
            <w:tcW w:w="84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80.91</w:t>
            </w:r>
          </w:p>
        </w:tc>
        <w:tc>
          <w:tcPr>
            <w:tcW w:w="819"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19.09</w:t>
            </w:r>
          </w:p>
        </w:tc>
        <w:tc>
          <w:tcPr>
            <w:tcW w:w="5239" w:type="dxa"/>
            <w:shd w:val="clear" w:color="auto" w:fill="auto"/>
            <w:vAlign w:val="center"/>
          </w:tcPr>
          <w:p>
            <w:pPr>
              <w:rPr>
                <w:rFonts w:hint="eastAsia" w:ascii="仿宋" w:hAnsi="仿宋" w:eastAsia="仿宋" w:cs="仿宋"/>
                <w:i w:val="0"/>
                <w:iCs w:val="0"/>
                <w:color w:val="000000"/>
                <w:kern w:val="0"/>
                <w:sz w:val="24"/>
                <w:szCs w:val="24"/>
                <w:u w:val="none"/>
                <w:lang w:val="en-US" w:eastAsia="zh-CN" w:bidi="ar"/>
              </w:rPr>
            </w:pPr>
          </w:p>
        </w:tc>
      </w:tr>
    </w:tbl>
    <w:p>
      <w:pPr>
        <w:keepLines w:val="0"/>
        <w:pageBreakBefore w:val="0"/>
        <w:widowControl w:val="0"/>
        <w:kinsoku/>
        <w:wordWrap/>
        <w:overflowPunct/>
        <w:topLinePunct w:val="0"/>
        <w:autoSpaceDE/>
        <w:autoSpaceDN/>
        <w:bidi w:val="0"/>
        <w:adjustRightInd/>
        <w:snapToGrid/>
        <w:spacing w:line="240" w:lineRule="auto"/>
        <w:ind w:left="0" w:leftChars="0"/>
        <w:outlineLvl w:val="9"/>
        <w:rPr>
          <w:rFonts w:hint="eastAsia" w:ascii="仿宋" w:hAnsi="仿宋" w:eastAsia="仿宋" w:cs="仿宋"/>
          <w:b/>
          <w:color w:val="auto"/>
          <w:sz w:val="28"/>
          <w:szCs w:val="28"/>
          <w:lang w:val="en-US" w:eastAsia="zh-CN"/>
        </w:rPr>
        <w:sectPr>
          <w:headerReference r:id="rId7" w:type="default"/>
          <w:pgSz w:w="16838" w:h="11906" w:orient="landscape"/>
          <w:pgMar w:top="1587" w:right="1417" w:bottom="1474" w:left="1417"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outlineLvl w:val="0"/>
        <w:rPr>
          <w:rFonts w:hint="eastAsia" w:ascii="黑体" w:hAnsi="黑体" w:eastAsia="黑体" w:cs="黑体"/>
          <w:b/>
          <w:color w:val="auto"/>
          <w:sz w:val="28"/>
          <w:szCs w:val="28"/>
        </w:rPr>
      </w:pPr>
      <w:bookmarkStart w:id="97" w:name="_Toc5813"/>
      <w:bookmarkStart w:id="98" w:name="_Toc10876"/>
      <w:r>
        <w:rPr>
          <w:rFonts w:hint="eastAsia" w:ascii="黑体" w:hAnsi="黑体" w:eastAsia="黑体" w:cs="黑体"/>
          <w:b/>
          <w:color w:val="auto"/>
          <w:sz w:val="28"/>
          <w:szCs w:val="28"/>
          <w:lang w:val="en-US" w:eastAsia="zh-CN"/>
        </w:rPr>
        <w:t>五</w:t>
      </w:r>
      <w:r>
        <w:rPr>
          <w:rFonts w:hint="eastAsia" w:ascii="黑体" w:hAnsi="黑体" w:eastAsia="黑体" w:cs="黑体"/>
          <w:b/>
          <w:color w:val="auto"/>
          <w:sz w:val="28"/>
          <w:szCs w:val="28"/>
        </w:rPr>
        <w:t>、绩效评价</w:t>
      </w:r>
      <w:r>
        <w:rPr>
          <w:rFonts w:hint="eastAsia" w:ascii="黑体" w:hAnsi="黑体" w:eastAsia="黑体" w:cs="黑体"/>
          <w:b/>
          <w:color w:val="auto"/>
          <w:sz w:val="28"/>
          <w:szCs w:val="28"/>
          <w:lang w:val="en-US" w:eastAsia="zh-CN"/>
        </w:rPr>
        <w:t>指标</w:t>
      </w:r>
      <w:r>
        <w:rPr>
          <w:rFonts w:hint="eastAsia" w:ascii="黑体" w:hAnsi="黑体" w:eastAsia="黑体" w:cs="黑体"/>
          <w:b/>
          <w:color w:val="auto"/>
          <w:sz w:val="28"/>
          <w:szCs w:val="28"/>
        </w:rPr>
        <w:t>分析</w:t>
      </w:r>
      <w:bookmarkEnd w:id="96"/>
      <w:bookmarkEnd w:id="97"/>
      <w:bookmarkEnd w:id="98"/>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0" w:firstLineChars="200"/>
        <w:outlineLvl w:val="1"/>
        <w:rPr>
          <w:rFonts w:hint="default" w:ascii="仿宋" w:hAnsi="仿宋" w:eastAsia="仿宋" w:cs="仿宋"/>
          <w:b w:val="0"/>
          <w:bCs/>
          <w:color w:val="auto"/>
          <w:sz w:val="28"/>
          <w:szCs w:val="28"/>
          <w:lang w:val="en-US" w:eastAsia="zh-CN"/>
        </w:rPr>
      </w:pPr>
      <w:bookmarkStart w:id="99" w:name="_Toc14271"/>
      <w:bookmarkStart w:id="100" w:name="_Toc547"/>
      <w:bookmarkStart w:id="101" w:name="_Toc23311"/>
      <w:bookmarkStart w:id="102" w:name="_Toc10677"/>
      <w:bookmarkStart w:id="103" w:name="_Toc25657"/>
      <w:bookmarkStart w:id="104" w:name="_Toc20058"/>
      <w:bookmarkStart w:id="105" w:name="_Toc9494"/>
      <w:bookmarkStart w:id="106" w:name="_Toc24408"/>
      <w:r>
        <w:rPr>
          <w:rFonts w:hint="eastAsia" w:ascii="仿宋" w:hAnsi="仿宋" w:eastAsia="仿宋" w:cs="仿宋"/>
          <w:b w:val="0"/>
          <w:bCs/>
          <w:color w:val="auto"/>
          <w:sz w:val="28"/>
          <w:szCs w:val="28"/>
          <w:lang w:val="en-US" w:eastAsia="zh-CN"/>
        </w:rPr>
        <w:t>本次绩效评价综合得分为80.91分</w:t>
      </w:r>
      <w:bookmarkEnd w:id="99"/>
      <w:bookmarkEnd w:id="100"/>
      <w:bookmarkEnd w:id="101"/>
      <w:bookmarkEnd w:id="102"/>
      <w:r>
        <w:rPr>
          <w:rFonts w:hint="eastAsia" w:ascii="仿宋" w:hAnsi="仿宋" w:eastAsia="仿宋" w:cs="仿宋"/>
          <w:b w:val="0"/>
          <w:bCs/>
          <w:color w:val="auto"/>
          <w:sz w:val="28"/>
          <w:szCs w:val="28"/>
          <w:lang w:val="en-US" w:eastAsia="zh-CN"/>
        </w:rPr>
        <w:t>，评价等级为“良”。</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lang w:val="en-US" w:eastAsia="zh-CN"/>
        </w:rPr>
      </w:pPr>
      <w:r>
        <w:rPr>
          <w:rFonts w:hint="eastAsia" w:ascii="仿宋" w:hAnsi="仿宋" w:eastAsia="仿宋" w:cs="仿宋"/>
          <w:b/>
          <w:bCs/>
          <w:color w:val="auto"/>
          <w:sz w:val="28"/>
          <w:szCs w:val="28"/>
          <w:lang w:val="en-US" w:eastAsia="zh-CN"/>
        </w:rPr>
        <w:t>表2：202</w:t>
      </w:r>
      <w:r>
        <w:rPr>
          <w:rFonts w:hint="eastAsia" w:ascii="仿宋" w:hAnsi="仿宋" w:eastAsia="仿宋" w:cs="仿宋"/>
          <w:b/>
          <w:bCs/>
          <w:color w:val="auto"/>
          <w:sz w:val="28"/>
          <w:szCs w:val="28"/>
          <w:lang w:eastAsia="zh-CN"/>
        </w:rPr>
        <w:t>2年度石狮市水路运输业补贴资金</w:t>
      </w:r>
      <w:r>
        <w:rPr>
          <w:rFonts w:hint="eastAsia" w:ascii="仿宋" w:hAnsi="仿宋" w:eastAsia="仿宋" w:cs="仿宋"/>
          <w:b/>
          <w:bCs/>
          <w:color w:val="auto"/>
          <w:sz w:val="28"/>
          <w:szCs w:val="28"/>
        </w:rPr>
        <w:t>绩效评价</w:t>
      </w:r>
      <w:r>
        <w:rPr>
          <w:rFonts w:hint="eastAsia" w:ascii="仿宋" w:hAnsi="仿宋" w:eastAsia="仿宋" w:cs="仿宋"/>
          <w:b/>
          <w:bCs/>
          <w:color w:val="auto"/>
          <w:sz w:val="28"/>
          <w:szCs w:val="28"/>
          <w:lang w:val="en-US" w:eastAsia="zh-CN"/>
        </w:rPr>
        <w:t>体系得分情况表</w:t>
      </w:r>
    </w:p>
    <w:tbl>
      <w:tblPr>
        <w:tblStyle w:val="18"/>
        <w:tblW w:w="6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05"/>
        <w:gridCol w:w="1605"/>
        <w:gridCol w:w="1605"/>
        <w:gridCol w:w="16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一级指标</w:t>
            </w:r>
          </w:p>
        </w:tc>
        <w:tc>
          <w:tcPr>
            <w:tcW w:w="16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分值</w:t>
            </w:r>
          </w:p>
        </w:tc>
        <w:tc>
          <w:tcPr>
            <w:tcW w:w="16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得分</w:t>
            </w:r>
          </w:p>
        </w:tc>
        <w:tc>
          <w:tcPr>
            <w:tcW w:w="160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占比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决策　</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19</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78.95%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过程</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19</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产出</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29</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68.97%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成本</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4</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效益</w:t>
            </w:r>
          </w:p>
        </w:tc>
        <w:tc>
          <w:tcPr>
            <w:tcW w:w="16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24</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23.91</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99.63%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满意度</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i w:val="0"/>
                <w:iCs w:val="0"/>
                <w:color w:val="323232"/>
                <w:kern w:val="0"/>
                <w:sz w:val="24"/>
                <w:szCs w:val="24"/>
                <w:u w:val="none"/>
                <w:lang w:val="en-US" w:eastAsia="zh-CN" w:bidi="ar"/>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合计</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100</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80.91</w:t>
            </w:r>
          </w:p>
        </w:tc>
        <w:tc>
          <w:tcPr>
            <w:tcW w:w="1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80.91%</w:t>
            </w:r>
          </w:p>
        </w:tc>
      </w:tr>
      <w:bookmarkEnd w:id="103"/>
      <w:bookmarkEnd w:id="104"/>
      <w:bookmarkEnd w:id="105"/>
    </w:tbl>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outlineLvl w:val="1"/>
        <w:rPr>
          <w:rFonts w:hint="eastAsia" w:ascii="楷体" w:hAnsi="楷体" w:eastAsia="楷体" w:cs="楷体"/>
          <w:b/>
          <w:bCs w:val="0"/>
          <w:color w:val="auto"/>
          <w:sz w:val="28"/>
          <w:szCs w:val="28"/>
          <w:lang w:val="en-US" w:eastAsia="zh-CN"/>
        </w:rPr>
      </w:pPr>
      <w:bookmarkStart w:id="107" w:name="_Toc26639"/>
      <w:bookmarkStart w:id="108" w:name="_Toc11351"/>
      <w:r>
        <w:rPr>
          <w:rFonts w:hint="eastAsia" w:ascii="楷体" w:hAnsi="楷体" w:eastAsia="楷体" w:cs="楷体"/>
          <w:b/>
          <w:bCs w:val="0"/>
          <w:color w:val="auto"/>
          <w:sz w:val="28"/>
          <w:szCs w:val="28"/>
        </w:rPr>
        <w:t>（一）</w:t>
      </w:r>
      <w:bookmarkEnd w:id="106"/>
      <w:r>
        <w:rPr>
          <w:rFonts w:hint="eastAsia" w:ascii="楷体" w:hAnsi="楷体" w:eastAsia="楷体" w:cs="楷体"/>
          <w:b/>
          <w:bCs w:val="0"/>
          <w:color w:val="auto"/>
          <w:sz w:val="28"/>
          <w:szCs w:val="28"/>
          <w:lang w:val="en-US" w:eastAsia="zh-CN"/>
        </w:rPr>
        <w:t>项目决策情况</w:t>
      </w:r>
      <w:bookmarkEnd w:id="107"/>
      <w:bookmarkEnd w:id="108"/>
    </w:p>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表3：项目决策得分情况</w:t>
      </w:r>
    </w:p>
    <w:tbl>
      <w:tblPr>
        <w:tblStyle w:val="18"/>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1426"/>
        <w:gridCol w:w="2058"/>
        <w:gridCol w:w="1742"/>
        <w:gridCol w:w="1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91" w:hRule="atLeast"/>
          <w:tblHeader/>
          <w:jc w:val="center"/>
        </w:trPr>
        <w:tc>
          <w:tcPr>
            <w:tcW w:w="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一级指标</w:t>
            </w:r>
          </w:p>
        </w:tc>
        <w:tc>
          <w:tcPr>
            <w:tcW w:w="14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二级指标</w:t>
            </w:r>
          </w:p>
        </w:tc>
        <w:tc>
          <w:tcPr>
            <w:tcW w:w="20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三级指标</w:t>
            </w:r>
          </w:p>
        </w:tc>
        <w:tc>
          <w:tcPr>
            <w:tcW w:w="174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分值</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决策　</w:t>
            </w:r>
          </w:p>
        </w:tc>
        <w:tc>
          <w:tcPr>
            <w:tcW w:w="14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项目立项　</w:t>
            </w:r>
          </w:p>
        </w:tc>
        <w:tc>
          <w:tcPr>
            <w:tcW w:w="2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立项依据充分性</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立项程序规范性</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绩效目标　</w:t>
            </w:r>
          </w:p>
        </w:tc>
        <w:tc>
          <w:tcPr>
            <w:tcW w:w="2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绩效目标合理性</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2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绩效指标明确性</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1"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资金投入</w:t>
            </w:r>
          </w:p>
        </w:tc>
        <w:tc>
          <w:tcPr>
            <w:tcW w:w="20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预算编制科学性</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3" w:hRule="atLeast"/>
          <w:jc w:val="center"/>
        </w:trPr>
        <w:tc>
          <w:tcPr>
            <w:tcW w:w="4401"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合计</w:t>
            </w:r>
          </w:p>
        </w:tc>
        <w:tc>
          <w:tcPr>
            <w:tcW w:w="174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19</w:t>
            </w:r>
          </w:p>
        </w:tc>
        <w:tc>
          <w:tcPr>
            <w:tcW w:w="189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15</w:t>
            </w:r>
          </w:p>
        </w:tc>
      </w:tr>
    </w:tbl>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eastAsia" w:ascii="仿宋" w:hAnsi="仿宋" w:eastAsia="仿宋" w:cs="仿宋"/>
          <w:b/>
          <w:bCs/>
          <w:color w:val="auto"/>
          <w:sz w:val="24"/>
          <w:szCs w:val="24"/>
          <w:lang w:val="en-US" w:eastAsia="zh-CN"/>
        </w:rPr>
      </w:pPr>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sz w:val="28"/>
          <w:szCs w:val="28"/>
        </w:rPr>
      </w:pPr>
      <w:bookmarkStart w:id="109" w:name="_Toc5185"/>
      <w:bookmarkStart w:id="110" w:name="_Toc6173"/>
      <w:bookmarkStart w:id="111" w:name="_Toc18995"/>
      <w:bookmarkStart w:id="112" w:name="_Toc5088"/>
      <w:bookmarkStart w:id="113" w:name="_Toc23713"/>
      <w:bookmarkStart w:id="114" w:name="_Toc18112"/>
      <w:bookmarkStart w:id="115" w:name="_Toc20203"/>
      <w:bookmarkStart w:id="116" w:name="_Toc18648"/>
      <w:r>
        <w:rPr>
          <w:rFonts w:hint="eastAsia" w:ascii="仿宋" w:hAnsi="仿宋" w:eastAsia="仿宋" w:cs="仿宋"/>
          <w:color w:val="auto"/>
          <w:sz w:val="28"/>
          <w:szCs w:val="28"/>
        </w:rPr>
        <w:t>1.项目立项分析</w:t>
      </w:r>
      <w:bookmarkEnd w:id="109"/>
      <w:bookmarkEnd w:id="110"/>
      <w:bookmarkEnd w:id="111"/>
      <w:bookmarkEnd w:id="112"/>
      <w:bookmarkEnd w:id="113"/>
      <w:bookmarkEnd w:id="114"/>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default" w:ascii="仿宋" w:hAnsi="仿宋" w:eastAsia="仿宋" w:cs="仿宋"/>
          <w:b w:val="0"/>
          <w:color w:val="auto"/>
          <w:kern w:val="2"/>
          <w:sz w:val="28"/>
          <w:szCs w:val="28"/>
          <w:lang w:val="en-US" w:eastAsia="zh-CN" w:bidi="ar-SA"/>
        </w:rPr>
      </w:pPr>
      <w:bookmarkStart w:id="117" w:name="_Toc19480"/>
      <w:bookmarkStart w:id="118" w:name="_Toc1273"/>
      <w:bookmarkStart w:id="119" w:name="_Toc28039"/>
      <w:bookmarkStart w:id="120" w:name="_Toc24430"/>
      <w:bookmarkStart w:id="121" w:name="_Toc15722"/>
      <w:bookmarkStart w:id="122" w:name="_Toc4076"/>
      <w:bookmarkStart w:id="123" w:name="_Toc16610"/>
      <w:bookmarkStart w:id="124" w:name="_Toc22956"/>
      <w:bookmarkStart w:id="125" w:name="_Toc5411"/>
      <w:r>
        <w:rPr>
          <w:rFonts w:hint="eastAsia" w:ascii="仿宋" w:hAnsi="仿宋" w:eastAsia="仿宋" w:cs="仿宋"/>
          <w:b w:val="0"/>
          <w:color w:val="auto"/>
          <w:kern w:val="2"/>
          <w:sz w:val="28"/>
          <w:szCs w:val="28"/>
          <w:lang w:val="en-US" w:eastAsia="zh-CN" w:bidi="ar-SA"/>
        </w:rPr>
        <w:t>（1）立项依据充分性</w:t>
      </w:r>
      <w:bookmarkEnd w:id="117"/>
      <w:bookmarkEnd w:id="118"/>
      <w:bookmarkEnd w:id="119"/>
      <w:bookmarkEnd w:id="120"/>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color w:val="auto"/>
          <w:kern w:val="2"/>
          <w:sz w:val="28"/>
          <w:szCs w:val="28"/>
          <w:lang w:val="en-US" w:eastAsia="zh-CN" w:bidi="ar-SA"/>
        </w:rPr>
      </w:pPr>
      <w:bookmarkStart w:id="126" w:name="_Toc15092"/>
      <w:bookmarkStart w:id="127" w:name="_Toc4469"/>
      <w:bookmarkStart w:id="128" w:name="_Toc17195"/>
      <w:bookmarkStart w:id="129" w:name="_Toc31478"/>
      <w:r>
        <w:rPr>
          <w:rFonts w:hint="eastAsia" w:ascii="仿宋" w:hAnsi="仿宋" w:eastAsia="仿宋" w:cs="仿宋"/>
          <w:b w:val="0"/>
          <w:color w:val="auto"/>
          <w:kern w:val="2"/>
          <w:sz w:val="28"/>
          <w:szCs w:val="28"/>
          <w:lang w:val="en-US" w:eastAsia="zh-CN" w:bidi="ar-SA"/>
        </w:rPr>
        <w:t>根据《水运“十四五”发展规划》提出的要优化船舶运力结构、引导船舶运力有序发展及泉州市“十四五”现代综合交通运输体系专项规划的第八章第一节，绿色交通建设中提出的要着力优化泉州运输结构，扩大铁路、水路的货运比例，发展大宗货物铁水运输，充分发挥铁路与水路运输低排放的优势可知，本政策的实施符合国家水运规划及泉州市交通运输体系发展规划；水运企业的奖补措施与石狮市交通和港口发展局职责范围相符，属于部门履职所需；且属于公共财政支持范围，对石狮市水运企业的奖补由石狮市水运主管部门支持，符合中央、地方事权支出责任划分原则；评价过程中未发现项目与相关部门同类项目相关项目重复。</w:t>
      </w:r>
      <w:bookmarkEnd w:id="126"/>
      <w:bookmarkEnd w:id="127"/>
      <w:bookmarkStart w:id="130" w:name="_Toc36"/>
      <w:bookmarkStart w:id="131" w:name="_Toc1738"/>
      <w:r>
        <w:rPr>
          <w:rFonts w:hint="eastAsia" w:ascii="仿宋" w:hAnsi="仿宋" w:eastAsia="仿宋" w:cs="仿宋"/>
          <w:b w:val="0"/>
          <w:bCs/>
          <w:color w:val="auto"/>
          <w:sz w:val="28"/>
          <w:szCs w:val="28"/>
        </w:rPr>
        <w:t>满分</w:t>
      </w:r>
      <w:r>
        <w:rPr>
          <w:rFonts w:hint="eastAsia" w:ascii="仿宋" w:hAnsi="仿宋" w:eastAsia="仿宋" w:cs="仿宋"/>
          <w:b w:val="0"/>
          <w:bCs/>
          <w:color w:val="auto"/>
          <w:sz w:val="28"/>
          <w:szCs w:val="28"/>
          <w:lang w:val="en-US" w:eastAsia="zh-CN"/>
        </w:rPr>
        <w:t>5</w:t>
      </w:r>
      <w:r>
        <w:rPr>
          <w:rFonts w:hint="eastAsia" w:ascii="仿宋" w:hAnsi="仿宋" w:eastAsia="仿宋" w:cs="仿宋"/>
          <w:b w:val="0"/>
          <w:bCs/>
          <w:color w:val="auto"/>
          <w:sz w:val="28"/>
          <w:szCs w:val="28"/>
        </w:rPr>
        <w:t>分</w:t>
      </w:r>
      <w:r>
        <w:rPr>
          <w:rFonts w:hint="eastAsia" w:ascii="仿宋" w:hAnsi="仿宋" w:eastAsia="仿宋" w:cs="仿宋"/>
          <w:b w:val="0"/>
          <w:bCs/>
          <w:color w:val="auto"/>
          <w:sz w:val="28"/>
          <w:szCs w:val="28"/>
          <w:lang w:val="en-US" w:eastAsia="zh-CN"/>
        </w:rPr>
        <w:t>,</w:t>
      </w:r>
      <w:r>
        <w:rPr>
          <w:rFonts w:hint="eastAsia" w:ascii="仿宋" w:hAnsi="仿宋" w:eastAsia="仿宋" w:cs="仿宋"/>
          <w:b w:val="0"/>
          <w:color w:val="auto"/>
          <w:kern w:val="2"/>
          <w:sz w:val="28"/>
          <w:szCs w:val="28"/>
          <w:lang w:val="en-US" w:eastAsia="zh-CN" w:bidi="ar-SA"/>
        </w:rPr>
        <w:t>得5分。</w:t>
      </w:r>
      <w:bookmarkEnd w:id="128"/>
      <w:bookmarkEnd w:id="129"/>
      <w:bookmarkEnd w:id="130"/>
      <w:bookmarkEnd w:id="131"/>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color w:val="auto"/>
          <w:kern w:val="2"/>
          <w:sz w:val="28"/>
          <w:szCs w:val="28"/>
          <w:lang w:val="en-US" w:eastAsia="zh-CN" w:bidi="ar-SA"/>
        </w:rPr>
      </w:pPr>
      <w:bookmarkStart w:id="132" w:name="_Toc17567"/>
      <w:bookmarkStart w:id="133" w:name="_Toc26296"/>
      <w:bookmarkStart w:id="134" w:name="_Toc2146"/>
      <w:bookmarkStart w:id="135" w:name="_Toc20294"/>
      <w:r>
        <w:rPr>
          <w:rFonts w:hint="eastAsia" w:ascii="仿宋" w:hAnsi="仿宋" w:eastAsia="仿宋" w:cs="仿宋"/>
          <w:b w:val="0"/>
          <w:color w:val="auto"/>
          <w:kern w:val="2"/>
          <w:sz w:val="28"/>
          <w:szCs w:val="28"/>
          <w:lang w:val="en-US" w:eastAsia="zh-CN" w:bidi="ar-SA"/>
        </w:rPr>
        <w:t>（2）立项程序规范性</w:t>
      </w:r>
      <w:bookmarkEnd w:id="132"/>
      <w:bookmarkEnd w:id="133"/>
      <w:bookmarkEnd w:id="134"/>
      <w:bookmarkEnd w:id="135"/>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color w:val="auto"/>
          <w:kern w:val="2"/>
          <w:sz w:val="28"/>
          <w:szCs w:val="28"/>
          <w:lang w:val="en-US" w:eastAsia="zh-CN" w:bidi="ar-SA"/>
        </w:rPr>
      </w:pPr>
      <w:bookmarkStart w:id="136" w:name="_Toc30386"/>
      <w:bookmarkStart w:id="137" w:name="_Toc11796"/>
      <w:bookmarkStart w:id="138" w:name="_Toc7332"/>
      <w:bookmarkStart w:id="139" w:name="_Toc3650"/>
      <w:r>
        <w:rPr>
          <w:rFonts w:hint="eastAsia" w:ascii="仿宋" w:hAnsi="仿宋" w:eastAsia="仿宋" w:cs="仿宋"/>
          <w:b w:val="0"/>
          <w:color w:val="auto"/>
          <w:kern w:val="2"/>
          <w:sz w:val="28"/>
          <w:szCs w:val="28"/>
          <w:lang w:val="en-US" w:eastAsia="zh-CN" w:bidi="ar-SA"/>
        </w:rPr>
        <w:t>石狮市促进水路运输业发展的奖补政策参照泉州市人民政府关于修改《泉州市人民政府关于进一步促进水路运输业发展的实施意见》的通知（泉政文〔2021〕15号）实施，本意见中所指水路运输企业系在泉州市〔含各县（市、区）〕注册、纳税且经营资质符合法律法规要求的企业，故评价认为立项程序规范，</w:t>
      </w:r>
      <w:r>
        <w:rPr>
          <w:rFonts w:hint="eastAsia" w:ascii="仿宋" w:hAnsi="仿宋" w:eastAsia="仿宋" w:cs="仿宋"/>
          <w:b w:val="0"/>
          <w:bCs/>
          <w:color w:val="auto"/>
          <w:sz w:val="28"/>
          <w:szCs w:val="28"/>
        </w:rPr>
        <w:t>满分3分</w:t>
      </w:r>
      <w:r>
        <w:rPr>
          <w:rFonts w:hint="eastAsia" w:ascii="仿宋" w:hAnsi="仿宋" w:eastAsia="仿宋" w:cs="仿宋"/>
          <w:b w:val="0"/>
          <w:bCs/>
          <w:color w:val="auto"/>
          <w:sz w:val="28"/>
          <w:szCs w:val="28"/>
          <w:lang w:val="en-US" w:eastAsia="zh-CN"/>
        </w:rPr>
        <w:t>,</w:t>
      </w:r>
      <w:r>
        <w:rPr>
          <w:rFonts w:hint="eastAsia" w:ascii="仿宋" w:hAnsi="仿宋" w:eastAsia="仿宋" w:cs="仿宋"/>
          <w:b w:val="0"/>
          <w:color w:val="auto"/>
          <w:kern w:val="2"/>
          <w:sz w:val="28"/>
          <w:szCs w:val="28"/>
          <w:lang w:val="en-US" w:eastAsia="zh-CN" w:bidi="ar-SA"/>
        </w:rPr>
        <w:t>得3分。</w:t>
      </w:r>
      <w:bookmarkEnd w:id="136"/>
      <w:bookmarkEnd w:id="137"/>
      <w:bookmarkEnd w:id="138"/>
      <w:bookmarkEnd w:id="139"/>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sz w:val="28"/>
          <w:szCs w:val="28"/>
        </w:rPr>
      </w:pPr>
      <w:bookmarkStart w:id="140" w:name="_Toc19002"/>
      <w:r>
        <w:rPr>
          <w:rFonts w:hint="eastAsia" w:ascii="仿宋" w:hAnsi="仿宋" w:eastAsia="仿宋" w:cs="仿宋"/>
          <w:color w:val="auto"/>
          <w:sz w:val="28"/>
          <w:szCs w:val="28"/>
        </w:rPr>
        <w:t>2.绩效目标分析</w:t>
      </w:r>
      <w:bookmarkEnd w:id="121"/>
      <w:bookmarkEnd w:id="122"/>
      <w:bookmarkEnd w:id="123"/>
      <w:bookmarkEnd w:id="124"/>
      <w:bookmarkEnd w:id="125"/>
      <w:bookmarkEnd w:id="140"/>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eastAsia" w:ascii="仿宋" w:hAnsi="仿宋" w:eastAsia="仿宋" w:cs="仿宋"/>
          <w:b w:val="0"/>
          <w:bCs/>
          <w:color w:val="auto"/>
          <w:sz w:val="28"/>
          <w:szCs w:val="28"/>
        </w:rPr>
      </w:pPr>
      <w:bookmarkStart w:id="141" w:name="_Toc25240"/>
      <w:bookmarkStart w:id="142" w:name="_Toc7570"/>
      <w:bookmarkStart w:id="143" w:name="_Toc15320"/>
      <w:bookmarkStart w:id="144" w:name="_Toc23816"/>
      <w:bookmarkStart w:id="145" w:name="_Toc6980"/>
      <w:bookmarkStart w:id="146" w:name="_Toc5241"/>
      <w:bookmarkStart w:id="147" w:name="_Toc13790"/>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sz w:val="28"/>
          <w:szCs w:val="28"/>
          <w:lang w:val="en-US" w:eastAsia="zh-CN"/>
        </w:rPr>
        <w:t>1</w:t>
      </w:r>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sz w:val="28"/>
          <w:szCs w:val="28"/>
        </w:rPr>
        <w:t>绩效目标合理性</w:t>
      </w:r>
      <w:bookmarkEnd w:id="141"/>
      <w:bookmarkEnd w:id="142"/>
      <w:bookmarkEnd w:id="143"/>
      <w:bookmarkEnd w:id="144"/>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eastAsia" w:ascii="仿宋" w:hAnsi="仿宋" w:eastAsia="仿宋" w:cs="仿宋"/>
          <w:b w:val="0"/>
          <w:bCs/>
          <w:color w:val="auto"/>
          <w:sz w:val="28"/>
          <w:szCs w:val="28"/>
        </w:rPr>
      </w:pPr>
      <w:bookmarkStart w:id="148" w:name="_Toc11013"/>
      <w:bookmarkStart w:id="149" w:name="_Toc21898"/>
      <w:bookmarkStart w:id="150" w:name="_Toc31768"/>
      <w:bookmarkStart w:id="151" w:name="_Toc1148"/>
      <w:r>
        <w:rPr>
          <w:rFonts w:hint="eastAsia" w:ascii="仿宋" w:hAnsi="仿宋" w:eastAsia="仿宋" w:cs="仿宋"/>
          <w:b w:val="0"/>
          <w:bCs/>
          <w:color w:val="auto"/>
          <w:sz w:val="28"/>
          <w:szCs w:val="28"/>
        </w:rPr>
        <w:t>本项目总体绩效目标为促进石狮市水路运输业持续健康发展，绩效目标与实际政策奖补内容相关，但绩效目标未体现项目预期产出效益，绩效目标过于简单、笼统，无法判断是否与预算确定的资金量相匹配，指标满分</w:t>
      </w:r>
      <w:r>
        <w:rPr>
          <w:rFonts w:hint="eastAsia" w:ascii="仿宋" w:hAnsi="仿宋" w:eastAsia="仿宋" w:cs="仿宋"/>
          <w:b w:val="0"/>
          <w:bCs/>
          <w:color w:val="auto"/>
          <w:sz w:val="28"/>
          <w:szCs w:val="28"/>
          <w:lang w:val="en-US" w:eastAsia="zh-CN"/>
        </w:rPr>
        <w:t>4</w:t>
      </w:r>
      <w:r>
        <w:rPr>
          <w:rFonts w:hint="eastAsia" w:ascii="仿宋" w:hAnsi="仿宋" w:eastAsia="仿宋" w:cs="仿宋"/>
          <w:b w:val="0"/>
          <w:bCs/>
          <w:color w:val="auto"/>
          <w:sz w:val="28"/>
          <w:szCs w:val="28"/>
        </w:rPr>
        <w:t>分，扣</w:t>
      </w:r>
      <w:r>
        <w:rPr>
          <w:rFonts w:hint="eastAsia" w:ascii="仿宋" w:hAnsi="仿宋" w:eastAsia="仿宋" w:cs="仿宋"/>
          <w:b w:val="0"/>
          <w:bCs/>
          <w:color w:val="auto"/>
          <w:sz w:val="28"/>
          <w:szCs w:val="28"/>
          <w:lang w:val="en-US" w:eastAsia="zh-CN"/>
        </w:rPr>
        <w:t>1</w:t>
      </w:r>
      <w:r>
        <w:rPr>
          <w:rFonts w:hint="eastAsia" w:ascii="仿宋" w:hAnsi="仿宋" w:eastAsia="仿宋" w:cs="仿宋"/>
          <w:b w:val="0"/>
          <w:bCs/>
          <w:color w:val="auto"/>
          <w:sz w:val="28"/>
          <w:szCs w:val="28"/>
        </w:rPr>
        <w:t>分。</w:t>
      </w:r>
      <w:bookmarkEnd w:id="148"/>
      <w:bookmarkEnd w:id="149"/>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default" w:ascii="仿宋" w:hAnsi="仿宋" w:eastAsia="仿宋" w:cs="仿宋"/>
          <w:b w:val="0"/>
          <w:bCs/>
          <w:color w:val="auto"/>
          <w:sz w:val="28"/>
          <w:szCs w:val="28"/>
          <w:lang w:val="en-US" w:eastAsia="zh-CN"/>
        </w:rPr>
      </w:pPr>
      <w:bookmarkStart w:id="152" w:name="_Toc14171"/>
      <w:bookmarkStart w:id="153" w:name="_Toc10815"/>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sz w:val="28"/>
          <w:szCs w:val="28"/>
          <w:lang w:val="en-US" w:eastAsia="zh-CN"/>
        </w:rPr>
        <w:t>2</w:t>
      </w:r>
      <w:r>
        <w:rPr>
          <w:rFonts w:hint="eastAsia" w:ascii="仿宋" w:hAnsi="仿宋" w:eastAsia="仿宋" w:cs="仿宋"/>
          <w:b w:val="0"/>
          <w:bCs/>
          <w:color w:val="auto"/>
          <w:sz w:val="28"/>
          <w:szCs w:val="28"/>
          <w:lang w:eastAsia="zh-CN"/>
        </w:rPr>
        <w:t>）</w:t>
      </w:r>
      <w:r>
        <w:rPr>
          <w:rFonts w:hint="eastAsia" w:ascii="仿宋" w:hAnsi="仿宋" w:eastAsia="仿宋" w:cs="仿宋"/>
          <w:b w:val="0"/>
          <w:bCs/>
          <w:color w:val="auto"/>
          <w:sz w:val="28"/>
          <w:szCs w:val="28"/>
          <w:lang w:val="en-US" w:eastAsia="zh-CN"/>
        </w:rPr>
        <w:t>绩效指标明确性</w:t>
      </w:r>
      <w:bookmarkEnd w:id="150"/>
      <w:bookmarkEnd w:id="151"/>
      <w:bookmarkEnd w:id="152"/>
      <w:bookmarkEnd w:id="153"/>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eastAsia" w:ascii="仿宋" w:hAnsi="仿宋" w:eastAsia="仿宋" w:cs="仿宋"/>
          <w:b w:val="0"/>
          <w:bCs/>
          <w:color w:val="auto"/>
          <w:sz w:val="28"/>
          <w:szCs w:val="28"/>
        </w:rPr>
      </w:pPr>
      <w:bookmarkStart w:id="154" w:name="_Toc23220"/>
      <w:bookmarkStart w:id="155" w:name="_Toc15985"/>
      <w:r>
        <w:rPr>
          <w:rFonts w:hint="eastAsia" w:ascii="仿宋" w:hAnsi="仿宋" w:eastAsia="仿宋" w:cs="仿宋"/>
          <w:b w:val="0"/>
          <w:bCs/>
          <w:color w:val="auto"/>
          <w:sz w:val="28"/>
          <w:szCs w:val="28"/>
        </w:rPr>
        <w:t>水路运输企业新增船舶运力规模补助及贷款贴息奖励资金绩效目标表中，虽将绩效目标分解，并通过清晰、可衡量的指标值予以体现，但绩效指标设置不够完整。根据水路运输股的工作计划可知，2022年度的绩效目标应为：深化运力结构调整，进一步调整和优化运力结构，加大更新老旧船舶力度、降低平均船龄，淘汰吨位小、船龄高，技术落后、单位能耗高、对环境污染大的船型，积极鼓励发展万吨以上运输船舶。故本资金的核心绩效指标除设置新增船舶数量、新增就业数量、增加税收以外，还应对运力结构的预期值，平均船龄的目标值或降低值，淘汰吨位小、船龄高的船舶数量，淘汰单位能耗高、对环境污染大的船舶数量，万吨以上运输船舶的增长数量等等进行指标设置。指标设置不够完整导致项目绩效指标无法与计划数相对应。指标满分3分，扣</w:t>
      </w:r>
      <w:r>
        <w:rPr>
          <w:rFonts w:hint="eastAsia" w:ascii="仿宋" w:hAnsi="仿宋" w:eastAsia="仿宋" w:cs="仿宋"/>
          <w:b w:val="0"/>
          <w:bCs/>
          <w:color w:val="auto"/>
          <w:sz w:val="28"/>
          <w:szCs w:val="28"/>
          <w:lang w:val="en-US" w:eastAsia="zh-CN"/>
        </w:rPr>
        <w:t>1</w:t>
      </w:r>
      <w:r>
        <w:rPr>
          <w:rFonts w:hint="eastAsia" w:ascii="仿宋" w:hAnsi="仿宋" w:eastAsia="仿宋" w:cs="仿宋"/>
          <w:b w:val="0"/>
          <w:bCs/>
          <w:color w:val="auto"/>
          <w:sz w:val="28"/>
          <w:szCs w:val="28"/>
        </w:rPr>
        <w:t>分。</w:t>
      </w:r>
      <w:bookmarkEnd w:id="154"/>
      <w:bookmarkEnd w:id="155"/>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b/>
          <w:bCs w:val="0"/>
          <w:color w:val="auto"/>
          <w:sz w:val="28"/>
          <w:szCs w:val="28"/>
          <w:lang w:val="en-US" w:eastAsia="zh-CN"/>
        </w:rPr>
      </w:pPr>
      <w:bookmarkStart w:id="156" w:name="_Toc14870"/>
      <w:r>
        <w:rPr>
          <w:rFonts w:hint="eastAsia" w:ascii="仿宋" w:hAnsi="仿宋" w:eastAsia="仿宋" w:cs="仿宋"/>
          <w:b/>
          <w:bCs w:val="0"/>
          <w:color w:val="auto"/>
          <w:sz w:val="28"/>
          <w:szCs w:val="28"/>
          <w:lang w:val="en-US" w:eastAsia="zh-CN"/>
        </w:rPr>
        <w:t>3.资金投入</w:t>
      </w:r>
      <w:bookmarkEnd w:id="156"/>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default" w:ascii="仿宋" w:hAnsi="仿宋" w:eastAsia="仿宋" w:cs="仿宋"/>
          <w:b w:val="0"/>
          <w:bCs/>
          <w:color w:val="auto"/>
          <w:sz w:val="28"/>
          <w:szCs w:val="28"/>
          <w:lang w:eastAsia="zh-CN"/>
        </w:rPr>
      </w:pPr>
      <w:bookmarkStart w:id="157" w:name="_Toc5183"/>
      <w:bookmarkStart w:id="158" w:name="_Toc4330"/>
      <w:bookmarkStart w:id="159" w:name="_Toc13396"/>
      <w:bookmarkStart w:id="160" w:name="_Toc14984"/>
      <w:r>
        <w:rPr>
          <w:rFonts w:hint="default" w:ascii="仿宋" w:hAnsi="仿宋" w:eastAsia="仿宋" w:cs="仿宋"/>
          <w:b w:val="0"/>
          <w:bCs/>
          <w:color w:val="auto"/>
          <w:sz w:val="28"/>
          <w:szCs w:val="28"/>
          <w:lang w:val="en-US" w:eastAsia="zh-CN"/>
        </w:rPr>
        <w:t>预算编制科学性</w:t>
      </w:r>
      <w:bookmarkEnd w:id="157"/>
      <w:bookmarkEnd w:id="158"/>
      <w:bookmarkEnd w:id="159"/>
      <w:bookmarkEnd w:id="160"/>
      <w:r>
        <w:rPr>
          <w:rFonts w:hint="default" w:ascii="仿宋" w:hAnsi="仿宋" w:eastAsia="仿宋" w:cs="仿宋"/>
          <w:b w:val="0"/>
          <w:bCs/>
          <w:color w:val="auto"/>
          <w:sz w:val="28"/>
          <w:szCs w:val="28"/>
          <w:lang w:eastAsia="zh-CN"/>
        </w:rPr>
        <w:t>：</w:t>
      </w:r>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1"/>
        <w:rPr>
          <w:rFonts w:hint="default" w:ascii="仿宋" w:hAnsi="仿宋" w:eastAsia="仿宋" w:cs="仿宋"/>
          <w:b w:val="0"/>
          <w:bCs/>
          <w:color w:val="auto"/>
          <w:sz w:val="28"/>
          <w:szCs w:val="28"/>
          <w:lang w:val="en-US" w:eastAsia="zh-CN"/>
        </w:rPr>
      </w:pPr>
      <w:bookmarkStart w:id="161" w:name="_Toc6103"/>
      <w:bookmarkStart w:id="162" w:name="_Toc14830"/>
      <w:r>
        <w:rPr>
          <w:rFonts w:hint="default" w:ascii="仿宋" w:hAnsi="仿宋" w:eastAsia="仿宋" w:cs="仿宋"/>
          <w:b w:val="0"/>
          <w:bCs/>
          <w:color w:val="auto"/>
          <w:sz w:val="28"/>
          <w:szCs w:val="28"/>
          <w:lang w:val="en-US" w:eastAsia="zh-CN"/>
        </w:rPr>
        <w:t>评价小组查阅实施单位提供的2022年石狮市交通和港口发展局预算公开表及2022年度石狮市交通和港口发展局部门预算公开报告，未发现与本项目相关的预算资料，仅在本项目绩效目标表中了解到本项目预算金额5200万元，2022年实际支出3459.75万元。预算金额根据预算编制前了解到的正在建造的船舶数量及近年来水路运输业发展趋势进行预测，预算编制依据相对充分。但由于企业的船舶购买行为不可控，故预算编制金额与当年实际支出情况存在偏差，扣</w:t>
      </w:r>
      <w:r>
        <w:rPr>
          <w:rFonts w:hint="eastAsia" w:ascii="仿宋" w:hAnsi="仿宋" w:eastAsia="仿宋" w:cs="仿宋"/>
          <w:b w:val="0"/>
          <w:bCs/>
          <w:color w:val="auto"/>
          <w:sz w:val="28"/>
          <w:szCs w:val="28"/>
          <w:lang w:val="en-US" w:eastAsia="zh-CN"/>
        </w:rPr>
        <w:t>2</w:t>
      </w:r>
      <w:r>
        <w:rPr>
          <w:rFonts w:hint="default" w:ascii="仿宋" w:hAnsi="仿宋" w:eastAsia="仿宋" w:cs="仿宋"/>
          <w:b w:val="0"/>
          <w:bCs/>
          <w:color w:val="auto"/>
          <w:sz w:val="28"/>
          <w:szCs w:val="28"/>
          <w:lang w:val="en-US" w:eastAsia="zh-CN"/>
        </w:rPr>
        <w:t>分。</w:t>
      </w:r>
      <w:bookmarkEnd w:id="161"/>
      <w:bookmarkEnd w:id="162"/>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1"/>
        <w:rPr>
          <w:rFonts w:hint="eastAsia" w:ascii="楷体" w:hAnsi="楷体" w:eastAsia="楷体" w:cs="楷体"/>
          <w:color w:val="auto"/>
          <w:sz w:val="28"/>
          <w:szCs w:val="28"/>
        </w:rPr>
      </w:pPr>
      <w:bookmarkStart w:id="163" w:name="_Toc26310"/>
      <w:r>
        <w:rPr>
          <w:rFonts w:hint="eastAsia" w:ascii="楷体" w:hAnsi="楷体" w:eastAsia="楷体" w:cs="楷体"/>
          <w:color w:val="auto"/>
          <w:sz w:val="28"/>
          <w:szCs w:val="28"/>
        </w:rPr>
        <w:t>（二）项目过程情况</w:t>
      </w:r>
      <w:bookmarkEnd w:id="115"/>
      <w:bookmarkEnd w:id="145"/>
      <w:bookmarkEnd w:id="146"/>
      <w:bookmarkEnd w:id="147"/>
      <w:bookmarkEnd w:id="163"/>
    </w:p>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eastAsia" w:ascii="仿宋" w:hAnsi="仿宋" w:eastAsia="仿宋" w:cs="仿宋"/>
          <w:b/>
          <w:bCs/>
          <w:color w:val="auto"/>
          <w:sz w:val="28"/>
          <w:szCs w:val="28"/>
          <w:lang w:val="en-US" w:eastAsia="zh-CN"/>
        </w:rPr>
      </w:pPr>
      <w:bookmarkStart w:id="164" w:name="_Toc28033"/>
      <w:bookmarkStart w:id="165" w:name="_Toc22190"/>
      <w:bookmarkStart w:id="166" w:name="_Toc23895"/>
      <w:bookmarkStart w:id="167" w:name="_Toc1431"/>
      <w:bookmarkStart w:id="168" w:name="_Toc19969"/>
      <w:r>
        <w:rPr>
          <w:rFonts w:hint="eastAsia" w:ascii="仿宋" w:hAnsi="仿宋" w:eastAsia="仿宋" w:cs="仿宋"/>
          <w:b/>
          <w:bCs/>
          <w:color w:val="auto"/>
          <w:sz w:val="28"/>
          <w:szCs w:val="28"/>
          <w:lang w:val="en-US" w:eastAsia="zh-CN"/>
        </w:rPr>
        <w:t>表4：项目过程得分情况</w:t>
      </w:r>
    </w:p>
    <w:tbl>
      <w:tblPr>
        <w:tblStyle w:val="18"/>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1426"/>
        <w:gridCol w:w="3008"/>
        <w:gridCol w:w="1320"/>
        <w:gridCol w:w="13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84" w:hRule="atLeast"/>
          <w:tblHeader/>
          <w:jc w:val="center"/>
        </w:trPr>
        <w:tc>
          <w:tcPr>
            <w:tcW w:w="91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一级指标</w:t>
            </w:r>
          </w:p>
        </w:tc>
        <w:tc>
          <w:tcPr>
            <w:tcW w:w="1426"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二级指标</w:t>
            </w:r>
          </w:p>
        </w:tc>
        <w:tc>
          <w:tcPr>
            <w:tcW w:w="3008" w:type="dxa"/>
            <w:tcBorders>
              <w:top w:val="single" w:color="000000" w:sz="4" w:space="0"/>
              <w:left w:val="single" w:color="000000" w:sz="4" w:space="0"/>
              <w:bottom w:val="single" w:color="auto"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sz w:val="24"/>
                <w:szCs w:val="24"/>
                <w:u w:val="none"/>
              </w:rPr>
            </w:pPr>
            <w:r>
              <w:rPr>
                <w:rFonts w:hint="eastAsia" w:ascii="仿宋" w:hAnsi="仿宋" w:eastAsia="仿宋" w:cs="仿宋"/>
                <w:b/>
                <w:bCs/>
                <w:i w:val="0"/>
                <w:iCs w:val="0"/>
                <w:color w:val="323232"/>
                <w:kern w:val="0"/>
                <w:sz w:val="24"/>
                <w:szCs w:val="24"/>
                <w:u w:val="none"/>
                <w:lang w:val="en-US" w:eastAsia="zh-CN" w:bidi="ar"/>
              </w:rPr>
              <w:t>三级指标</w:t>
            </w:r>
          </w:p>
        </w:tc>
        <w:tc>
          <w:tcPr>
            <w:tcW w:w="132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分值</w:t>
            </w:r>
          </w:p>
        </w:tc>
        <w:tc>
          <w:tcPr>
            <w:tcW w:w="136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b/>
                <w:bCs/>
                <w:i w:val="0"/>
                <w:iCs w:val="0"/>
                <w:color w:val="323232"/>
                <w:kern w:val="0"/>
                <w:sz w:val="24"/>
                <w:szCs w:val="24"/>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jc w:val="center"/>
        </w:trPr>
        <w:tc>
          <w:tcPr>
            <w:tcW w:w="917" w:type="dxa"/>
            <w:vMerge w:val="restart"/>
            <w:tcBorders>
              <w:top w:val="single" w:color="000000" w:sz="4" w:space="0"/>
              <w:left w:val="single" w:color="000000"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过程</w:t>
            </w:r>
          </w:p>
        </w:tc>
        <w:tc>
          <w:tcPr>
            <w:tcW w:w="1426" w:type="dxa"/>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资金管理</w:t>
            </w:r>
          </w:p>
        </w:tc>
        <w:tc>
          <w:tcPr>
            <w:tcW w:w="3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资金到位率</w:t>
            </w:r>
          </w:p>
        </w:tc>
        <w:tc>
          <w:tcPr>
            <w:tcW w:w="1320" w:type="dxa"/>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4</w:t>
            </w:r>
          </w:p>
        </w:tc>
        <w:tc>
          <w:tcPr>
            <w:tcW w:w="13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917" w:type="dxa"/>
            <w:vMerge w:val="continue"/>
            <w:tcBorders>
              <w:left w:val="single" w:color="000000"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p>
        </w:tc>
        <w:tc>
          <w:tcPr>
            <w:tcW w:w="1426" w:type="dxa"/>
            <w:vMerge w:val="continue"/>
            <w:tcBorders>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p>
        </w:tc>
        <w:tc>
          <w:tcPr>
            <w:tcW w:w="3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预算执行率</w:t>
            </w:r>
          </w:p>
        </w:tc>
        <w:tc>
          <w:tcPr>
            <w:tcW w:w="1320" w:type="dxa"/>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4</w:t>
            </w:r>
          </w:p>
        </w:tc>
        <w:tc>
          <w:tcPr>
            <w:tcW w:w="13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917" w:type="dxa"/>
            <w:vMerge w:val="continue"/>
            <w:tcBorders>
              <w:left w:val="single" w:color="000000" w:sz="4" w:space="0"/>
              <w:right w:val="single" w:color="auto"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continue"/>
            <w:tcBorders>
              <w:left w:val="single" w:color="auto" w:sz="4" w:space="0"/>
              <w:bottom w:val="single" w:color="auto" w:sz="4" w:space="0"/>
              <w:right w:val="single" w:color="auto"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3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预算绩效监控和监督</w:t>
            </w:r>
          </w:p>
        </w:tc>
        <w:tc>
          <w:tcPr>
            <w:tcW w:w="1320" w:type="dxa"/>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2</w:t>
            </w:r>
          </w:p>
        </w:tc>
        <w:tc>
          <w:tcPr>
            <w:tcW w:w="13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917" w:type="dxa"/>
            <w:vMerge w:val="continue"/>
            <w:tcBorders>
              <w:left w:val="single" w:color="000000" w:sz="4" w:space="0"/>
              <w:right w:val="single" w:color="auto"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restart"/>
            <w:tcBorders>
              <w:top w:val="single" w:color="auto" w:sz="4" w:space="0"/>
              <w:left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组织实施</w:t>
            </w:r>
          </w:p>
        </w:tc>
        <w:tc>
          <w:tcPr>
            <w:tcW w:w="3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管理制度健全性</w:t>
            </w:r>
          </w:p>
        </w:tc>
        <w:tc>
          <w:tcPr>
            <w:tcW w:w="1320" w:type="dxa"/>
            <w:tcBorders>
              <w:top w:val="single" w:color="000000"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917" w:type="dxa"/>
            <w:vMerge w:val="continue"/>
            <w:tcBorders>
              <w:left w:val="single" w:color="000000" w:sz="4" w:space="0"/>
              <w:bottom w:val="single" w:color="auto" w:sz="4" w:space="0"/>
              <w:right w:val="single" w:color="auto" w:sz="4" w:space="0"/>
            </w:tcBorders>
            <w:shd w:val="clear" w:color="auto" w:fill="FFFFFF"/>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323232"/>
                <w:sz w:val="24"/>
                <w:szCs w:val="24"/>
                <w:u w:val="none"/>
              </w:rPr>
            </w:pPr>
          </w:p>
        </w:tc>
        <w:tc>
          <w:tcPr>
            <w:tcW w:w="1426" w:type="dxa"/>
            <w:vMerge w:val="continue"/>
            <w:tcBorders>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p>
        </w:tc>
        <w:tc>
          <w:tcPr>
            <w:tcW w:w="300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323232"/>
                <w:sz w:val="24"/>
                <w:szCs w:val="24"/>
                <w:u w:val="none"/>
              </w:rPr>
            </w:pPr>
            <w:r>
              <w:rPr>
                <w:rFonts w:hint="eastAsia" w:ascii="仿宋" w:hAnsi="仿宋" w:eastAsia="仿宋" w:cs="仿宋"/>
                <w:i w:val="0"/>
                <w:iCs w:val="0"/>
                <w:color w:val="323232"/>
                <w:kern w:val="0"/>
                <w:sz w:val="24"/>
                <w:szCs w:val="24"/>
                <w:u w:val="none"/>
                <w:lang w:val="en-US" w:eastAsia="zh-CN" w:bidi="ar"/>
              </w:rPr>
              <w:t>制度执行有效性</w:t>
            </w:r>
          </w:p>
        </w:tc>
        <w:tc>
          <w:tcPr>
            <w:tcW w:w="1320" w:type="dxa"/>
            <w:tcBorders>
              <w:top w:val="single" w:color="000000" w:sz="4" w:space="0"/>
              <w:left w:val="single" w:color="auto"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4</w:t>
            </w:r>
          </w:p>
        </w:tc>
        <w:tc>
          <w:tcPr>
            <w:tcW w:w="1367" w:type="dxa"/>
            <w:tcBorders>
              <w:top w:val="single" w:color="000000" w:sz="4" w:space="0"/>
              <w:left w:val="single" w:color="000000" w:sz="4" w:space="0"/>
              <w:bottom w:val="single" w:color="auto"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jc w:val="center"/>
        </w:trPr>
        <w:tc>
          <w:tcPr>
            <w:tcW w:w="53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合计</w:t>
            </w:r>
          </w:p>
        </w:tc>
        <w:tc>
          <w:tcPr>
            <w:tcW w:w="132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323232"/>
                <w:kern w:val="0"/>
                <w:sz w:val="24"/>
                <w:szCs w:val="24"/>
                <w:u w:val="none"/>
                <w:lang w:val="en-US" w:eastAsia="zh-CN" w:bidi="ar"/>
              </w:rPr>
              <w:t>19</w:t>
            </w:r>
          </w:p>
        </w:tc>
        <w:tc>
          <w:tcPr>
            <w:tcW w:w="1367"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仿宋" w:hAnsi="仿宋" w:eastAsia="仿宋" w:cs="仿宋"/>
                <w:i w:val="0"/>
                <w:iCs w:val="0"/>
                <w:color w:val="323232"/>
                <w:kern w:val="0"/>
                <w:sz w:val="24"/>
                <w:szCs w:val="24"/>
                <w:u w:val="none"/>
                <w:lang w:val="en-US" w:eastAsia="zh-CN" w:bidi="ar"/>
              </w:rPr>
            </w:pPr>
            <w:r>
              <w:rPr>
                <w:rFonts w:hint="eastAsia" w:ascii="仿宋" w:hAnsi="仿宋" w:eastAsia="仿宋" w:cs="仿宋"/>
                <w:i w:val="0"/>
                <w:iCs w:val="0"/>
                <w:color w:val="000000"/>
                <w:kern w:val="0"/>
                <w:sz w:val="22"/>
                <w:szCs w:val="22"/>
                <w:u w:val="none"/>
                <w:lang w:val="en-US" w:eastAsia="zh-CN" w:bidi="ar"/>
              </w:rPr>
              <w:t>13</w:t>
            </w:r>
          </w:p>
        </w:tc>
      </w:tr>
    </w:tbl>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sz w:val="28"/>
          <w:szCs w:val="28"/>
        </w:rPr>
      </w:pPr>
      <w:bookmarkStart w:id="169" w:name="_Toc32008"/>
      <w:r>
        <w:rPr>
          <w:rFonts w:hint="eastAsia" w:ascii="仿宋" w:hAnsi="仿宋" w:eastAsia="仿宋" w:cs="仿宋"/>
          <w:color w:val="auto"/>
          <w:sz w:val="28"/>
          <w:szCs w:val="28"/>
        </w:rPr>
        <w:t>1.资金管理情况分析</w:t>
      </w:r>
      <w:bookmarkEnd w:id="164"/>
      <w:bookmarkEnd w:id="165"/>
      <w:bookmarkEnd w:id="166"/>
      <w:bookmarkEnd w:id="167"/>
      <w:bookmarkEnd w:id="168"/>
      <w:bookmarkEnd w:id="169"/>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70" w:name="_Toc26246"/>
      <w:bookmarkStart w:id="171" w:name="_Toc4258"/>
      <w:bookmarkStart w:id="172" w:name="_Toc13148"/>
      <w:bookmarkStart w:id="173" w:name="_Toc6863"/>
      <w:bookmarkStart w:id="174" w:name="_Toc1944"/>
      <w:bookmarkStart w:id="175" w:name="_Toc17268"/>
      <w:bookmarkStart w:id="176" w:name="_Toc18173"/>
      <w:bookmarkStart w:id="177" w:name="_Toc28754"/>
      <w:bookmarkStart w:id="178" w:name="_Toc4093"/>
      <w:r>
        <w:rPr>
          <w:rFonts w:hint="eastAsia" w:ascii="仿宋" w:hAnsi="仿宋" w:eastAsia="仿宋" w:cs="仿宋"/>
          <w:b w:val="0"/>
          <w:bCs/>
          <w:color w:val="auto"/>
          <w:lang w:val="en-US" w:eastAsia="zh-CN"/>
        </w:rPr>
        <w:t>（1）资金到位率</w:t>
      </w:r>
      <w:bookmarkEnd w:id="170"/>
      <w:bookmarkEnd w:id="171"/>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79" w:name="_Toc30339"/>
      <w:bookmarkStart w:id="180" w:name="_Toc17647"/>
      <w:r>
        <w:rPr>
          <w:rFonts w:hint="eastAsia" w:ascii="仿宋" w:hAnsi="仿宋" w:eastAsia="仿宋" w:cs="仿宋"/>
          <w:b w:val="0"/>
          <w:bCs/>
          <w:color w:val="auto"/>
          <w:lang w:val="en-US" w:eastAsia="zh-CN"/>
        </w:rPr>
        <w:t>预算编制科学性不足，资金预测过高也将影响资金到位率，2022年项目预算5200万元，实际到位资金3459.75万元，资金到位率=66.53%，根据评分标准，满分4分，得0分。</w:t>
      </w:r>
      <w:bookmarkEnd w:id="179"/>
      <w:bookmarkEnd w:id="180"/>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81" w:name="_Toc27078"/>
      <w:bookmarkStart w:id="182" w:name="_Toc14841"/>
      <w:r>
        <w:rPr>
          <w:rFonts w:hint="eastAsia" w:ascii="仿宋" w:hAnsi="仿宋" w:eastAsia="仿宋" w:cs="仿宋"/>
          <w:b w:val="0"/>
          <w:bCs/>
          <w:color w:val="auto"/>
          <w:lang w:val="en-US" w:eastAsia="zh-CN"/>
        </w:rPr>
        <w:t>（2）预算执行率</w:t>
      </w:r>
      <w:bookmarkEnd w:id="172"/>
      <w:bookmarkEnd w:id="173"/>
      <w:bookmarkEnd w:id="181"/>
      <w:bookmarkEnd w:id="182"/>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83" w:name="_Toc18236"/>
      <w:bookmarkStart w:id="184" w:name="_Toc28027"/>
      <w:bookmarkStart w:id="185" w:name="_Toc19686"/>
      <w:r>
        <w:rPr>
          <w:rFonts w:hint="eastAsia" w:ascii="仿宋" w:hAnsi="仿宋" w:eastAsia="仿宋" w:cs="仿宋"/>
          <w:b w:val="0"/>
          <w:bCs/>
          <w:color w:val="auto"/>
          <w:lang w:val="en-US" w:eastAsia="zh-CN"/>
        </w:rPr>
        <w:t>2022年，财政下达指标3459.75万元，当年度实际支付3459.75万元，预算100%执行完毕，满分4分，得4分。</w:t>
      </w:r>
      <w:bookmarkEnd w:id="183"/>
      <w:bookmarkEnd w:id="184"/>
      <w:bookmarkEnd w:id="185"/>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86" w:name="_Toc9548"/>
      <w:bookmarkStart w:id="187" w:name="_Toc32744"/>
      <w:bookmarkStart w:id="188" w:name="_Toc12064"/>
      <w:bookmarkStart w:id="189" w:name="_Toc17093"/>
      <w:r>
        <w:rPr>
          <w:rFonts w:hint="eastAsia" w:ascii="仿宋" w:hAnsi="仿宋" w:eastAsia="仿宋" w:cs="仿宋"/>
          <w:b w:val="0"/>
          <w:bCs/>
          <w:color w:val="auto"/>
          <w:lang w:val="en-US" w:eastAsia="zh-CN"/>
        </w:rPr>
        <w:t>（3）预算绩效监控和监督</w:t>
      </w:r>
      <w:bookmarkEnd w:id="186"/>
      <w:bookmarkEnd w:id="187"/>
      <w:bookmarkEnd w:id="188"/>
      <w:bookmarkEnd w:id="189"/>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default" w:ascii="仿宋" w:hAnsi="仿宋" w:eastAsia="仿宋" w:cs="仿宋"/>
          <w:b w:val="0"/>
          <w:bCs/>
          <w:color w:val="auto"/>
          <w:lang w:val="en-US" w:eastAsia="zh-CN"/>
        </w:rPr>
      </w:pPr>
      <w:bookmarkStart w:id="190" w:name="_Toc25273"/>
      <w:bookmarkStart w:id="191" w:name="_Toc27876"/>
      <w:r>
        <w:rPr>
          <w:rFonts w:hint="default" w:ascii="仿宋" w:hAnsi="仿宋" w:eastAsia="仿宋" w:cs="仿宋"/>
          <w:b w:val="0"/>
          <w:bCs/>
          <w:color w:val="auto"/>
          <w:lang w:val="en-US" w:eastAsia="zh-CN"/>
        </w:rPr>
        <w:t>已开展绩效监控及自评</w:t>
      </w:r>
      <w:r>
        <w:rPr>
          <w:rFonts w:hint="eastAsia" w:ascii="仿宋" w:hAnsi="仿宋" w:eastAsia="仿宋" w:cs="仿宋"/>
          <w:b w:val="0"/>
          <w:bCs/>
          <w:color w:val="auto"/>
          <w:lang w:val="en-US" w:eastAsia="zh-CN"/>
        </w:rPr>
        <w:t>，满分2分，得2分</w:t>
      </w:r>
      <w:r>
        <w:rPr>
          <w:rFonts w:hint="default" w:ascii="仿宋" w:hAnsi="仿宋" w:eastAsia="仿宋" w:cs="仿宋"/>
          <w:b w:val="0"/>
          <w:bCs/>
          <w:color w:val="auto"/>
          <w:lang w:val="en-US" w:eastAsia="zh-CN"/>
        </w:rPr>
        <w:t>。</w:t>
      </w:r>
      <w:bookmarkEnd w:id="190"/>
      <w:bookmarkEnd w:id="191"/>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rPr>
      </w:pPr>
      <w:bookmarkStart w:id="192" w:name="_Toc17480"/>
      <w:r>
        <w:rPr>
          <w:rFonts w:hint="eastAsia" w:ascii="仿宋" w:hAnsi="仿宋" w:eastAsia="仿宋" w:cs="仿宋"/>
          <w:color w:val="auto"/>
        </w:rPr>
        <w:t>2.组织实施情况分析</w:t>
      </w:r>
      <w:bookmarkEnd w:id="174"/>
      <w:bookmarkEnd w:id="175"/>
      <w:bookmarkEnd w:id="176"/>
      <w:bookmarkEnd w:id="177"/>
      <w:bookmarkEnd w:id="178"/>
      <w:bookmarkEnd w:id="192"/>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93" w:name="_Toc25252"/>
      <w:bookmarkStart w:id="194" w:name="_Toc30983"/>
      <w:bookmarkStart w:id="195" w:name="_Toc17652"/>
      <w:r>
        <w:rPr>
          <w:rFonts w:hint="eastAsia" w:ascii="仿宋" w:hAnsi="仿宋" w:eastAsia="仿宋" w:cs="仿宋"/>
          <w:b w:val="0"/>
          <w:bCs/>
          <w:color w:val="auto"/>
          <w:lang w:val="en-US" w:eastAsia="zh-CN"/>
        </w:rPr>
        <w:t>（1）管理制度健全性</w:t>
      </w:r>
      <w:bookmarkEnd w:id="193"/>
      <w:bookmarkEnd w:id="194"/>
      <w:bookmarkEnd w:id="195"/>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196" w:name="_Toc10759"/>
      <w:bookmarkStart w:id="197" w:name="_Toc29203"/>
      <w:bookmarkStart w:id="198" w:name="_Toc13685"/>
      <w:bookmarkStart w:id="199" w:name="_Toc30189"/>
      <w:r>
        <w:rPr>
          <w:rFonts w:hint="eastAsia" w:ascii="仿宋" w:hAnsi="仿宋" w:eastAsia="仿宋" w:cs="仿宋"/>
          <w:b w:val="0"/>
          <w:bCs/>
          <w:color w:val="auto"/>
          <w:lang w:val="en-US" w:eastAsia="zh-CN"/>
        </w:rPr>
        <w:t>石狮市水路运输业奖补政策的管理制度参照根据泉州市交通运输局泉州市财政局关于印发《泉州市促进水路运输业发展专项资金管理规定》的通知（泉交财〔2021〕5号）执行，该管理规定对资格审核、补贴兑付、档案管理进行了规定，同时可根据泉州市港口的监督及数据反馈机制，实时监控已享受奖励的船舶是否迁出。</w:t>
      </w:r>
      <w:bookmarkEnd w:id="196"/>
      <w:bookmarkEnd w:id="197"/>
      <w:bookmarkStart w:id="200" w:name="_Toc29314"/>
      <w:bookmarkStart w:id="201" w:name="_Toc28861"/>
      <w:r>
        <w:rPr>
          <w:rFonts w:hint="eastAsia" w:ascii="仿宋" w:hAnsi="仿宋" w:eastAsia="仿宋" w:cs="仿宋"/>
          <w:b w:val="0"/>
          <w:bCs/>
          <w:color w:val="auto"/>
          <w:lang w:val="en-US" w:eastAsia="zh-CN"/>
        </w:rPr>
        <w:t>管理制度较为健全，满分5分，得5分。</w:t>
      </w:r>
      <w:bookmarkEnd w:id="198"/>
      <w:bookmarkEnd w:id="199"/>
      <w:bookmarkEnd w:id="200"/>
      <w:bookmarkEnd w:id="201"/>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02" w:name="_Toc12400"/>
      <w:bookmarkStart w:id="203" w:name="_Toc3546"/>
      <w:bookmarkStart w:id="204" w:name="_Toc8434"/>
      <w:r>
        <w:rPr>
          <w:rFonts w:hint="eastAsia" w:ascii="仿宋" w:hAnsi="仿宋" w:eastAsia="仿宋" w:cs="仿宋"/>
          <w:b w:val="0"/>
          <w:bCs/>
          <w:color w:val="auto"/>
          <w:lang w:val="en-US" w:eastAsia="zh-CN"/>
        </w:rPr>
        <w:t>（2）制度执行有效性</w:t>
      </w:r>
      <w:bookmarkEnd w:id="202"/>
      <w:bookmarkEnd w:id="203"/>
      <w:bookmarkEnd w:id="204"/>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05" w:name="_Toc17043"/>
      <w:bookmarkStart w:id="206" w:name="_Toc18436"/>
      <w:r>
        <w:rPr>
          <w:rFonts w:hint="eastAsia" w:ascii="仿宋" w:hAnsi="仿宋" w:eastAsia="仿宋" w:cs="仿宋"/>
          <w:b w:val="0"/>
          <w:bCs/>
          <w:color w:val="auto"/>
          <w:lang w:val="en-US" w:eastAsia="zh-CN"/>
        </w:rPr>
        <w:t>石狮市交通和港口发展局在政策执行期间，每年4-5月通知水运企业进行政策申请，并在惠企平台上进行审核，组织政策申报的程序与惠企平台上的审批流程较为规范；虽各项审批均按惠企平台规定进行，但根据《泉州市促进水路运输业发展专项资金管理规定》的通知（泉交财〔2021〕5号）规定，“涉及的专项资金实行年度申报，每年l月3l日前申报上年度的奖励资金”“市、县交通运输主管部门应于每年4月30日前完成审核”，石狮市在4-5月才组织政策申请，项目无法在4月30日前完成审核，项目的申报与审核时效均严重滞后于专项资金管理规定的要求节点。满分4分，扣2分。</w:t>
      </w:r>
      <w:bookmarkEnd w:id="205"/>
      <w:bookmarkEnd w:id="206"/>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1"/>
        <w:rPr>
          <w:rFonts w:hint="eastAsia" w:ascii="楷体" w:hAnsi="楷体" w:eastAsia="楷体" w:cs="楷体"/>
          <w:color w:val="auto"/>
          <w:sz w:val="28"/>
          <w:szCs w:val="18"/>
        </w:rPr>
      </w:pPr>
      <w:bookmarkStart w:id="207" w:name="_Toc6452"/>
      <w:bookmarkStart w:id="208" w:name="_Toc6614"/>
      <w:bookmarkStart w:id="209" w:name="_Toc30173"/>
      <w:bookmarkStart w:id="210" w:name="_Toc8440"/>
      <w:bookmarkStart w:id="211" w:name="_Toc9763"/>
      <w:r>
        <w:rPr>
          <w:rFonts w:hint="eastAsia" w:ascii="楷体" w:hAnsi="楷体" w:eastAsia="楷体" w:cs="楷体"/>
          <w:color w:val="auto"/>
          <w:sz w:val="28"/>
          <w:szCs w:val="18"/>
        </w:rPr>
        <w:t>（三）项目产出情况</w:t>
      </w:r>
      <w:bookmarkEnd w:id="207"/>
      <w:bookmarkEnd w:id="208"/>
      <w:bookmarkEnd w:id="209"/>
      <w:bookmarkEnd w:id="210"/>
      <w:bookmarkEnd w:id="211"/>
    </w:p>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表6：项目产出得分情况</w:t>
      </w:r>
    </w:p>
    <w:tbl>
      <w:tblPr>
        <w:tblStyle w:val="18"/>
        <w:tblW w:w="896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91"/>
        <w:gridCol w:w="1668"/>
        <w:gridCol w:w="3225"/>
        <w:gridCol w:w="1590"/>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1" w:type="dxa"/>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bookmarkStart w:id="212" w:name="_Toc2326"/>
            <w:bookmarkStart w:id="213" w:name="_Toc7336"/>
            <w:bookmarkStart w:id="214" w:name="_Toc16713"/>
            <w:bookmarkStart w:id="215" w:name="_Toc22626"/>
            <w:bookmarkStart w:id="216" w:name="_Toc10084"/>
            <w:bookmarkStart w:id="217" w:name="_Toc6561"/>
            <w:bookmarkStart w:id="218" w:name="_Toc28863"/>
            <w:r>
              <w:rPr>
                <w:rFonts w:hint="eastAsia" w:ascii="仿宋" w:hAnsi="仿宋" w:eastAsia="仿宋" w:cs="仿宋"/>
                <w:b/>
                <w:bCs/>
                <w:i w:val="0"/>
                <w:iCs w:val="0"/>
                <w:color w:val="323232"/>
                <w:kern w:val="0"/>
                <w:sz w:val="24"/>
                <w:szCs w:val="24"/>
                <w:u w:val="none"/>
                <w:lang w:val="en-US" w:eastAsia="zh-CN" w:bidi="ar"/>
              </w:rPr>
              <w:t>一级指标</w:t>
            </w:r>
          </w:p>
        </w:tc>
        <w:tc>
          <w:tcPr>
            <w:tcW w:w="166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一级指标</w:t>
            </w: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二级指标</w:t>
            </w:r>
          </w:p>
        </w:tc>
        <w:tc>
          <w:tcPr>
            <w:tcW w:w="159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分值</w:t>
            </w:r>
          </w:p>
        </w:tc>
        <w:tc>
          <w:tcPr>
            <w:tcW w:w="159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trPr>
        <w:tc>
          <w:tcPr>
            <w:tcW w:w="891" w:type="dxa"/>
            <w:vMerge w:val="restart"/>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产出</w:t>
            </w:r>
          </w:p>
        </w:tc>
        <w:tc>
          <w:tcPr>
            <w:tcW w:w="1668"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产出数量</w:t>
            </w: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船舶增长数量</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vMerge w:val="continue"/>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水路运输企业规模发展情况</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vMerge w:val="continue"/>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船舶贷款贴息政策落实</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vMerge w:val="restart"/>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产出质量</w:t>
            </w: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奖励补贴资金发放准确性</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vMerge w:val="continue"/>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奖励补贴资金发放公平性</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vMerge w:val="continue"/>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新增船舶稳定性</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91" w:type="dxa"/>
            <w:vMerge w:val="continue"/>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668"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产出时效</w:t>
            </w:r>
          </w:p>
        </w:tc>
        <w:tc>
          <w:tcPr>
            <w:tcW w:w="3225"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补贴发放及时性</w:t>
            </w:r>
          </w:p>
        </w:tc>
        <w:tc>
          <w:tcPr>
            <w:tcW w:w="15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59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5784" w:type="dxa"/>
            <w:gridSpan w:val="3"/>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合计</w:t>
            </w:r>
          </w:p>
        </w:tc>
        <w:tc>
          <w:tcPr>
            <w:tcW w:w="1590"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2"/>
                <w:szCs w:val="22"/>
                <w:u w:val="none"/>
                <w:lang w:val="en-US" w:eastAsia="zh-CN" w:bidi="ar"/>
              </w:rPr>
              <w:t>29</w:t>
            </w:r>
          </w:p>
        </w:tc>
        <w:tc>
          <w:tcPr>
            <w:tcW w:w="1593" w:type="dxa"/>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20</w:t>
            </w:r>
          </w:p>
        </w:tc>
      </w:tr>
    </w:tbl>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rPr>
      </w:pPr>
      <w:bookmarkStart w:id="219" w:name="_Toc1551"/>
      <w:r>
        <w:rPr>
          <w:rFonts w:hint="eastAsia" w:ascii="仿宋" w:hAnsi="仿宋" w:eastAsia="仿宋" w:cs="仿宋"/>
          <w:color w:val="auto"/>
        </w:rPr>
        <w:t>1.产出数量</w:t>
      </w:r>
      <w:bookmarkEnd w:id="212"/>
      <w:bookmarkEnd w:id="213"/>
      <w:bookmarkEnd w:id="214"/>
      <w:bookmarkEnd w:id="215"/>
      <w:bookmarkEnd w:id="216"/>
      <w:bookmarkEnd w:id="217"/>
      <w:bookmarkEnd w:id="218"/>
      <w:bookmarkEnd w:id="219"/>
      <w:r>
        <w:rPr>
          <w:rFonts w:hint="eastAsia" w:ascii="仿宋" w:hAnsi="仿宋" w:eastAsia="仿宋" w:cs="仿宋"/>
          <w:color w:val="auto"/>
          <w:szCs w:val="22"/>
          <w:lang w:val="en-US" w:eastAsia="zh-CN"/>
        </w:rPr>
        <w:t>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（1）水路运输企业运力增长情况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根据2022年水路运输企业新增船舶运力规模补助及贷款贴息奖励资金绩效目标表，2022年计划新增船舶数量17艘以上，当年度实际新增24艘，完成目标任务，该指标得5分。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（2）水路运输企业规模发展情况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实施单位在提交的水运企业运力规模证明材料审核过程中，对符合政策要求的，实现应补尽补，该指标得满分。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（3）船舶贷款贴息政策落实</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实施单位在提交的水运企业新增船舶贷款贴息证明材料审核过程中，对符合政策要求的，实现应补尽补，该指标得满分。</w:t>
      </w:r>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szCs w:val="22"/>
        </w:rPr>
      </w:pPr>
      <w:bookmarkStart w:id="220" w:name="_Toc15350"/>
      <w:bookmarkStart w:id="221" w:name="_Toc11942"/>
      <w:bookmarkStart w:id="222" w:name="_Toc2765"/>
      <w:bookmarkStart w:id="223" w:name="_Toc27527"/>
      <w:bookmarkStart w:id="224" w:name="_Toc11898"/>
      <w:bookmarkStart w:id="225" w:name="_Toc8300"/>
      <w:bookmarkStart w:id="226" w:name="_Toc32640"/>
      <w:bookmarkStart w:id="227" w:name="_Toc952"/>
      <w:r>
        <w:rPr>
          <w:rFonts w:hint="eastAsia" w:ascii="仿宋" w:hAnsi="仿宋" w:eastAsia="仿宋" w:cs="仿宋"/>
          <w:color w:val="auto"/>
          <w:szCs w:val="22"/>
          <w:lang w:val="en-US" w:eastAsia="zh-CN"/>
        </w:rPr>
        <w:t>2</w:t>
      </w:r>
      <w:r>
        <w:rPr>
          <w:rFonts w:hint="eastAsia" w:ascii="仿宋" w:hAnsi="仿宋" w:eastAsia="仿宋" w:cs="仿宋"/>
          <w:color w:val="auto"/>
          <w:szCs w:val="22"/>
        </w:rPr>
        <w:t>.产出质量</w:t>
      </w:r>
      <w:bookmarkEnd w:id="220"/>
      <w:r>
        <w:rPr>
          <w:rFonts w:hint="eastAsia" w:ascii="仿宋" w:hAnsi="仿宋" w:eastAsia="仿宋" w:cs="仿宋"/>
          <w:color w:val="auto"/>
          <w:szCs w:val="22"/>
          <w:lang w:val="en-US" w:eastAsia="zh-CN"/>
        </w:rPr>
        <w:t>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bookmarkStart w:id="228" w:name="_Toc22581"/>
      <w:bookmarkStart w:id="229" w:name="_Toc15495"/>
      <w:bookmarkStart w:id="230" w:name="_Toc17354"/>
      <w:bookmarkStart w:id="231" w:name="_Toc482"/>
      <w:bookmarkStart w:id="232" w:name="_Toc13295"/>
      <w:bookmarkStart w:id="233" w:name="_Toc22448"/>
      <w:r>
        <w:rPr>
          <w:rFonts w:hint="eastAsia" w:ascii="仿宋" w:hAnsi="仿宋" w:eastAsia="仿宋" w:cs="仿宋"/>
          <w:color w:val="auto"/>
          <w:sz w:val="28"/>
          <w:szCs w:val="28"/>
          <w:lang w:val="en-US" w:eastAsia="zh-CN"/>
        </w:rPr>
        <w:t>（1）奖励补贴资金发放准确性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评价小组查阅惠企平台上提交的政策申请材料，未发现多发、错发的情况，该指标得满分。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（2）奖励补贴资金发放公平性</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石狮市水路运输业奖补政策实施过程中，补贴对象、补贴标准发放实现应发尽发、应补尽补，体现了公平性，该指标得3分。</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（3）新增船舶稳定性</w:t>
      </w:r>
    </w:p>
    <w:p>
      <w:pPr>
        <w:pStyle w:val="2"/>
        <w:keepLines w:val="0"/>
        <w:pageBreakBefore w:val="0"/>
        <w:widowControl w:val="0"/>
        <w:kinsoku/>
        <w:wordWrap/>
        <w:overflowPunct/>
        <w:topLinePunct w:val="0"/>
        <w:autoSpaceDE/>
        <w:autoSpaceDN/>
        <w:bidi w:val="0"/>
        <w:adjustRightInd/>
        <w:snapToGrid/>
        <w:spacing w:after="0" w:line="240" w:lineRule="auto"/>
        <w:ind w:left="0" w:leftChars="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根据《泉州市人民政府关于进一步促进水路运输业发展的实施意见》(泉政文〔2021〕15 号)规定，企业或所属船舶未满5年迁出本市的、在承诺经营期内出现低于已获奖励运力规模的，企业需全额退回已兑现的奖励资金。政策期间共有44艘船舶已申领水路运输业发展奖补政策资金，根据泉州市里反馈的信息，有8艘船舶未满5年迁出石狮市，其中5艘光租船舶，3艘船舶出售，虽光租船舶资产所有权未转移，但仍未达到政策要求，由于迁出船舶原受领的补助资金均已足额追回，该指标酌情扣4分。</w:t>
      </w:r>
    </w:p>
    <w:bookmarkEnd w:id="228"/>
    <w:bookmarkEnd w:id="229"/>
    <w:bookmarkEnd w:id="230"/>
    <w:bookmarkEnd w:id="231"/>
    <w:bookmarkEnd w:id="232"/>
    <w:bookmarkEnd w:id="233"/>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default" w:ascii="仿宋" w:hAnsi="仿宋" w:eastAsia="仿宋" w:cs="仿宋"/>
          <w:color w:val="auto"/>
          <w:szCs w:val="22"/>
        </w:rPr>
      </w:pPr>
      <w:bookmarkStart w:id="234" w:name="_Toc30910"/>
      <w:r>
        <w:rPr>
          <w:rFonts w:hint="eastAsia" w:ascii="仿宋" w:hAnsi="仿宋" w:eastAsia="仿宋" w:cs="仿宋"/>
          <w:color w:val="auto"/>
          <w:szCs w:val="22"/>
          <w:lang w:val="en-US" w:eastAsia="zh-CN"/>
        </w:rPr>
        <w:t>3</w:t>
      </w:r>
      <w:r>
        <w:rPr>
          <w:rFonts w:hint="eastAsia" w:ascii="仿宋" w:hAnsi="仿宋" w:eastAsia="仿宋" w:cs="仿宋"/>
          <w:color w:val="auto"/>
          <w:szCs w:val="22"/>
        </w:rPr>
        <w:t>.产出时效</w:t>
      </w:r>
      <w:bookmarkEnd w:id="221"/>
      <w:bookmarkEnd w:id="222"/>
      <w:bookmarkEnd w:id="223"/>
      <w:bookmarkEnd w:id="224"/>
      <w:bookmarkEnd w:id="225"/>
      <w:bookmarkEnd w:id="226"/>
      <w:bookmarkEnd w:id="227"/>
      <w:bookmarkEnd w:id="234"/>
      <w:r>
        <w:rPr>
          <w:rFonts w:hint="default" w:ascii="仿宋" w:hAnsi="仿宋" w:eastAsia="仿宋" w:cs="仿宋"/>
          <w:color w:val="auto"/>
          <w:szCs w:val="22"/>
        </w:rPr>
        <w:t>分析</w:t>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补贴发放及时性</w:t>
      </w:r>
      <w:r>
        <w:rPr>
          <w:rFonts w:hint="default"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根据《泉州市促进水路运输业发展专项资金管理规定》的通知（泉交财〔2021〕5号）规定，“县（市、区）交通运输主管部门、财政部门按照属地政府的有关规定办理专项资金兑付，但应于每年5月30日前完成兑付”，评价小组查阅2022年资金支付时间，各项奖励金均晚于5月30日，且2022年有5笔船舶贷款贴息资金在2023年才支付。满分5分，得0分。</w:t>
      </w:r>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1"/>
        <w:rPr>
          <w:rFonts w:hint="eastAsia" w:ascii="楷体" w:hAnsi="楷体" w:eastAsia="楷体" w:cs="楷体"/>
          <w:color w:val="auto"/>
          <w:sz w:val="28"/>
          <w:szCs w:val="28"/>
          <w:lang w:val="en-US" w:eastAsia="zh-CN"/>
        </w:rPr>
      </w:pPr>
      <w:bookmarkStart w:id="235" w:name="_Toc12576"/>
      <w:bookmarkStart w:id="236" w:name="_Toc8537"/>
      <w:bookmarkStart w:id="237" w:name="_Toc16830"/>
      <w:bookmarkStart w:id="238" w:name="_Toc26786"/>
      <w:bookmarkStart w:id="239" w:name="_Toc6187"/>
      <w:r>
        <w:rPr>
          <w:rFonts w:hint="eastAsia" w:ascii="楷体" w:hAnsi="楷体" w:eastAsia="楷体" w:cs="楷体"/>
          <w:color w:val="auto"/>
          <w:sz w:val="28"/>
          <w:szCs w:val="28"/>
          <w:lang w:eastAsia="zh-CN"/>
        </w:rPr>
        <w:t>（</w:t>
      </w:r>
      <w:r>
        <w:rPr>
          <w:rFonts w:hint="eastAsia" w:ascii="楷体" w:hAnsi="楷体" w:eastAsia="楷体" w:cs="楷体"/>
          <w:color w:val="auto"/>
          <w:sz w:val="28"/>
          <w:szCs w:val="28"/>
          <w:lang w:val="en-US" w:eastAsia="zh-CN"/>
        </w:rPr>
        <w:t>四</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lang w:val="en-US" w:eastAsia="zh-CN"/>
        </w:rPr>
        <w:t>成本指标</w:t>
      </w:r>
      <w:bookmarkEnd w:id="235"/>
    </w:p>
    <w:p>
      <w:pPr>
        <w:pStyle w:val="6"/>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textAlignment w:val="auto"/>
        <w:rPr>
          <w:rFonts w:hint="default" w:ascii="仿宋" w:hAnsi="仿宋" w:eastAsia="仿宋" w:cs="仿宋"/>
          <w:color w:val="auto"/>
          <w:kern w:val="2"/>
          <w:sz w:val="28"/>
          <w:szCs w:val="28"/>
          <w:lang w:val="en-US" w:eastAsia="zh-CN" w:bidi="ar-SA"/>
        </w:rPr>
      </w:pPr>
      <w:r>
        <w:rPr>
          <w:rFonts w:hint="default" w:ascii="仿宋" w:hAnsi="仿宋" w:eastAsia="仿宋" w:cs="仿宋"/>
          <w:b w:val="0"/>
          <w:bCs w:val="0"/>
          <w:color w:val="auto"/>
          <w:kern w:val="2"/>
          <w:sz w:val="28"/>
          <w:szCs w:val="28"/>
          <w:lang w:val="en-US" w:eastAsia="zh-CN" w:bidi="ar-SA"/>
        </w:rPr>
        <w:t>迁出船舶补助资金追回率</w:t>
      </w:r>
      <w:r>
        <w:rPr>
          <w:rFonts w:hint="default" w:ascii="仿宋" w:hAnsi="仿宋" w:eastAsia="仿宋" w:cs="仿宋"/>
          <w:b w:val="0"/>
          <w:bCs w:val="0"/>
          <w:color w:val="auto"/>
          <w:kern w:val="2"/>
          <w:sz w:val="28"/>
          <w:szCs w:val="28"/>
          <w:lang w:eastAsia="zh-CN" w:bidi="ar-SA"/>
        </w:rPr>
        <w:t>：</w:t>
      </w:r>
      <w:r>
        <w:rPr>
          <w:rFonts w:hint="default" w:ascii="仿宋" w:hAnsi="仿宋" w:eastAsia="仿宋" w:cs="仿宋"/>
          <w:color w:val="auto"/>
          <w:kern w:val="2"/>
          <w:sz w:val="28"/>
          <w:szCs w:val="28"/>
          <w:lang w:val="en-US" w:eastAsia="zh-CN" w:bidi="ar-SA"/>
        </w:rPr>
        <w:t>迁出的8艘船舶已申领补助金已全额追回，该指</w:t>
      </w:r>
      <w:r>
        <w:rPr>
          <w:rFonts w:hint="eastAsia" w:ascii="仿宋" w:hAnsi="仿宋" w:eastAsia="仿宋" w:cs="仿宋"/>
          <w:color w:val="auto"/>
          <w:kern w:val="2"/>
          <w:sz w:val="28"/>
          <w:szCs w:val="28"/>
          <w:lang w:val="en-US" w:eastAsia="zh-CN" w:bidi="ar-SA"/>
        </w:rPr>
        <w:t>标满分4分，得4</w:t>
      </w:r>
      <w:r>
        <w:rPr>
          <w:rFonts w:hint="default" w:ascii="仿宋" w:hAnsi="仿宋" w:eastAsia="仿宋" w:cs="仿宋"/>
          <w:color w:val="auto"/>
          <w:kern w:val="2"/>
          <w:sz w:val="28"/>
          <w:szCs w:val="28"/>
          <w:lang w:val="en-US" w:eastAsia="zh-CN" w:bidi="ar-SA"/>
        </w:rPr>
        <w:t>分。</w:t>
      </w:r>
    </w:p>
    <w:p>
      <w:pPr>
        <w:pStyle w:val="5"/>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1"/>
        <w:rPr>
          <w:rFonts w:hint="eastAsia" w:ascii="楷体" w:hAnsi="楷体" w:eastAsia="楷体" w:cs="楷体"/>
          <w:color w:val="auto"/>
          <w:kern w:val="2"/>
          <w:sz w:val="28"/>
          <w:szCs w:val="28"/>
          <w:lang w:val="en-US" w:eastAsia="zh-CN" w:bidi="ar-SA"/>
        </w:rPr>
      </w:pPr>
      <w:bookmarkStart w:id="240" w:name="_Toc23868"/>
      <w:r>
        <w:rPr>
          <w:rFonts w:hint="eastAsia" w:ascii="楷体" w:hAnsi="楷体" w:eastAsia="楷体" w:cs="楷体"/>
          <w:color w:val="auto"/>
          <w:kern w:val="2"/>
          <w:sz w:val="28"/>
          <w:szCs w:val="28"/>
          <w:lang w:val="en-US" w:eastAsia="zh-CN" w:bidi="ar-SA"/>
        </w:rPr>
        <w:t>（五）项目效益情况</w:t>
      </w:r>
      <w:bookmarkEnd w:id="236"/>
      <w:bookmarkEnd w:id="237"/>
      <w:bookmarkEnd w:id="238"/>
      <w:bookmarkEnd w:id="239"/>
      <w:bookmarkEnd w:id="240"/>
    </w:p>
    <w:p>
      <w:pPr>
        <w:pStyle w:val="2"/>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表7：项目效益得分情况</w:t>
      </w:r>
    </w:p>
    <w:tbl>
      <w:tblPr>
        <w:tblStyle w:val="18"/>
        <w:tblW w:w="889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4"/>
        <w:gridCol w:w="1931"/>
        <w:gridCol w:w="2864"/>
        <w:gridCol w:w="1575"/>
        <w:gridCol w:w="16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5" w:hRule="atLeast"/>
          <w:tblHeader/>
        </w:trPr>
        <w:tc>
          <w:tcPr>
            <w:tcW w:w="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bookmarkStart w:id="241" w:name="_Toc30849"/>
            <w:bookmarkStart w:id="242" w:name="_Toc17101"/>
            <w:bookmarkStart w:id="243" w:name="_Toc8763"/>
            <w:bookmarkStart w:id="244" w:name="_Toc8106"/>
            <w:bookmarkStart w:id="245" w:name="_Toc31115"/>
            <w:bookmarkStart w:id="246" w:name="_Toc3950"/>
            <w:bookmarkStart w:id="247" w:name="_Toc19409"/>
            <w:r>
              <w:rPr>
                <w:rFonts w:hint="eastAsia" w:ascii="仿宋" w:hAnsi="仿宋" w:eastAsia="仿宋" w:cs="仿宋"/>
                <w:b/>
                <w:bCs/>
                <w:i w:val="0"/>
                <w:iCs w:val="0"/>
                <w:color w:val="323232"/>
                <w:kern w:val="0"/>
                <w:sz w:val="24"/>
                <w:szCs w:val="24"/>
                <w:u w:val="none"/>
                <w:lang w:val="en-US" w:eastAsia="zh-CN" w:bidi="ar"/>
              </w:rPr>
              <w:t>一级指标</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二级指标</w:t>
            </w: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三级指标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分值</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88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效益</w:t>
            </w:r>
          </w:p>
        </w:tc>
        <w:tc>
          <w:tcPr>
            <w:tcW w:w="19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经济效益</w:t>
            </w: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固定资产投资增长率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22"/>
                <w:szCs w:val="22"/>
                <w:u w:val="none"/>
                <w:lang w:val="en-US" w:eastAsia="zh-CN" w:bidi="ar-SA"/>
              </w:rPr>
            </w:pPr>
            <w:r>
              <w:rPr>
                <w:rFonts w:hint="eastAsia" w:ascii="仿宋" w:hAnsi="仿宋" w:eastAsia="仿宋" w:cs="仿宋"/>
                <w:i w:val="0"/>
                <w:iCs w:val="0"/>
                <w:color w:val="000000"/>
                <w:kern w:val="0"/>
                <w:sz w:val="22"/>
                <w:szCs w:val="22"/>
                <w:u w:val="none"/>
                <w:lang w:val="en-US" w:eastAsia="zh-CN" w:bidi="ar"/>
              </w:rPr>
              <w:t>4.91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货运量增长率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9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货运周转量增长率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931"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社会效益</w:t>
            </w: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政策知晓率</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931" w:type="dxa"/>
            <w:vMerge w:val="continue"/>
            <w:tcBorders>
              <w:left w:val="single" w:color="000000" w:sz="4" w:space="0"/>
              <w:bottom w:val="single" w:color="000000" w:sz="4" w:space="0"/>
              <w:right w:val="single" w:color="000000" w:sz="4" w:space="0"/>
            </w:tcBorders>
            <w:shd w:val="clear" w:color="auto" w:fill="auto"/>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水路运输机构带动就业提升度</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88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spacing w:line="240" w:lineRule="auto"/>
              <w:ind w:left="0" w:leftChars="0"/>
              <w:jc w:val="center"/>
              <w:rPr>
                <w:rFonts w:hint="eastAsia" w:ascii="仿宋" w:hAnsi="仿宋" w:eastAsia="仿宋" w:cs="仿宋"/>
                <w:i w:val="0"/>
                <w:iCs w:val="0"/>
                <w:color w:val="000000"/>
                <w:sz w:val="22"/>
                <w:szCs w:val="22"/>
                <w:u w:val="none"/>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生态效益</w:t>
            </w:r>
          </w:p>
        </w:tc>
        <w:tc>
          <w:tcPr>
            <w:tcW w:w="2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政策促进节能减排</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567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auto"/>
              <w:ind w:left="0" w:leftChars="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合计</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323232"/>
                <w:kern w:val="0"/>
                <w:sz w:val="24"/>
                <w:szCs w:val="24"/>
                <w:u w:val="none"/>
                <w:lang w:val="en-US" w:eastAsia="zh-CN" w:bidi="ar"/>
              </w:rPr>
              <w:t>24</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23.91</w:t>
            </w:r>
          </w:p>
        </w:tc>
      </w:tr>
    </w:tbl>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rPr>
      </w:pPr>
      <w:bookmarkStart w:id="248" w:name="_Toc13518"/>
      <w:r>
        <w:rPr>
          <w:rFonts w:hint="eastAsia" w:ascii="仿宋" w:hAnsi="仿宋" w:eastAsia="仿宋" w:cs="仿宋"/>
          <w:color w:val="auto"/>
        </w:rPr>
        <w:t>1.</w:t>
      </w:r>
      <w:r>
        <w:rPr>
          <w:rFonts w:hint="eastAsia" w:ascii="仿宋" w:hAnsi="仿宋" w:eastAsia="仿宋" w:cs="仿宋"/>
          <w:color w:val="auto"/>
          <w:lang w:val="en-US" w:eastAsia="zh-CN"/>
        </w:rPr>
        <w:t>经济</w:t>
      </w:r>
      <w:r>
        <w:rPr>
          <w:rFonts w:hint="eastAsia" w:ascii="仿宋" w:hAnsi="仿宋" w:eastAsia="仿宋" w:cs="仿宋"/>
          <w:color w:val="auto"/>
        </w:rPr>
        <w:t>效益分析</w:t>
      </w:r>
      <w:bookmarkEnd w:id="241"/>
      <w:bookmarkEnd w:id="242"/>
      <w:bookmarkEnd w:id="243"/>
      <w:bookmarkEnd w:id="244"/>
      <w:bookmarkEnd w:id="245"/>
      <w:bookmarkEnd w:id="246"/>
      <w:bookmarkEnd w:id="247"/>
      <w:bookmarkEnd w:id="248"/>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49" w:name="_Toc15904"/>
      <w:bookmarkStart w:id="250" w:name="_Toc5917"/>
      <w:bookmarkStart w:id="251" w:name="_Toc20677"/>
      <w:bookmarkStart w:id="252" w:name="_Toc18263"/>
      <w:bookmarkStart w:id="253" w:name="_Toc910"/>
      <w:bookmarkStart w:id="254" w:name="_Toc25043"/>
      <w:bookmarkStart w:id="255" w:name="_Toc4866"/>
      <w:bookmarkStart w:id="256" w:name="_Toc7662"/>
      <w:bookmarkStart w:id="257" w:name="_Toc30115"/>
      <w:bookmarkStart w:id="258" w:name="_Toc18480"/>
      <w:bookmarkStart w:id="259" w:name="_Toc14920"/>
      <w:r>
        <w:rPr>
          <w:rFonts w:hint="eastAsia" w:ascii="仿宋" w:hAnsi="仿宋" w:eastAsia="仿宋" w:cs="仿宋"/>
          <w:b w:val="0"/>
          <w:bCs/>
          <w:color w:val="auto"/>
          <w:lang w:val="en-US" w:eastAsia="zh-CN"/>
        </w:rPr>
        <w:t>（1）固定资产投资增长率</w:t>
      </w:r>
      <w:bookmarkEnd w:id="249"/>
      <w:bookmarkEnd w:id="250"/>
      <w:bookmarkEnd w:id="251"/>
      <w:bookmarkEnd w:id="252"/>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default" w:ascii="仿宋" w:hAnsi="仿宋" w:eastAsia="仿宋" w:cs="仿宋"/>
          <w:b w:val="0"/>
          <w:bCs/>
          <w:color w:val="auto"/>
          <w:lang w:val="en-US" w:eastAsia="zh-CN"/>
        </w:rPr>
      </w:pPr>
      <w:bookmarkStart w:id="260" w:name="_Toc32054"/>
      <w:bookmarkStart w:id="261" w:name="_Toc29343"/>
      <w:bookmarkStart w:id="262" w:name="_Toc27713"/>
      <w:bookmarkStart w:id="263" w:name="_Toc3540"/>
      <w:r>
        <w:rPr>
          <w:rFonts w:hint="eastAsia" w:ascii="仿宋" w:hAnsi="仿宋" w:eastAsia="仿宋" w:cs="仿宋"/>
          <w:b w:val="0"/>
          <w:bCs/>
          <w:color w:val="auto"/>
          <w:lang w:val="en-US" w:eastAsia="zh-CN"/>
        </w:rPr>
        <w:t>2021年石狮市水运业新增全市普通货船载重量43.31万载重吨，按照每载重吨3000元的船舶造价计算，2021年新增固定资产投资额12.99亿元；2022年新增全市普通货船载重量49.85万载重吨，新增固定资产投资额14.96亿元；固定资产投资增长率达到15.11%，2022年石狮市船舶数量增长率为15.22%，满分5分，得4.91分。</w:t>
      </w:r>
      <w:bookmarkEnd w:id="260"/>
      <w:bookmarkEnd w:id="261"/>
      <w:bookmarkEnd w:id="262"/>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64" w:name="_Toc25472"/>
      <w:bookmarkStart w:id="265" w:name="_Toc10137"/>
      <w:bookmarkStart w:id="266" w:name="_Toc24423"/>
      <w:r>
        <w:rPr>
          <w:rFonts w:hint="eastAsia" w:ascii="仿宋" w:hAnsi="仿宋" w:eastAsia="仿宋" w:cs="仿宋"/>
          <w:b w:val="0"/>
          <w:bCs/>
          <w:color w:val="auto"/>
          <w:lang w:val="en-US" w:eastAsia="zh-CN"/>
        </w:rPr>
        <w:t>（2）货运量增长率</w:t>
      </w:r>
      <w:bookmarkEnd w:id="263"/>
      <w:bookmarkEnd w:id="264"/>
      <w:bookmarkEnd w:id="265"/>
      <w:bookmarkEnd w:id="266"/>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67" w:name="_Toc16999"/>
      <w:bookmarkStart w:id="268" w:name="_Toc18205"/>
      <w:bookmarkStart w:id="269" w:name="_Toc1236"/>
      <w:bookmarkStart w:id="270" w:name="_Toc28301"/>
      <w:r>
        <w:rPr>
          <w:rFonts w:hint="eastAsia" w:ascii="仿宋" w:hAnsi="仿宋" w:eastAsia="仿宋" w:cs="仿宋"/>
          <w:b w:val="0"/>
          <w:bCs/>
          <w:color w:val="auto"/>
          <w:lang w:val="en-US" w:eastAsia="zh-CN"/>
        </w:rPr>
        <w:t>2021年1-12月份石狮市全市水路完成货运量5437.48万吨；2022年1-12月份石狮市全市水路累计完成货运量6693.43万吨，比增23.10%。满分4分，得4分。</w:t>
      </w:r>
      <w:bookmarkEnd w:id="267"/>
      <w:bookmarkEnd w:id="268"/>
      <w:bookmarkEnd w:id="269"/>
      <w:bookmarkEnd w:id="270"/>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71" w:name="_Toc21554"/>
      <w:bookmarkStart w:id="272" w:name="_Toc23030"/>
      <w:bookmarkStart w:id="273" w:name="_Toc14502"/>
      <w:bookmarkStart w:id="274" w:name="_Toc17528"/>
      <w:r>
        <w:rPr>
          <w:rFonts w:hint="eastAsia" w:ascii="仿宋" w:hAnsi="仿宋" w:eastAsia="仿宋" w:cs="仿宋"/>
          <w:b w:val="0"/>
          <w:bCs/>
          <w:color w:val="auto"/>
          <w:lang w:val="en-US" w:eastAsia="zh-CN"/>
        </w:rPr>
        <w:t>（3）货运周转量增长率</w:t>
      </w:r>
      <w:bookmarkEnd w:id="271"/>
      <w:bookmarkEnd w:id="272"/>
      <w:bookmarkEnd w:id="273"/>
      <w:bookmarkEnd w:id="274"/>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75" w:name="_Toc20702"/>
      <w:bookmarkStart w:id="276" w:name="_Toc5439"/>
      <w:bookmarkStart w:id="277" w:name="_Toc24155"/>
      <w:bookmarkStart w:id="278" w:name="_Toc29233"/>
      <w:r>
        <w:rPr>
          <w:rFonts w:hint="eastAsia" w:ascii="仿宋" w:hAnsi="仿宋" w:eastAsia="仿宋" w:cs="仿宋"/>
          <w:b w:val="0"/>
          <w:bCs/>
          <w:color w:val="auto"/>
          <w:lang w:val="en-US" w:eastAsia="zh-CN"/>
        </w:rPr>
        <w:t>货运周转量8712637.88万吨公里，2022年1-12月份货运周转量10813952.19万吨公里，比增24.12%。满分4分，得4分。</w:t>
      </w:r>
      <w:bookmarkEnd w:id="275"/>
      <w:bookmarkEnd w:id="276"/>
      <w:bookmarkEnd w:id="277"/>
      <w:bookmarkEnd w:id="278"/>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b/>
          <w:bCs w:val="0"/>
          <w:color w:val="auto"/>
          <w:lang w:eastAsia="zh-CN"/>
        </w:rPr>
      </w:pPr>
      <w:bookmarkStart w:id="279" w:name="_Toc5559"/>
      <w:r>
        <w:rPr>
          <w:rFonts w:hint="eastAsia" w:ascii="仿宋" w:hAnsi="仿宋" w:eastAsia="仿宋" w:cs="仿宋"/>
          <w:b/>
          <w:bCs w:val="0"/>
          <w:color w:val="auto"/>
          <w:lang w:val="en-US" w:eastAsia="zh-CN"/>
        </w:rPr>
        <w:t>2.社会</w:t>
      </w:r>
      <w:r>
        <w:rPr>
          <w:rFonts w:hint="eastAsia" w:ascii="仿宋" w:hAnsi="仿宋" w:eastAsia="仿宋" w:cs="仿宋"/>
          <w:b/>
          <w:bCs w:val="0"/>
          <w:color w:val="auto"/>
          <w:lang w:eastAsia="zh-CN"/>
        </w:rPr>
        <w:t>效益分析</w:t>
      </w:r>
      <w:bookmarkEnd w:id="253"/>
      <w:bookmarkEnd w:id="254"/>
      <w:bookmarkEnd w:id="255"/>
      <w:bookmarkEnd w:id="256"/>
      <w:bookmarkEnd w:id="257"/>
      <w:bookmarkEnd w:id="279"/>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default" w:ascii="仿宋" w:hAnsi="仿宋" w:eastAsia="仿宋" w:cs="仿宋"/>
          <w:b w:val="0"/>
          <w:bCs/>
          <w:color w:val="auto"/>
          <w:lang w:val="en-US" w:eastAsia="zh-CN"/>
        </w:rPr>
      </w:pPr>
      <w:bookmarkStart w:id="280" w:name="_Toc25276"/>
      <w:bookmarkStart w:id="281" w:name="_Toc5070"/>
      <w:bookmarkStart w:id="282" w:name="_Toc30748"/>
      <w:bookmarkStart w:id="283" w:name="_Toc24612"/>
      <w:bookmarkStart w:id="284" w:name="_Toc28916"/>
      <w:bookmarkStart w:id="285" w:name="_Toc3405"/>
      <w:bookmarkStart w:id="286" w:name="_Toc16181"/>
      <w:bookmarkStart w:id="287" w:name="_Toc24300"/>
      <w:bookmarkStart w:id="288" w:name="_Toc27422"/>
      <w:r>
        <w:rPr>
          <w:rFonts w:hint="eastAsia" w:ascii="仿宋" w:hAnsi="仿宋" w:eastAsia="仿宋" w:cs="仿宋"/>
          <w:b w:val="0"/>
          <w:bCs/>
          <w:color w:val="auto"/>
          <w:lang w:val="en-US" w:eastAsia="zh-CN"/>
        </w:rPr>
        <w:t>（1）政策知晓率</w:t>
      </w:r>
      <w:bookmarkEnd w:id="280"/>
      <w:bookmarkEnd w:id="281"/>
      <w:bookmarkEnd w:id="282"/>
      <w:bookmarkEnd w:id="283"/>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89" w:name="_Toc9627"/>
      <w:bookmarkStart w:id="290" w:name="_Toc1943"/>
      <w:bookmarkStart w:id="291" w:name="_Toc9369"/>
      <w:bookmarkStart w:id="292" w:name="_Toc23535"/>
      <w:r>
        <w:rPr>
          <w:rFonts w:hint="eastAsia" w:ascii="仿宋" w:hAnsi="仿宋" w:eastAsia="仿宋" w:cs="仿宋"/>
          <w:b w:val="0"/>
          <w:bCs/>
          <w:color w:val="auto"/>
          <w:lang w:val="en-US" w:eastAsia="zh-CN"/>
        </w:rPr>
        <w:t>根据问卷调查第1题请问贵公司对促进水路运输业发展政策是否了解? ，接受调查的34家企业全部表示了解该政策，政策知晓率达到100%，满分3分，得3分。</w:t>
      </w:r>
      <w:bookmarkEnd w:id="289"/>
      <w:bookmarkEnd w:id="290"/>
      <w:bookmarkEnd w:id="291"/>
      <w:bookmarkEnd w:id="292"/>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93" w:name="_Toc11356"/>
      <w:bookmarkStart w:id="294" w:name="_Toc30404"/>
      <w:bookmarkStart w:id="295" w:name="_Toc4723"/>
      <w:bookmarkStart w:id="296" w:name="_Toc5729"/>
      <w:r>
        <w:rPr>
          <w:rFonts w:hint="eastAsia" w:ascii="仿宋" w:hAnsi="仿宋" w:eastAsia="仿宋" w:cs="仿宋"/>
          <w:b w:val="0"/>
          <w:bCs/>
          <w:color w:val="auto"/>
          <w:lang w:val="en-US" w:eastAsia="zh-CN"/>
        </w:rPr>
        <w:t>（2）水路运输机构带动就业提升度</w:t>
      </w:r>
      <w:bookmarkEnd w:id="293"/>
      <w:bookmarkEnd w:id="294"/>
      <w:bookmarkEnd w:id="295"/>
      <w:bookmarkEnd w:id="296"/>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297" w:name="_Toc7334"/>
      <w:bookmarkStart w:id="298" w:name="_Toc29898"/>
      <w:bookmarkStart w:id="299" w:name="_Toc23809"/>
      <w:bookmarkStart w:id="300" w:name="_Toc23911"/>
      <w:r>
        <w:rPr>
          <w:rFonts w:hint="eastAsia" w:ascii="仿宋" w:hAnsi="仿宋" w:eastAsia="仿宋" w:cs="仿宋"/>
          <w:b w:val="0"/>
          <w:bCs/>
          <w:color w:val="auto"/>
          <w:lang w:val="en-US" w:eastAsia="zh-CN"/>
        </w:rPr>
        <w:t>2022年水路运输企业新增船舶运力规模补助及贷款贴息奖励资金绩效目标表显示，预计2022年实施该政策增加就业机会200个以上，2022年底石狮市水路运输企业总数38家，问卷调查收回34份有效问卷，根据问卷第9题“近年来，贵公司在促进水路运输业发展政策的带动下增加相关就业岗位数量？”，有6家企业表示增加20个以上岗位，有4家企业表示增加10-20个岗位，有5家企业表示增加5-10个岗位，有6家企业表示增加岗位数5个以下，还有13家企业表示没有变化。</w:t>
      </w:r>
      <w:bookmarkEnd w:id="297"/>
      <w:bookmarkEnd w:id="298"/>
      <w:bookmarkEnd w:id="299"/>
      <w:bookmarkEnd w:id="300"/>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0" w:firstLineChars="200"/>
        <w:textAlignment w:val="auto"/>
        <w:outlineLvl w:val="2"/>
        <w:rPr>
          <w:rFonts w:hint="eastAsia" w:ascii="仿宋" w:hAnsi="仿宋" w:eastAsia="仿宋" w:cs="仿宋"/>
          <w:b w:val="0"/>
          <w:bCs/>
          <w:color w:val="auto"/>
          <w:lang w:val="en-US" w:eastAsia="zh-CN"/>
        </w:rPr>
      </w:pPr>
      <w:bookmarkStart w:id="301" w:name="_Toc9758"/>
      <w:bookmarkStart w:id="302" w:name="_Toc9579"/>
      <w:bookmarkStart w:id="303" w:name="_Toc25805"/>
      <w:bookmarkStart w:id="304" w:name="_Toc26854"/>
      <w:r>
        <w:rPr>
          <w:rFonts w:hint="eastAsia" w:ascii="仿宋" w:hAnsi="仿宋" w:eastAsia="仿宋" w:cs="仿宋"/>
          <w:b w:val="0"/>
          <w:bCs/>
          <w:color w:val="auto"/>
          <w:lang w:val="en-US" w:eastAsia="zh-CN"/>
        </w:rPr>
        <w:t>可以看出，接受调查的34家企业在该政策的带动下所增加的岗位数已超过200个。满分5分，得5分。</w:t>
      </w:r>
      <w:bookmarkEnd w:id="301"/>
      <w:bookmarkEnd w:id="302"/>
      <w:bookmarkEnd w:id="303"/>
      <w:bookmarkEnd w:id="304"/>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rPr>
      </w:pPr>
      <w:bookmarkStart w:id="305" w:name="_Toc15005"/>
      <w:r>
        <w:rPr>
          <w:rFonts w:hint="eastAsia" w:ascii="仿宋" w:hAnsi="仿宋" w:eastAsia="仿宋" w:cs="仿宋"/>
          <w:color w:val="auto"/>
          <w:lang w:val="en-US" w:eastAsia="zh-CN"/>
        </w:rPr>
        <w:t>3</w:t>
      </w:r>
      <w:r>
        <w:rPr>
          <w:rFonts w:hint="eastAsia" w:ascii="仿宋" w:hAnsi="仿宋" w:eastAsia="仿宋" w:cs="仿宋"/>
          <w:color w:val="auto"/>
        </w:rPr>
        <w:t>.</w:t>
      </w:r>
      <w:r>
        <w:rPr>
          <w:rFonts w:hint="eastAsia" w:ascii="仿宋" w:hAnsi="仿宋" w:eastAsia="仿宋" w:cs="仿宋"/>
          <w:color w:val="auto"/>
          <w:lang w:val="en-US" w:eastAsia="zh-CN"/>
        </w:rPr>
        <w:t>生态效益</w:t>
      </w:r>
      <w:r>
        <w:rPr>
          <w:rFonts w:hint="eastAsia" w:ascii="仿宋" w:hAnsi="仿宋" w:eastAsia="仿宋" w:cs="仿宋"/>
          <w:color w:val="auto"/>
        </w:rPr>
        <w:t>分析</w:t>
      </w:r>
      <w:bookmarkEnd w:id="258"/>
      <w:bookmarkEnd w:id="259"/>
      <w:bookmarkEnd w:id="284"/>
      <w:bookmarkEnd w:id="285"/>
      <w:bookmarkEnd w:id="286"/>
      <w:bookmarkEnd w:id="287"/>
      <w:bookmarkEnd w:id="288"/>
      <w:bookmarkEnd w:id="305"/>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color w:val="auto"/>
          <w:sz w:val="28"/>
          <w:szCs w:val="28"/>
          <w:lang w:val="en-US" w:eastAsia="zh-CN"/>
        </w:rPr>
      </w:pPr>
      <w:r>
        <w:rPr>
          <w:rFonts w:hint="eastAsia" w:ascii="仿宋" w:hAnsi="仿宋" w:eastAsia="仿宋" w:cs="仿宋"/>
          <w:b w:val="0"/>
          <w:bCs w:val="0"/>
          <w:color w:val="auto"/>
          <w:sz w:val="28"/>
          <w:szCs w:val="28"/>
          <w:lang w:val="en-US" w:eastAsia="zh-CN"/>
        </w:rPr>
        <w:t>政策促进节能减排：</w:t>
      </w:r>
      <w:bookmarkStart w:id="306" w:name="_Toc26892"/>
      <w:bookmarkStart w:id="307" w:name="_Toc20983"/>
      <w:bookmarkStart w:id="308" w:name="_Toc12884"/>
      <w:bookmarkStart w:id="309" w:name="_Toc3071"/>
      <w:bookmarkStart w:id="310" w:name="_Toc17149"/>
      <w:r>
        <w:rPr>
          <w:rFonts w:hint="eastAsia" w:ascii="仿宋" w:hAnsi="仿宋" w:eastAsia="仿宋" w:cs="仿宋"/>
          <w:b w:val="0"/>
          <w:bCs/>
          <w:color w:val="auto"/>
          <w:sz w:val="28"/>
          <w:szCs w:val="28"/>
          <w:lang w:val="en-US" w:eastAsia="zh-CN"/>
        </w:rPr>
        <w:t>根据《泉州市人民政府关于进一步促进水路运输业发展的实施意见》(泉政文〔2021〕15 号)规定，申请船舶贷款贴息的新增船舶应符合交通运输部公布的节能减排标准，评价小组查看2022年领取船舶贷款贴息的企业提交的相关资料，均符合标准。满分3分，得3分。</w:t>
      </w:r>
    </w:p>
    <w:p>
      <w:pPr>
        <w:pStyle w:val="7"/>
        <w:keepNext w:val="0"/>
        <w:keepLines w:val="0"/>
        <w:pageBreakBefore w:val="0"/>
        <w:widowControl w:val="0"/>
        <w:kinsoku/>
        <w:wordWrap/>
        <w:overflowPunct/>
        <w:topLinePunct w:val="0"/>
        <w:autoSpaceDE/>
        <w:autoSpaceDN/>
        <w:bidi w:val="0"/>
        <w:adjustRightInd/>
        <w:snapToGrid/>
        <w:spacing w:beforeLines="0" w:afterLines="0" w:line="240" w:lineRule="auto"/>
        <w:ind w:left="0" w:leftChars="0" w:firstLine="562" w:firstLineChars="200"/>
        <w:textAlignment w:val="auto"/>
        <w:outlineLvl w:val="2"/>
        <w:rPr>
          <w:rFonts w:hint="eastAsia" w:ascii="仿宋" w:hAnsi="仿宋" w:eastAsia="仿宋" w:cs="仿宋"/>
          <w:color w:val="auto"/>
        </w:rPr>
      </w:pPr>
      <w:bookmarkStart w:id="311" w:name="_Toc23379"/>
      <w:r>
        <w:rPr>
          <w:rFonts w:hint="eastAsia" w:ascii="仿宋" w:hAnsi="仿宋" w:eastAsia="仿宋" w:cs="仿宋"/>
          <w:color w:val="auto"/>
          <w:lang w:val="en-US" w:eastAsia="zh-CN"/>
        </w:rPr>
        <w:t>4</w:t>
      </w:r>
      <w:r>
        <w:rPr>
          <w:rFonts w:hint="eastAsia" w:ascii="仿宋" w:hAnsi="仿宋" w:eastAsia="仿宋" w:cs="仿宋"/>
          <w:color w:val="auto"/>
        </w:rPr>
        <w:t>.服务对象满意度</w:t>
      </w:r>
      <w:bookmarkEnd w:id="306"/>
      <w:bookmarkEnd w:id="307"/>
      <w:bookmarkEnd w:id="308"/>
      <w:bookmarkEnd w:id="309"/>
      <w:bookmarkEnd w:id="310"/>
      <w:bookmarkEnd w:id="311"/>
    </w:p>
    <w:bookmarkEnd w:id="116"/>
    <w:p>
      <w:pPr>
        <w:keepLines w:val="0"/>
        <w:pageBreakBefore w:val="0"/>
        <w:widowControl w:val="0"/>
        <w:kinsoku/>
        <w:wordWrap/>
        <w:overflowPunct/>
        <w:topLinePunct w:val="0"/>
        <w:autoSpaceDE/>
        <w:autoSpaceDN/>
        <w:bidi w:val="0"/>
        <w:adjustRightInd/>
        <w:snapToGrid/>
        <w:spacing w:line="240" w:lineRule="auto"/>
        <w:ind w:left="0" w:leftChars="0" w:firstLine="560" w:firstLineChars="200"/>
        <w:outlineLvl w:val="0"/>
        <w:rPr>
          <w:rFonts w:hint="eastAsia" w:ascii="仿宋" w:hAnsi="仿宋" w:eastAsia="仿宋" w:cs="仿宋"/>
          <w:i w:val="0"/>
          <w:iCs w:val="0"/>
          <w:color w:val="auto"/>
          <w:sz w:val="28"/>
          <w:szCs w:val="28"/>
          <w:u w:val="none"/>
          <w:lang w:val="en-US" w:eastAsia="zh-CN"/>
        </w:rPr>
      </w:pPr>
      <w:bookmarkStart w:id="312" w:name="_Toc8779"/>
      <w:bookmarkStart w:id="313" w:name="_Toc32366"/>
      <w:bookmarkStart w:id="314" w:name="_Toc8596"/>
      <w:bookmarkStart w:id="315" w:name="_Toc8244"/>
      <w:bookmarkStart w:id="316" w:name="_Toc9754"/>
      <w:r>
        <w:rPr>
          <w:rFonts w:hint="eastAsia" w:ascii="仿宋" w:hAnsi="仿宋" w:eastAsia="仿宋" w:cs="仿宋"/>
          <w:i w:val="0"/>
          <w:iCs w:val="0"/>
          <w:color w:val="auto"/>
          <w:sz w:val="28"/>
          <w:szCs w:val="28"/>
          <w:u w:val="none"/>
          <w:lang w:val="en-US" w:eastAsia="zh-CN"/>
        </w:rPr>
        <w:t>根据问卷调查第11题“贵公司对促进水路运输业发展实施意见的综合评价？”，接受调查的34家企业，有25家企业表示非常满意，9家企业表示比较满意，满意度达到100%，</w:t>
      </w:r>
      <w:r>
        <w:rPr>
          <w:rFonts w:hint="eastAsia" w:ascii="仿宋" w:hAnsi="仿宋" w:eastAsia="仿宋" w:cs="仿宋"/>
          <w:b w:val="0"/>
          <w:bCs/>
          <w:color w:val="auto"/>
          <w:sz w:val="28"/>
          <w:szCs w:val="28"/>
          <w:lang w:val="en-US" w:eastAsia="zh-CN"/>
        </w:rPr>
        <w:t>满分5分，</w:t>
      </w:r>
      <w:r>
        <w:rPr>
          <w:rFonts w:hint="eastAsia" w:ascii="仿宋" w:hAnsi="仿宋" w:eastAsia="仿宋" w:cs="仿宋"/>
          <w:i w:val="0"/>
          <w:iCs w:val="0"/>
          <w:color w:val="auto"/>
          <w:sz w:val="28"/>
          <w:szCs w:val="28"/>
          <w:u w:val="none"/>
          <w:lang w:val="en-US" w:eastAsia="zh-CN"/>
        </w:rPr>
        <w:t>得5分。</w:t>
      </w:r>
      <w:bookmarkEnd w:id="312"/>
      <w:bookmarkEnd w:id="313"/>
      <w:bookmarkEnd w:id="314"/>
      <w:bookmarkEnd w:id="315"/>
    </w:p>
    <w:p>
      <w:pPr>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0"/>
        <w:rPr>
          <w:rFonts w:hint="eastAsia" w:ascii="黑体" w:hAnsi="黑体" w:eastAsia="黑体" w:cs="黑体"/>
          <w:b/>
          <w:color w:val="auto"/>
          <w:sz w:val="28"/>
          <w:szCs w:val="28"/>
          <w:lang w:eastAsia="zh-CN"/>
        </w:rPr>
      </w:pPr>
      <w:bookmarkStart w:id="317" w:name="_Toc29753"/>
      <w:r>
        <w:rPr>
          <w:rFonts w:hint="eastAsia" w:ascii="黑体" w:hAnsi="黑体" w:eastAsia="黑体" w:cs="黑体"/>
          <w:b/>
          <w:color w:val="auto"/>
          <w:sz w:val="28"/>
          <w:szCs w:val="28"/>
          <w:lang w:val="en-US" w:eastAsia="zh-CN"/>
        </w:rPr>
        <w:t>七</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主要问题</w:t>
      </w:r>
      <w:bookmarkEnd w:id="316"/>
      <w:bookmarkEnd w:id="317"/>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textAlignment w:val="auto"/>
        <w:outlineLvl w:val="1"/>
        <w:rPr>
          <w:rFonts w:hint="eastAsia" w:ascii="楷体" w:hAnsi="楷体" w:eastAsia="楷体" w:cs="楷体"/>
          <w:b/>
          <w:bCs/>
          <w:color w:val="auto"/>
          <w:kern w:val="2"/>
          <w:sz w:val="28"/>
          <w:szCs w:val="28"/>
          <w:lang w:val="en-US" w:eastAsia="zh-CN" w:bidi="ar-SA"/>
        </w:rPr>
      </w:pPr>
      <w:bookmarkStart w:id="318" w:name="_Toc2332"/>
      <w:r>
        <w:rPr>
          <w:rFonts w:hint="eastAsia" w:ascii="楷体" w:hAnsi="楷体" w:eastAsia="楷体" w:cs="楷体"/>
          <w:b/>
          <w:bCs/>
          <w:color w:val="auto"/>
          <w:kern w:val="2"/>
          <w:sz w:val="28"/>
          <w:szCs w:val="28"/>
          <w:lang w:val="en-US" w:eastAsia="zh-CN" w:bidi="ar-SA"/>
        </w:rPr>
        <w:t>（一）政策的执行与规范性文件的衔接上存在瑕疵</w:t>
      </w:r>
      <w:bookmarkEnd w:id="318"/>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0"/>
        <w:rPr>
          <w:rFonts w:hint="eastAsia" w:ascii="仿宋" w:hAnsi="仿宋" w:eastAsia="仿宋" w:cs="仿宋"/>
          <w:b w:val="0"/>
          <w:bCs/>
          <w:color w:val="auto"/>
          <w:sz w:val="28"/>
          <w:szCs w:val="28"/>
          <w:lang w:val="en-US" w:eastAsia="zh-CN"/>
        </w:rPr>
      </w:pPr>
      <w:bookmarkStart w:id="319" w:name="_Toc32542"/>
      <w:bookmarkStart w:id="320" w:name="_Toc22407"/>
      <w:bookmarkStart w:id="321" w:name="_Toc27850"/>
      <w:r>
        <w:rPr>
          <w:rFonts w:hint="eastAsia" w:ascii="仿宋" w:hAnsi="仿宋" w:eastAsia="仿宋" w:cs="仿宋"/>
          <w:b w:val="0"/>
          <w:bCs/>
          <w:color w:val="auto"/>
          <w:sz w:val="28"/>
          <w:szCs w:val="28"/>
          <w:lang w:val="en-US" w:eastAsia="zh-CN"/>
        </w:rPr>
        <w:t>总体来看，石狮市水路运输业的奖励金申报兑现率达到100%，在政策的引导下，行业的经济效益、社会效益、生态效益都得到了较好的体现，同时在满意度调查过程中可以看出，水运企业对石狮市的水路运输业扶持政策以及石狮市交通和港口发展局水路运输股工作人员的服务都有较高的满意度。主要问题在于政策的执行与规范性文件的衔接上存在瑕疵。石狮市的水路运输业扶持政策参照泉州市执行，过程管理也相应参照《泉州市促进水路运输业发展专项资金管理规定》的通知（泉交财〔2021〕5号）执行，虽流程步骤上没有偏差，但在时间节点上偏差较大。泉州市里的管理规定要求企业在1月31日完成申报，但石狮市交通和港口发展局通知企业进行政策申报的时间集中在每年4-5月份，2022年9月、10月、11月都还有企业在惠企平台上提起申报流程；相应的，项目亦无法按管理规定的要求在4月30日前完成审核、在5月30日前完成资金的兑付。</w:t>
      </w:r>
      <w:bookmarkEnd w:id="319"/>
      <w:bookmarkEnd w:id="320"/>
      <w:bookmarkEnd w:id="321"/>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outlineLvl w:val="1"/>
        <w:rPr>
          <w:rFonts w:hint="eastAsia" w:ascii="楷体" w:hAnsi="楷体" w:eastAsia="楷体" w:cs="楷体"/>
          <w:b/>
          <w:bCs/>
          <w:color w:val="auto"/>
          <w:sz w:val="28"/>
          <w:szCs w:val="28"/>
          <w:lang w:val="en-US" w:eastAsia="zh-CN"/>
        </w:rPr>
      </w:pPr>
      <w:bookmarkStart w:id="322" w:name="_Toc6960"/>
      <w:r>
        <w:rPr>
          <w:rFonts w:hint="eastAsia" w:ascii="楷体" w:hAnsi="楷体" w:eastAsia="楷体" w:cs="楷体"/>
          <w:b/>
          <w:bCs/>
          <w:color w:val="auto"/>
          <w:sz w:val="28"/>
          <w:szCs w:val="28"/>
          <w:lang w:val="en-US" w:eastAsia="zh-CN"/>
        </w:rPr>
        <w:t>（二）部分政策兑现存在凑齐批量审核现象</w:t>
      </w:r>
      <w:bookmarkEnd w:id="322"/>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为加快兑现惠企资金效率，惠企平台由企业自主随时申报，设立初期强调坚持“成熟一个审批一个”，但平台运行后，存在政策未及时上架、集中时间通知企业申报、凑齐批量审核等问题，影响企业申报感受及奖补效率。其中尤以船舶贷款贴息更为明显。船舶贷款贴息的贴息额由交通和港口发展局委托第三方审计后进行确认，中间耗费时间较长，部门应在2021年度结束后及时通知企业申请资金，但根据申报情况，企业直到2022年10月才申请补助。</w:t>
      </w:r>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outlineLvl w:val="1"/>
        <w:rPr>
          <w:rFonts w:hint="eastAsia" w:ascii="楷体" w:hAnsi="楷体" w:eastAsia="楷体" w:cs="楷体"/>
          <w:b/>
          <w:bCs/>
          <w:color w:val="auto"/>
          <w:sz w:val="28"/>
          <w:szCs w:val="28"/>
          <w:lang w:val="en-US" w:eastAsia="zh-CN"/>
        </w:rPr>
      </w:pPr>
      <w:bookmarkStart w:id="323" w:name="_Toc606"/>
      <w:r>
        <w:rPr>
          <w:rFonts w:hint="eastAsia" w:ascii="楷体" w:hAnsi="楷体" w:eastAsia="楷体" w:cs="楷体"/>
          <w:b/>
          <w:bCs/>
          <w:color w:val="auto"/>
          <w:sz w:val="28"/>
          <w:szCs w:val="28"/>
          <w:lang w:val="en-US" w:eastAsia="zh-CN"/>
        </w:rPr>
        <w:t>（三）新增船舶稳定性不足，迁出船舶数量多</w:t>
      </w:r>
      <w:bookmarkEnd w:id="323"/>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rPr>
          <w:rFonts w:hint="eastAsia"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根据《泉州市人民政府关于进一步促进水路运输业发展的实施意见》(泉政文〔2021〕15 号)规定，企业或所属船舶未满5年迁出本市的、在承诺经营期内出现低于已获奖励运力规模的，企业需全额退回已兑现的奖励资金。该政策执行期间，截至2021年共有44艘船舶已申领水路运输业发展奖补政策资金，有8艘船舶未满5年迁出石狮市，其中5艘光租船舶，3艘船舶出售（具体迁出船舶明细见附件2）。而2022年新增船舶数量24艘，当年也迁出了14艘（光租）。大量新增船舶被光租出去，虽光租船舶资产所有权未转移，但仍与政策相悖。</w:t>
      </w:r>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船舶的光租属于正常的市场行为，近年来，船舶光租随着贸易和投资的变化越来越普遍，部分水运企业出于企业发展考虑通过船舶光租进行老旧船舶淘汰；有些企业不具备特定货物、特定航线运输资质可通过船舶光租解决资质难题；也有部分投资者无意承担航运的业务和风险，通过船舶光租获取合理的固定利润；或者其他地区在水运的政策奖补力度上优于本地等，也可能造成船舶的光租而迁出本地。因船舶光租迁出石狮市的企业或船舶所申领的奖补资金，已全部由石狮市交通和港口发展局追回。</w:t>
      </w:r>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rPr>
          <w:rFonts w:hint="default" w:ascii="仿宋" w:hAnsi="仿宋" w:eastAsia="仿宋" w:cs="仿宋"/>
          <w:b w:val="0"/>
          <w:bCs/>
          <w:color w:val="auto"/>
          <w:sz w:val="28"/>
          <w:szCs w:val="28"/>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textAlignment w:val="auto"/>
        <w:outlineLvl w:val="0"/>
        <w:rPr>
          <w:rFonts w:hint="eastAsia" w:ascii="黑体" w:hAnsi="黑体" w:eastAsia="黑体" w:cs="黑体"/>
          <w:b/>
          <w:bCs/>
          <w:color w:val="auto"/>
          <w:kern w:val="2"/>
          <w:sz w:val="28"/>
          <w:szCs w:val="28"/>
          <w:lang w:val="en-US" w:eastAsia="zh-CN" w:bidi="ar-SA"/>
        </w:rPr>
      </w:pPr>
      <w:bookmarkStart w:id="324" w:name="_Toc14757"/>
      <w:bookmarkStart w:id="325" w:name="_Toc8905"/>
      <w:r>
        <w:rPr>
          <w:rFonts w:hint="eastAsia" w:ascii="黑体" w:hAnsi="黑体" w:eastAsia="黑体" w:cs="黑体"/>
          <w:b/>
          <w:bCs/>
          <w:color w:val="auto"/>
          <w:kern w:val="2"/>
          <w:sz w:val="28"/>
          <w:szCs w:val="28"/>
          <w:lang w:val="en-US" w:eastAsia="zh-CN" w:bidi="ar-SA"/>
        </w:rPr>
        <w:t>八、建议</w:t>
      </w:r>
      <w:bookmarkEnd w:id="324"/>
      <w:bookmarkEnd w:id="325"/>
    </w:p>
    <w:p>
      <w:pPr>
        <w:pStyle w:val="12"/>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color w:val="auto"/>
          <w:kern w:val="2"/>
          <w:sz w:val="28"/>
          <w:szCs w:val="28"/>
          <w:lang w:val="en-US" w:eastAsia="zh-CN" w:bidi="ar-SA"/>
        </w:rPr>
      </w:pPr>
      <w:bookmarkStart w:id="326" w:name="_Toc16786"/>
      <w:bookmarkStart w:id="327" w:name="_Toc18237"/>
      <w:bookmarkStart w:id="328" w:name="_Toc10206"/>
      <w:bookmarkStart w:id="329" w:name="_Toc9092"/>
      <w:bookmarkStart w:id="330" w:name="_Toc17399"/>
      <w:bookmarkStart w:id="331" w:name="_Toc6286"/>
      <w:bookmarkStart w:id="332" w:name="_Toc21753"/>
      <w:bookmarkStart w:id="333" w:name="_Toc3011"/>
      <w:bookmarkStart w:id="334" w:name="_Toc32454"/>
      <w:r>
        <w:rPr>
          <w:rFonts w:hint="eastAsia" w:ascii="楷体" w:hAnsi="楷体" w:eastAsia="楷体" w:cs="楷体"/>
          <w:b/>
          <w:bCs/>
          <w:color w:val="auto"/>
          <w:kern w:val="2"/>
          <w:sz w:val="28"/>
          <w:szCs w:val="28"/>
          <w:lang w:val="en-US" w:eastAsia="zh-CN" w:bidi="ar-SA"/>
        </w:rPr>
        <w:t>（一）完善政策管理制度或提高制度执行有效性</w:t>
      </w:r>
      <w:bookmarkEnd w:id="326"/>
    </w:p>
    <w:p>
      <w:pPr>
        <w:pStyle w:val="12"/>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default"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若泉州市资金管理规定无法与石狮市相适应的情况，可选择制定与石狮市本地区相适应的政策及管理规定（或实施细则），并严格参照执行，起到约束和规范政策执行的作用。或是要提高交通运输部门的政策执行效率，使政策执行进度能够跟上泉州市管理规定的时间节点。</w:t>
      </w:r>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outlineLvl w:val="1"/>
        <w:rPr>
          <w:rFonts w:hint="eastAsia" w:ascii="楷体" w:hAnsi="楷体" w:eastAsia="楷体" w:cs="楷体"/>
          <w:b/>
          <w:bCs/>
          <w:color w:val="auto"/>
          <w:sz w:val="28"/>
          <w:szCs w:val="28"/>
          <w:lang w:val="en-US" w:eastAsia="zh-CN"/>
        </w:rPr>
      </w:pPr>
      <w:bookmarkStart w:id="335" w:name="_Toc1012"/>
      <w:r>
        <w:rPr>
          <w:rFonts w:hint="eastAsia" w:ascii="楷体" w:hAnsi="楷体" w:eastAsia="楷体" w:cs="楷体"/>
          <w:b/>
          <w:bCs/>
          <w:color w:val="auto"/>
          <w:sz w:val="28"/>
          <w:szCs w:val="28"/>
          <w:lang w:val="en-US" w:eastAsia="zh-CN"/>
        </w:rPr>
        <w:t>（二）定期审核、及时审批</w:t>
      </w:r>
      <w:bookmarkEnd w:id="335"/>
    </w:p>
    <w:p>
      <w:pPr>
        <w:pStyle w:val="2"/>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rPr>
          <w:rFonts w:hint="default" w:ascii="仿宋" w:hAnsi="仿宋" w:eastAsia="仿宋" w:cs="仿宋"/>
          <w:b w:val="0"/>
          <w:bCs w:val="0"/>
          <w:color w:val="auto"/>
          <w:kern w:val="2"/>
          <w:sz w:val="28"/>
          <w:szCs w:val="28"/>
          <w:lang w:val="en-US" w:eastAsia="zh-CN" w:bidi="ar-SA"/>
        </w:rPr>
      </w:pPr>
      <w:r>
        <w:rPr>
          <w:rFonts w:hint="default" w:ascii="仿宋" w:hAnsi="仿宋" w:eastAsia="仿宋" w:cs="仿宋"/>
          <w:b w:val="0"/>
          <w:bCs w:val="0"/>
          <w:color w:val="auto"/>
          <w:kern w:val="2"/>
          <w:sz w:val="28"/>
          <w:szCs w:val="28"/>
          <w:lang w:val="en-US" w:eastAsia="zh-CN" w:bidi="ar-SA"/>
        </w:rPr>
        <w:t>为加快兑现惠企资金效率，</w:t>
      </w:r>
      <w:r>
        <w:rPr>
          <w:rFonts w:hint="eastAsia" w:ascii="仿宋" w:hAnsi="仿宋" w:eastAsia="仿宋" w:cs="仿宋"/>
          <w:b w:val="0"/>
          <w:bCs w:val="0"/>
          <w:color w:val="auto"/>
          <w:kern w:val="2"/>
          <w:sz w:val="28"/>
          <w:szCs w:val="28"/>
          <w:lang w:val="en-US" w:eastAsia="zh-CN" w:bidi="ar-SA"/>
        </w:rPr>
        <w:t>若部门经办人员无法做到</w:t>
      </w:r>
      <w:r>
        <w:rPr>
          <w:rFonts w:hint="default" w:ascii="仿宋" w:hAnsi="仿宋" w:eastAsia="仿宋" w:cs="仿宋"/>
          <w:b w:val="0"/>
          <w:bCs w:val="0"/>
          <w:color w:val="auto"/>
          <w:kern w:val="2"/>
          <w:sz w:val="28"/>
          <w:szCs w:val="28"/>
          <w:lang w:val="en-US" w:eastAsia="zh-CN" w:bidi="ar-SA"/>
        </w:rPr>
        <w:t>“成熟一个审批一个”</w:t>
      </w:r>
      <w:r>
        <w:rPr>
          <w:rFonts w:hint="eastAsia" w:ascii="仿宋" w:hAnsi="仿宋" w:eastAsia="仿宋" w:cs="仿宋"/>
          <w:b w:val="0"/>
          <w:bCs w:val="0"/>
          <w:color w:val="auto"/>
          <w:kern w:val="2"/>
          <w:sz w:val="28"/>
          <w:szCs w:val="28"/>
          <w:lang w:val="en-US" w:eastAsia="zh-CN" w:bidi="ar-SA"/>
        </w:rPr>
        <w:t>的实时审批效果，可规定每周抽出一两个固定的时间进行政策申报的审核与审批，确保惠企资金的兑现效率，提高企业的申报积极性，高效实现政策的奖补初衷。</w:t>
      </w:r>
    </w:p>
    <w:p>
      <w:pPr>
        <w:pStyle w:val="12"/>
        <w:keepNext w:val="0"/>
        <w:keepLines w:val="0"/>
        <w:pageBreakBefore w:val="0"/>
        <w:widowControl w:val="0"/>
        <w:kinsoku/>
        <w:wordWrap/>
        <w:overflowPunct/>
        <w:topLinePunct w:val="0"/>
        <w:autoSpaceDE/>
        <w:autoSpaceDN/>
        <w:bidi w:val="0"/>
        <w:adjustRightInd/>
        <w:snapToGrid/>
        <w:spacing w:line="240" w:lineRule="auto"/>
        <w:ind w:left="0" w:leftChars="0" w:firstLine="562" w:firstLineChars="200"/>
        <w:textAlignment w:val="auto"/>
        <w:outlineLvl w:val="1"/>
        <w:rPr>
          <w:rFonts w:hint="eastAsia" w:ascii="楷体" w:hAnsi="楷体" w:eastAsia="楷体" w:cs="楷体"/>
          <w:b/>
          <w:bCs/>
          <w:color w:val="auto"/>
          <w:kern w:val="2"/>
          <w:sz w:val="28"/>
          <w:szCs w:val="28"/>
          <w:lang w:val="en-US" w:eastAsia="zh-CN" w:bidi="ar-SA"/>
        </w:rPr>
      </w:pPr>
      <w:bookmarkStart w:id="336" w:name="_Toc17409"/>
      <w:r>
        <w:rPr>
          <w:rFonts w:hint="eastAsia" w:ascii="楷体" w:hAnsi="楷体" w:eastAsia="楷体" w:cs="楷体"/>
          <w:b/>
          <w:bCs/>
          <w:color w:val="auto"/>
          <w:kern w:val="2"/>
          <w:sz w:val="28"/>
          <w:szCs w:val="28"/>
          <w:lang w:val="en-US" w:eastAsia="zh-CN" w:bidi="ar-SA"/>
        </w:rPr>
        <w:t>（三）下一步应以水路运输业提质增效为目标，提升行业管理水平</w:t>
      </w:r>
      <w:bookmarkEnd w:id="336"/>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textAlignment w:val="auto"/>
        <w:rPr>
          <w:rFonts w:hint="default"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石狮市政府可在政策层面进行细化优化，在政府部门服务层面提高服务管理水平，减少船舶迁出石狮市。</w:t>
      </w:r>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政策层面，可在促进龙头企业发展、吸引车辆船舶落籍、大力扶持本地运输企业发展等方面进行细化，摸查全市水运企业融资需求，与金融机构对接，引导金融机构创新符合道路水路运输企业特点的动产质押类贷款产品。鼓励金融机构按市场化原则对信用等级较高的水路运输企业加大融资支持力度，主管部门及时向金融机构提供企业清单。鼓励符合条件的水路运输企业发行公司信用类债券，拓宽水路运输业企业多元化融资渠道。</w:t>
      </w:r>
    </w:p>
    <w:p>
      <w:pPr>
        <w:pStyle w:val="12"/>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政府部门层面，继续推动统一开放、竞争有序的航运市场建设，加强事中事后监管，推进联合奖惩及信用记录评价工作，完善信用体系建设;着力补短板、优服务、转动能、强保障，加快形成水运业高质量发展体系。继续深入水运企业宣讲各级扶持政策，协助做好奖补申报工作，鼓励企业新建节能环保船舶、将外挂船舶回迁；支持航运企业做精做强，加强航运企业间的合作，形成具有一定规模的骨干企业;引导航运企业与货主、港口、物流企业的联合;推进信息化发展，提升石狮市水运公共服务能力；为深入实施强产业、兴城市双轮驱动战略贡献水运力量。</w:t>
      </w:r>
    </w:p>
    <w:p>
      <w:pPr>
        <w:pStyle w:val="2"/>
        <w:keepLines w:val="0"/>
        <w:pageBreakBefore w:val="0"/>
        <w:widowControl w:val="0"/>
        <w:kinsoku/>
        <w:wordWrap/>
        <w:overflowPunct/>
        <w:topLinePunct w:val="0"/>
        <w:autoSpaceDE/>
        <w:autoSpaceDN/>
        <w:bidi w:val="0"/>
        <w:adjustRightInd/>
        <w:snapToGrid/>
        <w:rPr>
          <w:rFonts w:hint="eastAsia" w:ascii="仿宋" w:hAnsi="仿宋" w:eastAsia="仿宋" w:cs="仿宋"/>
          <w:b w:val="0"/>
          <w:bCs w:val="0"/>
          <w:color w:val="auto"/>
          <w:kern w:val="2"/>
          <w:sz w:val="28"/>
          <w:szCs w:val="28"/>
          <w:lang w:val="en-US" w:eastAsia="zh-CN" w:bidi="ar-SA"/>
        </w:rPr>
      </w:pPr>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outlineLvl w:val="0"/>
        <w:rPr>
          <w:rFonts w:hint="eastAsia" w:ascii="黑体" w:hAnsi="黑体" w:eastAsia="黑体" w:cs="黑体"/>
          <w:b/>
          <w:bCs/>
          <w:color w:val="auto"/>
          <w:sz w:val="28"/>
          <w:szCs w:val="28"/>
        </w:rPr>
      </w:pPr>
      <w:bookmarkStart w:id="337" w:name="_Toc27952"/>
      <w:r>
        <w:rPr>
          <w:rFonts w:hint="eastAsia" w:ascii="黑体" w:hAnsi="黑体" w:eastAsia="黑体" w:cs="黑体"/>
          <w:b/>
          <w:bCs/>
          <w:color w:val="auto"/>
          <w:sz w:val="28"/>
          <w:szCs w:val="28"/>
          <w:lang w:val="en-US" w:eastAsia="zh-CN"/>
        </w:rPr>
        <w:t>九、</w:t>
      </w:r>
      <w:r>
        <w:rPr>
          <w:rFonts w:hint="eastAsia" w:ascii="黑体" w:hAnsi="黑体" w:eastAsia="黑体" w:cs="黑体"/>
          <w:b/>
          <w:bCs/>
          <w:color w:val="auto"/>
          <w:sz w:val="28"/>
          <w:szCs w:val="28"/>
        </w:rPr>
        <w:t>其他需说明的事项</w:t>
      </w:r>
      <w:bookmarkEnd w:id="327"/>
      <w:bookmarkEnd w:id="328"/>
      <w:bookmarkEnd w:id="329"/>
      <w:bookmarkEnd w:id="330"/>
      <w:bookmarkEnd w:id="331"/>
      <w:bookmarkEnd w:id="332"/>
      <w:bookmarkEnd w:id="333"/>
      <w:bookmarkEnd w:id="334"/>
      <w:bookmarkEnd w:id="337"/>
    </w:p>
    <w:p>
      <w:pPr>
        <w:pStyle w:val="2"/>
        <w:keepNext w:val="0"/>
        <w:keepLines w:val="0"/>
        <w:pageBreakBefore w:val="0"/>
        <w:widowControl w:val="0"/>
        <w:kinsoku/>
        <w:wordWrap/>
        <w:overflowPunct/>
        <w:topLinePunct w:val="0"/>
        <w:autoSpaceDE/>
        <w:autoSpaceDN/>
        <w:bidi w:val="0"/>
        <w:adjustRightInd/>
        <w:snapToGrid/>
        <w:ind w:left="0" w:leftChars="0"/>
        <w:textAlignment w:val="auto"/>
        <w:rPr>
          <w:rFonts w:hint="default"/>
          <w:lang w:val="en-US" w:eastAsia="zh-CN"/>
        </w:rPr>
      </w:pPr>
      <w:r>
        <w:rPr>
          <w:rFonts w:hint="eastAsia" w:ascii="仿宋" w:hAnsi="仿宋" w:eastAsia="仿宋" w:cs="仿宋"/>
          <w:color w:val="auto"/>
          <w:sz w:val="28"/>
          <w:szCs w:val="28"/>
          <w:lang w:val="en-US" w:eastAsia="zh-CN"/>
        </w:rPr>
        <w:t>1.关于指标修改的解释：</w:t>
      </w:r>
      <w:r>
        <w:rPr>
          <w:rFonts w:hint="eastAsia" w:ascii="仿宋" w:hAnsi="仿宋" w:eastAsia="仿宋" w:cs="仿宋"/>
          <w:b w:val="0"/>
          <w:bCs/>
          <w:color w:val="auto"/>
          <w:sz w:val="28"/>
          <w:szCs w:val="28"/>
          <w:lang w:val="en-US" w:eastAsia="zh-CN"/>
        </w:rPr>
        <w:t>近年来，在政策的引导下，水路运输业发展效果良好，石狮市新增水运企业也明显增加，在对石狮市水路运输业发展政策进行效益分析时，评价小组原先考虑通过采用水路运输业税收贡献度来评价，从目前的数据上看，水路运输业的税收贡献度还无法达到预期，但从现实角度考虑，水路运输业扶持政策执行时间不长，近几年水运企业、新建船舶数量虽在增长，对于新增水运企业及新建船舶，根据现行的税收优惠政策，必然导致短期内该部分企业退税、减免税的情况，税收效益就无法在初期直观地显现出来，而一艘新建的船舶寿命大概在20-30年，故本政策在税收上带来的经济效益还需从长远来看。为此，我中心评价小组决定删除该指标。</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.本绩效评价报告是</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lang w:eastAsia="zh-CN"/>
        </w:rPr>
        <w:t>石狮市交通运输和港口发展局</w:t>
      </w:r>
      <w:r>
        <w:rPr>
          <w:rFonts w:hint="eastAsia" w:ascii="仿宋" w:hAnsi="仿宋" w:eastAsia="仿宋" w:cs="仿宋"/>
          <w:color w:val="auto"/>
          <w:sz w:val="28"/>
          <w:szCs w:val="28"/>
        </w:rPr>
        <w:t>提供</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rPr>
        <w:t>资料及回收的问卷数据基础上形成的。</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rPr>
          <w:rFonts w:hint="eastAsia"/>
          <w:color w:val="auto"/>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.本绩效评价报告仅供</w:t>
      </w:r>
      <w:r>
        <w:rPr>
          <w:rFonts w:hint="eastAsia" w:ascii="仿宋" w:hAnsi="仿宋" w:eastAsia="仿宋" w:cs="仿宋"/>
          <w:color w:val="auto"/>
          <w:sz w:val="28"/>
          <w:szCs w:val="28"/>
          <w:lang w:eastAsia="zh-CN"/>
        </w:rPr>
        <w:t>石狮市财政局</w:t>
      </w:r>
      <w:r>
        <w:rPr>
          <w:rFonts w:hint="eastAsia" w:ascii="仿宋" w:hAnsi="仿宋" w:eastAsia="仿宋" w:cs="仿宋"/>
          <w:color w:val="auto"/>
          <w:sz w:val="28"/>
          <w:szCs w:val="28"/>
        </w:rPr>
        <w:t>和</w:t>
      </w:r>
      <w:r>
        <w:rPr>
          <w:rFonts w:hint="eastAsia" w:ascii="仿宋" w:hAnsi="仿宋" w:eastAsia="仿宋" w:cs="仿宋"/>
          <w:color w:val="auto"/>
          <w:sz w:val="28"/>
          <w:szCs w:val="28"/>
          <w:lang w:eastAsia="zh-CN"/>
        </w:rPr>
        <w:t>石狮市交通运输和港口发展局</w:t>
      </w:r>
      <w:r>
        <w:rPr>
          <w:rFonts w:hint="eastAsia" w:ascii="仿宋" w:hAnsi="仿宋" w:eastAsia="仿宋" w:cs="仿宋"/>
          <w:color w:val="auto"/>
          <w:sz w:val="28"/>
          <w:szCs w:val="28"/>
        </w:rPr>
        <w:t>开展</w:t>
      </w:r>
      <w:r>
        <w:rPr>
          <w:rFonts w:hint="eastAsia" w:ascii="仿宋" w:hAnsi="仿宋" w:eastAsia="仿宋" w:cs="仿宋"/>
          <w:color w:val="auto"/>
          <w:sz w:val="28"/>
          <w:szCs w:val="28"/>
          <w:lang w:val="en-US" w:eastAsia="zh-CN"/>
        </w:rPr>
        <w:t>2022年度石狮市水路运输业补贴资金</w:t>
      </w:r>
      <w:r>
        <w:rPr>
          <w:rFonts w:hint="eastAsia" w:ascii="仿宋" w:hAnsi="仿宋" w:eastAsia="仿宋" w:cs="仿宋"/>
          <w:color w:val="auto"/>
          <w:sz w:val="28"/>
          <w:szCs w:val="28"/>
        </w:rPr>
        <w:t>绩效评价相关工作使用，不作他用。</w:t>
      </w:r>
    </w:p>
    <w:p>
      <w:pPr>
        <w:keepLines w:val="0"/>
        <w:pageBreakBefore w:val="0"/>
        <w:widowControl w:val="0"/>
        <w:kinsoku/>
        <w:wordWrap/>
        <w:overflowPunct/>
        <w:topLinePunct w:val="0"/>
        <w:autoSpaceDE/>
        <w:autoSpaceDN/>
        <w:bidi w:val="0"/>
        <w:adjustRightInd/>
        <w:snapToGrid/>
        <w:spacing w:line="240" w:lineRule="auto"/>
        <w:ind w:left="0" w:leftChars="0" w:firstLine="562" w:firstLineChars="200"/>
        <w:outlineLvl w:val="0"/>
        <w:rPr>
          <w:rFonts w:hint="eastAsia" w:ascii="黑体" w:hAnsi="黑体" w:eastAsia="黑体" w:cs="黑体"/>
          <w:b/>
          <w:bCs/>
          <w:color w:val="auto"/>
          <w:sz w:val="28"/>
          <w:szCs w:val="28"/>
        </w:rPr>
      </w:pPr>
      <w:bookmarkStart w:id="338" w:name="_Toc23930"/>
      <w:bookmarkStart w:id="339" w:name="_Toc10954"/>
      <w:bookmarkStart w:id="340" w:name="_Toc30789"/>
      <w:bookmarkStart w:id="341" w:name="_Toc17094"/>
      <w:bookmarkStart w:id="342" w:name="_Toc27474"/>
      <w:bookmarkStart w:id="343" w:name="_Toc30927"/>
      <w:r>
        <w:rPr>
          <w:rFonts w:hint="eastAsia" w:ascii="黑体" w:hAnsi="黑体" w:eastAsia="黑体" w:cs="黑体"/>
          <w:b/>
          <w:bCs/>
          <w:color w:val="auto"/>
          <w:sz w:val="28"/>
          <w:szCs w:val="28"/>
          <w:lang w:val="en-US" w:eastAsia="zh-CN"/>
        </w:rPr>
        <w:t>十、</w:t>
      </w:r>
      <w:r>
        <w:rPr>
          <w:rFonts w:hint="eastAsia" w:ascii="黑体" w:hAnsi="黑体" w:eastAsia="黑体" w:cs="黑体"/>
          <w:b/>
          <w:bCs/>
          <w:color w:val="auto"/>
          <w:sz w:val="28"/>
          <w:szCs w:val="28"/>
        </w:rPr>
        <w:t>附件说明</w:t>
      </w:r>
      <w:bookmarkEnd w:id="338"/>
      <w:bookmarkEnd w:id="339"/>
      <w:bookmarkEnd w:id="340"/>
      <w:bookmarkEnd w:id="341"/>
      <w:bookmarkEnd w:id="342"/>
      <w:bookmarkEnd w:id="343"/>
    </w:p>
    <w:p>
      <w:pPr>
        <w:keepLines w:val="0"/>
        <w:pageBreakBefore w:val="0"/>
        <w:widowControl w:val="0"/>
        <w:shd w:val="clear" w:color="auto" w:fill="FFFFFF"/>
        <w:kinsoku/>
        <w:wordWrap/>
        <w:overflowPunct/>
        <w:topLinePunct w:val="0"/>
        <w:autoSpaceDE/>
        <w:autoSpaceDN/>
        <w:bidi w:val="0"/>
        <w:adjustRightInd/>
        <w:snapToGrid/>
        <w:spacing w:line="240" w:lineRule="auto"/>
        <w:ind w:left="0" w:leftChars="0" w:firstLine="560" w:firstLineChars="200"/>
        <w:outlineLvl w:val="0"/>
        <w:rPr>
          <w:rFonts w:hint="eastAsia" w:ascii="仿宋" w:hAnsi="仿宋" w:eastAsia="仿宋" w:cs="仿宋"/>
          <w:color w:val="auto"/>
          <w:kern w:val="0"/>
          <w:sz w:val="28"/>
          <w:szCs w:val="28"/>
          <w:lang w:val="en-US" w:eastAsia="zh-CN"/>
        </w:rPr>
      </w:pPr>
      <w:bookmarkStart w:id="344" w:name="_Toc16815"/>
      <w:bookmarkStart w:id="345" w:name="_Toc31194"/>
      <w:bookmarkStart w:id="346" w:name="_Toc26143"/>
      <w:bookmarkStart w:id="347" w:name="_Toc25851"/>
      <w:bookmarkStart w:id="348" w:name="_Toc21131"/>
      <w:bookmarkStart w:id="349" w:name="_Toc13134"/>
      <w:bookmarkStart w:id="350" w:name="_Toc14050"/>
      <w:r>
        <w:rPr>
          <w:rFonts w:hint="eastAsia" w:ascii="仿宋" w:hAnsi="仿宋" w:eastAsia="仿宋" w:cs="仿宋"/>
          <w:color w:val="auto"/>
          <w:kern w:val="0"/>
          <w:sz w:val="28"/>
          <w:szCs w:val="28"/>
          <w:lang w:val="en-US" w:eastAsia="zh-CN"/>
        </w:rPr>
        <w:t xml:space="preserve">附件1  </w:t>
      </w:r>
      <w:bookmarkEnd w:id="344"/>
      <w:bookmarkEnd w:id="345"/>
      <w:bookmarkEnd w:id="346"/>
      <w:bookmarkEnd w:id="347"/>
      <w:bookmarkEnd w:id="348"/>
      <w:r>
        <w:rPr>
          <w:rFonts w:hint="eastAsia" w:ascii="仿宋" w:hAnsi="仿宋" w:eastAsia="仿宋" w:cs="仿宋"/>
          <w:color w:val="auto"/>
          <w:kern w:val="0"/>
          <w:sz w:val="28"/>
          <w:szCs w:val="28"/>
          <w:lang w:val="en-US" w:eastAsia="zh-CN"/>
        </w:rPr>
        <w:t>石狮市促进水路运输业发展政策满意度调查</w:t>
      </w:r>
      <w:bookmarkEnd w:id="349"/>
      <w:bookmarkEnd w:id="350"/>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outlineLvl w:val="0"/>
        <w:rPr>
          <w:rFonts w:hint="default"/>
          <w:lang w:val="en-US" w:eastAsia="zh-CN"/>
        </w:rPr>
        <w:sectPr>
          <w:headerReference r:id="rId8" w:type="default"/>
          <w:pgSz w:w="11906" w:h="16838"/>
          <w:pgMar w:top="1417" w:right="1474" w:bottom="1417"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bookmarkStart w:id="351" w:name="_Toc13962"/>
      <w:bookmarkStart w:id="352" w:name="_Toc932"/>
      <w:r>
        <w:rPr>
          <w:rFonts w:hint="eastAsia" w:ascii="仿宋" w:hAnsi="仿宋" w:eastAsia="仿宋" w:cs="仿宋"/>
          <w:b w:val="0"/>
          <w:bCs/>
          <w:color w:val="auto"/>
          <w:sz w:val="28"/>
          <w:szCs w:val="28"/>
          <w:lang w:val="en-US" w:eastAsia="zh-CN"/>
        </w:rPr>
        <w:t>附件2</w:t>
      </w:r>
      <w:r>
        <w:rPr>
          <w:rFonts w:hint="eastAsia" w:ascii="仿宋" w:hAnsi="仿宋" w:eastAsia="仿宋" w:cs="仿宋"/>
          <w:color w:val="auto"/>
          <w:kern w:val="0"/>
          <w:sz w:val="28"/>
          <w:szCs w:val="28"/>
          <w:lang w:val="en-US" w:eastAsia="zh-CN"/>
        </w:rPr>
        <w:t xml:space="preserve">  石狮市已申领奖补资金船舶迁出明细表</w:t>
      </w:r>
      <w:bookmarkEnd w:id="351"/>
    </w:p>
    <w:p>
      <w:pPr>
        <w:keepLines w:val="0"/>
        <w:pageBreakBefore w:val="0"/>
        <w:widowControl w:val="0"/>
        <w:kinsoku/>
        <w:wordWrap/>
        <w:overflowPunct/>
        <w:topLinePunct w:val="0"/>
        <w:autoSpaceDE/>
        <w:autoSpaceDN/>
        <w:bidi w:val="0"/>
        <w:adjustRightInd/>
        <w:snapToGrid/>
        <w:spacing w:after="400"/>
        <w:ind w:firstLine="160"/>
        <w:jc w:val="center"/>
        <w:outlineLvl w:val="0"/>
        <w:rPr>
          <w:rFonts w:hint="eastAsia" w:ascii="仿宋" w:hAnsi="仿宋" w:eastAsia="仿宋" w:cs="仿宋"/>
          <w:b/>
          <w:bCs/>
          <w:color w:val="auto"/>
          <w:kern w:val="0"/>
          <w:sz w:val="28"/>
          <w:szCs w:val="28"/>
          <w:lang w:val="en-US" w:eastAsia="zh-CN"/>
        </w:rPr>
      </w:pPr>
      <w:bookmarkStart w:id="353" w:name="_Toc13276"/>
      <w:bookmarkStart w:id="354" w:name="_Toc26226"/>
      <w:bookmarkStart w:id="355" w:name="_Toc2661"/>
      <w:r>
        <w:rPr>
          <w:rFonts w:hint="eastAsia" w:ascii="仿宋" w:hAnsi="仿宋" w:eastAsia="仿宋" w:cs="仿宋"/>
          <w:b/>
          <w:bCs/>
          <w:color w:val="auto"/>
          <w:kern w:val="0"/>
          <w:sz w:val="28"/>
          <w:szCs w:val="28"/>
          <w:lang w:val="en-US" w:eastAsia="zh-CN"/>
        </w:rPr>
        <w:t xml:space="preserve">附件1  </w:t>
      </w:r>
      <w:bookmarkEnd w:id="352"/>
      <w:bookmarkStart w:id="356" w:name="_Toc19425"/>
      <w:r>
        <w:rPr>
          <w:rFonts w:hint="eastAsia" w:ascii="仿宋" w:hAnsi="仿宋" w:eastAsia="仿宋" w:cs="仿宋"/>
          <w:b/>
          <w:bCs/>
          <w:color w:val="auto"/>
          <w:kern w:val="0"/>
          <w:sz w:val="28"/>
          <w:szCs w:val="28"/>
          <w:lang w:val="en-US" w:eastAsia="zh-CN"/>
        </w:rPr>
        <w:t>石狮市促进水路运输业发展政策满意度调查</w:t>
      </w:r>
      <w:bookmarkEnd w:id="353"/>
      <w:bookmarkEnd w:id="354"/>
      <w:bookmarkEnd w:id="355"/>
    </w:p>
    <w:p>
      <w:pPr>
        <w:keepLines w:val="0"/>
        <w:pageBreakBefore w:val="0"/>
        <w:widowControl w:val="0"/>
        <w:kinsoku/>
        <w:wordWrap/>
        <w:overflowPunct/>
        <w:topLinePunct w:val="0"/>
        <w:autoSpaceDE/>
        <w:autoSpaceDN/>
        <w:bidi w:val="0"/>
        <w:adjustRightInd/>
        <w:snapToGrid/>
        <w:rPr>
          <w:b/>
          <w:sz w:val="32"/>
        </w:rPr>
      </w:pPr>
      <w:r>
        <w:rPr>
          <w:b w:val="0"/>
          <w:color w:val="000000"/>
          <w:sz w:val="24"/>
        </w:rPr>
        <w:t xml:space="preserve">第1题   请问贵公司对促进水路运输业发展政策是否了解?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135"/>
        <w:gridCol w:w="1052"/>
        <w:gridCol w:w="487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A.了解</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
                          <pic:cNvPicPr>
                            <a:picLocks noChangeAspect="1"/>
                          </pic:cNvPicPr>
                        </pic:nvPicPr>
                        <pic:blipFill>
                          <a:blip r:embed="rId11"/>
                          <a:stretch>
                            <a:fillRect/>
                          </a:stretch>
                        </pic:blipFill>
                        <pic:spPr>
                          <a:xfrm>
                            <a:off x="0" y="0"/>
                            <a:ext cx="1352550" cy="114300"/>
                          </a:xfrm>
                          <a:prstGeom prst="rect">
                            <a:avLst/>
                          </a:prstGeom>
                          <a:noFill/>
                          <a:ln>
                            <a:noFill/>
                          </a:ln>
                        </pic:spPr>
                      </pic:pic>
                    </a:graphicData>
                  </a:graphic>
                </wp:inline>
              </w:drawing>
            </w:r>
            <w:r>
              <w:t>100%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B.不了解</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2"/>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第2题   贵公司是否申报过石狮市促进水路运输业发展的奖励？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是</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27</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066800" cy="114300"/>
                  <wp:effectExtent l="0" t="0" r="0" b="0"/>
                  <wp:docPr id="15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3"/>
                          <pic:cNvPicPr>
                            <a:picLocks noChangeAspect="1"/>
                          </pic:cNvPicPr>
                        </pic:nvPicPr>
                        <pic:blipFill>
                          <a:blip r:embed="rId13"/>
                          <a:stretch>
                            <a:fillRect/>
                          </a:stretch>
                        </pic:blipFill>
                        <pic:spPr>
                          <a:xfrm>
                            <a:off x="0" y="0"/>
                            <a:ext cx="1066800" cy="114300"/>
                          </a:xfrm>
                          <a:prstGeom prst="rect">
                            <a:avLst/>
                          </a:prstGeom>
                          <a:noFill/>
                          <a:ln>
                            <a:noFill/>
                          </a:ln>
                        </pic:spPr>
                      </pic:pic>
                    </a:graphicData>
                  </a:graphic>
                </wp:inline>
              </w:drawing>
            </w:r>
            <w:r>
              <w:drawing>
                <wp:inline distT="0" distB="0" distL="114300" distR="114300">
                  <wp:extent cx="285750" cy="114300"/>
                  <wp:effectExtent l="0" t="0" r="0" b="0"/>
                  <wp:docPr id="15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4"/>
                          <pic:cNvPicPr>
                            <a:picLocks noChangeAspect="1"/>
                          </pic:cNvPicPr>
                        </pic:nvPicPr>
                        <pic:blipFill>
                          <a:blip r:embed="rId14"/>
                          <a:stretch>
                            <a:fillRect/>
                          </a:stretch>
                        </pic:blipFill>
                        <pic:spPr>
                          <a:xfrm>
                            <a:off x="0" y="0"/>
                            <a:ext cx="285750" cy="114300"/>
                          </a:xfrm>
                          <a:prstGeom prst="rect">
                            <a:avLst/>
                          </a:prstGeom>
                          <a:noFill/>
                          <a:ln>
                            <a:noFill/>
                          </a:ln>
                        </pic:spPr>
                      </pic:pic>
                    </a:graphicData>
                  </a:graphic>
                </wp:inline>
              </w:drawing>
            </w:r>
            <w:r>
              <w:t>79.41%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否</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7</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276225" cy="114300"/>
                  <wp:effectExtent l="0" t="0" r="9525" b="0"/>
                  <wp:docPr id="1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5"/>
                          <pic:cNvPicPr>
                            <a:picLocks noChangeAspect="1"/>
                          </pic:cNvPicPr>
                        </pic:nvPicPr>
                        <pic:blipFill>
                          <a:blip r:embed="rId15"/>
                          <a:stretch>
                            <a:fillRect/>
                          </a:stretch>
                        </pic:blipFill>
                        <pic:spPr>
                          <a:xfrm>
                            <a:off x="0" y="0"/>
                            <a:ext cx="276225" cy="114300"/>
                          </a:xfrm>
                          <a:prstGeom prst="rect">
                            <a:avLst/>
                          </a:prstGeom>
                          <a:noFill/>
                          <a:ln>
                            <a:noFill/>
                          </a:ln>
                        </pic:spPr>
                      </pic:pic>
                    </a:graphicData>
                  </a:graphic>
                </wp:inline>
              </w:drawing>
            </w:r>
            <w:r>
              <w:drawing>
                <wp:inline distT="0" distB="0" distL="114300" distR="114300">
                  <wp:extent cx="1076325" cy="114300"/>
                  <wp:effectExtent l="0" t="0" r="9525" b="0"/>
                  <wp:docPr id="16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6"/>
                          <pic:cNvPicPr>
                            <a:picLocks noChangeAspect="1"/>
                          </pic:cNvPicPr>
                        </pic:nvPicPr>
                        <pic:blipFill>
                          <a:blip r:embed="rId16"/>
                          <a:stretch>
                            <a:fillRect/>
                          </a:stretch>
                        </pic:blipFill>
                        <pic:spPr>
                          <a:xfrm>
                            <a:off x="0" y="0"/>
                            <a:ext cx="1076325" cy="114300"/>
                          </a:xfrm>
                          <a:prstGeom prst="rect">
                            <a:avLst/>
                          </a:prstGeom>
                          <a:noFill/>
                          <a:ln>
                            <a:noFill/>
                          </a:ln>
                        </pic:spPr>
                      </pic:pic>
                    </a:graphicData>
                  </a:graphic>
                </wp:inline>
              </w:drawing>
            </w:r>
            <w:r>
              <w:t>20.59%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第3题   请问贵公司对促进水路运输业发展专项资金的政策宣传渠道、力度等是否满意?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90600" cy="114300"/>
                  <wp:effectExtent l="0" t="0" r="0" b="0"/>
                  <wp:docPr id="15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图片 7"/>
                          <pic:cNvPicPr>
                            <a:picLocks noChangeAspect="1"/>
                          </pic:cNvPicPr>
                        </pic:nvPicPr>
                        <pic:blipFill>
                          <a:blip r:embed="rId17"/>
                          <a:stretch>
                            <a:fillRect/>
                          </a:stretch>
                        </pic:blipFill>
                        <pic:spPr>
                          <a:xfrm>
                            <a:off x="0" y="0"/>
                            <a:ext cx="990600" cy="114300"/>
                          </a:xfrm>
                          <a:prstGeom prst="rect">
                            <a:avLst/>
                          </a:prstGeom>
                          <a:noFill/>
                          <a:ln>
                            <a:noFill/>
                          </a:ln>
                        </pic:spPr>
                      </pic:pic>
                    </a:graphicData>
                  </a:graphic>
                </wp:inline>
              </w:drawing>
            </w:r>
            <w:r>
              <w:drawing>
                <wp:inline distT="0" distB="0" distL="114300" distR="114300">
                  <wp:extent cx="361950" cy="114300"/>
                  <wp:effectExtent l="0" t="0" r="0" b="0"/>
                  <wp:docPr id="15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8"/>
                          <pic:cNvPicPr>
                            <a:picLocks noChangeAspect="1"/>
                          </pic:cNvPicPr>
                        </pic:nvPicPr>
                        <pic:blipFill>
                          <a:blip r:embed="rId18"/>
                          <a:stretch>
                            <a:fillRect/>
                          </a:stretch>
                        </pic:blipFill>
                        <pic:spPr>
                          <a:xfrm>
                            <a:off x="0" y="0"/>
                            <a:ext cx="361950" cy="114300"/>
                          </a:xfrm>
                          <a:prstGeom prst="rect">
                            <a:avLst/>
                          </a:prstGeom>
                          <a:noFill/>
                          <a:ln>
                            <a:noFill/>
                          </a:ln>
                        </pic:spPr>
                      </pic:pic>
                    </a:graphicData>
                  </a:graphic>
                </wp:inline>
              </w:drawing>
            </w:r>
            <w:r>
              <w:t>73.53%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9</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52425" cy="114300"/>
                  <wp:effectExtent l="0" t="0" r="9525" b="0"/>
                  <wp:docPr id="15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9"/>
                          <pic:cNvPicPr>
                            <a:picLocks noChangeAspect="1"/>
                          </pic:cNvPicPr>
                        </pic:nvPicPr>
                        <pic:blipFill>
                          <a:blip r:embed="rId19"/>
                          <a:stretch>
                            <a:fillRect/>
                          </a:stretch>
                        </pic:blipFill>
                        <pic:spPr>
                          <a:xfrm>
                            <a:off x="0" y="0"/>
                            <a:ext cx="352425" cy="114300"/>
                          </a:xfrm>
                          <a:prstGeom prst="rect">
                            <a:avLst/>
                          </a:prstGeom>
                          <a:noFill/>
                          <a:ln>
                            <a:noFill/>
                          </a:ln>
                        </pic:spPr>
                      </pic:pic>
                    </a:graphicData>
                  </a:graphic>
                </wp:inline>
              </w:drawing>
            </w:r>
            <w:r>
              <w:drawing>
                <wp:inline distT="0" distB="0" distL="114300" distR="114300">
                  <wp:extent cx="1000125" cy="114300"/>
                  <wp:effectExtent l="0" t="0" r="9525" b="0"/>
                  <wp:docPr id="15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0"/>
                          <pic:cNvPicPr>
                            <a:picLocks noChangeAspect="1"/>
                          </pic:cNvPicPr>
                        </pic:nvPicPr>
                        <pic:blipFill>
                          <a:blip r:embed="rId20"/>
                          <a:stretch>
                            <a:fillRect/>
                          </a:stretch>
                        </pic:blipFill>
                        <pic:spPr>
                          <a:xfrm>
                            <a:off x="0" y="0"/>
                            <a:ext cx="1000125" cy="114300"/>
                          </a:xfrm>
                          <a:prstGeom prst="rect">
                            <a:avLst/>
                          </a:prstGeom>
                          <a:noFill/>
                          <a:ln>
                            <a:noFill/>
                          </a:ln>
                        </pic:spPr>
                      </pic:pic>
                    </a:graphicData>
                  </a:graphic>
                </wp:inline>
              </w:drawing>
            </w:r>
            <w:r>
              <w:t>26.47%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C.无感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6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1"/>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D.不太满意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5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12"/>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E.非常不满意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4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3"/>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第4题   石狮市促进水路运输业发展奖励政策条目内容及申报条件的清晰明确程度是否满意？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90600" cy="114300"/>
                  <wp:effectExtent l="0" t="0" r="0" b="0"/>
                  <wp:docPr id="16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4"/>
                          <pic:cNvPicPr>
                            <a:picLocks noChangeAspect="1"/>
                          </pic:cNvPicPr>
                        </pic:nvPicPr>
                        <pic:blipFill>
                          <a:blip r:embed="rId17"/>
                          <a:stretch>
                            <a:fillRect/>
                          </a:stretch>
                        </pic:blipFill>
                        <pic:spPr>
                          <a:xfrm>
                            <a:off x="0" y="0"/>
                            <a:ext cx="990600" cy="114300"/>
                          </a:xfrm>
                          <a:prstGeom prst="rect">
                            <a:avLst/>
                          </a:prstGeom>
                          <a:noFill/>
                          <a:ln>
                            <a:noFill/>
                          </a:ln>
                        </pic:spPr>
                      </pic:pic>
                    </a:graphicData>
                  </a:graphic>
                </wp:inline>
              </w:drawing>
            </w:r>
            <w:r>
              <w:drawing>
                <wp:inline distT="0" distB="0" distL="114300" distR="114300">
                  <wp:extent cx="361950" cy="114300"/>
                  <wp:effectExtent l="0" t="0" r="0" b="0"/>
                  <wp:docPr id="16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15"/>
                          <pic:cNvPicPr>
                            <a:picLocks noChangeAspect="1"/>
                          </pic:cNvPicPr>
                        </pic:nvPicPr>
                        <pic:blipFill>
                          <a:blip r:embed="rId18"/>
                          <a:stretch>
                            <a:fillRect/>
                          </a:stretch>
                        </pic:blipFill>
                        <pic:spPr>
                          <a:xfrm>
                            <a:off x="0" y="0"/>
                            <a:ext cx="361950" cy="114300"/>
                          </a:xfrm>
                          <a:prstGeom prst="rect">
                            <a:avLst/>
                          </a:prstGeom>
                          <a:noFill/>
                          <a:ln>
                            <a:noFill/>
                          </a:ln>
                        </pic:spPr>
                      </pic:pic>
                    </a:graphicData>
                  </a:graphic>
                </wp:inline>
              </w:drawing>
            </w:r>
            <w:r>
              <w:t>73.53%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9</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52425" cy="114300"/>
                  <wp:effectExtent l="0" t="0" r="9525" b="0"/>
                  <wp:docPr id="16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
                          <pic:cNvPicPr>
                            <a:picLocks noChangeAspect="1"/>
                          </pic:cNvPicPr>
                        </pic:nvPicPr>
                        <pic:blipFill>
                          <a:blip r:embed="rId19"/>
                          <a:stretch>
                            <a:fillRect/>
                          </a:stretch>
                        </pic:blipFill>
                        <pic:spPr>
                          <a:xfrm>
                            <a:off x="0" y="0"/>
                            <a:ext cx="352425" cy="114300"/>
                          </a:xfrm>
                          <a:prstGeom prst="rect">
                            <a:avLst/>
                          </a:prstGeom>
                          <a:noFill/>
                          <a:ln>
                            <a:noFill/>
                          </a:ln>
                        </pic:spPr>
                      </pic:pic>
                    </a:graphicData>
                  </a:graphic>
                </wp:inline>
              </w:drawing>
            </w:r>
            <w:r>
              <w:drawing>
                <wp:inline distT="0" distB="0" distL="114300" distR="114300">
                  <wp:extent cx="1000125" cy="114300"/>
                  <wp:effectExtent l="0" t="0" r="9525" b="0"/>
                  <wp:docPr id="16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7"/>
                          <pic:cNvPicPr>
                            <a:picLocks noChangeAspect="1"/>
                          </pic:cNvPicPr>
                        </pic:nvPicPr>
                        <pic:blipFill>
                          <a:blip r:embed="rId20"/>
                          <a:stretch>
                            <a:fillRect/>
                          </a:stretch>
                        </pic:blipFill>
                        <pic:spPr>
                          <a:xfrm>
                            <a:off x="0" y="0"/>
                            <a:ext cx="1000125" cy="114300"/>
                          </a:xfrm>
                          <a:prstGeom prst="rect">
                            <a:avLst/>
                          </a:prstGeom>
                          <a:noFill/>
                          <a:ln>
                            <a:noFill/>
                          </a:ln>
                        </pic:spPr>
                      </pic:pic>
                    </a:graphicData>
                  </a:graphic>
                </wp:inline>
              </w:drawing>
            </w:r>
            <w:r>
              <w:t>26.47%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4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8"/>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5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9"/>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6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20"/>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第5题   请问贵公司对石狮市促进水路运输业发展政策的申报审批流程是否满意?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90600" cy="114300"/>
                  <wp:effectExtent l="0" t="0" r="0" b="0"/>
                  <wp:docPr id="16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1"/>
                          <pic:cNvPicPr>
                            <a:picLocks noChangeAspect="1"/>
                          </pic:cNvPicPr>
                        </pic:nvPicPr>
                        <pic:blipFill>
                          <a:blip r:embed="rId17"/>
                          <a:stretch>
                            <a:fillRect/>
                          </a:stretch>
                        </pic:blipFill>
                        <pic:spPr>
                          <a:xfrm>
                            <a:off x="0" y="0"/>
                            <a:ext cx="990600" cy="114300"/>
                          </a:xfrm>
                          <a:prstGeom prst="rect">
                            <a:avLst/>
                          </a:prstGeom>
                          <a:noFill/>
                          <a:ln>
                            <a:noFill/>
                          </a:ln>
                        </pic:spPr>
                      </pic:pic>
                    </a:graphicData>
                  </a:graphic>
                </wp:inline>
              </w:drawing>
            </w:r>
            <w:r>
              <w:drawing>
                <wp:inline distT="0" distB="0" distL="114300" distR="114300">
                  <wp:extent cx="361950" cy="114300"/>
                  <wp:effectExtent l="0" t="0" r="0" b="0"/>
                  <wp:docPr id="17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22"/>
                          <pic:cNvPicPr>
                            <a:picLocks noChangeAspect="1"/>
                          </pic:cNvPicPr>
                        </pic:nvPicPr>
                        <pic:blipFill>
                          <a:blip r:embed="rId18"/>
                          <a:stretch>
                            <a:fillRect/>
                          </a:stretch>
                        </pic:blipFill>
                        <pic:spPr>
                          <a:xfrm>
                            <a:off x="0" y="0"/>
                            <a:ext cx="361950" cy="114300"/>
                          </a:xfrm>
                          <a:prstGeom prst="rect">
                            <a:avLst/>
                          </a:prstGeom>
                          <a:noFill/>
                          <a:ln>
                            <a:noFill/>
                          </a:ln>
                        </pic:spPr>
                      </pic:pic>
                    </a:graphicData>
                  </a:graphic>
                </wp:inline>
              </w:drawing>
            </w:r>
            <w:r>
              <w:t>73.53%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9</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52425" cy="114300"/>
                  <wp:effectExtent l="0" t="0" r="9525" b="0"/>
                  <wp:docPr id="17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23"/>
                          <pic:cNvPicPr>
                            <a:picLocks noChangeAspect="1"/>
                          </pic:cNvPicPr>
                        </pic:nvPicPr>
                        <pic:blipFill>
                          <a:blip r:embed="rId19"/>
                          <a:stretch>
                            <a:fillRect/>
                          </a:stretch>
                        </pic:blipFill>
                        <pic:spPr>
                          <a:xfrm>
                            <a:off x="0" y="0"/>
                            <a:ext cx="352425" cy="114300"/>
                          </a:xfrm>
                          <a:prstGeom prst="rect">
                            <a:avLst/>
                          </a:prstGeom>
                          <a:noFill/>
                          <a:ln>
                            <a:noFill/>
                          </a:ln>
                        </pic:spPr>
                      </pic:pic>
                    </a:graphicData>
                  </a:graphic>
                </wp:inline>
              </w:drawing>
            </w:r>
            <w:r>
              <w:drawing>
                <wp:inline distT="0" distB="0" distL="114300" distR="114300">
                  <wp:extent cx="1000125" cy="114300"/>
                  <wp:effectExtent l="0" t="0" r="9525" b="0"/>
                  <wp:docPr id="17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图片 24"/>
                          <pic:cNvPicPr>
                            <a:picLocks noChangeAspect="1"/>
                          </pic:cNvPicPr>
                        </pic:nvPicPr>
                        <pic:blipFill>
                          <a:blip r:embed="rId20"/>
                          <a:stretch>
                            <a:fillRect/>
                          </a:stretch>
                        </pic:blipFill>
                        <pic:spPr>
                          <a:xfrm>
                            <a:off x="0" y="0"/>
                            <a:ext cx="1000125" cy="114300"/>
                          </a:xfrm>
                          <a:prstGeom prst="rect">
                            <a:avLst/>
                          </a:prstGeom>
                          <a:noFill/>
                          <a:ln>
                            <a:noFill/>
                          </a:ln>
                        </pic:spPr>
                      </pic:pic>
                    </a:graphicData>
                  </a:graphic>
                </wp:inline>
              </w:drawing>
            </w:r>
            <w:r>
              <w:t>26.47%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C.无感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6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25"/>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D.不太满意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6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26"/>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E.非常不满意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7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27"/>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第6题   请问贵公司对促进水路运输业发展相关政策实施过程中有关部门的工作态度和服务到位性是否满意?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90600" cy="114300"/>
                  <wp:effectExtent l="0" t="0" r="0" b="0"/>
                  <wp:docPr id="13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28"/>
                          <pic:cNvPicPr>
                            <a:picLocks noChangeAspect="1"/>
                          </pic:cNvPicPr>
                        </pic:nvPicPr>
                        <pic:blipFill>
                          <a:blip r:embed="rId17"/>
                          <a:stretch>
                            <a:fillRect/>
                          </a:stretch>
                        </pic:blipFill>
                        <pic:spPr>
                          <a:xfrm>
                            <a:off x="0" y="0"/>
                            <a:ext cx="990600" cy="114300"/>
                          </a:xfrm>
                          <a:prstGeom prst="rect">
                            <a:avLst/>
                          </a:prstGeom>
                          <a:noFill/>
                          <a:ln>
                            <a:noFill/>
                          </a:ln>
                        </pic:spPr>
                      </pic:pic>
                    </a:graphicData>
                  </a:graphic>
                </wp:inline>
              </w:drawing>
            </w:r>
            <w:r>
              <w:drawing>
                <wp:inline distT="0" distB="0" distL="114300" distR="114300">
                  <wp:extent cx="361950" cy="114300"/>
                  <wp:effectExtent l="0" t="0" r="0" b="0"/>
                  <wp:docPr id="1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9"/>
                          <pic:cNvPicPr>
                            <a:picLocks noChangeAspect="1"/>
                          </pic:cNvPicPr>
                        </pic:nvPicPr>
                        <pic:blipFill>
                          <a:blip r:embed="rId18"/>
                          <a:stretch>
                            <a:fillRect/>
                          </a:stretch>
                        </pic:blipFill>
                        <pic:spPr>
                          <a:xfrm>
                            <a:off x="0" y="0"/>
                            <a:ext cx="361950" cy="114300"/>
                          </a:xfrm>
                          <a:prstGeom prst="rect">
                            <a:avLst/>
                          </a:prstGeom>
                          <a:noFill/>
                          <a:ln>
                            <a:noFill/>
                          </a:ln>
                        </pic:spPr>
                      </pic:pic>
                    </a:graphicData>
                  </a:graphic>
                </wp:inline>
              </w:drawing>
            </w:r>
            <w:r>
              <w:t>73.53%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9</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52425" cy="114300"/>
                  <wp:effectExtent l="0" t="0" r="9525" b="0"/>
                  <wp:docPr id="13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0"/>
                          <pic:cNvPicPr>
                            <a:picLocks noChangeAspect="1"/>
                          </pic:cNvPicPr>
                        </pic:nvPicPr>
                        <pic:blipFill>
                          <a:blip r:embed="rId19"/>
                          <a:stretch>
                            <a:fillRect/>
                          </a:stretch>
                        </pic:blipFill>
                        <pic:spPr>
                          <a:xfrm>
                            <a:off x="0" y="0"/>
                            <a:ext cx="352425" cy="114300"/>
                          </a:xfrm>
                          <a:prstGeom prst="rect">
                            <a:avLst/>
                          </a:prstGeom>
                          <a:noFill/>
                          <a:ln>
                            <a:noFill/>
                          </a:ln>
                        </pic:spPr>
                      </pic:pic>
                    </a:graphicData>
                  </a:graphic>
                </wp:inline>
              </w:drawing>
            </w:r>
            <w:r>
              <w:drawing>
                <wp:inline distT="0" distB="0" distL="114300" distR="114300">
                  <wp:extent cx="1000125" cy="114300"/>
                  <wp:effectExtent l="0" t="0" r="9525" b="0"/>
                  <wp:docPr id="14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31"/>
                          <pic:cNvPicPr>
                            <a:picLocks noChangeAspect="1"/>
                          </pic:cNvPicPr>
                        </pic:nvPicPr>
                        <pic:blipFill>
                          <a:blip r:embed="rId20"/>
                          <a:stretch>
                            <a:fillRect/>
                          </a:stretch>
                        </pic:blipFill>
                        <pic:spPr>
                          <a:xfrm>
                            <a:off x="0" y="0"/>
                            <a:ext cx="1000125" cy="114300"/>
                          </a:xfrm>
                          <a:prstGeom prst="rect">
                            <a:avLst/>
                          </a:prstGeom>
                          <a:noFill/>
                          <a:ln>
                            <a:noFill/>
                          </a:ln>
                        </pic:spPr>
                      </pic:pic>
                    </a:graphicData>
                  </a:graphic>
                </wp:inline>
              </w:drawing>
            </w:r>
            <w:r>
              <w:t>26.47%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C.无感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2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32"/>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D.不太满意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4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33"/>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E.非常不满意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2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34"/>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第7题   请问贵公司对石狮市水路运输业奖励资金到位的及时性情况是否满意?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23</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14400" cy="114300"/>
                  <wp:effectExtent l="0" t="0" r="0" b="0"/>
                  <wp:docPr id="12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35"/>
                          <pic:cNvPicPr>
                            <a:picLocks noChangeAspect="1"/>
                          </pic:cNvPicPr>
                        </pic:nvPicPr>
                        <pic:blipFill>
                          <a:blip r:embed="rId21"/>
                          <a:stretch>
                            <a:fillRect/>
                          </a:stretch>
                        </pic:blipFill>
                        <pic:spPr>
                          <a:xfrm>
                            <a:off x="0" y="0"/>
                            <a:ext cx="914400" cy="114300"/>
                          </a:xfrm>
                          <a:prstGeom prst="rect">
                            <a:avLst/>
                          </a:prstGeom>
                          <a:noFill/>
                          <a:ln>
                            <a:noFill/>
                          </a:ln>
                        </pic:spPr>
                      </pic:pic>
                    </a:graphicData>
                  </a:graphic>
                </wp:inline>
              </w:drawing>
            </w:r>
            <w:r>
              <w:drawing>
                <wp:inline distT="0" distB="0" distL="114300" distR="114300">
                  <wp:extent cx="438150" cy="114300"/>
                  <wp:effectExtent l="0" t="0" r="0" b="0"/>
                  <wp:docPr id="1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36"/>
                          <pic:cNvPicPr>
                            <a:picLocks noChangeAspect="1"/>
                          </pic:cNvPicPr>
                        </pic:nvPicPr>
                        <pic:blipFill>
                          <a:blip r:embed="rId22"/>
                          <a:stretch>
                            <a:fillRect/>
                          </a:stretch>
                        </pic:blipFill>
                        <pic:spPr>
                          <a:xfrm>
                            <a:off x="0" y="0"/>
                            <a:ext cx="438150" cy="114300"/>
                          </a:xfrm>
                          <a:prstGeom prst="rect">
                            <a:avLst/>
                          </a:prstGeom>
                          <a:noFill/>
                          <a:ln>
                            <a:noFill/>
                          </a:ln>
                        </pic:spPr>
                      </pic:pic>
                    </a:graphicData>
                  </a:graphic>
                </wp:inline>
              </w:drawing>
            </w:r>
            <w:r>
              <w:t>67.65%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8</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14325" cy="114300"/>
                  <wp:effectExtent l="0" t="0" r="9525" b="0"/>
                  <wp:docPr id="1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37"/>
                          <pic:cNvPicPr>
                            <a:picLocks noChangeAspect="1"/>
                          </pic:cNvPicPr>
                        </pic:nvPicPr>
                        <pic:blipFill>
                          <a:blip r:embed="rId23"/>
                          <a:stretch>
                            <a:fillRect/>
                          </a:stretch>
                        </pic:blipFill>
                        <pic:spPr>
                          <a:xfrm>
                            <a:off x="0" y="0"/>
                            <a:ext cx="314325" cy="114300"/>
                          </a:xfrm>
                          <a:prstGeom prst="rect">
                            <a:avLst/>
                          </a:prstGeom>
                          <a:noFill/>
                          <a:ln>
                            <a:noFill/>
                          </a:ln>
                        </pic:spPr>
                      </pic:pic>
                    </a:graphicData>
                  </a:graphic>
                </wp:inline>
              </w:drawing>
            </w:r>
            <w:r>
              <w:drawing>
                <wp:inline distT="0" distB="0" distL="114300" distR="114300">
                  <wp:extent cx="1038225" cy="114300"/>
                  <wp:effectExtent l="0" t="0" r="9525" b="0"/>
                  <wp:docPr id="12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38"/>
                          <pic:cNvPicPr>
                            <a:picLocks noChangeAspect="1"/>
                          </pic:cNvPicPr>
                        </pic:nvPicPr>
                        <pic:blipFill>
                          <a:blip r:embed="rId24"/>
                          <a:stretch>
                            <a:fillRect/>
                          </a:stretch>
                        </pic:blipFill>
                        <pic:spPr>
                          <a:xfrm>
                            <a:off x="0" y="0"/>
                            <a:ext cx="1038225" cy="114300"/>
                          </a:xfrm>
                          <a:prstGeom prst="rect">
                            <a:avLst/>
                          </a:prstGeom>
                          <a:noFill/>
                          <a:ln>
                            <a:noFill/>
                          </a:ln>
                        </pic:spPr>
                      </pic:pic>
                    </a:graphicData>
                  </a:graphic>
                </wp:inline>
              </w:drawing>
            </w:r>
            <w:r>
              <w:t>23.53%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C.无感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76200" cy="114300"/>
                  <wp:effectExtent l="0" t="0" r="0" b="0"/>
                  <wp:docPr id="13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9"/>
                          <pic:cNvPicPr>
                            <a:picLocks noChangeAspect="1"/>
                          </pic:cNvPicPr>
                        </pic:nvPicPr>
                        <pic:blipFill>
                          <a:blip r:embed="rId25"/>
                          <a:stretch>
                            <a:fillRect/>
                          </a:stretch>
                        </pic:blipFill>
                        <pic:spPr>
                          <a:xfrm>
                            <a:off x="0" y="0"/>
                            <a:ext cx="76200" cy="114300"/>
                          </a:xfrm>
                          <a:prstGeom prst="rect">
                            <a:avLst/>
                          </a:prstGeom>
                          <a:noFill/>
                          <a:ln>
                            <a:noFill/>
                          </a:ln>
                        </pic:spPr>
                      </pic:pic>
                    </a:graphicData>
                  </a:graphic>
                </wp:inline>
              </w:drawing>
            </w:r>
            <w:r>
              <w:drawing>
                <wp:inline distT="0" distB="0" distL="114300" distR="114300">
                  <wp:extent cx="1276350" cy="114300"/>
                  <wp:effectExtent l="0" t="0" r="0" b="0"/>
                  <wp:docPr id="13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40"/>
                          <pic:cNvPicPr>
                            <a:picLocks noChangeAspect="1"/>
                          </pic:cNvPicPr>
                        </pic:nvPicPr>
                        <pic:blipFill>
                          <a:blip r:embed="rId26"/>
                          <a:stretch>
                            <a:fillRect/>
                          </a:stretch>
                        </pic:blipFill>
                        <pic:spPr>
                          <a:xfrm>
                            <a:off x="0" y="0"/>
                            <a:ext cx="1276350" cy="114300"/>
                          </a:xfrm>
                          <a:prstGeom prst="rect">
                            <a:avLst/>
                          </a:prstGeom>
                          <a:noFill/>
                          <a:ln>
                            <a:noFill/>
                          </a:ln>
                        </pic:spPr>
                      </pic:pic>
                    </a:graphicData>
                  </a:graphic>
                </wp:inline>
              </w:drawing>
            </w:r>
            <w:r>
              <w:t>5.88%</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D.不太满意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1</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8100" cy="114300"/>
                  <wp:effectExtent l="0" t="0" r="0" b="0"/>
                  <wp:docPr id="1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41"/>
                          <pic:cNvPicPr>
                            <a:picLocks noChangeAspect="1"/>
                          </pic:cNvPicPr>
                        </pic:nvPicPr>
                        <pic:blipFill>
                          <a:blip r:embed="rId27"/>
                          <a:stretch>
                            <a:fillRect/>
                          </a:stretch>
                        </pic:blipFill>
                        <pic:spPr>
                          <a:xfrm>
                            <a:off x="0" y="0"/>
                            <a:ext cx="38100" cy="114300"/>
                          </a:xfrm>
                          <a:prstGeom prst="rect">
                            <a:avLst/>
                          </a:prstGeom>
                          <a:noFill/>
                          <a:ln>
                            <a:noFill/>
                          </a:ln>
                        </pic:spPr>
                      </pic:pic>
                    </a:graphicData>
                  </a:graphic>
                </wp:inline>
              </w:drawing>
            </w:r>
            <w:r>
              <w:drawing>
                <wp:inline distT="0" distB="0" distL="114300" distR="114300">
                  <wp:extent cx="1314450" cy="114300"/>
                  <wp:effectExtent l="0" t="0" r="0" b="0"/>
                  <wp:docPr id="12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42"/>
                          <pic:cNvPicPr>
                            <a:picLocks noChangeAspect="1"/>
                          </pic:cNvPicPr>
                        </pic:nvPicPr>
                        <pic:blipFill>
                          <a:blip r:embed="rId28"/>
                          <a:stretch>
                            <a:fillRect/>
                          </a:stretch>
                        </pic:blipFill>
                        <pic:spPr>
                          <a:xfrm>
                            <a:off x="0" y="0"/>
                            <a:ext cx="1314450" cy="114300"/>
                          </a:xfrm>
                          <a:prstGeom prst="rect">
                            <a:avLst/>
                          </a:prstGeom>
                          <a:noFill/>
                          <a:ln>
                            <a:noFill/>
                          </a:ln>
                        </pic:spPr>
                      </pic:pic>
                    </a:graphicData>
                  </a:graphic>
                </wp:inline>
              </w:drawing>
            </w:r>
            <w:r>
              <w:t>2.94%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E.非常不满意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3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43"/>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第8题   </w:t>
      </w:r>
      <w:r>
        <w:rPr>
          <w:rFonts w:hint="eastAsia"/>
          <w:b w:val="0"/>
          <w:color w:val="000000"/>
          <w:sz w:val="24"/>
          <w:lang w:eastAsia="zh-CN"/>
        </w:rPr>
        <w:t>石狮市</w:t>
      </w:r>
      <w:r>
        <w:rPr>
          <w:b w:val="0"/>
          <w:color w:val="000000"/>
          <w:sz w:val="24"/>
        </w:rPr>
        <w:t xml:space="preserve">对水路运输企业开展的监督检查工作合法合规性是否满意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非常满意的</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24</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52500" cy="114300"/>
                  <wp:effectExtent l="0" t="0" r="0" b="0"/>
                  <wp:docPr id="1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44"/>
                          <pic:cNvPicPr>
                            <a:picLocks noChangeAspect="1"/>
                          </pic:cNvPicPr>
                        </pic:nvPicPr>
                        <pic:blipFill>
                          <a:blip r:embed="rId29"/>
                          <a:stretch>
                            <a:fillRect/>
                          </a:stretch>
                        </pic:blipFill>
                        <pic:spPr>
                          <a:xfrm>
                            <a:off x="0" y="0"/>
                            <a:ext cx="952500" cy="114300"/>
                          </a:xfrm>
                          <a:prstGeom prst="rect">
                            <a:avLst/>
                          </a:prstGeom>
                          <a:noFill/>
                          <a:ln>
                            <a:noFill/>
                          </a:ln>
                        </pic:spPr>
                      </pic:pic>
                    </a:graphicData>
                  </a:graphic>
                </wp:inline>
              </w:drawing>
            </w:r>
            <w:r>
              <w:drawing>
                <wp:inline distT="0" distB="0" distL="114300" distR="114300">
                  <wp:extent cx="400050" cy="114300"/>
                  <wp:effectExtent l="0" t="0" r="0" b="0"/>
                  <wp:docPr id="12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45"/>
                          <pic:cNvPicPr>
                            <a:picLocks noChangeAspect="1"/>
                          </pic:cNvPicPr>
                        </pic:nvPicPr>
                        <pic:blipFill>
                          <a:blip r:embed="rId30"/>
                          <a:stretch>
                            <a:fillRect/>
                          </a:stretch>
                        </pic:blipFill>
                        <pic:spPr>
                          <a:xfrm>
                            <a:off x="0" y="0"/>
                            <a:ext cx="400050" cy="114300"/>
                          </a:xfrm>
                          <a:prstGeom prst="rect">
                            <a:avLst/>
                          </a:prstGeom>
                          <a:noFill/>
                          <a:ln>
                            <a:noFill/>
                          </a:ln>
                        </pic:spPr>
                      </pic:pic>
                    </a:graphicData>
                  </a:graphic>
                </wp:inline>
              </w:drawing>
            </w:r>
            <w:r>
              <w:t>70.59%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10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90525" cy="114300"/>
                  <wp:effectExtent l="0" t="0" r="9525" b="0"/>
                  <wp:docPr id="12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46"/>
                          <pic:cNvPicPr>
                            <a:picLocks noChangeAspect="1"/>
                          </pic:cNvPicPr>
                        </pic:nvPicPr>
                        <pic:blipFill>
                          <a:blip r:embed="rId31"/>
                          <a:stretch>
                            <a:fillRect/>
                          </a:stretch>
                        </pic:blipFill>
                        <pic:spPr>
                          <a:xfrm>
                            <a:off x="0" y="0"/>
                            <a:ext cx="390525" cy="114300"/>
                          </a:xfrm>
                          <a:prstGeom prst="rect">
                            <a:avLst/>
                          </a:prstGeom>
                          <a:noFill/>
                          <a:ln>
                            <a:noFill/>
                          </a:ln>
                        </pic:spPr>
                      </pic:pic>
                    </a:graphicData>
                  </a:graphic>
                </wp:inline>
              </w:drawing>
            </w:r>
            <w:r>
              <w:drawing>
                <wp:inline distT="0" distB="0" distL="114300" distR="114300">
                  <wp:extent cx="962025" cy="114300"/>
                  <wp:effectExtent l="0" t="0" r="9525" b="0"/>
                  <wp:docPr id="13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47"/>
                          <pic:cNvPicPr>
                            <a:picLocks noChangeAspect="1"/>
                          </pic:cNvPicPr>
                        </pic:nvPicPr>
                        <pic:blipFill>
                          <a:blip r:embed="rId32"/>
                          <a:stretch>
                            <a:fillRect/>
                          </a:stretch>
                        </pic:blipFill>
                        <pic:spPr>
                          <a:xfrm>
                            <a:off x="0" y="0"/>
                            <a:ext cx="962025" cy="114300"/>
                          </a:xfrm>
                          <a:prstGeom prst="rect">
                            <a:avLst/>
                          </a:prstGeom>
                          <a:noFill/>
                          <a:ln>
                            <a:noFill/>
                          </a:ln>
                        </pic:spPr>
                      </pic:pic>
                    </a:graphicData>
                  </a:graphic>
                </wp:inline>
              </w:drawing>
            </w:r>
            <w:r>
              <w:t>29.41%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3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48"/>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3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49"/>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4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50"/>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第9题   近年来，贵公司在促进水路运输业发展政策的带动下增加相关就业岗位数量？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20个以上</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6</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238125" cy="114300"/>
                  <wp:effectExtent l="0" t="0" r="9525" b="0"/>
                  <wp:docPr id="13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51"/>
                          <pic:cNvPicPr>
                            <a:picLocks noChangeAspect="1"/>
                          </pic:cNvPicPr>
                        </pic:nvPicPr>
                        <pic:blipFill>
                          <a:blip r:embed="rId33"/>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9525" b="0"/>
                  <wp:docPr id="13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52"/>
                          <pic:cNvPicPr>
                            <a:picLocks noChangeAspect="1"/>
                          </pic:cNvPicPr>
                        </pic:nvPicPr>
                        <pic:blipFill>
                          <a:blip r:embed="rId34"/>
                          <a:stretch>
                            <a:fillRect/>
                          </a:stretch>
                        </pic:blipFill>
                        <pic:spPr>
                          <a:xfrm>
                            <a:off x="0" y="0"/>
                            <a:ext cx="1114425" cy="114300"/>
                          </a:xfrm>
                          <a:prstGeom prst="rect">
                            <a:avLst/>
                          </a:prstGeom>
                          <a:noFill/>
                          <a:ln>
                            <a:noFill/>
                          </a:ln>
                        </pic:spPr>
                      </pic:pic>
                    </a:graphicData>
                  </a:graphic>
                </wp:inline>
              </w:drawing>
            </w:r>
            <w:r>
              <w:t>17.65%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10-20个</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4</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52400" cy="114300"/>
                  <wp:effectExtent l="0" t="0" r="0" b="0"/>
                  <wp:docPr id="14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53"/>
                          <pic:cNvPicPr>
                            <a:picLocks noChangeAspect="1"/>
                          </pic:cNvPicPr>
                        </pic:nvPicPr>
                        <pic:blipFill>
                          <a:blip r:embed="rId35"/>
                          <a:stretch>
                            <a:fillRect/>
                          </a:stretch>
                        </pic:blipFill>
                        <pic:spPr>
                          <a:xfrm>
                            <a:off x="0" y="0"/>
                            <a:ext cx="152400" cy="114300"/>
                          </a:xfrm>
                          <a:prstGeom prst="rect">
                            <a:avLst/>
                          </a:prstGeom>
                          <a:noFill/>
                          <a:ln>
                            <a:noFill/>
                          </a:ln>
                        </pic:spPr>
                      </pic:pic>
                    </a:graphicData>
                  </a:graphic>
                </wp:inline>
              </w:drawing>
            </w:r>
            <w:r>
              <w:drawing>
                <wp:inline distT="0" distB="0" distL="114300" distR="114300">
                  <wp:extent cx="1200150" cy="114300"/>
                  <wp:effectExtent l="0" t="0" r="0" b="0"/>
                  <wp:docPr id="106"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54"/>
                          <pic:cNvPicPr>
                            <a:picLocks noChangeAspect="1"/>
                          </pic:cNvPicPr>
                        </pic:nvPicPr>
                        <pic:blipFill>
                          <a:blip r:embed="rId36"/>
                          <a:stretch>
                            <a:fillRect/>
                          </a:stretch>
                        </pic:blipFill>
                        <pic:spPr>
                          <a:xfrm>
                            <a:off x="0" y="0"/>
                            <a:ext cx="1200150" cy="114300"/>
                          </a:xfrm>
                          <a:prstGeom prst="rect">
                            <a:avLst/>
                          </a:prstGeom>
                          <a:noFill/>
                          <a:ln>
                            <a:noFill/>
                          </a:ln>
                        </pic:spPr>
                      </pic:pic>
                    </a:graphicData>
                  </a:graphic>
                </wp:inline>
              </w:drawing>
            </w:r>
            <w:r>
              <w:t>11.76%</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5-10个</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90500" cy="114300"/>
                  <wp:effectExtent l="0" t="0" r="0" b="0"/>
                  <wp:docPr id="112"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5"/>
                          <pic:cNvPicPr>
                            <a:picLocks noChangeAspect="1"/>
                          </pic:cNvPicPr>
                        </pic:nvPicPr>
                        <pic:blipFill>
                          <a:blip r:embed="rId37"/>
                          <a:stretch>
                            <a:fillRect/>
                          </a:stretch>
                        </pic:blipFill>
                        <pic:spPr>
                          <a:xfrm>
                            <a:off x="0" y="0"/>
                            <a:ext cx="190500" cy="114300"/>
                          </a:xfrm>
                          <a:prstGeom prst="rect">
                            <a:avLst/>
                          </a:prstGeom>
                          <a:noFill/>
                          <a:ln>
                            <a:noFill/>
                          </a:ln>
                        </pic:spPr>
                      </pic:pic>
                    </a:graphicData>
                  </a:graphic>
                </wp:inline>
              </w:drawing>
            </w:r>
            <w:r>
              <w:drawing>
                <wp:inline distT="0" distB="0" distL="114300" distR="114300">
                  <wp:extent cx="1162050" cy="114300"/>
                  <wp:effectExtent l="0" t="0" r="0" b="0"/>
                  <wp:docPr id="10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56"/>
                          <pic:cNvPicPr>
                            <a:picLocks noChangeAspect="1"/>
                          </pic:cNvPicPr>
                        </pic:nvPicPr>
                        <pic:blipFill>
                          <a:blip r:embed="rId38"/>
                          <a:stretch>
                            <a:fillRect/>
                          </a:stretch>
                        </pic:blipFill>
                        <pic:spPr>
                          <a:xfrm>
                            <a:off x="0" y="0"/>
                            <a:ext cx="1162050" cy="114300"/>
                          </a:xfrm>
                          <a:prstGeom prst="rect">
                            <a:avLst/>
                          </a:prstGeom>
                          <a:noFill/>
                          <a:ln>
                            <a:noFill/>
                          </a:ln>
                        </pic:spPr>
                      </pic:pic>
                    </a:graphicData>
                  </a:graphic>
                </wp:inline>
              </w:drawing>
            </w:r>
            <w:r>
              <w:t>14.71%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5个以下</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6</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238125" cy="114300"/>
                  <wp:effectExtent l="0" t="0" r="9525" b="0"/>
                  <wp:docPr id="11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57"/>
                          <pic:cNvPicPr>
                            <a:picLocks noChangeAspect="1"/>
                          </pic:cNvPicPr>
                        </pic:nvPicPr>
                        <pic:blipFill>
                          <a:blip r:embed="rId33"/>
                          <a:stretch>
                            <a:fillRect/>
                          </a:stretch>
                        </pic:blipFill>
                        <pic:spPr>
                          <a:xfrm>
                            <a:off x="0" y="0"/>
                            <a:ext cx="238125" cy="114300"/>
                          </a:xfrm>
                          <a:prstGeom prst="rect">
                            <a:avLst/>
                          </a:prstGeom>
                          <a:noFill/>
                          <a:ln>
                            <a:noFill/>
                          </a:ln>
                        </pic:spPr>
                      </pic:pic>
                    </a:graphicData>
                  </a:graphic>
                </wp:inline>
              </w:drawing>
            </w:r>
            <w:r>
              <w:drawing>
                <wp:inline distT="0" distB="0" distL="114300" distR="114300">
                  <wp:extent cx="1114425" cy="114300"/>
                  <wp:effectExtent l="0" t="0" r="9525" b="0"/>
                  <wp:docPr id="10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58"/>
                          <pic:cNvPicPr>
                            <a:picLocks noChangeAspect="1"/>
                          </pic:cNvPicPr>
                        </pic:nvPicPr>
                        <pic:blipFill>
                          <a:blip r:embed="rId34"/>
                          <a:stretch>
                            <a:fillRect/>
                          </a:stretch>
                        </pic:blipFill>
                        <pic:spPr>
                          <a:xfrm>
                            <a:off x="0" y="0"/>
                            <a:ext cx="1114425" cy="114300"/>
                          </a:xfrm>
                          <a:prstGeom prst="rect">
                            <a:avLst/>
                          </a:prstGeom>
                          <a:noFill/>
                          <a:ln>
                            <a:noFill/>
                          </a:ln>
                        </pic:spPr>
                      </pic:pic>
                    </a:graphicData>
                  </a:graphic>
                </wp:inline>
              </w:drawing>
            </w:r>
            <w:r>
              <w:t>17.65%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没有变化</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13</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514350" cy="114300"/>
                  <wp:effectExtent l="0" t="0" r="0" b="0"/>
                  <wp:docPr id="11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59"/>
                          <pic:cNvPicPr>
                            <a:picLocks noChangeAspect="1"/>
                          </pic:cNvPicPr>
                        </pic:nvPicPr>
                        <pic:blipFill>
                          <a:blip r:embed="rId39"/>
                          <a:stretch>
                            <a:fillRect/>
                          </a:stretch>
                        </pic:blipFill>
                        <pic:spPr>
                          <a:xfrm>
                            <a:off x="0" y="0"/>
                            <a:ext cx="514350" cy="114300"/>
                          </a:xfrm>
                          <a:prstGeom prst="rect">
                            <a:avLst/>
                          </a:prstGeom>
                          <a:noFill/>
                          <a:ln>
                            <a:noFill/>
                          </a:ln>
                        </pic:spPr>
                      </pic:pic>
                    </a:graphicData>
                  </a:graphic>
                </wp:inline>
              </w:drawing>
            </w:r>
            <w:r>
              <w:drawing>
                <wp:inline distT="0" distB="0" distL="114300" distR="114300">
                  <wp:extent cx="838200" cy="114300"/>
                  <wp:effectExtent l="0" t="0" r="0" b="0"/>
                  <wp:docPr id="11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60"/>
                          <pic:cNvPicPr>
                            <a:picLocks noChangeAspect="1"/>
                          </pic:cNvPicPr>
                        </pic:nvPicPr>
                        <pic:blipFill>
                          <a:blip r:embed="rId40"/>
                          <a:stretch>
                            <a:fillRect/>
                          </a:stretch>
                        </pic:blipFill>
                        <pic:spPr>
                          <a:xfrm>
                            <a:off x="0" y="0"/>
                            <a:ext cx="838200" cy="114300"/>
                          </a:xfrm>
                          <a:prstGeom prst="rect">
                            <a:avLst/>
                          </a:prstGeom>
                          <a:noFill/>
                          <a:ln>
                            <a:noFill/>
                          </a:ln>
                        </pic:spPr>
                      </pic:pic>
                    </a:graphicData>
                  </a:graphic>
                </wp:inline>
              </w:drawing>
            </w:r>
            <w:r>
              <w:t>38.24%</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第10题   请问贵公司对该政策促进</w:t>
      </w:r>
      <w:r>
        <w:rPr>
          <w:rFonts w:hint="eastAsia"/>
          <w:b w:val="0"/>
          <w:color w:val="000000"/>
          <w:sz w:val="24"/>
          <w:lang w:eastAsia="zh-CN"/>
        </w:rPr>
        <w:t>石狮市</w:t>
      </w:r>
      <w:r>
        <w:rPr>
          <w:b w:val="0"/>
          <w:color w:val="000000"/>
          <w:sz w:val="24"/>
        </w:rPr>
        <w:t xml:space="preserve">水路运输业发展的效果是否满意?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A.非常满意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24</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52500" cy="114300"/>
                  <wp:effectExtent l="0" t="0" r="0" b="0"/>
                  <wp:docPr id="10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61"/>
                          <pic:cNvPicPr>
                            <a:picLocks noChangeAspect="1"/>
                          </pic:cNvPicPr>
                        </pic:nvPicPr>
                        <pic:blipFill>
                          <a:blip r:embed="rId29"/>
                          <a:stretch>
                            <a:fillRect/>
                          </a:stretch>
                        </pic:blipFill>
                        <pic:spPr>
                          <a:xfrm>
                            <a:off x="0" y="0"/>
                            <a:ext cx="952500" cy="114300"/>
                          </a:xfrm>
                          <a:prstGeom prst="rect">
                            <a:avLst/>
                          </a:prstGeom>
                          <a:noFill/>
                          <a:ln>
                            <a:noFill/>
                          </a:ln>
                        </pic:spPr>
                      </pic:pic>
                    </a:graphicData>
                  </a:graphic>
                </wp:inline>
              </w:drawing>
            </w:r>
            <w:r>
              <w:drawing>
                <wp:inline distT="0" distB="0" distL="114300" distR="114300">
                  <wp:extent cx="400050" cy="114300"/>
                  <wp:effectExtent l="0" t="0" r="0" b="0"/>
                  <wp:docPr id="11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62"/>
                          <pic:cNvPicPr>
                            <a:picLocks noChangeAspect="1"/>
                          </pic:cNvPicPr>
                        </pic:nvPicPr>
                        <pic:blipFill>
                          <a:blip r:embed="rId30"/>
                          <a:stretch>
                            <a:fillRect/>
                          </a:stretch>
                        </pic:blipFill>
                        <pic:spPr>
                          <a:xfrm>
                            <a:off x="0" y="0"/>
                            <a:ext cx="400050" cy="114300"/>
                          </a:xfrm>
                          <a:prstGeom prst="rect">
                            <a:avLst/>
                          </a:prstGeom>
                          <a:noFill/>
                          <a:ln>
                            <a:noFill/>
                          </a:ln>
                        </pic:spPr>
                      </pic:pic>
                    </a:graphicData>
                  </a:graphic>
                </wp:inline>
              </w:drawing>
            </w:r>
            <w:r>
              <w:t>70.59%</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B.比较满意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10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90525" cy="114300"/>
                  <wp:effectExtent l="0" t="0" r="9525" b="0"/>
                  <wp:docPr id="119"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63"/>
                          <pic:cNvPicPr>
                            <a:picLocks noChangeAspect="1"/>
                          </pic:cNvPicPr>
                        </pic:nvPicPr>
                        <pic:blipFill>
                          <a:blip r:embed="rId31"/>
                          <a:stretch>
                            <a:fillRect/>
                          </a:stretch>
                        </pic:blipFill>
                        <pic:spPr>
                          <a:xfrm>
                            <a:off x="0" y="0"/>
                            <a:ext cx="390525" cy="114300"/>
                          </a:xfrm>
                          <a:prstGeom prst="rect">
                            <a:avLst/>
                          </a:prstGeom>
                          <a:noFill/>
                          <a:ln>
                            <a:noFill/>
                          </a:ln>
                        </pic:spPr>
                      </pic:pic>
                    </a:graphicData>
                  </a:graphic>
                </wp:inline>
              </w:drawing>
            </w:r>
            <w:r>
              <w:drawing>
                <wp:inline distT="0" distB="0" distL="114300" distR="114300">
                  <wp:extent cx="962025" cy="114300"/>
                  <wp:effectExtent l="0" t="0" r="9525" b="0"/>
                  <wp:docPr id="11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64"/>
                          <pic:cNvPicPr>
                            <a:picLocks noChangeAspect="1"/>
                          </pic:cNvPicPr>
                        </pic:nvPicPr>
                        <pic:blipFill>
                          <a:blip r:embed="rId32"/>
                          <a:stretch>
                            <a:fillRect/>
                          </a:stretch>
                        </pic:blipFill>
                        <pic:spPr>
                          <a:xfrm>
                            <a:off x="0" y="0"/>
                            <a:ext cx="962025" cy="114300"/>
                          </a:xfrm>
                          <a:prstGeom prst="rect">
                            <a:avLst/>
                          </a:prstGeom>
                          <a:noFill/>
                          <a:ln>
                            <a:noFill/>
                          </a:ln>
                        </pic:spPr>
                      </pic:pic>
                    </a:graphicData>
                  </a:graphic>
                </wp:inline>
              </w:drawing>
            </w:r>
            <w:r>
              <w:t>29.41%</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C.无感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1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65"/>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D.不太满意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6"/>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E.非常不满意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14"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67"/>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r>
        <w:rPr>
          <w:b w:val="0"/>
          <w:color w:val="000000"/>
          <w:sz w:val="24"/>
        </w:rPr>
        <w:t xml:space="preserve">第11题   贵公司对促进水路运输业发展实施意见的综合评价 </w:t>
      </w:r>
      <w:r>
        <w:rPr>
          <w:rFonts w:hint="eastAsia" w:eastAsia="宋体"/>
          <w:b w:val="0"/>
          <w:color w:val="000000"/>
          <w:sz w:val="24"/>
          <w:lang w:eastAsia="zh-CN"/>
        </w:rPr>
        <w:t>？</w:t>
      </w:r>
      <w:r>
        <w:rPr>
          <w:b w:val="0"/>
          <w:color w:val="000000"/>
          <w:sz w:val="24"/>
        </w:rPr>
        <w:t xml:space="preserve">     </w:t>
      </w:r>
      <w:r>
        <w:rPr>
          <w:b w:val="0"/>
          <w:color w:val="0066FF"/>
          <w:sz w:val="24"/>
        </w:rPr>
        <w:t>[单选题]</w:t>
      </w:r>
    </w:p>
    <w:p>
      <w:pPr>
        <w:keepLines w:val="0"/>
        <w:pageBreakBefore w:val="0"/>
        <w:widowControl w:val="0"/>
        <w:kinsoku/>
        <w:wordWrap/>
        <w:overflowPunct/>
        <w:topLinePunct w:val="0"/>
        <w:autoSpaceDE/>
        <w:autoSpaceDN/>
        <w:bidi w:val="0"/>
        <w:adjustRightInd/>
        <w:snapToGrid/>
        <w:rPr>
          <w:b w:val="0"/>
          <w:color w:val="0066FF"/>
          <w:sz w:val="24"/>
        </w:rPr>
      </w:pPr>
    </w:p>
    <w:tbl>
      <w:tblPr>
        <w:tblStyle w:val="18"/>
        <w:tblW w:w="5000" w:type="pct"/>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autofit"/>
        <w:tblCellMar>
          <w:top w:w="0" w:type="dxa"/>
          <w:left w:w="108" w:type="dxa"/>
          <w:bottom w:w="0" w:type="dxa"/>
          <w:right w:w="108" w:type="dxa"/>
        </w:tblCellMar>
      </w:tblPr>
      <w:tblGrid>
        <w:gridCol w:w="3009"/>
        <w:gridCol w:w="1009"/>
        <w:gridCol w:w="5043"/>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选项</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小计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25</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990600" cy="114300"/>
                  <wp:effectExtent l="0" t="0" r="0" b="0"/>
                  <wp:docPr id="11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68"/>
                          <pic:cNvPicPr>
                            <a:picLocks noChangeAspect="1"/>
                          </pic:cNvPicPr>
                        </pic:nvPicPr>
                        <pic:blipFill>
                          <a:blip r:embed="rId17"/>
                          <a:stretch>
                            <a:fillRect/>
                          </a:stretch>
                        </pic:blipFill>
                        <pic:spPr>
                          <a:xfrm>
                            <a:off x="0" y="0"/>
                            <a:ext cx="990600" cy="114300"/>
                          </a:xfrm>
                          <a:prstGeom prst="rect">
                            <a:avLst/>
                          </a:prstGeom>
                          <a:noFill/>
                          <a:ln>
                            <a:noFill/>
                          </a:ln>
                        </pic:spPr>
                      </pic:pic>
                    </a:graphicData>
                  </a:graphic>
                </wp:inline>
              </w:drawing>
            </w:r>
            <w:r>
              <w:drawing>
                <wp:inline distT="0" distB="0" distL="114300" distR="114300">
                  <wp:extent cx="361950" cy="114300"/>
                  <wp:effectExtent l="0" t="0" r="0" b="0"/>
                  <wp:docPr id="5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9"/>
                          <pic:cNvPicPr>
                            <a:picLocks noChangeAspect="1"/>
                          </pic:cNvPicPr>
                        </pic:nvPicPr>
                        <pic:blipFill>
                          <a:blip r:embed="rId18"/>
                          <a:stretch>
                            <a:fillRect/>
                          </a:stretch>
                        </pic:blipFill>
                        <pic:spPr>
                          <a:xfrm>
                            <a:off x="0" y="0"/>
                            <a:ext cx="361950" cy="114300"/>
                          </a:xfrm>
                          <a:prstGeom prst="rect">
                            <a:avLst/>
                          </a:prstGeom>
                          <a:noFill/>
                          <a:ln>
                            <a:noFill/>
                          </a:ln>
                        </pic:spPr>
                      </pic:pic>
                    </a:graphicData>
                  </a:graphic>
                </wp:inline>
              </w:drawing>
            </w:r>
            <w:r>
              <w:t>73.53%</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9</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352425" cy="114300"/>
                  <wp:effectExtent l="0" t="0" r="9525" b="0"/>
                  <wp:docPr id="5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70"/>
                          <pic:cNvPicPr>
                            <a:picLocks noChangeAspect="1"/>
                          </pic:cNvPicPr>
                        </pic:nvPicPr>
                        <pic:blipFill>
                          <a:blip r:embed="rId19"/>
                          <a:stretch>
                            <a:fillRect/>
                          </a:stretch>
                        </pic:blipFill>
                        <pic:spPr>
                          <a:xfrm>
                            <a:off x="0" y="0"/>
                            <a:ext cx="352425" cy="114300"/>
                          </a:xfrm>
                          <a:prstGeom prst="rect">
                            <a:avLst/>
                          </a:prstGeom>
                          <a:noFill/>
                          <a:ln>
                            <a:noFill/>
                          </a:ln>
                        </pic:spPr>
                      </pic:pic>
                    </a:graphicData>
                  </a:graphic>
                </wp:inline>
              </w:drawing>
            </w:r>
            <w:r>
              <w:drawing>
                <wp:inline distT="0" distB="0" distL="114300" distR="114300">
                  <wp:extent cx="1000125" cy="114300"/>
                  <wp:effectExtent l="0" t="0" r="9525" b="0"/>
                  <wp:docPr id="6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71"/>
                          <pic:cNvPicPr>
                            <a:picLocks noChangeAspect="1"/>
                          </pic:cNvPicPr>
                        </pic:nvPicPr>
                        <pic:blipFill>
                          <a:blip r:embed="rId20"/>
                          <a:stretch>
                            <a:fillRect/>
                          </a:stretch>
                        </pic:blipFill>
                        <pic:spPr>
                          <a:xfrm>
                            <a:off x="0" y="0"/>
                            <a:ext cx="1000125" cy="114300"/>
                          </a:xfrm>
                          <a:prstGeom prst="rect">
                            <a:avLst/>
                          </a:prstGeom>
                          <a:noFill/>
                          <a:ln>
                            <a:noFill/>
                          </a:ln>
                        </pic:spPr>
                      </pic:pic>
                    </a:graphicData>
                  </a:graphic>
                </wp:inline>
              </w:drawing>
            </w:r>
            <w:r>
              <w:t>26.47%</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无感</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0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72"/>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t>不太满意</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AFAFA"/>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05"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73"/>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t>非常不满意</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center"/>
            </w:pPr>
            <w:r>
              <w:t>0</w:t>
            </w:r>
          </w:p>
        </w:tc>
        <w:tc>
          <w:tcPr>
            <w:shd w:val="clear" w:color="auto" w:fill="FFFFFF"/>
            <w:vAlign w:val="center"/>
          </w:tcPr>
          <w:p>
            <w:pPr>
              <w:keepLines w:val="0"/>
              <w:pageBreakBefore w:val="0"/>
              <w:widowControl w:val="0"/>
              <w:kinsoku/>
              <w:wordWrap/>
              <w:overflowPunct/>
              <w:topLinePunct w:val="0"/>
              <w:autoSpaceDE/>
              <w:autoSpaceDN/>
              <w:bidi w:val="0"/>
              <w:adjustRightInd/>
              <w:snapToGrid/>
              <w:jc w:val="left"/>
            </w:pPr>
            <w:r>
              <w:drawing>
                <wp:inline distT="0" distB="0" distL="114300" distR="114300">
                  <wp:extent cx="1352550" cy="114300"/>
                  <wp:effectExtent l="0" t="0" r="0" b="0"/>
                  <wp:docPr id="12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74"/>
                          <pic:cNvPicPr>
                            <a:picLocks noChangeAspect="1"/>
                          </pic:cNvPicPr>
                        </pic:nvPicPr>
                        <pic:blipFill>
                          <a:blip r:embed="rId12"/>
                          <a:stretch>
                            <a:fillRect/>
                          </a:stretch>
                        </pic:blipFill>
                        <pic:spPr>
                          <a:xfrm>
                            <a:off x="0" y="0"/>
                            <a:ext cx="1352550" cy="114300"/>
                          </a:xfrm>
                          <a:prstGeom prst="rect">
                            <a:avLst/>
                          </a:prstGeom>
                          <a:noFill/>
                          <a:ln>
                            <a:noFill/>
                          </a:ln>
                        </pic:spPr>
                      </pic:pic>
                    </a:graphicData>
                  </a:graphic>
                </wp:inline>
              </w:drawing>
            </w:r>
            <w:r>
              <w:t>0%</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CellMar>
            <w:top w:w="0" w:type="dxa"/>
            <w:left w:w="108" w:type="dxa"/>
            <w:bottom w:w="0" w:type="dxa"/>
            <w:right w:w="108" w:type="dxa"/>
          </w:tblCellMar>
        </w:tblPrEx>
        <w:trPr>
          <w:trHeight w:val="500" w:hRule="atLeast"/>
        </w:trPr>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r>
              <w:t>本题有效填写人次</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center"/>
            </w:pPr>
            <w:r>
              <w:t>34</w:t>
            </w:r>
          </w:p>
        </w:tc>
        <w:tc>
          <w:tcPr>
            <w:shd w:val="clear" w:color="auto" w:fill="F5F5F5"/>
            <w:vAlign w:val="center"/>
          </w:tcPr>
          <w:p>
            <w:pPr>
              <w:keepLines w:val="0"/>
              <w:pageBreakBefore w:val="0"/>
              <w:widowControl w:val="0"/>
              <w:kinsoku/>
              <w:wordWrap/>
              <w:overflowPunct/>
              <w:topLinePunct w:val="0"/>
              <w:autoSpaceDE/>
              <w:autoSpaceDN/>
              <w:bidi w:val="0"/>
              <w:adjustRightInd/>
              <w:snapToGrid/>
              <w:jc w:val="left"/>
            </w:pPr>
          </w:p>
        </w:tc>
      </w:tr>
    </w:tbl>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pPr>
    </w:p>
    <w:p>
      <w:pPr>
        <w:keepLines w:val="0"/>
        <w:pageBreakBefore w:val="0"/>
        <w:widowControl w:val="0"/>
        <w:kinsoku/>
        <w:wordWrap/>
        <w:overflowPunct/>
        <w:topLinePunct w:val="0"/>
        <w:autoSpaceDE/>
        <w:autoSpaceDN/>
        <w:bidi w:val="0"/>
        <w:adjustRightInd/>
        <w:snapToGrid/>
        <w:rPr>
          <w:b w:val="0"/>
          <w:color w:val="0066FF"/>
          <w:sz w:val="24"/>
        </w:rPr>
      </w:pPr>
      <w:r>
        <w:rPr>
          <w:b w:val="0"/>
          <w:color w:val="000000"/>
          <w:sz w:val="24"/>
        </w:rPr>
        <w:t xml:space="preserve">第12题   贵公司关于石狮市对水路运输业的奖励政策还有哪些宝贵的意见和建议？      </w:t>
      </w:r>
      <w:r>
        <w:rPr>
          <w:b w:val="0"/>
          <w:color w:val="0066FF"/>
          <w:sz w:val="24"/>
        </w:rPr>
        <w:t>[填空题]</w:t>
      </w:r>
      <w:bookmarkEnd w:id="356"/>
    </w:p>
    <w:p>
      <w:pPr>
        <w:pStyle w:val="2"/>
        <w:keepLines w:val="0"/>
        <w:pageBreakBefore w:val="0"/>
        <w:widowControl w:val="0"/>
        <w:kinsoku/>
        <w:wordWrap/>
        <w:overflowPunct/>
        <w:topLinePunct w:val="0"/>
        <w:autoSpaceDE/>
        <w:autoSpaceDN/>
        <w:bidi w:val="0"/>
        <w:adjustRightInd/>
        <w:snapToGrid/>
        <w:rPr>
          <w:rFonts w:hint="eastAsia"/>
          <w:sz w:val="24"/>
          <w:szCs w:val="28"/>
          <w:lang w:val="en-US" w:eastAsia="zh-CN"/>
        </w:rPr>
        <w:sectPr>
          <w:pgSz w:w="11906" w:h="16838"/>
          <w:pgMar w:top="1417" w:right="1474" w:bottom="1417"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sz w:val="24"/>
          <w:szCs w:val="28"/>
          <w:lang w:val="en-US" w:eastAsia="zh-CN"/>
        </w:rPr>
        <w:t>有一家企业表示：</w:t>
      </w:r>
      <w:r>
        <w:rPr>
          <w:rFonts w:hint="default"/>
          <w:sz w:val="24"/>
          <w:szCs w:val="28"/>
          <w:lang w:val="en-US" w:eastAsia="zh-CN"/>
        </w:rPr>
        <w:t>希望能延期下去</w:t>
      </w:r>
      <w:r>
        <w:rPr>
          <w:rFonts w:hint="eastAsia"/>
          <w:sz w:val="24"/>
          <w:szCs w:val="28"/>
          <w:lang w:val="en-US" w:eastAsia="zh-CN"/>
        </w:rPr>
        <w:t>，其他企业无意见和建议。</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outlineLvl w:val="0"/>
        <w:rPr>
          <w:rFonts w:hint="eastAsia"/>
          <w:b/>
          <w:bCs w:val="0"/>
          <w:sz w:val="24"/>
          <w:szCs w:val="28"/>
          <w:lang w:val="en-US" w:eastAsia="zh-CN"/>
        </w:rPr>
      </w:pPr>
      <w:bookmarkStart w:id="357" w:name="_Toc2357"/>
      <w:r>
        <w:rPr>
          <w:rFonts w:hint="eastAsia" w:ascii="仿宋" w:hAnsi="仿宋" w:eastAsia="仿宋" w:cs="仿宋"/>
          <w:b/>
          <w:bCs w:val="0"/>
          <w:color w:val="auto"/>
          <w:sz w:val="28"/>
          <w:szCs w:val="28"/>
          <w:lang w:val="en-US" w:eastAsia="zh-CN"/>
        </w:rPr>
        <w:t>附件2</w:t>
      </w:r>
      <w:r>
        <w:rPr>
          <w:rFonts w:hint="eastAsia" w:ascii="仿宋" w:hAnsi="仿宋" w:eastAsia="仿宋" w:cs="仿宋"/>
          <w:b/>
          <w:bCs w:val="0"/>
          <w:color w:val="auto"/>
          <w:kern w:val="0"/>
          <w:sz w:val="28"/>
          <w:szCs w:val="28"/>
          <w:lang w:val="en-US" w:eastAsia="zh-CN"/>
        </w:rPr>
        <w:t xml:space="preserve">  石狮市已申领奖补资金船舶迁出明细表</w:t>
      </w:r>
      <w:bookmarkEnd w:id="357"/>
    </w:p>
    <w:tbl>
      <w:tblPr>
        <w:tblStyle w:val="18"/>
        <w:tblW w:w="896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3"/>
        <w:gridCol w:w="2794"/>
        <w:gridCol w:w="1261"/>
        <w:gridCol w:w="1195"/>
        <w:gridCol w:w="1224"/>
        <w:gridCol w:w="1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船名</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企业自报船舶现状</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泉州反馈情况</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石狮市核实情况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福建千祥船务有限公司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千祥8</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已退回61.35万元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福建千祥船务有限公司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万祥26</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出售山东</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已退回50.54万元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福建省鑫嘉源海运有限责任公司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鑫嘉源227</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已退回64万元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福建省鑫嘉源海运有限责任公司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鑫嘉源237</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已退回65万元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石狮奥通商运有限公司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唐信7</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出售</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已退回51.52万元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石狮德盈船务有限公司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德盈2</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出售</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已退回108.46万元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石狮市华东船务有限公司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华东88</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已退回115万元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right"/>
        </w:trPr>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2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石狮市永益船运有限公司</w:t>
            </w:r>
          </w:p>
        </w:tc>
        <w:tc>
          <w:tcPr>
            <w:tcW w:w="12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新永昌9</w:t>
            </w:r>
          </w:p>
        </w:tc>
        <w:tc>
          <w:tcPr>
            <w:tcW w:w="11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光租</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迁出石狮</w:t>
            </w:r>
          </w:p>
        </w:tc>
        <w:tc>
          <w:tcPr>
            <w:tcW w:w="1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已退回规模奖励100万元</w:t>
            </w:r>
          </w:p>
        </w:tc>
      </w:tr>
    </w:tbl>
    <w:p>
      <w:pPr>
        <w:pStyle w:val="2"/>
        <w:keepLines w:val="0"/>
        <w:pageBreakBefore w:val="0"/>
        <w:widowControl w:val="0"/>
        <w:kinsoku/>
        <w:wordWrap/>
        <w:overflowPunct/>
        <w:topLinePunct w:val="0"/>
        <w:autoSpaceDE/>
        <w:autoSpaceDN/>
        <w:bidi w:val="0"/>
        <w:adjustRightInd/>
        <w:snapToGrid/>
        <w:rPr>
          <w:rFonts w:hint="eastAsia"/>
          <w:sz w:val="24"/>
          <w:szCs w:val="28"/>
          <w:lang w:val="en-US" w:eastAsia="zh-CN"/>
        </w:rPr>
      </w:pPr>
    </w:p>
    <w:p>
      <w:pPr>
        <w:rPr>
          <w:rFonts w:hint="eastAsia"/>
          <w:sz w:val="24"/>
          <w:szCs w:val="28"/>
          <w:lang w:val="en-US" w:eastAsia="zh-CN"/>
        </w:rPr>
      </w:pPr>
      <w:r>
        <w:rPr>
          <w:rFonts w:hint="eastAsia"/>
          <w:sz w:val="24"/>
          <w:szCs w:val="28"/>
          <w:lang w:val="en-US" w:eastAsia="zh-CN"/>
        </w:rPr>
        <w:br w:type="page"/>
      </w:r>
    </w:p>
    <w:p>
      <w:pPr>
        <w:pStyle w:val="2"/>
        <w:keepLines w:val="0"/>
        <w:pageBreakBefore w:val="0"/>
        <w:widowControl w:val="0"/>
        <w:kinsoku/>
        <w:wordWrap/>
        <w:overflowPunct/>
        <w:topLinePunct w:val="0"/>
        <w:autoSpaceDE/>
        <w:autoSpaceDN/>
        <w:bidi w:val="0"/>
        <w:adjustRightInd/>
        <w:snapToGrid/>
        <w:rPr>
          <w:rFonts w:hint="default"/>
          <w:sz w:val="24"/>
          <w:szCs w:val="28"/>
          <w:lang w:val="en-US" w:eastAsia="zh-CN"/>
        </w:rPr>
      </w:pPr>
    </w:p>
    <w:sectPr>
      <w:headerReference r:id="rId9" w:type="default"/>
      <w:pgSz w:w="11906" w:h="16838"/>
      <w:pgMar w:top="1417" w:right="1474" w:bottom="1417"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none" w:color="auto" w:sz="0" w:space="0"/>
        <w:left w:val="none" w:color="auto" w:sz="0" w:space="0"/>
        <w:bottom w:val="none" w:color="auto" w:sz="0" w:space="1"/>
        <w:right w:val="none" w:color="auto" w:sz="0" w:space="0"/>
        <w:between w:val="none" w:color="auto" w:sz="0" w:space="0"/>
      </w:pBdr>
      <w:rPr>
        <w:rFonts w:hint="default" w:eastAsiaTheme="minorEastAsia"/>
        <w:lang w:val="en-US" w:eastAsia="zh-CN"/>
      </w:rPr>
    </w:pPr>
    <w:r>
      <w:rPr>
        <w:rFonts w:hint="eastAsia"/>
        <w:b/>
        <w:bCs/>
        <w:sz w:val="18"/>
        <w:szCs w:val="18"/>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none" w:color="auto" w:sz="0" w:space="0"/>
        <w:left w:val="none" w:color="auto" w:sz="0" w:space="0"/>
        <w:bottom w:val="none" w:color="auto" w:sz="0" w:space="1"/>
        <w:right w:val="none" w:color="auto" w:sz="0" w:space="0"/>
        <w:between w:val="none" w:color="auto" w:sz="0" w:space="0"/>
      </w:pBdr>
      <w:rPr>
        <w:rFonts w:hint="default" w:eastAsiaTheme="minorEastAsia"/>
        <w:lang w:val="en-US" w:eastAsia="zh-CN"/>
      </w:rPr>
    </w:pPr>
    <w:r>
      <w:rPr>
        <w:rFonts w:hint="eastAsia"/>
        <w:b/>
        <w:bCs/>
        <w:sz w:val="18"/>
        <w:szCs w:val="18"/>
      </w:rPr>
      <w:drawing>
        <wp:anchor distT="0" distB="0" distL="114300" distR="114300" simplePos="0" relativeHeight="251661312" behindDoc="0" locked="0" layoutInCell="1" allowOverlap="1">
          <wp:simplePos x="0" y="0"/>
          <wp:positionH relativeFrom="column">
            <wp:posOffset>5268595</wp:posOffset>
          </wp:positionH>
          <wp:positionV relativeFrom="paragraph">
            <wp:posOffset>-97790</wp:posOffset>
          </wp:positionV>
          <wp:extent cx="314325" cy="306705"/>
          <wp:effectExtent l="0" t="0" r="9525" b="17145"/>
          <wp:wrapSquare wrapText="bothSides"/>
          <wp:docPr id="56" name="图片 56"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b/>
        <w:bCs/>
        <w:sz w:val="18"/>
        <w:szCs w:val="18"/>
        <w:lang w:val="en-US" w:eastAsia="zh-CN"/>
      </w:rPr>
      <w:t xml:space="preserve">                                                 </w:t>
    </w:r>
    <w:r>
      <w:rPr>
        <w:rFonts w:hint="eastAsia"/>
        <w:b/>
        <w:bCs/>
        <w:sz w:val="18"/>
        <w:szCs w:val="18"/>
      </w:rPr>
      <w:t>泉州市招标咨询中心地方财政绩效评价所</w:t>
    </w:r>
    <w:r>
      <w:rPr>
        <w:rFonts w:hint="eastAsia"/>
        <w:b/>
        <w:bCs/>
        <w:sz w:val="18"/>
        <w:szCs w:val="1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none" w:color="auto" w:sz="0" w:space="0"/>
        <w:left w:val="none" w:color="auto" w:sz="0" w:space="0"/>
        <w:bottom w:val="none" w:color="auto" w:sz="0" w:space="1"/>
        <w:right w:val="none" w:color="auto" w:sz="0" w:space="0"/>
        <w:between w:val="none" w:color="auto" w:sz="0" w:space="0"/>
      </w:pBdr>
      <w:jc w:val="right"/>
      <w:rPr>
        <w:rFonts w:hint="default" w:eastAsiaTheme="minorEastAsia"/>
        <w:lang w:val="en-US" w:eastAsia="zh-CN"/>
      </w:rPr>
    </w:pPr>
    <w:r>
      <w:rPr>
        <w:rFonts w:hint="eastAsia"/>
        <w:b/>
        <w:bCs/>
        <w:sz w:val="18"/>
        <w:szCs w:val="18"/>
      </w:rPr>
      <w:drawing>
        <wp:anchor distT="0" distB="0" distL="114300" distR="114300" simplePos="0" relativeHeight="251659264" behindDoc="0" locked="0" layoutInCell="1" allowOverlap="1">
          <wp:simplePos x="0" y="0"/>
          <wp:positionH relativeFrom="column">
            <wp:posOffset>8870315</wp:posOffset>
          </wp:positionH>
          <wp:positionV relativeFrom="paragraph">
            <wp:posOffset>-240030</wp:posOffset>
          </wp:positionV>
          <wp:extent cx="314325" cy="306705"/>
          <wp:effectExtent l="0" t="0" r="9525" b="17145"/>
          <wp:wrapSquare wrapText="bothSides"/>
          <wp:docPr id="52" name="图片 52"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b/>
        <w:bCs/>
        <w:sz w:val="18"/>
        <w:szCs w:val="18"/>
        <w:lang w:val="en-US" w:eastAsia="zh-CN"/>
      </w:rPr>
      <w:t xml:space="preserve">                                                 </w:t>
    </w:r>
    <w:r>
      <w:rPr>
        <w:rFonts w:hint="eastAsia"/>
        <w:b/>
        <w:bCs/>
        <w:sz w:val="18"/>
        <w:szCs w:val="18"/>
      </w:rPr>
      <w:t>泉州市招标咨询中心地方财政绩效评价所</w:t>
    </w:r>
    <w:r>
      <w:rPr>
        <w:rFonts w:hint="eastAsia"/>
        <w:b/>
        <w:bCs/>
        <w:sz w:val="18"/>
        <w:szCs w:val="18"/>
        <w:lang w:val="en-US" w:eastAsia="zh-CN"/>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none" w:color="auto" w:sz="0" w:space="0"/>
        <w:left w:val="none" w:color="auto" w:sz="0" w:space="0"/>
        <w:bottom w:val="none" w:color="auto" w:sz="0" w:space="1"/>
        <w:right w:val="none" w:color="auto" w:sz="0" w:space="0"/>
        <w:between w:val="none" w:color="auto" w:sz="0" w:space="0"/>
      </w:pBdr>
      <w:jc w:val="right"/>
      <w:rPr>
        <w:rFonts w:hint="default" w:eastAsiaTheme="minorEastAsia"/>
        <w:lang w:val="en-US" w:eastAsia="zh-CN"/>
      </w:rPr>
    </w:pPr>
    <w:r>
      <w:rPr>
        <w:rFonts w:hint="eastAsia"/>
        <w:b/>
        <w:bCs/>
        <w:sz w:val="18"/>
        <w:szCs w:val="18"/>
      </w:rPr>
      <w:drawing>
        <wp:anchor distT="0" distB="0" distL="114300" distR="114300" simplePos="0" relativeHeight="251660288" behindDoc="0" locked="0" layoutInCell="1" allowOverlap="1">
          <wp:simplePos x="0" y="0"/>
          <wp:positionH relativeFrom="column">
            <wp:posOffset>5646420</wp:posOffset>
          </wp:positionH>
          <wp:positionV relativeFrom="paragraph">
            <wp:posOffset>-166370</wp:posOffset>
          </wp:positionV>
          <wp:extent cx="314325" cy="306705"/>
          <wp:effectExtent l="0" t="0" r="9525" b="17145"/>
          <wp:wrapSquare wrapText="bothSides"/>
          <wp:docPr id="53" name="图片 53"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b/>
        <w:bCs/>
        <w:sz w:val="18"/>
        <w:szCs w:val="18"/>
        <w:lang w:val="en-US" w:eastAsia="zh-CN"/>
      </w:rPr>
      <w:t xml:space="preserve">                                                 </w:t>
    </w:r>
    <w:r>
      <w:rPr>
        <w:rFonts w:hint="eastAsia"/>
        <w:b/>
        <w:bCs/>
        <w:sz w:val="18"/>
        <w:szCs w:val="18"/>
      </w:rPr>
      <w:t>泉州市招标咨询中心地方财政绩效评价所</w:t>
    </w:r>
    <w:r>
      <w:rPr>
        <w:rFonts w:hint="eastAsia"/>
        <w:b/>
        <w:bCs/>
        <w:sz w:val="18"/>
        <w:szCs w:val="18"/>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top w:val="none" w:color="auto" w:sz="0" w:space="0"/>
        <w:left w:val="none" w:color="auto" w:sz="0" w:space="0"/>
        <w:bottom w:val="none" w:color="auto" w:sz="0" w:space="1"/>
        <w:right w:val="none" w:color="auto" w:sz="0" w:space="0"/>
        <w:between w:val="none" w:color="auto" w:sz="0" w:space="0"/>
      </w:pBdr>
      <w:jc w:val="right"/>
      <w:rPr>
        <w:rFonts w:hint="default" w:eastAsiaTheme="minorEastAsia"/>
        <w:lang w:val="en-US" w:eastAsia="zh-CN"/>
      </w:rPr>
    </w:pPr>
    <w:r>
      <w:rPr>
        <w:rFonts w:hint="eastAsia"/>
        <w:b/>
        <w:bCs/>
        <w:sz w:val="18"/>
        <w:szCs w:val="18"/>
      </w:rPr>
      <w:drawing>
        <wp:anchor distT="0" distB="0" distL="114300" distR="114300" simplePos="0" relativeHeight="251660288" behindDoc="0" locked="0" layoutInCell="1" allowOverlap="1">
          <wp:simplePos x="0" y="0"/>
          <wp:positionH relativeFrom="column">
            <wp:posOffset>5646420</wp:posOffset>
          </wp:positionH>
          <wp:positionV relativeFrom="paragraph">
            <wp:posOffset>-166370</wp:posOffset>
          </wp:positionV>
          <wp:extent cx="314325" cy="306705"/>
          <wp:effectExtent l="0" t="0" r="9525" b="17145"/>
          <wp:wrapSquare wrapText="bothSides"/>
          <wp:docPr id="3" name="图片 3"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b/>
        <w:bCs/>
        <w:sz w:val="18"/>
        <w:szCs w:val="18"/>
        <w:lang w:val="en-US" w:eastAsia="zh-CN"/>
      </w:rPr>
      <w:t xml:space="preserve">                                                 </w:t>
    </w:r>
    <w:r>
      <w:rPr>
        <w:rFonts w:hint="eastAsia"/>
        <w:b/>
        <w:bCs/>
        <w:sz w:val="18"/>
        <w:szCs w:val="18"/>
      </w:rPr>
      <w:t>泉州市招标咨询中心地方财政绩效评价所</w:t>
    </w:r>
    <w:r>
      <w:rPr>
        <w:rFonts w:hint="eastAsia"/>
        <w:b/>
        <w:bCs/>
        <w:sz w:val="18"/>
        <w:szCs w:val="18"/>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YzczMDY4ZDljNGRiMzk3NzEzMmY0OGNiNjVhMTkifQ=="/>
  </w:docVars>
  <w:rsids>
    <w:rsidRoot w:val="00944585"/>
    <w:rsid w:val="00004FF6"/>
    <w:rsid w:val="00012363"/>
    <w:rsid w:val="00012858"/>
    <w:rsid w:val="000130A9"/>
    <w:rsid w:val="00013952"/>
    <w:rsid w:val="00021333"/>
    <w:rsid w:val="00026D21"/>
    <w:rsid w:val="0003204E"/>
    <w:rsid w:val="00034020"/>
    <w:rsid w:val="0003607E"/>
    <w:rsid w:val="000402CE"/>
    <w:rsid w:val="0004142B"/>
    <w:rsid w:val="0004579B"/>
    <w:rsid w:val="0005460A"/>
    <w:rsid w:val="00056EA7"/>
    <w:rsid w:val="0005749C"/>
    <w:rsid w:val="00062BFE"/>
    <w:rsid w:val="00062F3A"/>
    <w:rsid w:val="00066841"/>
    <w:rsid w:val="00067145"/>
    <w:rsid w:val="00067B7F"/>
    <w:rsid w:val="0008004A"/>
    <w:rsid w:val="00081F36"/>
    <w:rsid w:val="00082C07"/>
    <w:rsid w:val="00082C21"/>
    <w:rsid w:val="00083FC1"/>
    <w:rsid w:val="000868AD"/>
    <w:rsid w:val="0008691B"/>
    <w:rsid w:val="00086BCB"/>
    <w:rsid w:val="00086C7A"/>
    <w:rsid w:val="0009017F"/>
    <w:rsid w:val="00090E7D"/>
    <w:rsid w:val="0009495A"/>
    <w:rsid w:val="00097AAE"/>
    <w:rsid w:val="000A0C0B"/>
    <w:rsid w:val="000A3DA6"/>
    <w:rsid w:val="000A4A13"/>
    <w:rsid w:val="000A6610"/>
    <w:rsid w:val="000A69C0"/>
    <w:rsid w:val="000B053A"/>
    <w:rsid w:val="000B2F4F"/>
    <w:rsid w:val="000B52AD"/>
    <w:rsid w:val="000B786B"/>
    <w:rsid w:val="000C5DC3"/>
    <w:rsid w:val="000D0F58"/>
    <w:rsid w:val="000D1BA2"/>
    <w:rsid w:val="000D3F9C"/>
    <w:rsid w:val="000D42A3"/>
    <w:rsid w:val="000D75D8"/>
    <w:rsid w:val="000E1317"/>
    <w:rsid w:val="000E2E40"/>
    <w:rsid w:val="000E37D0"/>
    <w:rsid w:val="000F1F5D"/>
    <w:rsid w:val="000F474C"/>
    <w:rsid w:val="000F549F"/>
    <w:rsid w:val="0010279E"/>
    <w:rsid w:val="00115F5B"/>
    <w:rsid w:val="00117CC1"/>
    <w:rsid w:val="00120364"/>
    <w:rsid w:val="001223CD"/>
    <w:rsid w:val="00123244"/>
    <w:rsid w:val="001248A9"/>
    <w:rsid w:val="00126420"/>
    <w:rsid w:val="001340D8"/>
    <w:rsid w:val="00135F86"/>
    <w:rsid w:val="00147155"/>
    <w:rsid w:val="001501C4"/>
    <w:rsid w:val="00151043"/>
    <w:rsid w:val="00152774"/>
    <w:rsid w:val="00164B8E"/>
    <w:rsid w:val="00166202"/>
    <w:rsid w:val="00166D1E"/>
    <w:rsid w:val="00171461"/>
    <w:rsid w:val="0017314B"/>
    <w:rsid w:val="001750AD"/>
    <w:rsid w:val="001808A7"/>
    <w:rsid w:val="00182078"/>
    <w:rsid w:val="00186759"/>
    <w:rsid w:val="001875C3"/>
    <w:rsid w:val="00194C47"/>
    <w:rsid w:val="001A3D7F"/>
    <w:rsid w:val="001A5115"/>
    <w:rsid w:val="001A61E4"/>
    <w:rsid w:val="001A6822"/>
    <w:rsid w:val="001C1979"/>
    <w:rsid w:val="001C2666"/>
    <w:rsid w:val="001C4EC1"/>
    <w:rsid w:val="001C5C44"/>
    <w:rsid w:val="001D2AE4"/>
    <w:rsid w:val="001D405B"/>
    <w:rsid w:val="001D46C3"/>
    <w:rsid w:val="001D793F"/>
    <w:rsid w:val="001D7D75"/>
    <w:rsid w:val="001E20AA"/>
    <w:rsid w:val="001E629A"/>
    <w:rsid w:val="001F06C3"/>
    <w:rsid w:val="001F2020"/>
    <w:rsid w:val="001F2187"/>
    <w:rsid w:val="001F390C"/>
    <w:rsid w:val="001F3920"/>
    <w:rsid w:val="001F40BD"/>
    <w:rsid w:val="001F60D8"/>
    <w:rsid w:val="00200DBC"/>
    <w:rsid w:val="00203674"/>
    <w:rsid w:val="00207767"/>
    <w:rsid w:val="00212B77"/>
    <w:rsid w:val="002140AD"/>
    <w:rsid w:val="002150D9"/>
    <w:rsid w:val="00220E9E"/>
    <w:rsid w:val="002210F8"/>
    <w:rsid w:val="0022511B"/>
    <w:rsid w:val="0022635D"/>
    <w:rsid w:val="00230C15"/>
    <w:rsid w:val="00230CF0"/>
    <w:rsid w:val="00231283"/>
    <w:rsid w:val="00234051"/>
    <w:rsid w:val="00234DED"/>
    <w:rsid w:val="00237E2A"/>
    <w:rsid w:val="00240092"/>
    <w:rsid w:val="002406CE"/>
    <w:rsid w:val="0024540D"/>
    <w:rsid w:val="0024765F"/>
    <w:rsid w:val="00247879"/>
    <w:rsid w:val="002500D8"/>
    <w:rsid w:val="00250F84"/>
    <w:rsid w:val="00251E3C"/>
    <w:rsid w:val="00254728"/>
    <w:rsid w:val="00257AFE"/>
    <w:rsid w:val="002631E3"/>
    <w:rsid w:val="00267006"/>
    <w:rsid w:val="00270DB5"/>
    <w:rsid w:val="00271658"/>
    <w:rsid w:val="0027521C"/>
    <w:rsid w:val="00277661"/>
    <w:rsid w:val="00281765"/>
    <w:rsid w:val="00285933"/>
    <w:rsid w:val="00290EB9"/>
    <w:rsid w:val="00293750"/>
    <w:rsid w:val="00293832"/>
    <w:rsid w:val="00293899"/>
    <w:rsid w:val="002A0839"/>
    <w:rsid w:val="002A400A"/>
    <w:rsid w:val="002A6934"/>
    <w:rsid w:val="002B6679"/>
    <w:rsid w:val="002B6B0C"/>
    <w:rsid w:val="002C0D40"/>
    <w:rsid w:val="002C14F3"/>
    <w:rsid w:val="002C1588"/>
    <w:rsid w:val="002C44B7"/>
    <w:rsid w:val="002C5626"/>
    <w:rsid w:val="002C7088"/>
    <w:rsid w:val="002D486C"/>
    <w:rsid w:val="002D5E8E"/>
    <w:rsid w:val="002D701F"/>
    <w:rsid w:val="002E17A0"/>
    <w:rsid w:val="002E1DA5"/>
    <w:rsid w:val="002E4913"/>
    <w:rsid w:val="002F213E"/>
    <w:rsid w:val="002F374C"/>
    <w:rsid w:val="002F6798"/>
    <w:rsid w:val="002F6DD7"/>
    <w:rsid w:val="00301C65"/>
    <w:rsid w:val="003055E8"/>
    <w:rsid w:val="003130C2"/>
    <w:rsid w:val="00315ADA"/>
    <w:rsid w:val="00316B7A"/>
    <w:rsid w:val="00320CF6"/>
    <w:rsid w:val="00323B40"/>
    <w:rsid w:val="00323E86"/>
    <w:rsid w:val="00327667"/>
    <w:rsid w:val="00327CF1"/>
    <w:rsid w:val="00330697"/>
    <w:rsid w:val="0033347B"/>
    <w:rsid w:val="00333E2C"/>
    <w:rsid w:val="00336662"/>
    <w:rsid w:val="00343BAE"/>
    <w:rsid w:val="00344EE9"/>
    <w:rsid w:val="003451D5"/>
    <w:rsid w:val="00345C55"/>
    <w:rsid w:val="003475F1"/>
    <w:rsid w:val="0034774E"/>
    <w:rsid w:val="003507D9"/>
    <w:rsid w:val="00362032"/>
    <w:rsid w:val="003630DC"/>
    <w:rsid w:val="003661A8"/>
    <w:rsid w:val="00366883"/>
    <w:rsid w:val="0037051D"/>
    <w:rsid w:val="00376126"/>
    <w:rsid w:val="00377BB9"/>
    <w:rsid w:val="00383070"/>
    <w:rsid w:val="00385357"/>
    <w:rsid w:val="003861AE"/>
    <w:rsid w:val="00386AC2"/>
    <w:rsid w:val="00386F88"/>
    <w:rsid w:val="003A09FA"/>
    <w:rsid w:val="003A2043"/>
    <w:rsid w:val="003A2429"/>
    <w:rsid w:val="003A69B7"/>
    <w:rsid w:val="003A7A01"/>
    <w:rsid w:val="003B01D0"/>
    <w:rsid w:val="003B064E"/>
    <w:rsid w:val="003B1FE9"/>
    <w:rsid w:val="003B75B5"/>
    <w:rsid w:val="003C0004"/>
    <w:rsid w:val="003C099E"/>
    <w:rsid w:val="003C162F"/>
    <w:rsid w:val="003C4EDB"/>
    <w:rsid w:val="003C760C"/>
    <w:rsid w:val="003E3C0E"/>
    <w:rsid w:val="003E4C8B"/>
    <w:rsid w:val="003E6FB2"/>
    <w:rsid w:val="003F0633"/>
    <w:rsid w:val="003F1EC1"/>
    <w:rsid w:val="003F6D08"/>
    <w:rsid w:val="004047A0"/>
    <w:rsid w:val="00414A57"/>
    <w:rsid w:val="004150F9"/>
    <w:rsid w:val="00416FBF"/>
    <w:rsid w:val="004224C9"/>
    <w:rsid w:val="0042479F"/>
    <w:rsid w:val="00430545"/>
    <w:rsid w:val="00430CCD"/>
    <w:rsid w:val="00431DB9"/>
    <w:rsid w:val="00432C1B"/>
    <w:rsid w:val="004356D1"/>
    <w:rsid w:val="00436F5F"/>
    <w:rsid w:val="00437534"/>
    <w:rsid w:val="004436DA"/>
    <w:rsid w:val="004472D4"/>
    <w:rsid w:val="0044759E"/>
    <w:rsid w:val="00455F48"/>
    <w:rsid w:val="00460591"/>
    <w:rsid w:val="00466C1F"/>
    <w:rsid w:val="00470A27"/>
    <w:rsid w:val="00471399"/>
    <w:rsid w:val="00471BAC"/>
    <w:rsid w:val="00473B56"/>
    <w:rsid w:val="00477456"/>
    <w:rsid w:val="004804F7"/>
    <w:rsid w:val="004851E6"/>
    <w:rsid w:val="00485E91"/>
    <w:rsid w:val="00486C05"/>
    <w:rsid w:val="004919B7"/>
    <w:rsid w:val="00492C69"/>
    <w:rsid w:val="004B0DE9"/>
    <w:rsid w:val="004B3DC9"/>
    <w:rsid w:val="004B63D6"/>
    <w:rsid w:val="004C07C4"/>
    <w:rsid w:val="004C443D"/>
    <w:rsid w:val="004C6161"/>
    <w:rsid w:val="004C6381"/>
    <w:rsid w:val="004D1737"/>
    <w:rsid w:val="004D3A7D"/>
    <w:rsid w:val="004D6E64"/>
    <w:rsid w:val="004D6FED"/>
    <w:rsid w:val="004E295B"/>
    <w:rsid w:val="004E298D"/>
    <w:rsid w:val="004F59CE"/>
    <w:rsid w:val="004F6ABF"/>
    <w:rsid w:val="00502708"/>
    <w:rsid w:val="005052E4"/>
    <w:rsid w:val="005055BB"/>
    <w:rsid w:val="005332C9"/>
    <w:rsid w:val="00542927"/>
    <w:rsid w:val="005472E2"/>
    <w:rsid w:val="00550048"/>
    <w:rsid w:val="0055267B"/>
    <w:rsid w:val="00553FAC"/>
    <w:rsid w:val="00556593"/>
    <w:rsid w:val="00563980"/>
    <w:rsid w:val="00567A4E"/>
    <w:rsid w:val="00570D0D"/>
    <w:rsid w:val="00571A07"/>
    <w:rsid w:val="005760FE"/>
    <w:rsid w:val="00582CF6"/>
    <w:rsid w:val="00591251"/>
    <w:rsid w:val="00597017"/>
    <w:rsid w:val="005A0DEA"/>
    <w:rsid w:val="005A1218"/>
    <w:rsid w:val="005A5B3C"/>
    <w:rsid w:val="005A5CED"/>
    <w:rsid w:val="005A767A"/>
    <w:rsid w:val="005A7CCF"/>
    <w:rsid w:val="005A7FDB"/>
    <w:rsid w:val="005B05BB"/>
    <w:rsid w:val="005B0960"/>
    <w:rsid w:val="005B174F"/>
    <w:rsid w:val="005B1D53"/>
    <w:rsid w:val="005B4541"/>
    <w:rsid w:val="005B46A0"/>
    <w:rsid w:val="005C174F"/>
    <w:rsid w:val="005C798A"/>
    <w:rsid w:val="005D1A0E"/>
    <w:rsid w:val="005D1CF5"/>
    <w:rsid w:val="005D1EBE"/>
    <w:rsid w:val="005E1DC8"/>
    <w:rsid w:val="005E3893"/>
    <w:rsid w:val="005F04E7"/>
    <w:rsid w:val="005F29F0"/>
    <w:rsid w:val="005F43F6"/>
    <w:rsid w:val="006010CE"/>
    <w:rsid w:val="00611643"/>
    <w:rsid w:val="00611919"/>
    <w:rsid w:val="00613233"/>
    <w:rsid w:val="00614FF5"/>
    <w:rsid w:val="0062102D"/>
    <w:rsid w:val="006223D9"/>
    <w:rsid w:val="006342DA"/>
    <w:rsid w:val="00634D65"/>
    <w:rsid w:val="006358BD"/>
    <w:rsid w:val="006448CB"/>
    <w:rsid w:val="00652582"/>
    <w:rsid w:val="0066055D"/>
    <w:rsid w:val="0066167C"/>
    <w:rsid w:val="0066412F"/>
    <w:rsid w:val="00671173"/>
    <w:rsid w:val="006726E2"/>
    <w:rsid w:val="0067416D"/>
    <w:rsid w:val="00684F54"/>
    <w:rsid w:val="006851D2"/>
    <w:rsid w:val="00686B0E"/>
    <w:rsid w:val="006917EA"/>
    <w:rsid w:val="00692A02"/>
    <w:rsid w:val="00694B38"/>
    <w:rsid w:val="00697216"/>
    <w:rsid w:val="006A08D2"/>
    <w:rsid w:val="006A668D"/>
    <w:rsid w:val="006B4921"/>
    <w:rsid w:val="006B5438"/>
    <w:rsid w:val="006C7086"/>
    <w:rsid w:val="006D17E1"/>
    <w:rsid w:val="006D18A8"/>
    <w:rsid w:val="006D2E97"/>
    <w:rsid w:val="006D5299"/>
    <w:rsid w:val="006D661E"/>
    <w:rsid w:val="006E3079"/>
    <w:rsid w:val="006E5413"/>
    <w:rsid w:val="006E7D35"/>
    <w:rsid w:val="00702E18"/>
    <w:rsid w:val="00705E93"/>
    <w:rsid w:val="007064E3"/>
    <w:rsid w:val="0071085F"/>
    <w:rsid w:val="00712B0F"/>
    <w:rsid w:val="00714786"/>
    <w:rsid w:val="007160E5"/>
    <w:rsid w:val="007169CB"/>
    <w:rsid w:val="00721D3A"/>
    <w:rsid w:val="00726DD4"/>
    <w:rsid w:val="00730FBF"/>
    <w:rsid w:val="0073298D"/>
    <w:rsid w:val="0074096C"/>
    <w:rsid w:val="00742DDC"/>
    <w:rsid w:val="00744BE3"/>
    <w:rsid w:val="00745F9A"/>
    <w:rsid w:val="00750525"/>
    <w:rsid w:val="00753641"/>
    <w:rsid w:val="00755F82"/>
    <w:rsid w:val="00757DDE"/>
    <w:rsid w:val="00761CB5"/>
    <w:rsid w:val="00762333"/>
    <w:rsid w:val="00763C4F"/>
    <w:rsid w:val="0077336C"/>
    <w:rsid w:val="007734FF"/>
    <w:rsid w:val="007738CC"/>
    <w:rsid w:val="007764B9"/>
    <w:rsid w:val="00777142"/>
    <w:rsid w:val="00780F6B"/>
    <w:rsid w:val="007817D3"/>
    <w:rsid w:val="007831B6"/>
    <w:rsid w:val="00785C08"/>
    <w:rsid w:val="007933E4"/>
    <w:rsid w:val="007943DE"/>
    <w:rsid w:val="00797F09"/>
    <w:rsid w:val="007A08CB"/>
    <w:rsid w:val="007A2943"/>
    <w:rsid w:val="007A393D"/>
    <w:rsid w:val="007A75A2"/>
    <w:rsid w:val="007A794D"/>
    <w:rsid w:val="007B4A99"/>
    <w:rsid w:val="007C15CB"/>
    <w:rsid w:val="007D06B3"/>
    <w:rsid w:val="007D0B9B"/>
    <w:rsid w:val="007D44B5"/>
    <w:rsid w:val="007D5836"/>
    <w:rsid w:val="007E3678"/>
    <w:rsid w:val="007F1CDA"/>
    <w:rsid w:val="007F27CE"/>
    <w:rsid w:val="007F523B"/>
    <w:rsid w:val="007F5669"/>
    <w:rsid w:val="00803F6B"/>
    <w:rsid w:val="00806C3B"/>
    <w:rsid w:val="0080733A"/>
    <w:rsid w:val="00810095"/>
    <w:rsid w:val="00810A1D"/>
    <w:rsid w:val="00813146"/>
    <w:rsid w:val="00814400"/>
    <w:rsid w:val="00824340"/>
    <w:rsid w:val="0082555D"/>
    <w:rsid w:val="00825F2C"/>
    <w:rsid w:val="008312B2"/>
    <w:rsid w:val="00835ADF"/>
    <w:rsid w:val="00836E9F"/>
    <w:rsid w:val="00840366"/>
    <w:rsid w:val="0084049E"/>
    <w:rsid w:val="0084488F"/>
    <w:rsid w:val="00845BAD"/>
    <w:rsid w:val="0084711D"/>
    <w:rsid w:val="0085280B"/>
    <w:rsid w:val="00854C2D"/>
    <w:rsid w:val="00854C4C"/>
    <w:rsid w:val="00855ED0"/>
    <w:rsid w:val="00857AE0"/>
    <w:rsid w:val="00863E11"/>
    <w:rsid w:val="00870518"/>
    <w:rsid w:val="00873D2A"/>
    <w:rsid w:val="0088188A"/>
    <w:rsid w:val="0088693E"/>
    <w:rsid w:val="008902C1"/>
    <w:rsid w:val="00892998"/>
    <w:rsid w:val="00897E4F"/>
    <w:rsid w:val="008A1319"/>
    <w:rsid w:val="008B02B5"/>
    <w:rsid w:val="008B4017"/>
    <w:rsid w:val="008B4A19"/>
    <w:rsid w:val="008C3DB0"/>
    <w:rsid w:val="008D1C64"/>
    <w:rsid w:val="008D1EB6"/>
    <w:rsid w:val="008E6456"/>
    <w:rsid w:val="008E7E25"/>
    <w:rsid w:val="008F24DA"/>
    <w:rsid w:val="008F3C44"/>
    <w:rsid w:val="008F5784"/>
    <w:rsid w:val="00900B0E"/>
    <w:rsid w:val="009014B9"/>
    <w:rsid w:val="00901CBD"/>
    <w:rsid w:val="00907C71"/>
    <w:rsid w:val="0091068E"/>
    <w:rsid w:val="00912406"/>
    <w:rsid w:val="00914450"/>
    <w:rsid w:val="00916B8E"/>
    <w:rsid w:val="00917DA5"/>
    <w:rsid w:val="00921985"/>
    <w:rsid w:val="00924509"/>
    <w:rsid w:val="0093172E"/>
    <w:rsid w:val="00941050"/>
    <w:rsid w:val="00941B4D"/>
    <w:rsid w:val="00941DA6"/>
    <w:rsid w:val="00943547"/>
    <w:rsid w:val="00944585"/>
    <w:rsid w:val="00944AB9"/>
    <w:rsid w:val="00952FA6"/>
    <w:rsid w:val="009540A4"/>
    <w:rsid w:val="009558A2"/>
    <w:rsid w:val="00956012"/>
    <w:rsid w:val="00957B41"/>
    <w:rsid w:val="009637BD"/>
    <w:rsid w:val="00964B03"/>
    <w:rsid w:val="0096636C"/>
    <w:rsid w:val="00973EBD"/>
    <w:rsid w:val="00973F65"/>
    <w:rsid w:val="00974466"/>
    <w:rsid w:val="00974BB5"/>
    <w:rsid w:val="009759FC"/>
    <w:rsid w:val="00976B79"/>
    <w:rsid w:val="00977CE7"/>
    <w:rsid w:val="00983AFB"/>
    <w:rsid w:val="00994555"/>
    <w:rsid w:val="0099602F"/>
    <w:rsid w:val="009A1752"/>
    <w:rsid w:val="009A32D2"/>
    <w:rsid w:val="009A61D7"/>
    <w:rsid w:val="009B1F19"/>
    <w:rsid w:val="009C32F1"/>
    <w:rsid w:val="009C4FFD"/>
    <w:rsid w:val="009D21F1"/>
    <w:rsid w:val="009D35A6"/>
    <w:rsid w:val="009E1319"/>
    <w:rsid w:val="009E2066"/>
    <w:rsid w:val="009F0283"/>
    <w:rsid w:val="009F0903"/>
    <w:rsid w:val="009F105C"/>
    <w:rsid w:val="009F2565"/>
    <w:rsid w:val="009F59F1"/>
    <w:rsid w:val="009F5D37"/>
    <w:rsid w:val="00A05253"/>
    <w:rsid w:val="00A066BA"/>
    <w:rsid w:val="00A07890"/>
    <w:rsid w:val="00A0794B"/>
    <w:rsid w:val="00A10EA8"/>
    <w:rsid w:val="00A1789B"/>
    <w:rsid w:val="00A25415"/>
    <w:rsid w:val="00A26E9C"/>
    <w:rsid w:val="00A302A1"/>
    <w:rsid w:val="00A33B4D"/>
    <w:rsid w:val="00A34C15"/>
    <w:rsid w:val="00A3526B"/>
    <w:rsid w:val="00A37831"/>
    <w:rsid w:val="00A40A3A"/>
    <w:rsid w:val="00A4278C"/>
    <w:rsid w:val="00A442BA"/>
    <w:rsid w:val="00A46F6B"/>
    <w:rsid w:val="00A50FA8"/>
    <w:rsid w:val="00A7063D"/>
    <w:rsid w:val="00A7694D"/>
    <w:rsid w:val="00A76D85"/>
    <w:rsid w:val="00A76F8D"/>
    <w:rsid w:val="00A80196"/>
    <w:rsid w:val="00A850B4"/>
    <w:rsid w:val="00A86C7C"/>
    <w:rsid w:val="00A877B4"/>
    <w:rsid w:val="00A90EE7"/>
    <w:rsid w:val="00A94C5A"/>
    <w:rsid w:val="00AA084C"/>
    <w:rsid w:val="00AA091E"/>
    <w:rsid w:val="00AA160A"/>
    <w:rsid w:val="00AA33DF"/>
    <w:rsid w:val="00AA3529"/>
    <w:rsid w:val="00AA3699"/>
    <w:rsid w:val="00AA3772"/>
    <w:rsid w:val="00AB2C8F"/>
    <w:rsid w:val="00AB6E36"/>
    <w:rsid w:val="00AC0ECC"/>
    <w:rsid w:val="00AC7A8E"/>
    <w:rsid w:val="00AC7C9A"/>
    <w:rsid w:val="00AD0B93"/>
    <w:rsid w:val="00AD3DB9"/>
    <w:rsid w:val="00AD4AA4"/>
    <w:rsid w:val="00AE16E7"/>
    <w:rsid w:val="00AE2B05"/>
    <w:rsid w:val="00AE4F34"/>
    <w:rsid w:val="00AE6707"/>
    <w:rsid w:val="00AE7DB7"/>
    <w:rsid w:val="00AF1BAB"/>
    <w:rsid w:val="00AF2FAF"/>
    <w:rsid w:val="00AF73B5"/>
    <w:rsid w:val="00B00495"/>
    <w:rsid w:val="00B007F7"/>
    <w:rsid w:val="00B0420D"/>
    <w:rsid w:val="00B10C09"/>
    <w:rsid w:val="00B11EE4"/>
    <w:rsid w:val="00B141D3"/>
    <w:rsid w:val="00B2776B"/>
    <w:rsid w:val="00B35A8E"/>
    <w:rsid w:val="00B37D6E"/>
    <w:rsid w:val="00B42AC6"/>
    <w:rsid w:val="00B43F25"/>
    <w:rsid w:val="00B44121"/>
    <w:rsid w:val="00B4574C"/>
    <w:rsid w:val="00B50B97"/>
    <w:rsid w:val="00B5392E"/>
    <w:rsid w:val="00B54E16"/>
    <w:rsid w:val="00B60D63"/>
    <w:rsid w:val="00B62D7B"/>
    <w:rsid w:val="00B65BC2"/>
    <w:rsid w:val="00B67E86"/>
    <w:rsid w:val="00B71F9F"/>
    <w:rsid w:val="00B767A4"/>
    <w:rsid w:val="00B77A11"/>
    <w:rsid w:val="00B80977"/>
    <w:rsid w:val="00B864BF"/>
    <w:rsid w:val="00B90E30"/>
    <w:rsid w:val="00B94218"/>
    <w:rsid w:val="00BA6D94"/>
    <w:rsid w:val="00BA6F45"/>
    <w:rsid w:val="00BA6F72"/>
    <w:rsid w:val="00BB20AA"/>
    <w:rsid w:val="00BB353F"/>
    <w:rsid w:val="00BB379C"/>
    <w:rsid w:val="00BB627E"/>
    <w:rsid w:val="00BB69BA"/>
    <w:rsid w:val="00BC2F77"/>
    <w:rsid w:val="00BC575A"/>
    <w:rsid w:val="00BC58E9"/>
    <w:rsid w:val="00BD0D9A"/>
    <w:rsid w:val="00BE3317"/>
    <w:rsid w:val="00BE340D"/>
    <w:rsid w:val="00BE4F18"/>
    <w:rsid w:val="00BE6287"/>
    <w:rsid w:val="00BE7207"/>
    <w:rsid w:val="00BF4022"/>
    <w:rsid w:val="00C00036"/>
    <w:rsid w:val="00C03B46"/>
    <w:rsid w:val="00C12C05"/>
    <w:rsid w:val="00C144EE"/>
    <w:rsid w:val="00C1527E"/>
    <w:rsid w:val="00C1667B"/>
    <w:rsid w:val="00C169B8"/>
    <w:rsid w:val="00C17FC5"/>
    <w:rsid w:val="00C2234B"/>
    <w:rsid w:val="00C2351D"/>
    <w:rsid w:val="00C277D7"/>
    <w:rsid w:val="00C3530F"/>
    <w:rsid w:val="00C378D4"/>
    <w:rsid w:val="00C44706"/>
    <w:rsid w:val="00C4641B"/>
    <w:rsid w:val="00C50C3C"/>
    <w:rsid w:val="00C53991"/>
    <w:rsid w:val="00C62C2E"/>
    <w:rsid w:val="00C7223B"/>
    <w:rsid w:val="00C750DC"/>
    <w:rsid w:val="00C812D2"/>
    <w:rsid w:val="00C8176D"/>
    <w:rsid w:val="00C832EE"/>
    <w:rsid w:val="00CA65AF"/>
    <w:rsid w:val="00CA6C30"/>
    <w:rsid w:val="00CB2301"/>
    <w:rsid w:val="00CB3975"/>
    <w:rsid w:val="00CB4D96"/>
    <w:rsid w:val="00CB5744"/>
    <w:rsid w:val="00CB6ADD"/>
    <w:rsid w:val="00CB6ECE"/>
    <w:rsid w:val="00CC03DA"/>
    <w:rsid w:val="00CC0B32"/>
    <w:rsid w:val="00CC10BB"/>
    <w:rsid w:val="00CD0AED"/>
    <w:rsid w:val="00CD1679"/>
    <w:rsid w:val="00CD22C8"/>
    <w:rsid w:val="00CD4C10"/>
    <w:rsid w:val="00CE665D"/>
    <w:rsid w:val="00CF146C"/>
    <w:rsid w:val="00CF3504"/>
    <w:rsid w:val="00CF40E7"/>
    <w:rsid w:val="00D02A83"/>
    <w:rsid w:val="00D07426"/>
    <w:rsid w:val="00D07549"/>
    <w:rsid w:val="00D11BD8"/>
    <w:rsid w:val="00D1209B"/>
    <w:rsid w:val="00D121DA"/>
    <w:rsid w:val="00D1635A"/>
    <w:rsid w:val="00D2131E"/>
    <w:rsid w:val="00D24A97"/>
    <w:rsid w:val="00D2618C"/>
    <w:rsid w:val="00D261E4"/>
    <w:rsid w:val="00D31117"/>
    <w:rsid w:val="00D411A8"/>
    <w:rsid w:val="00D42375"/>
    <w:rsid w:val="00D42942"/>
    <w:rsid w:val="00D5236C"/>
    <w:rsid w:val="00D57699"/>
    <w:rsid w:val="00D57DCB"/>
    <w:rsid w:val="00D65148"/>
    <w:rsid w:val="00D65A87"/>
    <w:rsid w:val="00D71BB7"/>
    <w:rsid w:val="00D71F26"/>
    <w:rsid w:val="00D84048"/>
    <w:rsid w:val="00D92F1E"/>
    <w:rsid w:val="00D966A2"/>
    <w:rsid w:val="00D96979"/>
    <w:rsid w:val="00DA0299"/>
    <w:rsid w:val="00DA0A58"/>
    <w:rsid w:val="00DA6698"/>
    <w:rsid w:val="00DA7A9D"/>
    <w:rsid w:val="00DB18EB"/>
    <w:rsid w:val="00DC38CB"/>
    <w:rsid w:val="00DC5EE5"/>
    <w:rsid w:val="00DD754D"/>
    <w:rsid w:val="00DE04DA"/>
    <w:rsid w:val="00DE3A73"/>
    <w:rsid w:val="00DE3C48"/>
    <w:rsid w:val="00DE5B42"/>
    <w:rsid w:val="00DE5CC3"/>
    <w:rsid w:val="00DE6703"/>
    <w:rsid w:val="00DE6B69"/>
    <w:rsid w:val="00DE6DF6"/>
    <w:rsid w:val="00DE750A"/>
    <w:rsid w:val="00DF0B0D"/>
    <w:rsid w:val="00DF304C"/>
    <w:rsid w:val="00DF4C5C"/>
    <w:rsid w:val="00E00408"/>
    <w:rsid w:val="00E03D62"/>
    <w:rsid w:val="00E05F6D"/>
    <w:rsid w:val="00E1035C"/>
    <w:rsid w:val="00E10E5A"/>
    <w:rsid w:val="00E119D2"/>
    <w:rsid w:val="00E11AC2"/>
    <w:rsid w:val="00E16633"/>
    <w:rsid w:val="00E268C0"/>
    <w:rsid w:val="00E40CE9"/>
    <w:rsid w:val="00E43C82"/>
    <w:rsid w:val="00E461B5"/>
    <w:rsid w:val="00E47066"/>
    <w:rsid w:val="00E52E99"/>
    <w:rsid w:val="00E53D25"/>
    <w:rsid w:val="00E55126"/>
    <w:rsid w:val="00E565F6"/>
    <w:rsid w:val="00E60CA1"/>
    <w:rsid w:val="00E6165A"/>
    <w:rsid w:val="00E64E3A"/>
    <w:rsid w:val="00E653AC"/>
    <w:rsid w:val="00E67EE4"/>
    <w:rsid w:val="00E74532"/>
    <w:rsid w:val="00E809D3"/>
    <w:rsid w:val="00E858CB"/>
    <w:rsid w:val="00E8734D"/>
    <w:rsid w:val="00E879C9"/>
    <w:rsid w:val="00E912E8"/>
    <w:rsid w:val="00E925C7"/>
    <w:rsid w:val="00E93CAE"/>
    <w:rsid w:val="00E94862"/>
    <w:rsid w:val="00E971ED"/>
    <w:rsid w:val="00EA157B"/>
    <w:rsid w:val="00EA52D3"/>
    <w:rsid w:val="00EB09DB"/>
    <w:rsid w:val="00EB63E0"/>
    <w:rsid w:val="00EC0703"/>
    <w:rsid w:val="00EC26AD"/>
    <w:rsid w:val="00EC461B"/>
    <w:rsid w:val="00EC6980"/>
    <w:rsid w:val="00EC7A43"/>
    <w:rsid w:val="00EC7AF6"/>
    <w:rsid w:val="00ED1BAC"/>
    <w:rsid w:val="00ED28CE"/>
    <w:rsid w:val="00ED68C5"/>
    <w:rsid w:val="00ED774A"/>
    <w:rsid w:val="00EE0173"/>
    <w:rsid w:val="00EF2530"/>
    <w:rsid w:val="00EF513B"/>
    <w:rsid w:val="00F069F6"/>
    <w:rsid w:val="00F17138"/>
    <w:rsid w:val="00F24E23"/>
    <w:rsid w:val="00F254F2"/>
    <w:rsid w:val="00F304AD"/>
    <w:rsid w:val="00F31B72"/>
    <w:rsid w:val="00F322E5"/>
    <w:rsid w:val="00F365CA"/>
    <w:rsid w:val="00F40E90"/>
    <w:rsid w:val="00F42CE8"/>
    <w:rsid w:val="00F445BB"/>
    <w:rsid w:val="00F4799F"/>
    <w:rsid w:val="00F545B3"/>
    <w:rsid w:val="00F569DC"/>
    <w:rsid w:val="00F60070"/>
    <w:rsid w:val="00F64838"/>
    <w:rsid w:val="00F66317"/>
    <w:rsid w:val="00F74DF6"/>
    <w:rsid w:val="00F74EAB"/>
    <w:rsid w:val="00F76A1E"/>
    <w:rsid w:val="00F77944"/>
    <w:rsid w:val="00F77DA8"/>
    <w:rsid w:val="00F82CBC"/>
    <w:rsid w:val="00F85BF0"/>
    <w:rsid w:val="00F8783D"/>
    <w:rsid w:val="00F90622"/>
    <w:rsid w:val="00F94F36"/>
    <w:rsid w:val="00F95B45"/>
    <w:rsid w:val="00F96CCF"/>
    <w:rsid w:val="00FA1B1B"/>
    <w:rsid w:val="00FA42F4"/>
    <w:rsid w:val="00FA785E"/>
    <w:rsid w:val="00FA7C01"/>
    <w:rsid w:val="00FB06CE"/>
    <w:rsid w:val="00FB1B2F"/>
    <w:rsid w:val="00FB4C2F"/>
    <w:rsid w:val="00FB7EF8"/>
    <w:rsid w:val="00FC4DFE"/>
    <w:rsid w:val="00FC7672"/>
    <w:rsid w:val="00FD35C8"/>
    <w:rsid w:val="00FD549D"/>
    <w:rsid w:val="00FD66B6"/>
    <w:rsid w:val="00FD7853"/>
    <w:rsid w:val="00FD7F92"/>
    <w:rsid w:val="00FE0818"/>
    <w:rsid w:val="00FE181A"/>
    <w:rsid w:val="00FE19AA"/>
    <w:rsid w:val="00FE1DDC"/>
    <w:rsid w:val="00FE2069"/>
    <w:rsid w:val="00FE2091"/>
    <w:rsid w:val="00FE485E"/>
    <w:rsid w:val="00FF137B"/>
    <w:rsid w:val="00FF7738"/>
    <w:rsid w:val="01B043D4"/>
    <w:rsid w:val="02E84008"/>
    <w:rsid w:val="02FF63F2"/>
    <w:rsid w:val="033A5697"/>
    <w:rsid w:val="039B2CCF"/>
    <w:rsid w:val="04EE4E5B"/>
    <w:rsid w:val="054164EB"/>
    <w:rsid w:val="05533799"/>
    <w:rsid w:val="067A7B57"/>
    <w:rsid w:val="06A34000"/>
    <w:rsid w:val="07623BF5"/>
    <w:rsid w:val="07665655"/>
    <w:rsid w:val="07FD72F1"/>
    <w:rsid w:val="089D172E"/>
    <w:rsid w:val="08C718B0"/>
    <w:rsid w:val="094716DC"/>
    <w:rsid w:val="095D62F8"/>
    <w:rsid w:val="09AD65FB"/>
    <w:rsid w:val="09BA4874"/>
    <w:rsid w:val="0A1D5231"/>
    <w:rsid w:val="0BFF7BBA"/>
    <w:rsid w:val="0C600D5B"/>
    <w:rsid w:val="0D061702"/>
    <w:rsid w:val="0D18691A"/>
    <w:rsid w:val="0DAF1E7A"/>
    <w:rsid w:val="0DD72453"/>
    <w:rsid w:val="0E326036"/>
    <w:rsid w:val="0E373F09"/>
    <w:rsid w:val="0E4B2828"/>
    <w:rsid w:val="0EE35796"/>
    <w:rsid w:val="1137737A"/>
    <w:rsid w:val="115256FE"/>
    <w:rsid w:val="11B1754D"/>
    <w:rsid w:val="128618EF"/>
    <w:rsid w:val="12EA5684"/>
    <w:rsid w:val="131816D9"/>
    <w:rsid w:val="13217712"/>
    <w:rsid w:val="1393592E"/>
    <w:rsid w:val="13FC1818"/>
    <w:rsid w:val="146B158C"/>
    <w:rsid w:val="14842B54"/>
    <w:rsid w:val="14850BD3"/>
    <w:rsid w:val="151321A0"/>
    <w:rsid w:val="155532B9"/>
    <w:rsid w:val="15560103"/>
    <w:rsid w:val="155833FE"/>
    <w:rsid w:val="164F48CB"/>
    <w:rsid w:val="174F412D"/>
    <w:rsid w:val="176A78D9"/>
    <w:rsid w:val="18591955"/>
    <w:rsid w:val="185D5B9A"/>
    <w:rsid w:val="18AB2091"/>
    <w:rsid w:val="19422BD6"/>
    <w:rsid w:val="195A36BB"/>
    <w:rsid w:val="195D22DA"/>
    <w:rsid w:val="19810F0A"/>
    <w:rsid w:val="19975338"/>
    <w:rsid w:val="1A5D4808"/>
    <w:rsid w:val="1A8F2209"/>
    <w:rsid w:val="1AAE0F21"/>
    <w:rsid w:val="1B1B3478"/>
    <w:rsid w:val="1B375D24"/>
    <w:rsid w:val="1B4E1343"/>
    <w:rsid w:val="1B8F790E"/>
    <w:rsid w:val="1B9D644F"/>
    <w:rsid w:val="1C165B90"/>
    <w:rsid w:val="1CBF17F7"/>
    <w:rsid w:val="1CCC6940"/>
    <w:rsid w:val="1CE054DA"/>
    <w:rsid w:val="1D076403"/>
    <w:rsid w:val="1D5667C8"/>
    <w:rsid w:val="1DE06E6C"/>
    <w:rsid w:val="1E3F0587"/>
    <w:rsid w:val="1E4935FB"/>
    <w:rsid w:val="1EE202D2"/>
    <w:rsid w:val="1FA37D92"/>
    <w:rsid w:val="1FE253DD"/>
    <w:rsid w:val="20734435"/>
    <w:rsid w:val="20AE0A7C"/>
    <w:rsid w:val="20B410B5"/>
    <w:rsid w:val="21222B8A"/>
    <w:rsid w:val="21F94B5A"/>
    <w:rsid w:val="2210243D"/>
    <w:rsid w:val="22C067C9"/>
    <w:rsid w:val="22CD2AFB"/>
    <w:rsid w:val="22DD3655"/>
    <w:rsid w:val="234F125B"/>
    <w:rsid w:val="234F6DFE"/>
    <w:rsid w:val="23E24E90"/>
    <w:rsid w:val="258028AC"/>
    <w:rsid w:val="25AB2BEA"/>
    <w:rsid w:val="26043B0B"/>
    <w:rsid w:val="26B7240F"/>
    <w:rsid w:val="26BD6A9C"/>
    <w:rsid w:val="271D284B"/>
    <w:rsid w:val="27B25DFF"/>
    <w:rsid w:val="27C5053D"/>
    <w:rsid w:val="288607F0"/>
    <w:rsid w:val="29770B6C"/>
    <w:rsid w:val="29E022B6"/>
    <w:rsid w:val="29E431C6"/>
    <w:rsid w:val="2A225DF1"/>
    <w:rsid w:val="2A893940"/>
    <w:rsid w:val="2B1A6111"/>
    <w:rsid w:val="2B737480"/>
    <w:rsid w:val="2C10586E"/>
    <w:rsid w:val="2C491E1C"/>
    <w:rsid w:val="2C710C74"/>
    <w:rsid w:val="2CB96BFC"/>
    <w:rsid w:val="2DDA6F31"/>
    <w:rsid w:val="2E266F24"/>
    <w:rsid w:val="2E5A6D84"/>
    <w:rsid w:val="2E976DAE"/>
    <w:rsid w:val="2EF0383D"/>
    <w:rsid w:val="2F0F6F88"/>
    <w:rsid w:val="2F481EC9"/>
    <w:rsid w:val="2FAF291C"/>
    <w:rsid w:val="302029AB"/>
    <w:rsid w:val="30243EF1"/>
    <w:rsid w:val="30A87D63"/>
    <w:rsid w:val="320955BA"/>
    <w:rsid w:val="32364631"/>
    <w:rsid w:val="328C4469"/>
    <w:rsid w:val="33143D42"/>
    <w:rsid w:val="33256626"/>
    <w:rsid w:val="33A55DC3"/>
    <w:rsid w:val="345F0439"/>
    <w:rsid w:val="349B714C"/>
    <w:rsid w:val="35BD283F"/>
    <w:rsid w:val="35FD7EA6"/>
    <w:rsid w:val="362E000A"/>
    <w:rsid w:val="365B2817"/>
    <w:rsid w:val="368000F6"/>
    <w:rsid w:val="368415CA"/>
    <w:rsid w:val="37B24C8D"/>
    <w:rsid w:val="386023FB"/>
    <w:rsid w:val="38A17234"/>
    <w:rsid w:val="38D7610F"/>
    <w:rsid w:val="39D6762B"/>
    <w:rsid w:val="3AB51B7C"/>
    <w:rsid w:val="3B3D16FA"/>
    <w:rsid w:val="3BC772B6"/>
    <w:rsid w:val="3C0F0CC1"/>
    <w:rsid w:val="3C89428C"/>
    <w:rsid w:val="3CDD2D14"/>
    <w:rsid w:val="3D6B23CE"/>
    <w:rsid w:val="3DC97FA1"/>
    <w:rsid w:val="3DDD0555"/>
    <w:rsid w:val="3E18158D"/>
    <w:rsid w:val="3FA94B93"/>
    <w:rsid w:val="3FC47B83"/>
    <w:rsid w:val="3FEB0375"/>
    <w:rsid w:val="3FED79AA"/>
    <w:rsid w:val="40552C87"/>
    <w:rsid w:val="416C6C9C"/>
    <w:rsid w:val="41F23385"/>
    <w:rsid w:val="4216172A"/>
    <w:rsid w:val="42A04521"/>
    <w:rsid w:val="42BF512A"/>
    <w:rsid w:val="43961F7E"/>
    <w:rsid w:val="448034C1"/>
    <w:rsid w:val="44891243"/>
    <w:rsid w:val="45B0548C"/>
    <w:rsid w:val="465101C5"/>
    <w:rsid w:val="46A2058E"/>
    <w:rsid w:val="47C87FFC"/>
    <w:rsid w:val="486209DA"/>
    <w:rsid w:val="49AC19D5"/>
    <w:rsid w:val="49D64AD7"/>
    <w:rsid w:val="4AA11399"/>
    <w:rsid w:val="4BC921E8"/>
    <w:rsid w:val="4CE2539C"/>
    <w:rsid w:val="4CEF1386"/>
    <w:rsid w:val="4D5B5762"/>
    <w:rsid w:val="4E4001D5"/>
    <w:rsid w:val="4E57654D"/>
    <w:rsid w:val="4F6D65AC"/>
    <w:rsid w:val="4F7C5E20"/>
    <w:rsid w:val="4F837C81"/>
    <w:rsid w:val="4F8A0E2A"/>
    <w:rsid w:val="4F8B1935"/>
    <w:rsid w:val="4FD054CC"/>
    <w:rsid w:val="50244FC1"/>
    <w:rsid w:val="50300EAF"/>
    <w:rsid w:val="504E12FF"/>
    <w:rsid w:val="5062412D"/>
    <w:rsid w:val="50AD54A8"/>
    <w:rsid w:val="517B2A56"/>
    <w:rsid w:val="51A45394"/>
    <w:rsid w:val="5208036F"/>
    <w:rsid w:val="52421BCC"/>
    <w:rsid w:val="52465F8C"/>
    <w:rsid w:val="525A579A"/>
    <w:rsid w:val="53596086"/>
    <w:rsid w:val="539465F8"/>
    <w:rsid w:val="54AF74FC"/>
    <w:rsid w:val="55A6563C"/>
    <w:rsid w:val="56AE5DEE"/>
    <w:rsid w:val="56F065F7"/>
    <w:rsid w:val="579A7360"/>
    <w:rsid w:val="57FB03B3"/>
    <w:rsid w:val="58210780"/>
    <w:rsid w:val="591A73DD"/>
    <w:rsid w:val="59660DA9"/>
    <w:rsid w:val="59C75727"/>
    <w:rsid w:val="59E430D4"/>
    <w:rsid w:val="5A224C42"/>
    <w:rsid w:val="5A696E7B"/>
    <w:rsid w:val="5A775974"/>
    <w:rsid w:val="5A926787"/>
    <w:rsid w:val="5AEE27A9"/>
    <w:rsid w:val="5BE6620E"/>
    <w:rsid w:val="5BEC7F89"/>
    <w:rsid w:val="5D667DE3"/>
    <w:rsid w:val="5D954CC3"/>
    <w:rsid w:val="5DEF0676"/>
    <w:rsid w:val="5E906817"/>
    <w:rsid w:val="5F0206EE"/>
    <w:rsid w:val="5F6973A0"/>
    <w:rsid w:val="5FA205A2"/>
    <w:rsid w:val="5FDC5EDE"/>
    <w:rsid w:val="5FF12376"/>
    <w:rsid w:val="605B64EF"/>
    <w:rsid w:val="6093148D"/>
    <w:rsid w:val="61C779DA"/>
    <w:rsid w:val="62043ED4"/>
    <w:rsid w:val="62EF0ED5"/>
    <w:rsid w:val="635B236B"/>
    <w:rsid w:val="63E458E8"/>
    <w:rsid w:val="640F31BB"/>
    <w:rsid w:val="648A16D4"/>
    <w:rsid w:val="65C06368"/>
    <w:rsid w:val="669C201C"/>
    <w:rsid w:val="674D6F7B"/>
    <w:rsid w:val="67BD6E82"/>
    <w:rsid w:val="67E23558"/>
    <w:rsid w:val="689B6E6C"/>
    <w:rsid w:val="6997788D"/>
    <w:rsid w:val="69D8521D"/>
    <w:rsid w:val="6A152EEE"/>
    <w:rsid w:val="6A2D67E1"/>
    <w:rsid w:val="6AE714EB"/>
    <w:rsid w:val="6AF12F2B"/>
    <w:rsid w:val="6B0A7F78"/>
    <w:rsid w:val="6B620ED4"/>
    <w:rsid w:val="6B7771B8"/>
    <w:rsid w:val="6BA9750E"/>
    <w:rsid w:val="6BAD5DF4"/>
    <w:rsid w:val="6BE8707A"/>
    <w:rsid w:val="6C353187"/>
    <w:rsid w:val="6C7B0601"/>
    <w:rsid w:val="6CC65EA7"/>
    <w:rsid w:val="6D4A0355"/>
    <w:rsid w:val="6D8D0DC2"/>
    <w:rsid w:val="6E2E4722"/>
    <w:rsid w:val="6E3A3A5C"/>
    <w:rsid w:val="6E826931"/>
    <w:rsid w:val="6EFE0AC6"/>
    <w:rsid w:val="6F213D51"/>
    <w:rsid w:val="6F636B2F"/>
    <w:rsid w:val="6F9B663F"/>
    <w:rsid w:val="6FE663F6"/>
    <w:rsid w:val="702350C8"/>
    <w:rsid w:val="70494955"/>
    <w:rsid w:val="70AB05CB"/>
    <w:rsid w:val="70E1765A"/>
    <w:rsid w:val="71116D6F"/>
    <w:rsid w:val="71B0505E"/>
    <w:rsid w:val="72F211FB"/>
    <w:rsid w:val="73766A80"/>
    <w:rsid w:val="749E6F6A"/>
    <w:rsid w:val="757A236E"/>
    <w:rsid w:val="762F3A4F"/>
    <w:rsid w:val="768E449E"/>
    <w:rsid w:val="771F1CDB"/>
    <w:rsid w:val="777F4FE6"/>
    <w:rsid w:val="780A05B0"/>
    <w:rsid w:val="784C7702"/>
    <w:rsid w:val="79064192"/>
    <w:rsid w:val="7A37290A"/>
    <w:rsid w:val="7ACA0E20"/>
    <w:rsid w:val="7AD52D00"/>
    <w:rsid w:val="7AE1000D"/>
    <w:rsid w:val="7AED2E7F"/>
    <w:rsid w:val="7B482B0A"/>
    <w:rsid w:val="7C3A79B4"/>
    <w:rsid w:val="7C6A6D36"/>
    <w:rsid w:val="7E2818CB"/>
    <w:rsid w:val="7E9869CF"/>
    <w:rsid w:val="7FD40F99"/>
    <w:rsid w:val="7FF9439F"/>
    <w:rsid w:val="9F29C5A7"/>
    <w:rsid w:val="CCBE6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9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3"/>
    <w:next w:val="6"/>
    <w:unhideWhenUsed/>
    <w:qFormat/>
    <w:uiPriority w:val="0"/>
    <w:pPr>
      <w:keepLines/>
      <w:spacing w:beforeLines="20" w:afterLines="20" w:line="360" w:lineRule="auto"/>
      <w:outlineLvl w:val="2"/>
    </w:pPr>
    <w:rPr>
      <w:rFonts w:ascii="Calibri" w:hAnsi="Calibri" w:eastAsia="宋体" w:cs="Times New Roman"/>
      <w:b/>
      <w:sz w:val="32"/>
      <w:lang w:val="en-US" w:eastAsia="zh-CN" w:bidi="ar-SA"/>
    </w:rPr>
  </w:style>
  <w:style w:type="paragraph" w:styleId="7">
    <w:name w:val="heading 4"/>
    <w:next w:val="1"/>
    <w:unhideWhenUsed/>
    <w:qFormat/>
    <w:uiPriority w:val="0"/>
    <w:pPr>
      <w:keepLines/>
      <w:spacing w:beforeLines="20" w:afterLines="20" w:line="360" w:lineRule="auto"/>
      <w:outlineLvl w:val="3"/>
    </w:pPr>
    <w:rPr>
      <w:rFonts w:ascii="Arial" w:hAnsi="Arial" w:eastAsia="黑体" w:cs="Times New Roman"/>
      <w:b/>
      <w:sz w:val="28"/>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1"/>
    <w:qFormat/>
    <w:uiPriority w:val="0"/>
    <w:pPr>
      <w:spacing w:line="500" w:lineRule="exact"/>
      <w:ind w:left="1588" w:leftChars="832" w:firstLine="433" w:firstLineChars="196"/>
    </w:pPr>
    <w:rPr>
      <w:sz w:val="24"/>
    </w:rPr>
  </w:style>
  <w:style w:type="paragraph" w:styleId="6">
    <w:name w:val="Block Text"/>
    <w:basedOn w:val="1"/>
    <w:qFormat/>
    <w:uiPriority w:val="0"/>
    <w:pPr>
      <w:ind w:left="1440" w:leftChars="700" w:right="700" w:rightChars="700"/>
    </w:pPr>
  </w:style>
  <w:style w:type="paragraph" w:styleId="8">
    <w:name w:val="annotation text"/>
    <w:basedOn w:val="1"/>
    <w:link w:val="26"/>
    <w:qFormat/>
    <w:uiPriority w:val="0"/>
    <w:pPr>
      <w:jc w:val="left"/>
    </w:pPr>
    <w:rPr>
      <w:rFonts w:ascii="Times New Roman" w:hAnsi="Times New Roman" w:eastAsia="宋体" w:cs="Times New Roman"/>
      <w:szCs w:val="24"/>
    </w:rPr>
  </w:style>
  <w:style w:type="paragraph" w:styleId="9">
    <w:name w:val="Body Text"/>
    <w:basedOn w:val="1"/>
    <w:next w:val="1"/>
    <w:qFormat/>
    <w:uiPriority w:val="1"/>
    <w:rPr>
      <w:rFonts w:ascii="宋体" w:hAnsi="宋体" w:eastAsia="宋体" w:cs="宋体"/>
      <w:sz w:val="32"/>
      <w:szCs w:val="32"/>
      <w:lang w:val="zh-CN" w:bidi="zh-CN"/>
    </w:rPr>
  </w:style>
  <w:style w:type="paragraph" w:styleId="10">
    <w:name w:val="toc 3"/>
    <w:basedOn w:val="1"/>
    <w:next w:val="1"/>
    <w:semiHidden/>
    <w:unhideWhenUsed/>
    <w:qFormat/>
    <w:uiPriority w:val="39"/>
    <w:pPr>
      <w:ind w:left="840" w:leftChars="400"/>
    </w:pPr>
  </w:style>
  <w:style w:type="paragraph" w:styleId="11">
    <w:name w:val="Plain Text"/>
    <w:basedOn w:val="1"/>
    <w:qFormat/>
    <w:uiPriority w:val="0"/>
    <w:rPr>
      <w:rFonts w:ascii="宋体" w:hAnsi="Courier New" w:cs="Courier New"/>
      <w:szCs w:val="21"/>
    </w:rPr>
  </w:style>
  <w:style w:type="paragraph" w:styleId="12">
    <w:name w:val="Balloon Text"/>
    <w:basedOn w:val="1"/>
    <w:next w:val="1"/>
    <w:link w:val="27"/>
    <w:semiHidden/>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tabs>
        <w:tab w:val="right" w:leader="dot" w:pos="8777"/>
      </w:tabs>
      <w:spacing w:line="360" w:lineRule="auto"/>
    </w:pPr>
    <w:rPr>
      <w:rFonts w:ascii="Times New Roman" w:hAnsi="Times New Roman" w:eastAsia="宋体" w:cs="Times New Roman"/>
      <w:szCs w:val="24"/>
    </w:rPr>
  </w:style>
  <w:style w:type="paragraph" w:styleId="16">
    <w:name w:val="toc 2"/>
    <w:basedOn w:val="1"/>
    <w:next w:val="1"/>
    <w:semiHidden/>
    <w:qFormat/>
    <w:uiPriority w:val="99"/>
    <w:pPr>
      <w:ind w:left="420" w:leftChars="200"/>
    </w:pPr>
    <w:rPr>
      <w:rFonts w:ascii="Times New Roman" w:hAnsi="Times New Roman" w:eastAsia="宋体" w:cs="Times New Roman"/>
      <w:szCs w:val="24"/>
    </w:rPr>
  </w:style>
  <w:style w:type="paragraph" w:styleId="17">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character" w:styleId="22">
    <w:name w:val="Hyperlink"/>
    <w:basedOn w:val="20"/>
    <w:qFormat/>
    <w:uiPriority w:val="99"/>
    <w:rPr>
      <w:rFonts w:cs="Times New Roman"/>
      <w:color w:val="555555"/>
      <w:u w:val="none"/>
    </w:rPr>
  </w:style>
  <w:style w:type="character" w:styleId="23">
    <w:name w:val="annotation reference"/>
    <w:qFormat/>
    <w:uiPriority w:val="0"/>
    <w:rPr>
      <w:sz w:val="21"/>
      <w:szCs w:val="21"/>
    </w:rPr>
  </w:style>
  <w:style w:type="character" w:customStyle="1" w:styleId="24">
    <w:name w:val="页眉 Char"/>
    <w:basedOn w:val="20"/>
    <w:link w:val="14"/>
    <w:qFormat/>
    <w:uiPriority w:val="99"/>
    <w:rPr>
      <w:sz w:val="18"/>
      <w:szCs w:val="18"/>
    </w:rPr>
  </w:style>
  <w:style w:type="character" w:customStyle="1" w:styleId="25">
    <w:name w:val="页脚 Char"/>
    <w:basedOn w:val="20"/>
    <w:link w:val="13"/>
    <w:qFormat/>
    <w:uiPriority w:val="99"/>
    <w:rPr>
      <w:sz w:val="18"/>
      <w:szCs w:val="18"/>
    </w:rPr>
  </w:style>
  <w:style w:type="character" w:customStyle="1" w:styleId="26">
    <w:name w:val="批注文字 Char"/>
    <w:basedOn w:val="20"/>
    <w:link w:val="8"/>
    <w:qFormat/>
    <w:uiPriority w:val="0"/>
    <w:rPr>
      <w:rFonts w:ascii="Times New Roman" w:hAnsi="Times New Roman" w:eastAsia="宋体" w:cs="Times New Roman"/>
      <w:szCs w:val="24"/>
    </w:rPr>
  </w:style>
  <w:style w:type="character" w:customStyle="1" w:styleId="27">
    <w:name w:val="批注框文本 Char"/>
    <w:basedOn w:val="20"/>
    <w:link w:val="12"/>
    <w:semiHidden/>
    <w:qFormat/>
    <w:uiPriority w:val="99"/>
    <w:rPr>
      <w:sz w:val="18"/>
      <w:szCs w:val="18"/>
    </w:rPr>
  </w:style>
  <w:style w:type="character" w:customStyle="1" w:styleId="28">
    <w:name w:val="标题 1 Char"/>
    <w:basedOn w:val="20"/>
    <w:link w:val="4"/>
    <w:qFormat/>
    <w:uiPriority w:val="9"/>
    <w:rPr>
      <w:b/>
      <w:bCs/>
      <w:kern w:val="44"/>
      <w:sz w:val="44"/>
      <w:szCs w:val="44"/>
    </w:rPr>
  </w:style>
  <w:style w:type="paragraph" w:customStyle="1" w:styleId="29">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font11"/>
    <w:basedOn w:val="20"/>
    <w:qFormat/>
    <w:uiPriority w:val="0"/>
    <w:rPr>
      <w:rFonts w:hint="eastAsia" w:ascii="楷体" w:hAnsi="楷体" w:eastAsia="楷体" w:cs="楷体"/>
      <w:color w:val="000000"/>
      <w:sz w:val="21"/>
      <w:szCs w:val="21"/>
      <w:u w:val="none"/>
    </w:rPr>
  </w:style>
  <w:style w:type="character" w:customStyle="1" w:styleId="31">
    <w:name w:val="font31"/>
    <w:basedOn w:val="20"/>
    <w:qFormat/>
    <w:uiPriority w:val="0"/>
    <w:rPr>
      <w:rFonts w:hint="default" w:ascii="Times New Roman" w:hAnsi="Times New Roman" w:cs="Times New Roman"/>
      <w:color w:val="000000"/>
      <w:sz w:val="21"/>
      <w:szCs w:val="21"/>
      <w:u w:val="none"/>
    </w:rPr>
  </w:style>
  <w:style w:type="character" w:customStyle="1" w:styleId="32">
    <w:name w:val="font21"/>
    <w:basedOn w:val="20"/>
    <w:qFormat/>
    <w:uiPriority w:val="0"/>
    <w:rPr>
      <w:rFonts w:hint="eastAsia" w:ascii="楷体" w:hAnsi="楷体" w:eastAsia="楷体" w:cs="楷体"/>
      <w:color w:val="000000"/>
      <w:sz w:val="21"/>
      <w:szCs w:val="21"/>
      <w:u w:val="none"/>
    </w:rPr>
  </w:style>
  <w:style w:type="paragraph" w:customStyle="1" w:styleId="33">
    <w:name w:val="WPSOffice手动目录 1"/>
    <w:qFormat/>
    <w:uiPriority w:val="0"/>
    <w:pPr>
      <w:ind w:leftChars="0"/>
    </w:pPr>
    <w:rPr>
      <w:rFonts w:ascii="Times New Roman" w:hAnsi="Times New Roman" w:eastAsia="Times New Roman" w:cs="Times New Roman"/>
      <w:sz w:val="20"/>
      <w:szCs w:val="20"/>
    </w:rPr>
  </w:style>
  <w:style w:type="paragraph" w:customStyle="1" w:styleId="34">
    <w:name w:val="WPSOffice手动目录 3"/>
    <w:qFormat/>
    <w:uiPriority w:val="0"/>
    <w:pPr>
      <w:ind w:leftChars="400"/>
    </w:pPr>
    <w:rPr>
      <w:rFonts w:ascii="Times New Roman" w:hAnsi="Times New Roman" w:eastAsia="Times New Roman" w:cs="Times New Roman"/>
      <w:sz w:val="20"/>
      <w:szCs w:val="20"/>
    </w:rPr>
  </w:style>
  <w:style w:type="paragraph" w:customStyle="1" w:styleId="35">
    <w:name w:val="WPSOffice手动目录 2"/>
    <w:qFormat/>
    <w:uiPriority w:val="0"/>
    <w:pPr>
      <w:ind w:leftChars="200"/>
    </w:pPr>
    <w:rPr>
      <w:rFonts w:ascii="Times New Roman" w:hAnsi="Times New Roman" w:eastAsia="Times New Roman" w:cs="Times New Roman"/>
      <w:sz w:val="20"/>
      <w:szCs w:val="20"/>
    </w:rPr>
  </w:style>
  <w:style w:type="paragraph" w:customStyle="1" w:styleId="36">
    <w:name w:val="Other|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character" w:customStyle="1" w:styleId="37">
    <w:name w:val="font81"/>
    <w:basedOn w:val="20"/>
    <w:qFormat/>
    <w:uiPriority w:val="0"/>
    <w:rPr>
      <w:rFonts w:ascii="Symbol" w:hAnsi="Symbol" w:cs="Symbol"/>
      <w:color w:val="000000"/>
      <w:sz w:val="20"/>
      <w:szCs w:val="20"/>
      <w:u w:val="none"/>
    </w:rPr>
  </w:style>
  <w:style w:type="character" w:customStyle="1" w:styleId="38">
    <w:name w:val="font61"/>
    <w:basedOn w:val="20"/>
    <w:qFormat/>
    <w:uiPriority w:val="0"/>
    <w:rPr>
      <w:rFonts w:hint="eastAsia" w:ascii="仿宋" w:hAnsi="仿宋" w:eastAsia="仿宋" w:cs="仿宋"/>
      <w:color w:val="000000"/>
      <w:sz w:val="20"/>
      <w:szCs w:val="20"/>
      <w:u w:val="none"/>
    </w:rPr>
  </w:style>
  <w:style w:type="character" w:customStyle="1" w:styleId="39">
    <w:name w:val="font51"/>
    <w:basedOn w:val="20"/>
    <w:qFormat/>
    <w:uiPriority w:val="0"/>
    <w:rPr>
      <w:rFonts w:ascii="Symbol" w:hAnsi="Symbol" w:cs="Symbol"/>
      <w:color w:val="000000"/>
      <w:sz w:val="20"/>
      <w:szCs w:val="20"/>
      <w:u w:val="none"/>
    </w:rPr>
  </w:style>
  <w:style w:type="table" w:customStyle="1" w:styleId="4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customXml" Target="../customXml/item1.xml"/><Relationship Id="rId40" Type="http://schemas.openxmlformats.org/officeDocument/2006/relationships/image" Target="media/image31.png"/><Relationship Id="rId4" Type="http://schemas.openxmlformats.org/officeDocument/2006/relationships/footer" Target="footer1.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standalone='no'?>
<b:Sources xmlns:b="http://schemas.openxmlformats.org/officeDocument/2006/bibliography" StyleName="APA" xmlns:b="http://schemas.openxmlformats.org/officeDocument/2006/bibliography"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FEE471-582E-4B60-8BCD-0BA54C66B4C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37</Pages>
  <Words>16872</Words>
  <Characters>18264</Characters>
  <Lines>116</Lines>
  <Paragraphs>32</Paragraphs>
  <TotalTime>6</TotalTime>
  <ScaleCrop>false</ScaleCrop>
  <LinksUpToDate>false</LinksUpToDate>
  <CharactersWithSpaces>18547</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2021-09-03T12:04:00Z</dcterms:created>
  <dc:creator>CC</dc:creator>
  <cp:lastModifiedBy>thtf</cp:lastModifiedBy>
  <cp:lastPrinted>2023-07-01T06:46:00Z</cp:lastPrinted>
  <dcterms:modified xsi:type="dcterms:W3CDTF">2024-12-09T17:02:25Z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E2BB142B8957453EBEA446396DB7A302_13</vt:lpwstr>
  </property>
</Properties>
</file>