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olors1.xml" ContentType="application/vnd.ms-office.chartcolorstyle+xml"/>
  <Override PartName="/word/charts/style1.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7"/>
        <w:keepNext w:val="0"/>
        <w:keepLines w:val="0"/>
        <w:pageBreakBefore w:val="0"/>
        <w:widowControl w:val="0"/>
        <w:shd w:val="clear" w:fill="FFFFFF" w:themeFill="background1"/>
        <w:kinsoku/>
        <w:wordWrap/>
        <w:overflowPunct/>
        <w:topLinePunct w:val="0"/>
        <w:autoSpaceDE/>
        <w:autoSpaceDN/>
        <w:bidi w:val="0"/>
        <w:adjustRightInd/>
        <w:snapToGrid/>
        <w:spacing w:after="0" w:line="240" w:lineRule="auto"/>
        <w:ind w:left="0" w:leftChars="0" w:right="0" w:firstLine="0" w:firstLineChars="0"/>
        <w:textAlignment w:val="auto"/>
        <w:rPr>
          <w:rFonts w:hint="eastAsia" w:ascii="仿宋" w:hAnsi="仿宋" w:eastAsia="仿宋" w:cs="仿宋"/>
          <w:color w:val="auto"/>
          <w:highlight w:val="none"/>
        </w:rPr>
      </w:pPr>
    </w:p>
    <w:p>
      <w:pPr>
        <w:pStyle w:val="17"/>
        <w:keepNext w:val="0"/>
        <w:keepLines w:val="0"/>
        <w:pageBreakBefore w:val="0"/>
        <w:widowControl w:val="0"/>
        <w:shd w:val="clear" w:fill="FFFFFF" w:themeFill="background1"/>
        <w:kinsoku/>
        <w:wordWrap/>
        <w:overflowPunct/>
        <w:topLinePunct w:val="0"/>
        <w:autoSpaceDE/>
        <w:autoSpaceDN/>
        <w:bidi w:val="0"/>
        <w:adjustRightInd/>
        <w:snapToGrid/>
        <w:spacing w:after="0" w:line="240" w:lineRule="auto"/>
        <w:ind w:left="0" w:leftChars="0" w:right="0" w:firstLine="424" w:firstLineChars="200"/>
        <w:textAlignment w:val="auto"/>
        <w:rPr>
          <w:rFonts w:hint="eastAsia" w:ascii="仿宋" w:hAnsi="仿宋" w:eastAsia="仿宋" w:cs="仿宋"/>
          <w:color w:val="auto"/>
          <w:highlight w:val="none"/>
        </w:rPr>
      </w:pPr>
    </w:p>
    <w:p>
      <w:pPr>
        <w:pStyle w:val="17"/>
        <w:keepNext w:val="0"/>
        <w:keepLines w:val="0"/>
        <w:pageBreakBefore w:val="0"/>
        <w:widowControl w:val="0"/>
        <w:shd w:val="clear" w:fill="FFFFFF" w:themeFill="background1"/>
        <w:kinsoku/>
        <w:wordWrap/>
        <w:overflowPunct/>
        <w:topLinePunct w:val="0"/>
        <w:autoSpaceDE/>
        <w:autoSpaceDN/>
        <w:bidi w:val="0"/>
        <w:adjustRightInd/>
        <w:snapToGrid/>
        <w:spacing w:after="0" w:line="240" w:lineRule="auto"/>
        <w:ind w:left="0" w:leftChars="0" w:right="0" w:firstLine="1044" w:firstLineChars="200"/>
        <w:textAlignment w:val="auto"/>
        <w:rPr>
          <w:rFonts w:hint="eastAsia" w:ascii="仿宋" w:hAnsi="仿宋" w:eastAsia="仿宋" w:cs="仿宋"/>
          <w:color w:val="auto"/>
          <w:sz w:val="52"/>
          <w:szCs w:val="52"/>
          <w:highlight w:val="none"/>
        </w:rPr>
      </w:pPr>
    </w:p>
    <w:p>
      <w:pPr>
        <w:keepNext w:val="0"/>
        <w:keepLines w:val="0"/>
        <w:pageBreakBefore w:val="0"/>
        <w:widowControl w:val="0"/>
        <w:shd w:val="clear" w:fill="FFFFFF" w:themeFill="background1"/>
        <w:kinsoku/>
        <w:wordWrap/>
        <w:overflowPunct/>
        <w:topLinePunct w:val="0"/>
        <w:autoSpaceDE/>
        <w:autoSpaceDN/>
        <w:bidi w:val="0"/>
        <w:adjustRightInd/>
        <w:snapToGrid/>
        <w:spacing w:line="240" w:lineRule="auto"/>
        <w:ind w:left="0" w:leftChars="0" w:right="0" w:firstLine="0" w:firstLineChars="0"/>
        <w:jc w:val="center"/>
        <w:textAlignment w:val="auto"/>
        <w:rPr>
          <w:rFonts w:hint="default" w:ascii="仿宋" w:hAnsi="仿宋" w:eastAsia="仿宋" w:cs="仿宋"/>
          <w:b/>
          <w:bCs/>
          <w:color w:val="auto"/>
          <w:sz w:val="48"/>
          <w:szCs w:val="48"/>
          <w:highlight w:val="none"/>
          <w:lang w:val="en-US" w:eastAsia="zh-CN"/>
        </w:rPr>
      </w:pPr>
      <w:r>
        <w:rPr>
          <w:rFonts w:hint="eastAsia" w:ascii="仿宋" w:hAnsi="仿宋" w:eastAsia="仿宋" w:cs="仿宋"/>
          <w:b/>
          <w:bCs/>
          <w:color w:val="auto"/>
          <w:sz w:val="48"/>
          <w:szCs w:val="48"/>
          <w:highlight w:val="none"/>
          <w:lang w:val="en-US" w:eastAsia="zh-CN"/>
        </w:rPr>
        <w:t>污染治理和节能减碳专项（节能减碳方向）2022年第二批中央预算内投资资金</w:t>
      </w:r>
    </w:p>
    <w:p>
      <w:pPr>
        <w:pStyle w:val="17"/>
        <w:spacing w:line="240" w:lineRule="auto"/>
        <w:ind w:left="0" w:leftChars="0" w:firstLine="0" w:firstLineChars="0"/>
        <w:rPr>
          <w:rFonts w:hint="eastAsia" w:ascii="方正小标宋简体" w:hAnsi="宋体" w:eastAsia="方正小标宋简体" w:cs="Arial"/>
          <w:sz w:val="52"/>
          <w:szCs w:val="52"/>
          <w:lang w:val="en-US" w:eastAsia="zh-CN"/>
        </w:rPr>
      </w:pPr>
      <w:r>
        <w:rPr>
          <w:rFonts w:hint="eastAsia" w:ascii="仿宋" w:hAnsi="仿宋" w:eastAsia="仿宋" w:cs="仿宋"/>
          <w:color w:val="auto"/>
          <w:sz w:val="52"/>
          <w:szCs w:val="52"/>
          <w:highlight w:val="none"/>
          <w:lang w:val="en-US" w:eastAsia="zh-CN"/>
        </w:rPr>
        <w:t xml:space="preserve"> </w:t>
      </w:r>
    </w:p>
    <w:p>
      <w:pPr>
        <w:pStyle w:val="17"/>
        <w:keepNext w:val="0"/>
        <w:pageBreakBefore w:val="0"/>
        <w:kinsoku/>
        <w:topLinePunct w:val="0"/>
        <w:bidi w:val="0"/>
        <w:spacing w:after="0" w:line="240" w:lineRule="auto"/>
        <w:ind w:left="0" w:leftChars="0" w:firstLine="0" w:firstLineChars="0"/>
        <w:jc w:val="center"/>
        <w:rPr>
          <w:rFonts w:hint="eastAsia" w:ascii="华文行楷" w:hAnsi="华文行楷" w:eastAsia="华文行楷" w:cs="华文行楷"/>
          <w:b/>
          <w:color w:val="auto"/>
          <w:sz w:val="72"/>
          <w:szCs w:val="72"/>
          <w:highlight w:val="none"/>
        </w:rPr>
      </w:pPr>
      <w:r>
        <w:rPr>
          <w:rFonts w:hint="eastAsia" w:ascii="华文行楷" w:hAnsi="华文行楷" w:eastAsia="华文行楷" w:cs="华文行楷"/>
          <w:b/>
          <w:color w:val="auto"/>
          <w:sz w:val="72"/>
          <w:szCs w:val="72"/>
          <w:highlight w:val="none"/>
        </w:rPr>
        <w:t>绩效评价报告</w:t>
      </w:r>
    </w:p>
    <w:p>
      <w:pPr>
        <w:pStyle w:val="17"/>
        <w:keepNext w:val="0"/>
        <w:pageBreakBefore w:val="0"/>
        <w:kinsoku/>
        <w:topLinePunct w:val="0"/>
        <w:bidi w:val="0"/>
        <w:spacing w:after="0" w:line="240" w:lineRule="auto"/>
        <w:ind w:left="0" w:leftChars="0" w:firstLine="0" w:firstLineChars="0"/>
        <w:jc w:val="center"/>
        <w:rPr>
          <w:rFonts w:hint="eastAsia" w:ascii="方正小标宋简体" w:hAnsi="方正小标宋简体" w:eastAsia="方正小标宋简体" w:cs="方正小标宋简体"/>
          <w:color w:val="auto"/>
          <w:sz w:val="32"/>
          <w:szCs w:val="32"/>
          <w:highlight w:val="none"/>
        </w:rPr>
      </w:pPr>
    </w:p>
    <w:p>
      <w:pPr>
        <w:pStyle w:val="17"/>
        <w:keepNext w:val="0"/>
        <w:pageBreakBefore w:val="0"/>
        <w:kinsoku/>
        <w:topLinePunct w:val="0"/>
        <w:bidi w:val="0"/>
        <w:spacing w:after="0" w:line="240" w:lineRule="auto"/>
        <w:ind w:left="0" w:leftChars="0" w:firstLine="0" w:firstLineChars="0"/>
        <w:jc w:val="center"/>
        <w:rPr>
          <w:rFonts w:hint="eastAsia" w:ascii="方正小标宋简体" w:hAnsi="方正小标宋简体" w:eastAsia="方正小标宋简体" w:cs="方正小标宋简体"/>
          <w:color w:val="auto"/>
          <w:sz w:val="32"/>
          <w:szCs w:val="32"/>
          <w:highlight w:val="none"/>
          <w:lang w:val="en-US" w:eastAsia="zh-CN"/>
        </w:rPr>
      </w:pPr>
      <w:r>
        <w:rPr>
          <w:rFonts w:hint="eastAsia" w:ascii="方正小标宋简体" w:hAnsi="方正小标宋简体" w:eastAsia="方正小标宋简体" w:cs="方正小标宋简体"/>
          <w:color w:val="auto"/>
          <w:sz w:val="32"/>
          <w:szCs w:val="32"/>
          <w:highlight w:val="none"/>
        </w:rPr>
        <w:t>编号：泉招咨绩【202</w:t>
      </w:r>
      <w:r>
        <w:rPr>
          <w:rFonts w:hint="eastAsia" w:ascii="方正小标宋简体" w:hAnsi="方正小标宋简体" w:eastAsia="方正小标宋简体" w:cs="方正小标宋简体"/>
          <w:color w:val="auto"/>
          <w:sz w:val="32"/>
          <w:szCs w:val="32"/>
          <w:highlight w:val="none"/>
          <w:lang w:val="en-US" w:eastAsia="zh-CN"/>
        </w:rPr>
        <w:t>3</w:t>
      </w:r>
      <w:r>
        <w:rPr>
          <w:rFonts w:hint="eastAsia" w:ascii="方正小标宋简体" w:hAnsi="方正小标宋简体" w:eastAsia="方正小标宋简体" w:cs="方正小标宋简体"/>
          <w:color w:val="auto"/>
          <w:sz w:val="32"/>
          <w:szCs w:val="32"/>
          <w:highlight w:val="none"/>
        </w:rPr>
        <w:t>】</w:t>
      </w:r>
      <w:r>
        <w:rPr>
          <w:rFonts w:hint="eastAsia" w:ascii="方正小标宋简体" w:hAnsi="方正小标宋简体" w:eastAsia="方正小标宋简体" w:cs="方正小标宋简体"/>
          <w:color w:val="auto"/>
          <w:sz w:val="32"/>
          <w:szCs w:val="32"/>
          <w:highlight w:val="none"/>
          <w:lang w:val="en-US" w:eastAsia="zh-CN"/>
        </w:rPr>
        <w:t>6-8</w:t>
      </w:r>
      <w:r>
        <w:rPr>
          <w:rFonts w:hint="eastAsia" w:ascii="方正小标宋简体" w:hAnsi="方正小标宋简体" w:eastAsia="方正小标宋简体" w:cs="方正小标宋简体"/>
          <w:color w:val="auto"/>
          <w:sz w:val="32"/>
          <w:szCs w:val="32"/>
          <w:highlight w:val="none"/>
        </w:rPr>
        <w:t>号</w:t>
      </w:r>
    </w:p>
    <w:p>
      <w:pPr>
        <w:pStyle w:val="17"/>
        <w:keepNext w:val="0"/>
        <w:pageBreakBefore w:val="0"/>
        <w:kinsoku/>
        <w:topLinePunct w:val="0"/>
        <w:bidi w:val="0"/>
        <w:spacing w:after="0" w:line="240" w:lineRule="auto"/>
        <w:ind w:left="0" w:leftChars="0" w:firstLine="0" w:firstLineChars="0"/>
        <w:jc w:val="center"/>
        <w:rPr>
          <w:rFonts w:hint="eastAsia" w:ascii="仿宋" w:hAnsi="仿宋" w:eastAsia="仿宋" w:cs="仿宋"/>
          <w:color w:val="auto"/>
          <w:sz w:val="20"/>
          <w:szCs w:val="20"/>
          <w:highlight w:val="none"/>
        </w:rPr>
      </w:pPr>
    </w:p>
    <w:p>
      <w:pPr>
        <w:pStyle w:val="17"/>
        <w:keepNext w:val="0"/>
        <w:pageBreakBefore w:val="0"/>
        <w:kinsoku/>
        <w:topLinePunct w:val="0"/>
        <w:bidi w:val="0"/>
        <w:spacing w:after="0" w:line="240" w:lineRule="auto"/>
        <w:ind w:left="0" w:leftChars="0" w:firstLine="0" w:firstLineChars="0"/>
        <w:jc w:val="center"/>
        <w:rPr>
          <w:rFonts w:hint="eastAsia" w:ascii="仿宋" w:hAnsi="仿宋" w:eastAsia="仿宋" w:cs="仿宋"/>
          <w:color w:val="auto"/>
          <w:sz w:val="20"/>
          <w:szCs w:val="20"/>
          <w:highlight w:val="none"/>
        </w:rPr>
      </w:pPr>
    </w:p>
    <w:p>
      <w:pPr>
        <w:pStyle w:val="17"/>
        <w:keepNext w:val="0"/>
        <w:pageBreakBefore w:val="0"/>
        <w:kinsoku/>
        <w:topLinePunct w:val="0"/>
        <w:bidi w:val="0"/>
        <w:spacing w:after="0" w:line="240" w:lineRule="auto"/>
        <w:ind w:left="0" w:leftChars="0" w:firstLine="0" w:firstLineChars="0"/>
        <w:jc w:val="both"/>
        <w:rPr>
          <w:rFonts w:hint="eastAsia" w:ascii="仿宋" w:hAnsi="仿宋" w:eastAsia="仿宋" w:cs="仿宋"/>
          <w:color w:val="auto"/>
          <w:sz w:val="20"/>
          <w:szCs w:val="20"/>
          <w:highlight w:val="none"/>
        </w:rPr>
      </w:pPr>
    </w:p>
    <w:p>
      <w:pPr>
        <w:pStyle w:val="17"/>
        <w:keepNext w:val="0"/>
        <w:pageBreakBefore w:val="0"/>
        <w:kinsoku/>
        <w:topLinePunct w:val="0"/>
        <w:bidi w:val="0"/>
        <w:spacing w:after="0" w:line="240" w:lineRule="auto"/>
        <w:ind w:left="0" w:leftChars="0" w:firstLine="0" w:firstLineChars="0"/>
        <w:jc w:val="both"/>
        <w:rPr>
          <w:rFonts w:hint="eastAsia" w:ascii="仿宋" w:hAnsi="仿宋" w:eastAsia="仿宋" w:cs="仿宋"/>
          <w:color w:val="auto"/>
          <w:sz w:val="20"/>
          <w:szCs w:val="20"/>
          <w:highlight w:val="none"/>
        </w:rPr>
      </w:pPr>
    </w:p>
    <w:p>
      <w:pPr>
        <w:pStyle w:val="17"/>
        <w:keepNext w:val="0"/>
        <w:pageBreakBefore w:val="0"/>
        <w:kinsoku/>
        <w:topLinePunct w:val="0"/>
        <w:bidi w:val="0"/>
        <w:spacing w:after="0" w:line="240" w:lineRule="auto"/>
        <w:ind w:left="0" w:leftChars="0" w:firstLine="0" w:firstLineChars="0"/>
        <w:jc w:val="center"/>
        <w:rPr>
          <w:rFonts w:hint="eastAsia" w:ascii="仿宋" w:hAnsi="仿宋" w:eastAsia="仿宋" w:cs="仿宋"/>
          <w:color w:val="auto"/>
          <w:sz w:val="20"/>
          <w:szCs w:val="20"/>
          <w:highlight w:val="none"/>
        </w:rPr>
      </w:pPr>
    </w:p>
    <w:p>
      <w:pPr>
        <w:pStyle w:val="17"/>
        <w:keepNext w:val="0"/>
        <w:pageBreakBefore w:val="0"/>
        <w:kinsoku/>
        <w:topLinePunct w:val="0"/>
        <w:bidi w:val="0"/>
        <w:spacing w:after="0" w:line="240" w:lineRule="auto"/>
        <w:ind w:left="0" w:leftChars="0" w:firstLine="0" w:firstLineChars="0"/>
        <w:jc w:val="center"/>
        <w:rPr>
          <w:rFonts w:hint="eastAsia" w:ascii="仿宋" w:hAnsi="仿宋" w:eastAsia="仿宋" w:cs="仿宋"/>
          <w:color w:val="auto"/>
          <w:sz w:val="20"/>
          <w:szCs w:val="20"/>
          <w:highlight w:val="none"/>
        </w:rPr>
      </w:pPr>
    </w:p>
    <w:p>
      <w:pPr>
        <w:pStyle w:val="17"/>
        <w:keepNext w:val="0"/>
        <w:pageBreakBefore w:val="0"/>
        <w:kinsoku/>
        <w:topLinePunct w:val="0"/>
        <w:bidi w:val="0"/>
        <w:spacing w:after="0" w:line="240" w:lineRule="auto"/>
        <w:ind w:left="0" w:leftChars="0" w:firstLine="0" w:firstLineChars="0"/>
        <w:jc w:val="center"/>
        <w:rPr>
          <w:rFonts w:hint="eastAsia" w:ascii="仿宋" w:hAnsi="仿宋" w:eastAsia="仿宋" w:cs="仿宋"/>
          <w:color w:val="auto"/>
          <w:sz w:val="20"/>
          <w:szCs w:val="20"/>
          <w:highlight w:val="none"/>
        </w:rPr>
      </w:pPr>
    </w:p>
    <w:p>
      <w:pPr>
        <w:pStyle w:val="17"/>
        <w:keepNext w:val="0"/>
        <w:pageBreakBefore w:val="0"/>
        <w:kinsoku/>
        <w:topLinePunct w:val="0"/>
        <w:bidi w:val="0"/>
        <w:spacing w:after="0" w:line="240" w:lineRule="auto"/>
        <w:ind w:left="0" w:leftChars="0" w:firstLine="0" w:firstLineChars="0"/>
        <w:jc w:val="center"/>
        <w:rPr>
          <w:rFonts w:hint="eastAsia" w:ascii="仿宋" w:hAnsi="仿宋" w:eastAsia="仿宋" w:cs="仿宋"/>
          <w:color w:val="auto"/>
          <w:sz w:val="20"/>
          <w:szCs w:val="20"/>
          <w:highlight w:val="none"/>
        </w:rPr>
      </w:pPr>
    </w:p>
    <w:p>
      <w:pPr>
        <w:pStyle w:val="17"/>
        <w:keepNext w:val="0"/>
        <w:pageBreakBefore w:val="0"/>
        <w:kinsoku/>
        <w:topLinePunct w:val="0"/>
        <w:bidi w:val="0"/>
        <w:spacing w:after="0" w:line="240" w:lineRule="auto"/>
        <w:ind w:left="0" w:leftChars="0" w:firstLine="0" w:firstLineChars="0"/>
        <w:jc w:val="both"/>
        <w:rPr>
          <w:rFonts w:hint="eastAsia" w:ascii="仿宋" w:hAnsi="仿宋" w:eastAsia="仿宋" w:cs="仿宋"/>
          <w:color w:val="auto"/>
          <w:sz w:val="20"/>
          <w:szCs w:val="20"/>
          <w:highlight w:val="none"/>
        </w:rPr>
      </w:pPr>
    </w:p>
    <w:p>
      <w:pPr>
        <w:pStyle w:val="17"/>
        <w:keepNext w:val="0"/>
        <w:keepLines w:val="0"/>
        <w:pageBreakBefore w:val="0"/>
        <w:widowControl w:val="0"/>
        <w:kinsoku/>
        <w:wordWrap/>
        <w:overflowPunct/>
        <w:topLinePunct w:val="0"/>
        <w:autoSpaceDE/>
        <w:autoSpaceDN/>
        <w:bidi w:val="0"/>
        <w:adjustRightInd/>
        <w:snapToGrid/>
        <w:spacing w:after="0" w:line="240" w:lineRule="auto"/>
        <w:ind w:left="0" w:leftChars="0" w:firstLine="1288" w:firstLineChars="400"/>
        <w:textAlignment w:val="auto"/>
        <w:rPr>
          <w:rFonts w:hint="eastAsia" w:ascii="仿宋" w:hAnsi="仿宋" w:eastAsia="仿宋" w:cs="仿宋"/>
          <w:color w:val="auto"/>
          <w:sz w:val="32"/>
          <w:szCs w:val="32"/>
          <w:highlight w:val="none"/>
          <w:lang w:eastAsia="zh-CN"/>
        </w:rPr>
      </w:pPr>
      <w:r>
        <w:rPr>
          <w:rFonts w:hint="eastAsia" w:ascii="仿宋" w:hAnsi="仿宋" w:eastAsia="仿宋" w:cs="仿宋"/>
          <w:color w:val="auto"/>
          <w:sz w:val="32"/>
          <w:szCs w:val="32"/>
          <w:highlight w:val="none"/>
        </w:rPr>
        <w:t>委托单位：</w:t>
      </w:r>
      <w:r>
        <w:rPr>
          <w:rFonts w:hint="eastAsia" w:ascii="仿宋" w:hAnsi="仿宋" w:eastAsia="仿宋" w:cs="仿宋"/>
          <w:color w:val="auto"/>
          <w:sz w:val="32"/>
          <w:szCs w:val="32"/>
          <w:highlight w:val="none"/>
          <w:lang w:val="en-US" w:eastAsia="zh-CN"/>
        </w:rPr>
        <w:t>泉州市石狮市财政</w:t>
      </w:r>
      <w:r>
        <w:rPr>
          <w:rFonts w:hint="eastAsia" w:ascii="仿宋" w:hAnsi="仿宋" w:eastAsia="仿宋" w:cs="仿宋"/>
          <w:color w:val="auto"/>
          <w:sz w:val="32"/>
          <w:szCs w:val="32"/>
          <w:highlight w:val="none"/>
          <w:lang w:eastAsia="zh-CN"/>
        </w:rPr>
        <w:t>局</w:t>
      </w:r>
    </w:p>
    <w:p>
      <w:pPr>
        <w:pStyle w:val="17"/>
        <w:keepNext w:val="0"/>
        <w:keepLines w:val="0"/>
        <w:pageBreakBefore w:val="0"/>
        <w:widowControl w:val="0"/>
        <w:kinsoku/>
        <w:wordWrap/>
        <w:overflowPunct/>
        <w:topLinePunct w:val="0"/>
        <w:autoSpaceDE/>
        <w:autoSpaceDN/>
        <w:bidi w:val="0"/>
        <w:adjustRightInd/>
        <w:snapToGrid/>
        <w:spacing w:after="0" w:line="240" w:lineRule="auto"/>
        <w:ind w:left="0" w:leftChars="0" w:firstLine="1288" w:firstLineChars="400"/>
        <w:textAlignment w:val="auto"/>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主管单位：泉州市石狮市发展和改革局</w:t>
      </w:r>
    </w:p>
    <w:p>
      <w:pPr>
        <w:pStyle w:val="17"/>
        <w:keepNext w:val="0"/>
        <w:keepLines w:val="0"/>
        <w:pageBreakBefore w:val="0"/>
        <w:widowControl w:val="0"/>
        <w:kinsoku/>
        <w:wordWrap/>
        <w:overflowPunct/>
        <w:topLinePunct w:val="0"/>
        <w:autoSpaceDE/>
        <w:autoSpaceDN/>
        <w:bidi w:val="0"/>
        <w:adjustRightInd/>
        <w:snapToGrid/>
        <w:spacing w:after="0" w:line="240" w:lineRule="auto"/>
        <w:ind w:left="0" w:leftChars="0" w:firstLine="1288" w:firstLineChars="400"/>
        <w:jc w:val="both"/>
        <w:textAlignment w:val="auto"/>
        <w:rPr>
          <w:rFonts w:hint="eastAsia" w:ascii="仿宋" w:hAnsi="仿宋" w:eastAsia="仿宋" w:cs="仿宋"/>
          <w:color w:val="auto"/>
          <w:sz w:val="32"/>
          <w:szCs w:val="32"/>
          <w:highlight w:val="none"/>
          <w:lang w:val="en-US"/>
        </w:rPr>
      </w:pPr>
      <w:r>
        <w:rPr>
          <w:rFonts w:hint="eastAsia" w:ascii="仿宋" w:hAnsi="仿宋" w:eastAsia="仿宋" w:cs="仿宋"/>
          <w:color w:val="auto"/>
          <w:sz w:val="32"/>
          <w:szCs w:val="32"/>
          <w:highlight w:val="none"/>
          <w:lang w:val="en-US" w:eastAsia="zh-CN"/>
        </w:rPr>
        <w:t>实施</w:t>
      </w:r>
      <w:r>
        <w:rPr>
          <w:rFonts w:hint="eastAsia" w:ascii="仿宋" w:hAnsi="仿宋" w:eastAsia="仿宋" w:cs="仿宋"/>
          <w:color w:val="auto"/>
          <w:sz w:val="32"/>
          <w:szCs w:val="32"/>
          <w:highlight w:val="none"/>
        </w:rPr>
        <w:t>单位：</w:t>
      </w:r>
      <w:r>
        <w:rPr>
          <w:rFonts w:hint="eastAsia" w:ascii="仿宋" w:hAnsi="仿宋" w:eastAsia="仿宋" w:cs="仿宋"/>
          <w:color w:val="auto"/>
          <w:sz w:val="32"/>
          <w:szCs w:val="32"/>
          <w:highlight w:val="none"/>
          <w:lang w:eastAsia="zh-CN"/>
        </w:rPr>
        <w:t>泉州市百川彩纺科技有限公司</w:t>
      </w:r>
    </w:p>
    <w:p>
      <w:pPr>
        <w:pStyle w:val="17"/>
        <w:keepNext w:val="0"/>
        <w:keepLines w:val="0"/>
        <w:pageBreakBefore w:val="0"/>
        <w:widowControl w:val="0"/>
        <w:kinsoku/>
        <w:wordWrap/>
        <w:overflowPunct/>
        <w:topLinePunct w:val="0"/>
        <w:autoSpaceDE/>
        <w:autoSpaceDN/>
        <w:bidi w:val="0"/>
        <w:adjustRightInd/>
        <w:snapToGrid/>
        <w:spacing w:after="0" w:line="240" w:lineRule="auto"/>
        <w:ind w:left="0" w:leftChars="0" w:firstLine="1288" w:firstLineChars="400"/>
        <w:textAlignment w:val="auto"/>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rPr>
        <w:t>编制单位：泉州市招标咨询中心</w:t>
      </w:r>
      <w:r>
        <w:rPr>
          <w:rFonts w:hint="eastAsia" w:ascii="仿宋" w:hAnsi="仿宋" w:eastAsia="仿宋" w:cs="仿宋"/>
          <w:color w:val="auto"/>
          <w:sz w:val="32"/>
          <w:szCs w:val="32"/>
          <w:highlight w:val="none"/>
          <w:lang w:val="en-US" w:eastAsia="zh-CN"/>
        </w:rPr>
        <w:t>有限公司</w:t>
      </w:r>
    </w:p>
    <w:p>
      <w:pPr>
        <w:pStyle w:val="17"/>
        <w:keepNext w:val="0"/>
        <w:keepLines w:val="0"/>
        <w:pageBreakBefore w:val="0"/>
        <w:widowControl w:val="0"/>
        <w:kinsoku/>
        <w:wordWrap/>
        <w:overflowPunct/>
        <w:topLinePunct w:val="0"/>
        <w:autoSpaceDE/>
        <w:autoSpaceDN/>
        <w:bidi w:val="0"/>
        <w:adjustRightInd/>
        <w:snapToGrid/>
        <w:spacing w:after="0" w:line="240" w:lineRule="auto"/>
        <w:ind w:left="0" w:leftChars="0" w:firstLine="742" w:firstLineChars="350"/>
        <w:textAlignment w:val="auto"/>
        <w:rPr>
          <w:rFonts w:hint="eastAsia" w:ascii="仿宋" w:hAnsi="仿宋" w:eastAsia="仿宋" w:cs="仿宋"/>
          <w:color w:val="auto"/>
          <w:sz w:val="21"/>
          <w:szCs w:val="21"/>
          <w:highlight w:val="none"/>
          <w:lang w:val="en-US" w:eastAsia="zh-CN"/>
        </w:rPr>
      </w:pPr>
    </w:p>
    <w:p>
      <w:pPr>
        <w:pStyle w:val="9"/>
        <w:keepNext w:val="0"/>
        <w:pageBreakBefore w:val="0"/>
        <w:kinsoku/>
        <w:topLinePunct w:val="0"/>
        <w:bidi w:val="0"/>
        <w:spacing w:line="240" w:lineRule="auto"/>
        <w:ind w:leftChars="0"/>
        <w:jc w:val="center"/>
        <w:rPr>
          <w:rFonts w:hint="eastAsia" w:ascii="仿宋" w:hAnsi="仿宋" w:eastAsia="仿宋" w:cs="仿宋"/>
          <w:color w:val="auto"/>
          <w:highlight w:val="none"/>
        </w:rPr>
        <w:sectPr>
          <w:headerReference r:id="rId3" w:type="default"/>
          <w:footerReference r:id="rId4" w:type="default"/>
          <w:pgSz w:w="11906" w:h="16838"/>
          <w:pgMar w:top="1440" w:right="1474" w:bottom="1440" w:left="1587" w:header="850" w:footer="992" w:gutter="0"/>
          <w:pgBorders>
            <w:top w:val="none" w:sz="0" w:space="0"/>
            <w:left w:val="none" w:sz="0" w:space="0"/>
            <w:bottom w:val="none" w:sz="0" w:space="0"/>
            <w:right w:val="none" w:sz="0" w:space="0"/>
          </w:pgBorders>
          <w:pgNumType w:fmt="decimal" w:start="1"/>
          <w:cols w:space="0" w:num="1"/>
          <w:docGrid w:type="linesAndChars" w:linePitch="360" w:charSpace="462"/>
        </w:sectPr>
      </w:pPr>
      <w:r>
        <w:rPr>
          <w:rFonts w:hint="eastAsia" w:ascii="仿宋" w:hAnsi="仿宋" w:eastAsia="仿宋" w:cs="仿宋"/>
          <w:color w:val="auto"/>
          <w:sz w:val="32"/>
          <w:szCs w:val="32"/>
          <w:highlight w:val="none"/>
        </w:rPr>
        <w:t>202</w:t>
      </w:r>
      <w:r>
        <w:rPr>
          <w:rFonts w:hint="eastAsia" w:ascii="仿宋" w:hAnsi="仿宋" w:eastAsia="仿宋" w:cs="仿宋"/>
          <w:color w:val="auto"/>
          <w:sz w:val="32"/>
          <w:szCs w:val="32"/>
          <w:highlight w:val="none"/>
          <w:lang w:val="en-US" w:eastAsia="zh-CN"/>
        </w:rPr>
        <w:t>3</w:t>
      </w:r>
      <w:r>
        <w:rPr>
          <w:rFonts w:hint="eastAsia" w:ascii="仿宋" w:hAnsi="仿宋" w:eastAsia="仿宋" w:cs="仿宋"/>
          <w:color w:val="auto"/>
          <w:sz w:val="32"/>
          <w:szCs w:val="32"/>
          <w:highlight w:val="none"/>
        </w:rPr>
        <w:t>年</w:t>
      </w:r>
      <w:r>
        <w:rPr>
          <w:rFonts w:hint="eastAsia" w:ascii="仿宋" w:hAnsi="仿宋" w:eastAsia="仿宋" w:cs="仿宋"/>
          <w:color w:val="auto"/>
          <w:sz w:val="32"/>
          <w:szCs w:val="32"/>
          <w:highlight w:val="none"/>
          <w:lang w:val="en-US" w:eastAsia="zh-CN"/>
        </w:rPr>
        <w:t>6</w:t>
      </w:r>
      <w:r>
        <w:rPr>
          <w:rFonts w:hint="eastAsia" w:ascii="仿宋" w:hAnsi="仿宋" w:eastAsia="仿宋" w:cs="仿宋"/>
          <w:color w:val="auto"/>
          <w:sz w:val="32"/>
          <w:szCs w:val="32"/>
          <w:highlight w:val="none"/>
        </w:rPr>
        <w:t>月</w:t>
      </w:r>
      <w:r>
        <w:rPr>
          <w:rFonts w:hint="eastAsia" w:ascii="仿宋" w:hAnsi="仿宋" w:eastAsia="仿宋" w:cs="仿宋"/>
          <w:b/>
          <w:color w:val="auto"/>
          <w:kern w:val="2"/>
          <w:sz w:val="44"/>
          <w:szCs w:val="44"/>
          <w:highlight w:val="none"/>
          <w:lang w:val="en-US" w:eastAsia="zh-CN" w:bidi="ar-SA"/>
        </w:rPr>
        <w:br w:type="page"/>
      </w:r>
    </w:p>
    <w:sdt>
      <w:sdtPr>
        <w:rPr>
          <w:rFonts w:hint="eastAsia" w:ascii="仿宋" w:hAnsi="仿宋" w:eastAsia="仿宋" w:cs="仿宋"/>
          <w:kern w:val="2"/>
          <w:sz w:val="24"/>
          <w:szCs w:val="24"/>
          <w:lang w:val="en-US" w:eastAsia="zh-CN" w:bidi="ar-SA"/>
        </w:rPr>
        <w:id w:val="147456807"/>
        <w15:color w:val="DBDBDB"/>
        <w:docPartObj>
          <w:docPartGallery w:val="Table of Contents"/>
          <w:docPartUnique/>
        </w:docPartObj>
      </w:sdtPr>
      <w:sdtEndPr>
        <w:rPr>
          <w:rFonts w:hint="eastAsia" w:ascii="仿宋" w:hAnsi="仿宋" w:eastAsia="仿宋" w:cs="仿宋"/>
          <w:kern w:val="2"/>
          <w:sz w:val="24"/>
          <w:szCs w:val="24"/>
          <w:lang w:val="en-US" w:eastAsia="zh-CN" w:bidi="ar-SA"/>
        </w:rPr>
      </w:sdtEndPr>
      <w:sdtContent>
        <w:p>
          <w:pPr>
            <w:spacing w:before="0" w:beforeLines="0" w:after="0" w:afterLines="0" w:line="240" w:lineRule="auto"/>
            <w:ind w:left="0" w:leftChars="0" w:right="0" w:rightChars="0" w:firstLine="0" w:firstLineChars="0"/>
            <w:jc w:val="center"/>
            <w:rPr>
              <w:rFonts w:hint="eastAsia" w:ascii="仿宋" w:hAnsi="仿宋" w:eastAsia="仿宋" w:cs="仿宋"/>
              <w:b/>
              <w:bCs/>
              <w:sz w:val="28"/>
              <w:szCs w:val="28"/>
            </w:rPr>
          </w:pPr>
          <w:r>
            <w:rPr>
              <w:rFonts w:hint="eastAsia" w:ascii="仿宋" w:hAnsi="仿宋" w:eastAsia="仿宋" w:cs="仿宋"/>
              <w:b/>
              <w:bCs/>
              <w:sz w:val="28"/>
              <w:szCs w:val="28"/>
            </w:rPr>
            <w:t>目</w:t>
          </w:r>
          <w:r>
            <w:rPr>
              <w:rFonts w:hint="eastAsia" w:ascii="仿宋" w:hAnsi="仿宋" w:eastAsia="仿宋" w:cs="仿宋"/>
              <w:b/>
              <w:bCs/>
              <w:sz w:val="28"/>
              <w:szCs w:val="28"/>
              <w:lang w:val="en-US" w:eastAsia="zh-CN"/>
            </w:rPr>
            <w:t xml:space="preserve"> </w:t>
          </w:r>
          <w:r>
            <w:rPr>
              <w:rFonts w:hint="eastAsia" w:ascii="仿宋" w:hAnsi="仿宋" w:eastAsia="仿宋" w:cs="仿宋"/>
              <w:b/>
              <w:bCs/>
              <w:sz w:val="28"/>
              <w:szCs w:val="28"/>
            </w:rPr>
            <w:t>录</w:t>
          </w:r>
        </w:p>
        <w:p>
          <w:pPr>
            <w:pStyle w:val="14"/>
            <w:tabs>
              <w:tab w:val="right" w:leader="dot" w:pos="9134"/>
            </w:tabs>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TOC \o "1-3" \h \u </w:instrText>
          </w:r>
          <w:r>
            <w:rPr>
              <w:rFonts w:hint="eastAsia" w:ascii="仿宋" w:hAnsi="仿宋" w:eastAsia="仿宋" w:cs="仿宋"/>
              <w:sz w:val="24"/>
              <w:szCs w:val="24"/>
            </w:rPr>
            <w:fldChar w:fldCharType="separate"/>
          </w:r>
          <w:r>
            <w:rPr>
              <w:rFonts w:hint="eastAsia" w:ascii="仿宋" w:hAnsi="仿宋" w:eastAsia="仿宋" w:cs="仿宋"/>
              <w:szCs w:val="24"/>
            </w:rPr>
            <w:fldChar w:fldCharType="begin"/>
          </w:r>
          <w:r>
            <w:rPr>
              <w:rFonts w:hint="eastAsia" w:ascii="仿宋" w:hAnsi="仿宋" w:eastAsia="仿宋" w:cs="仿宋"/>
              <w:szCs w:val="24"/>
            </w:rPr>
            <w:instrText xml:space="preserve"> HYPERLINK \l _Toc24038 </w:instrText>
          </w:r>
          <w:r>
            <w:rPr>
              <w:rFonts w:hint="eastAsia" w:ascii="仿宋" w:hAnsi="仿宋" w:eastAsia="仿宋" w:cs="仿宋"/>
              <w:szCs w:val="24"/>
            </w:rPr>
            <w:fldChar w:fldCharType="separate"/>
          </w:r>
          <w:r>
            <w:rPr>
              <w:rFonts w:hint="eastAsia" w:ascii="黑体" w:hAnsi="黑体" w:eastAsia="黑体" w:cs="黑体"/>
              <w:bCs/>
              <w:szCs w:val="28"/>
            </w:rPr>
            <w:t>一、基本情况</w:t>
          </w:r>
          <w:r>
            <w:tab/>
          </w:r>
          <w:r>
            <w:fldChar w:fldCharType="begin"/>
          </w:r>
          <w:r>
            <w:instrText xml:space="preserve"> PAGEREF _Toc24038 \h </w:instrText>
          </w:r>
          <w:r>
            <w:fldChar w:fldCharType="separate"/>
          </w:r>
          <w:r>
            <w:t>2</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_Toc12267 </w:instrText>
          </w:r>
          <w:r>
            <w:rPr>
              <w:rFonts w:hint="eastAsia" w:ascii="仿宋" w:hAnsi="仿宋" w:eastAsia="仿宋" w:cs="仿宋"/>
              <w:szCs w:val="24"/>
            </w:rPr>
            <w:fldChar w:fldCharType="separate"/>
          </w:r>
          <w:r>
            <w:rPr>
              <w:rFonts w:hint="eastAsia" w:ascii="楷体" w:hAnsi="楷体" w:eastAsia="楷体" w:cs="楷体"/>
              <w:bCs/>
              <w:szCs w:val="28"/>
            </w:rPr>
            <w:t>（一）项目</w:t>
          </w:r>
          <w:r>
            <w:rPr>
              <w:rFonts w:hint="eastAsia" w:ascii="楷体" w:hAnsi="楷体" w:eastAsia="楷体" w:cs="楷体"/>
              <w:bCs/>
              <w:szCs w:val="28"/>
              <w:lang w:val="en-US" w:eastAsia="zh-CN"/>
            </w:rPr>
            <w:t>背景</w:t>
          </w:r>
          <w:r>
            <w:tab/>
          </w:r>
          <w:r>
            <w:fldChar w:fldCharType="begin"/>
          </w:r>
          <w:r>
            <w:instrText xml:space="preserve"> PAGEREF _Toc12267 \h </w:instrText>
          </w:r>
          <w:r>
            <w:fldChar w:fldCharType="separate"/>
          </w:r>
          <w:r>
            <w:t>2</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_Toc10080 </w:instrText>
          </w:r>
          <w:r>
            <w:rPr>
              <w:rFonts w:hint="eastAsia" w:ascii="仿宋" w:hAnsi="仿宋" w:eastAsia="仿宋" w:cs="仿宋"/>
              <w:szCs w:val="24"/>
            </w:rPr>
            <w:fldChar w:fldCharType="separate"/>
          </w:r>
          <w:r>
            <w:rPr>
              <w:rFonts w:hint="eastAsia" w:ascii="楷体" w:hAnsi="楷体" w:eastAsia="楷体" w:cs="楷体"/>
              <w:bCs/>
              <w:kern w:val="2"/>
              <w:szCs w:val="28"/>
              <w:lang w:val="en-US" w:eastAsia="zh-CN" w:bidi="ar-SA"/>
            </w:rPr>
            <w:t>（二）项目基本信息</w:t>
          </w:r>
          <w:r>
            <w:tab/>
          </w:r>
          <w:r>
            <w:fldChar w:fldCharType="begin"/>
          </w:r>
          <w:r>
            <w:instrText xml:space="preserve"> PAGEREF _Toc10080 \h </w:instrText>
          </w:r>
          <w:r>
            <w:fldChar w:fldCharType="separate"/>
          </w:r>
          <w:r>
            <w:t>2</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_Toc20199 </w:instrText>
          </w:r>
          <w:r>
            <w:rPr>
              <w:rFonts w:hint="eastAsia" w:ascii="仿宋" w:hAnsi="仿宋" w:eastAsia="仿宋" w:cs="仿宋"/>
              <w:szCs w:val="24"/>
            </w:rPr>
            <w:fldChar w:fldCharType="separate"/>
          </w:r>
          <w:r>
            <w:rPr>
              <w:rFonts w:hint="eastAsia" w:ascii="楷体" w:hAnsi="楷体" w:eastAsia="楷体" w:cs="楷体"/>
              <w:bCs/>
              <w:kern w:val="2"/>
              <w:szCs w:val="28"/>
              <w:lang w:val="en-US" w:eastAsia="zh-CN" w:bidi="ar-SA"/>
            </w:rPr>
            <w:t>（三）项目实施情况</w:t>
          </w:r>
          <w:r>
            <w:tab/>
          </w:r>
          <w:r>
            <w:fldChar w:fldCharType="begin"/>
          </w:r>
          <w:r>
            <w:instrText xml:space="preserve"> PAGEREF _Toc20199 \h </w:instrText>
          </w:r>
          <w:r>
            <w:fldChar w:fldCharType="separate"/>
          </w:r>
          <w:r>
            <w:t>3</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_Toc27469 </w:instrText>
          </w:r>
          <w:r>
            <w:rPr>
              <w:rFonts w:hint="eastAsia" w:ascii="仿宋" w:hAnsi="仿宋" w:eastAsia="仿宋" w:cs="仿宋"/>
              <w:szCs w:val="24"/>
            </w:rPr>
            <w:fldChar w:fldCharType="separate"/>
          </w:r>
          <w:r>
            <w:rPr>
              <w:rFonts w:hint="eastAsia" w:ascii="仿宋" w:hAnsi="仿宋" w:eastAsia="仿宋" w:cs="仿宋"/>
              <w:bCs/>
              <w:szCs w:val="28"/>
              <w:lang w:val="en-US" w:eastAsia="zh-CN"/>
            </w:rPr>
            <w:t>1.前期手续</w:t>
          </w:r>
          <w:r>
            <w:tab/>
          </w:r>
          <w:r>
            <w:fldChar w:fldCharType="begin"/>
          </w:r>
          <w:r>
            <w:instrText xml:space="preserve"> PAGEREF _Toc27469 \h </w:instrText>
          </w:r>
          <w:r>
            <w:fldChar w:fldCharType="separate"/>
          </w:r>
          <w:r>
            <w:t>3</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_Toc26398 </w:instrText>
          </w:r>
          <w:r>
            <w:rPr>
              <w:rFonts w:hint="eastAsia" w:ascii="仿宋" w:hAnsi="仿宋" w:eastAsia="仿宋" w:cs="仿宋"/>
              <w:szCs w:val="24"/>
            </w:rPr>
            <w:fldChar w:fldCharType="separate"/>
          </w:r>
          <w:r>
            <w:rPr>
              <w:rFonts w:hint="eastAsia" w:ascii="仿宋" w:hAnsi="仿宋" w:eastAsia="仿宋" w:cs="仿宋"/>
              <w:bCs/>
              <w:szCs w:val="28"/>
              <w:lang w:val="en-US" w:eastAsia="zh-CN"/>
            </w:rPr>
            <w:t>2.项目进度</w:t>
          </w:r>
          <w:r>
            <w:tab/>
          </w:r>
          <w:r>
            <w:fldChar w:fldCharType="begin"/>
          </w:r>
          <w:r>
            <w:instrText xml:space="preserve"> PAGEREF _Toc26398 \h </w:instrText>
          </w:r>
          <w:r>
            <w:fldChar w:fldCharType="separate"/>
          </w:r>
          <w:r>
            <w:t>4</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_Toc8914 </w:instrText>
          </w:r>
          <w:r>
            <w:rPr>
              <w:rFonts w:hint="eastAsia" w:ascii="仿宋" w:hAnsi="仿宋" w:eastAsia="仿宋" w:cs="仿宋"/>
              <w:szCs w:val="24"/>
            </w:rPr>
            <w:fldChar w:fldCharType="separate"/>
          </w:r>
          <w:r>
            <w:rPr>
              <w:rFonts w:hint="eastAsia" w:ascii="仿宋" w:hAnsi="仿宋" w:eastAsia="仿宋" w:cs="仿宋"/>
              <w:bCs/>
              <w:szCs w:val="28"/>
              <w:lang w:val="en-US" w:eastAsia="zh-CN"/>
            </w:rPr>
            <w:t>3.资金投入</w:t>
          </w:r>
          <w:r>
            <w:rPr>
              <w:rFonts w:hint="eastAsia" w:ascii="仿宋" w:hAnsi="仿宋" w:eastAsia="仿宋" w:cs="仿宋"/>
              <w:bCs/>
              <w:szCs w:val="28"/>
            </w:rPr>
            <w:t>情况</w:t>
          </w:r>
          <w:r>
            <w:tab/>
          </w:r>
          <w:r>
            <w:fldChar w:fldCharType="begin"/>
          </w:r>
          <w:r>
            <w:instrText xml:space="preserve"> PAGEREF _Toc8914 \h </w:instrText>
          </w:r>
          <w:r>
            <w:fldChar w:fldCharType="separate"/>
          </w:r>
          <w:r>
            <w:t>4</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_Toc15278 </w:instrText>
          </w:r>
          <w:r>
            <w:rPr>
              <w:rFonts w:hint="eastAsia" w:ascii="仿宋" w:hAnsi="仿宋" w:eastAsia="仿宋" w:cs="仿宋"/>
              <w:szCs w:val="24"/>
            </w:rPr>
            <w:fldChar w:fldCharType="separate"/>
          </w:r>
          <w:r>
            <w:rPr>
              <w:rFonts w:hint="eastAsia" w:ascii="仿宋" w:hAnsi="仿宋" w:eastAsia="仿宋" w:cs="仿宋"/>
              <w:bCs/>
              <w:szCs w:val="28"/>
              <w:lang w:val="en-US" w:eastAsia="zh-CN"/>
            </w:rPr>
            <w:t>4.资金使用情况</w:t>
          </w:r>
          <w:r>
            <w:tab/>
          </w:r>
          <w:r>
            <w:fldChar w:fldCharType="begin"/>
          </w:r>
          <w:r>
            <w:instrText xml:space="preserve"> PAGEREF _Toc15278 \h </w:instrText>
          </w:r>
          <w:r>
            <w:fldChar w:fldCharType="separate"/>
          </w:r>
          <w:r>
            <w:t>4</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_Toc16607 </w:instrText>
          </w:r>
          <w:r>
            <w:rPr>
              <w:rFonts w:hint="eastAsia" w:ascii="仿宋" w:hAnsi="仿宋" w:eastAsia="仿宋" w:cs="仿宋"/>
              <w:szCs w:val="24"/>
            </w:rPr>
            <w:fldChar w:fldCharType="separate"/>
          </w:r>
          <w:r>
            <w:rPr>
              <w:rFonts w:hint="eastAsia" w:ascii="楷体" w:hAnsi="楷体" w:eastAsia="楷体" w:cs="楷体"/>
              <w:bCs/>
              <w:kern w:val="2"/>
              <w:szCs w:val="28"/>
              <w:lang w:val="en-US" w:eastAsia="zh-CN" w:bidi="ar-SA"/>
            </w:rPr>
            <w:t>（四）项目绩效目标</w:t>
          </w:r>
          <w:r>
            <w:tab/>
          </w:r>
          <w:r>
            <w:fldChar w:fldCharType="begin"/>
          </w:r>
          <w:r>
            <w:instrText xml:space="preserve"> PAGEREF _Toc16607 \h </w:instrText>
          </w:r>
          <w:r>
            <w:fldChar w:fldCharType="separate"/>
          </w:r>
          <w:r>
            <w:t>4</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_Toc26350 </w:instrText>
          </w:r>
          <w:r>
            <w:rPr>
              <w:rFonts w:hint="eastAsia" w:ascii="仿宋" w:hAnsi="仿宋" w:eastAsia="仿宋" w:cs="仿宋"/>
              <w:szCs w:val="24"/>
            </w:rPr>
            <w:fldChar w:fldCharType="separate"/>
          </w:r>
          <w:r>
            <w:rPr>
              <w:rFonts w:hint="eastAsia" w:ascii="仿宋" w:hAnsi="仿宋" w:eastAsia="仿宋" w:cs="仿宋"/>
              <w:bCs/>
              <w:szCs w:val="28"/>
              <w:lang w:val="en-US" w:eastAsia="zh-CN"/>
            </w:rPr>
            <w:t>1.总体目标</w:t>
          </w:r>
          <w:r>
            <w:tab/>
          </w:r>
          <w:r>
            <w:fldChar w:fldCharType="begin"/>
          </w:r>
          <w:r>
            <w:instrText xml:space="preserve"> PAGEREF _Toc26350 \h </w:instrText>
          </w:r>
          <w:r>
            <w:fldChar w:fldCharType="separate"/>
          </w:r>
          <w:r>
            <w:t>5</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_Toc9481 </w:instrText>
          </w:r>
          <w:r>
            <w:rPr>
              <w:rFonts w:hint="eastAsia" w:ascii="仿宋" w:hAnsi="仿宋" w:eastAsia="仿宋" w:cs="仿宋"/>
              <w:szCs w:val="24"/>
            </w:rPr>
            <w:fldChar w:fldCharType="separate"/>
          </w:r>
          <w:r>
            <w:rPr>
              <w:rFonts w:hint="eastAsia" w:ascii="仿宋" w:hAnsi="仿宋" w:eastAsia="仿宋" w:cs="仿宋"/>
              <w:bCs/>
              <w:szCs w:val="28"/>
              <w:lang w:val="en-US" w:eastAsia="zh-CN"/>
            </w:rPr>
            <w:t>2.具体</w:t>
          </w:r>
          <w:r>
            <w:rPr>
              <w:rFonts w:hint="eastAsia" w:ascii="仿宋" w:hAnsi="仿宋" w:eastAsia="仿宋" w:cs="仿宋"/>
              <w:bCs/>
              <w:szCs w:val="28"/>
            </w:rPr>
            <w:t>目标</w:t>
          </w:r>
          <w:r>
            <w:tab/>
          </w:r>
          <w:r>
            <w:fldChar w:fldCharType="begin"/>
          </w:r>
          <w:r>
            <w:instrText xml:space="preserve"> PAGEREF _Toc9481 \h </w:instrText>
          </w:r>
          <w:r>
            <w:fldChar w:fldCharType="separate"/>
          </w:r>
          <w:r>
            <w:t>5</w:t>
          </w:r>
          <w:r>
            <w:fldChar w:fldCharType="end"/>
          </w:r>
          <w:r>
            <w:rPr>
              <w:rFonts w:hint="eastAsia" w:ascii="仿宋" w:hAnsi="仿宋" w:eastAsia="仿宋" w:cs="仿宋"/>
              <w:szCs w:val="24"/>
            </w:rPr>
            <w:fldChar w:fldCharType="end"/>
          </w:r>
        </w:p>
        <w:p>
          <w:pPr>
            <w:pStyle w:val="14"/>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_Toc9809 </w:instrText>
          </w:r>
          <w:r>
            <w:rPr>
              <w:rFonts w:hint="eastAsia" w:ascii="仿宋" w:hAnsi="仿宋" w:eastAsia="仿宋" w:cs="仿宋"/>
              <w:szCs w:val="24"/>
            </w:rPr>
            <w:fldChar w:fldCharType="separate"/>
          </w:r>
          <w:r>
            <w:rPr>
              <w:rFonts w:hint="eastAsia" w:ascii="黑体" w:hAnsi="黑体" w:eastAsia="黑体" w:cs="黑体"/>
              <w:bCs/>
              <w:szCs w:val="28"/>
            </w:rPr>
            <w:t>二、绩效评价工作开展情况</w:t>
          </w:r>
          <w:r>
            <w:tab/>
          </w:r>
          <w:r>
            <w:fldChar w:fldCharType="begin"/>
          </w:r>
          <w:r>
            <w:instrText xml:space="preserve"> PAGEREF _Toc9809 \h </w:instrText>
          </w:r>
          <w:r>
            <w:fldChar w:fldCharType="separate"/>
          </w:r>
          <w:r>
            <w:t>5</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_Toc19044 </w:instrText>
          </w:r>
          <w:r>
            <w:rPr>
              <w:rFonts w:hint="eastAsia" w:ascii="仿宋" w:hAnsi="仿宋" w:eastAsia="仿宋" w:cs="仿宋"/>
              <w:szCs w:val="24"/>
            </w:rPr>
            <w:fldChar w:fldCharType="separate"/>
          </w:r>
          <w:r>
            <w:rPr>
              <w:rFonts w:hint="eastAsia" w:ascii="楷体" w:hAnsi="楷体" w:eastAsia="楷体" w:cs="楷体"/>
              <w:bCs/>
              <w:kern w:val="2"/>
              <w:szCs w:val="28"/>
              <w:lang w:val="en-US" w:eastAsia="zh-CN" w:bidi="ar-SA"/>
            </w:rPr>
            <w:t>（一）绩效评价目的</w:t>
          </w:r>
          <w:r>
            <w:tab/>
          </w:r>
          <w:r>
            <w:fldChar w:fldCharType="begin"/>
          </w:r>
          <w:r>
            <w:instrText xml:space="preserve"> PAGEREF _Toc19044 \h </w:instrText>
          </w:r>
          <w:r>
            <w:fldChar w:fldCharType="separate"/>
          </w:r>
          <w:r>
            <w:t>5</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_Toc5722 </w:instrText>
          </w:r>
          <w:r>
            <w:rPr>
              <w:rFonts w:hint="eastAsia" w:ascii="仿宋" w:hAnsi="仿宋" w:eastAsia="仿宋" w:cs="仿宋"/>
              <w:szCs w:val="24"/>
            </w:rPr>
            <w:fldChar w:fldCharType="separate"/>
          </w:r>
          <w:r>
            <w:rPr>
              <w:rFonts w:hint="eastAsia" w:ascii="楷体" w:hAnsi="楷体" w:eastAsia="楷体" w:cs="楷体"/>
              <w:bCs/>
              <w:kern w:val="2"/>
              <w:szCs w:val="28"/>
              <w:lang w:val="en-US" w:eastAsia="zh-CN" w:bidi="ar-SA"/>
            </w:rPr>
            <w:t>（二）对象和范围</w:t>
          </w:r>
          <w:r>
            <w:tab/>
          </w:r>
          <w:r>
            <w:fldChar w:fldCharType="begin"/>
          </w:r>
          <w:r>
            <w:instrText xml:space="preserve"> PAGEREF _Toc5722 \h </w:instrText>
          </w:r>
          <w:r>
            <w:fldChar w:fldCharType="separate"/>
          </w:r>
          <w:r>
            <w:t>5</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_Toc14877 </w:instrText>
          </w:r>
          <w:r>
            <w:rPr>
              <w:rFonts w:hint="eastAsia" w:ascii="仿宋" w:hAnsi="仿宋" w:eastAsia="仿宋" w:cs="仿宋"/>
              <w:szCs w:val="24"/>
            </w:rPr>
            <w:fldChar w:fldCharType="separate"/>
          </w:r>
          <w:r>
            <w:rPr>
              <w:rFonts w:hint="eastAsia" w:ascii="楷体" w:hAnsi="楷体" w:eastAsia="楷体" w:cs="楷体"/>
              <w:bCs/>
              <w:kern w:val="2"/>
              <w:szCs w:val="28"/>
              <w:lang w:val="en-US" w:eastAsia="zh-CN" w:bidi="ar-SA"/>
            </w:rPr>
            <w:t>（三）评价依据</w:t>
          </w:r>
          <w:r>
            <w:tab/>
          </w:r>
          <w:r>
            <w:fldChar w:fldCharType="begin"/>
          </w:r>
          <w:r>
            <w:instrText xml:space="preserve"> PAGEREF _Toc14877 \h </w:instrText>
          </w:r>
          <w:r>
            <w:fldChar w:fldCharType="separate"/>
          </w:r>
          <w:r>
            <w:t>6</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_Toc26452 </w:instrText>
          </w:r>
          <w:r>
            <w:rPr>
              <w:rFonts w:hint="eastAsia" w:ascii="仿宋" w:hAnsi="仿宋" w:eastAsia="仿宋" w:cs="仿宋"/>
              <w:szCs w:val="24"/>
            </w:rPr>
            <w:fldChar w:fldCharType="separate"/>
          </w:r>
          <w:r>
            <w:rPr>
              <w:rFonts w:hint="eastAsia" w:ascii="楷体" w:hAnsi="楷体" w:eastAsia="楷体" w:cs="楷体"/>
              <w:bCs/>
              <w:kern w:val="2"/>
              <w:szCs w:val="28"/>
              <w:lang w:val="en-US" w:eastAsia="zh-CN" w:bidi="ar-SA"/>
            </w:rPr>
            <w:t>（四）评价原则和评价指标体系</w:t>
          </w:r>
          <w:r>
            <w:tab/>
          </w:r>
          <w:r>
            <w:fldChar w:fldCharType="begin"/>
          </w:r>
          <w:r>
            <w:instrText xml:space="preserve"> PAGEREF _Toc26452 \h </w:instrText>
          </w:r>
          <w:r>
            <w:fldChar w:fldCharType="separate"/>
          </w:r>
          <w:r>
            <w:t>6</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_Toc18395 </w:instrText>
          </w:r>
          <w:r>
            <w:rPr>
              <w:rFonts w:hint="eastAsia" w:ascii="仿宋" w:hAnsi="仿宋" w:eastAsia="仿宋" w:cs="仿宋"/>
              <w:szCs w:val="24"/>
            </w:rPr>
            <w:fldChar w:fldCharType="separate"/>
          </w:r>
          <w:r>
            <w:rPr>
              <w:rFonts w:hint="eastAsia" w:ascii="仿宋" w:hAnsi="仿宋" w:eastAsia="仿宋" w:cs="仿宋"/>
              <w:kern w:val="0"/>
              <w:szCs w:val="28"/>
              <w:highlight w:val="none"/>
            </w:rPr>
            <w:t>1</w:t>
          </w:r>
          <w:r>
            <w:rPr>
              <w:rFonts w:hint="eastAsia" w:ascii="仿宋" w:hAnsi="仿宋" w:eastAsia="仿宋" w:cs="仿宋"/>
              <w:kern w:val="0"/>
              <w:szCs w:val="28"/>
              <w:highlight w:val="none"/>
              <w:lang w:eastAsia="zh-CN"/>
            </w:rPr>
            <w:t>.</w:t>
          </w:r>
          <w:r>
            <w:rPr>
              <w:rFonts w:hint="eastAsia" w:ascii="仿宋" w:hAnsi="仿宋" w:eastAsia="仿宋" w:cs="仿宋"/>
              <w:kern w:val="0"/>
              <w:szCs w:val="28"/>
              <w:highlight w:val="none"/>
            </w:rPr>
            <w:t>评价原则</w:t>
          </w:r>
          <w:r>
            <w:tab/>
          </w:r>
          <w:r>
            <w:fldChar w:fldCharType="begin"/>
          </w:r>
          <w:r>
            <w:instrText xml:space="preserve"> PAGEREF _Toc18395 \h </w:instrText>
          </w:r>
          <w:r>
            <w:fldChar w:fldCharType="separate"/>
          </w:r>
          <w:r>
            <w:t>6</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_Toc6318 </w:instrText>
          </w:r>
          <w:r>
            <w:rPr>
              <w:rFonts w:hint="eastAsia" w:ascii="仿宋" w:hAnsi="仿宋" w:eastAsia="仿宋" w:cs="仿宋"/>
              <w:szCs w:val="24"/>
            </w:rPr>
            <w:fldChar w:fldCharType="separate"/>
          </w:r>
          <w:r>
            <w:rPr>
              <w:rFonts w:hint="eastAsia" w:ascii="仿宋" w:hAnsi="仿宋" w:eastAsia="仿宋" w:cs="仿宋"/>
              <w:kern w:val="0"/>
              <w:szCs w:val="28"/>
              <w:highlight w:val="none"/>
            </w:rPr>
            <w:t>2</w:t>
          </w:r>
          <w:r>
            <w:rPr>
              <w:rFonts w:hint="eastAsia" w:ascii="仿宋" w:hAnsi="仿宋" w:eastAsia="仿宋" w:cs="仿宋"/>
              <w:kern w:val="0"/>
              <w:szCs w:val="28"/>
              <w:highlight w:val="none"/>
              <w:lang w:eastAsia="zh-CN"/>
            </w:rPr>
            <w:t>.</w:t>
          </w:r>
          <w:r>
            <w:rPr>
              <w:rFonts w:hint="eastAsia" w:ascii="仿宋" w:hAnsi="仿宋" w:eastAsia="仿宋" w:cs="仿宋"/>
              <w:kern w:val="0"/>
              <w:szCs w:val="28"/>
              <w:highlight w:val="none"/>
            </w:rPr>
            <w:t>绩效评价指标体系</w:t>
          </w:r>
          <w:r>
            <w:tab/>
          </w:r>
          <w:r>
            <w:fldChar w:fldCharType="begin"/>
          </w:r>
          <w:r>
            <w:instrText xml:space="preserve"> PAGEREF _Toc6318 \h </w:instrText>
          </w:r>
          <w:r>
            <w:fldChar w:fldCharType="separate"/>
          </w:r>
          <w:r>
            <w:t>7</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_Toc3635 </w:instrText>
          </w:r>
          <w:r>
            <w:rPr>
              <w:rFonts w:hint="eastAsia" w:ascii="仿宋" w:hAnsi="仿宋" w:eastAsia="仿宋" w:cs="仿宋"/>
              <w:szCs w:val="24"/>
            </w:rPr>
            <w:fldChar w:fldCharType="separate"/>
          </w:r>
          <w:r>
            <w:rPr>
              <w:rFonts w:hint="eastAsia" w:ascii="楷体" w:hAnsi="楷体" w:eastAsia="楷体" w:cs="楷体"/>
              <w:bCs/>
              <w:kern w:val="2"/>
              <w:szCs w:val="28"/>
              <w:lang w:val="en-US" w:eastAsia="zh-CN" w:bidi="ar-SA"/>
            </w:rPr>
            <w:t>（五）评价方法和评价标准</w:t>
          </w:r>
          <w:r>
            <w:tab/>
          </w:r>
          <w:r>
            <w:fldChar w:fldCharType="begin"/>
          </w:r>
          <w:r>
            <w:instrText xml:space="preserve"> PAGEREF _Toc3635 \h </w:instrText>
          </w:r>
          <w:r>
            <w:fldChar w:fldCharType="separate"/>
          </w:r>
          <w:r>
            <w:t>7</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_Toc30745 </w:instrText>
          </w:r>
          <w:r>
            <w:rPr>
              <w:rFonts w:hint="eastAsia" w:ascii="仿宋" w:hAnsi="仿宋" w:eastAsia="仿宋" w:cs="仿宋"/>
              <w:szCs w:val="24"/>
            </w:rPr>
            <w:fldChar w:fldCharType="separate"/>
          </w:r>
          <w:r>
            <w:rPr>
              <w:rFonts w:hint="eastAsia" w:ascii="仿宋" w:hAnsi="仿宋" w:eastAsia="仿宋" w:cs="仿宋"/>
              <w:kern w:val="0"/>
              <w:szCs w:val="28"/>
              <w:highlight w:val="none"/>
              <w:lang w:val="en-US" w:eastAsia="zh-CN"/>
            </w:rPr>
            <w:t>1.评价方法</w:t>
          </w:r>
          <w:r>
            <w:tab/>
          </w:r>
          <w:r>
            <w:fldChar w:fldCharType="begin"/>
          </w:r>
          <w:r>
            <w:instrText xml:space="preserve"> PAGEREF _Toc30745 \h </w:instrText>
          </w:r>
          <w:r>
            <w:fldChar w:fldCharType="separate"/>
          </w:r>
          <w:r>
            <w:t>8</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_Toc5044 </w:instrText>
          </w:r>
          <w:r>
            <w:rPr>
              <w:rFonts w:hint="eastAsia" w:ascii="仿宋" w:hAnsi="仿宋" w:eastAsia="仿宋" w:cs="仿宋"/>
              <w:szCs w:val="24"/>
            </w:rPr>
            <w:fldChar w:fldCharType="separate"/>
          </w:r>
          <w:r>
            <w:rPr>
              <w:rFonts w:hint="eastAsia" w:ascii="仿宋" w:hAnsi="仿宋" w:eastAsia="仿宋" w:cs="仿宋"/>
              <w:kern w:val="0"/>
              <w:szCs w:val="28"/>
              <w:highlight w:val="none"/>
            </w:rPr>
            <w:t>2</w:t>
          </w:r>
          <w:r>
            <w:rPr>
              <w:rFonts w:hint="eastAsia" w:ascii="仿宋" w:hAnsi="仿宋" w:eastAsia="仿宋" w:cs="仿宋"/>
              <w:kern w:val="0"/>
              <w:szCs w:val="28"/>
              <w:highlight w:val="none"/>
              <w:lang w:eastAsia="zh-CN"/>
            </w:rPr>
            <w:t>.</w:t>
          </w:r>
          <w:r>
            <w:rPr>
              <w:rFonts w:hint="eastAsia" w:ascii="仿宋" w:hAnsi="仿宋" w:eastAsia="仿宋" w:cs="仿宋"/>
              <w:kern w:val="0"/>
              <w:szCs w:val="28"/>
              <w:highlight w:val="none"/>
            </w:rPr>
            <w:t>评价标准</w:t>
          </w:r>
          <w:r>
            <w:tab/>
          </w:r>
          <w:r>
            <w:fldChar w:fldCharType="begin"/>
          </w:r>
          <w:r>
            <w:instrText xml:space="preserve"> PAGEREF _Toc5044 \h </w:instrText>
          </w:r>
          <w:r>
            <w:fldChar w:fldCharType="separate"/>
          </w:r>
          <w:r>
            <w:t>8</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_Toc19182 </w:instrText>
          </w:r>
          <w:r>
            <w:rPr>
              <w:rFonts w:hint="eastAsia" w:ascii="仿宋" w:hAnsi="仿宋" w:eastAsia="仿宋" w:cs="仿宋"/>
              <w:szCs w:val="24"/>
            </w:rPr>
            <w:fldChar w:fldCharType="separate"/>
          </w:r>
          <w:r>
            <w:rPr>
              <w:rFonts w:hint="eastAsia" w:ascii="楷体" w:hAnsi="楷体" w:eastAsia="楷体" w:cs="楷体"/>
              <w:bCs/>
              <w:kern w:val="2"/>
              <w:szCs w:val="28"/>
              <w:lang w:val="en-US" w:eastAsia="zh-CN" w:bidi="ar-SA"/>
            </w:rPr>
            <w:t>（六）绩效评价实施过程</w:t>
          </w:r>
          <w:r>
            <w:tab/>
          </w:r>
          <w:r>
            <w:fldChar w:fldCharType="begin"/>
          </w:r>
          <w:r>
            <w:instrText xml:space="preserve"> PAGEREF _Toc19182 \h </w:instrText>
          </w:r>
          <w:r>
            <w:fldChar w:fldCharType="separate"/>
          </w:r>
          <w:r>
            <w:t>8</w:t>
          </w:r>
          <w:r>
            <w:fldChar w:fldCharType="end"/>
          </w:r>
          <w:r>
            <w:rPr>
              <w:rFonts w:hint="eastAsia" w:ascii="仿宋" w:hAnsi="仿宋" w:eastAsia="仿宋" w:cs="仿宋"/>
              <w:szCs w:val="24"/>
            </w:rPr>
            <w:fldChar w:fldCharType="end"/>
          </w:r>
        </w:p>
        <w:p>
          <w:pPr>
            <w:pStyle w:val="14"/>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_Toc1362 </w:instrText>
          </w:r>
          <w:r>
            <w:rPr>
              <w:rFonts w:hint="eastAsia" w:ascii="仿宋" w:hAnsi="仿宋" w:eastAsia="仿宋" w:cs="仿宋"/>
              <w:szCs w:val="24"/>
            </w:rPr>
            <w:fldChar w:fldCharType="separate"/>
          </w:r>
          <w:r>
            <w:rPr>
              <w:rFonts w:hint="eastAsia" w:ascii="黑体" w:hAnsi="黑体" w:eastAsia="黑体" w:cs="黑体"/>
              <w:bCs/>
              <w:szCs w:val="28"/>
            </w:rPr>
            <w:t>三、综合评价情况及评价结论</w:t>
          </w:r>
          <w:r>
            <w:tab/>
          </w:r>
          <w:r>
            <w:fldChar w:fldCharType="begin"/>
          </w:r>
          <w:r>
            <w:instrText xml:space="preserve"> PAGEREF _Toc1362 \h </w:instrText>
          </w:r>
          <w:r>
            <w:fldChar w:fldCharType="separate"/>
          </w:r>
          <w:r>
            <w:t>9</w:t>
          </w:r>
          <w:r>
            <w:fldChar w:fldCharType="end"/>
          </w:r>
          <w:r>
            <w:rPr>
              <w:rFonts w:hint="eastAsia" w:ascii="仿宋" w:hAnsi="仿宋" w:eastAsia="仿宋" w:cs="仿宋"/>
              <w:szCs w:val="24"/>
            </w:rPr>
            <w:fldChar w:fldCharType="end"/>
          </w:r>
        </w:p>
        <w:p>
          <w:pPr>
            <w:pStyle w:val="14"/>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_Toc31583 </w:instrText>
          </w:r>
          <w:r>
            <w:rPr>
              <w:rFonts w:hint="eastAsia" w:ascii="仿宋" w:hAnsi="仿宋" w:eastAsia="仿宋" w:cs="仿宋"/>
              <w:szCs w:val="24"/>
            </w:rPr>
            <w:fldChar w:fldCharType="separate"/>
          </w:r>
          <w:r>
            <w:rPr>
              <w:rFonts w:hint="eastAsia" w:ascii="黑体" w:hAnsi="黑体" w:eastAsia="黑体" w:cs="黑体"/>
              <w:bCs/>
              <w:szCs w:val="28"/>
            </w:rPr>
            <w:t>四、绩效评价指标分析</w:t>
          </w:r>
          <w:r>
            <w:tab/>
          </w:r>
          <w:r>
            <w:fldChar w:fldCharType="begin"/>
          </w:r>
          <w:r>
            <w:instrText xml:space="preserve"> PAGEREF _Toc31583 \h </w:instrText>
          </w:r>
          <w:r>
            <w:fldChar w:fldCharType="separate"/>
          </w:r>
          <w:r>
            <w:t>10</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_Toc6463 </w:instrText>
          </w:r>
          <w:r>
            <w:rPr>
              <w:rFonts w:hint="eastAsia" w:ascii="仿宋" w:hAnsi="仿宋" w:eastAsia="仿宋" w:cs="仿宋"/>
              <w:szCs w:val="24"/>
            </w:rPr>
            <w:fldChar w:fldCharType="separate"/>
          </w:r>
          <w:r>
            <w:rPr>
              <w:rFonts w:hint="eastAsia" w:ascii="楷体" w:hAnsi="楷体" w:eastAsia="楷体" w:cs="楷体"/>
              <w:bCs/>
              <w:kern w:val="2"/>
              <w:szCs w:val="28"/>
              <w:lang w:val="en-US" w:eastAsia="zh-CN" w:bidi="ar-SA"/>
            </w:rPr>
            <w:t>（一）项目决策情况</w:t>
          </w:r>
          <w:r>
            <w:tab/>
          </w:r>
          <w:r>
            <w:fldChar w:fldCharType="begin"/>
          </w:r>
          <w:r>
            <w:instrText xml:space="preserve"> PAGEREF _Toc6463 \h </w:instrText>
          </w:r>
          <w:r>
            <w:fldChar w:fldCharType="separate"/>
          </w:r>
          <w:r>
            <w:t>11</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_Toc12407 </w:instrText>
          </w:r>
          <w:r>
            <w:rPr>
              <w:rFonts w:hint="eastAsia" w:ascii="仿宋" w:hAnsi="仿宋" w:eastAsia="仿宋" w:cs="仿宋"/>
              <w:szCs w:val="24"/>
            </w:rPr>
            <w:fldChar w:fldCharType="separate"/>
          </w:r>
          <w:r>
            <w:rPr>
              <w:rFonts w:hint="eastAsia" w:ascii="仿宋" w:hAnsi="仿宋" w:eastAsia="仿宋" w:cs="仿宋"/>
              <w:bCs/>
              <w:szCs w:val="28"/>
            </w:rPr>
            <w:t>1.项目立项分析</w:t>
          </w:r>
          <w:r>
            <w:tab/>
          </w:r>
          <w:r>
            <w:fldChar w:fldCharType="begin"/>
          </w:r>
          <w:r>
            <w:instrText xml:space="preserve"> PAGEREF _Toc12407 \h </w:instrText>
          </w:r>
          <w:r>
            <w:fldChar w:fldCharType="separate"/>
          </w:r>
          <w:r>
            <w:t>11</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_Toc1394 </w:instrText>
          </w:r>
          <w:r>
            <w:rPr>
              <w:rFonts w:hint="eastAsia" w:ascii="仿宋" w:hAnsi="仿宋" w:eastAsia="仿宋" w:cs="仿宋"/>
              <w:szCs w:val="24"/>
            </w:rPr>
            <w:fldChar w:fldCharType="separate"/>
          </w:r>
          <w:r>
            <w:rPr>
              <w:rFonts w:hint="eastAsia" w:ascii="仿宋" w:hAnsi="仿宋" w:eastAsia="仿宋" w:cs="仿宋"/>
              <w:bCs/>
              <w:szCs w:val="28"/>
            </w:rPr>
            <w:t>2.绩效目标分析</w:t>
          </w:r>
          <w:r>
            <w:tab/>
          </w:r>
          <w:r>
            <w:fldChar w:fldCharType="begin"/>
          </w:r>
          <w:r>
            <w:instrText xml:space="preserve"> PAGEREF _Toc1394 \h </w:instrText>
          </w:r>
          <w:r>
            <w:fldChar w:fldCharType="separate"/>
          </w:r>
          <w:r>
            <w:t>12</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_Toc12040 </w:instrText>
          </w:r>
          <w:r>
            <w:rPr>
              <w:rFonts w:hint="eastAsia" w:ascii="仿宋" w:hAnsi="仿宋" w:eastAsia="仿宋" w:cs="仿宋"/>
              <w:szCs w:val="24"/>
            </w:rPr>
            <w:fldChar w:fldCharType="separate"/>
          </w:r>
          <w:r>
            <w:rPr>
              <w:rFonts w:hint="eastAsia" w:ascii="仿宋" w:hAnsi="仿宋" w:eastAsia="仿宋" w:cs="仿宋"/>
              <w:bCs/>
              <w:szCs w:val="28"/>
              <w:lang w:val="en-US" w:eastAsia="zh-CN"/>
            </w:rPr>
            <w:t>3</w:t>
          </w:r>
          <w:r>
            <w:rPr>
              <w:rFonts w:hint="eastAsia" w:ascii="仿宋" w:hAnsi="仿宋" w:eastAsia="仿宋" w:cs="仿宋"/>
              <w:bCs/>
              <w:szCs w:val="28"/>
            </w:rPr>
            <w:t>.</w:t>
          </w:r>
          <w:r>
            <w:rPr>
              <w:rFonts w:hint="eastAsia" w:ascii="仿宋" w:hAnsi="仿宋" w:eastAsia="仿宋" w:cs="仿宋"/>
              <w:bCs/>
              <w:szCs w:val="28"/>
              <w:lang w:val="en-US" w:eastAsia="zh-CN"/>
            </w:rPr>
            <w:t>资金投入</w:t>
          </w:r>
          <w:r>
            <w:rPr>
              <w:rFonts w:hint="eastAsia" w:ascii="仿宋" w:hAnsi="仿宋" w:eastAsia="仿宋" w:cs="仿宋"/>
              <w:bCs/>
              <w:szCs w:val="28"/>
            </w:rPr>
            <w:t>分析</w:t>
          </w:r>
          <w:r>
            <w:tab/>
          </w:r>
          <w:r>
            <w:fldChar w:fldCharType="begin"/>
          </w:r>
          <w:r>
            <w:instrText xml:space="preserve"> PAGEREF _Toc12040 \h </w:instrText>
          </w:r>
          <w:r>
            <w:fldChar w:fldCharType="separate"/>
          </w:r>
          <w:r>
            <w:t>14</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_Toc3941 </w:instrText>
          </w:r>
          <w:r>
            <w:rPr>
              <w:rFonts w:hint="eastAsia" w:ascii="仿宋" w:hAnsi="仿宋" w:eastAsia="仿宋" w:cs="仿宋"/>
              <w:szCs w:val="24"/>
            </w:rPr>
            <w:fldChar w:fldCharType="separate"/>
          </w:r>
          <w:r>
            <w:rPr>
              <w:rFonts w:hint="eastAsia" w:ascii="楷体" w:hAnsi="楷体" w:eastAsia="楷体" w:cs="楷体"/>
              <w:bCs/>
              <w:kern w:val="2"/>
              <w:szCs w:val="28"/>
              <w:lang w:val="en-US" w:eastAsia="zh-CN" w:bidi="ar-SA"/>
            </w:rPr>
            <w:t>（二）项目过程情况</w:t>
          </w:r>
          <w:r>
            <w:tab/>
          </w:r>
          <w:r>
            <w:fldChar w:fldCharType="begin"/>
          </w:r>
          <w:r>
            <w:instrText xml:space="preserve"> PAGEREF _Toc3941 \h </w:instrText>
          </w:r>
          <w:r>
            <w:fldChar w:fldCharType="separate"/>
          </w:r>
          <w:r>
            <w:t>14</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_Toc4836 </w:instrText>
          </w:r>
          <w:r>
            <w:rPr>
              <w:rFonts w:hint="eastAsia" w:ascii="仿宋" w:hAnsi="仿宋" w:eastAsia="仿宋" w:cs="仿宋"/>
              <w:szCs w:val="24"/>
            </w:rPr>
            <w:fldChar w:fldCharType="separate"/>
          </w:r>
          <w:r>
            <w:rPr>
              <w:rFonts w:hint="eastAsia" w:ascii="仿宋" w:hAnsi="仿宋" w:eastAsia="仿宋" w:cs="仿宋"/>
              <w:szCs w:val="28"/>
            </w:rPr>
            <w:t>1.资金管理情况分析</w:t>
          </w:r>
          <w:r>
            <w:tab/>
          </w:r>
          <w:r>
            <w:fldChar w:fldCharType="begin"/>
          </w:r>
          <w:r>
            <w:instrText xml:space="preserve"> PAGEREF _Toc4836 \h </w:instrText>
          </w:r>
          <w:r>
            <w:fldChar w:fldCharType="separate"/>
          </w:r>
          <w:r>
            <w:t>14</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_Toc9942 </w:instrText>
          </w:r>
          <w:r>
            <w:rPr>
              <w:rFonts w:hint="eastAsia" w:ascii="仿宋" w:hAnsi="仿宋" w:eastAsia="仿宋" w:cs="仿宋"/>
              <w:szCs w:val="24"/>
            </w:rPr>
            <w:fldChar w:fldCharType="separate"/>
          </w:r>
          <w:r>
            <w:rPr>
              <w:rFonts w:hint="eastAsia" w:ascii="仿宋" w:hAnsi="仿宋" w:eastAsia="仿宋" w:cs="仿宋"/>
            </w:rPr>
            <w:t>2.</w:t>
          </w:r>
          <w:r>
            <w:rPr>
              <w:rFonts w:hint="eastAsia" w:ascii="仿宋" w:hAnsi="仿宋" w:eastAsia="仿宋" w:cs="仿宋"/>
              <w:lang w:val="en-US" w:eastAsia="zh-CN"/>
            </w:rPr>
            <w:t>业务管理</w:t>
          </w:r>
          <w:r>
            <w:rPr>
              <w:rFonts w:hint="eastAsia" w:ascii="仿宋" w:hAnsi="仿宋" w:eastAsia="仿宋" w:cs="仿宋"/>
            </w:rPr>
            <w:t>情况分析</w:t>
          </w:r>
          <w:r>
            <w:tab/>
          </w:r>
          <w:r>
            <w:fldChar w:fldCharType="begin"/>
          </w:r>
          <w:r>
            <w:instrText xml:space="preserve"> PAGEREF _Toc9942 \h </w:instrText>
          </w:r>
          <w:r>
            <w:fldChar w:fldCharType="separate"/>
          </w:r>
          <w:r>
            <w:t>17</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_Toc11039 </w:instrText>
          </w:r>
          <w:r>
            <w:rPr>
              <w:rFonts w:hint="eastAsia" w:ascii="仿宋" w:hAnsi="仿宋" w:eastAsia="仿宋" w:cs="仿宋"/>
              <w:szCs w:val="24"/>
            </w:rPr>
            <w:fldChar w:fldCharType="separate"/>
          </w:r>
          <w:r>
            <w:rPr>
              <w:rFonts w:hint="eastAsia" w:ascii="楷体" w:hAnsi="楷体" w:eastAsia="楷体" w:cs="楷体"/>
              <w:bCs/>
              <w:kern w:val="2"/>
              <w:szCs w:val="28"/>
              <w:lang w:val="en-US" w:eastAsia="zh-CN" w:bidi="ar-SA"/>
            </w:rPr>
            <w:t>（三）项目产出情况</w:t>
          </w:r>
          <w:r>
            <w:tab/>
          </w:r>
          <w:r>
            <w:fldChar w:fldCharType="begin"/>
          </w:r>
          <w:r>
            <w:instrText xml:space="preserve"> PAGEREF _Toc11039 \h </w:instrText>
          </w:r>
          <w:r>
            <w:fldChar w:fldCharType="separate"/>
          </w:r>
          <w:r>
            <w:t>19</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_Toc19350 </w:instrText>
          </w:r>
          <w:r>
            <w:rPr>
              <w:rFonts w:hint="eastAsia" w:ascii="仿宋" w:hAnsi="仿宋" w:eastAsia="仿宋" w:cs="仿宋"/>
              <w:szCs w:val="24"/>
            </w:rPr>
            <w:fldChar w:fldCharType="separate"/>
          </w:r>
          <w:r>
            <w:rPr>
              <w:rFonts w:hint="eastAsia" w:ascii="仿宋" w:hAnsi="仿宋" w:eastAsia="仿宋" w:cs="仿宋"/>
            </w:rPr>
            <w:t>1.从产出数量指标看</w:t>
          </w:r>
          <w:r>
            <w:tab/>
          </w:r>
          <w:r>
            <w:fldChar w:fldCharType="begin"/>
          </w:r>
          <w:r>
            <w:instrText xml:space="preserve"> PAGEREF _Toc19350 \h </w:instrText>
          </w:r>
          <w:r>
            <w:fldChar w:fldCharType="separate"/>
          </w:r>
          <w:r>
            <w:t>19</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_Toc22831 </w:instrText>
          </w:r>
          <w:r>
            <w:rPr>
              <w:rFonts w:hint="eastAsia" w:ascii="仿宋" w:hAnsi="仿宋" w:eastAsia="仿宋" w:cs="仿宋"/>
              <w:szCs w:val="24"/>
            </w:rPr>
            <w:fldChar w:fldCharType="separate"/>
          </w:r>
          <w:r>
            <w:rPr>
              <w:rFonts w:hint="eastAsia" w:ascii="仿宋" w:hAnsi="仿宋" w:eastAsia="仿宋" w:cs="仿宋"/>
              <w:szCs w:val="22"/>
              <w:lang w:val="en-US" w:eastAsia="zh-CN"/>
            </w:rPr>
            <w:t>2</w:t>
          </w:r>
          <w:r>
            <w:rPr>
              <w:rFonts w:hint="eastAsia" w:ascii="仿宋" w:hAnsi="仿宋" w:eastAsia="仿宋" w:cs="仿宋"/>
              <w:szCs w:val="22"/>
            </w:rPr>
            <w:t>.从产出</w:t>
          </w:r>
          <w:r>
            <w:rPr>
              <w:rFonts w:hint="eastAsia" w:ascii="仿宋" w:hAnsi="仿宋" w:eastAsia="仿宋" w:cs="仿宋"/>
              <w:szCs w:val="22"/>
              <w:lang w:val="en-US" w:eastAsia="zh-CN"/>
            </w:rPr>
            <w:t>质量</w:t>
          </w:r>
          <w:r>
            <w:rPr>
              <w:rFonts w:hint="eastAsia" w:ascii="仿宋" w:hAnsi="仿宋" w:eastAsia="仿宋" w:cs="仿宋"/>
              <w:szCs w:val="22"/>
            </w:rPr>
            <w:t>指标看</w:t>
          </w:r>
          <w:r>
            <w:tab/>
          </w:r>
          <w:r>
            <w:fldChar w:fldCharType="begin"/>
          </w:r>
          <w:r>
            <w:instrText xml:space="preserve"> PAGEREF _Toc22831 \h </w:instrText>
          </w:r>
          <w:r>
            <w:fldChar w:fldCharType="separate"/>
          </w:r>
          <w:r>
            <w:t>19</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_Toc16028 </w:instrText>
          </w:r>
          <w:r>
            <w:rPr>
              <w:rFonts w:hint="eastAsia" w:ascii="仿宋" w:hAnsi="仿宋" w:eastAsia="仿宋" w:cs="仿宋"/>
              <w:szCs w:val="24"/>
            </w:rPr>
            <w:fldChar w:fldCharType="separate"/>
          </w:r>
          <w:r>
            <w:rPr>
              <w:rFonts w:hint="eastAsia" w:ascii="仿宋" w:hAnsi="仿宋" w:eastAsia="仿宋" w:cs="仿宋"/>
              <w:szCs w:val="22"/>
              <w:lang w:val="en-US" w:eastAsia="zh-CN"/>
            </w:rPr>
            <w:t>3</w:t>
          </w:r>
          <w:r>
            <w:rPr>
              <w:rFonts w:hint="eastAsia" w:ascii="仿宋" w:hAnsi="仿宋" w:eastAsia="仿宋" w:cs="仿宋"/>
              <w:szCs w:val="22"/>
            </w:rPr>
            <w:t>.从产出时效指标看</w:t>
          </w:r>
          <w:r>
            <w:tab/>
          </w:r>
          <w:r>
            <w:fldChar w:fldCharType="begin"/>
          </w:r>
          <w:r>
            <w:instrText xml:space="preserve"> PAGEREF _Toc16028 \h </w:instrText>
          </w:r>
          <w:r>
            <w:fldChar w:fldCharType="separate"/>
          </w:r>
          <w:r>
            <w:t>20</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_Toc4633 </w:instrText>
          </w:r>
          <w:r>
            <w:rPr>
              <w:rFonts w:hint="eastAsia" w:ascii="仿宋" w:hAnsi="仿宋" w:eastAsia="仿宋" w:cs="仿宋"/>
              <w:szCs w:val="24"/>
            </w:rPr>
            <w:fldChar w:fldCharType="separate"/>
          </w:r>
          <w:r>
            <w:rPr>
              <w:rFonts w:hint="eastAsia" w:ascii="仿宋" w:hAnsi="仿宋" w:eastAsia="仿宋" w:cs="仿宋"/>
              <w:szCs w:val="28"/>
              <w:lang w:val="en-US" w:eastAsia="zh-CN"/>
            </w:rPr>
            <w:t>4.从产出成本指标看</w:t>
          </w:r>
          <w:r>
            <w:tab/>
          </w:r>
          <w:r>
            <w:fldChar w:fldCharType="begin"/>
          </w:r>
          <w:r>
            <w:instrText xml:space="preserve"> PAGEREF _Toc4633 \h </w:instrText>
          </w:r>
          <w:r>
            <w:fldChar w:fldCharType="separate"/>
          </w:r>
          <w:r>
            <w:t>20</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_Toc16642 </w:instrText>
          </w:r>
          <w:r>
            <w:rPr>
              <w:rFonts w:hint="eastAsia" w:ascii="仿宋" w:hAnsi="仿宋" w:eastAsia="仿宋" w:cs="仿宋"/>
              <w:szCs w:val="24"/>
            </w:rPr>
            <w:fldChar w:fldCharType="separate"/>
          </w:r>
          <w:r>
            <w:rPr>
              <w:rFonts w:hint="eastAsia" w:ascii="楷体" w:hAnsi="楷体" w:eastAsia="楷体" w:cs="楷体"/>
              <w:bCs/>
              <w:kern w:val="2"/>
              <w:szCs w:val="28"/>
              <w:lang w:val="en-US" w:eastAsia="zh-CN" w:bidi="ar-SA"/>
            </w:rPr>
            <w:t>（四）项目效益情况</w:t>
          </w:r>
          <w:r>
            <w:tab/>
          </w:r>
          <w:r>
            <w:fldChar w:fldCharType="begin"/>
          </w:r>
          <w:r>
            <w:instrText xml:space="preserve"> PAGEREF _Toc16642 \h </w:instrText>
          </w:r>
          <w:r>
            <w:fldChar w:fldCharType="separate"/>
          </w:r>
          <w:r>
            <w:t>21</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_Toc23064 </w:instrText>
          </w:r>
          <w:r>
            <w:rPr>
              <w:rFonts w:hint="eastAsia" w:ascii="仿宋" w:hAnsi="仿宋" w:eastAsia="仿宋" w:cs="仿宋"/>
              <w:szCs w:val="24"/>
            </w:rPr>
            <w:fldChar w:fldCharType="separate"/>
          </w:r>
          <w:r>
            <w:rPr>
              <w:rFonts w:hint="eastAsia" w:ascii="仿宋" w:hAnsi="仿宋" w:eastAsia="仿宋" w:cs="仿宋"/>
            </w:rPr>
            <w:t>1.</w:t>
          </w:r>
          <w:r>
            <w:rPr>
              <w:rFonts w:hint="eastAsia" w:ascii="仿宋" w:hAnsi="仿宋" w:eastAsia="仿宋" w:cs="仿宋"/>
              <w:lang w:val="en-US" w:eastAsia="zh-CN"/>
            </w:rPr>
            <w:t>经济</w:t>
          </w:r>
          <w:r>
            <w:rPr>
              <w:rFonts w:hint="eastAsia" w:ascii="仿宋" w:hAnsi="仿宋" w:eastAsia="仿宋" w:cs="仿宋"/>
            </w:rPr>
            <w:t>效益分析</w:t>
          </w:r>
          <w:r>
            <w:tab/>
          </w:r>
          <w:r>
            <w:fldChar w:fldCharType="begin"/>
          </w:r>
          <w:r>
            <w:instrText xml:space="preserve"> PAGEREF _Toc23064 \h </w:instrText>
          </w:r>
          <w:r>
            <w:fldChar w:fldCharType="separate"/>
          </w:r>
          <w:r>
            <w:t>21</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_Toc30611 </w:instrText>
          </w:r>
          <w:r>
            <w:rPr>
              <w:rFonts w:hint="eastAsia" w:ascii="仿宋" w:hAnsi="仿宋" w:eastAsia="仿宋" w:cs="仿宋"/>
              <w:szCs w:val="24"/>
            </w:rPr>
            <w:fldChar w:fldCharType="separate"/>
          </w:r>
          <w:r>
            <w:rPr>
              <w:rFonts w:hint="eastAsia" w:ascii="仿宋" w:hAnsi="仿宋" w:eastAsia="仿宋" w:cs="仿宋"/>
              <w:lang w:val="en-US" w:eastAsia="zh-CN"/>
            </w:rPr>
            <w:t>2</w:t>
          </w:r>
          <w:r>
            <w:rPr>
              <w:rFonts w:hint="eastAsia" w:ascii="仿宋" w:hAnsi="仿宋" w:eastAsia="仿宋" w:cs="仿宋"/>
            </w:rPr>
            <w:t>.社会效益分析</w:t>
          </w:r>
          <w:r>
            <w:tab/>
          </w:r>
          <w:r>
            <w:fldChar w:fldCharType="begin"/>
          </w:r>
          <w:r>
            <w:instrText xml:space="preserve"> PAGEREF _Toc30611 \h </w:instrText>
          </w:r>
          <w:r>
            <w:fldChar w:fldCharType="separate"/>
          </w:r>
          <w:r>
            <w:t>21</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_Toc5723 </w:instrText>
          </w:r>
          <w:r>
            <w:rPr>
              <w:rFonts w:hint="eastAsia" w:ascii="仿宋" w:hAnsi="仿宋" w:eastAsia="仿宋" w:cs="仿宋"/>
              <w:szCs w:val="24"/>
            </w:rPr>
            <w:fldChar w:fldCharType="separate"/>
          </w:r>
          <w:r>
            <w:rPr>
              <w:rFonts w:hint="eastAsia" w:ascii="仿宋" w:hAnsi="仿宋" w:eastAsia="仿宋" w:cs="仿宋"/>
              <w:lang w:val="en-US" w:eastAsia="zh-CN"/>
            </w:rPr>
            <w:t>3.</w:t>
          </w:r>
          <w:r>
            <w:rPr>
              <w:rFonts w:hint="eastAsia" w:ascii="仿宋" w:hAnsi="仿宋" w:eastAsia="仿宋" w:cs="仿宋"/>
              <w:lang w:eastAsia="zh-CN"/>
            </w:rPr>
            <w:t>环境效益分析</w:t>
          </w:r>
          <w:r>
            <w:tab/>
          </w:r>
          <w:r>
            <w:fldChar w:fldCharType="begin"/>
          </w:r>
          <w:r>
            <w:instrText xml:space="preserve"> PAGEREF _Toc5723 \h </w:instrText>
          </w:r>
          <w:r>
            <w:fldChar w:fldCharType="separate"/>
          </w:r>
          <w:r>
            <w:t>21</w:t>
          </w:r>
          <w:r>
            <w:fldChar w:fldCharType="end"/>
          </w:r>
          <w:r>
            <w:rPr>
              <w:rFonts w:hint="eastAsia" w:ascii="仿宋" w:hAnsi="仿宋" w:eastAsia="仿宋" w:cs="仿宋"/>
              <w:szCs w:val="24"/>
            </w:rPr>
            <w:fldChar w:fldCharType="end"/>
          </w:r>
        </w:p>
        <w:p>
          <w:pPr>
            <w:pStyle w:val="11"/>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_Toc12 </w:instrText>
          </w:r>
          <w:r>
            <w:rPr>
              <w:rFonts w:hint="eastAsia" w:ascii="仿宋" w:hAnsi="仿宋" w:eastAsia="仿宋" w:cs="仿宋"/>
              <w:szCs w:val="24"/>
            </w:rPr>
            <w:fldChar w:fldCharType="separate"/>
          </w:r>
          <w:r>
            <w:rPr>
              <w:rFonts w:hint="eastAsia" w:ascii="仿宋" w:hAnsi="仿宋" w:eastAsia="仿宋" w:cs="仿宋"/>
              <w:lang w:val="en-US" w:eastAsia="zh-CN"/>
            </w:rPr>
            <w:t>4</w:t>
          </w:r>
          <w:r>
            <w:rPr>
              <w:rFonts w:hint="eastAsia" w:ascii="仿宋" w:hAnsi="仿宋" w:eastAsia="仿宋" w:cs="仿宋"/>
            </w:rPr>
            <w:t>.可持续发展</w:t>
          </w:r>
          <w:r>
            <w:rPr>
              <w:rFonts w:hint="eastAsia" w:ascii="仿宋" w:hAnsi="仿宋" w:eastAsia="仿宋" w:cs="仿宋"/>
              <w:lang w:val="en-US" w:eastAsia="zh-CN"/>
            </w:rPr>
            <w:t>效益</w:t>
          </w:r>
          <w:r>
            <w:rPr>
              <w:rFonts w:hint="eastAsia" w:ascii="仿宋" w:hAnsi="仿宋" w:eastAsia="仿宋" w:cs="仿宋"/>
            </w:rPr>
            <w:t>分析</w:t>
          </w:r>
          <w:r>
            <w:tab/>
          </w:r>
          <w:r>
            <w:fldChar w:fldCharType="begin"/>
          </w:r>
          <w:r>
            <w:instrText xml:space="preserve"> PAGEREF _Toc12 \h </w:instrText>
          </w:r>
          <w:r>
            <w:fldChar w:fldCharType="separate"/>
          </w:r>
          <w:r>
            <w:t>22</w:t>
          </w:r>
          <w:r>
            <w:fldChar w:fldCharType="end"/>
          </w:r>
          <w:r>
            <w:rPr>
              <w:rFonts w:hint="eastAsia" w:ascii="仿宋" w:hAnsi="仿宋" w:eastAsia="仿宋" w:cs="仿宋"/>
              <w:szCs w:val="24"/>
            </w:rPr>
            <w:fldChar w:fldCharType="end"/>
          </w:r>
        </w:p>
        <w:p>
          <w:pPr>
            <w:pStyle w:val="14"/>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_Toc11723 </w:instrText>
          </w:r>
          <w:r>
            <w:rPr>
              <w:rFonts w:hint="eastAsia" w:ascii="仿宋" w:hAnsi="仿宋" w:eastAsia="仿宋" w:cs="仿宋"/>
              <w:szCs w:val="24"/>
            </w:rPr>
            <w:fldChar w:fldCharType="separate"/>
          </w:r>
          <w:r>
            <w:rPr>
              <w:rFonts w:hint="eastAsia" w:ascii="黑体" w:hAnsi="黑体" w:eastAsia="黑体" w:cs="黑体"/>
              <w:bCs/>
              <w:szCs w:val="28"/>
              <w:lang w:val="en-US" w:eastAsia="zh-CN"/>
            </w:rPr>
            <w:t>五、经验及做法</w:t>
          </w:r>
          <w:r>
            <w:tab/>
          </w:r>
          <w:r>
            <w:fldChar w:fldCharType="begin"/>
          </w:r>
          <w:r>
            <w:instrText xml:space="preserve"> PAGEREF _Toc11723 \h </w:instrText>
          </w:r>
          <w:r>
            <w:fldChar w:fldCharType="separate"/>
          </w:r>
          <w:r>
            <w:t>22</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_Toc27980 </w:instrText>
          </w:r>
          <w:r>
            <w:rPr>
              <w:rFonts w:hint="eastAsia" w:ascii="仿宋" w:hAnsi="仿宋" w:eastAsia="仿宋" w:cs="仿宋"/>
              <w:szCs w:val="24"/>
            </w:rPr>
            <w:fldChar w:fldCharType="separate"/>
          </w:r>
          <w:r>
            <w:rPr>
              <w:rFonts w:hint="eastAsia" w:ascii="楷体" w:hAnsi="楷体" w:eastAsia="楷体" w:cs="楷体"/>
              <w:bCs/>
              <w:i w:val="0"/>
              <w:iCs w:val="0"/>
              <w:kern w:val="0"/>
              <w:szCs w:val="28"/>
              <w:highlight w:val="none"/>
              <w:lang w:val="en-US" w:eastAsia="zh-CN" w:bidi="ar-SA"/>
            </w:rPr>
            <w:t>（一）</w:t>
          </w:r>
          <w:r>
            <w:rPr>
              <w:rFonts w:hint="eastAsia" w:ascii="楷体" w:hAnsi="楷体" w:eastAsia="楷体" w:cs="楷体"/>
              <w:bCs/>
              <w:i w:val="0"/>
              <w:iCs w:val="0"/>
              <w:kern w:val="0"/>
              <w:szCs w:val="28"/>
              <w:highlight w:val="none"/>
              <w:lang w:val="en-US" w:eastAsia="zh-CN"/>
            </w:rPr>
            <w:t>准备手续齐全，效率高</w:t>
          </w:r>
          <w:r>
            <w:tab/>
          </w:r>
          <w:r>
            <w:fldChar w:fldCharType="begin"/>
          </w:r>
          <w:r>
            <w:instrText xml:space="preserve"> PAGEREF _Toc27980 \h </w:instrText>
          </w:r>
          <w:r>
            <w:fldChar w:fldCharType="separate"/>
          </w:r>
          <w:r>
            <w:t>22</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_Toc30973 </w:instrText>
          </w:r>
          <w:r>
            <w:rPr>
              <w:rFonts w:hint="eastAsia" w:ascii="仿宋" w:hAnsi="仿宋" w:eastAsia="仿宋" w:cs="仿宋"/>
              <w:szCs w:val="24"/>
            </w:rPr>
            <w:fldChar w:fldCharType="separate"/>
          </w:r>
          <w:r>
            <w:rPr>
              <w:rFonts w:hint="eastAsia" w:ascii="楷体" w:hAnsi="楷体" w:eastAsia="楷体" w:cs="楷体"/>
              <w:bCs/>
              <w:i w:val="0"/>
              <w:iCs w:val="0"/>
              <w:kern w:val="0"/>
              <w:szCs w:val="28"/>
              <w:highlight w:val="none"/>
              <w:lang w:val="en-US" w:eastAsia="zh-CN" w:bidi="ar-SA"/>
            </w:rPr>
            <w:t>（二）工程质量把控较严，项目公司制度执行有效</w:t>
          </w:r>
          <w:r>
            <w:tab/>
          </w:r>
          <w:r>
            <w:fldChar w:fldCharType="begin"/>
          </w:r>
          <w:r>
            <w:instrText xml:space="preserve"> PAGEREF _Toc30973 \h </w:instrText>
          </w:r>
          <w:r>
            <w:fldChar w:fldCharType="separate"/>
          </w:r>
          <w:r>
            <w:t>22</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_Toc18939 </w:instrText>
          </w:r>
          <w:r>
            <w:rPr>
              <w:rFonts w:hint="eastAsia" w:ascii="仿宋" w:hAnsi="仿宋" w:eastAsia="仿宋" w:cs="仿宋"/>
              <w:szCs w:val="24"/>
            </w:rPr>
            <w:fldChar w:fldCharType="separate"/>
          </w:r>
          <w:r>
            <w:rPr>
              <w:rFonts w:hint="eastAsia" w:ascii="楷体" w:hAnsi="楷体" w:eastAsia="楷体" w:cs="楷体"/>
              <w:bCs/>
              <w:i w:val="0"/>
              <w:iCs w:val="0"/>
              <w:kern w:val="0"/>
              <w:szCs w:val="28"/>
              <w:highlight w:val="none"/>
              <w:lang w:val="en-US" w:eastAsia="zh-CN" w:bidi="ar-SA"/>
            </w:rPr>
            <w:t>（三）工程进度把控严格，预算资金执行率高</w:t>
          </w:r>
          <w:r>
            <w:tab/>
          </w:r>
          <w:r>
            <w:fldChar w:fldCharType="begin"/>
          </w:r>
          <w:r>
            <w:instrText xml:space="preserve"> PAGEREF _Toc18939 \h </w:instrText>
          </w:r>
          <w:r>
            <w:fldChar w:fldCharType="separate"/>
          </w:r>
          <w:r>
            <w:t>23</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_Toc17085 </w:instrText>
          </w:r>
          <w:r>
            <w:rPr>
              <w:rFonts w:hint="eastAsia" w:ascii="仿宋" w:hAnsi="仿宋" w:eastAsia="仿宋" w:cs="仿宋"/>
              <w:szCs w:val="24"/>
            </w:rPr>
            <w:fldChar w:fldCharType="separate"/>
          </w:r>
          <w:r>
            <w:rPr>
              <w:rFonts w:hint="eastAsia" w:ascii="楷体" w:hAnsi="楷体" w:eastAsia="楷体" w:cs="楷体"/>
              <w:bCs/>
              <w:i w:val="0"/>
              <w:iCs w:val="0"/>
              <w:kern w:val="0"/>
              <w:szCs w:val="28"/>
              <w:highlight w:val="none"/>
              <w:lang w:val="en-US" w:eastAsia="zh-CN" w:bidi="ar-SA"/>
            </w:rPr>
            <w:t>（四）按要求严格项目筛选与项目资金申报手续</w:t>
          </w:r>
          <w:r>
            <w:tab/>
          </w:r>
          <w:r>
            <w:fldChar w:fldCharType="begin"/>
          </w:r>
          <w:r>
            <w:instrText xml:space="preserve"> PAGEREF _Toc17085 \h </w:instrText>
          </w:r>
          <w:r>
            <w:fldChar w:fldCharType="separate"/>
          </w:r>
          <w:r>
            <w:t>23</w:t>
          </w:r>
          <w:r>
            <w:fldChar w:fldCharType="end"/>
          </w:r>
          <w:r>
            <w:rPr>
              <w:rFonts w:hint="eastAsia" w:ascii="仿宋" w:hAnsi="仿宋" w:eastAsia="仿宋" w:cs="仿宋"/>
              <w:szCs w:val="24"/>
            </w:rPr>
            <w:fldChar w:fldCharType="end"/>
          </w:r>
        </w:p>
        <w:p>
          <w:pPr>
            <w:pStyle w:val="14"/>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_Toc32116 </w:instrText>
          </w:r>
          <w:r>
            <w:rPr>
              <w:rFonts w:hint="eastAsia" w:ascii="仿宋" w:hAnsi="仿宋" w:eastAsia="仿宋" w:cs="仿宋"/>
              <w:szCs w:val="24"/>
            </w:rPr>
            <w:fldChar w:fldCharType="separate"/>
          </w:r>
          <w:r>
            <w:rPr>
              <w:rFonts w:hint="eastAsia" w:ascii="黑体" w:hAnsi="黑体" w:eastAsia="黑体" w:cs="黑体"/>
              <w:bCs/>
              <w:szCs w:val="28"/>
              <w:lang w:val="en-US" w:eastAsia="zh-CN"/>
            </w:rPr>
            <w:t>六、存在的问题</w:t>
          </w:r>
          <w:r>
            <w:tab/>
          </w:r>
          <w:r>
            <w:fldChar w:fldCharType="begin"/>
          </w:r>
          <w:r>
            <w:instrText xml:space="preserve"> PAGEREF _Toc32116 \h </w:instrText>
          </w:r>
          <w:r>
            <w:fldChar w:fldCharType="separate"/>
          </w:r>
          <w:r>
            <w:t>23</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_Toc26062 </w:instrText>
          </w:r>
          <w:r>
            <w:rPr>
              <w:rFonts w:hint="eastAsia" w:ascii="仿宋" w:hAnsi="仿宋" w:eastAsia="仿宋" w:cs="仿宋"/>
              <w:szCs w:val="24"/>
            </w:rPr>
            <w:fldChar w:fldCharType="separate"/>
          </w:r>
          <w:r>
            <w:rPr>
              <w:rFonts w:hint="eastAsia" w:ascii="楷体" w:hAnsi="楷体" w:eastAsia="楷体" w:cs="楷体"/>
              <w:bCs/>
              <w:i w:val="0"/>
              <w:iCs w:val="0"/>
              <w:kern w:val="0"/>
              <w:szCs w:val="28"/>
              <w:highlight w:val="none"/>
              <w:lang w:val="en-US" w:eastAsia="zh-CN"/>
            </w:rPr>
            <w:t>（一）项目监管单位联动性较差</w:t>
          </w:r>
          <w:r>
            <w:tab/>
          </w:r>
          <w:r>
            <w:fldChar w:fldCharType="begin"/>
          </w:r>
          <w:r>
            <w:instrText xml:space="preserve"> PAGEREF _Toc26062 \h </w:instrText>
          </w:r>
          <w:r>
            <w:fldChar w:fldCharType="separate"/>
          </w:r>
          <w:r>
            <w:t>23</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_Toc3315 </w:instrText>
          </w:r>
          <w:r>
            <w:rPr>
              <w:rFonts w:hint="eastAsia" w:ascii="仿宋" w:hAnsi="仿宋" w:eastAsia="仿宋" w:cs="仿宋"/>
              <w:szCs w:val="24"/>
            </w:rPr>
            <w:fldChar w:fldCharType="separate"/>
          </w:r>
          <w:r>
            <w:rPr>
              <w:rFonts w:hint="eastAsia" w:ascii="楷体" w:hAnsi="楷体" w:eastAsia="楷体" w:cs="楷体"/>
              <w:bCs/>
              <w:i w:val="0"/>
              <w:iCs w:val="0"/>
              <w:kern w:val="0"/>
              <w:szCs w:val="28"/>
              <w:highlight w:val="none"/>
              <w:lang w:val="en-US" w:eastAsia="zh-CN"/>
            </w:rPr>
            <w:t>（二）日常监管单位存在监管不到位的情况</w:t>
          </w:r>
          <w:r>
            <w:tab/>
          </w:r>
          <w:r>
            <w:fldChar w:fldCharType="begin"/>
          </w:r>
          <w:r>
            <w:instrText xml:space="preserve"> PAGEREF _Toc3315 \h </w:instrText>
          </w:r>
          <w:r>
            <w:fldChar w:fldCharType="separate"/>
          </w:r>
          <w:r>
            <w:t>23</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_Toc14807 </w:instrText>
          </w:r>
          <w:r>
            <w:rPr>
              <w:rFonts w:hint="eastAsia" w:ascii="仿宋" w:hAnsi="仿宋" w:eastAsia="仿宋" w:cs="仿宋"/>
              <w:szCs w:val="24"/>
            </w:rPr>
            <w:fldChar w:fldCharType="separate"/>
          </w:r>
          <w:r>
            <w:rPr>
              <w:rFonts w:hint="eastAsia" w:ascii="楷体" w:hAnsi="楷体" w:eastAsia="楷体" w:cs="楷体"/>
              <w:bCs/>
              <w:i w:val="0"/>
              <w:iCs w:val="0"/>
              <w:kern w:val="0"/>
              <w:szCs w:val="28"/>
              <w:highlight w:val="none"/>
              <w:lang w:val="en-US" w:eastAsia="zh-CN"/>
            </w:rPr>
            <w:t>（三）监管计划、监管方案未及时制定与执行</w:t>
          </w:r>
          <w:r>
            <w:tab/>
          </w:r>
          <w:r>
            <w:fldChar w:fldCharType="begin"/>
          </w:r>
          <w:r>
            <w:instrText xml:space="preserve"> PAGEREF _Toc14807 \h </w:instrText>
          </w:r>
          <w:r>
            <w:fldChar w:fldCharType="separate"/>
          </w:r>
          <w:r>
            <w:t>24</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_Toc17248 </w:instrText>
          </w:r>
          <w:r>
            <w:rPr>
              <w:rFonts w:hint="eastAsia" w:ascii="仿宋" w:hAnsi="仿宋" w:eastAsia="仿宋" w:cs="仿宋"/>
              <w:szCs w:val="24"/>
            </w:rPr>
            <w:fldChar w:fldCharType="separate"/>
          </w:r>
          <w:r>
            <w:rPr>
              <w:rFonts w:hint="eastAsia" w:ascii="楷体" w:hAnsi="楷体" w:eastAsia="楷体" w:cs="楷体"/>
              <w:bCs/>
              <w:i w:val="0"/>
              <w:iCs w:val="0"/>
              <w:kern w:val="0"/>
              <w:szCs w:val="28"/>
              <w:highlight w:val="none"/>
              <w:lang w:val="en-US" w:eastAsia="zh-CN"/>
            </w:rPr>
            <w:t>（四）项目资金投入估算过高</w:t>
          </w:r>
          <w:r>
            <w:tab/>
          </w:r>
          <w:r>
            <w:fldChar w:fldCharType="begin"/>
          </w:r>
          <w:r>
            <w:instrText xml:space="preserve"> PAGEREF _Toc17248 \h </w:instrText>
          </w:r>
          <w:r>
            <w:fldChar w:fldCharType="separate"/>
          </w:r>
          <w:r>
            <w:t>24</w:t>
          </w:r>
          <w:r>
            <w:fldChar w:fldCharType="end"/>
          </w:r>
          <w:r>
            <w:rPr>
              <w:rFonts w:hint="eastAsia" w:ascii="仿宋" w:hAnsi="仿宋" w:eastAsia="仿宋" w:cs="仿宋"/>
              <w:szCs w:val="24"/>
            </w:rPr>
            <w:fldChar w:fldCharType="end"/>
          </w:r>
        </w:p>
        <w:p>
          <w:pPr>
            <w:pStyle w:val="14"/>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_Toc20632 </w:instrText>
          </w:r>
          <w:r>
            <w:rPr>
              <w:rFonts w:hint="eastAsia" w:ascii="仿宋" w:hAnsi="仿宋" w:eastAsia="仿宋" w:cs="仿宋"/>
              <w:szCs w:val="24"/>
            </w:rPr>
            <w:fldChar w:fldCharType="separate"/>
          </w:r>
          <w:r>
            <w:rPr>
              <w:rFonts w:hint="eastAsia" w:ascii="黑体" w:hAnsi="黑体" w:eastAsia="黑体" w:cs="黑体"/>
              <w:bCs/>
              <w:szCs w:val="28"/>
              <w:lang w:val="en-US" w:eastAsia="zh-CN"/>
            </w:rPr>
            <w:t>七、有关建议</w:t>
          </w:r>
          <w:r>
            <w:tab/>
          </w:r>
          <w:r>
            <w:fldChar w:fldCharType="begin"/>
          </w:r>
          <w:r>
            <w:instrText xml:space="preserve"> PAGEREF _Toc20632 \h </w:instrText>
          </w:r>
          <w:r>
            <w:fldChar w:fldCharType="separate"/>
          </w:r>
          <w:r>
            <w:t>24</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_Toc23589 </w:instrText>
          </w:r>
          <w:r>
            <w:rPr>
              <w:rFonts w:hint="eastAsia" w:ascii="仿宋" w:hAnsi="仿宋" w:eastAsia="仿宋" w:cs="仿宋"/>
              <w:szCs w:val="24"/>
            </w:rPr>
            <w:fldChar w:fldCharType="separate"/>
          </w:r>
          <w:r>
            <w:rPr>
              <w:rFonts w:hint="eastAsia" w:ascii="楷体" w:hAnsi="楷体" w:eastAsia="楷体" w:cs="楷体"/>
              <w:bCs/>
              <w:i w:val="0"/>
              <w:iCs w:val="0"/>
              <w:kern w:val="0"/>
              <w:szCs w:val="28"/>
              <w:highlight w:val="none"/>
              <w:lang w:val="en-US" w:eastAsia="zh-CN"/>
            </w:rPr>
            <w:t>（一）理清单位项目监管职责，同时建立互联互通机制</w:t>
          </w:r>
          <w:r>
            <w:tab/>
          </w:r>
          <w:r>
            <w:fldChar w:fldCharType="begin"/>
          </w:r>
          <w:r>
            <w:instrText xml:space="preserve"> PAGEREF _Toc23589 \h </w:instrText>
          </w:r>
          <w:r>
            <w:fldChar w:fldCharType="separate"/>
          </w:r>
          <w:r>
            <w:t>24</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_Toc19926 </w:instrText>
          </w:r>
          <w:r>
            <w:rPr>
              <w:rFonts w:hint="eastAsia" w:ascii="仿宋" w:hAnsi="仿宋" w:eastAsia="仿宋" w:cs="仿宋"/>
              <w:szCs w:val="24"/>
            </w:rPr>
            <w:fldChar w:fldCharType="separate"/>
          </w:r>
          <w:r>
            <w:rPr>
              <w:rFonts w:hint="eastAsia" w:ascii="楷体" w:hAnsi="楷体" w:eastAsia="楷体" w:cs="楷体"/>
              <w:bCs/>
              <w:i w:val="0"/>
              <w:iCs w:val="0"/>
              <w:kern w:val="0"/>
              <w:szCs w:val="28"/>
              <w:highlight w:val="none"/>
              <w:lang w:val="en-US" w:eastAsia="zh-CN"/>
            </w:rPr>
            <w:t>（二）加强对项目随时监管，对平台信息的填报进行现场核实</w:t>
          </w:r>
          <w:r>
            <w:tab/>
          </w:r>
          <w:r>
            <w:fldChar w:fldCharType="begin"/>
          </w:r>
          <w:r>
            <w:instrText xml:space="preserve"> PAGEREF _Toc19926 \h </w:instrText>
          </w:r>
          <w:r>
            <w:fldChar w:fldCharType="separate"/>
          </w:r>
          <w:r>
            <w:t>25</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_Toc29162 </w:instrText>
          </w:r>
          <w:r>
            <w:rPr>
              <w:rFonts w:hint="eastAsia" w:ascii="仿宋" w:hAnsi="仿宋" w:eastAsia="仿宋" w:cs="仿宋"/>
              <w:szCs w:val="24"/>
            </w:rPr>
            <w:fldChar w:fldCharType="separate"/>
          </w:r>
          <w:r>
            <w:rPr>
              <w:rFonts w:hint="eastAsia" w:ascii="楷体" w:hAnsi="楷体" w:eastAsia="楷体" w:cs="楷体"/>
              <w:bCs/>
              <w:i w:val="0"/>
              <w:iCs w:val="0"/>
              <w:kern w:val="0"/>
              <w:szCs w:val="28"/>
              <w:highlight w:val="none"/>
              <w:lang w:val="en-US" w:eastAsia="zh-CN"/>
            </w:rPr>
            <w:t>（三）建立工作机制，制定监管计划</w:t>
          </w:r>
          <w:r>
            <w:tab/>
          </w:r>
          <w:r>
            <w:fldChar w:fldCharType="begin"/>
          </w:r>
          <w:r>
            <w:instrText xml:space="preserve"> PAGEREF _Toc29162 \h </w:instrText>
          </w:r>
          <w:r>
            <w:fldChar w:fldCharType="separate"/>
          </w:r>
          <w:r>
            <w:t>25</w:t>
          </w:r>
          <w:r>
            <w:fldChar w:fldCharType="end"/>
          </w:r>
          <w:r>
            <w:rPr>
              <w:rFonts w:hint="eastAsia" w:ascii="仿宋" w:hAnsi="仿宋" w:eastAsia="仿宋" w:cs="仿宋"/>
              <w:szCs w:val="24"/>
            </w:rPr>
            <w:fldChar w:fldCharType="end"/>
          </w:r>
        </w:p>
        <w:p>
          <w:pPr>
            <w:pStyle w:val="15"/>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_Toc14245 </w:instrText>
          </w:r>
          <w:r>
            <w:rPr>
              <w:rFonts w:hint="eastAsia" w:ascii="仿宋" w:hAnsi="仿宋" w:eastAsia="仿宋" w:cs="仿宋"/>
              <w:szCs w:val="24"/>
            </w:rPr>
            <w:fldChar w:fldCharType="separate"/>
          </w:r>
          <w:r>
            <w:rPr>
              <w:rFonts w:hint="eastAsia" w:ascii="楷体" w:hAnsi="楷体" w:eastAsia="楷体" w:cs="楷体"/>
              <w:bCs/>
              <w:i w:val="0"/>
              <w:iCs w:val="0"/>
              <w:kern w:val="0"/>
              <w:szCs w:val="28"/>
              <w:highlight w:val="none"/>
              <w:lang w:val="en-US" w:eastAsia="zh-CN"/>
            </w:rPr>
            <w:t>（四）</w:t>
          </w:r>
          <w:r>
            <w:rPr>
              <w:rFonts w:hint="eastAsia" w:ascii="楷体" w:hAnsi="楷体" w:eastAsia="楷体" w:cs="楷体"/>
              <w:bCs/>
              <w:i w:val="0"/>
              <w:iCs w:val="0"/>
              <w:kern w:val="0"/>
              <w:szCs w:val="28"/>
              <w:highlight w:val="none"/>
              <w:lang w:val="en-US" w:eastAsia="zh-CN" w:bidi="ar-SA"/>
            </w:rPr>
            <w:t>加强项目投入资金估算的准确性、科学性</w:t>
          </w:r>
          <w:r>
            <w:tab/>
          </w:r>
          <w:r>
            <w:fldChar w:fldCharType="begin"/>
          </w:r>
          <w:r>
            <w:instrText xml:space="preserve"> PAGEREF _Toc14245 \h </w:instrText>
          </w:r>
          <w:r>
            <w:fldChar w:fldCharType="separate"/>
          </w:r>
          <w:r>
            <w:t>25</w:t>
          </w:r>
          <w:r>
            <w:fldChar w:fldCharType="end"/>
          </w:r>
          <w:r>
            <w:rPr>
              <w:rFonts w:hint="eastAsia" w:ascii="仿宋" w:hAnsi="仿宋" w:eastAsia="仿宋" w:cs="仿宋"/>
              <w:szCs w:val="24"/>
            </w:rPr>
            <w:fldChar w:fldCharType="end"/>
          </w:r>
        </w:p>
        <w:p>
          <w:pPr>
            <w:pStyle w:val="14"/>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_Toc18930 </w:instrText>
          </w:r>
          <w:r>
            <w:rPr>
              <w:rFonts w:hint="eastAsia" w:ascii="仿宋" w:hAnsi="仿宋" w:eastAsia="仿宋" w:cs="仿宋"/>
              <w:szCs w:val="24"/>
            </w:rPr>
            <w:fldChar w:fldCharType="separate"/>
          </w:r>
          <w:r>
            <w:rPr>
              <w:rFonts w:hint="eastAsia" w:ascii="黑体" w:hAnsi="黑体" w:eastAsia="黑体" w:cs="黑体"/>
              <w:bCs/>
              <w:szCs w:val="28"/>
              <w:lang w:val="en-US" w:eastAsia="zh-CN"/>
            </w:rPr>
            <w:t>八、其他需要说明的问题</w:t>
          </w:r>
          <w:r>
            <w:tab/>
          </w:r>
          <w:r>
            <w:fldChar w:fldCharType="begin"/>
          </w:r>
          <w:r>
            <w:instrText xml:space="preserve"> PAGEREF _Toc18930 \h </w:instrText>
          </w:r>
          <w:r>
            <w:fldChar w:fldCharType="separate"/>
          </w:r>
          <w:r>
            <w:t>26</w:t>
          </w:r>
          <w:r>
            <w:fldChar w:fldCharType="end"/>
          </w:r>
          <w:r>
            <w:rPr>
              <w:rFonts w:hint="eastAsia" w:ascii="仿宋" w:hAnsi="仿宋" w:eastAsia="仿宋" w:cs="仿宋"/>
              <w:szCs w:val="24"/>
            </w:rPr>
            <w:fldChar w:fldCharType="end"/>
          </w:r>
        </w:p>
        <w:p>
          <w:pPr>
            <w:pStyle w:val="14"/>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_Toc32636 </w:instrText>
          </w:r>
          <w:r>
            <w:rPr>
              <w:rFonts w:hint="eastAsia" w:ascii="仿宋" w:hAnsi="仿宋" w:eastAsia="仿宋" w:cs="仿宋"/>
              <w:szCs w:val="24"/>
            </w:rPr>
            <w:fldChar w:fldCharType="separate"/>
          </w:r>
          <w:r>
            <w:rPr>
              <w:rFonts w:hint="eastAsia" w:ascii="黑体" w:hAnsi="黑体" w:eastAsia="黑体" w:cs="黑体"/>
              <w:bCs/>
              <w:szCs w:val="28"/>
              <w:lang w:val="en-US" w:eastAsia="zh-CN"/>
            </w:rPr>
            <w:t>九、附件</w:t>
          </w:r>
          <w:r>
            <w:tab/>
          </w:r>
          <w:r>
            <w:fldChar w:fldCharType="begin"/>
          </w:r>
          <w:r>
            <w:instrText xml:space="preserve"> PAGEREF _Toc32636 \h </w:instrText>
          </w:r>
          <w:r>
            <w:fldChar w:fldCharType="separate"/>
          </w:r>
          <w:r>
            <w:t>26</w:t>
          </w:r>
          <w:r>
            <w:fldChar w:fldCharType="end"/>
          </w:r>
          <w:r>
            <w:rPr>
              <w:rFonts w:hint="eastAsia" w:ascii="仿宋" w:hAnsi="仿宋" w:eastAsia="仿宋" w:cs="仿宋"/>
              <w:szCs w:val="24"/>
            </w:rPr>
            <w:fldChar w:fldCharType="end"/>
          </w:r>
        </w:p>
        <w:p>
          <w:pPr>
            <w:pStyle w:val="14"/>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_Toc28545 </w:instrText>
          </w:r>
          <w:r>
            <w:rPr>
              <w:rFonts w:hint="eastAsia" w:ascii="仿宋" w:hAnsi="仿宋" w:eastAsia="仿宋" w:cs="仿宋"/>
              <w:szCs w:val="24"/>
            </w:rPr>
            <w:fldChar w:fldCharType="separate"/>
          </w:r>
          <w:r>
            <w:rPr>
              <w:rFonts w:hint="eastAsia" w:ascii="仿宋" w:hAnsi="仿宋" w:eastAsia="仿宋" w:cs="仿宋"/>
              <w:bCs w:val="0"/>
              <w:szCs w:val="28"/>
              <w:highlight w:val="none"/>
              <w:lang w:val="en-US" w:eastAsia="zh-CN"/>
            </w:rPr>
            <w:t xml:space="preserve">附件1 </w:t>
          </w:r>
          <w:r>
            <w:rPr>
              <w:rFonts w:hint="eastAsia" w:ascii="仿宋" w:hAnsi="仿宋" w:eastAsia="仿宋" w:cs="仿宋"/>
              <w:bCs w:val="0"/>
              <w:szCs w:val="28"/>
              <w:lang w:val="en-US" w:eastAsia="zh-CN"/>
            </w:rPr>
            <w:t>污染治理和节能减碳专项（节能减碳方向）2022年第二批中央预算内投资绩效评价指标体系表</w:t>
          </w:r>
          <w:r>
            <w:tab/>
          </w:r>
          <w:r>
            <w:fldChar w:fldCharType="begin"/>
          </w:r>
          <w:r>
            <w:instrText xml:space="preserve"> PAGEREF _Toc28545 \h </w:instrText>
          </w:r>
          <w:r>
            <w:fldChar w:fldCharType="separate"/>
          </w:r>
          <w:r>
            <w:t>26</w:t>
          </w:r>
          <w:r>
            <w:fldChar w:fldCharType="end"/>
          </w:r>
          <w:r>
            <w:rPr>
              <w:rFonts w:hint="eastAsia" w:ascii="仿宋" w:hAnsi="仿宋" w:eastAsia="仿宋" w:cs="仿宋"/>
              <w:szCs w:val="24"/>
            </w:rPr>
            <w:fldChar w:fldCharType="end"/>
          </w:r>
        </w:p>
        <w:p>
          <w:pPr>
            <w:pStyle w:val="14"/>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_Toc15413 </w:instrText>
          </w:r>
          <w:r>
            <w:rPr>
              <w:rFonts w:hint="eastAsia" w:ascii="仿宋" w:hAnsi="仿宋" w:eastAsia="仿宋" w:cs="仿宋"/>
              <w:szCs w:val="24"/>
            </w:rPr>
            <w:fldChar w:fldCharType="separate"/>
          </w:r>
          <w:r>
            <w:rPr>
              <w:rFonts w:hint="eastAsia" w:ascii="仿宋" w:hAnsi="仿宋" w:eastAsia="仿宋" w:cs="仿宋"/>
              <w:bCs w:val="0"/>
              <w:szCs w:val="28"/>
              <w:highlight w:val="none"/>
              <w:lang w:val="en-US" w:eastAsia="zh-CN"/>
            </w:rPr>
            <w:t xml:space="preserve">附件2 </w:t>
          </w:r>
          <w:r>
            <w:rPr>
              <w:rFonts w:hint="eastAsia" w:ascii="仿宋" w:hAnsi="仿宋" w:eastAsia="仿宋" w:cs="仿宋"/>
              <w:bCs w:val="0"/>
              <w:szCs w:val="28"/>
              <w:lang w:val="en-US" w:eastAsia="zh-CN"/>
            </w:rPr>
            <w:t>项目申报绩效目标表</w:t>
          </w:r>
          <w:r>
            <w:tab/>
          </w:r>
          <w:r>
            <w:fldChar w:fldCharType="begin"/>
          </w:r>
          <w:r>
            <w:instrText xml:space="preserve"> PAGEREF _Toc15413 \h </w:instrText>
          </w:r>
          <w:r>
            <w:fldChar w:fldCharType="separate"/>
          </w:r>
          <w:r>
            <w:t>26</w:t>
          </w:r>
          <w:r>
            <w:fldChar w:fldCharType="end"/>
          </w:r>
          <w:r>
            <w:rPr>
              <w:rFonts w:hint="eastAsia" w:ascii="仿宋" w:hAnsi="仿宋" w:eastAsia="仿宋" w:cs="仿宋"/>
              <w:szCs w:val="24"/>
            </w:rPr>
            <w:fldChar w:fldCharType="end"/>
          </w:r>
        </w:p>
        <w:p>
          <w:pPr>
            <w:pStyle w:val="14"/>
            <w:tabs>
              <w:tab w:val="right" w:leader="dot" w:pos="9134"/>
            </w:tabs>
          </w:pPr>
          <w:r>
            <w:rPr>
              <w:rFonts w:hint="eastAsia" w:ascii="仿宋" w:hAnsi="仿宋" w:eastAsia="仿宋" w:cs="仿宋"/>
              <w:szCs w:val="24"/>
            </w:rPr>
            <w:fldChar w:fldCharType="begin"/>
          </w:r>
          <w:r>
            <w:rPr>
              <w:rFonts w:hint="eastAsia" w:ascii="仿宋" w:hAnsi="仿宋" w:eastAsia="仿宋" w:cs="仿宋"/>
              <w:szCs w:val="24"/>
            </w:rPr>
            <w:instrText xml:space="preserve"> HYPERLINK \l _Toc21437 </w:instrText>
          </w:r>
          <w:r>
            <w:rPr>
              <w:rFonts w:hint="eastAsia" w:ascii="仿宋" w:hAnsi="仿宋" w:eastAsia="仿宋" w:cs="仿宋"/>
              <w:szCs w:val="24"/>
            </w:rPr>
            <w:fldChar w:fldCharType="separate"/>
          </w:r>
          <w:r>
            <w:rPr>
              <w:rFonts w:hint="eastAsia" w:ascii="仿宋" w:hAnsi="仿宋" w:eastAsia="仿宋" w:cs="仿宋"/>
              <w:bCs w:val="0"/>
              <w:szCs w:val="28"/>
              <w:highlight w:val="none"/>
              <w:lang w:val="en-US" w:eastAsia="zh-CN"/>
            </w:rPr>
            <w:t>附件3 实施单位项目绩效目标表</w:t>
          </w:r>
          <w:r>
            <w:tab/>
          </w:r>
          <w:r>
            <w:fldChar w:fldCharType="begin"/>
          </w:r>
          <w:r>
            <w:instrText xml:space="preserve"> PAGEREF _Toc21437 \h </w:instrText>
          </w:r>
          <w:r>
            <w:fldChar w:fldCharType="separate"/>
          </w:r>
          <w:r>
            <w:t>26</w:t>
          </w:r>
          <w:r>
            <w:fldChar w:fldCharType="end"/>
          </w:r>
          <w:r>
            <w:rPr>
              <w:rFonts w:hint="eastAsia" w:ascii="仿宋" w:hAnsi="仿宋" w:eastAsia="仿宋" w:cs="仿宋"/>
              <w:szCs w:val="24"/>
            </w:rPr>
            <w:fldChar w:fldCharType="end"/>
          </w:r>
        </w:p>
        <w:p>
          <w:pPr>
            <w:rPr>
              <w:rFonts w:hint="eastAsia" w:ascii="仿宋" w:hAnsi="仿宋" w:eastAsia="仿宋" w:cs="仿宋"/>
              <w:sz w:val="24"/>
              <w:szCs w:val="24"/>
            </w:rPr>
          </w:pPr>
          <w:r>
            <w:rPr>
              <w:rFonts w:hint="eastAsia" w:ascii="仿宋" w:hAnsi="仿宋" w:eastAsia="仿宋" w:cs="仿宋"/>
              <w:szCs w:val="24"/>
            </w:rPr>
            <w:fldChar w:fldCharType="end"/>
          </w:r>
        </w:p>
      </w:sdtContent>
    </w:sdt>
    <w:p>
      <w:pPr>
        <w:keepNext w:val="0"/>
        <w:pageBreakBefore w:val="0"/>
        <w:shd w:val="clear" w:fill="FFFFFF" w:themeFill="background1"/>
        <w:kinsoku/>
        <w:wordWrap/>
        <w:topLinePunct w:val="0"/>
        <w:bidi w:val="0"/>
        <w:snapToGrid/>
        <w:spacing w:line="240" w:lineRule="auto"/>
        <w:ind w:left="0" w:leftChars="0" w:right="0" w:firstLine="484" w:firstLineChars="200"/>
        <w:jc w:val="center"/>
        <w:outlineLvl w:val="0"/>
        <w:rPr>
          <w:rFonts w:hint="eastAsia" w:ascii="仿宋" w:hAnsi="仿宋" w:eastAsia="仿宋" w:cs="仿宋"/>
          <w:b/>
          <w:bCs/>
          <w:color w:val="auto"/>
          <w:sz w:val="24"/>
          <w:szCs w:val="24"/>
          <w:highlight w:val="none"/>
          <w:lang w:val="en-US" w:eastAsia="zh-CN"/>
        </w:rPr>
        <w:sectPr>
          <w:headerReference r:id="rId5" w:type="default"/>
          <w:footerReference r:id="rId6" w:type="default"/>
          <w:pgSz w:w="12240" w:h="15840"/>
          <w:pgMar w:top="1440" w:right="1519" w:bottom="1440" w:left="1587" w:header="850" w:footer="992" w:gutter="0"/>
          <w:pgBorders>
            <w:top w:val="none" w:sz="0" w:space="0"/>
            <w:left w:val="none" w:sz="0" w:space="0"/>
            <w:bottom w:val="none" w:sz="0" w:space="0"/>
            <w:right w:val="none" w:sz="0" w:space="0"/>
          </w:pgBorders>
          <w:pgNumType w:fmt="upperRoman" w:start="1"/>
          <w:cols w:space="0" w:num="1"/>
          <w:docGrid w:type="linesAndChars" w:linePitch="360" w:charSpace="462"/>
        </w:sectPr>
      </w:pPr>
    </w:p>
    <w:p>
      <w:pPr>
        <w:keepNext w:val="0"/>
        <w:pageBreakBefore w:val="0"/>
        <w:shd w:val="clear" w:fill="FFFFFF" w:themeFill="background1"/>
        <w:kinsoku/>
        <w:wordWrap/>
        <w:topLinePunct w:val="0"/>
        <w:bidi w:val="0"/>
        <w:snapToGrid/>
        <w:spacing w:line="240" w:lineRule="auto"/>
        <w:ind w:left="0" w:leftChars="0" w:right="0" w:firstLine="564" w:firstLineChars="200"/>
        <w:jc w:val="center"/>
        <w:outlineLvl w:val="0"/>
        <w:rPr>
          <w:rFonts w:hint="eastAsia" w:ascii="仿宋" w:hAnsi="仿宋" w:eastAsia="仿宋" w:cs="仿宋"/>
          <w:b/>
          <w:bCs/>
          <w:color w:val="auto"/>
          <w:sz w:val="28"/>
          <w:szCs w:val="28"/>
          <w:highlight w:val="none"/>
          <w:lang w:val="en-US" w:eastAsia="zh-CN"/>
        </w:rPr>
      </w:pPr>
      <w:bookmarkStart w:id="0" w:name="_Toc18914"/>
      <w:bookmarkStart w:id="1" w:name="_Toc25869"/>
      <w:bookmarkStart w:id="2" w:name="_Toc28508"/>
      <w:bookmarkStart w:id="3" w:name="_Toc15458"/>
      <w:bookmarkStart w:id="4" w:name="_Toc31649"/>
      <w:bookmarkStart w:id="5" w:name="_Toc11758"/>
      <w:bookmarkStart w:id="6" w:name="_Toc18811"/>
      <w:r>
        <w:rPr>
          <w:rFonts w:hint="eastAsia" w:ascii="仿宋" w:hAnsi="仿宋" w:eastAsia="仿宋" w:cs="仿宋"/>
          <w:b/>
          <w:bCs/>
          <w:color w:val="auto"/>
          <w:sz w:val="28"/>
          <w:szCs w:val="28"/>
          <w:highlight w:val="none"/>
          <w:lang w:val="en-US" w:eastAsia="zh-CN"/>
        </w:rPr>
        <w:t>前言</w:t>
      </w:r>
      <w:bookmarkEnd w:id="0"/>
      <w:bookmarkEnd w:id="1"/>
      <w:bookmarkEnd w:id="2"/>
      <w:bookmarkEnd w:id="3"/>
      <w:bookmarkEnd w:id="4"/>
      <w:bookmarkEnd w:id="5"/>
      <w:bookmarkEnd w:id="6"/>
    </w:p>
    <w:p>
      <w:pPr>
        <w:keepNext w:val="0"/>
        <w:keepLines w:val="0"/>
        <w:pageBreakBefore w:val="0"/>
        <w:widowControl/>
        <w:suppressLineNumbers w:val="0"/>
        <w:kinsoku/>
        <w:wordWrap/>
        <w:topLinePunct w:val="0"/>
        <w:bidi w:val="0"/>
        <w:snapToGrid/>
        <w:spacing w:line="240" w:lineRule="auto"/>
        <w:ind w:left="0" w:leftChars="0" w:right="0" w:firstLine="564" w:firstLineChars="200"/>
        <w:jc w:val="left"/>
        <w:rPr>
          <w:rFonts w:hint="eastAsia" w:ascii="仿宋" w:hAnsi="仿宋" w:eastAsia="仿宋" w:cs="仿宋"/>
          <w:color w:val="auto"/>
          <w:kern w:val="0"/>
          <w:sz w:val="28"/>
          <w:szCs w:val="28"/>
          <w:highlight w:val="none"/>
          <w:lang w:val="en-US" w:eastAsia="zh-CN"/>
        </w:rPr>
        <w:sectPr>
          <w:footerReference r:id="rId7" w:type="default"/>
          <w:pgSz w:w="12240" w:h="15840"/>
          <w:pgMar w:top="1440" w:right="1519" w:bottom="1440" w:left="1587" w:header="850" w:footer="992" w:gutter="0"/>
          <w:pgBorders>
            <w:top w:val="none" w:sz="0" w:space="0"/>
            <w:left w:val="none" w:sz="0" w:space="0"/>
            <w:bottom w:val="none" w:sz="0" w:space="0"/>
            <w:right w:val="none" w:sz="0" w:space="0"/>
          </w:pgBorders>
          <w:pgNumType w:fmt="decimal" w:start="1"/>
          <w:cols w:space="0" w:num="1"/>
          <w:docGrid w:type="linesAndChars" w:linePitch="360" w:charSpace="462"/>
        </w:sectPr>
      </w:pPr>
      <w:r>
        <w:rPr>
          <w:rFonts w:hint="eastAsia" w:ascii="仿宋" w:hAnsi="仿宋" w:eastAsia="仿宋" w:cs="仿宋"/>
          <w:color w:val="auto"/>
          <w:kern w:val="0"/>
          <w:sz w:val="28"/>
          <w:szCs w:val="28"/>
          <w:highlight w:val="none"/>
          <w:lang w:val="en-US" w:eastAsia="zh-CN"/>
        </w:rPr>
        <w:t>为加快推进绩效评价管理工作，提高财政资金使用效益，泉州市招标咨询中心有限公司地方财政绩效评价所受泉州市石狮市财政局</w:t>
      </w:r>
      <w:r>
        <w:rPr>
          <w:rFonts w:hint="eastAsia" w:ascii="仿宋" w:hAnsi="仿宋" w:eastAsia="仿宋" w:cs="仿宋"/>
          <w:color w:val="auto"/>
          <w:kern w:val="0"/>
          <w:sz w:val="28"/>
          <w:szCs w:val="28"/>
          <w:highlight w:val="none"/>
          <w:lang w:val="en-US" w:eastAsia="zh-CN" w:bidi="ar-SA"/>
        </w:rPr>
        <w:t>委托，依据《财政部关于印发&lt;项目支出绩效评价管理办法&gt;的通知》（财预〔2020〕10号）《中共中央国务院关于全面实施预算绩效管理的意见》（中发〔2018〕34号）</w:t>
      </w:r>
      <w:r>
        <w:rPr>
          <w:rFonts w:hint="eastAsia" w:ascii="仿宋" w:hAnsi="仿宋" w:eastAsia="仿宋" w:cs="仿宋"/>
          <w:color w:val="auto"/>
          <w:sz w:val="28"/>
          <w:szCs w:val="28"/>
          <w:highlight w:val="none"/>
        </w:rPr>
        <w:t>福建省委、省政府《关于全面实施预算绩效管理的实施意见》（闽委发〔2019〕5号）福建省财政厅《关于全面实施预算绩效管理若干措施的通知》（闽财绩〔2019〕2号）</w:t>
      </w:r>
      <w:r>
        <w:rPr>
          <w:rFonts w:hint="eastAsia" w:ascii="仿宋" w:hAnsi="仿宋" w:eastAsia="仿宋" w:cs="仿宋"/>
          <w:color w:val="auto"/>
          <w:kern w:val="0"/>
          <w:sz w:val="28"/>
          <w:szCs w:val="28"/>
          <w:highlight w:val="none"/>
          <w:lang w:val="en-US" w:eastAsia="zh-CN"/>
        </w:rPr>
        <w:t>《泉州市石狮市财政局关于开展2023年重点绩效评价工作的通知》</w:t>
      </w:r>
      <w:r>
        <w:rPr>
          <w:rFonts w:hint="eastAsia" w:ascii="仿宋" w:hAnsi="仿宋" w:eastAsia="仿宋" w:cs="仿宋"/>
          <w:color w:val="auto"/>
          <w:sz w:val="28"/>
          <w:szCs w:val="28"/>
          <w:highlight w:val="none"/>
        </w:rPr>
        <w:t>的文件</w:t>
      </w:r>
      <w:r>
        <w:rPr>
          <w:rFonts w:hint="eastAsia" w:ascii="仿宋" w:hAnsi="仿宋" w:eastAsia="仿宋" w:cs="仿宋"/>
          <w:color w:val="auto"/>
          <w:kern w:val="0"/>
          <w:sz w:val="28"/>
          <w:szCs w:val="28"/>
          <w:highlight w:val="none"/>
          <w:lang w:val="en-US" w:eastAsia="zh-CN" w:bidi="ar-SA"/>
        </w:rPr>
        <w:t>的要求，</w:t>
      </w:r>
      <w:r>
        <w:rPr>
          <w:rFonts w:hint="eastAsia" w:ascii="仿宋" w:hAnsi="仿宋" w:eastAsia="仿宋" w:cs="仿宋"/>
          <w:color w:val="auto"/>
          <w:kern w:val="0"/>
          <w:sz w:val="28"/>
          <w:szCs w:val="28"/>
          <w:highlight w:val="none"/>
          <w:lang w:val="en-US" w:eastAsia="zh-CN"/>
        </w:rPr>
        <w:t>对泉州市石狮市发展和改革局监管的泉州市百川彩纺科技有限公司污染治理和节能减碳专项（节能减碳方向）2022年第二批中央预算内投资资金开展了绩效评价工作。我中心评价小组经过数据采集、书面资料审查、实地调研、社会调查和分析研究等必要的绩效评价程序，并结合单位情况，在梳理、分析、研究评价数据资料的基础上，形成本评价报告。</w:t>
      </w:r>
    </w:p>
    <w:p>
      <w:pPr>
        <w:keepNext w:val="0"/>
        <w:keepLines w:val="0"/>
        <w:pageBreakBefore w:val="0"/>
        <w:widowControl/>
        <w:suppressLineNumbers w:val="0"/>
        <w:kinsoku/>
        <w:topLinePunct w:val="0"/>
        <w:bidi w:val="0"/>
        <w:spacing w:line="240" w:lineRule="auto"/>
        <w:ind w:leftChars="0"/>
        <w:jc w:val="center"/>
        <w:rPr>
          <w:rFonts w:hint="eastAsia" w:ascii="黑体" w:hAnsi="黑体" w:eastAsia="黑体" w:cs="黑体"/>
          <w:b/>
          <w:bCs/>
          <w:color w:val="auto"/>
          <w:sz w:val="28"/>
          <w:szCs w:val="28"/>
        </w:rPr>
      </w:pPr>
      <w:r>
        <w:rPr>
          <w:rFonts w:hint="eastAsia" w:ascii="黑体" w:hAnsi="黑体" w:eastAsia="黑体" w:cs="黑体"/>
          <w:b/>
          <w:bCs/>
          <w:color w:val="auto"/>
          <w:kern w:val="0"/>
          <w:sz w:val="28"/>
          <w:szCs w:val="28"/>
          <w:lang w:val="en-US" w:eastAsia="zh-CN" w:bidi="ar"/>
        </w:rPr>
        <w:t>报告正文</w:t>
      </w:r>
    </w:p>
    <w:p>
      <w:pPr>
        <w:keepNext w:val="0"/>
        <w:pageBreakBefore w:val="0"/>
        <w:kinsoku/>
        <w:topLinePunct w:val="0"/>
        <w:bidi w:val="0"/>
        <w:spacing w:line="240" w:lineRule="auto"/>
        <w:ind w:leftChars="0" w:firstLine="562" w:firstLineChars="200"/>
        <w:outlineLvl w:val="0"/>
        <w:rPr>
          <w:rFonts w:hint="eastAsia" w:ascii="黑体" w:hAnsi="黑体" w:eastAsia="黑体" w:cs="黑体"/>
          <w:b/>
          <w:bCs/>
          <w:color w:val="auto"/>
          <w:sz w:val="28"/>
          <w:szCs w:val="28"/>
        </w:rPr>
      </w:pPr>
      <w:bookmarkStart w:id="7" w:name="_Toc24038"/>
      <w:r>
        <w:rPr>
          <w:rFonts w:hint="eastAsia" w:ascii="黑体" w:hAnsi="黑体" w:eastAsia="黑体" w:cs="黑体"/>
          <w:b/>
          <w:bCs/>
          <w:color w:val="auto"/>
          <w:sz w:val="28"/>
          <w:szCs w:val="28"/>
        </w:rPr>
        <w:t>一、基本情况</w:t>
      </w:r>
      <w:bookmarkEnd w:id="7"/>
    </w:p>
    <w:p>
      <w:pPr>
        <w:keepNext w:val="0"/>
        <w:pageBreakBefore w:val="0"/>
        <w:kinsoku/>
        <w:topLinePunct w:val="0"/>
        <w:bidi w:val="0"/>
        <w:spacing w:line="240" w:lineRule="auto"/>
        <w:ind w:leftChars="0" w:firstLine="562" w:firstLineChars="200"/>
        <w:outlineLvl w:val="1"/>
        <w:rPr>
          <w:rFonts w:hint="eastAsia" w:ascii="楷体" w:hAnsi="楷体" w:eastAsia="楷体" w:cs="楷体"/>
          <w:b/>
          <w:bCs/>
          <w:color w:val="auto"/>
          <w:sz w:val="28"/>
          <w:szCs w:val="28"/>
          <w:lang w:val="en-US" w:eastAsia="zh-CN"/>
        </w:rPr>
      </w:pPr>
      <w:bookmarkStart w:id="8" w:name="_Toc12267"/>
      <w:r>
        <w:rPr>
          <w:rFonts w:hint="eastAsia" w:ascii="楷体" w:hAnsi="楷体" w:eastAsia="楷体" w:cs="楷体"/>
          <w:b/>
          <w:bCs/>
          <w:color w:val="auto"/>
          <w:sz w:val="28"/>
          <w:szCs w:val="28"/>
        </w:rPr>
        <w:t>（一）项目</w:t>
      </w:r>
      <w:r>
        <w:rPr>
          <w:rFonts w:hint="eastAsia" w:ascii="楷体" w:hAnsi="楷体" w:eastAsia="楷体" w:cs="楷体"/>
          <w:b/>
          <w:bCs/>
          <w:color w:val="auto"/>
          <w:sz w:val="28"/>
          <w:szCs w:val="28"/>
          <w:lang w:val="en-US" w:eastAsia="zh-CN"/>
        </w:rPr>
        <w:t>背景</w:t>
      </w:r>
      <w:bookmarkEnd w:id="8"/>
    </w:p>
    <w:p>
      <w:pPr>
        <w:keepNext w:val="0"/>
        <w:pageBreakBefore w:val="0"/>
        <w:kinsoku/>
        <w:topLinePunct w:val="0"/>
        <w:bidi w:val="0"/>
        <w:spacing w:line="240" w:lineRule="auto"/>
        <w:ind w:leftChars="0"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rPr>
        <w:t>发展循环经济是我国经济社会发展的一项重大战略，“十四五”时期我国进入新发展阶段，开启全面建设社会主义现代化国家新征程。大力发展循环经济，推进资源节约集约利用，构建资源循环型产业体系和废旧物资循环利用体系，对保障国家资源安全、推进循环经济助力降碳行动、推动实现“碳达峰、碳中和”、促进生态文明建设具有重大意义。</w:t>
      </w:r>
    </w:p>
    <w:p>
      <w:pPr>
        <w:keepNext w:val="0"/>
        <w:pageBreakBefore w:val="0"/>
        <w:kinsoku/>
        <w:topLinePunct w:val="0"/>
        <w:bidi w:val="0"/>
        <w:spacing w:line="240" w:lineRule="auto"/>
        <w:ind w:leftChars="0" w:firstLine="560" w:firstLineChars="200"/>
        <w:rPr>
          <w:rFonts w:hint="default" w:ascii="仿宋" w:hAnsi="仿宋" w:eastAsia="仿宋" w:cs="仿宋"/>
          <w:color w:val="auto"/>
          <w:sz w:val="28"/>
          <w:szCs w:val="28"/>
          <w:lang w:val="en-US" w:eastAsia="zh-CN"/>
        </w:rPr>
      </w:pPr>
      <w:r>
        <w:rPr>
          <w:rFonts w:hint="default" w:ascii="仿宋" w:hAnsi="仿宋" w:eastAsia="仿宋" w:cs="仿宋"/>
          <w:color w:val="auto"/>
          <w:sz w:val="28"/>
          <w:szCs w:val="28"/>
          <w:lang w:val="en-US" w:eastAsia="zh-CN"/>
        </w:rPr>
        <w:t>我国塑料工业近年来一直保持快速发展的态势，产销量都位居全球首位，其中塑料制品产量占世界总产量的比重约为20%，而废旧塑料已构成了严重威胁我国环境与民生的“白色污染”，保守估计每年各类塑料制品废弃量超过500万吨。本项目主要利用废旧PET塑料瓶这一城市典型废旧物资为原料，构建城市废旧物资回收循环利用体系，生产再生涤纶纤维等产品，可降低新化工原料的消耗，从而减少石油消耗和生产过程的环境污染，实现节约资源，降低排放，同时可以带来经济效益和社会效益，对我国化纤工业、纺织工业乃至资源综合利用产业的可持续发展具有重要意义。</w:t>
      </w:r>
    </w:p>
    <w:p>
      <w:pPr>
        <w:keepNext w:val="0"/>
        <w:pageBreakBefore w:val="0"/>
        <w:kinsoku/>
        <w:topLinePunct w:val="0"/>
        <w:bidi w:val="0"/>
        <w:spacing w:line="240" w:lineRule="auto"/>
        <w:ind w:leftChars="0" w:firstLine="560" w:firstLineChars="200"/>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因此，在此背景下，产生了</w:t>
      </w:r>
      <w:r>
        <w:rPr>
          <w:rFonts w:hint="eastAsia" w:ascii="仿宋" w:hAnsi="仿宋" w:eastAsia="仿宋" w:cs="仿宋"/>
          <w:color w:val="auto"/>
          <w:kern w:val="2"/>
          <w:sz w:val="28"/>
          <w:szCs w:val="28"/>
          <w:lang w:val="en-US" w:eastAsia="zh-CN" w:bidi="ar-SA"/>
        </w:rPr>
        <w:t>1亿米再生绿色生态纺织品及3000吨熔喷纺织品生产项目。</w:t>
      </w:r>
    </w:p>
    <w:p>
      <w:pPr>
        <w:keepNext w:val="0"/>
        <w:pageBreakBefore w:val="0"/>
        <w:kinsoku/>
        <w:topLinePunct w:val="0"/>
        <w:bidi w:val="0"/>
        <w:spacing w:line="240" w:lineRule="auto"/>
        <w:ind w:leftChars="0" w:firstLine="562" w:firstLineChars="200"/>
        <w:outlineLvl w:val="1"/>
        <w:rPr>
          <w:rFonts w:hint="eastAsia" w:ascii="楷体" w:hAnsi="楷体" w:eastAsia="楷体" w:cs="楷体"/>
          <w:color w:val="auto"/>
          <w:kern w:val="2"/>
          <w:sz w:val="28"/>
          <w:szCs w:val="28"/>
          <w:lang w:val="en-US" w:eastAsia="zh-CN" w:bidi="ar-SA"/>
        </w:rPr>
      </w:pPr>
      <w:bookmarkStart w:id="9" w:name="_Toc10080"/>
      <w:r>
        <w:rPr>
          <w:rFonts w:hint="eastAsia" w:ascii="楷体" w:hAnsi="楷体" w:eastAsia="楷体" w:cs="楷体"/>
          <w:b/>
          <w:bCs/>
          <w:color w:val="auto"/>
          <w:kern w:val="2"/>
          <w:sz w:val="28"/>
          <w:szCs w:val="28"/>
          <w:lang w:val="en-US" w:eastAsia="zh-CN" w:bidi="ar-SA"/>
        </w:rPr>
        <w:t>（二）项目</w:t>
      </w:r>
      <w:bookmarkStart w:id="10" w:name="_Toc23541"/>
      <w:r>
        <w:rPr>
          <w:rFonts w:hint="eastAsia" w:ascii="楷体" w:hAnsi="楷体" w:eastAsia="楷体" w:cs="楷体"/>
          <w:b/>
          <w:bCs/>
          <w:color w:val="auto"/>
          <w:kern w:val="2"/>
          <w:sz w:val="28"/>
          <w:szCs w:val="28"/>
          <w:lang w:val="en-US" w:eastAsia="zh-CN" w:bidi="ar-SA"/>
        </w:rPr>
        <w:t>基本信息</w:t>
      </w:r>
      <w:bookmarkEnd w:id="9"/>
    </w:p>
    <w:p>
      <w:pPr>
        <w:keepNext w:val="0"/>
        <w:pageBreakBefore w:val="0"/>
        <w:kinsoku/>
        <w:topLinePunct w:val="0"/>
        <w:bidi w:val="0"/>
        <w:spacing w:line="240" w:lineRule="auto"/>
        <w:ind w:leftChars="0" w:firstLine="560" w:firstLineChars="200"/>
        <w:outlineLvl w:val="9"/>
        <w:rPr>
          <w:rFonts w:hint="default" w:ascii="仿宋" w:hAnsi="仿宋" w:eastAsia="仿宋" w:cs="仿宋"/>
          <w:color w:val="auto"/>
          <w:kern w:val="2"/>
          <w:sz w:val="28"/>
          <w:szCs w:val="28"/>
          <w:lang w:val="en-US" w:eastAsia="zh-CN" w:bidi="ar-SA"/>
        </w:rPr>
      </w:pPr>
      <w:r>
        <w:rPr>
          <w:rFonts w:hint="eastAsia" w:ascii="仿宋" w:hAnsi="仿宋" w:eastAsia="仿宋" w:cs="仿宋"/>
          <w:color w:val="auto"/>
          <w:kern w:val="2"/>
          <w:sz w:val="28"/>
          <w:szCs w:val="28"/>
          <w:lang w:val="en-US" w:eastAsia="zh-CN" w:bidi="ar-SA"/>
        </w:rPr>
        <w:t>项目名称：1亿米再生绿色生态纺织品及3000吨熔喷纺织品生产项目，以下简称“本项目”。</w:t>
      </w:r>
    </w:p>
    <w:p>
      <w:pPr>
        <w:keepNext w:val="0"/>
        <w:pageBreakBefore w:val="0"/>
        <w:kinsoku/>
        <w:topLinePunct w:val="0"/>
        <w:bidi w:val="0"/>
        <w:spacing w:line="240" w:lineRule="auto"/>
        <w:ind w:firstLine="560" w:firstLineChars="200"/>
        <w:outlineLvl w:val="9"/>
        <w:rPr>
          <w:rFonts w:hint="eastAsia" w:ascii="仿宋" w:hAnsi="仿宋" w:eastAsia="仿宋" w:cs="仿宋"/>
          <w:color w:val="auto"/>
          <w:kern w:val="2"/>
          <w:sz w:val="28"/>
          <w:szCs w:val="28"/>
          <w:lang w:val="en-US" w:eastAsia="zh-CN" w:bidi="ar-SA"/>
        </w:rPr>
      </w:pPr>
      <w:r>
        <w:rPr>
          <w:rFonts w:hint="eastAsia" w:ascii="仿宋" w:hAnsi="仿宋" w:eastAsia="仿宋" w:cs="仿宋"/>
          <w:color w:val="auto"/>
          <w:kern w:val="2"/>
          <w:sz w:val="28"/>
          <w:szCs w:val="28"/>
          <w:lang w:val="en-US" w:eastAsia="zh-CN" w:bidi="ar-SA"/>
        </w:rPr>
        <w:t>建设单位：泉州市百川彩纺科技有限公司。</w:t>
      </w:r>
    </w:p>
    <w:p>
      <w:pPr>
        <w:keepNext w:val="0"/>
        <w:pageBreakBefore w:val="0"/>
        <w:kinsoku/>
        <w:topLinePunct w:val="0"/>
        <w:bidi w:val="0"/>
        <w:spacing w:line="240" w:lineRule="auto"/>
        <w:ind w:firstLine="560" w:firstLineChars="200"/>
        <w:outlineLvl w:val="9"/>
        <w:rPr>
          <w:rFonts w:hint="eastAsia" w:ascii="仿宋" w:hAnsi="仿宋" w:eastAsia="仿宋" w:cs="仿宋"/>
          <w:color w:val="auto"/>
          <w:kern w:val="2"/>
          <w:sz w:val="28"/>
          <w:szCs w:val="28"/>
          <w:lang w:val="en-US" w:eastAsia="zh-CN" w:bidi="ar-SA"/>
        </w:rPr>
      </w:pPr>
      <w:r>
        <w:rPr>
          <w:rFonts w:hint="eastAsia" w:ascii="仿宋" w:hAnsi="仿宋" w:eastAsia="仿宋" w:cs="仿宋"/>
          <w:color w:val="auto"/>
          <w:kern w:val="2"/>
          <w:sz w:val="28"/>
          <w:szCs w:val="28"/>
          <w:lang w:val="en-US" w:eastAsia="zh-CN" w:bidi="ar-SA"/>
        </w:rPr>
        <w:t>建设性质：新建。</w:t>
      </w:r>
    </w:p>
    <w:p>
      <w:pPr>
        <w:keepNext w:val="0"/>
        <w:pageBreakBefore w:val="0"/>
        <w:kinsoku/>
        <w:topLinePunct w:val="0"/>
        <w:bidi w:val="0"/>
        <w:spacing w:line="240" w:lineRule="auto"/>
        <w:ind w:leftChars="0" w:firstLine="560" w:firstLineChars="200"/>
        <w:outlineLvl w:val="9"/>
        <w:rPr>
          <w:rFonts w:hint="eastAsia" w:ascii="仿宋" w:hAnsi="仿宋" w:eastAsia="仿宋" w:cs="仿宋"/>
          <w:color w:val="auto"/>
          <w:kern w:val="2"/>
          <w:sz w:val="28"/>
          <w:szCs w:val="28"/>
          <w:lang w:val="en-US" w:eastAsia="zh-CN" w:bidi="ar-SA"/>
        </w:rPr>
      </w:pPr>
      <w:r>
        <w:rPr>
          <w:rFonts w:hint="eastAsia" w:ascii="仿宋" w:hAnsi="仿宋" w:eastAsia="仿宋" w:cs="仿宋"/>
          <w:color w:val="auto"/>
          <w:kern w:val="2"/>
          <w:sz w:val="28"/>
          <w:szCs w:val="28"/>
          <w:lang w:val="en-US" w:eastAsia="zh-CN" w:bidi="ar-SA"/>
        </w:rPr>
        <w:t>建设地址：福建省泉州市石狮市蚶江镇高技术产业园区。</w:t>
      </w:r>
    </w:p>
    <w:p>
      <w:pPr>
        <w:keepNext w:val="0"/>
        <w:pageBreakBefore w:val="0"/>
        <w:kinsoku/>
        <w:topLinePunct w:val="0"/>
        <w:bidi w:val="0"/>
        <w:spacing w:line="240" w:lineRule="auto"/>
        <w:ind w:leftChars="0" w:firstLine="560" w:firstLineChars="200"/>
        <w:outlineLvl w:val="9"/>
        <w:rPr>
          <w:rFonts w:hint="eastAsia" w:ascii="仿宋" w:hAnsi="仿宋" w:eastAsia="仿宋" w:cs="仿宋"/>
          <w:color w:val="auto"/>
          <w:kern w:val="2"/>
          <w:sz w:val="28"/>
          <w:szCs w:val="28"/>
          <w:lang w:val="en-US" w:eastAsia="zh-CN" w:bidi="ar-SA"/>
        </w:rPr>
      </w:pPr>
      <w:r>
        <w:rPr>
          <w:rFonts w:hint="eastAsia" w:ascii="仿宋" w:hAnsi="仿宋" w:eastAsia="仿宋" w:cs="仿宋"/>
          <w:color w:val="auto"/>
          <w:kern w:val="2"/>
          <w:sz w:val="28"/>
          <w:szCs w:val="28"/>
          <w:lang w:val="en-US" w:eastAsia="zh-CN" w:bidi="ar-SA"/>
        </w:rPr>
        <w:t>建设内容：本项目建设施工周期为两年，项目于2021年10月取得施工许可证，2022年11月前完成主要土建工程，2023年年中全面投产达标。持续构建城市典型废弃物——废PET塑料瓶回收循环利用体系，拟规划建筑面积约为11万平方米，计划引进编织机、喷水织机、剑杆织机、后整理、熔喷等生产线及相关辅助设备，购置厂区生产用办公设备及相应运输设备。可实现年回收约40000吨废旧塑料瓶用于资源化再生处理，年消纳20000吨废旧塑料瓶，年产1亿米再生绿色生态纺织品，3000吨熔喷纺织品的生产规模。主要建筑面积110000平方米，新增生产能力1亿米再生绿色生态纺织品、3000吨熔喷纺织品。</w:t>
      </w:r>
    </w:p>
    <w:bookmarkEnd w:id="10"/>
    <w:p>
      <w:pPr>
        <w:keepNext w:val="0"/>
        <w:pageBreakBefore w:val="0"/>
        <w:kinsoku/>
        <w:topLinePunct w:val="0"/>
        <w:bidi w:val="0"/>
        <w:spacing w:line="240" w:lineRule="auto"/>
        <w:ind w:leftChars="0" w:firstLine="562" w:firstLineChars="200"/>
        <w:outlineLvl w:val="1"/>
        <w:rPr>
          <w:rFonts w:hint="eastAsia" w:ascii="楷体" w:hAnsi="楷体" w:eastAsia="楷体" w:cs="楷体"/>
          <w:b/>
          <w:bCs/>
          <w:color w:val="auto"/>
          <w:kern w:val="2"/>
          <w:sz w:val="28"/>
          <w:szCs w:val="28"/>
          <w:lang w:val="en-US" w:eastAsia="zh-CN" w:bidi="ar-SA"/>
        </w:rPr>
      </w:pPr>
      <w:bookmarkStart w:id="11" w:name="_Toc20199"/>
      <w:r>
        <w:rPr>
          <w:rFonts w:hint="eastAsia" w:ascii="楷体" w:hAnsi="楷体" w:eastAsia="楷体" w:cs="楷体"/>
          <w:b/>
          <w:bCs/>
          <w:color w:val="auto"/>
          <w:kern w:val="2"/>
          <w:sz w:val="28"/>
          <w:szCs w:val="28"/>
          <w:lang w:val="en-US" w:eastAsia="zh-CN" w:bidi="ar-SA"/>
        </w:rPr>
        <w:t>（三）项目实施情况</w:t>
      </w:r>
      <w:bookmarkEnd w:id="11"/>
    </w:p>
    <w:p>
      <w:pPr>
        <w:keepNext w:val="0"/>
        <w:keepLines w:val="0"/>
        <w:pageBreakBefore w:val="0"/>
        <w:widowControl w:val="0"/>
        <w:kinsoku/>
        <w:wordWrap/>
        <w:overflowPunct/>
        <w:topLinePunct w:val="0"/>
        <w:autoSpaceDE/>
        <w:autoSpaceDN/>
        <w:bidi w:val="0"/>
        <w:adjustRightInd/>
        <w:snapToGrid/>
        <w:spacing w:line="240" w:lineRule="auto"/>
        <w:ind w:leftChars="0" w:firstLine="562" w:firstLineChars="200"/>
        <w:textAlignment w:val="auto"/>
        <w:outlineLvl w:val="2"/>
        <w:rPr>
          <w:rFonts w:hint="default" w:ascii="仿宋" w:hAnsi="仿宋" w:eastAsia="仿宋" w:cs="仿宋"/>
          <w:b/>
          <w:bCs/>
          <w:color w:val="auto"/>
          <w:sz w:val="28"/>
          <w:szCs w:val="28"/>
          <w:lang w:val="en-US" w:eastAsia="zh-CN"/>
        </w:rPr>
      </w:pPr>
      <w:bookmarkStart w:id="12" w:name="_Toc27469"/>
      <w:r>
        <w:rPr>
          <w:rFonts w:hint="eastAsia" w:ascii="仿宋" w:hAnsi="仿宋" w:eastAsia="仿宋" w:cs="仿宋"/>
          <w:b/>
          <w:bCs/>
          <w:color w:val="auto"/>
          <w:sz w:val="28"/>
          <w:szCs w:val="28"/>
          <w:lang w:val="en-US" w:eastAsia="zh-CN"/>
        </w:rPr>
        <w:t>1.前期手续</w:t>
      </w:r>
      <w:bookmarkEnd w:id="12"/>
    </w:p>
    <w:p>
      <w:pPr>
        <w:keepNext w:val="0"/>
        <w:pageBreakBefore w:val="0"/>
        <w:kinsoku/>
        <w:topLinePunct w:val="0"/>
        <w:bidi w:val="0"/>
        <w:spacing w:line="240" w:lineRule="auto"/>
        <w:ind w:leftChars="0" w:firstLine="560" w:firstLineChars="200"/>
        <w:outlineLvl w:val="9"/>
        <w:rPr>
          <w:rFonts w:hint="default" w:ascii="仿宋" w:hAnsi="仿宋" w:eastAsia="仿宋" w:cs="仿宋"/>
          <w:b w:val="0"/>
          <w:bCs w:val="0"/>
          <w:color w:val="auto"/>
          <w:kern w:val="2"/>
          <w:sz w:val="28"/>
          <w:szCs w:val="28"/>
          <w:lang w:val="en-US" w:eastAsia="zh-CN" w:bidi="ar-SA"/>
        </w:rPr>
      </w:pPr>
      <w:r>
        <w:rPr>
          <w:rFonts w:hint="default" w:ascii="仿宋" w:hAnsi="仿宋" w:eastAsia="仿宋" w:cs="仿宋"/>
          <w:b w:val="0"/>
          <w:bCs w:val="0"/>
          <w:color w:val="auto"/>
          <w:kern w:val="2"/>
          <w:sz w:val="28"/>
          <w:szCs w:val="28"/>
          <w:lang w:val="en-US" w:eastAsia="zh-CN" w:bidi="ar-SA"/>
        </w:rPr>
        <w:t>本项目</w:t>
      </w:r>
      <w:r>
        <w:rPr>
          <w:rFonts w:hint="eastAsia" w:ascii="仿宋" w:hAnsi="仿宋" w:eastAsia="仿宋" w:cs="仿宋"/>
          <w:b w:val="0"/>
          <w:bCs w:val="0"/>
          <w:color w:val="auto"/>
          <w:kern w:val="2"/>
          <w:sz w:val="28"/>
          <w:szCs w:val="28"/>
          <w:lang w:val="en-US" w:eastAsia="zh-CN" w:bidi="ar-SA"/>
        </w:rPr>
        <w:t>在资金申请前按照规定已完成在</w:t>
      </w:r>
      <w:r>
        <w:rPr>
          <w:rFonts w:hint="default" w:ascii="仿宋" w:hAnsi="仿宋" w:eastAsia="仿宋" w:cs="仿宋"/>
          <w:b w:val="0"/>
          <w:bCs w:val="0"/>
          <w:color w:val="auto"/>
          <w:kern w:val="2"/>
          <w:sz w:val="28"/>
          <w:szCs w:val="28"/>
          <w:lang w:val="en-US" w:eastAsia="zh-CN" w:bidi="ar-SA"/>
        </w:rPr>
        <w:t>石狮市发展和改革局</w:t>
      </w:r>
      <w:r>
        <w:rPr>
          <w:rFonts w:hint="eastAsia" w:ascii="仿宋" w:hAnsi="仿宋" w:eastAsia="仿宋" w:cs="仿宋"/>
          <w:b w:val="0"/>
          <w:bCs w:val="0"/>
          <w:color w:val="auto"/>
          <w:kern w:val="2"/>
          <w:sz w:val="28"/>
          <w:szCs w:val="28"/>
          <w:lang w:val="en-US" w:eastAsia="zh-CN" w:bidi="ar-SA"/>
        </w:rPr>
        <w:t>的</w:t>
      </w:r>
      <w:r>
        <w:rPr>
          <w:rFonts w:hint="default" w:ascii="仿宋" w:hAnsi="仿宋" w:eastAsia="仿宋" w:cs="仿宋"/>
          <w:b w:val="0"/>
          <w:bCs w:val="0"/>
          <w:color w:val="auto"/>
          <w:kern w:val="2"/>
          <w:sz w:val="28"/>
          <w:szCs w:val="28"/>
          <w:lang w:val="en-US" w:eastAsia="zh-CN" w:bidi="ar-SA"/>
        </w:rPr>
        <w:t>备案，项目代码为2020-350581-28-03-023688。</w:t>
      </w:r>
      <w:r>
        <w:rPr>
          <w:rFonts w:hint="eastAsia" w:ascii="仿宋" w:hAnsi="仿宋" w:eastAsia="仿宋" w:cs="仿宋"/>
          <w:b w:val="0"/>
          <w:bCs w:val="0"/>
          <w:color w:val="auto"/>
          <w:kern w:val="2"/>
          <w:sz w:val="28"/>
          <w:szCs w:val="28"/>
          <w:lang w:val="en-US" w:eastAsia="zh-CN" w:bidi="ar-SA"/>
        </w:rPr>
        <w:t>并</w:t>
      </w:r>
      <w:r>
        <w:rPr>
          <w:rFonts w:hint="default" w:ascii="仿宋" w:hAnsi="仿宋" w:eastAsia="仿宋" w:cs="仿宋"/>
          <w:b w:val="0"/>
          <w:bCs w:val="0"/>
          <w:color w:val="auto"/>
          <w:kern w:val="2"/>
          <w:sz w:val="28"/>
          <w:szCs w:val="28"/>
          <w:lang w:val="en-US" w:eastAsia="zh-CN" w:bidi="ar-SA"/>
        </w:rPr>
        <w:t>取得环评批复、土地规划、施工许可证等等。</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8"/>
        <w:gridCol w:w="1516"/>
        <w:gridCol w:w="2230"/>
        <w:gridCol w:w="1711"/>
        <w:gridCol w:w="1421"/>
        <w:gridCol w:w="1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8" w:type="dxa"/>
          </w:tcPr>
          <w:p>
            <w:pPr>
              <w:keepNext w:val="0"/>
              <w:pageBreakBefore w:val="0"/>
              <w:kinsoku/>
              <w:topLinePunct w:val="0"/>
              <w:bidi w:val="0"/>
              <w:spacing w:line="240" w:lineRule="auto"/>
              <w:jc w:val="center"/>
              <w:outlineLvl w:val="9"/>
              <w:rPr>
                <w:rFonts w:hint="default" w:ascii="仿宋" w:hAnsi="仿宋" w:eastAsia="仿宋" w:cs="仿宋"/>
                <w:b/>
                <w:bCs/>
                <w:color w:val="auto"/>
                <w:kern w:val="2"/>
                <w:sz w:val="24"/>
                <w:szCs w:val="24"/>
                <w:vertAlign w:val="baseline"/>
                <w:lang w:val="en-US" w:eastAsia="zh-CN" w:bidi="ar-SA"/>
              </w:rPr>
            </w:pPr>
            <w:r>
              <w:rPr>
                <w:rFonts w:hint="eastAsia" w:ascii="仿宋" w:hAnsi="仿宋" w:eastAsia="仿宋" w:cs="仿宋"/>
                <w:b/>
                <w:bCs/>
                <w:color w:val="auto"/>
                <w:kern w:val="2"/>
                <w:sz w:val="24"/>
                <w:szCs w:val="24"/>
                <w:vertAlign w:val="baseline"/>
                <w:lang w:val="en-US" w:eastAsia="zh-CN" w:bidi="ar-SA"/>
              </w:rPr>
              <w:t>序号</w:t>
            </w:r>
          </w:p>
        </w:tc>
        <w:tc>
          <w:tcPr>
            <w:tcW w:w="1516" w:type="dxa"/>
          </w:tcPr>
          <w:p>
            <w:pPr>
              <w:keepNext w:val="0"/>
              <w:keepLines w:val="0"/>
              <w:pageBreakBefore w:val="0"/>
              <w:widowControl w:val="0"/>
              <w:kinsoku/>
              <w:wordWrap/>
              <w:overflowPunct/>
              <w:topLinePunct w:val="0"/>
              <w:autoSpaceDE/>
              <w:autoSpaceDN/>
              <w:bidi w:val="0"/>
              <w:adjustRightInd/>
              <w:snapToGrid/>
              <w:spacing w:line="240" w:lineRule="atLeast"/>
              <w:jc w:val="center"/>
              <w:textAlignment w:val="auto"/>
              <w:outlineLvl w:val="9"/>
              <w:rPr>
                <w:rFonts w:hint="default" w:ascii="仿宋" w:hAnsi="仿宋" w:eastAsia="仿宋" w:cs="仿宋"/>
                <w:b/>
                <w:bCs/>
                <w:color w:val="auto"/>
                <w:kern w:val="2"/>
                <w:sz w:val="24"/>
                <w:szCs w:val="24"/>
                <w:vertAlign w:val="baseline"/>
                <w:lang w:val="en-US" w:eastAsia="zh-CN" w:bidi="ar-SA"/>
              </w:rPr>
            </w:pPr>
            <w:r>
              <w:rPr>
                <w:rFonts w:hint="eastAsia" w:ascii="仿宋" w:hAnsi="仿宋" w:eastAsia="仿宋" w:cs="仿宋"/>
                <w:b/>
                <w:bCs/>
                <w:color w:val="auto"/>
                <w:kern w:val="2"/>
                <w:sz w:val="24"/>
                <w:szCs w:val="24"/>
                <w:vertAlign w:val="baseline"/>
                <w:lang w:val="en-US" w:eastAsia="zh-CN" w:bidi="ar-SA"/>
              </w:rPr>
              <w:t>批文单位</w:t>
            </w:r>
          </w:p>
        </w:tc>
        <w:tc>
          <w:tcPr>
            <w:tcW w:w="2230" w:type="dxa"/>
          </w:tcPr>
          <w:p>
            <w:pPr>
              <w:keepNext w:val="0"/>
              <w:keepLines w:val="0"/>
              <w:pageBreakBefore w:val="0"/>
              <w:widowControl w:val="0"/>
              <w:kinsoku/>
              <w:wordWrap/>
              <w:overflowPunct/>
              <w:topLinePunct w:val="0"/>
              <w:autoSpaceDE/>
              <w:autoSpaceDN/>
              <w:bidi w:val="0"/>
              <w:adjustRightInd/>
              <w:snapToGrid/>
              <w:spacing w:line="240" w:lineRule="atLeast"/>
              <w:jc w:val="center"/>
              <w:textAlignment w:val="auto"/>
              <w:outlineLvl w:val="9"/>
              <w:rPr>
                <w:rFonts w:hint="default" w:ascii="仿宋" w:hAnsi="仿宋" w:eastAsia="仿宋" w:cs="仿宋"/>
                <w:b/>
                <w:bCs/>
                <w:color w:val="auto"/>
                <w:kern w:val="2"/>
                <w:sz w:val="24"/>
                <w:szCs w:val="24"/>
                <w:vertAlign w:val="baseline"/>
                <w:lang w:val="en-US" w:eastAsia="zh-CN" w:bidi="ar-SA"/>
              </w:rPr>
            </w:pPr>
            <w:r>
              <w:rPr>
                <w:rFonts w:hint="eastAsia" w:ascii="仿宋" w:hAnsi="仿宋" w:eastAsia="仿宋" w:cs="仿宋"/>
                <w:b/>
                <w:bCs/>
                <w:color w:val="auto"/>
                <w:kern w:val="2"/>
                <w:sz w:val="24"/>
                <w:szCs w:val="24"/>
                <w:vertAlign w:val="baseline"/>
                <w:lang w:val="en-US" w:eastAsia="zh-CN" w:bidi="ar-SA"/>
              </w:rPr>
              <w:t>文件名称</w:t>
            </w:r>
          </w:p>
        </w:tc>
        <w:tc>
          <w:tcPr>
            <w:tcW w:w="1711" w:type="dxa"/>
          </w:tcPr>
          <w:p>
            <w:pPr>
              <w:keepNext w:val="0"/>
              <w:keepLines w:val="0"/>
              <w:pageBreakBefore w:val="0"/>
              <w:widowControl w:val="0"/>
              <w:kinsoku/>
              <w:wordWrap/>
              <w:overflowPunct/>
              <w:topLinePunct w:val="0"/>
              <w:autoSpaceDE/>
              <w:autoSpaceDN/>
              <w:bidi w:val="0"/>
              <w:adjustRightInd/>
              <w:snapToGrid/>
              <w:spacing w:line="240" w:lineRule="atLeast"/>
              <w:jc w:val="center"/>
              <w:textAlignment w:val="auto"/>
              <w:outlineLvl w:val="9"/>
              <w:rPr>
                <w:rFonts w:hint="default" w:ascii="仿宋" w:hAnsi="仿宋" w:eastAsia="仿宋" w:cs="仿宋"/>
                <w:b/>
                <w:bCs/>
                <w:color w:val="auto"/>
                <w:kern w:val="2"/>
                <w:sz w:val="24"/>
                <w:szCs w:val="24"/>
                <w:vertAlign w:val="baseline"/>
                <w:lang w:val="en-US" w:eastAsia="zh-CN" w:bidi="ar-SA"/>
              </w:rPr>
            </w:pPr>
            <w:r>
              <w:rPr>
                <w:rFonts w:hint="eastAsia" w:ascii="仿宋" w:hAnsi="仿宋" w:eastAsia="仿宋" w:cs="仿宋"/>
                <w:b/>
                <w:bCs/>
                <w:color w:val="auto"/>
                <w:kern w:val="2"/>
                <w:sz w:val="24"/>
                <w:szCs w:val="24"/>
                <w:vertAlign w:val="baseline"/>
                <w:lang w:val="en-US" w:eastAsia="zh-CN" w:bidi="ar-SA"/>
              </w:rPr>
              <w:t>文号/编码</w:t>
            </w:r>
          </w:p>
        </w:tc>
        <w:tc>
          <w:tcPr>
            <w:tcW w:w="1421" w:type="dxa"/>
          </w:tcPr>
          <w:p>
            <w:pPr>
              <w:keepNext w:val="0"/>
              <w:keepLines w:val="0"/>
              <w:pageBreakBefore w:val="0"/>
              <w:widowControl w:val="0"/>
              <w:kinsoku/>
              <w:wordWrap/>
              <w:overflowPunct/>
              <w:topLinePunct w:val="0"/>
              <w:autoSpaceDE/>
              <w:autoSpaceDN/>
              <w:bidi w:val="0"/>
              <w:adjustRightInd/>
              <w:snapToGrid/>
              <w:spacing w:line="240" w:lineRule="atLeast"/>
              <w:jc w:val="center"/>
              <w:textAlignment w:val="auto"/>
              <w:outlineLvl w:val="9"/>
              <w:rPr>
                <w:rFonts w:hint="default" w:ascii="仿宋" w:hAnsi="仿宋" w:eastAsia="仿宋" w:cs="仿宋"/>
                <w:b/>
                <w:bCs/>
                <w:color w:val="auto"/>
                <w:kern w:val="2"/>
                <w:sz w:val="24"/>
                <w:szCs w:val="24"/>
                <w:vertAlign w:val="baseline"/>
                <w:lang w:val="en-US" w:eastAsia="zh-CN" w:bidi="ar-SA"/>
              </w:rPr>
            </w:pPr>
            <w:r>
              <w:rPr>
                <w:rFonts w:hint="eastAsia" w:ascii="仿宋" w:hAnsi="仿宋" w:eastAsia="仿宋" w:cs="仿宋"/>
                <w:b/>
                <w:bCs/>
                <w:color w:val="auto"/>
                <w:kern w:val="2"/>
                <w:sz w:val="24"/>
                <w:szCs w:val="24"/>
                <w:vertAlign w:val="baseline"/>
                <w:lang w:val="en-US" w:eastAsia="zh-CN" w:bidi="ar-SA"/>
              </w:rPr>
              <w:t>办理日期</w:t>
            </w:r>
          </w:p>
        </w:tc>
        <w:tc>
          <w:tcPr>
            <w:tcW w:w="1410" w:type="dxa"/>
          </w:tcPr>
          <w:p>
            <w:pPr>
              <w:keepNext w:val="0"/>
              <w:keepLines w:val="0"/>
              <w:pageBreakBefore w:val="0"/>
              <w:widowControl w:val="0"/>
              <w:kinsoku/>
              <w:wordWrap/>
              <w:overflowPunct/>
              <w:topLinePunct w:val="0"/>
              <w:autoSpaceDE/>
              <w:autoSpaceDN/>
              <w:bidi w:val="0"/>
              <w:adjustRightInd/>
              <w:snapToGrid/>
              <w:spacing w:line="240" w:lineRule="atLeast"/>
              <w:jc w:val="center"/>
              <w:textAlignment w:val="auto"/>
              <w:outlineLvl w:val="9"/>
              <w:rPr>
                <w:rFonts w:hint="default" w:ascii="仿宋" w:hAnsi="仿宋" w:eastAsia="仿宋" w:cs="仿宋"/>
                <w:b/>
                <w:bCs/>
                <w:color w:val="auto"/>
                <w:kern w:val="2"/>
                <w:sz w:val="24"/>
                <w:szCs w:val="24"/>
                <w:vertAlign w:val="baseline"/>
                <w:lang w:val="en-US" w:eastAsia="zh-CN" w:bidi="ar-SA"/>
              </w:rPr>
            </w:pPr>
            <w:r>
              <w:rPr>
                <w:rFonts w:hint="eastAsia" w:ascii="仿宋" w:hAnsi="仿宋" w:eastAsia="仿宋" w:cs="仿宋"/>
                <w:b/>
                <w:bCs/>
                <w:color w:val="auto"/>
                <w:kern w:val="2"/>
                <w:sz w:val="24"/>
                <w:szCs w:val="24"/>
                <w:vertAlign w:val="baseline"/>
                <w:lang w:val="en-US" w:eastAsia="zh-CN" w:bidi="ar-S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9" w:hRule="atLeast"/>
          <w:jc w:val="center"/>
        </w:trPr>
        <w:tc>
          <w:tcPr>
            <w:tcW w:w="728"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eastAsia" w:ascii="仿宋" w:hAnsi="仿宋" w:eastAsia="仿宋" w:cs="仿宋"/>
                <w:i w:val="0"/>
                <w:iCs w:val="0"/>
                <w:color w:val="323232"/>
                <w:kern w:val="0"/>
                <w:sz w:val="21"/>
                <w:szCs w:val="21"/>
                <w:u w:val="none"/>
                <w:lang w:val="en-US" w:eastAsia="zh-CN" w:bidi="ar"/>
              </w:rPr>
              <w:t>1</w:t>
            </w:r>
          </w:p>
        </w:tc>
        <w:tc>
          <w:tcPr>
            <w:tcW w:w="1516"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eastAsia" w:ascii="仿宋" w:hAnsi="仿宋" w:eastAsia="仿宋" w:cs="仿宋"/>
                <w:i w:val="0"/>
                <w:iCs w:val="0"/>
                <w:color w:val="323232"/>
                <w:kern w:val="0"/>
                <w:sz w:val="21"/>
                <w:szCs w:val="21"/>
                <w:u w:val="none"/>
                <w:lang w:val="en-US" w:eastAsia="zh-CN" w:bidi="ar"/>
              </w:rPr>
              <w:t>石狮市发展和改革局</w:t>
            </w:r>
          </w:p>
        </w:tc>
        <w:tc>
          <w:tcPr>
            <w:tcW w:w="2230"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eastAsia" w:ascii="仿宋" w:hAnsi="仿宋" w:eastAsia="仿宋" w:cs="仿宋"/>
                <w:i w:val="0"/>
                <w:iCs w:val="0"/>
                <w:color w:val="323232"/>
                <w:kern w:val="0"/>
                <w:sz w:val="21"/>
                <w:szCs w:val="21"/>
                <w:u w:val="none"/>
                <w:lang w:val="en-US" w:eastAsia="zh-CN" w:bidi="ar"/>
              </w:rPr>
              <w:t>福建省企业投资项目备案证明（内资）</w:t>
            </w:r>
          </w:p>
        </w:tc>
        <w:tc>
          <w:tcPr>
            <w:tcW w:w="1711" w:type="dxa"/>
          </w:tcPr>
          <w:p>
            <w:pPr>
              <w:keepNext w:val="0"/>
              <w:keepLines w:val="0"/>
              <w:widowControl/>
              <w:suppressLineNumbers w:val="0"/>
              <w:jc w:val="center"/>
              <w:textAlignment w:val="center"/>
              <w:rPr>
                <w:rFonts w:hint="eastAsia" w:ascii="仿宋" w:hAnsi="仿宋" w:eastAsia="仿宋" w:cs="仿宋"/>
                <w:i w:val="0"/>
                <w:iCs w:val="0"/>
                <w:color w:val="323232"/>
                <w:kern w:val="0"/>
                <w:sz w:val="21"/>
                <w:szCs w:val="21"/>
                <w:u w:val="none"/>
                <w:lang w:val="en-US" w:eastAsia="zh-CN" w:bidi="ar"/>
              </w:rPr>
            </w:pPr>
            <w:r>
              <w:rPr>
                <w:rFonts w:hint="eastAsia" w:ascii="仿宋" w:hAnsi="仿宋" w:eastAsia="仿宋" w:cs="仿宋"/>
                <w:i w:val="0"/>
                <w:iCs w:val="0"/>
                <w:color w:val="323232"/>
                <w:kern w:val="0"/>
                <w:sz w:val="21"/>
                <w:szCs w:val="21"/>
                <w:u w:val="none"/>
                <w:lang w:val="en-US" w:eastAsia="zh-CN" w:bidi="ar"/>
              </w:rPr>
              <w:t>项目代码：</w:t>
            </w:r>
          </w:p>
          <w:p>
            <w:pPr>
              <w:keepNext w:val="0"/>
              <w:keepLines w:val="0"/>
              <w:widowControl/>
              <w:suppressLineNumbers w:val="0"/>
              <w:jc w:val="center"/>
              <w:textAlignment w:val="center"/>
              <w:rPr>
                <w:rFonts w:hint="eastAsia"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2020-350581-2</w:t>
            </w:r>
          </w:p>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8-123688</w:t>
            </w:r>
          </w:p>
        </w:tc>
        <w:tc>
          <w:tcPr>
            <w:tcW w:w="1421" w:type="dxa"/>
          </w:tcPr>
          <w:p>
            <w:pPr>
              <w:keepNext w:val="0"/>
              <w:keepLines w:val="0"/>
              <w:widowControl/>
              <w:suppressLineNumbers w:val="0"/>
              <w:jc w:val="center"/>
              <w:textAlignment w:val="center"/>
              <w:rPr>
                <w:rFonts w:hint="eastAsia"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2021</w:t>
            </w:r>
            <w:r>
              <w:rPr>
                <w:rFonts w:hint="eastAsia" w:ascii="仿宋" w:hAnsi="仿宋" w:eastAsia="仿宋" w:cs="仿宋"/>
                <w:i w:val="0"/>
                <w:iCs w:val="0"/>
                <w:color w:val="323232"/>
                <w:kern w:val="0"/>
                <w:sz w:val="21"/>
                <w:szCs w:val="21"/>
                <w:u w:val="none"/>
                <w:lang w:val="en-US" w:eastAsia="zh-CN" w:bidi="ar"/>
              </w:rPr>
              <w:t>年</w:t>
            </w:r>
            <w:r>
              <w:rPr>
                <w:rFonts w:hint="default" w:ascii="仿宋" w:hAnsi="仿宋" w:eastAsia="仿宋" w:cs="仿宋"/>
                <w:i w:val="0"/>
                <w:iCs w:val="0"/>
                <w:color w:val="323232"/>
                <w:kern w:val="0"/>
                <w:sz w:val="21"/>
                <w:szCs w:val="21"/>
                <w:u w:val="none"/>
                <w:lang w:val="en-US" w:eastAsia="zh-CN" w:bidi="ar"/>
              </w:rPr>
              <w:t>7</w:t>
            </w:r>
            <w:r>
              <w:rPr>
                <w:rFonts w:hint="eastAsia" w:ascii="仿宋" w:hAnsi="仿宋" w:eastAsia="仿宋" w:cs="仿宋"/>
                <w:i w:val="0"/>
                <w:iCs w:val="0"/>
                <w:color w:val="323232"/>
                <w:kern w:val="0"/>
                <w:sz w:val="21"/>
                <w:szCs w:val="21"/>
                <w:u w:val="none"/>
                <w:lang w:val="en-US" w:eastAsia="zh-CN" w:bidi="ar"/>
              </w:rPr>
              <w:t>月</w:t>
            </w:r>
            <w:r>
              <w:rPr>
                <w:rFonts w:hint="default" w:ascii="仿宋" w:hAnsi="仿宋" w:eastAsia="仿宋" w:cs="仿宋"/>
                <w:i w:val="0"/>
                <w:iCs w:val="0"/>
                <w:color w:val="323232"/>
                <w:kern w:val="0"/>
                <w:sz w:val="21"/>
                <w:szCs w:val="21"/>
                <w:u w:val="none"/>
                <w:lang w:val="en-US" w:eastAsia="zh-CN" w:bidi="ar"/>
              </w:rPr>
              <w:t>7</w:t>
            </w:r>
            <w:r>
              <w:rPr>
                <w:rFonts w:hint="eastAsia" w:ascii="仿宋" w:hAnsi="仿宋" w:eastAsia="仿宋" w:cs="仿宋"/>
                <w:i w:val="0"/>
                <w:iCs w:val="0"/>
                <w:color w:val="323232"/>
                <w:kern w:val="0"/>
                <w:sz w:val="21"/>
                <w:szCs w:val="21"/>
                <w:u w:val="none"/>
                <w:lang w:val="en-US" w:eastAsia="zh-CN" w:bidi="ar"/>
              </w:rPr>
              <w:t>日</w:t>
            </w:r>
          </w:p>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p>
        </w:tc>
        <w:tc>
          <w:tcPr>
            <w:tcW w:w="1410"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eastAsia" w:ascii="仿宋" w:hAnsi="仿宋" w:eastAsia="仿宋" w:cs="仿宋"/>
                <w:i w:val="0"/>
                <w:iCs w:val="0"/>
                <w:color w:val="323232"/>
                <w:kern w:val="0"/>
                <w:sz w:val="21"/>
                <w:szCs w:val="21"/>
                <w:u w:val="none"/>
                <w:lang w:val="en-US" w:eastAsia="zh-CN" w:bidi="ar"/>
              </w:rPr>
              <w:t>已完成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8"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eastAsia" w:ascii="仿宋" w:hAnsi="仿宋" w:eastAsia="仿宋" w:cs="仿宋"/>
                <w:i w:val="0"/>
                <w:iCs w:val="0"/>
                <w:color w:val="323232"/>
                <w:kern w:val="0"/>
                <w:sz w:val="21"/>
                <w:szCs w:val="21"/>
                <w:u w:val="none"/>
                <w:lang w:val="en-US" w:eastAsia="zh-CN" w:bidi="ar"/>
              </w:rPr>
              <w:t>2</w:t>
            </w:r>
          </w:p>
        </w:tc>
        <w:tc>
          <w:tcPr>
            <w:tcW w:w="1516"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eastAsia" w:ascii="仿宋" w:hAnsi="仿宋" w:eastAsia="仿宋" w:cs="仿宋"/>
                <w:i w:val="0"/>
                <w:iCs w:val="0"/>
                <w:color w:val="323232"/>
                <w:kern w:val="0"/>
                <w:sz w:val="21"/>
                <w:szCs w:val="21"/>
                <w:u w:val="none"/>
                <w:lang w:val="en-US" w:eastAsia="zh-CN" w:bidi="ar"/>
              </w:rPr>
              <w:t>石狮市自然资源局</w:t>
            </w:r>
          </w:p>
        </w:tc>
        <w:tc>
          <w:tcPr>
            <w:tcW w:w="2230" w:type="dxa"/>
          </w:tcPr>
          <w:p>
            <w:pPr>
              <w:keepNext w:val="0"/>
              <w:keepLines w:val="0"/>
              <w:widowControl/>
              <w:suppressLineNumbers w:val="0"/>
              <w:jc w:val="center"/>
              <w:textAlignment w:val="center"/>
              <w:rPr>
                <w:rFonts w:hint="eastAsia" w:ascii="仿宋" w:hAnsi="仿宋" w:eastAsia="仿宋" w:cs="仿宋"/>
                <w:i w:val="0"/>
                <w:iCs w:val="0"/>
                <w:color w:val="323232"/>
                <w:kern w:val="0"/>
                <w:sz w:val="21"/>
                <w:szCs w:val="21"/>
                <w:u w:val="none"/>
                <w:lang w:val="en-US" w:eastAsia="zh-CN" w:bidi="ar"/>
              </w:rPr>
            </w:pPr>
            <w:r>
              <w:rPr>
                <w:rFonts w:hint="eastAsia" w:ascii="仿宋" w:hAnsi="仿宋" w:eastAsia="仿宋" w:cs="仿宋"/>
                <w:i w:val="0"/>
                <w:iCs w:val="0"/>
                <w:color w:val="323232"/>
                <w:kern w:val="0"/>
                <w:sz w:val="21"/>
                <w:szCs w:val="21"/>
                <w:u w:val="none"/>
                <w:lang w:val="en-US" w:eastAsia="zh-CN" w:bidi="ar"/>
              </w:rPr>
              <w:t>关于下达石狮市</w:t>
            </w:r>
          </w:p>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2018S-31</w:t>
            </w:r>
            <w:r>
              <w:rPr>
                <w:rFonts w:hint="eastAsia" w:ascii="仿宋" w:hAnsi="仿宋" w:eastAsia="仿宋" w:cs="仿宋"/>
                <w:i w:val="0"/>
                <w:iCs w:val="0"/>
                <w:color w:val="323232"/>
                <w:kern w:val="0"/>
                <w:sz w:val="21"/>
                <w:szCs w:val="21"/>
                <w:u w:val="none"/>
                <w:lang w:val="en-US" w:eastAsia="zh-CN" w:bidi="ar"/>
              </w:rPr>
              <w:t>号地块用地规划条件的通知</w:t>
            </w:r>
          </w:p>
        </w:tc>
        <w:tc>
          <w:tcPr>
            <w:tcW w:w="1711"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eastAsia" w:ascii="仿宋" w:hAnsi="仿宋" w:eastAsia="仿宋" w:cs="仿宋"/>
                <w:i w:val="0"/>
                <w:iCs w:val="0"/>
                <w:color w:val="323232"/>
                <w:kern w:val="0"/>
                <w:sz w:val="21"/>
                <w:szCs w:val="21"/>
                <w:u w:val="none"/>
                <w:lang w:val="en-US" w:eastAsia="zh-CN" w:bidi="ar"/>
              </w:rPr>
              <w:t>狮自然资规（</w:t>
            </w:r>
            <w:r>
              <w:rPr>
                <w:rFonts w:hint="default" w:ascii="仿宋" w:hAnsi="仿宋" w:eastAsia="仿宋" w:cs="仿宋"/>
                <w:i w:val="0"/>
                <w:iCs w:val="0"/>
                <w:color w:val="323232"/>
                <w:kern w:val="0"/>
                <w:sz w:val="21"/>
                <w:szCs w:val="21"/>
                <w:u w:val="none"/>
                <w:lang w:val="en-US" w:eastAsia="zh-CN" w:bidi="ar"/>
              </w:rPr>
              <w:t>2020</w:t>
            </w:r>
            <w:r>
              <w:rPr>
                <w:rFonts w:hint="eastAsia" w:ascii="仿宋" w:hAnsi="仿宋" w:eastAsia="仿宋" w:cs="仿宋"/>
                <w:i w:val="0"/>
                <w:iCs w:val="0"/>
                <w:color w:val="323232"/>
                <w:kern w:val="0"/>
                <w:sz w:val="21"/>
                <w:szCs w:val="21"/>
                <w:u w:val="none"/>
                <w:lang w:val="en-US" w:eastAsia="zh-CN" w:bidi="ar"/>
              </w:rPr>
              <w:t>）</w:t>
            </w:r>
            <w:r>
              <w:rPr>
                <w:rFonts w:hint="default" w:ascii="仿宋" w:hAnsi="仿宋" w:eastAsia="仿宋" w:cs="仿宋"/>
                <w:i w:val="0"/>
                <w:iCs w:val="0"/>
                <w:color w:val="323232"/>
                <w:kern w:val="0"/>
                <w:sz w:val="21"/>
                <w:szCs w:val="21"/>
                <w:u w:val="none"/>
                <w:lang w:val="en-US" w:eastAsia="zh-CN" w:bidi="ar"/>
              </w:rPr>
              <w:t>19</w:t>
            </w:r>
            <w:r>
              <w:rPr>
                <w:rFonts w:hint="eastAsia" w:ascii="仿宋" w:hAnsi="仿宋" w:eastAsia="仿宋" w:cs="仿宋"/>
                <w:i w:val="0"/>
                <w:iCs w:val="0"/>
                <w:color w:val="323232"/>
                <w:kern w:val="0"/>
                <w:sz w:val="21"/>
                <w:szCs w:val="21"/>
                <w:u w:val="none"/>
                <w:lang w:val="en-US" w:eastAsia="zh-CN" w:bidi="ar"/>
              </w:rPr>
              <w:t>号</w:t>
            </w:r>
          </w:p>
        </w:tc>
        <w:tc>
          <w:tcPr>
            <w:tcW w:w="1421"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202</w:t>
            </w:r>
            <w:r>
              <w:rPr>
                <w:rFonts w:hint="eastAsia" w:ascii="仿宋" w:hAnsi="仿宋" w:eastAsia="仿宋" w:cs="仿宋"/>
                <w:i w:val="0"/>
                <w:iCs w:val="0"/>
                <w:color w:val="323232"/>
                <w:kern w:val="0"/>
                <w:sz w:val="21"/>
                <w:szCs w:val="21"/>
                <w:u w:val="none"/>
                <w:lang w:val="en-US" w:eastAsia="zh-CN" w:bidi="ar"/>
              </w:rPr>
              <w:t>0年3月23日</w:t>
            </w:r>
          </w:p>
        </w:tc>
        <w:tc>
          <w:tcPr>
            <w:tcW w:w="1410"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eastAsia" w:ascii="仿宋" w:hAnsi="仿宋" w:eastAsia="仿宋" w:cs="仿宋"/>
                <w:i w:val="0"/>
                <w:iCs w:val="0"/>
                <w:color w:val="323232"/>
                <w:kern w:val="0"/>
                <w:sz w:val="21"/>
                <w:szCs w:val="21"/>
                <w:u w:val="none"/>
                <w:lang w:val="en-US" w:eastAsia="zh-CN" w:bidi="ar"/>
              </w:rPr>
              <w:t>已完成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8"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eastAsia" w:ascii="仿宋" w:hAnsi="仿宋" w:eastAsia="仿宋" w:cs="仿宋"/>
                <w:i w:val="0"/>
                <w:iCs w:val="0"/>
                <w:color w:val="323232"/>
                <w:kern w:val="0"/>
                <w:sz w:val="21"/>
                <w:szCs w:val="21"/>
                <w:u w:val="none"/>
                <w:lang w:val="en-US" w:eastAsia="zh-CN" w:bidi="ar"/>
              </w:rPr>
              <w:t>3</w:t>
            </w:r>
          </w:p>
        </w:tc>
        <w:tc>
          <w:tcPr>
            <w:tcW w:w="1516"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eastAsia" w:ascii="仿宋" w:hAnsi="仿宋" w:eastAsia="仿宋" w:cs="仿宋"/>
                <w:i w:val="0"/>
                <w:iCs w:val="0"/>
                <w:color w:val="323232"/>
                <w:kern w:val="0"/>
                <w:sz w:val="21"/>
                <w:szCs w:val="21"/>
                <w:u w:val="none"/>
                <w:lang w:val="en-US" w:eastAsia="zh-CN" w:bidi="ar"/>
              </w:rPr>
              <w:t>石狮市自然资源局</w:t>
            </w:r>
          </w:p>
        </w:tc>
        <w:tc>
          <w:tcPr>
            <w:tcW w:w="2230" w:type="dxa"/>
          </w:tcPr>
          <w:p>
            <w:pPr>
              <w:keepNext w:val="0"/>
              <w:keepLines w:val="0"/>
              <w:widowControl/>
              <w:suppressLineNumbers w:val="0"/>
              <w:jc w:val="center"/>
              <w:textAlignment w:val="center"/>
              <w:rPr>
                <w:rFonts w:hint="eastAsia" w:ascii="仿宋" w:hAnsi="仿宋" w:eastAsia="仿宋" w:cs="仿宋"/>
                <w:i w:val="0"/>
                <w:iCs w:val="0"/>
                <w:color w:val="323232"/>
                <w:kern w:val="0"/>
                <w:sz w:val="21"/>
                <w:szCs w:val="21"/>
                <w:u w:val="none"/>
                <w:lang w:val="en-US" w:eastAsia="zh-CN" w:bidi="ar"/>
              </w:rPr>
            </w:pPr>
            <w:r>
              <w:rPr>
                <w:rFonts w:hint="eastAsia" w:ascii="仿宋" w:hAnsi="仿宋" w:eastAsia="仿宋" w:cs="仿宋"/>
                <w:i w:val="0"/>
                <w:iCs w:val="0"/>
                <w:color w:val="323232"/>
                <w:kern w:val="0"/>
                <w:sz w:val="21"/>
                <w:szCs w:val="21"/>
                <w:u w:val="none"/>
                <w:lang w:val="en-US" w:eastAsia="zh-CN" w:bidi="ar"/>
              </w:rPr>
              <w:t xml:space="preserve">建设用地规划许可证 </w:t>
            </w:r>
          </w:p>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p>
        </w:tc>
        <w:tc>
          <w:tcPr>
            <w:tcW w:w="1711"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eastAsia" w:ascii="仿宋" w:hAnsi="仿宋" w:eastAsia="仿宋" w:cs="仿宋"/>
                <w:i w:val="0"/>
                <w:iCs w:val="0"/>
                <w:color w:val="323232"/>
                <w:kern w:val="0"/>
                <w:sz w:val="21"/>
                <w:szCs w:val="21"/>
                <w:u w:val="none"/>
                <w:lang w:val="en-US" w:eastAsia="zh-CN" w:bidi="ar"/>
              </w:rPr>
              <w:t>地字第</w:t>
            </w:r>
            <w:r>
              <w:rPr>
                <w:rFonts w:hint="default" w:ascii="仿宋" w:hAnsi="仿宋" w:eastAsia="仿宋" w:cs="仿宋"/>
                <w:i w:val="0"/>
                <w:iCs w:val="0"/>
                <w:color w:val="323232"/>
                <w:kern w:val="0"/>
                <w:sz w:val="21"/>
                <w:szCs w:val="21"/>
                <w:u w:val="none"/>
                <w:lang w:val="en-US" w:eastAsia="zh-CN" w:bidi="ar"/>
              </w:rPr>
              <w:t>350581202000 039</w:t>
            </w:r>
            <w:r>
              <w:rPr>
                <w:rFonts w:hint="eastAsia" w:ascii="仿宋" w:hAnsi="仿宋" w:eastAsia="仿宋" w:cs="仿宋"/>
                <w:i w:val="0"/>
                <w:iCs w:val="0"/>
                <w:color w:val="323232"/>
                <w:kern w:val="0"/>
                <w:sz w:val="21"/>
                <w:szCs w:val="21"/>
                <w:u w:val="none"/>
                <w:lang w:val="en-US" w:eastAsia="zh-CN" w:bidi="ar"/>
              </w:rPr>
              <w:t>号</w:t>
            </w:r>
          </w:p>
        </w:tc>
        <w:tc>
          <w:tcPr>
            <w:tcW w:w="1421"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202</w:t>
            </w:r>
            <w:r>
              <w:rPr>
                <w:rFonts w:hint="eastAsia" w:ascii="仿宋" w:hAnsi="仿宋" w:eastAsia="仿宋" w:cs="仿宋"/>
                <w:i w:val="0"/>
                <w:iCs w:val="0"/>
                <w:color w:val="323232"/>
                <w:kern w:val="0"/>
                <w:sz w:val="21"/>
                <w:szCs w:val="21"/>
                <w:u w:val="none"/>
                <w:lang w:val="en-US" w:eastAsia="zh-CN" w:bidi="ar"/>
              </w:rPr>
              <w:t>0年6月4日</w:t>
            </w:r>
          </w:p>
        </w:tc>
        <w:tc>
          <w:tcPr>
            <w:tcW w:w="1410"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eastAsia" w:ascii="仿宋" w:hAnsi="仿宋" w:eastAsia="仿宋" w:cs="仿宋"/>
                <w:i w:val="0"/>
                <w:iCs w:val="0"/>
                <w:color w:val="323232"/>
                <w:kern w:val="0"/>
                <w:sz w:val="21"/>
                <w:szCs w:val="21"/>
                <w:u w:val="none"/>
                <w:lang w:val="en-US" w:eastAsia="zh-CN" w:bidi="ar"/>
              </w:rPr>
              <w:t>已完成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8"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eastAsia" w:ascii="仿宋" w:hAnsi="仿宋" w:eastAsia="仿宋" w:cs="仿宋"/>
                <w:i w:val="0"/>
                <w:iCs w:val="0"/>
                <w:color w:val="323232"/>
                <w:kern w:val="0"/>
                <w:sz w:val="21"/>
                <w:szCs w:val="21"/>
                <w:u w:val="none"/>
                <w:lang w:val="en-US" w:eastAsia="zh-CN" w:bidi="ar"/>
              </w:rPr>
              <w:t>4</w:t>
            </w:r>
          </w:p>
        </w:tc>
        <w:tc>
          <w:tcPr>
            <w:tcW w:w="1516"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华侨大学建</w:t>
            </w:r>
          </w:p>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筑工程施工</w:t>
            </w:r>
          </w:p>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图审查（泉</w:t>
            </w:r>
          </w:p>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州）有限责任公司</w:t>
            </w:r>
          </w:p>
        </w:tc>
        <w:tc>
          <w:tcPr>
            <w:tcW w:w="2230"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福建省房屋建筑和市政基础设施工程施工图设计文件审查合格书</w:t>
            </w:r>
          </w:p>
        </w:tc>
        <w:tc>
          <w:tcPr>
            <w:tcW w:w="1711"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350581200409</w:t>
            </w:r>
          </w:p>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0104-TX-003</w:t>
            </w:r>
          </w:p>
        </w:tc>
        <w:tc>
          <w:tcPr>
            <w:tcW w:w="1421"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2021</w:t>
            </w:r>
            <w:r>
              <w:rPr>
                <w:rFonts w:hint="eastAsia" w:ascii="仿宋" w:hAnsi="仿宋" w:eastAsia="仿宋" w:cs="仿宋"/>
                <w:i w:val="0"/>
                <w:iCs w:val="0"/>
                <w:color w:val="323232"/>
                <w:kern w:val="0"/>
                <w:sz w:val="21"/>
                <w:szCs w:val="21"/>
                <w:u w:val="none"/>
                <w:lang w:val="en-US" w:eastAsia="zh-CN" w:bidi="ar"/>
              </w:rPr>
              <w:t>年10月23日</w:t>
            </w:r>
          </w:p>
        </w:tc>
        <w:tc>
          <w:tcPr>
            <w:tcW w:w="1410"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eastAsia" w:ascii="仿宋" w:hAnsi="仿宋" w:eastAsia="仿宋" w:cs="仿宋"/>
                <w:i w:val="0"/>
                <w:iCs w:val="0"/>
                <w:color w:val="323232"/>
                <w:kern w:val="0"/>
                <w:sz w:val="21"/>
                <w:szCs w:val="21"/>
                <w:u w:val="none"/>
                <w:lang w:val="en-US" w:eastAsia="zh-CN" w:bidi="ar"/>
              </w:rPr>
              <w:t>已完成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8"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eastAsia" w:ascii="仿宋" w:hAnsi="仿宋" w:eastAsia="仿宋" w:cs="仿宋"/>
                <w:i w:val="0"/>
                <w:iCs w:val="0"/>
                <w:color w:val="323232"/>
                <w:kern w:val="0"/>
                <w:sz w:val="21"/>
                <w:szCs w:val="21"/>
                <w:u w:val="none"/>
                <w:lang w:val="en-US" w:eastAsia="zh-CN" w:bidi="ar"/>
              </w:rPr>
              <w:t>5</w:t>
            </w:r>
          </w:p>
        </w:tc>
        <w:tc>
          <w:tcPr>
            <w:tcW w:w="1516"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石狮市住房</w:t>
            </w:r>
            <w:r>
              <w:rPr>
                <w:rFonts w:hint="eastAsia" w:ascii="仿宋" w:hAnsi="仿宋" w:eastAsia="仿宋" w:cs="仿宋"/>
                <w:i w:val="0"/>
                <w:iCs w:val="0"/>
                <w:color w:val="323232"/>
                <w:kern w:val="0"/>
                <w:sz w:val="21"/>
                <w:szCs w:val="21"/>
                <w:u w:val="none"/>
                <w:lang w:val="en-US" w:eastAsia="zh-CN" w:bidi="ar"/>
              </w:rPr>
              <w:t>和城乡建设局</w:t>
            </w:r>
          </w:p>
        </w:tc>
        <w:tc>
          <w:tcPr>
            <w:tcW w:w="2230"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eastAsia" w:ascii="仿宋" w:hAnsi="仿宋" w:eastAsia="仿宋" w:cs="仿宋"/>
                <w:i w:val="0"/>
                <w:iCs w:val="0"/>
                <w:color w:val="323232"/>
                <w:kern w:val="0"/>
                <w:sz w:val="21"/>
                <w:szCs w:val="21"/>
                <w:u w:val="none"/>
                <w:lang w:val="en-US" w:eastAsia="zh-CN" w:bidi="ar"/>
              </w:rPr>
              <w:t>建筑工程施工许可证</w:t>
            </w:r>
          </w:p>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p>
        </w:tc>
        <w:tc>
          <w:tcPr>
            <w:tcW w:w="1711"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350581200409</w:t>
            </w:r>
          </w:p>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0104-SX-001</w:t>
            </w:r>
          </w:p>
        </w:tc>
        <w:tc>
          <w:tcPr>
            <w:tcW w:w="1421"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2021</w:t>
            </w:r>
            <w:r>
              <w:rPr>
                <w:rFonts w:hint="eastAsia" w:ascii="仿宋" w:hAnsi="仿宋" w:eastAsia="仿宋" w:cs="仿宋"/>
                <w:i w:val="0"/>
                <w:iCs w:val="0"/>
                <w:color w:val="323232"/>
                <w:kern w:val="0"/>
                <w:sz w:val="21"/>
                <w:szCs w:val="21"/>
                <w:u w:val="none"/>
                <w:lang w:val="en-US" w:eastAsia="zh-CN" w:bidi="ar"/>
              </w:rPr>
              <w:t>年10月2</w:t>
            </w:r>
            <w:r>
              <w:rPr>
                <w:rFonts w:hint="default" w:ascii="仿宋" w:hAnsi="仿宋" w:eastAsia="仿宋" w:cs="仿宋"/>
                <w:i w:val="0"/>
                <w:iCs w:val="0"/>
                <w:color w:val="323232"/>
                <w:kern w:val="0"/>
                <w:sz w:val="21"/>
                <w:szCs w:val="21"/>
                <w:u w:val="none"/>
                <w:lang w:val="en-US" w:eastAsia="zh-CN" w:bidi="ar"/>
              </w:rPr>
              <w:t>7</w:t>
            </w:r>
            <w:r>
              <w:rPr>
                <w:rFonts w:hint="eastAsia" w:ascii="仿宋" w:hAnsi="仿宋" w:eastAsia="仿宋" w:cs="仿宋"/>
                <w:i w:val="0"/>
                <w:iCs w:val="0"/>
                <w:color w:val="323232"/>
                <w:kern w:val="0"/>
                <w:sz w:val="21"/>
                <w:szCs w:val="21"/>
                <w:u w:val="none"/>
                <w:lang w:val="en-US" w:eastAsia="zh-CN" w:bidi="ar"/>
              </w:rPr>
              <w:t>日</w:t>
            </w:r>
          </w:p>
        </w:tc>
        <w:tc>
          <w:tcPr>
            <w:tcW w:w="1410"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eastAsia" w:ascii="仿宋" w:hAnsi="仿宋" w:eastAsia="仿宋" w:cs="仿宋"/>
                <w:i w:val="0"/>
                <w:iCs w:val="0"/>
                <w:color w:val="323232"/>
                <w:kern w:val="0"/>
                <w:sz w:val="21"/>
                <w:szCs w:val="21"/>
                <w:u w:val="none"/>
                <w:lang w:val="en-US" w:eastAsia="zh-CN" w:bidi="ar"/>
              </w:rPr>
              <w:t>已完成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8"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eastAsia" w:ascii="仿宋" w:hAnsi="仿宋" w:eastAsia="仿宋" w:cs="仿宋"/>
                <w:i w:val="0"/>
                <w:iCs w:val="0"/>
                <w:color w:val="323232"/>
                <w:kern w:val="0"/>
                <w:sz w:val="21"/>
                <w:szCs w:val="21"/>
                <w:u w:val="none"/>
                <w:lang w:val="en-US" w:eastAsia="zh-CN" w:bidi="ar"/>
              </w:rPr>
              <w:t>6</w:t>
            </w:r>
          </w:p>
        </w:tc>
        <w:tc>
          <w:tcPr>
            <w:tcW w:w="1516"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泉州市生态</w:t>
            </w:r>
          </w:p>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环境局</w:t>
            </w:r>
          </w:p>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泉州市生态环境局</w:t>
            </w:r>
          </w:p>
        </w:tc>
        <w:tc>
          <w:tcPr>
            <w:tcW w:w="2230"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关于年产</w:t>
            </w:r>
            <w:r>
              <w:rPr>
                <w:rFonts w:hint="eastAsia" w:ascii="仿宋" w:hAnsi="仿宋" w:eastAsia="仿宋" w:cs="仿宋"/>
                <w:i w:val="0"/>
                <w:iCs w:val="0"/>
                <w:color w:val="323232"/>
                <w:kern w:val="0"/>
                <w:sz w:val="21"/>
                <w:szCs w:val="21"/>
                <w:u w:val="none"/>
                <w:lang w:val="en-US" w:eastAsia="zh-CN" w:bidi="ar"/>
              </w:rPr>
              <w:t>1</w:t>
            </w:r>
            <w:r>
              <w:rPr>
                <w:rFonts w:hint="default" w:ascii="仿宋" w:hAnsi="仿宋" w:eastAsia="仿宋" w:cs="仿宋"/>
                <w:i w:val="0"/>
                <w:iCs w:val="0"/>
                <w:color w:val="323232"/>
                <w:kern w:val="0"/>
                <w:sz w:val="21"/>
                <w:szCs w:val="21"/>
                <w:u w:val="none"/>
                <w:lang w:val="en-US" w:eastAsia="zh-CN" w:bidi="ar"/>
              </w:rPr>
              <w:t>亿米再生绿色生态纺织品、3000吨熔喷纺织品项目环境影响报告表的批复</w:t>
            </w:r>
          </w:p>
        </w:tc>
        <w:tc>
          <w:tcPr>
            <w:tcW w:w="1711"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泉狮环评</w:t>
            </w:r>
          </w:p>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（2021）表54号</w:t>
            </w:r>
          </w:p>
        </w:tc>
        <w:tc>
          <w:tcPr>
            <w:tcW w:w="1421"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default" w:ascii="仿宋" w:hAnsi="仿宋" w:eastAsia="仿宋" w:cs="仿宋"/>
                <w:i w:val="0"/>
                <w:iCs w:val="0"/>
                <w:color w:val="323232"/>
                <w:kern w:val="0"/>
                <w:sz w:val="21"/>
                <w:szCs w:val="21"/>
                <w:u w:val="none"/>
                <w:lang w:val="en-US" w:eastAsia="zh-CN" w:bidi="ar"/>
              </w:rPr>
              <w:t>2021</w:t>
            </w:r>
            <w:r>
              <w:rPr>
                <w:rFonts w:hint="eastAsia" w:ascii="仿宋" w:hAnsi="仿宋" w:eastAsia="仿宋" w:cs="仿宋"/>
                <w:i w:val="0"/>
                <w:iCs w:val="0"/>
                <w:color w:val="323232"/>
                <w:kern w:val="0"/>
                <w:sz w:val="21"/>
                <w:szCs w:val="21"/>
                <w:u w:val="none"/>
                <w:lang w:val="en-US" w:eastAsia="zh-CN" w:bidi="ar"/>
              </w:rPr>
              <w:t>年12月 2日</w:t>
            </w:r>
          </w:p>
        </w:tc>
        <w:tc>
          <w:tcPr>
            <w:tcW w:w="1410" w:type="dxa"/>
          </w:tcPr>
          <w:p>
            <w:pPr>
              <w:keepNext w:val="0"/>
              <w:keepLines w:val="0"/>
              <w:widowControl/>
              <w:suppressLineNumbers w:val="0"/>
              <w:jc w:val="center"/>
              <w:textAlignment w:val="center"/>
              <w:rPr>
                <w:rFonts w:hint="default" w:ascii="仿宋" w:hAnsi="仿宋" w:eastAsia="仿宋" w:cs="仿宋"/>
                <w:i w:val="0"/>
                <w:iCs w:val="0"/>
                <w:color w:val="323232"/>
                <w:kern w:val="0"/>
                <w:sz w:val="21"/>
                <w:szCs w:val="21"/>
                <w:u w:val="none"/>
                <w:lang w:val="en-US" w:eastAsia="zh-CN" w:bidi="ar"/>
              </w:rPr>
            </w:pPr>
            <w:r>
              <w:rPr>
                <w:rFonts w:hint="eastAsia" w:ascii="仿宋" w:hAnsi="仿宋" w:eastAsia="仿宋" w:cs="仿宋"/>
                <w:i w:val="0"/>
                <w:iCs w:val="0"/>
                <w:color w:val="323232"/>
                <w:kern w:val="0"/>
                <w:sz w:val="21"/>
                <w:szCs w:val="21"/>
                <w:u w:val="none"/>
                <w:lang w:val="en-US" w:eastAsia="zh-CN" w:bidi="ar"/>
              </w:rPr>
              <w:t>已完成</w:t>
            </w:r>
          </w:p>
        </w:tc>
      </w:tr>
    </w:tbl>
    <w:p>
      <w:pPr>
        <w:keepNext w:val="0"/>
        <w:keepLines w:val="0"/>
        <w:pageBreakBefore w:val="0"/>
        <w:widowControl w:val="0"/>
        <w:kinsoku/>
        <w:wordWrap/>
        <w:overflowPunct/>
        <w:topLinePunct w:val="0"/>
        <w:autoSpaceDE/>
        <w:autoSpaceDN/>
        <w:bidi w:val="0"/>
        <w:adjustRightInd/>
        <w:snapToGrid/>
        <w:spacing w:line="240" w:lineRule="auto"/>
        <w:ind w:leftChars="0" w:firstLine="562" w:firstLineChars="200"/>
        <w:textAlignment w:val="auto"/>
        <w:outlineLvl w:val="2"/>
        <w:rPr>
          <w:rFonts w:hint="eastAsia" w:ascii="仿宋" w:hAnsi="仿宋" w:eastAsia="仿宋" w:cs="仿宋"/>
          <w:b/>
          <w:bCs/>
          <w:color w:val="auto"/>
          <w:sz w:val="28"/>
          <w:szCs w:val="28"/>
        </w:rPr>
      </w:pPr>
      <w:bookmarkStart w:id="13" w:name="_Toc26398"/>
      <w:r>
        <w:rPr>
          <w:rFonts w:hint="eastAsia" w:ascii="仿宋" w:hAnsi="仿宋" w:eastAsia="仿宋" w:cs="仿宋"/>
          <w:b/>
          <w:bCs/>
          <w:color w:val="auto"/>
          <w:sz w:val="28"/>
          <w:szCs w:val="28"/>
          <w:lang w:val="en-US" w:eastAsia="zh-CN"/>
        </w:rPr>
        <w:t>2.项目进度</w:t>
      </w:r>
      <w:bookmarkEnd w:id="13"/>
    </w:p>
    <w:p>
      <w:pPr>
        <w:pStyle w:val="24"/>
        <w:keepNext w:val="0"/>
        <w:keepLines w:val="0"/>
        <w:pageBreakBefore w:val="0"/>
        <w:widowControl w:val="0"/>
        <w:kinsoku/>
        <w:wordWrap/>
        <w:overflowPunct/>
        <w:topLinePunct w:val="0"/>
        <w:autoSpaceDE/>
        <w:autoSpaceDN/>
        <w:bidi w:val="0"/>
        <w:adjustRightInd/>
        <w:snapToGrid/>
        <w:spacing w:line="240" w:lineRule="auto"/>
        <w:ind w:leftChars="0" w:firstLine="560" w:firstLineChars="200"/>
        <w:textAlignment w:val="auto"/>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lang w:val="en-US" w:eastAsia="zh-CN"/>
        </w:rPr>
        <w:t>本项目于2021年10月底开工，截至5月31日，本项目已完成土建工程，购入设备初步进入投产阶段。</w:t>
      </w:r>
    </w:p>
    <w:p>
      <w:pPr>
        <w:keepNext w:val="0"/>
        <w:keepLines w:val="0"/>
        <w:pageBreakBefore w:val="0"/>
        <w:widowControl w:val="0"/>
        <w:kinsoku/>
        <w:wordWrap/>
        <w:overflowPunct/>
        <w:topLinePunct w:val="0"/>
        <w:autoSpaceDE/>
        <w:autoSpaceDN/>
        <w:bidi w:val="0"/>
        <w:adjustRightInd/>
        <w:snapToGrid/>
        <w:spacing w:line="240" w:lineRule="auto"/>
        <w:ind w:leftChars="0" w:firstLine="562" w:firstLineChars="200"/>
        <w:contextualSpacing/>
        <w:textAlignment w:val="auto"/>
        <w:outlineLvl w:val="2"/>
        <w:rPr>
          <w:rFonts w:hint="eastAsia" w:ascii="仿宋" w:hAnsi="仿宋" w:eastAsia="仿宋" w:cs="仿宋"/>
          <w:b/>
          <w:bCs/>
          <w:color w:val="auto"/>
          <w:sz w:val="28"/>
          <w:szCs w:val="28"/>
        </w:rPr>
      </w:pPr>
      <w:bookmarkStart w:id="14" w:name="_Toc8914"/>
      <w:r>
        <w:rPr>
          <w:rFonts w:hint="eastAsia" w:ascii="仿宋" w:hAnsi="仿宋" w:eastAsia="仿宋" w:cs="仿宋"/>
          <w:b/>
          <w:bCs/>
          <w:color w:val="auto"/>
          <w:sz w:val="28"/>
          <w:szCs w:val="28"/>
          <w:lang w:val="en-US" w:eastAsia="zh-CN"/>
        </w:rPr>
        <w:t>3.资金投入</w:t>
      </w:r>
      <w:r>
        <w:rPr>
          <w:rFonts w:hint="eastAsia" w:ascii="仿宋" w:hAnsi="仿宋" w:eastAsia="仿宋" w:cs="仿宋"/>
          <w:b/>
          <w:bCs/>
          <w:color w:val="auto"/>
          <w:sz w:val="28"/>
          <w:szCs w:val="28"/>
        </w:rPr>
        <w:t>情况</w:t>
      </w:r>
      <w:bookmarkEnd w:id="14"/>
    </w:p>
    <w:p>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b w:val="0"/>
          <w:bCs w:val="0"/>
          <w:color w:val="auto"/>
          <w:sz w:val="28"/>
          <w:szCs w:val="28"/>
          <w:lang w:val="en-US" w:eastAsia="zh-CN"/>
        </w:rPr>
        <w:t>本项目总投资预算为</w:t>
      </w:r>
      <w:r>
        <w:rPr>
          <w:rFonts w:hint="eastAsia" w:ascii="仿宋" w:hAnsi="仿宋" w:eastAsia="仿宋" w:cs="仿宋"/>
          <w:color w:val="auto"/>
          <w:sz w:val="28"/>
          <w:szCs w:val="28"/>
          <w:lang w:val="en-US" w:eastAsia="zh-CN"/>
        </w:rPr>
        <w:t>35000.00万元。其中，土建投资预计15000.00万元，设备投资预计12000.00万元，其他投资预计8000.00万元。</w:t>
      </w: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项目的资金来源为中央预算内投资补助、母公司投资和企业自筹。中央预算内投资补助为2000.00万元，母公司投资和企业自筹共计33000.00万元。</w:t>
      </w:r>
    </w:p>
    <w:p>
      <w:pPr>
        <w:keepNext w:val="0"/>
        <w:keepLines w:val="0"/>
        <w:pageBreakBefore w:val="0"/>
        <w:widowControl w:val="0"/>
        <w:kinsoku/>
        <w:wordWrap/>
        <w:overflowPunct/>
        <w:topLinePunct w:val="0"/>
        <w:autoSpaceDE/>
        <w:autoSpaceDN/>
        <w:bidi w:val="0"/>
        <w:adjustRightInd/>
        <w:snapToGrid/>
        <w:spacing w:line="240" w:lineRule="auto"/>
        <w:ind w:leftChars="0" w:firstLine="562" w:firstLineChars="200"/>
        <w:contextualSpacing/>
        <w:textAlignment w:val="auto"/>
        <w:outlineLvl w:val="2"/>
        <w:rPr>
          <w:rFonts w:hint="eastAsia" w:ascii="仿宋" w:hAnsi="仿宋" w:eastAsia="仿宋" w:cs="仿宋"/>
          <w:b/>
          <w:bCs/>
          <w:color w:val="auto"/>
          <w:sz w:val="28"/>
          <w:szCs w:val="28"/>
          <w:lang w:val="en-US" w:eastAsia="zh-CN"/>
        </w:rPr>
      </w:pPr>
      <w:bookmarkStart w:id="15" w:name="_Toc15278"/>
      <w:r>
        <w:rPr>
          <w:rFonts w:hint="eastAsia" w:ascii="仿宋" w:hAnsi="仿宋" w:eastAsia="仿宋" w:cs="仿宋"/>
          <w:b/>
          <w:bCs/>
          <w:color w:val="auto"/>
          <w:sz w:val="28"/>
          <w:szCs w:val="28"/>
          <w:lang w:val="en-US" w:eastAsia="zh-CN"/>
        </w:rPr>
        <w:t>4.资金使用情况</w:t>
      </w:r>
      <w:bookmarkEnd w:id="15"/>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560" w:firstLineChars="200"/>
        <w:textAlignment w:val="auto"/>
        <w:rPr>
          <w:color w:val="auto"/>
        </w:rPr>
      </w:pPr>
      <w:r>
        <w:rPr>
          <w:rFonts w:hint="eastAsia" w:ascii="仿宋" w:hAnsi="仿宋" w:eastAsia="仿宋" w:cs="仿宋"/>
          <w:color w:val="auto"/>
          <w:sz w:val="28"/>
          <w:szCs w:val="28"/>
          <w:lang w:val="en-US" w:eastAsia="zh-CN"/>
        </w:rPr>
        <w:t>国家发展改革委以发改投资〔2022〕1131号文、福建省发展和改革委以闽发改投资〔2022〕470号文下达了石狮市污染治理和节能减碳专项（节能减碳方向）2022年第二批中央预算内投资2000万元，资金由石狮市财政局直接下拨至建设单位泉州市百川彩纺科技有限公司，于2022年11月11日实际到位</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泉州市百川彩纺科技有限公司在2022年底全部拨付到位，预算执行率100%。</w:t>
      </w:r>
    </w:p>
    <w:p>
      <w:pPr>
        <w:keepNext w:val="0"/>
        <w:pageBreakBefore w:val="0"/>
        <w:kinsoku/>
        <w:topLinePunct w:val="0"/>
        <w:bidi w:val="0"/>
        <w:spacing w:line="240" w:lineRule="auto"/>
        <w:ind w:leftChars="0" w:firstLine="562" w:firstLineChars="200"/>
        <w:outlineLvl w:val="1"/>
        <w:rPr>
          <w:rFonts w:hint="eastAsia" w:ascii="楷体" w:hAnsi="楷体" w:eastAsia="楷体" w:cs="楷体"/>
          <w:b/>
          <w:bCs/>
          <w:color w:val="auto"/>
          <w:kern w:val="2"/>
          <w:sz w:val="28"/>
          <w:szCs w:val="28"/>
          <w:lang w:val="en-US" w:eastAsia="zh-CN" w:bidi="ar-SA"/>
        </w:rPr>
      </w:pPr>
      <w:bookmarkStart w:id="16" w:name="_Toc16607"/>
      <w:r>
        <w:rPr>
          <w:rFonts w:hint="eastAsia" w:ascii="楷体" w:hAnsi="楷体" w:eastAsia="楷体" w:cs="楷体"/>
          <w:b/>
          <w:bCs/>
          <w:color w:val="auto"/>
          <w:kern w:val="2"/>
          <w:sz w:val="28"/>
          <w:szCs w:val="28"/>
          <w:lang w:val="en-US" w:eastAsia="zh-CN" w:bidi="ar-SA"/>
        </w:rPr>
        <w:t>（四）项目绩效目标</w:t>
      </w:r>
      <w:bookmarkEnd w:id="16"/>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562" w:firstLineChars="200"/>
        <w:textAlignment w:val="auto"/>
        <w:outlineLvl w:val="2"/>
        <w:rPr>
          <w:rFonts w:hint="eastAsia" w:ascii="仿宋" w:hAnsi="仿宋" w:eastAsia="仿宋" w:cs="仿宋"/>
          <w:b/>
          <w:bCs/>
          <w:color w:val="auto"/>
          <w:sz w:val="28"/>
          <w:szCs w:val="28"/>
          <w:lang w:val="en-US" w:eastAsia="zh-CN"/>
        </w:rPr>
      </w:pPr>
      <w:bookmarkStart w:id="17" w:name="_Toc27742"/>
      <w:bookmarkStart w:id="18" w:name="_Toc26350"/>
      <w:r>
        <w:rPr>
          <w:rFonts w:hint="eastAsia" w:ascii="仿宋" w:hAnsi="仿宋" w:eastAsia="仿宋" w:cs="仿宋"/>
          <w:b/>
          <w:bCs/>
          <w:color w:val="auto"/>
          <w:sz w:val="28"/>
          <w:szCs w:val="28"/>
          <w:lang w:val="en-US" w:eastAsia="zh-CN"/>
        </w:rPr>
        <w:t>1.总体目标</w:t>
      </w:r>
      <w:bookmarkEnd w:id="17"/>
      <w:bookmarkEnd w:id="18"/>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实现年回收20000吨废旧塑料的100%资源循环利用，每年减少原生涤纶长丝消耗20000吨，节约石油资源消耗270000吨，节约印染用水量275000吨，减少燃煤11000吨，与原生染色涤纶布相比，本项目年节约56135.61吨标准煤，减少二氧化碳排放1014100吨，有效缓解“白色污染”的问题。</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562" w:firstLineChars="200"/>
        <w:textAlignment w:val="auto"/>
        <w:outlineLvl w:val="2"/>
        <w:rPr>
          <w:rFonts w:hint="eastAsia" w:ascii="仿宋" w:hAnsi="仿宋" w:eastAsia="仿宋" w:cs="仿宋"/>
          <w:b/>
          <w:bCs/>
          <w:color w:val="auto"/>
          <w:sz w:val="28"/>
          <w:szCs w:val="28"/>
        </w:rPr>
      </w:pPr>
      <w:bookmarkStart w:id="19" w:name="_Toc9681"/>
      <w:bookmarkStart w:id="20" w:name="_Toc9481"/>
      <w:r>
        <w:rPr>
          <w:rFonts w:hint="eastAsia" w:ascii="仿宋" w:hAnsi="仿宋" w:eastAsia="仿宋" w:cs="仿宋"/>
          <w:b/>
          <w:bCs/>
          <w:color w:val="auto"/>
          <w:sz w:val="28"/>
          <w:szCs w:val="28"/>
          <w:lang w:val="en-US" w:eastAsia="zh-CN"/>
        </w:rPr>
        <w:t>2.具体</w:t>
      </w:r>
      <w:r>
        <w:rPr>
          <w:rFonts w:hint="eastAsia" w:ascii="仿宋" w:hAnsi="仿宋" w:eastAsia="仿宋" w:cs="仿宋"/>
          <w:b/>
          <w:bCs/>
          <w:color w:val="auto"/>
          <w:sz w:val="28"/>
          <w:szCs w:val="28"/>
        </w:rPr>
        <w:t>目标</w:t>
      </w:r>
      <w:bookmarkEnd w:id="19"/>
      <w:bookmarkEnd w:id="20"/>
    </w:p>
    <w:p>
      <w:pPr>
        <w:pStyle w:val="24"/>
        <w:keepNext w:val="0"/>
        <w:pageBreakBefore w:val="0"/>
        <w:kinsoku/>
        <w:topLinePunct w:val="0"/>
        <w:bidi w:val="0"/>
        <w:spacing w:line="240" w:lineRule="auto"/>
        <w:ind w:firstLine="560" w:firstLineChars="200"/>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新建生产厂房2栋,仓库1栋，综合楼1栋。购置2套高速整浆并生产线，4台经编机、20台电脑提花大圆机、20台高速剑杆织机、600台高速龙头喷水织机、3套后整理生产线、2条全自动熔喷生产线等设备，打造年产1亿米再生绿色生态纺织品、年产3000吨熔喷纺织品的绿色纺织品示范生产基地。</w:t>
      </w:r>
    </w:p>
    <w:p>
      <w:pPr>
        <w:pStyle w:val="24"/>
        <w:keepNext w:val="0"/>
        <w:pageBreakBefore w:val="0"/>
        <w:kinsoku/>
        <w:topLinePunct w:val="0"/>
        <w:bidi w:val="0"/>
        <w:spacing w:line="240" w:lineRule="auto"/>
        <w:ind w:firstLine="560" w:firstLineChars="200"/>
        <w:rPr>
          <w:rFonts w:hint="eastAsia" w:ascii="仿宋" w:hAnsi="仿宋" w:eastAsia="仿宋" w:cs="仿宋"/>
          <w:color w:val="auto"/>
          <w:sz w:val="28"/>
          <w:szCs w:val="28"/>
          <w:lang w:val="en-US" w:eastAsia="zh-CN"/>
        </w:rPr>
      </w:pPr>
    </w:p>
    <w:p>
      <w:pPr>
        <w:keepNext w:val="0"/>
        <w:pageBreakBefore w:val="0"/>
        <w:kinsoku/>
        <w:topLinePunct w:val="0"/>
        <w:bidi w:val="0"/>
        <w:spacing w:line="240" w:lineRule="auto"/>
        <w:ind w:leftChars="0" w:firstLine="562" w:firstLineChars="200"/>
        <w:outlineLvl w:val="0"/>
        <w:rPr>
          <w:rFonts w:hint="eastAsia" w:ascii="黑体" w:hAnsi="黑体" w:eastAsia="黑体" w:cs="黑体"/>
          <w:b/>
          <w:bCs/>
          <w:color w:val="auto"/>
          <w:sz w:val="28"/>
          <w:szCs w:val="28"/>
        </w:rPr>
      </w:pPr>
      <w:bookmarkStart w:id="21" w:name="_Toc9809"/>
      <w:r>
        <w:rPr>
          <w:rFonts w:hint="eastAsia" w:ascii="黑体" w:hAnsi="黑体" w:eastAsia="黑体" w:cs="黑体"/>
          <w:b/>
          <w:bCs/>
          <w:color w:val="auto"/>
          <w:sz w:val="28"/>
          <w:szCs w:val="28"/>
        </w:rPr>
        <w:t>二、绩效评价工作开展情况</w:t>
      </w:r>
      <w:bookmarkEnd w:id="21"/>
    </w:p>
    <w:p>
      <w:pPr>
        <w:keepNext w:val="0"/>
        <w:pageBreakBefore w:val="0"/>
        <w:kinsoku/>
        <w:topLinePunct w:val="0"/>
        <w:bidi w:val="0"/>
        <w:spacing w:line="240" w:lineRule="auto"/>
        <w:ind w:leftChars="0" w:firstLine="562" w:firstLineChars="200"/>
        <w:outlineLvl w:val="1"/>
        <w:rPr>
          <w:rFonts w:hint="eastAsia" w:ascii="楷体" w:hAnsi="楷体" w:eastAsia="楷体" w:cs="楷体"/>
          <w:b/>
          <w:bCs/>
          <w:color w:val="auto"/>
          <w:kern w:val="2"/>
          <w:sz w:val="28"/>
          <w:szCs w:val="28"/>
          <w:lang w:val="en-US" w:eastAsia="zh-CN" w:bidi="ar-SA"/>
        </w:rPr>
      </w:pPr>
      <w:bookmarkStart w:id="22" w:name="_Toc19044"/>
      <w:r>
        <w:rPr>
          <w:rFonts w:hint="eastAsia" w:ascii="楷体" w:hAnsi="楷体" w:eastAsia="楷体" w:cs="楷体"/>
          <w:b/>
          <w:bCs/>
          <w:color w:val="auto"/>
          <w:kern w:val="2"/>
          <w:sz w:val="28"/>
          <w:szCs w:val="28"/>
          <w:lang w:val="en-US" w:eastAsia="zh-CN" w:bidi="ar-SA"/>
        </w:rPr>
        <w:t>（一）绩效评价目的</w:t>
      </w:r>
      <w:bookmarkEnd w:id="22"/>
    </w:p>
    <w:p>
      <w:pPr>
        <w:keepNext w:val="0"/>
        <w:keepLines w:val="0"/>
        <w:pageBreakBefore w:val="0"/>
        <w:widowControl w:val="0"/>
        <w:shd w:val="clear" w:fill="FFFFFF" w:themeFill="background1"/>
        <w:kinsoku/>
        <w:wordWrap/>
        <w:overflowPunct w:val="0"/>
        <w:topLinePunct w:val="0"/>
        <w:autoSpaceDE w:val="0"/>
        <w:autoSpaceDN w:val="0"/>
        <w:bidi w:val="0"/>
        <w:adjustRightInd w:val="0"/>
        <w:snapToGrid/>
        <w:spacing w:line="240" w:lineRule="auto"/>
        <w:ind w:left="0" w:leftChars="0" w:right="0" w:firstLine="560" w:firstLineChars="200"/>
        <w:textAlignment w:val="baseline"/>
        <w:outlineLvl w:val="9"/>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rPr>
        <w:t>通过评价，总结项目实施过程中的经验</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rPr>
        <w:t>发现问题，提出改进该项目决策、过程、产出和效益几方面的具体建议，进一步强化项目管理，提高财政资金的使用效益，为下一步预算资金安排提供重要参考。</w:t>
      </w:r>
    </w:p>
    <w:p>
      <w:pPr>
        <w:keepNext w:val="0"/>
        <w:pageBreakBefore w:val="0"/>
        <w:kinsoku/>
        <w:topLinePunct w:val="0"/>
        <w:bidi w:val="0"/>
        <w:spacing w:line="240" w:lineRule="auto"/>
        <w:ind w:leftChars="0" w:firstLine="562" w:firstLineChars="200"/>
        <w:outlineLvl w:val="1"/>
        <w:rPr>
          <w:rFonts w:hint="eastAsia" w:ascii="楷体" w:hAnsi="楷体" w:eastAsia="楷体" w:cs="楷体"/>
          <w:b/>
          <w:bCs/>
          <w:color w:val="auto"/>
          <w:kern w:val="2"/>
          <w:sz w:val="28"/>
          <w:szCs w:val="28"/>
          <w:lang w:val="en-US" w:eastAsia="zh-CN" w:bidi="ar-SA"/>
        </w:rPr>
      </w:pPr>
      <w:bookmarkStart w:id="23" w:name="_Toc5722"/>
      <w:r>
        <w:rPr>
          <w:rFonts w:hint="eastAsia" w:ascii="楷体" w:hAnsi="楷体" w:eastAsia="楷体" w:cs="楷体"/>
          <w:b/>
          <w:bCs/>
          <w:color w:val="auto"/>
          <w:kern w:val="2"/>
          <w:sz w:val="28"/>
          <w:szCs w:val="28"/>
          <w:lang w:val="en-US" w:eastAsia="zh-CN" w:bidi="ar-SA"/>
        </w:rPr>
        <w:t>（二）对象和范围</w:t>
      </w:r>
      <w:bookmarkEnd w:id="23"/>
    </w:p>
    <w:p>
      <w:pPr>
        <w:keepNext w:val="0"/>
        <w:keepLines w:val="0"/>
        <w:pageBreakBefore w:val="0"/>
        <w:widowControl w:val="0"/>
        <w:shd w:val="clear" w:fill="FFFFFF" w:themeFill="background1"/>
        <w:kinsoku/>
        <w:wordWrap/>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rPr>
        <w:t>评价对象为</w:t>
      </w:r>
      <w:r>
        <w:rPr>
          <w:rFonts w:hint="eastAsia" w:ascii="仿宋" w:hAnsi="仿宋" w:eastAsia="仿宋" w:cs="仿宋"/>
          <w:color w:val="auto"/>
          <w:kern w:val="0"/>
          <w:sz w:val="28"/>
          <w:szCs w:val="28"/>
          <w:highlight w:val="none"/>
          <w:lang w:val="en-US" w:eastAsia="zh-CN"/>
        </w:rPr>
        <w:t>污染治理和节能减碳专项（节能减碳方向）2022年第二批中央预算内投资资金</w:t>
      </w:r>
      <w:r>
        <w:rPr>
          <w:rFonts w:hint="eastAsia" w:ascii="仿宋" w:hAnsi="仿宋" w:eastAsia="仿宋" w:cs="仿宋"/>
          <w:color w:val="auto"/>
          <w:kern w:val="0"/>
          <w:sz w:val="28"/>
          <w:szCs w:val="28"/>
          <w:highlight w:val="none"/>
        </w:rPr>
        <w:t>，涉及</w:t>
      </w:r>
      <w:r>
        <w:rPr>
          <w:rFonts w:hint="eastAsia" w:ascii="仿宋" w:hAnsi="仿宋" w:eastAsia="仿宋" w:cs="仿宋"/>
          <w:color w:val="auto"/>
          <w:kern w:val="0"/>
          <w:sz w:val="28"/>
          <w:szCs w:val="28"/>
          <w:highlight w:val="none"/>
          <w:lang w:eastAsia="zh-CN"/>
        </w:rPr>
        <w:t>专项资金</w:t>
      </w:r>
      <w:r>
        <w:rPr>
          <w:rFonts w:hint="eastAsia" w:ascii="仿宋" w:hAnsi="仿宋" w:eastAsia="仿宋" w:cs="仿宋"/>
          <w:color w:val="auto"/>
          <w:kern w:val="0"/>
          <w:sz w:val="28"/>
          <w:szCs w:val="28"/>
          <w:highlight w:val="none"/>
          <w:lang w:val="en-US" w:eastAsia="zh-CN"/>
        </w:rPr>
        <w:t>金额为2000.00</w:t>
      </w:r>
      <w:r>
        <w:rPr>
          <w:rFonts w:hint="eastAsia" w:ascii="仿宋" w:hAnsi="仿宋" w:eastAsia="仿宋" w:cs="仿宋"/>
          <w:color w:val="auto"/>
          <w:kern w:val="0"/>
          <w:sz w:val="28"/>
          <w:szCs w:val="28"/>
          <w:highlight w:val="none"/>
        </w:rPr>
        <w:t>万元。</w:t>
      </w:r>
    </w:p>
    <w:p>
      <w:pPr>
        <w:keepNext w:val="0"/>
        <w:keepLines w:val="0"/>
        <w:pageBreakBefore w:val="0"/>
        <w:widowControl w:val="0"/>
        <w:shd w:val="clear" w:fill="FFFFFF" w:themeFill="background1"/>
        <w:kinsoku/>
        <w:wordWrap/>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rPr>
        <w:t>评价范围为</w:t>
      </w:r>
      <w:r>
        <w:rPr>
          <w:rFonts w:hint="eastAsia" w:ascii="仿宋" w:hAnsi="仿宋" w:eastAsia="仿宋" w:cs="仿宋"/>
          <w:color w:val="auto"/>
          <w:kern w:val="0"/>
          <w:sz w:val="28"/>
          <w:szCs w:val="28"/>
          <w:highlight w:val="none"/>
          <w:lang w:val="en-US" w:eastAsia="zh-CN"/>
        </w:rPr>
        <w:t>建设</w:t>
      </w:r>
      <w:r>
        <w:rPr>
          <w:rFonts w:hint="eastAsia" w:ascii="仿宋" w:hAnsi="仿宋" w:eastAsia="仿宋" w:cs="仿宋"/>
          <w:color w:val="auto"/>
          <w:kern w:val="0"/>
          <w:sz w:val="28"/>
          <w:szCs w:val="28"/>
          <w:highlight w:val="none"/>
          <w:lang w:eastAsia="zh-CN"/>
        </w:rPr>
        <w:t>单位</w:t>
      </w:r>
      <w:r>
        <w:rPr>
          <w:rFonts w:hint="eastAsia" w:ascii="仿宋" w:hAnsi="仿宋" w:eastAsia="仿宋" w:cs="仿宋"/>
          <w:color w:val="auto"/>
          <w:kern w:val="0"/>
          <w:sz w:val="28"/>
          <w:szCs w:val="28"/>
          <w:highlight w:val="none"/>
        </w:rPr>
        <w:t>围绕绩效目标所实施的各项活动，包括绩效目标的设定、资金投入和使用、采取措施以及绩效目标的实现程度和效果等。</w:t>
      </w:r>
    </w:p>
    <w:p>
      <w:pPr>
        <w:keepNext w:val="0"/>
        <w:pageBreakBefore w:val="0"/>
        <w:kinsoku/>
        <w:topLinePunct w:val="0"/>
        <w:bidi w:val="0"/>
        <w:spacing w:line="240" w:lineRule="auto"/>
        <w:ind w:leftChars="0" w:firstLine="562" w:firstLineChars="200"/>
        <w:outlineLvl w:val="1"/>
        <w:rPr>
          <w:rFonts w:hint="eastAsia" w:ascii="楷体" w:hAnsi="楷体" w:eastAsia="楷体" w:cs="楷体"/>
          <w:b/>
          <w:bCs/>
          <w:color w:val="auto"/>
          <w:kern w:val="2"/>
          <w:sz w:val="28"/>
          <w:szCs w:val="28"/>
          <w:lang w:val="en-US" w:eastAsia="zh-CN" w:bidi="ar-SA"/>
        </w:rPr>
      </w:pPr>
      <w:bookmarkStart w:id="24" w:name="_Toc13168"/>
      <w:bookmarkStart w:id="25" w:name="_Toc14877"/>
      <w:bookmarkStart w:id="26" w:name="_Toc25485"/>
      <w:bookmarkStart w:id="27" w:name="_Toc12129"/>
      <w:r>
        <w:rPr>
          <w:rFonts w:hint="eastAsia" w:ascii="楷体" w:hAnsi="楷体" w:eastAsia="楷体" w:cs="楷体"/>
          <w:b/>
          <w:bCs/>
          <w:color w:val="auto"/>
          <w:kern w:val="2"/>
          <w:sz w:val="28"/>
          <w:szCs w:val="28"/>
          <w:lang w:val="en-US" w:eastAsia="zh-CN" w:bidi="ar-SA"/>
        </w:rPr>
        <w:t>（三）评价依据</w:t>
      </w:r>
      <w:bookmarkEnd w:id="24"/>
      <w:bookmarkEnd w:id="25"/>
      <w:bookmarkEnd w:id="26"/>
      <w:bookmarkEnd w:id="27"/>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rPr>
        <w:t>1</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rPr>
        <w:t>《中华人民共和国预算法》；</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lang w:val="en-US" w:eastAsia="zh-CN"/>
        </w:rPr>
        <w:t>2.</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rPr>
        <w:t>中华人民共和国公路法</w:t>
      </w:r>
      <w:r>
        <w:rPr>
          <w:rFonts w:hint="eastAsia" w:ascii="仿宋" w:hAnsi="仿宋" w:eastAsia="仿宋" w:cs="仿宋"/>
          <w:color w:val="auto"/>
          <w:kern w:val="0"/>
          <w:sz w:val="28"/>
          <w:szCs w:val="28"/>
          <w:highlight w:val="none"/>
          <w:lang w:eastAsia="zh-CN"/>
        </w:rPr>
        <w:t>》；</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lang w:val="en-US" w:eastAsia="zh-CN"/>
        </w:rPr>
        <w:t>3.《中共中央 国务院关于全面实施预算绩效管理的意见》（中发〔2018〕34号）；</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lang w:val="en-US" w:eastAsia="zh-CN"/>
        </w:rPr>
      </w:pPr>
      <w:r>
        <w:rPr>
          <w:rFonts w:hint="eastAsia" w:ascii="仿宋" w:hAnsi="仿宋" w:eastAsia="仿宋" w:cs="仿宋"/>
          <w:color w:val="auto"/>
          <w:kern w:val="0"/>
          <w:sz w:val="28"/>
          <w:szCs w:val="28"/>
          <w:highlight w:val="none"/>
          <w:lang w:val="en-US" w:eastAsia="zh-CN"/>
        </w:rPr>
        <w:t>4.</w:t>
      </w:r>
      <w:r>
        <w:rPr>
          <w:rFonts w:hint="eastAsia" w:ascii="仿宋" w:hAnsi="仿宋" w:eastAsia="仿宋" w:cs="仿宋"/>
          <w:color w:val="auto"/>
          <w:kern w:val="0"/>
          <w:sz w:val="28"/>
          <w:szCs w:val="28"/>
          <w:highlight w:val="none"/>
        </w:rPr>
        <w:t>《项目</w:t>
      </w:r>
      <w:r>
        <w:rPr>
          <w:rFonts w:hint="eastAsia" w:ascii="仿宋" w:hAnsi="仿宋" w:eastAsia="仿宋" w:cs="仿宋"/>
          <w:color w:val="auto"/>
          <w:kern w:val="0"/>
          <w:sz w:val="28"/>
          <w:szCs w:val="28"/>
          <w:highlight w:val="none"/>
          <w:lang w:val="en-US" w:eastAsia="zh-CN"/>
        </w:rPr>
        <w:t>支出绩效评价管理办法》（财预〔2020〕10号）；</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lang w:val="en-US" w:eastAsia="zh-CN"/>
        </w:rPr>
      </w:pPr>
      <w:r>
        <w:rPr>
          <w:rFonts w:hint="eastAsia" w:ascii="仿宋" w:hAnsi="仿宋" w:eastAsia="仿宋" w:cs="仿宋"/>
          <w:color w:val="auto"/>
          <w:kern w:val="0"/>
          <w:sz w:val="28"/>
          <w:szCs w:val="28"/>
          <w:highlight w:val="none"/>
          <w:lang w:val="en-US" w:eastAsia="zh-CN"/>
        </w:rPr>
        <w:t>5.《中央预算内投资补助和贴息项目管理办法》（国家发展改革委令第45号）；</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lang w:val="en-US" w:eastAsia="zh-CN"/>
        </w:rPr>
        <w:t>6.财政部关于印发《预算绩效评价共性指标体</w:t>
      </w:r>
      <w:r>
        <w:rPr>
          <w:rFonts w:hint="eastAsia" w:ascii="仿宋" w:hAnsi="仿宋" w:eastAsia="仿宋" w:cs="仿宋"/>
          <w:color w:val="auto"/>
          <w:kern w:val="0"/>
          <w:sz w:val="28"/>
          <w:szCs w:val="28"/>
          <w:highlight w:val="none"/>
        </w:rPr>
        <w:t>系框架》的通知；</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lang w:val="en-US" w:eastAsia="zh-CN"/>
        </w:rPr>
      </w:pPr>
      <w:r>
        <w:rPr>
          <w:rFonts w:hint="eastAsia" w:ascii="仿宋" w:hAnsi="仿宋" w:eastAsia="仿宋" w:cs="仿宋"/>
          <w:color w:val="auto"/>
          <w:kern w:val="0"/>
          <w:sz w:val="28"/>
          <w:szCs w:val="28"/>
          <w:highlight w:val="none"/>
          <w:lang w:val="en-US" w:eastAsia="zh-CN"/>
        </w:rPr>
        <w:t>7.《国家发展改革委关于印发污染治理和节能减碳中央预算内投资专项管理办法〉的通知》（发改环资规〔2021〕655号）；</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lang w:val="en-US" w:eastAsia="zh-CN"/>
        </w:rPr>
      </w:pPr>
      <w:r>
        <w:rPr>
          <w:rFonts w:hint="eastAsia" w:ascii="仿宋" w:hAnsi="仿宋" w:eastAsia="仿宋" w:cs="仿宋"/>
          <w:color w:val="auto"/>
          <w:kern w:val="0"/>
          <w:sz w:val="28"/>
          <w:szCs w:val="28"/>
          <w:highlight w:val="none"/>
          <w:lang w:val="en-US" w:eastAsia="zh-CN"/>
        </w:rPr>
        <w:t>8.《福建省发展和改革委员会关于加强资金申报和安排使用规范管理的通知》（闽发改投资〔2019〕379号）；</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default" w:ascii="仿宋" w:hAnsi="仿宋" w:eastAsia="仿宋" w:cs="仿宋"/>
          <w:color w:val="auto"/>
          <w:kern w:val="0"/>
          <w:sz w:val="28"/>
          <w:szCs w:val="28"/>
          <w:highlight w:val="none"/>
          <w:lang w:val="en-US" w:eastAsia="zh-CN"/>
        </w:rPr>
      </w:pPr>
      <w:r>
        <w:rPr>
          <w:rFonts w:hint="eastAsia" w:ascii="仿宋" w:hAnsi="仿宋" w:eastAsia="仿宋" w:cs="仿宋"/>
          <w:color w:val="auto"/>
          <w:kern w:val="0"/>
          <w:sz w:val="28"/>
          <w:szCs w:val="28"/>
          <w:highlight w:val="none"/>
          <w:lang w:val="en-US" w:eastAsia="zh-CN"/>
        </w:rPr>
        <w:t>9.《福建省发展和改革委员会关于加强预算内投资和专项资金项目监管工作的通知》（闽发改监管〔2019〕390号）；</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lang w:val="en-US" w:eastAsia="zh-CN"/>
        </w:rPr>
      </w:pPr>
      <w:r>
        <w:rPr>
          <w:rFonts w:hint="eastAsia" w:ascii="仿宋" w:hAnsi="仿宋" w:eastAsia="仿宋" w:cs="仿宋"/>
          <w:color w:val="auto"/>
          <w:kern w:val="0"/>
          <w:sz w:val="28"/>
          <w:szCs w:val="28"/>
          <w:highlight w:val="none"/>
          <w:lang w:val="en-US" w:eastAsia="zh-CN"/>
        </w:rPr>
        <w:t>10.年度项目进展情况及验收报告、相关合同、项目资金管理使用情况以及会计账簿、财务报表、会计凭证等；</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outlineLvl w:val="9"/>
        <w:rPr>
          <w:rFonts w:hint="eastAsia" w:ascii="仿宋" w:hAnsi="仿宋" w:eastAsia="仿宋" w:cs="仿宋"/>
          <w:color w:val="auto"/>
          <w:kern w:val="0"/>
          <w:sz w:val="28"/>
          <w:szCs w:val="28"/>
          <w:highlight w:val="none"/>
          <w:lang w:val="en-US" w:eastAsia="zh-CN"/>
        </w:rPr>
      </w:pPr>
      <w:bookmarkStart w:id="28" w:name="_Toc25846"/>
      <w:bookmarkStart w:id="29" w:name="_Toc28597"/>
      <w:bookmarkStart w:id="30" w:name="_Toc16239"/>
      <w:bookmarkStart w:id="31" w:name="_Toc14034"/>
      <w:bookmarkStart w:id="32" w:name="_Toc4747"/>
      <w:bookmarkStart w:id="33" w:name="_Toc19106"/>
      <w:r>
        <w:rPr>
          <w:rFonts w:hint="eastAsia" w:ascii="仿宋" w:hAnsi="仿宋" w:eastAsia="仿宋" w:cs="仿宋"/>
          <w:color w:val="auto"/>
          <w:kern w:val="0"/>
          <w:sz w:val="28"/>
          <w:szCs w:val="28"/>
          <w:highlight w:val="none"/>
          <w:lang w:val="en-US" w:eastAsia="zh-CN"/>
        </w:rPr>
        <w:t>11.其他资料。</w:t>
      </w:r>
      <w:bookmarkEnd w:id="28"/>
      <w:bookmarkEnd w:id="29"/>
      <w:bookmarkEnd w:id="30"/>
      <w:bookmarkEnd w:id="31"/>
      <w:bookmarkEnd w:id="32"/>
      <w:bookmarkEnd w:id="33"/>
    </w:p>
    <w:p>
      <w:pPr>
        <w:keepNext w:val="0"/>
        <w:pageBreakBefore w:val="0"/>
        <w:kinsoku/>
        <w:topLinePunct w:val="0"/>
        <w:bidi w:val="0"/>
        <w:spacing w:line="240" w:lineRule="auto"/>
        <w:ind w:leftChars="0" w:firstLine="562" w:firstLineChars="200"/>
        <w:outlineLvl w:val="1"/>
        <w:rPr>
          <w:rFonts w:hint="eastAsia" w:ascii="楷体" w:hAnsi="楷体" w:eastAsia="楷体" w:cs="楷体"/>
          <w:b/>
          <w:bCs/>
          <w:color w:val="auto"/>
          <w:kern w:val="2"/>
          <w:sz w:val="28"/>
          <w:szCs w:val="28"/>
          <w:lang w:val="en-US" w:eastAsia="zh-CN" w:bidi="ar-SA"/>
        </w:rPr>
      </w:pPr>
      <w:bookmarkStart w:id="34" w:name="_Toc11208"/>
      <w:bookmarkStart w:id="35" w:name="_Toc4113"/>
      <w:bookmarkStart w:id="36" w:name="_Toc26452"/>
      <w:bookmarkStart w:id="37" w:name="_Toc15154"/>
      <w:r>
        <w:rPr>
          <w:rFonts w:hint="eastAsia" w:ascii="楷体" w:hAnsi="楷体" w:eastAsia="楷体" w:cs="楷体"/>
          <w:b/>
          <w:bCs/>
          <w:color w:val="auto"/>
          <w:kern w:val="2"/>
          <w:sz w:val="28"/>
          <w:szCs w:val="28"/>
          <w:lang w:val="en-US" w:eastAsia="zh-CN" w:bidi="ar-SA"/>
        </w:rPr>
        <w:t>（四）评价原则和评价指标体系</w:t>
      </w:r>
      <w:bookmarkEnd w:id="34"/>
      <w:bookmarkEnd w:id="35"/>
      <w:bookmarkEnd w:id="36"/>
      <w:bookmarkEnd w:id="37"/>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outlineLvl w:val="2"/>
        <w:rPr>
          <w:rFonts w:hint="eastAsia" w:ascii="仿宋" w:hAnsi="仿宋" w:eastAsia="仿宋" w:cs="仿宋"/>
          <w:color w:val="auto"/>
          <w:kern w:val="0"/>
          <w:sz w:val="28"/>
          <w:szCs w:val="28"/>
          <w:highlight w:val="none"/>
        </w:rPr>
      </w:pPr>
      <w:bookmarkStart w:id="38" w:name="_Toc18395"/>
      <w:bookmarkStart w:id="39" w:name="_Toc12643"/>
      <w:r>
        <w:rPr>
          <w:rFonts w:hint="eastAsia" w:ascii="仿宋" w:hAnsi="仿宋" w:eastAsia="仿宋" w:cs="仿宋"/>
          <w:color w:val="auto"/>
          <w:kern w:val="0"/>
          <w:sz w:val="28"/>
          <w:szCs w:val="28"/>
          <w:highlight w:val="none"/>
        </w:rPr>
        <w:t>1</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rPr>
        <w:t>评价原则</w:t>
      </w:r>
      <w:bookmarkEnd w:id="38"/>
      <w:bookmarkEnd w:id="39"/>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lang w:val="en-US" w:eastAsia="zh-CN"/>
        </w:rPr>
      </w:pPr>
      <w:r>
        <w:rPr>
          <w:rFonts w:hint="eastAsia" w:ascii="仿宋" w:hAnsi="仿宋" w:eastAsia="仿宋" w:cs="仿宋"/>
          <w:color w:val="auto"/>
          <w:kern w:val="0"/>
          <w:sz w:val="28"/>
          <w:szCs w:val="28"/>
          <w:highlight w:val="none"/>
          <w:lang w:val="en-US" w:eastAsia="zh-CN"/>
        </w:rPr>
        <w:t>本次</w:t>
      </w:r>
      <w:r>
        <w:rPr>
          <w:rFonts w:hint="eastAsia" w:ascii="仿宋" w:hAnsi="仿宋" w:eastAsia="仿宋" w:cs="仿宋"/>
          <w:color w:val="auto"/>
          <w:kern w:val="0"/>
          <w:sz w:val="28"/>
          <w:szCs w:val="28"/>
          <w:highlight w:val="none"/>
        </w:rPr>
        <w:t>绩效评价指标的确定</w:t>
      </w:r>
      <w:r>
        <w:rPr>
          <w:rFonts w:hint="eastAsia" w:ascii="仿宋" w:hAnsi="仿宋" w:eastAsia="仿宋" w:cs="仿宋"/>
          <w:color w:val="auto"/>
          <w:kern w:val="0"/>
          <w:sz w:val="28"/>
          <w:szCs w:val="28"/>
          <w:highlight w:val="none"/>
          <w:lang w:val="en-US" w:eastAsia="zh-CN"/>
        </w:rPr>
        <w:t>主要</w:t>
      </w:r>
      <w:r>
        <w:rPr>
          <w:rFonts w:hint="eastAsia" w:ascii="仿宋" w:hAnsi="仿宋" w:eastAsia="仿宋" w:cs="仿宋"/>
          <w:color w:val="auto"/>
          <w:kern w:val="0"/>
          <w:sz w:val="28"/>
          <w:szCs w:val="28"/>
          <w:highlight w:val="none"/>
        </w:rPr>
        <w:t>遵循以下原则：</w:t>
      </w:r>
      <w:r>
        <w:rPr>
          <w:rFonts w:hint="eastAsia" w:ascii="仿宋" w:hAnsi="仿宋" w:eastAsia="仿宋" w:cs="仿宋"/>
          <w:color w:val="auto"/>
          <w:kern w:val="0"/>
          <w:sz w:val="28"/>
          <w:szCs w:val="28"/>
          <w:highlight w:val="none"/>
          <w:lang w:val="en-US" w:eastAsia="zh-CN"/>
        </w:rPr>
        <w:t>相关性原则、重要性原则、可比性原则、系统性原则和经济性原则。</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outlineLvl w:val="2"/>
        <w:rPr>
          <w:rFonts w:hint="eastAsia" w:ascii="仿宋" w:hAnsi="仿宋" w:eastAsia="仿宋" w:cs="仿宋"/>
          <w:color w:val="auto"/>
          <w:kern w:val="0"/>
          <w:sz w:val="28"/>
          <w:szCs w:val="28"/>
          <w:highlight w:val="none"/>
        </w:rPr>
      </w:pPr>
      <w:bookmarkStart w:id="40" w:name="_Toc21318"/>
      <w:bookmarkStart w:id="41" w:name="_Toc6318"/>
      <w:bookmarkStart w:id="42" w:name="_Toc13153"/>
      <w:bookmarkStart w:id="43" w:name="_Toc29151"/>
      <w:bookmarkStart w:id="44" w:name="_Toc15515"/>
      <w:r>
        <w:rPr>
          <w:rFonts w:hint="eastAsia" w:ascii="仿宋" w:hAnsi="仿宋" w:eastAsia="仿宋" w:cs="仿宋"/>
          <w:color w:val="auto"/>
          <w:kern w:val="0"/>
          <w:sz w:val="28"/>
          <w:szCs w:val="28"/>
          <w:highlight w:val="none"/>
        </w:rPr>
        <w:t>2</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rPr>
        <w:t>绩效评价指标体系</w:t>
      </w:r>
      <w:bookmarkEnd w:id="40"/>
      <w:bookmarkEnd w:id="41"/>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bookmarkStart w:id="45" w:name="_Toc21549_WPSOffice_Level3"/>
      <w:bookmarkStart w:id="46" w:name="_Toc22358_WPSOffice_Level3"/>
      <w:r>
        <w:rPr>
          <w:rFonts w:hint="eastAsia" w:ascii="仿宋" w:hAnsi="仿宋" w:eastAsia="仿宋" w:cs="仿宋"/>
          <w:color w:val="auto"/>
          <w:kern w:val="0"/>
          <w:sz w:val="28"/>
          <w:szCs w:val="28"/>
          <w:highlight w:val="none"/>
        </w:rPr>
        <w:t>（1）指标体系设计的总体思路</w:t>
      </w:r>
      <w:bookmarkEnd w:id="45"/>
      <w:bookmarkEnd w:id="46"/>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bookmarkStart w:id="47" w:name="_Hlk48230327"/>
      <w:r>
        <w:rPr>
          <w:rFonts w:hint="eastAsia" w:ascii="仿宋" w:hAnsi="仿宋" w:eastAsia="仿宋" w:cs="仿宋"/>
          <w:color w:val="auto"/>
          <w:kern w:val="0"/>
          <w:sz w:val="28"/>
          <w:szCs w:val="28"/>
          <w:highlight w:val="none"/>
        </w:rPr>
        <w:t>本次绩效评价指标体系总体依据</w:t>
      </w:r>
      <w:bookmarkEnd w:id="47"/>
      <w:r>
        <w:rPr>
          <w:rFonts w:hint="eastAsia" w:ascii="仿宋" w:hAnsi="仿宋" w:eastAsia="仿宋" w:cs="仿宋"/>
          <w:color w:val="auto"/>
          <w:kern w:val="0"/>
          <w:sz w:val="28"/>
          <w:szCs w:val="28"/>
          <w:highlight w:val="none"/>
        </w:rPr>
        <w:t>《项目支出绩效评价管理办法》</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rPr>
        <w:t>财预〔2020〕10号</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rPr>
        <w:t>的相关规定设计，在不改变“预算支出项目绩效评价共性指标体系”的一级和二级指标内容和权重的前提下，结合项目实际对三级指标进行细化和调整</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lang w:val="en-US" w:eastAsia="zh-CN"/>
        </w:rPr>
        <w:t>三级指标参照</w:t>
      </w:r>
      <w:r>
        <w:rPr>
          <w:rFonts w:hint="eastAsia" w:ascii="仿宋" w:hAnsi="仿宋" w:eastAsia="仿宋" w:cs="仿宋"/>
          <w:color w:val="auto"/>
          <w:kern w:val="0"/>
          <w:sz w:val="28"/>
          <w:szCs w:val="28"/>
          <w:highlight w:val="none"/>
        </w:rPr>
        <w:t>《项目支出绩效评价管理办法》</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rPr>
        <w:t>财预〔2020〕10号</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lang w:val="en-US" w:eastAsia="zh-CN"/>
        </w:rPr>
        <w:t>并结合项目实际情况进行设置，并</w:t>
      </w:r>
      <w:r>
        <w:rPr>
          <w:rFonts w:hint="eastAsia" w:ascii="仿宋" w:hAnsi="仿宋" w:eastAsia="仿宋" w:cs="仿宋"/>
          <w:color w:val="auto"/>
          <w:kern w:val="0"/>
          <w:sz w:val="28"/>
          <w:szCs w:val="28"/>
          <w:highlight w:val="none"/>
        </w:rPr>
        <w:t>确定三级指标的权重。</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bookmarkStart w:id="48" w:name="_Toc2892_WPSOffice_Level3"/>
      <w:bookmarkStart w:id="49" w:name="_Toc24348_WPSOffice_Level3"/>
      <w:r>
        <w:rPr>
          <w:rFonts w:hint="eastAsia" w:ascii="仿宋" w:hAnsi="仿宋" w:eastAsia="仿宋" w:cs="仿宋"/>
          <w:color w:val="auto"/>
          <w:kern w:val="0"/>
          <w:sz w:val="28"/>
          <w:szCs w:val="28"/>
          <w:highlight w:val="none"/>
        </w:rPr>
        <w:t>（2）指标体系</w:t>
      </w:r>
      <w:bookmarkEnd w:id="48"/>
      <w:bookmarkEnd w:id="49"/>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rPr>
        <w:t>此次绩效评价从项目的决策、过程、产出和效益四个方面进行评价。指标体系由一级至三级指标及分值、指标解释、评分标准</w:t>
      </w:r>
      <w:r>
        <w:rPr>
          <w:rFonts w:hint="eastAsia" w:ascii="仿宋" w:hAnsi="仿宋" w:eastAsia="仿宋" w:cs="仿宋"/>
          <w:color w:val="auto"/>
          <w:kern w:val="0"/>
          <w:sz w:val="28"/>
          <w:szCs w:val="28"/>
          <w:highlight w:val="none"/>
          <w:lang w:eastAsia="zh-CN"/>
        </w:rPr>
        <w:t>、评价过程、得分情况</w:t>
      </w:r>
      <w:r>
        <w:rPr>
          <w:rFonts w:hint="eastAsia" w:ascii="仿宋" w:hAnsi="仿宋" w:eastAsia="仿宋" w:cs="仿宋"/>
          <w:color w:val="auto"/>
          <w:kern w:val="0"/>
          <w:sz w:val="28"/>
          <w:szCs w:val="28"/>
          <w:highlight w:val="none"/>
          <w:lang w:val="en-US" w:eastAsia="zh-CN"/>
        </w:rPr>
        <w:t>8</w:t>
      </w:r>
      <w:r>
        <w:rPr>
          <w:rFonts w:hint="eastAsia" w:ascii="仿宋" w:hAnsi="仿宋" w:eastAsia="仿宋" w:cs="仿宋"/>
          <w:color w:val="auto"/>
          <w:kern w:val="0"/>
          <w:sz w:val="28"/>
          <w:szCs w:val="28"/>
          <w:highlight w:val="none"/>
        </w:rPr>
        <w:t>个部分组成。其中一级指标4个，二级指标</w:t>
      </w:r>
      <w:r>
        <w:rPr>
          <w:rFonts w:hint="eastAsia" w:ascii="仿宋" w:hAnsi="仿宋" w:eastAsia="仿宋" w:cs="仿宋"/>
          <w:color w:val="auto"/>
          <w:kern w:val="0"/>
          <w:sz w:val="28"/>
          <w:szCs w:val="28"/>
          <w:highlight w:val="none"/>
          <w:lang w:val="en-US" w:eastAsia="zh-CN"/>
        </w:rPr>
        <w:t>14</w:t>
      </w:r>
      <w:r>
        <w:rPr>
          <w:rFonts w:hint="eastAsia" w:ascii="仿宋" w:hAnsi="仿宋" w:eastAsia="仿宋" w:cs="仿宋"/>
          <w:color w:val="auto"/>
          <w:kern w:val="0"/>
          <w:sz w:val="28"/>
          <w:szCs w:val="28"/>
          <w:highlight w:val="none"/>
        </w:rPr>
        <w:t>个，三级指标</w:t>
      </w:r>
      <w:r>
        <w:rPr>
          <w:rFonts w:hint="eastAsia" w:ascii="仿宋" w:hAnsi="仿宋" w:eastAsia="仿宋" w:cs="仿宋"/>
          <w:color w:val="auto"/>
          <w:kern w:val="0"/>
          <w:sz w:val="28"/>
          <w:szCs w:val="28"/>
          <w:highlight w:val="none"/>
          <w:lang w:val="en-US" w:eastAsia="zh-CN"/>
        </w:rPr>
        <w:t>22</w:t>
      </w:r>
      <w:r>
        <w:rPr>
          <w:rFonts w:hint="eastAsia" w:ascii="仿宋" w:hAnsi="仿宋" w:eastAsia="仿宋" w:cs="仿宋"/>
          <w:color w:val="auto"/>
          <w:kern w:val="0"/>
          <w:sz w:val="28"/>
          <w:szCs w:val="28"/>
          <w:highlight w:val="none"/>
        </w:rPr>
        <w:t>个。</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bookmarkStart w:id="50" w:name="_Toc4935_WPSOffice_Level3"/>
      <w:bookmarkStart w:id="51" w:name="_Toc20953_WPSOffice_Level3"/>
      <w:r>
        <w:rPr>
          <w:rFonts w:hint="eastAsia" w:ascii="仿宋" w:hAnsi="仿宋" w:eastAsia="仿宋" w:cs="仿宋"/>
          <w:color w:val="auto"/>
          <w:kern w:val="0"/>
          <w:sz w:val="28"/>
          <w:szCs w:val="28"/>
          <w:highlight w:val="none"/>
        </w:rPr>
        <w:t>（3）绩效级次</w:t>
      </w:r>
      <w:bookmarkEnd w:id="50"/>
      <w:bookmarkEnd w:id="51"/>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rPr>
        <w:t>评价结果包括综合评分和评级，分为四个等级：</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rPr>
        <w:t>高于或等于90（含）的为“优”；</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rPr>
        <w:t>80分（含）～90分的为“良”；</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rPr>
        <w:t>60分（含）～80分的为“合格”；</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rPr>
        <w:t>低于60分的为“不合格”。</w:t>
      </w:r>
    </w:p>
    <w:p>
      <w:pPr>
        <w:keepNext w:val="0"/>
        <w:pageBreakBefore w:val="0"/>
        <w:kinsoku/>
        <w:topLinePunct w:val="0"/>
        <w:bidi w:val="0"/>
        <w:spacing w:line="240" w:lineRule="auto"/>
        <w:ind w:leftChars="0" w:firstLine="562" w:firstLineChars="200"/>
        <w:outlineLvl w:val="1"/>
        <w:rPr>
          <w:rFonts w:hint="eastAsia" w:ascii="楷体" w:hAnsi="楷体" w:eastAsia="楷体" w:cs="楷体"/>
          <w:b/>
          <w:bCs/>
          <w:color w:val="auto"/>
          <w:kern w:val="2"/>
          <w:sz w:val="28"/>
          <w:szCs w:val="28"/>
          <w:lang w:val="en-US" w:eastAsia="zh-CN" w:bidi="ar-SA"/>
        </w:rPr>
      </w:pPr>
      <w:bookmarkStart w:id="52" w:name="_Toc3635"/>
      <w:r>
        <w:rPr>
          <w:rFonts w:hint="eastAsia" w:ascii="楷体" w:hAnsi="楷体" w:eastAsia="楷体" w:cs="楷体"/>
          <w:b/>
          <w:bCs/>
          <w:color w:val="auto"/>
          <w:kern w:val="2"/>
          <w:sz w:val="28"/>
          <w:szCs w:val="28"/>
          <w:lang w:val="en-US" w:eastAsia="zh-CN" w:bidi="ar-SA"/>
        </w:rPr>
        <w:t>（五）评价方法和评价标准</w:t>
      </w:r>
      <w:bookmarkEnd w:id="42"/>
      <w:bookmarkEnd w:id="43"/>
      <w:bookmarkEnd w:id="44"/>
      <w:bookmarkEnd w:id="52"/>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outlineLvl w:val="2"/>
        <w:rPr>
          <w:rFonts w:hint="eastAsia" w:ascii="仿宋" w:hAnsi="仿宋" w:eastAsia="仿宋" w:cs="仿宋"/>
          <w:color w:val="auto"/>
          <w:kern w:val="0"/>
          <w:sz w:val="28"/>
          <w:szCs w:val="28"/>
          <w:highlight w:val="none"/>
          <w:lang w:val="en-US" w:eastAsia="zh-CN"/>
        </w:rPr>
      </w:pPr>
      <w:bookmarkStart w:id="53" w:name="_Toc31567"/>
      <w:bookmarkStart w:id="54" w:name="_Toc30745"/>
      <w:r>
        <w:rPr>
          <w:rFonts w:hint="eastAsia" w:ascii="仿宋" w:hAnsi="仿宋" w:eastAsia="仿宋" w:cs="仿宋"/>
          <w:color w:val="auto"/>
          <w:kern w:val="0"/>
          <w:sz w:val="28"/>
          <w:szCs w:val="28"/>
          <w:highlight w:val="none"/>
          <w:lang w:val="en-US" w:eastAsia="zh-CN"/>
        </w:rPr>
        <w:t>1.评价方法</w:t>
      </w:r>
      <w:bookmarkEnd w:id="53"/>
      <w:bookmarkEnd w:id="54"/>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lang w:val="en-US" w:eastAsia="zh-CN"/>
        </w:rPr>
      </w:pPr>
      <w:r>
        <w:rPr>
          <w:rFonts w:hint="eastAsia" w:ascii="仿宋" w:hAnsi="仿宋" w:eastAsia="仿宋" w:cs="仿宋"/>
          <w:color w:val="auto"/>
          <w:kern w:val="0"/>
          <w:sz w:val="28"/>
          <w:szCs w:val="28"/>
          <w:highlight w:val="none"/>
        </w:rPr>
        <w:t>绩效评价方法采用成本效益分析法、比较法、因素分析法、最低成本法、公众评判法、标杆管理法等，绩效评价方法的选用，坚持定量优先、简便有效的原则。</w:t>
      </w:r>
      <w:r>
        <w:rPr>
          <w:rFonts w:hint="eastAsia" w:ascii="仿宋" w:hAnsi="仿宋" w:eastAsia="仿宋" w:cs="仿宋"/>
          <w:color w:val="auto"/>
          <w:kern w:val="0"/>
          <w:sz w:val="28"/>
          <w:szCs w:val="28"/>
          <w:highlight w:val="none"/>
          <w:lang w:val="en-US" w:eastAsia="zh-CN"/>
        </w:rPr>
        <w:t>本项目采用的绩效评价方法有比较法、因素分析法、公众评判法。</w:t>
      </w:r>
    </w:p>
    <w:p>
      <w:pPr>
        <w:pStyle w:val="17"/>
        <w:keepNext w:val="0"/>
        <w:pageBreakBefore w:val="0"/>
        <w:shd w:val="clear" w:fill="FFFFFF" w:themeFill="background1"/>
        <w:kinsoku/>
        <w:topLinePunct w:val="0"/>
        <w:bidi w:val="0"/>
        <w:snapToGrid/>
        <w:spacing w:after="0" w:line="240" w:lineRule="auto"/>
        <w:ind w:left="0" w:leftChars="0" w:right="0" w:firstLine="560" w:firstLineChars="200"/>
        <w:outlineLvl w:val="2"/>
        <w:rPr>
          <w:rFonts w:hint="eastAsia" w:ascii="仿宋" w:hAnsi="仿宋" w:eastAsia="仿宋" w:cs="仿宋"/>
          <w:color w:val="auto"/>
          <w:kern w:val="0"/>
          <w:sz w:val="28"/>
          <w:szCs w:val="28"/>
          <w:highlight w:val="none"/>
        </w:rPr>
      </w:pPr>
      <w:bookmarkStart w:id="55" w:name="_Toc16566"/>
      <w:bookmarkStart w:id="56" w:name="_Toc5044"/>
      <w:r>
        <w:rPr>
          <w:rFonts w:hint="eastAsia" w:ascii="仿宋" w:hAnsi="仿宋" w:eastAsia="仿宋" w:cs="仿宋"/>
          <w:color w:val="auto"/>
          <w:kern w:val="0"/>
          <w:sz w:val="28"/>
          <w:szCs w:val="28"/>
          <w:highlight w:val="none"/>
        </w:rPr>
        <w:t>2</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rPr>
        <w:t>评价标准</w:t>
      </w:r>
      <w:bookmarkEnd w:id="55"/>
      <w:bookmarkEnd w:id="56"/>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lang w:val="en-US" w:eastAsia="zh-CN"/>
        </w:rPr>
      </w:pPr>
      <w:r>
        <w:rPr>
          <w:rFonts w:hint="eastAsia" w:ascii="仿宋" w:hAnsi="仿宋" w:eastAsia="仿宋" w:cs="仿宋"/>
          <w:color w:val="auto"/>
          <w:kern w:val="0"/>
          <w:sz w:val="28"/>
          <w:szCs w:val="28"/>
          <w:highlight w:val="none"/>
        </w:rPr>
        <w:t>绩效评价标准是指衡量财政支出绩效目标完成程度的参考、依据和尺度。绩效评价标准具体包括：</w:t>
      </w:r>
      <w:r>
        <w:rPr>
          <w:rFonts w:hint="eastAsia" w:ascii="仿宋" w:hAnsi="仿宋" w:eastAsia="仿宋" w:cs="仿宋"/>
          <w:color w:val="auto"/>
          <w:kern w:val="0"/>
          <w:sz w:val="28"/>
          <w:szCs w:val="28"/>
          <w:highlight w:val="none"/>
          <w:lang w:val="en-US" w:eastAsia="zh-CN"/>
        </w:rPr>
        <w:t>计划标准、行业标准、历史标准、</w:t>
      </w:r>
      <w:r>
        <w:rPr>
          <w:rFonts w:hint="eastAsia" w:ascii="仿宋" w:hAnsi="仿宋" w:eastAsia="仿宋" w:cs="仿宋"/>
          <w:color w:val="auto"/>
          <w:kern w:val="0"/>
          <w:sz w:val="28"/>
          <w:szCs w:val="28"/>
          <w:highlight w:val="none"/>
        </w:rPr>
        <w:t>其他经财政部门确认的标准</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lang w:val="en-US" w:eastAsia="zh-CN"/>
        </w:rPr>
        <w:t>本项目涉及计划标准、与历史标准两种评价标准。</w:t>
      </w:r>
    </w:p>
    <w:p>
      <w:pPr>
        <w:keepNext w:val="0"/>
        <w:pageBreakBefore w:val="0"/>
        <w:kinsoku/>
        <w:topLinePunct w:val="0"/>
        <w:bidi w:val="0"/>
        <w:spacing w:line="240" w:lineRule="auto"/>
        <w:ind w:leftChars="0" w:firstLine="562" w:firstLineChars="200"/>
        <w:outlineLvl w:val="1"/>
        <w:rPr>
          <w:rFonts w:hint="eastAsia" w:ascii="楷体" w:hAnsi="楷体" w:eastAsia="楷体" w:cs="楷体"/>
          <w:b/>
          <w:bCs/>
          <w:color w:val="auto"/>
          <w:kern w:val="2"/>
          <w:sz w:val="28"/>
          <w:szCs w:val="28"/>
          <w:lang w:val="en-US" w:eastAsia="zh-CN" w:bidi="ar-SA"/>
        </w:rPr>
      </w:pPr>
      <w:bookmarkStart w:id="57" w:name="_Toc1091"/>
      <w:bookmarkStart w:id="58" w:name="_Toc21447"/>
      <w:bookmarkStart w:id="59" w:name="_Toc8475"/>
      <w:bookmarkStart w:id="60" w:name="_Toc22443"/>
      <w:bookmarkStart w:id="61" w:name="_Toc16397_WPSOffice_Level2"/>
      <w:bookmarkStart w:id="62" w:name="_Toc19182"/>
      <w:r>
        <w:rPr>
          <w:rFonts w:hint="eastAsia" w:ascii="楷体" w:hAnsi="楷体" w:eastAsia="楷体" w:cs="楷体"/>
          <w:b/>
          <w:bCs/>
          <w:color w:val="auto"/>
          <w:kern w:val="2"/>
          <w:sz w:val="28"/>
          <w:szCs w:val="28"/>
          <w:lang w:val="en-US" w:eastAsia="zh-CN" w:bidi="ar-SA"/>
        </w:rPr>
        <w:t>（六）绩效评价</w:t>
      </w:r>
      <w:bookmarkEnd w:id="57"/>
      <w:bookmarkEnd w:id="58"/>
      <w:bookmarkEnd w:id="59"/>
      <w:bookmarkEnd w:id="60"/>
      <w:bookmarkEnd w:id="61"/>
      <w:r>
        <w:rPr>
          <w:rFonts w:hint="eastAsia" w:ascii="楷体" w:hAnsi="楷体" w:eastAsia="楷体" w:cs="楷体"/>
          <w:b/>
          <w:bCs/>
          <w:color w:val="auto"/>
          <w:kern w:val="2"/>
          <w:sz w:val="28"/>
          <w:szCs w:val="28"/>
          <w:lang w:val="en-US" w:eastAsia="zh-CN" w:bidi="ar-SA"/>
        </w:rPr>
        <w:t>实施过程</w:t>
      </w:r>
      <w:bookmarkEnd w:id="62"/>
    </w:p>
    <w:p>
      <w:pPr>
        <w:pStyle w:val="24"/>
        <w:keepNext w:val="0"/>
        <w:keepLines w:val="0"/>
        <w:pageBreakBefore w:val="0"/>
        <w:widowControl w:val="0"/>
        <w:shd w:val="clear" w:fill="FFFFFF" w:themeFill="background1"/>
        <w:kinsoku/>
        <w:wordWrap/>
        <w:overflowPunct/>
        <w:topLinePunct w:val="0"/>
        <w:autoSpaceDE/>
        <w:autoSpaceDN/>
        <w:bidi w:val="0"/>
        <w:adjustRightInd/>
        <w:snapToGrid/>
        <w:spacing w:line="240" w:lineRule="auto"/>
        <w:ind w:left="0" w:leftChars="0" w:right="0" w:firstLine="560" w:firstLineChars="200"/>
        <w:textAlignment w:val="auto"/>
        <w:rPr>
          <w:rFonts w:hint="eastAsia" w:ascii="仿宋" w:hAnsi="仿宋" w:eastAsia="仿宋" w:cs="仿宋"/>
          <w:color w:val="auto"/>
          <w:kern w:val="0"/>
          <w:sz w:val="28"/>
          <w:szCs w:val="28"/>
          <w:highlight w:val="none"/>
          <w:lang w:val="en-US" w:eastAsia="zh-CN" w:bidi="ar-SA"/>
        </w:rPr>
      </w:pPr>
      <w:r>
        <w:rPr>
          <w:rFonts w:hint="eastAsia" w:ascii="仿宋" w:hAnsi="仿宋" w:eastAsia="仿宋" w:cs="仿宋"/>
          <w:color w:val="auto"/>
          <w:kern w:val="0"/>
          <w:sz w:val="28"/>
          <w:szCs w:val="28"/>
          <w:highlight w:val="none"/>
          <w:lang w:val="en-US" w:eastAsia="zh-CN" w:bidi="ar-SA"/>
        </w:rPr>
        <w:t>项目实施周期：2023年5月4日-2023年7月30日</w:t>
      </w:r>
    </w:p>
    <w:p>
      <w:pPr>
        <w:pStyle w:val="24"/>
        <w:keepNext w:val="0"/>
        <w:keepLines w:val="0"/>
        <w:pageBreakBefore w:val="0"/>
        <w:widowControl w:val="0"/>
        <w:shd w:val="clear" w:fill="FFFFFF" w:themeFill="background1"/>
        <w:kinsoku/>
        <w:wordWrap/>
        <w:overflowPunct/>
        <w:topLinePunct w:val="0"/>
        <w:autoSpaceDE/>
        <w:autoSpaceDN/>
        <w:bidi w:val="0"/>
        <w:adjustRightInd/>
        <w:snapToGrid/>
        <w:spacing w:line="240" w:lineRule="auto"/>
        <w:ind w:left="0" w:leftChars="0" w:right="0" w:firstLine="560" w:firstLineChars="200"/>
        <w:textAlignment w:val="auto"/>
        <w:rPr>
          <w:rFonts w:hint="eastAsia" w:ascii="仿宋" w:hAnsi="仿宋" w:eastAsia="仿宋" w:cs="仿宋"/>
          <w:color w:val="auto"/>
          <w:kern w:val="0"/>
          <w:sz w:val="28"/>
          <w:szCs w:val="28"/>
          <w:highlight w:val="none"/>
          <w:lang w:val="en-US" w:eastAsia="zh-CN" w:bidi="ar-SA"/>
        </w:rPr>
      </w:pPr>
      <w:r>
        <w:rPr>
          <w:rFonts w:hint="eastAsia" w:ascii="仿宋" w:hAnsi="仿宋" w:eastAsia="仿宋" w:cs="仿宋"/>
          <w:color w:val="auto"/>
          <w:kern w:val="0"/>
          <w:sz w:val="28"/>
          <w:szCs w:val="28"/>
          <w:highlight w:val="none"/>
          <w:lang w:val="en-US" w:eastAsia="zh-CN" w:bidi="ar-SA"/>
        </w:rPr>
        <w:t>1.2023年5月4日-2023年5月7日：成立项目绩效评价工作组，编制绩效评价工作方案。按石狮市财政局下发的绩效评价通知，罗列绩效评价项目资料清单，前往石狮市发展和改革局及局属相关单位了解项目情况，收集绩效评价所需的基础资料。</w:t>
      </w:r>
    </w:p>
    <w:p>
      <w:pPr>
        <w:pStyle w:val="24"/>
        <w:keepNext w:val="0"/>
        <w:keepLines w:val="0"/>
        <w:pageBreakBefore w:val="0"/>
        <w:widowControl w:val="0"/>
        <w:shd w:val="clear" w:fill="FFFFFF" w:themeFill="background1"/>
        <w:kinsoku/>
        <w:wordWrap/>
        <w:overflowPunct/>
        <w:topLinePunct w:val="0"/>
        <w:autoSpaceDE/>
        <w:autoSpaceDN/>
        <w:bidi w:val="0"/>
        <w:adjustRightInd/>
        <w:snapToGrid/>
        <w:spacing w:line="240" w:lineRule="auto"/>
        <w:ind w:left="0" w:leftChars="0" w:right="0" w:firstLine="560" w:firstLineChars="200"/>
        <w:textAlignment w:val="auto"/>
        <w:rPr>
          <w:rFonts w:hint="eastAsia" w:ascii="仿宋" w:hAnsi="仿宋" w:eastAsia="仿宋" w:cs="仿宋"/>
          <w:color w:val="auto"/>
          <w:kern w:val="0"/>
          <w:sz w:val="28"/>
          <w:szCs w:val="28"/>
          <w:highlight w:val="none"/>
          <w:lang w:val="en-US" w:eastAsia="zh-CN" w:bidi="ar-SA"/>
        </w:rPr>
      </w:pPr>
      <w:r>
        <w:rPr>
          <w:rFonts w:hint="eastAsia" w:ascii="仿宋" w:hAnsi="仿宋" w:eastAsia="仿宋" w:cs="仿宋"/>
          <w:color w:val="auto"/>
          <w:kern w:val="0"/>
          <w:sz w:val="28"/>
          <w:szCs w:val="28"/>
          <w:highlight w:val="none"/>
          <w:lang w:val="en-US" w:eastAsia="zh-CN" w:bidi="ar-SA"/>
        </w:rPr>
        <w:t>2.2023年5月7日-2023年5月10日：工作组梳理前期资料，对现有的项目资料、国家及地方出台的发展政策和战略规划、各种相关的研究报告和咨询报告等文档资料根据绩效评价的原则和方法，对采集的数据和资料进行汇总综合分析、核查，充分了解项目背景，从中提取与项目有关的数据信息，设计基本绩效指标。</w:t>
      </w:r>
    </w:p>
    <w:p>
      <w:pPr>
        <w:pStyle w:val="24"/>
        <w:keepNext w:val="0"/>
        <w:keepLines w:val="0"/>
        <w:pageBreakBefore w:val="0"/>
        <w:widowControl w:val="0"/>
        <w:shd w:val="clear" w:fill="FFFFFF" w:themeFill="background1"/>
        <w:kinsoku/>
        <w:wordWrap/>
        <w:overflowPunct/>
        <w:topLinePunct w:val="0"/>
        <w:autoSpaceDE/>
        <w:autoSpaceDN/>
        <w:bidi w:val="0"/>
        <w:adjustRightInd/>
        <w:snapToGrid/>
        <w:spacing w:line="240" w:lineRule="auto"/>
        <w:ind w:left="0" w:leftChars="0" w:right="0" w:firstLine="560" w:firstLineChars="200"/>
        <w:textAlignment w:val="auto"/>
        <w:rPr>
          <w:rFonts w:hint="eastAsia" w:ascii="仿宋" w:hAnsi="仿宋" w:eastAsia="仿宋" w:cs="仿宋"/>
          <w:color w:val="auto"/>
          <w:kern w:val="0"/>
          <w:sz w:val="28"/>
          <w:szCs w:val="28"/>
          <w:highlight w:val="none"/>
          <w:lang w:val="en-US" w:eastAsia="zh-CN" w:bidi="ar-SA"/>
        </w:rPr>
      </w:pPr>
      <w:r>
        <w:rPr>
          <w:rFonts w:hint="eastAsia" w:ascii="仿宋" w:hAnsi="仿宋" w:eastAsia="仿宋" w:cs="仿宋"/>
          <w:color w:val="auto"/>
          <w:kern w:val="0"/>
          <w:sz w:val="28"/>
          <w:szCs w:val="28"/>
          <w:highlight w:val="none"/>
          <w:lang w:val="en-US" w:eastAsia="zh-CN" w:bidi="ar-SA"/>
        </w:rPr>
        <w:t>3.2023年5月10日-2023年5月20日：工作组开展实地调研座谈，与石狮市发展和改革局相关部门进行交流，深入项目现场进行调研，进一步采集数据资料。同时，组织工作组成员设计调查问卷，由石狮市发展和改革局向各参与方和服务对象分发，获取满意度数据。</w:t>
      </w:r>
    </w:p>
    <w:p>
      <w:pPr>
        <w:pStyle w:val="24"/>
        <w:keepNext w:val="0"/>
        <w:keepLines w:val="0"/>
        <w:pageBreakBefore w:val="0"/>
        <w:widowControl w:val="0"/>
        <w:shd w:val="clear" w:fill="FFFFFF" w:themeFill="background1"/>
        <w:kinsoku/>
        <w:wordWrap/>
        <w:overflowPunct/>
        <w:topLinePunct w:val="0"/>
        <w:autoSpaceDE/>
        <w:autoSpaceDN/>
        <w:bidi w:val="0"/>
        <w:adjustRightInd/>
        <w:snapToGrid/>
        <w:spacing w:line="240" w:lineRule="auto"/>
        <w:ind w:left="0" w:leftChars="0" w:right="0" w:firstLine="560" w:firstLineChars="200"/>
        <w:textAlignment w:val="auto"/>
        <w:rPr>
          <w:rFonts w:hint="eastAsia" w:ascii="仿宋" w:hAnsi="仿宋" w:eastAsia="仿宋" w:cs="仿宋"/>
          <w:color w:val="auto"/>
          <w:kern w:val="0"/>
          <w:sz w:val="28"/>
          <w:szCs w:val="28"/>
          <w:highlight w:val="none"/>
          <w:lang w:val="en-US" w:eastAsia="zh-CN" w:bidi="ar-SA"/>
        </w:rPr>
      </w:pPr>
      <w:r>
        <w:rPr>
          <w:rFonts w:hint="eastAsia" w:ascii="仿宋" w:hAnsi="仿宋" w:eastAsia="仿宋" w:cs="仿宋"/>
          <w:color w:val="auto"/>
          <w:kern w:val="0"/>
          <w:sz w:val="28"/>
          <w:szCs w:val="28"/>
          <w:highlight w:val="none"/>
          <w:lang w:val="en-US" w:eastAsia="zh-CN" w:bidi="ar-SA"/>
        </w:rPr>
        <w:t>4.2023年5月20日-2023年6月10日：根据评价需要补充新的数据资料。根据修订后的指标体系以及初步评价过程中出现的新问题，进一步搜集绩效评价所需的数据和资料。</w:t>
      </w:r>
    </w:p>
    <w:p>
      <w:pPr>
        <w:pStyle w:val="24"/>
        <w:keepNext w:val="0"/>
        <w:keepLines w:val="0"/>
        <w:pageBreakBefore w:val="0"/>
        <w:widowControl w:val="0"/>
        <w:shd w:val="clear" w:fill="FFFFFF" w:themeFill="background1"/>
        <w:kinsoku/>
        <w:wordWrap/>
        <w:overflowPunct/>
        <w:topLinePunct w:val="0"/>
        <w:autoSpaceDE/>
        <w:autoSpaceDN/>
        <w:bidi w:val="0"/>
        <w:adjustRightInd/>
        <w:snapToGrid/>
        <w:spacing w:line="240" w:lineRule="auto"/>
        <w:ind w:left="0" w:leftChars="0" w:right="0" w:firstLine="560" w:firstLineChars="200"/>
        <w:textAlignment w:val="auto"/>
        <w:rPr>
          <w:rFonts w:hint="eastAsia" w:ascii="仿宋" w:hAnsi="仿宋" w:eastAsia="仿宋" w:cs="仿宋"/>
          <w:color w:val="auto"/>
          <w:kern w:val="0"/>
          <w:sz w:val="28"/>
          <w:szCs w:val="28"/>
          <w:highlight w:val="none"/>
          <w:lang w:val="en-US" w:eastAsia="zh-CN" w:bidi="ar-SA"/>
        </w:rPr>
      </w:pPr>
      <w:r>
        <w:rPr>
          <w:rFonts w:hint="eastAsia" w:ascii="仿宋" w:hAnsi="仿宋" w:eastAsia="仿宋" w:cs="仿宋"/>
          <w:color w:val="auto"/>
          <w:kern w:val="0"/>
          <w:sz w:val="28"/>
          <w:szCs w:val="28"/>
          <w:highlight w:val="none"/>
          <w:lang w:val="en-US" w:eastAsia="zh-CN" w:bidi="ar-SA"/>
        </w:rPr>
        <w:t>5.2023年6月10日-2023年6月30日：全面分析并撰写报告初稿。根据已确定的指标体系，对财政资金的使用情况、项目立项建设、运行管理、资金使用、服务对象满意度以及投入产出绩效等方面进行全面分析，指出项目存在的问题并提出建议，完成绩效评价报告初稿。</w:t>
      </w:r>
    </w:p>
    <w:p>
      <w:pPr>
        <w:pStyle w:val="24"/>
        <w:keepNext w:val="0"/>
        <w:keepLines w:val="0"/>
        <w:pageBreakBefore w:val="0"/>
        <w:widowControl w:val="0"/>
        <w:shd w:val="clear" w:fill="FFFFFF" w:themeFill="background1"/>
        <w:kinsoku/>
        <w:wordWrap/>
        <w:overflowPunct/>
        <w:topLinePunct w:val="0"/>
        <w:autoSpaceDE/>
        <w:autoSpaceDN/>
        <w:bidi w:val="0"/>
        <w:adjustRightInd/>
        <w:snapToGrid/>
        <w:spacing w:line="240" w:lineRule="auto"/>
        <w:ind w:left="0" w:leftChars="0" w:right="0" w:firstLine="560" w:firstLineChars="200"/>
        <w:textAlignment w:val="auto"/>
        <w:rPr>
          <w:rFonts w:hint="eastAsia" w:ascii="仿宋" w:hAnsi="仿宋" w:eastAsia="仿宋" w:cs="仿宋"/>
          <w:color w:val="auto"/>
          <w:kern w:val="0"/>
          <w:sz w:val="28"/>
          <w:szCs w:val="28"/>
          <w:highlight w:val="none"/>
          <w:lang w:val="en-US" w:eastAsia="zh-CN" w:bidi="ar-SA"/>
        </w:rPr>
      </w:pPr>
      <w:r>
        <w:rPr>
          <w:rFonts w:hint="eastAsia" w:ascii="仿宋" w:hAnsi="仿宋" w:eastAsia="仿宋" w:cs="仿宋"/>
          <w:color w:val="auto"/>
          <w:kern w:val="0"/>
          <w:sz w:val="28"/>
          <w:szCs w:val="28"/>
          <w:highlight w:val="none"/>
          <w:lang w:val="en-US" w:eastAsia="zh-CN" w:bidi="ar-SA"/>
        </w:rPr>
        <w:t>6.2023年6月30日-2023年7月30日：根据石狮市财政局及各相关部门的反馈意见，修改并完成报告终稿。</w:t>
      </w:r>
    </w:p>
    <w:p>
      <w:pPr>
        <w:pStyle w:val="24"/>
        <w:keepNext w:val="0"/>
        <w:keepLines w:val="0"/>
        <w:pageBreakBefore w:val="0"/>
        <w:widowControl w:val="0"/>
        <w:shd w:val="clear" w:fill="FFFFFF" w:themeFill="background1"/>
        <w:kinsoku/>
        <w:wordWrap/>
        <w:overflowPunct/>
        <w:topLinePunct w:val="0"/>
        <w:autoSpaceDE/>
        <w:autoSpaceDN/>
        <w:bidi w:val="0"/>
        <w:adjustRightInd/>
        <w:snapToGrid/>
        <w:spacing w:line="240" w:lineRule="auto"/>
        <w:ind w:left="0" w:leftChars="0" w:right="0" w:firstLine="560" w:firstLineChars="200"/>
        <w:textAlignment w:val="auto"/>
        <w:rPr>
          <w:rFonts w:hint="eastAsia" w:ascii="仿宋" w:hAnsi="仿宋" w:eastAsia="仿宋" w:cs="仿宋"/>
          <w:color w:val="auto"/>
          <w:kern w:val="0"/>
          <w:sz w:val="28"/>
          <w:szCs w:val="28"/>
          <w:highlight w:val="none"/>
          <w:lang w:val="en-US" w:eastAsia="zh-CN" w:bidi="ar-SA"/>
        </w:rPr>
      </w:pPr>
    </w:p>
    <w:p>
      <w:pPr>
        <w:keepNext w:val="0"/>
        <w:pageBreakBefore w:val="0"/>
        <w:kinsoku/>
        <w:topLinePunct w:val="0"/>
        <w:bidi w:val="0"/>
        <w:spacing w:line="240" w:lineRule="auto"/>
        <w:ind w:leftChars="0" w:firstLine="562" w:firstLineChars="200"/>
        <w:outlineLvl w:val="0"/>
        <w:rPr>
          <w:rFonts w:hint="eastAsia" w:ascii="黑体" w:hAnsi="黑体" w:eastAsia="黑体" w:cs="黑体"/>
          <w:b/>
          <w:bCs/>
          <w:color w:val="auto"/>
          <w:sz w:val="28"/>
          <w:szCs w:val="28"/>
        </w:rPr>
      </w:pPr>
      <w:bookmarkStart w:id="63" w:name="_Toc1362"/>
      <w:r>
        <w:rPr>
          <w:rFonts w:hint="eastAsia" w:ascii="黑体" w:hAnsi="黑体" w:eastAsia="黑体" w:cs="黑体"/>
          <w:b/>
          <w:bCs/>
          <w:color w:val="auto"/>
          <w:sz w:val="28"/>
          <w:szCs w:val="28"/>
        </w:rPr>
        <w:t>三、综合评价情况及评价结论</w:t>
      </w:r>
      <w:bookmarkEnd w:id="63"/>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outlineLvl w:val="9"/>
        <w:rPr>
          <w:rFonts w:hint="eastAsia" w:ascii="仿宋" w:hAnsi="仿宋" w:eastAsia="仿宋" w:cs="仿宋"/>
          <w:b/>
          <w:bCs/>
          <w:color w:val="auto"/>
          <w:sz w:val="28"/>
          <w:szCs w:val="28"/>
          <w:lang w:val="en-US" w:eastAsia="zh-CN"/>
        </w:rPr>
      </w:pPr>
      <w:r>
        <w:rPr>
          <w:rFonts w:hint="eastAsia" w:ascii="仿宋" w:hAnsi="仿宋" w:eastAsia="仿宋" w:cs="仿宋"/>
          <w:color w:val="auto"/>
          <w:kern w:val="0"/>
          <w:sz w:val="28"/>
          <w:szCs w:val="28"/>
          <w:highlight w:val="none"/>
          <w:lang w:val="en-US" w:eastAsia="zh-CN"/>
        </w:rPr>
        <w:t>经过数据采集、书面资料审查、实地调研、社会调查和分析研究等必要的绩效评价程序，并结合单位情况，在梳理、分析、研究评价数据资料的基础上，</w:t>
      </w:r>
      <w:r>
        <w:rPr>
          <w:rFonts w:hint="eastAsia" w:ascii="仿宋" w:hAnsi="仿宋" w:eastAsia="仿宋" w:cs="仿宋"/>
          <w:color w:val="auto"/>
          <w:sz w:val="28"/>
          <w:szCs w:val="28"/>
          <w:highlight w:val="none"/>
        </w:rPr>
        <w:t>根据材料评价及现场评价取得的信息，</w:t>
      </w:r>
      <w:r>
        <w:rPr>
          <w:rFonts w:hint="eastAsia" w:ascii="仿宋" w:hAnsi="仿宋" w:eastAsia="仿宋" w:cs="仿宋"/>
          <w:color w:val="auto"/>
          <w:sz w:val="28"/>
          <w:szCs w:val="28"/>
          <w:highlight w:val="none"/>
          <w:lang w:val="en-US" w:eastAsia="zh-CN"/>
        </w:rPr>
        <w:t>结合</w:t>
      </w:r>
      <w:r>
        <w:rPr>
          <w:rFonts w:hint="eastAsia" w:ascii="仿宋" w:hAnsi="仿宋" w:eastAsia="仿宋" w:cs="仿宋"/>
          <w:color w:val="auto"/>
          <w:sz w:val="28"/>
          <w:szCs w:val="28"/>
          <w:highlight w:val="none"/>
        </w:rPr>
        <w:t>评价小组编制的</w:t>
      </w:r>
      <w:r>
        <w:rPr>
          <w:rFonts w:hint="eastAsia" w:ascii="仿宋" w:hAnsi="仿宋" w:eastAsia="仿宋" w:cs="仿宋"/>
          <w:color w:val="auto"/>
          <w:sz w:val="28"/>
          <w:szCs w:val="28"/>
          <w:highlight w:val="none"/>
          <w:lang w:val="en-US" w:eastAsia="zh-CN"/>
        </w:rPr>
        <w:t>污染治理和节能减碳专项（节能减碳方向）2022年第二批中央预算内投资资金绩效评价的</w:t>
      </w:r>
      <w:r>
        <w:rPr>
          <w:rFonts w:hint="eastAsia" w:ascii="仿宋" w:hAnsi="仿宋" w:eastAsia="仿宋" w:cs="仿宋"/>
          <w:color w:val="auto"/>
          <w:sz w:val="28"/>
          <w:szCs w:val="28"/>
          <w:highlight w:val="none"/>
        </w:rPr>
        <w:t>评分标准，总体绩效评价</w:t>
      </w:r>
      <w:r>
        <w:rPr>
          <w:rFonts w:hint="eastAsia" w:ascii="仿宋" w:hAnsi="仿宋" w:eastAsia="仿宋" w:cs="仿宋"/>
          <w:color w:val="000000" w:themeColor="text1"/>
          <w:sz w:val="28"/>
          <w:szCs w:val="28"/>
          <w:highlight w:val="none"/>
          <w14:textFill>
            <w14:solidFill>
              <w14:schemeClr w14:val="tx1"/>
            </w14:solidFill>
          </w14:textFill>
        </w:rPr>
        <w:t>结</w:t>
      </w:r>
      <w:r>
        <w:rPr>
          <w:rFonts w:hint="eastAsia" w:ascii="仿宋" w:hAnsi="仿宋" w:eastAsia="仿宋" w:cs="仿宋"/>
          <w:color w:val="000000" w:themeColor="text1"/>
          <w:sz w:val="28"/>
          <w:szCs w:val="28"/>
          <w:highlight w:val="none"/>
          <w:lang w:eastAsia="zh-CN"/>
          <w14:textFill>
            <w14:solidFill>
              <w14:schemeClr w14:val="tx1"/>
            </w14:solidFill>
          </w14:textFill>
        </w:rPr>
        <w:t>果为</w:t>
      </w:r>
      <w:r>
        <w:rPr>
          <w:rFonts w:hint="eastAsia" w:ascii="仿宋" w:hAnsi="仿宋" w:eastAsia="仿宋" w:cs="仿宋"/>
          <w:color w:val="000000" w:themeColor="text1"/>
          <w:sz w:val="28"/>
          <w:szCs w:val="28"/>
          <w:highlight w:val="none"/>
          <w:lang w:val="en-US" w:eastAsia="zh-CN"/>
          <w14:textFill>
            <w14:solidFill>
              <w14:schemeClr w14:val="tx1"/>
            </w14:solidFill>
          </w14:textFill>
        </w:rPr>
        <w:t>83.06</w:t>
      </w:r>
      <w:r>
        <w:rPr>
          <w:rFonts w:hint="eastAsia" w:ascii="仿宋" w:hAnsi="仿宋" w:eastAsia="仿宋" w:cs="仿宋"/>
          <w:color w:val="000000" w:themeColor="text1"/>
          <w:sz w:val="28"/>
          <w:szCs w:val="28"/>
          <w:highlight w:val="none"/>
          <w:lang w:eastAsia="zh-CN"/>
          <w14:textFill>
            <w14:solidFill>
              <w14:schemeClr w14:val="tx1"/>
            </w14:solidFill>
          </w14:textFill>
        </w:rPr>
        <w:t>分</w:t>
      </w:r>
      <w:r>
        <w:rPr>
          <w:rFonts w:hint="eastAsia" w:ascii="仿宋" w:hAnsi="仿宋" w:eastAsia="仿宋" w:cs="仿宋"/>
          <w:color w:val="000000" w:themeColor="text1"/>
          <w:sz w:val="28"/>
          <w:szCs w:val="28"/>
          <w:highlight w:val="none"/>
          <w14:textFill>
            <w14:solidFill>
              <w14:schemeClr w14:val="tx1"/>
            </w14:solidFill>
          </w14:textFill>
        </w:rPr>
        <w:t>，评</w:t>
      </w:r>
      <w:r>
        <w:rPr>
          <w:rFonts w:hint="eastAsia" w:ascii="仿宋" w:hAnsi="仿宋" w:eastAsia="仿宋" w:cs="仿宋"/>
          <w:color w:val="auto"/>
          <w:sz w:val="28"/>
          <w:szCs w:val="28"/>
          <w:highlight w:val="none"/>
        </w:rPr>
        <w:t>价等级为“</w:t>
      </w:r>
      <w:r>
        <w:rPr>
          <w:rFonts w:hint="eastAsia" w:ascii="仿宋" w:hAnsi="仿宋" w:eastAsia="仿宋" w:cs="仿宋"/>
          <w:color w:val="auto"/>
          <w:sz w:val="28"/>
          <w:szCs w:val="28"/>
          <w:highlight w:val="none"/>
          <w:lang w:val="en-US" w:eastAsia="zh-CN"/>
        </w:rPr>
        <w:t>良</w:t>
      </w:r>
      <w:r>
        <w:rPr>
          <w:rFonts w:hint="eastAsia" w:ascii="仿宋" w:hAnsi="仿宋" w:eastAsia="仿宋" w:cs="仿宋"/>
          <w:color w:val="auto"/>
          <w:sz w:val="28"/>
          <w:szCs w:val="28"/>
          <w:highlight w:val="none"/>
        </w:rPr>
        <w:t>”。</w:t>
      </w:r>
      <w:r>
        <w:rPr>
          <w:rFonts w:hint="eastAsia" w:ascii="仿宋" w:hAnsi="仿宋" w:eastAsia="仿宋" w:cs="仿宋"/>
          <w:color w:val="auto"/>
          <w:sz w:val="28"/>
          <w:szCs w:val="28"/>
          <w:highlight w:val="none"/>
          <w:lang w:val="en-US" w:eastAsia="zh-CN"/>
        </w:rPr>
        <w:t>具体指标得分情况如下：</w:t>
      </w:r>
    </w:p>
    <w:tbl>
      <w:tblPr>
        <w:tblStyle w:val="18"/>
        <w:tblW w:w="869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75"/>
        <w:gridCol w:w="1975"/>
        <w:gridCol w:w="1975"/>
        <w:gridCol w:w="27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cantSplit/>
          <w:trHeight w:val="511" w:hRule="atLeast"/>
          <w:tblHeader/>
          <w:jc w:val="center"/>
        </w:trPr>
        <w:tc>
          <w:tcPr>
            <w:tcW w:w="1975"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pageBreakBefore w:val="0"/>
              <w:widowControl/>
              <w:suppressLineNumbers w:val="0"/>
              <w:kinsoku/>
              <w:topLinePunct w:val="0"/>
              <w:bidi w:val="0"/>
              <w:spacing w:line="240" w:lineRule="auto"/>
              <w:ind w:leftChars="0"/>
              <w:jc w:val="center"/>
              <w:textAlignment w:val="center"/>
              <w:rPr>
                <w:rFonts w:hint="eastAsia" w:ascii="仿宋" w:hAnsi="仿宋" w:eastAsia="仿宋" w:cs="仿宋"/>
                <w:b/>
                <w:bCs/>
                <w:i w:val="0"/>
                <w:iCs w:val="0"/>
                <w:color w:val="auto"/>
                <w:sz w:val="22"/>
                <w:szCs w:val="22"/>
                <w:u w:val="none"/>
              </w:rPr>
            </w:pPr>
            <w:r>
              <w:rPr>
                <w:rFonts w:hint="eastAsia" w:ascii="仿宋" w:hAnsi="仿宋" w:eastAsia="仿宋" w:cs="仿宋"/>
                <w:b/>
                <w:bCs/>
                <w:i w:val="0"/>
                <w:iCs w:val="0"/>
                <w:color w:val="auto"/>
                <w:kern w:val="0"/>
                <w:sz w:val="22"/>
                <w:szCs w:val="22"/>
                <w:u w:val="none"/>
                <w:lang w:val="en-US" w:eastAsia="zh-CN" w:bidi="ar"/>
              </w:rPr>
              <w:t>一级指标</w:t>
            </w:r>
          </w:p>
        </w:tc>
        <w:tc>
          <w:tcPr>
            <w:tcW w:w="1975"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pageBreakBefore w:val="0"/>
              <w:widowControl/>
              <w:suppressLineNumbers w:val="0"/>
              <w:kinsoku/>
              <w:topLinePunct w:val="0"/>
              <w:bidi w:val="0"/>
              <w:spacing w:line="240" w:lineRule="auto"/>
              <w:ind w:leftChars="0"/>
              <w:jc w:val="center"/>
              <w:textAlignment w:val="center"/>
              <w:rPr>
                <w:rFonts w:hint="eastAsia" w:ascii="仿宋" w:hAnsi="仿宋" w:eastAsia="仿宋" w:cs="仿宋"/>
                <w:b/>
                <w:bCs/>
                <w:i w:val="0"/>
                <w:iCs w:val="0"/>
                <w:color w:val="auto"/>
                <w:sz w:val="22"/>
                <w:szCs w:val="22"/>
                <w:u w:val="none"/>
              </w:rPr>
            </w:pPr>
            <w:r>
              <w:rPr>
                <w:rFonts w:hint="eastAsia" w:ascii="仿宋" w:hAnsi="仿宋" w:eastAsia="仿宋" w:cs="仿宋"/>
                <w:b/>
                <w:bCs/>
                <w:i w:val="0"/>
                <w:iCs w:val="0"/>
                <w:color w:val="auto"/>
                <w:kern w:val="0"/>
                <w:sz w:val="22"/>
                <w:szCs w:val="22"/>
                <w:u w:val="none"/>
                <w:lang w:val="en-US" w:eastAsia="zh-CN" w:bidi="ar"/>
              </w:rPr>
              <w:t>分值</w:t>
            </w:r>
          </w:p>
        </w:tc>
        <w:tc>
          <w:tcPr>
            <w:tcW w:w="1975"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pageBreakBefore w:val="0"/>
              <w:widowControl/>
              <w:suppressLineNumbers w:val="0"/>
              <w:kinsoku/>
              <w:topLinePunct w:val="0"/>
              <w:bidi w:val="0"/>
              <w:spacing w:line="240" w:lineRule="auto"/>
              <w:ind w:leftChars="0"/>
              <w:jc w:val="center"/>
              <w:textAlignment w:val="center"/>
              <w:rPr>
                <w:rFonts w:hint="eastAsia" w:ascii="仿宋" w:hAnsi="仿宋" w:eastAsia="仿宋" w:cs="仿宋"/>
                <w:b/>
                <w:bCs/>
                <w:i w:val="0"/>
                <w:iCs w:val="0"/>
                <w:color w:val="auto"/>
                <w:sz w:val="22"/>
                <w:szCs w:val="22"/>
                <w:u w:val="none"/>
              </w:rPr>
            </w:pPr>
            <w:r>
              <w:rPr>
                <w:rFonts w:hint="eastAsia" w:ascii="仿宋" w:hAnsi="仿宋" w:eastAsia="仿宋" w:cs="仿宋"/>
                <w:b/>
                <w:bCs/>
                <w:i w:val="0"/>
                <w:iCs w:val="0"/>
                <w:color w:val="auto"/>
                <w:kern w:val="0"/>
                <w:sz w:val="22"/>
                <w:szCs w:val="22"/>
                <w:u w:val="none"/>
                <w:lang w:val="en-US" w:eastAsia="zh-CN" w:bidi="ar"/>
              </w:rPr>
              <w:t>得分</w:t>
            </w:r>
          </w:p>
        </w:tc>
        <w:tc>
          <w:tcPr>
            <w:tcW w:w="2773"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pageBreakBefore w:val="0"/>
              <w:widowControl/>
              <w:suppressLineNumbers w:val="0"/>
              <w:kinsoku/>
              <w:topLinePunct w:val="0"/>
              <w:bidi w:val="0"/>
              <w:spacing w:line="240" w:lineRule="auto"/>
              <w:ind w:leftChars="0"/>
              <w:jc w:val="center"/>
              <w:textAlignment w:val="center"/>
              <w:rPr>
                <w:rFonts w:hint="eastAsia" w:ascii="仿宋" w:hAnsi="仿宋" w:eastAsia="仿宋" w:cs="仿宋"/>
                <w:b/>
                <w:bCs/>
                <w:i w:val="0"/>
                <w:iCs w:val="0"/>
                <w:color w:val="auto"/>
                <w:sz w:val="22"/>
                <w:szCs w:val="22"/>
                <w:u w:val="none"/>
              </w:rPr>
            </w:pPr>
            <w:r>
              <w:rPr>
                <w:rFonts w:hint="eastAsia" w:ascii="仿宋" w:hAnsi="仿宋" w:eastAsia="仿宋" w:cs="仿宋"/>
                <w:b/>
                <w:bCs/>
                <w:i w:val="0"/>
                <w:iCs w:val="0"/>
                <w:color w:val="auto"/>
                <w:kern w:val="0"/>
                <w:sz w:val="22"/>
                <w:szCs w:val="22"/>
                <w:u w:val="none"/>
                <w:lang w:val="en-US" w:eastAsia="zh-CN" w:bidi="ar"/>
              </w:rPr>
              <w:t>得分率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5" w:hRule="atLeast"/>
          <w:jc w:val="center"/>
        </w:trPr>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323232"/>
                <w:kern w:val="0"/>
                <w:sz w:val="22"/>
                <w:szCs w:val="22"/>
                <w:u w:val="none"/>
                <w:lang w:val="en-US" w:eastAsia="zh-CN" w:bidi="ar"/>
              </w:rPr>
              <w:t>决策　</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 xml:space="preserve">24.00 </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i w:val="0"/>
                <w:iCs w:val="0"/>
                <w:color w:val="auto"/>
                <w:sz w:val="22"/>
                <w:szCs w:val="22"/>
                <w:u w:val="none"/>
                <w:lang w:val="en-US"/>
              </w:rPr>
            </w:pPr>
            <w:r>
              <w:rPr>
                <w:rFonts w:hint="eastAsia" w:ascii="仿宋" w:hAnsi="仿宋" w:eastAsia="仿宋" w:cs="仿宋"/>
                <w:i w:val="0"/>
                <w:iCs w:val="0"/>
                <w:color w:val="auto"/>
                <w:kern w:val="0"/>
                <w:sz w:val="22"/>
                <w:szCs w:val="22"/>
                <w:u w:val="none"/>
                <w:lang w:val="en-US" w:eastAsia="zh-CN" w:bidi="ar"/>
              </w:rPr>
              <w:t>23.00</w:t>
            </w:r>
          </w:p>
        </w:tc>
        <w:tc>
          <w:tcPr>
            <w:tcW w:w="277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2"/>
                <w:szCs w:val="22"/>
                <w:u w:val="none"/>
                <w:lang w:val="en-US" w:eastAsia="zh-CN" w:bidi="ar"/>
              </w:rPr>
            </w:pPr>
            <w:r>
              <w:rPr>
                <w:rFonts w:hint="eastAsia" w:ascii="仿宋" w:hAnsi="仿宋" w:eastAsia="仿宋" w:cs="仿宋"/>
                <w:i w:val="0"/>
                <w:iCs w:val="0"/>
                <w:color w:val="auto"/>
                <w:kern w:val="0"/>
                <w:sz w:val="22"/>
                <w:szCs w:val="22"/>
                <w:u w:val="none"/>
                <w:lang w:val="en-US" w:eastAsia="zh-CN" w:bidi="ar"/>
              </w:rPr>
              <w:t>95.83%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5" w:hRule="atLeast"/>
          <w:jc w:val="center"/>
        </w:trPr>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323232"/>
                <w:kern w:val="0"/>
                <w:sz w:val="22"/>
                <w:szCs w:val="22"/>
                <w:u w:val="none"/>
                <w:lang w:val="en-US" w:eastAsia="zh-CN" w:bidi="ar"/>
              </w:rPr>
              <w:t>过程</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 xml:space="preserve">30.00 </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i w:val="0"/>
                <w:iCs w:val="0"/>
                <w:color w:val="auto"/>
                <w:sz w:val="22"/>
                <w:szCs w:val="22"/>
                <w:u w:val="none"/>
                <w:lang w:val="en-US"/>
              </w:rPr>
            </w:pPr>
            <w:r>
              <w:rPr>
                <w:rFonts w:hint="eastAsia" w:ascii="仿宋" w:hAnsi="仿宋" w:eastAsia="仿宋" w:cs="仿宋"/>
                <w:i w:val="0"/>
                <w:iCs w:val="0"/>
                <w:color w:val="auto"/>
                <w:kern w:val="0"/>
                <w:sz w:val="22"/>
                <w:szCs w:val="22"/>
                <w:u w:val="none"/>
                <w:lang w:val="en-US" w:eastAsia="zh-CN" w:bidi="ar"/>
              </w:rPr>
              <w:t>20.00</w:t>
            </w:r>
          </w:p>
        </w:tc>
        <w:tc>
          <w:tcPr>
            <w:tcW w:w="277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2"/>
                <w:szCs w:val="22"/>
                <w:u w:val="none"/>
                <w:lang w:val="en-US" w:eastAsia="zh-CN" w:bidi="ar"/>
              </w:rPr>
            </w:pPr>
            <w:r>
              <w:rPr>
                <w:rFonts w:hint="eastAsia" w:ascii="仿宋" w:hAnsi="仿宋" w:eastAsia="仿宋" w:cs="仿宋"/>
                <w:i w:val="0"/>
                <w:iCs w:val="0"/>
                <w:color w:val="auto"/>
                <w:kern w:val="0"/>
                <w:sz w:val="22"/>
                <w:szCs w:val="22"/>
                <w:u w:val="none"/>
                <w:lang w:val="en-US" w:eastAsia="zh-CN" w:bidi="ar"/>
              </w:rPr>
              <w:t>66.67%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5" w:hRule="atLeast"/>
          <w:jc w:val="center"/>
        </w:trPr>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323232"/>
                <w:kern w:val="0"/>
                <w:sz w:val="22"/>
                <w:szCs w:val="22"/>
                <w:u w:val="none"/>
                <w:lang w:val="en-US" w:eastAsia="zh-CN" w:bidi="ar"/>
              </w:rPr>
              <w:t>产出</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 xml:space="preserve">30.00 </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24.06</w:t>
            </w:r>
          </w:p>
        </w:tc>
        <w:tc>
          <w:tcPr>
            <w:tcW w:w="277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2"/>
                <w:szCs w:val="22"/>
                <w:u w:val="none"/>
                <w:lang w:val="en-US" w:eastAsia="zh-CN" w:bidi="ar"/>
              </w:rPr>
            </w:pPr>
            <w:r>
              <w:rPr>
                <w:rFonts w:hint="eastAsia" w:ascii="仿宋" w:hAnsi="仿宋" w:eastAsia="仿宋" w:cs="仿宋"/>
                <w:i w:val="0"/>
                <w:iCs w:val="0"/>
                <w:color w:val="auto"/>
                <w:kern w:val="0"/>
                <w:sz w:val="22"/>
                <w:szCs w:val="22"/>
                <w:u w:val="none"/>
                <w:lang w:val="en-US" w:eastAsia="zh-CN" w:bidi="ar"/>
              </w:rPr>
              <w:t>80.20%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5" w:hRule="atLeast"/>
          <w:jc w:val="center"/>
        </w:trPr>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323232"/>
                <w:kern w:val="0"/>
                <w:sz w:val="22"/>
                <w:szCs w:val="22"/>
                <w:u w:val="none"/>
                <w:lang w:val="en-US" w:eastAsia="zh-CN" w:bidi="ar"/>
              </w:rPr>
              <w:t>效益</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 xml:space="preserve">16.00 </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i w:val="0"/>
                <w:iCs w:val="0"/>
                <w:color w:val="auto"/>
                <w:sz w:val="22"/>
                <w:szCs w:val="22"/>
                <w:u w:val="none"/>
                <w:lang w:val="en-US"/>
              </w:rPr>
            </w:pPr>
            <w:r>
              <w:rPr>
                <w:rFonts w:hint="eastAsia" w:ascii="仿宋" w:hAnsi="仿宋" w:eastAsia="仿宋" w:cs="仿宋"/>
                <w:i w:val="0"/>
                <w:iCs w:val="0"/>
                <w:color w:val="auto"/>
                <w:kern w:val="0"/>
                <w:sz w:val="22"/>
                <w:szCs w:val="22"/>
                <w:u w:val="none"/>
                <w:lang w:val="en-US" w:eastAsia="zh-CN" w:bidi="ar"/>
              </w:rPr>
              <w:t>16.00</w:t>
            </w:r>
          </w:p>
        </w:tc>
        <w:tc>
          <w:tcPr>
            <w:tcW w:w="277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2"/>
                <w:szCs w:val="22"/>
                <w:u w:val="none"/>
                <w:lang w:val="en-US" w:eastAsia="zh-CN" w:bidi="ar"/>
              </w:rPr>
            </w:pPr>
            <w:r>
              <w:rPr>
                <w:rFonts w:hint="eastAsia" w:ascii="仿宋" w:hAnsi="仿宋" w:eastAsia="仿宋" w:cs="仿宋"/>
                <w:i w:val="0"/>
                <w:iCs w:val="0"/>
                <w:color w:val="auto"/>
                <w:kern w:val="0"/>
                <w:sz w:val="22"/>
                <w:szCs w:val="22"/>
                <w:u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1" w:hRule="atLeast"/>
          <w:jc w:val="center"/>
        </w:trPr>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323232"/>
                <w:kern w:val="0"/>
                <w:sz w:val="22"/>
                <w:szCs w:val="22"/>
                <w:u w:val="none"/>
                <w:lang w:val="en-US" w:eastAsia="zh-CN" w:bidi="ar"/>
              </w:rPr>
              <w:t>合计</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 xml:space="preserve">100.00 </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 xml:space="preserve">83.06 </w:t>
            </w:r>
          </w:p>
        </w:tc>
        <w:tc>
          <w:tcPr>
            <w:tcW w:w="277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83.06%</w:t>
            </w:r>
          </w:p>
        </w:tc>
      </w:tr>
    </w:tbl>
    <w:p>
      <w:pPr>
        <w:keepNext w:val="0"/>
        <w:keepLines w:val="0"/>
        <w:pageBreakBefore w:val="0"/>
        <w:widowControl w:val="0"/>
        <w:kinsoku/>
        <w:wordWrap/>
        <w:overflowPunct/>
        <w:topLinePunct w:val="0"/>
        <w:autoSpaceDE/>
        <w:autoSpaceDN/>
        <w:bidi w:val="0"/>
        <w:adjustRightInd/>
        <w:snapToGrid/>
        <w:spacing w:line="240" w:lineRule="auto"/>
        <w:ind w:leftChars="0" w:firstLine="0" w:firstLineChars="0"/>
        <w:jc w:val="center"/>
        <w:textAlignment w:val="auto"/>
        <w:rPr>
          <w:rFonts w:hint="eastAsia" w:ascii="仿宋" w:hAnsi="仿宋" w:eastAsia="仿宋" w:cs="仿宋"/>
          <w:color w:val="FF0000"/>
        </w:rPr>
      </w:pPr>
    </w:p>
    <w:p>
      <w:pPr>
        <w:keepNext w:val="0"/>
        <w:keepLines w:val="0"/>
        <w:pageBreakBefore w:val="0"/>
        <w:widowControl w:val="0"/>
        <w:kinsoku/>
        <w:wordWrap/>
        <w:overflowPunct/>
        <w:topLinePunct w:val="0"/>
        <w:autoSpaceDE/>
        <w:autoSpaceDN/>
        <w:bidi w:val="0"/>
        <w:adjustRightInd/>
        <w:snapToGrid/>
        <w:spacing w:line="240" w:lineRule="auto"/>
        <w:ind w:leftChars="0" w:firstLine="0" w:firstLineChars="0"/>
        <w:jc w:val="center"/>
        <w:textAlignment w:val="auto"/>
        <w:rPr>
          <w:rFonts w:hint="eastAsia" w:ascii="仿宋" w:hAnsi="仿宋" w:eastAsia="仿宋" w:cs="仿宋"/>
          <w:b w:val="0"/>
          <w:bCs w:val="0"/>
          <w:color w:val="FF0000"/>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ind w:leftChars="0" w:firstLine="0" w:firstLineChars="0"/>
        <w:jc w:val="center"/>
        <w:textAlignment w:val="auto"/>
        <w:rPr>
          <w:rFonts w:hint="eastAsia" w:ascii="仿宋" w:hAnsi="仿宋" w:eastAsia="仿宋" w:cs="仿宋"/>
          <w:b/>
          <w:bCs/>
          <w:color w:val="000000" w:themeColor="text1"/>
          <w14:textFill>
            <w14:solidFill>
              <w14:schemeClr w14:val="tx1"/>
            </w14:solidFill>
          </w14:textFill>
        </w:rPr>
      </w:pPr>
      <w:r>
        <w:rPr>
          <w:rFonts w:hint="eastAsia" w:ascii="仿宋" w:hAnsi="仿宋" w:eastAsia="仿宋" w:cs="仿宋"/>
          <w:b/>
          <w:bCs/>
          <w:color w:val="000000" w:themeColor="text1"/>
          <w:sz w:val="24"/>
          <w:szCs w:val="24"/>
          <w:lang w:val="en-US" w:eastAsia="zh-CN"/>
          <w14:textFill>
            <w14:solidFill>
              <w14:schemeClr w14:val="tx1"/>
            </w14:solidFill>
          </w14:textFill>
        </w:rPr>
        <w:t>本项目得分情况图</w:t>
      </w:r>
    </w:p>
    <w:p>
      <w:pPr>
        <w:keepNext w:val="0"/>
        <w:pageBreakBefore w:val="0"/>
        <w:kinsoku/>
        <w:topLinePunct w:val="0"/>
        <w:bidi w:val="0"/>
        <w:spacing w:line="240" w:lineRule="auto"/>
        <w:ind w:leftChars="0" w:firstLine="420" w:firstLineChars="200"/>
        <w:jc w:val="center"/>
        <w:outlineLvl w:val="9"/>
      </w:pPr>
      <w:r>
        <w:drawing>
          <wp:inline distT="0" distB="0" distL="114300" distR="114300">
            <wp:extent cx="4572000" cy="2743200"/>
            <wp:effectExtent l="4445" t="4445" r="14605" b="14605"/>
            <wp:docPr id="8"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pPr>
        <w:keepNext w:val="0"/>
        <w:pageBreakBefore w:val="0"/>
        <w:kinsoku/>
        <w:topLinePunct w:val="0"/>
        <w:bidi w:val="0"/>
        <w:spacing w:line="240" w:lineRule="auto"/>
        <w:ind w:leftChars="0" w:firstLine="420" w:firstLineChars="200"/>
        <w:jc w:val="center"/>
        <w:outlineLvl w:val="9"/>
        <w:rPr>
          <w:rFonts w:hint="eastAsia"/>
        </w:rPr>
      </w:pPr>
    </w:p>
    <w:p>
      <w:pPr>
        <w:keepNext w:val="0"/>
        <w:pageBreakBefore w:val="0"/>
        <w:kinsoku/>
        <w:topLinePunct w:val="0"/>
        <w:bidi w:val="0"/>
        <w:spacing w:line="240" w:lineRule="auto"/>
        <w:ind w:leftChars="0" w:firstLine="562" w:firstLineChars="200"/>
        <w:outlineLvl w:val="0"/>
        <w:rPr>
          <w:rFonts w:hint="eastAsia" w:ascii="黑体" w:hAnsi="黑体" w:eastAsia="黑体" w:cs="黑体"/>
          <w:b/>
          <w:bCs/>
          <w:color w:val="auto"/>
          <w:sz w:val="28"/>
          <w:szCs w:val="28"/>
        </w:rPr>
      </w:pPr>
      <w:bookmarkStart w:id="64" w:name="_Toc31583"/>
      <w:r>
        <w:rPr>
          <w:rFonts w:hint="eastAsia" w:ascii="黑体" w:hAnsi="黑体" w:eastAsia="黑体" w:cs="黑体"/>
          <w:b/>
          <w:bCs/>
          <w:color w:val="auto"/>
          <w:sz w:val="28"/>
          <w:szCs w:val="28"/>
        </w:rPr>
        <w:t>四、绩效评价指标分析</w:t>
      </w:r>
      <w:bookmarkEnd w:id="64"/>
    </w:p>
    <w:p>
      <w:pPr>
        <w:keepNext w:val="0"/>
        <w:pageBreakBefore w:val="0"/>
        <w:kinsoku/>
        <w:topLinePunct w:val="0"/>
        <w:bidi w:val="0"/>
        <w:spacing w:line="240" w:lineRule="auto"/>
        <w:ind w:leftChars="0" w:firstLine="560" w:firstLineChars="200"/>
        <w:rPr>
          <w:rFonts w:hint="eastAsia" w:ascii="仿宋" w:hAnsi="仿宋" w:eastAsia="仿宋" w:cs="仿宋"/>
          <w:color w:val="000000" w:themeColor="text1"/>
          <w:kern w:val="0"/>
          <w:sz w:val="28"/>
          <w:szCs w:val="28"/>
          <w14:textFill>
            <w14:solidFill>
              <w14:schemeClr w14:val="tx1"/>
            </w14:solidFill>
          </w14:textFill>
        </w:rPr>
      </w:pPr>
      <w:r>
        <w:rPr>
          <w:rFonts w:hint="eastAsia" w:ascii="仿宋" w:hAnsi="仿宋" w:eastAsia="仿宋" w:cs="仿宋"/>
          <w:color w:val="auto"/>
          <w:sz w:val="28"/>
          <w:szCs w:val="28"/>
        </w:rPr>
        <w:t>本项目绩效评价指标体系共设置4个一级指标、1</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个二级指标、2</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rPr>
        <w:t>个三级指标</w:t>
      </w:r>
      <w:r>
        <w:rPr>
          <w:rFonts w:hint="eastAsia" w:ascii="仿宋" w:hAnsi="仿宋" w:eastAsia="仿宋" w:cs="仿宋"/>
          <w:color w:val="000000" w:themeColor="text1"/>
          <w:kern w:val="0"/>
          <w:sz w:val="28"/>
          <w:szCs w:val="28"/>
          <w14:textFill>
            <w14:solidFill>
              <w14:schemeClr w14:val="tx1"/>
            </w14:solidFill>
          </w14:textFill>
        </w:rPr>
        <w:t>。具体指标体系的构成、评分标准、分值及得分情况见附件1。</w:t>
      </w:r>
    </w:p>
    <w:tbl>
      <w:tblPr>
        <w:tblStyle w:val="18"/>
        <w:tblW w:w="80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537"/>
        <w:gridCol w:w="2853"/>
        <w:gridCol w:w="36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37"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一级指标</w:t>
            </w:r>
          </w:p>
        </w:tc>
        <w:tc>
          <w:tcPr>
            <w:tcW w:w="2853"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二级指标</w:t>
            </w:r>
          </w:p>
        </w:tc>
        <w:tc>
          <w:tcPr>
            <w:tcW w:w="3685"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三级指标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37" w:type="dxa"/>
            <w:vMerge w:val="restar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决策</w:t>
            </w:r>
          </w:p>
        </w:tc>
        <w:tc>
          <w:tcPr>
            <w:tcW w:w="2853" w:type="dxa"/>
            <w:vMerge w:val="restar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项目立项</w:t>
            </w:r>
          </w:p>
        </w:tc>
        <w:tc>
          <w:tcPr>
            <w:tcW w:w="3685"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立项依据充分性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37"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2853"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3685"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立项程序规范性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37"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2853" w:type="dxa"/>
            <w:vMerge w:val="restar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绩效目标</w:t>
            </w:r>
          </w:p>
        </w:tc>
        <w:tc>
          <w:tcPr>
            <w:tcW w:w="3685"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绩效目标合理性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37"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2853"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3685"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绩效指标明确性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37"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2853" w:type="dxa"/>
            <w:vMerge w:val="restar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资金投入</w:t>
            </w:r>
          </w:p>
        </w:tc>
        <w:tc>
          <w:tcPr>
            <w:tcW w:w="3685"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预算编制科学性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37"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2853"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3685"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资金分配合理性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37" w:type="dxa"/>
            <w:vMerge w:val="restar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过程</w:t>
            </w:r>
          </w:p>
        </w:tc>
        <w:tc>
          <w:tcPr>
            <w:tcW w:w="2853" w:type="dxa"/>
            <w:vMerge w:val="restar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资金管理</w:t>
            </w:r>
          </w:p>
        </w:tc>
        <w:tc>
          <w:tcPr>
            <w:tcW w:w="3685"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资金到位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37"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2853"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3685"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预算执行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37"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2853"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3685"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资金使用合规性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37"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2853" w:type="dxa"/>
            <w:vMerge w:val="restar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业务管理</w:t>
            </w:r>
          </w:p>
        </w:tc>
        <w:tc>
          <w:tcPr>
            <w:tcW w:w="3685"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组织管理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37"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2853"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3685"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制度建立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37"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2853"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3685"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制度执行有效性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37"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2853"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3685"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项目质量可控性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37" w:type="dxa"/>
            <w:vMerge w:val="restar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产出</w:t>
            </w:r>
          </w:p>
        </w:tc>
        <w:tc>
          <w:tcPr>
            <w:tcW w:w="2853"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产出数量</w:t>
            </w:r>
          </w:p>
        </w:tc>
        <w:tc>
          <w:tcPr>
            <w:tcW w:w="3685"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实际完成率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37"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2853"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产出质量</w:t>
            </w:r>
          </w:p>
        </w:tc>
        <w:tc>
          <w:tcPr>
            <w:tcW w:w="3685" w:type="dxa"/>
            <w:shd w:val="clear" w:color="auto" w:fill="auto"/>
            <w:noWrap/>
            <w:vAlign w:val="center"/>
          </w:tcPr>
          <w:p>
            <w:pPr>
              <w:keepNext w:val="0"/>
              <w:keepLines w:val="0"/>
              <w:widowControl/>
              <w:suppressLineNumbers w:val="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竣工验收质量合格率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37"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2853"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产出时效</w:t>
            </w:r>
          </w:p>
        </w:tc>
        <w:tc>
          <w:tcPr>
            <w:tcW w:w="3685"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完成及时率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37"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2853"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产出成本</w:t>
            </w:r>
          </w:p>
        </w:tc>
        <w:tc>
          <w:tcPr>
            <w:tcW w:w="3685"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项目资金申请估算误差率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37" w:type="dxa"/>
            <w:vMerge w:val="restar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预期效益</w:t>
            </w:r>
          </w:p>
        </w:tc>
        <w:tc>
          <w:tcPr>
            <w:tcW w:w="2853"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经济效应</w:t>
            </w:r>
          </w:p>
        </w:tc>
        <w:tc>
          <w:tcPr>
            <w:tcW w:w="3685"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项目投资收益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37"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2853"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预期社会效益</w:t>
            </w:r>
          </w:p>
        </w:tc>
        <w:tc>
          <w:tcPr>
            <w:tcW w:w="3685"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就业率提高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37"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2853"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预期环境效益</w:t>
            </w:r>
          </w:p>
        </w:tc>
        <w:tc>
          <w:tcPr>
            <w:tcW w:w="3685"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环境保护效应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37" w:type="dxa"/>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2853"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预期可持续效益</w:t>
            </w:r>
          </w:p>
        </w:tc>
        <w:tc>
          <w:tcPr>
            <w:tcW w:w="3685" w:type="dxa"/>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效果可持续性</w:t>
            </w:r>
          </w:p>
        </w:tc>
      </w:tr>
    </w:tbl>
    <w:p>
      <w:pPr>
        <w:keepNext w:val="0"/>
        <w:pageBreakBefore w:val="0"/>
        <w:kinsoku/>
        <w:topLinePunct w:val="0"/>
        <w:bidi w:val="0"/>
        <w:spacing w:line="240" w:lineRule="auto"/>
        <w:ind w:leftChars="0" w:firstLine="560" w:firstLineChars="200"/>
        <w:rPr>
          <w:rFonts w:hint="eastAsia" w:ascii="仿宋" w:hAnsi="仿宋" w:eastAsia="仿宋" w:cs="仿宋"/>
          <w:color w:val="FF0000"/>
          <w:kern w:val="0"/>
          <w:sz w:val="28"/>
          <w:szCs w:val="28"/>
        </w:rPr>
      </w:pPr>
    </w:p>
    <w:p>
      <w:pPr>
        <w:keepNext w:val="0"/>
        <w:pageBreakBefore w:val="0"/>
        <w:kinsoku/>
        <w:topLinePunct w:val="0"/>
        <w:bidi w:val="0"/>
        <w:spacing w:line="240" w:lineRule="auto"/>
        <w:ind w:leftChars="0" w:firstLine="562" w:firstLineChars="200"/>
        <w:outlineLvl w:val="1"/>
        <w:rPr>
          <w:rFonts w:hint="eastAsia" w:ascii="楷体" w:hAnsi="楷体" w:eastAsia="楷体" w:cs="楷体"/>
          <w:b/>
          <w:bCs/>
          <w:color w:val="auto"/>
          <w:kern w:val="2"/>
          <w:sz w:val="28"/>
          <w:szCs w:val="28"/>
          <w:lang w:val="en-US" w:eastAsia="zh-CN" w:bidi="ar-SA"/>
        </w:rPr>
      </w:pPr>
      <w:bookmarkStart w:id="65" w:name="_Toc6463"/>
      <w:r>
        <w:rPr>
          <w:rFonts w:hint="eastAsia" w:ascii="楷体" w:hAnsi="楷体" w:eastAsia="楷体" w:cs="楷体"/>
          <w:b/>
          <w:bCs/>
          <w:color w:val="auto"/>
          <w:kern w:val="2"/>
          <w:sz w:val="28"/>
          <w:szCs w:val="28"/>
          <w:lang w:val="en-US" w:eastAsia="zh-CN" w:bidi="ar-SA"/>
        </w:rPr>
        <w:t>（一）项目决策情况</w:t>
      </w:r>
      <w:bookmarkEnd w:id="65"/>
    </w:p>
    <w:p>
      <w:pPr>
        <w:pStyle w:val="6"/>
        <w:keepNext w:val="0"/>
        <w:pageBreakBefore w:val="0"/>
        <w:kinsoku/>
        <w:wordWrap/>
        <w:overflowPunct/>
        <w:topLinePunct w:val="0"/>
        <w:autoSpaceDE/>
        <w:autoSpaceDN/>
        <w:bidi w:val="0"/>
        <w:adjustRightInd/>
        <w:snapToGrid/>
        <w:spacing w:beforeLines="0" w:afterLines="0" w:line="240" w:lineRule="auto"/>
        <w:ind w:firstLine="560" w:firstLineChars="200"/>
        <w:textAlignment w:val="auto"/>
        <w:outlineLvl w:val="2"/>
        <w:rPr>
          <w:rFonts w:hint="eastAsia" w:ascii="仿宋" w:hAnsi="仿宋" w:eastAsia="仿宋" w:cs="仿宋"/>
          <w:b w:val="0"/>
          <w:bCs/>
          <w:color w:val="auto"/>
          <w:sz w:val="28"/>
          <w:szCs w:val="28"/>
        </w:rPr>
      </w:pPr>
      <w:bookmarkStart w:id="66" w:name="_Toc12407"/>
      <w:r>
        <w:rPr>
          <w:rFonts w:hint="eastAsia" w:ascii="仿宋" w:hAnsi="仿宋" w:eastAsia="仿宋" w:cs="仿宋"/>
          <w:b w:val="0"/>
          <w:bCs/>
          <w:color w:val="auto"/>
          <w:sz w:val="28"/>
          <w:szCs w:val="28"/>
        </w:rPr>
        <w:t>1.项目立项分析</w:t>
      </w:r>
      <w:bookmarkEnd w:id="66"/>
    </w:p>
    <w:tbl>
      <w:tblPr>
        <w:tblStyle w:val="18"/>
        <w:tblW w:w="835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01"/>
        <w:gridCol w:w="704"/>
        <w:gridCol w:w="761"/>
        <w:gridCol w:w="460"/>
        <w:gridCol w:w="5199"/>
        <w:gridCol w:w="53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1" w:hRule="atLeast"/>
          <w:tblHeader/>
          <w:jc w:val="center"/>
        </w:trPr>
        <w:tc>
          <w:tcPr>
            <w:tcW w:w="701"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一级</w:t>
            </w:r>
            <w:r>
              <w:rPr>
                <w:rFonts w:hint="eastAsia" w:ascii="仿宋" w:hAnsi="仿宋" w:eastAsia="仿宋" w:cs="仿宋"/>
                <w:b/>
                <w:bCs/>
                <w:i w:val="0"/>
                <w:iCs w:val="0"/>
                <w:color w:val="000000"/>
                <w:kern w:val="0"/>
                <w:sz w:val="24"/>
                <w:szCs w:val="24"/>
                <w:u w:val="none"/>
                <w:lang w:val="en-US" w:eastAsia="zh-CN" w:bidi="ar"/>
              </w:rPr>
              <w:br w:type="textWrapping"/>
            </w:r>
            <w:r>
              <w:rPr>
                <w:rFonts w:hint="eastAsia" w:ascii="仿宋" w:hAnsi="仿宋" w:eastAsia="仿宋" w:cs="仿宋"/>
                <w:b/>
                <w:bCs/>
                <w:i w:val="0"/>
                <w:iCs w:val="0"/>
                <w:color w:val="000000"/>
                <w:kern w:val="0"/>
                <w:sz w:val="24"/>
                <w:szCs w:val="24"/>
                <w:u w:val="none"/>
                <w:lang w:val="en-US" w:eastAsia="zh-CN" w:bidi="ar"/>
              </w:rPr>
              <w:t>指标</w:t>
            </w:r>
          </w:p>
        </w:tc>
        <w:tc>
          <w:tcPr>
            <w:tcW w:w="704"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二级</w:t>
            </w:r>
            <w:r>
              <w:rPr>
                <w:rFonts w:hint="eastAsia" w:ascii="仿宋" w:hAnsi="仿宋" w:eastAsia="仿宋" w:cs="仿宋"/>
                <w:b/>
                <w:bCs/>
                <w:i w:val="0"/>
                <w:iCs w:val="0"/>
                <w:color w:val="000000"/>
                <w:kern w:val="0"/>
                <w:sz w:val="24"/>
                <w:szCs w:val="24"/>
                <w:u w:val="none"/>
                <w:lang w:val="en-US" w:eastAsia="zh-CN" w:bidi="ar"/>
              </w:rPr>
              <w:br w:type="textWrapping"/>
            </w:r>
            <w:r>
              <w:rPr>
                <w:rFonts w:hint="eastAsia" w:ascii="仿宋" w:hAnsi="仿宋" w:eastAsia="仿宋" w:cs="仿宋"/>
                <w:b/>
                <w:bCs/>
                <w:i w:val="0"/>
                <w:iCs w:val="0"/>
                <w:color w:val="000000"/>
                <w:kern w:val="0"/>
                <w:sz w:val="24"/>
                <w:szCs w:val="24"/>
                <w:u w:val="none"/>
                <w:lang w:val="en-US" w:eastAsia="zh-CN" w:bidi="ar"/>
              </w:rPr>
              <w:t>指标</w:t>
            </w:r>
          </w:p>
        </w:tc>
        <w:tc>
          <w:tcPr>
            <w:tcW w:w="761"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三级指标</w:t>
            </w:r>
          </w:p>
        </w:tc>
        <w:tc>
          <w:tcPr>
            <w:tcW w:w="460"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分值</w:t>
            </w:r>
          </w:p>
        </w:tc>
        <w:tc>
          <w:tcPr>
            <w:tcW w:w="5199"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指标说明/评价要点</w:t>
            </w:r>
          </w:p>
        </w:tc>
        <w:tc>
          <w:tcPr>
            <w:tcW w:w="530"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得分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98" w:hRule="atLeast"/>
          <w:jc w:val="center"/>
        </w:trPr>
        <w:tc>
          <w:tcPr>
            <w:tcW w:w="70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决策</w:t>
            </w:r>
          </w:p>
        </w:tc>
        <w:tc>
          <w:tcPr>
            <w:tcW w:w="70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项目立项</w:t>
            </w:r>
          </w:p>
        </w:tc>
        <w:tc>
          <w:tcPr>
            <w:tcW w:w="7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立项依据充分性</w:t>
            </w:r>
          </w:p>
        </w:tc>
        <w:tc>
          <w:tcPr>
            <w:tcW w:w="4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w:t>
            </w:r>
          </w:p>
        </w:tc>
        <w:tc>
          <w:tcPr>
            <w:tcW w:w="519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（1）项目是否符合国家相关法律法规、国民经济发展规划和党委政府决策；（2）项目是否有效缓解供需矛盾，弥补对有效需求的供应不足；（3）项目是否为促进事业发展所必需。满足其中一项得2分。</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20" w:hRule="atLeast"/>
          <w:jc w:val="center"/>
        </w:trPr>
        <w:tc>
          <w:tcPr>
            <w:tcW w:w="7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70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7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4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w:t>
            </w:r>
          </w:p>
        </w:tc>
        <w:tc>
          <w:tcPr>
            <w:tcW w:w="519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项目实施的必要性、急迫性；（2）项目的技术可行性：项目技术线路/选型/方案/措施选择以及选址、规模等合理可行；（3）项目经济可行性：项目成本造价合理，资金来源有保障；（4）项目预期产出数量、质量、时效符合正常水平。每项0.5分。</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98" w:hRule="atLeast"/>
          <w:jc w:val="center"/>
        </w:trPr>
        <w:tc>
          <w:tcPr>
            <w:tcW w:w="7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70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7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立项程序规范性</w:t>
            </w:r>
          </w:p>
        </w:tc>
        <w:tc>
          <w:tcPr>
            <w:tcW w:w="4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w:t>
            </w:r>
          </w:p>
        </w:tc>
        <w:tc>
          <w:tcPr>
            <w:tcW w:w="519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（1）项目是否符合申报条件；（2）项目申报、设立程序符合相关规定，或通过“一事一议”等问需于民的方式，确定项目建设内容、建设方式、筹资筹劳及管护制度，相关手续完善。每项1分。</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96" w:hRule="atLeast"/>
          <w:jc w:val="center"/>
        </w:trPr>
        <w:tc>
          <w:tcPr>
            <w:tcW w:w="7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70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7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1"/>
                <w:szCs w:val="21"/>
                <w:u w:val="none"/>
              </w:rPr>
            </w:pPr>
          </w:p>
        </w:tc>
        <w:tc>
          <w:tcPr>
            <w:tcW w:w="4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w:t>
            </w:r>
          </w:p>
        </w:tc>
        <w:tc>
          <w:tcPr>
            <w:tcW w:w="519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所提交的文件、材料是否符合相关要求，内容规范完整，包括立项申请、施工图、概预算、实施方案、规划编制等规范完整。内容规范完整2分，否则0分。</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w:t>
            </w:r>
          </w:p>
        </w:tc>
      </w:tr>
    </w:tbl>
    <w:p>
      <w:pPr>
        <w:keepNext w:val="0"/>
        <w:pageBreakBefore w:val="0"/>
        <w:kinsoku/>
        <w:topLinePunct w:val="0"/>
        <w:bidi w:val="0"/>
        <w:spacing w:line="240" w:lineRule="auto"/>
        <w:ind w:firstLine="560" w:firstLineChars="200"/>
        <w:rPr>
          <w:rFonts w:hint="eastAsia" w:ascii="仿宋" w:hAnsi="仿宋" w:eastAsia="仿宋" w:cs="仿宋"/>
          <w:color w:val="auto"/>
          <w:kern w:val="0"/>
          <w:sz w:val="28"/>
          <w:szCs w:val="28"/>
        </w:rPr>
      </w:pPr>
      <w:r>
        <w:rPr>
          <w:rFonts w:hint="eastAsia" w:ascii="仿宋" w:hAnsi="仿宋" w:eastAsia="仿宋" w:cs="仿宋"/>
          <w:color w:val="auto"/>
          <w:kern w:val="0"/>
          <w:sz w:val="28"/>
          <w:szCs w:val="28"/>
        </w:rPr>
        <w:t>本项目符合《发展改革委办公厅关于组织编报污染治理和节能减碳专项2022年中央预算内投资计划草案的通知》中申报方向为：节能减碳——支持大中城市废物物资循环利用体系项目，因此，符合国家相关法律法规、国民经济发展规划和党委政府决策；符合《污染治理和节能减碳中央预算内投资专项管理办法》——资源节约与高效利用方向，循环经济发展项目重点支持的废塑料等城市典型废弃物的无害化处理和资源化利用内容，有效缓解供需矛盾，弥补对有效需求的供应不足，为加快塑料污染治理事业发展提供支持，故项目实施的必要且急迫。项目的技术线路、方案、措施选择以及选址、规模等合理可行，项目成本造价合理，资金来源有保障，预期产出数量、质量、时效符合正常水平。因此，立项依据充分，得4分。</w:t>
      </w:r>
    </w:p>
    <w:p>
      <w:pPr>
        <w:keepNext w:val="0"/>
        <w:pageBreakBefore w:val="0"/>
        <w:kinsoku/>
        <w:topLinePunct w:val="0"/>
        <w:bidi w:val="0"/>
        <w:spacing w:line="240" w:lineRule="auto"/>
        <w:ind w:leftChars="0" w:firstLine="560" w:firstLineChars="200"/>
        <w:rPr>
          <w:rFonts w:hint="eastAsia" w:ascii="仿宋" w:hAnsi="仿宋" w:eastAsia="仿宋" w:cs="仿宋"/>
          <w:color w:val="FF0000"/>
          <w:kern w:val="0"/>
          <w:sz w:val="28"/>
          <w:szCs w:val="28"/>
        </w:rPr>
      </w:pPr>
      <w:r>
        <w:rPr>
          <w:rFonts w:hint="default" w:ascii="仿宋" w:hAnsi="仿宋" w:eastAsia="仿宋" w:cs="仿宋"/>
          <w:b w:val="0"/>
          <w:color w:val="auto"/>
          <w:kern w:val="2"/>
          <w:sz w:val="28"/>
          <w:szCs w:val="28"/>
          <w:lang w:val="en-US" w:eastAsia="zh-CN" w:bidi="ar-SA"/>
        </w:rPr>
        <w:t>项目</w:t>
      </w:r>
      <w:r>
        <w:rPr>
          <w:rFonts w:hint="eastAsia" w:ascii="仿宋" w:hAnsi="仿宋" w:eastAsia="仿宋" w:cs="仿宋"/>
          <w:b w:val="0"/>
          <w:color w:val="auto"/>
          <w:kern w:val="2"/>
          <w:sz w:val="28"/>
          <w:szCs w:val="28"/>
          <w:lang w:val="en-US" w:eastAsia="zh-CN" w:bidi="ar-SA"/>
        </w:rPr>
        <w:t>依据相关政策申报资金，</w:t>
      </w:r>
      <w:r>
        <w:rPr>
          <w:rFonts w:hint="default" w:ascii="仿宋" w:hAnsi="仿宋" w:eastAsia="仿宋" w:cs="仿宋"/>
          <w:b w:val="0"/>
          <w:color w:val="auto"/>
          <w:kern w:val="2"/>
          <w:sz w:val="28"/>
          <w:szCs w:val="28"/>
          <w:lang w:val="en-US" w:eastAsia="zh-CN" w:bidi="ar-SA"/>
        </w:rPr>
        <w:t>符合申报条件项目申报、设立程序符合相关规定，</w:t>
      </w:r>
      <w:r>
        <w:rPr>
          <w:rFonts w:hint="eastAsia" w:ascii="仿宋" w:hAnsi="仿宋" w:eastAsia="仿宋" w:cs="仿宋"/>
          <w:b w:val="0"/>
          <w:color w:val="auto"/>
          <w:kern w:val="2"/>
          <w:sz w:val="28"/>
          <w:szCs w:val="28"/>
          <w:lang w:val="en-US" w:eastAsia="zh-CN" w:bidi="ar-SA"/>
        </w:rPr>
        <w:t>申报前，</w:t>
      </w:r>
      <w:r>
        <w:rPr>
          <w:rFonts w:hint="default" w:ascii="仿宋" w:hAnsi="仿宋" w:eastAsia="仿宋" w:cs="仿宋"/>
          <w:b w:val="0"/>
          <w:color w:val="auto"/>
          <w:kern w:val="2"/>
          <w:sz w:val="28"/>
          <w:szCs w:val="28"/>
          <w:lang w:val="en-US" w:eastAsia="zh-CN" w:bidi="ar-SA"/>
        </w:rPr>
        <w:t>通过</w:t>
      </w:r>
      <w:r>
        <w:rPr>
          <w:rFonts w:hint="eastAsia" w:ascii="仿宋" w:hAnsi="仿宋" w:eastAsia="仿宋" w:cs="仿宋"/>
          <w:b w:val="0"/>
          <w:color w:val="auto"/>
          <w:kern w:val="2"/>
          <w:sz w:val="28"/>
          <w:szCs w:val="28"/>
          <w:lang w:val="en-US" w:eastAsia="zh-CN" w:bidi="ar-SA"/>
        </w:rPr>
        <w:t>公司内部董事会决议，编制可行性研究报告</w:t>
      </w:r>
      <w:r>
        <w:rPr>
          <w:rFonts w:hint="default" w:ascii="仿宋" w:hAnsi="仿宋" w:eastAsia="仿宋" w:cs="仿宋"/>
          <w:b w:val="0"/>
          <w:color w:val="auto"/>
          <w:kern w:val="2"/>
          <w:sz w:val="28"/>
          <w:szCs w:val="28"/>
          <w:lang w:val="en-US" w:eastAsia="zh-CN" w:bidi="ar-SA"/>
        </w:rPr>
        <w:t>，确定项目建设内容、建设方式、筹资筹劳及管护制度，相关手续完善。所提交的文件、材料是否符合相关要求，内容规范完整，</w:t>
      </w:r>
      <w:r>
        <w:rPr>
          <w:rFonts w:hint="eastAsia" w:ascii="仿宋" w:hAnsi="仿宋" w:eastAsia="仿宋" w:cs="仿宋"/>
          <w:b w:val="0"/>
          <w:color w:val="auto"/>
          <w:kern w:val="2"/>
          <w:sz w:val="28"/>
          <w:szCs w:val="28"/>
          <w:lang w:val="en-US" w:eastAsia="zh-CN" w:bidi="ar-SA"/>
        </w:rPr>
        <w:t>均按照“泉州市发展和改革委员会关于组织编报污染治理和节能减碳专项2022年中央预算内投资计划草案的通知”要求，编写资金申请报告内容规范完整。因此，立项程序规范，得4分。</w:t>
      </w:r>
    </w:p>
    <w:p>
      <w:pPr>
        <w:pStyle w:val="6"/>
        <w:keepNext w:val="0"/>
        <w:pageBreakBefore w:val="0"/>
        <w:kinsoku/>
        <w:wordWrap/>
        <w:overflowPunct/>
        <w:topLinePunct w:val="0"/>
        <w:autoSpaceDE/>
        <w:autoSpaceDN/>
        <w:bidi w:val="0"/>
        <w:adjustRightInd/>
        <w:snapToGrid/>
        <w:spacing w:beforeLines="0" w:afterLines="0" w:line="240" w:lineRule="auto"/>
        <w:ind w:firstLine="560" w:firstLineChars="200"/>
        <w:textAlignment w:val="auto"/>
        <w:outlineLvl w:val="2"/>
        <w:rPr>
          <w:rFonts w:hint="eastAsia" w:ascii="仿宋" w:hAnsi="仿宋" w:eastAsia="仿宋" w:cs="仿宋"/>
          <w:b w:val="0"/>
          <w:bCs/>
          <w:color w:val="auto"/>
          <w:sz w:val="28"/>
          <w:szCs w:val="28"/>
        </w:rPr>
      </w:pPr>
      <w:bookmarkStart w:id="67" w:name="_Toc4076"/>
      <w:bookmarkStart w:id="68" w:name="_Toc22956"/>
      <w:bookmarkStart w:id="69" w:name="_Toc15722"/>
      <w:bookmarkStart w:id="70" w:name="_Toc5411"/>
      <w:bookmarkStart w:id="71" w:name="_Toc16610"/>
      <w:bookmarkStart w:id="72" w:name="_Toc1394"/>
      <w:bookmarkStart w:id="73" w:name="_Toc20203"/>
      <w:r>
        <w:rPr>
          <w:rFonts w:hint="eastAsia" w:ascii="仿宋" w:hAnsi="仿宋" w:eastAsia="仿宋" w:cs="仿宋"/>
          <w:b w:val="0"/>
          <w:bCs/>
          <w:color w:val="auto"/>
          <w:sz w:val="28"/>
          <w:szCs w:val="28"/>
        </w:rPr>
        <w:t>2.绩效目标分析</w:t>
      </w:r>
      <w:bookmarkEnd w:id="67"/>
      <w:bookmarkEnd w:id="68"/>
      <w:bookmarkEnd w:id="69"/>
      <w:bookmarkEnd w:id="70"/>
      <w:bookmarkEnd w:id="71"/>
      <w:bookmarkEnd w:id="72"/>
    </w:p>
    <w:tbl>
      <w:tblPr>
        <w:tblStyle w:val="18"/>
        <w:tblW w:w="8447"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98"/>
        <w:gridCol w:w="783"/>
        <w:gridCol w:w="763"/>
        <w:gridCol w:w="460"/>
        <w:gridCol w:w="5211"/>
        <w:gridCol w:w="53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6" w:hRule="atLeast"/>
          <w:tblHeader/>
          <w:jc w:val="center"/>
        </w:trPr>
        <w:tc>
          <w:tcPr>
            <w:tcW w:w="698"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一级</w:t>
            </w:r>
            <w:r>
              <w:rPr>
                <w:rFonts w:hint="eastAsia" w:ascii="仿宋" w:hAnsi="仿宋" w:eastAsia="仿宋" w:cs="仿宋"/>
                <w:b/>
                <w:bCs/>
                <w:i w:val="0"/>
                <w:iCs w:val="0"/>
                <w:color w:val="000000"/>
                <w:kern w:val="0"/>
                <w:sz w:val="24"/>
                <w:szCs w:val="24"/>
                <w:u w:val="none"/>
                <w:lang w:val="en-US" w:eastAsia="zh-CN" w:bidi="ar"/>
              </w:rPr>
              <w:br w:type="textWrapping"/>
            </w:r>
            <w:r>
              <w:rPr>
                <w:rFonts w:hint="eastAsia" w:ascii="仿宋" w:hAnsi="仿宋" w:eastAsia="仿宋" w:cs="仿宋"/>
                <w:b/>
                <w:bCs/>
                <w:i w:val="0"/>
                <w:iCs w:val="0"/>
                <w:color w:val="000000"/>
                <w:kern w:val="0"/>
                <w:sz w:val="24"/>
                <w:szCs w:val="24"/>
                <w:u w:val="none"/>
                <w:lang w:val="en-US" w:eastAsia="zh-CN" w:bidi="ar"/>
              </w:rPr>
              <w:t>指标</w:t>
            </w:r>
          </w:p>
        </w:tc>
        <w:tc>
          <w:tcPr>
            <w:tcW w:w="783"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二级</w:t>
            </w:r>
            <w:r>
              <w:rPr>
                <w:rFonts w:hint="eastAsia" w:ascii="仿宋" w:hAnsi="仿宋" w:eastAsia="仿宋" w:cs="仿宋"/>
                <w:b/>
                <w:bCs/>
                <w:i w:val="0"/>
                <w:iCs w:val="0"/>
                <w:color w:val="000000"/>
                <w:kern w:val="0"/>
                <w:sz w:val="24"/>
                <w:szCs w:val="24"/>
                <w:u w:val="none"/>
                <w:lang w:val="en-US" w:eastAsia="zh-CN" w:bidi="ar"/>
              </w:rPr>
              <w:br w:type="textWrapping"/>
            </w:r>
            <w:r>
              <w:rPr>
                <w:rFonts w:hint="eastAsia" w:ascii="仿宋" w:hAnsi="仿宋" w:eastAsia="仿宋" w:cs="仿宋"/>
                <w:b/>
                <w:bCs/>
                <w:i w:val="0"/>
                <w:iCs w:val="0"/>
                <w:color w:val="000000"/>
                <w:kern w:val="0"/>
                <w:sz w:val="24"/>
                <w:szCs w:val="24"/>
                <w:u w:val="none"/>
                <w:lang w:val="en-US" w:eastAsia="zh-CN" w:bidi="ar"/>
              </w:rPr>
              <w:t>指标</w:t>
            </w:r>
          </w:p>
        </w:tc>
        <w:tc>
          <w:tcPr>
            <w:tcW w:w="763"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三级指标</w:t>
            </w:r>
          </w:p>
        </w:tc>
        <w:tc>
          <w:tcPr>
            <w:tcW w:w="460"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分值</w:t>
            </w:r>
          </w:p>
        </w:tc>
        <w:tc>
          <w:tcPr>
            <w:tcW w:w="5211"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指标说明/评价要点</w:t>
            </w:r>
          </w:p>
        </w:tc>
        <w:tc>
          <w:tcPr>
            <w:tcW w:w="532"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得分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9" w:hRule="atLeast"/>
          <w:jc w:val="center"/>
        </w:trPr>
        <w:tc>
          <w:tcPr>
            <w:tcW w:w="69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决策</w:t>
            </w:r>
          </w:p>
        </w:tc>
        <w:tc>
          <w:tcPr>
            <w:tcW w:w="78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绩效目标</w:t>
            </w:r>
          </w:p>
        </w:tc>
        <w:tc>
          <w:tcPr>
            <w:tcW w:w="7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绩效目标合理性</w:t>
            </w:r>
          </w:p>
        </w:tc>
        <w:tc>
          <w:tcPr>
            <w:tcW w:w="4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w:t>
            </w:r>
          </w:p>
        </w:tc>
        <w:tc>
          <w:tcPr>
            <w:tcW w:w="52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绩效目标明确、合理，项目预期产出效益和效果符合正常水平。符合4分，否则0分。</w:t>
            </w:r>
          </w:p>
        </w:tc>
        <w:tc>
          <w:tcPr>
            <w:tcW w:w="5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8" w:hRule="atLeast"/>
          <w:jc w:val="center"/>
        </w:trPr>
        <w:tc>
          <w:tcPr>
            <w:tcW w:w="6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p>
        </w:tc>
        <w:tc>
          <w:tcPr>
            <w:tcW w:w="78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p>
        </w:tc>
        <w:tc>
          <w:tcPr>
            <w:tcW w:w="7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绩效指标明确性</w:t>
            </w:r>
          </w:p>
        </w:tc>
        <w:tc>
          <w:tcPr>
            <w:tcW w:w="4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w:t>
            </w:r>
          </w:p>
        </w:tc>
        <w:tc>
          <w:tcPr>
            <w:tcW w:w="52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将绩效目标分解为具体绩效指标、阶段性绩效指标，绩效指标清晰、细化、可衡量。符合4分，否则0分。</w:t>
            </w:r>
          </w:p>
        </w:tc>
        <w:tc>
          <w:tcPr>
            <w:tcW w:w="5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3</w:t>
            </w:r>
          </w:p>
        </w:tc>
      </w:tr>
    </w:tbl>
    <w:p>
      <w:pPr>
        <w:keepNext w:val="0"/>
        <w:pageBreakBefore w:val="0"/>
        <w:kinsoku/>
        <w:wordWrap/>
        <w:overflowPunct/>
        <w:topLinePunct w:val="0"/>
        <w:autoSpaceDE/>
        <w:autoSpaceDN/>
        <w:bidi w:val="0"/>
        <w:adjustRightInd/>
        <w:snapToGrid/>
        <w:spacing w:line="240" w:lineRule="auto"/>
        <w:ind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rPr>
        <w:t>总体来看，</w:t>
      </w:r>
      <w:r>
        <w:rPr>
          <w:rFonts w:hint="eastAsia" w:ascii="仿宋" w:hAnsi="仿宋" w:eastAsia="仿宋" w:cs="仿宋"/>
          <w:color w:val="auto"/>
          <w:sz w:val="28"/>
          <w:szCs w:val="28"/>
          <w:lang w:eastAsia="zh-CN"/>
        </w:rPr>
        <w:t>本</w:t>
      </w:r>
      <w:r>
        <w:rPr>
          <w:rFonts w:hint="eastAsia" w:ascii="仿宋" w:hAnsi="仿宋" w:eastAsia="仿宋" w:cs="仿宋"/>
          <w:color w:val="auto"/>
          <w:sz w:val="28"/>
          <w:szCs w:val="28"/>
        </w:rPr>
        <w:t>项目</w:t>
      </w:r>
      <w:r>
        <w:rPr>
          <w:rFonts w:hint="eastAsia" w:ascii="仿宋" w:hAnsi="仿宋" w:eastAsia="仿宋" w:cs="仿宋"/>
          <w:color w:val="auto"/>
          <w:sz w:val="28"/>
          <w:szCs w:val="28"/>
          <w:lang w:val="en-US" w:eastAsia="zh-CN"/>
        </w:rPr>
        <w:t>进行资金申请时的</w:t>
      </w:r>
      <w:r>
        <w:rPr>
          <w:rFonts w:hint="eastAsia" w:ascii="仿宋" w:hAnsi="仿宋" w:eastAsia="仿宋" w:cs="仿宋"/>
          <w:color w:val="auto"/>
          <w:sz w:val="28"/>
          <w:szCs w:val="28"/>
        </w:rPr>
        <w:t>绩效目标</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附件2）</w:t>
      </w:r>
      <w:r>
        <w:rPr>
          <w:rFonts w:hint="eastAsia" w:ascii="仿宋" w:hAnsi="仿宋" w:eastAsia="仿宋" w:cs="仿宋"/>
          <w:color w:val="auto"/>
          <w:sz w:val="28"/>
          <w:szCs w:val="28"/>
        </w:rPr>
        <w:t>与实际工作内容相关，预期产出效益和效果符合正常的业绩水平，绩效目标合理。</w:t>
      </w:r>
      <w:r>
        <w:rPr>
          <w:rFonts w:hint="eastAsia" w:ascii="仿宋" w:hAnsi="仿宋" w:eastAsia="仿宋" w:cs="仿宋"/>
          <w:color w:val="auto"/>
          <w:sz w:val="28"/>
          <w:szCs w:val="28"/>
          <w:lang w:val="en-US" w:eastAsia="zh-CN"/>
        </w:rPr>
        <w:t>由绩效目标表可知，建设单位严格按照《泉州市发展和改革委员会关于组织编报污染治理和节能减碳专项2022年中央预算内投资计划草案的通知》的附件“污染治理和节能减碳专项2022年中央预算内投资备选项目绩效目标申报表”进行填报，</w:t>
      </w:r>
      <w:r>
        <w:rPr>
          <w:rFonts w:hint="eastAsia" w:ascii="仿宋" w:hAnsi="仿宋" w:eastAsia="仿宋" w:cs="仿宋"/>
          <w:color w:val="auto"/>
          <w:sz w:val="28"/>
          <w:szCs w:val="28"/>
        </w:rPr>
        <w:t>绩效目标分解为具体绩效指标，绩效指标清晰、细化、可衡量</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该项目有一个总体性绩效目标表和年度绩效目标，实施期为两年，包含建设期与运营期两部分，2022年主要是完成绿色纺织品示范生产基地的建设，2023年主要是投产运营。</w:t>
      </w:r>
    </w:p>
    <w:p>
      <w:pPr>
        <w:keepNext w:val="0"/>
        <w:pageBreakBefore w:val="0"/>
        <w:kinsoku/>
        <w:wordWrap/>
        <w:overflowPunct/>
        <w:topLinePunct w:val="0"/>
        <w:autoSpaceDE/>
        <w:autoSpaceDN/>
        <w:bidi w:val="0"/>
        <w:adjustRightInd/>
        <w:snapToGrid/>
        <w:spacing w:line="240" w:lineRule="auto"/>
        <w:ind w:firstLine="560" w:firstLineChars="200"/>
        <w:textAlignment w:val="auto"/>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首先，通过《泉州市发展和改革委员会关于分解下达污染治理和节能减碳专项(节能减碳方向2022）第二批中央预算内投资计划的通知</w:t>
      </w:r>
      <w:r>
        <w:rPr>
          <w:rFonts w:hint="eastAsia" w:ascii="仿宋" w:hAnsi="仿宋" w:eastAsia="仿宋" w:cs="仿宋"/>
          <w:color w:val="auto"/>
          <w:kern w:val="0"/>
          <w:sz w:val="28"/>
          <w:szCs w:val="28"/>
          <w:highlight w:val="none"/>
          <w:lang w:val="en-US" w:eastAsia="zh-CN"/>
        </w:rPr>
        <w:t>（泉发改〔2022〕274号）第四点为“请项目公司根据项目审批时确定的建设目标、建设内容、建设规模建设进度有序推进项目实施，加强对绩效目标实现情况的监控发现问题要及时纠正，确保本批投资计划确定的各项绩效目标（附件3）如期保质保量实现”可知，项目建设的有序推进和完成情况都需要详细的指标进行衡量和对比；其次，根据“财政部</w:t>
      </w:r>
      <w:r>
        <w:rPr>
          <w:rFonts w:hint="default" w:ascii="仿宋" w:hAnsi="仿宋" w:eastAsia="仿宋" w:cs="仿宋"/>
          <w:color w:val="auto"/>
          <w:kern w:val="0"/>
          <w:sz w:val="28"/>
          <w:szCs w:val="28"/>
          <w:highlight w:val="none"/>
          <w:lang w:val="en-US" w:eastAsia="zh-CN"/>
        </w:rPr>
        <w:t>关于印发《中央部门项目支出核心绩效目标和指标设置及取值指引(试行)》的 通知</w:t>
      </w:r>
      <w:r>
        <w:rPr>
          <w:rFonts w:hint="eastAsia" w:ascii="仿宋" w:hAnsi="仿宋" w:eastAsia="仿宋" w:cs="仿宋"/>
          <w:color w:val="auto"/>
          <w:kern w:val="0"/>
          <w:sz w:val="28"/>
          <w:szCs w:val="28"/>
          <w:highlight w:val="none"/>
          <w:lang w:val="en-US" w:eastAsia="zh-CN"/>
        </w:rPr>
        <w:t>（</w:t>
      </w:r>
      <w:r>
        <w:rPr>
          <w:rFonts w:hint="default" w:ascii="仿宋" w:hAnsi="仿宋" w:eastAsia="仿宋" w:cs="仿宋"/>
          <w:color w:val="auto"/>
          <w:kern w:val="0"/>
          <w:sz w:val="28"/>
          <w:szCs w:val="28"/>
          <w:highlight w:val="none"/>
          <w:lang w:val="en-US" w:eastAsia="zh-CN"/>
        </w:rPr>
        <w:t>财预〔2021〕101号</w:t>
      </w:r>
      <w:r>
        <w:rPr>
          <w:rFonts w:hint="eastAsia" w:ascii="仿宋" w:hAnsi="仿宋" w:eastAsia="仿宋" w:cs="仿宋"/>
          <w:color w:val="auto"/>
          <w:kern w:val="0"/>
          <w:sz w:val="28"/>
          <w:szCs w:val="28"/>
          <w:highlight w:val="none"/>
          <w:lang w:val="en-US" w:eastAsia="zh-CN"/>
        </w:rPr>
        <w:t>）第一点&lt;绩效目标及指标设置思路和原则&gt;中表明应当分解细化指标：分析、归纳总体绩效目标，明确完成的工作任务，将其分解成多个子目标，细化任务清单。根据任务内容，分析投入资源、开展活动、质量标准、成本要求、产出内容、产生效果，设置绩效指标”，</w:t>
      </w:r>
      <w:r>
        <w:rPr>
          <w:rFonts w:hint="eastAsia" w:ascii="仿宋" w:hAnsi="仿宋" w:eastAsia="仿宋" w:cs="仿宋"/>
          <w:color w:val="auto"/>
          <w:sz w:val="28"/>
          <w:szCs w:val="28"/>
          <w:lang w:val="en-US" w:eastAsia="zh-CN"/>
        </w:rPr>
        <w:t>由于该项目属于跨年度项目周期为2年，</w:t>
      </w:r>
      <w:r>
        <w:rPr>
          <w:rFonts w:hint="eastAsia" w:ascii="仿宋" w:hAnsi="仿宋" w:eastAsia="仿宋" w:cs="仿宋"/>
          <w:bCs/>
          <w:color w:val="auto"/>
          <w:kern w:val="0"/>
          <w:sz w:val="28"/>
          <w:szCs w:val="28"/>
        </w:rPr>
        <w:t>总目标和年度目标</w:t>
      </w:r>
      <w:r>
        <w:rPr>
          <w:rFonts w:hint="eastAsia" w:ascii="仿宋" w:hAnsi="仿宋" w:eastAsia="仿宋" w:cs="仿宋"/>
          <w:bCs/>
          <w:color w:val="auto"/>
          <w:kern w:val="0"/>
          <w:sz w:val="28"/>
          <w:szCs w:val="28"/>
          <w:lang w:eastAsia="zh-CN"/>
        </w:rPr>
        <w:t>（</w:t>
      </w:r>
      <w:r>
        <w:rPr>
          <w:rFonts w:hint="eastAsia" w:ascii="仿宋" w:hAnsi="仿宋" w:eastAsia="仿宋" w:cs="仿宋"/>
          <w:bCs/>
          <w:color w:val="auto"/>
          <w:kern w:val="0"/>
          <w:sz w:val="28"/>
          <w:szCs w:val="28"/>
          <w:lang w:val="en-US" w:eastAsia="zh-CN"/>
        </w:rPr>
        <w:t>阶段性目标</w:t>
      </w:r>
      <w:r>
        <w:rPr>
          <w:rFonts w:hint="eastAsia" w:ascii="仿宋" w:hAnsi="仿宋" w:eastAsia="仿宋" w:cs="仿宋"/>
          <w:bCs/>
          <w:color w:val="auto"/>
          <w:kern w:val="0"/>
          <w:sz w:val="28"/>
          <w:szCs w:val="28"/>
          <w:lang w:eastAsia="zh-CN"/>
        </w:rPr>
        <w:t>）</w:t>
      </w:r>
      <w:r>
        <w:rPr>
          <w:rFonts w:hint="eastAsia" w:ascii="仿宋" w:hAnsi="仿宋" w:eastAsia="仿宋" w:cs="仿宋"/>
          <w:bCs/>
          <w:color w:val="auto"/>
          <w:kern w:val="0"/>
          <w:sz w:val="28"/>
          <w:szCs w:val="28"/>
          <w:lang w:val="en-US" w:eastAsia="zh-CN"/>
        </w:rPr>
        <w:t>应当</w:t>
      </w:r>
      <w:r>
        <w:rPr>
          <w:rFonts w:hint="eastAsia" w:ascii="仿宋" w:hAnsi="仿宋" w:eastAsia="仿宋" w:cs="仿宋"/>
          <w:bCs/>
          <w:color w:val="auto"/>
          <w:kern w:val="0"/>
          <w:sz w:val="28"/>
          <w:szCs w:val="28"/>
        </w:rPr>
        <w:t>要有区别</w:t>
      </w:r>
      <w:r>
        <w:rPr>
          <w:rFonts w:hint="eastAsia" w:ascii="仿宋" w:hAnsi="仿宋" w:eastAsia="仿宋" w:cs="仿宋"/>
          <w:bCs/>
          <w:color w:val="auto"/>
          <w:kern w:val="0"/>
          <w:sz w:val="28"/>
          <w:szCs w:val="28"/>
          <w:lang w:eastAsia="zh-CN"/>
        </w:rPr>
        <w:t>，</w:t>
      </w:r>
      <w:r>
        <w:rPr>
          <w:rFonts w:hint="eastAsia" w:ascii="仿宋" w:hAnsi="仿宋" w:eastAsia="仿宋" w:cs="仿宋"/>
          <w:bCs/>
          <w:color w:val="auto"/>
          <w:kern w:val="0"/>
          <w:sz w:val="28"/>
          <w:szCs w:val="28"/>
          <w:lang w:val="en-US" w:eastAsia="zh-CN"/>
        </w:rPr>
        <w:t>并且具有针对性，实施单位才能够根据绩效目标进行实时监控</w:t>
      </w:r>
      <w:r>
        <w:rPr>
          <w:rFonts w:hint="eastAsia" w:ascii="仿宋" w:hAnsi="仿宋" w:eastAsia="仿宋" w:cs="仿宋"/>
          <w:bCs/>
          <w:color w:val="auto"/>
          <w:kern w:val="0"/>
          <w:sz w:val="28"/>
          <w:szCs w:val="28"/>
        </w:rPr>
        <w:t>。</w:t>
      </w:r>
      <w:r>
        <w:rPr>
          <w:rFonts w:hint="eastAsia" w:ascii="仿宋" w:hAnsi="仿宋" w:eastAsia="仿宋" w:cs="仿宋"/>
          <w:color w:val="auto"/>
          <w:sz w:val="28"/>
          <w:szCs w:val="28"/>
          <w:lang w:val="en-US" w:eastAsia="zh-CN"/>
        </w:rPr>
        <w:t>该项目建库时，相关实施单位针对该项目所设置的年度绩效目标值与总体目标一致，可能导致过程中绩效监控执行时缺乏指标依据，因此无法衡量其过程性完成情况，故该项指标扣1分。因此，绩效目标合理性得4分，绩效指标明确性得3分。</w:t>
      </w:r>
    </w:p>
    <w:p>
      <w:pPr>
        <w:pStyle w:val="6"/>
        <w:keepNext w:val="0"/>
        <w:pageBreakBefore w:val="0"/>
        <w:kinsoku/>
        <w:wordWrap/>
        <w:overflowPunct/>
        <w:topLinePunct w:val="0"/>
        <w:autoSpaceDE/>
        <w:autoSpaceDN/>
        <w:bidi w:val="0"/>
        <w:adjustRightInd/>
        <w:snapToGrid/>
        <w:spacing w:beforeLines="0" w:afterLines="0" w:line="240" w:lineRule="auto"/>
        <w:ind w:firstLine="560" w:firstLineChars="200"/>
        <w:textAlignment w:val="auto"/>
        <w:outlineLvl w:val="2"/>
        <w:rPr>
          <w:rFonts w:hint="eastAsia" w:ascii="仿宋" w:hAnsi="仿宋" w:eastAsia="仿宋" w:cs="仿宋"/>
          <w:b w:val="0"/>
          <w:bCs/>
          <w:color w:val="auto"/>
          <w:sz w:val="28"/>
          <w:szCs w:val="28"/>
        </w:rPr>
      </w:pPr>
      <w:bookmarkStart w:id="74" w:name="_Toc12040"/>
      <w:r>
        <w:rPr>
          <w:rFonts w:hint="eastAsia" w:ascii="仿宋" w:hAnsi="仿宋" w:eastAsia="仿宋" w:cs="仿宋"/>
          <w:b w:val="0"/>
          <w:bCs/>
          <w:color w:val="auto"/>
          <w:sz w:val="28"/>
          <w:szCs w:val="28"/>
          <w:lang w:val="en-US" w:eastAsia="zh-CN"/>
        </w:rPr>
        <w:t>3</w:t>
      </w:r>
      <w:r>
        <w:rPr>
          <w:rFonts w:hint="eastAsia" w:ascii="仿宋" w:hAnsi="仿宋" w:eastAsia="仿宋" w:cs="仿宋"/>
          <w:b w:val="0"/>
          <w:bCs/>
          <w:color w:val="auto"/>
          <w:sz w:val="28"/>
          <w:szCs w:val="28"/>
        </w:rPr>
        <w:t>.</w:t>
      </w:r>
      <w:r>
        <w:rPr>
          <w:rFonts w:hint="eastAsia" w:ascii="仿宋" w:hAnsi="仿宋" w:eastAsia="仿宋" w:cs="仿宋"/>
          <w:b w:val="0"/>
          <w:bCs/>
          <w:color w:val="auto"/>
          <w:sz w:val="28"/>
          <w:szCs w:val="28"/>
          <w:lang w:val="en-US" w:eastAsia="zh-CN"/>
        </w:rPr>
        <w:t>资金投入</w:t>
      </w:r>
      <w:r>
        <w:rPr>
          <w:rFonts w:hint="eastAsia" w:ascii="仿宋" w:hAnsi="仿宋" w:eastAsia="仿宋" w:cs="仿宋"/>
          <w:b w:val="0"/>
          <w:bCs/>
          <w:color w:val="auto"/>
          <w:sz w:val="28"/>
          <w:szCs w:val="28"/>
        </w:rPr>
        <w:t>分析</w:t>
      </w:r>
      <w:bookmarkEnd w:id="74"/>
    </w:p>
    <w:tbl>
      <w:tblPr>
        <w:tblStyle w:val="18"/>
        <w:tblW w:w="842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25"/>
        <w:gridCol w:w="733"/>
        <w:gridCol w:w="763"/>
        <w:gridCol w:w="460"/>
        <w:gridCol w:w="5212"/>
        <w:gridCol w:w="53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6" w:hRule="atLeast"/>
          <w:tblHeader/>
          <w:jc w:val="center"/>
        </w:trPr>
        <w:tc>
          <w:tcPr>
            <w:tcW w:w="725"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一级</w:t>
            </w:r>
            <w:r>
              <w:rPr>
                <w:rFonts w:hint="eastAsia" w:ascii="仿宋" w:hAnsi="仿宋" w:eastAsia="仿宋" w:cs="仿宋"/>
                <w:b/>
                <w:bCs/>
                <w:i w:val="0"/>
                <w:iCs w:val="0"/>
                <w:color w:val="000000"/>
                <w:kern w:val="0"/>
                <w:sz w:val="24"/>
                <w:szCs w:val="24"/>
                <w:u w:val="none"/>
                <w:lang w:val="en-US" w:eastAsia="zh-CN" w:bidi="ar"/>
              </w:rPr>
              <w:br w:type="textWrapping"/>
            </w:r>
            <w:r>
              <w:rPr>
                <w:rFonts w:hint="eastAsia" w:ascii="仿宋" w:hAnsi="仿宋" w:eastAsia="仿宋" w:cs="仿宋"/>
                <w:b/>
                <w:bCs/>
                <w:i w:val="0"/>
                <w:iCs w:val="0"/>
                <w:color w:val="000000"/>
                <w:kern w:val="0"/>
                <w:sz w:val="24"/>
                <w:szCs w:val="24"/>
                <w:u w:val="none"/>
                <w:lang w:val="en-US" w:eastAsia="zh-CN" w:bidi="ar"/>
              </w:rPr>
              <w:t>指标</w:t>
            </w:r>
          </w:p>
        </w:tc>
        <w:tc>
          <w:tcPr>
            <w:tcW w:w="733"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二级</w:t>
            </w:r>
            <w:r>
              <w:rPr>
                <w:rFonts w:hint="eastAsia" w:ascii="仿宋" w:hAnsi="仿宋" w:eastAsia="仿宋" w:cs="仿宋"/>
                <w:b/>
                <w:bCs/>
                <w:i w:val="0"/>
                <w:iCs w:val="0"/>
                <w:color w:val="000000"/>
                <w:kern w:val="0"/>
                <w:sz w:val="24"/>
                <w:szCs w:val="24"/>
                <w:u w:val="none"/>
                <w:lang w:val="en-US" w:eastAsia="zh-CN" w:bidi="ar"/>
              </w:rPr>
              <w:br w:type="textWrapping"/>
            </w:r>
            <w:r>
              <w:rPr>
                <w:rFonts w:hint="eastAsia" w:ascii="仿宋" w:hAnsi="仿宋" w:eastAsia="仿宋" w:cs="仿宋"/>
                <w:b/>
                <w:bCs/>
                <w:i w:val="0"/>
                <w:iCs w:val="0"/>
                <w:color w:val="000000"/>
                <w:kern w:val="0"/>
                <w:sz w:val="24"/>
                <w:szCs w:val="24"/>
                <w:u w:val="none"/>
                <w:lang w:val="en-US" w:eastAsia="zh-CN" w:bidi="ar"/>
              </w:rPr>
              <w:t>指标</w:t>
            </w:r>
          </w:p>
        </w:tc>
        <w:tc>
          <w:tcPr>
            <w:tcW w:w="763"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三级指标</w:t>
            </w:r>
          </w:p>
        </w:tc>
        <w:tc>
          <w:tcPr>
            <w:tcW w:w="460"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分值</w:t>
            </w:r>
          </w:p>
        </w:tc>
        <w:tc>
          <w:tcPr>
            <w:tcW w:w="5212"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指标说明/评价要点</w:t>
            </w:r>
          </w:p>
        </w:tc>
        <w:tc>
          <w:tcPr>
            <w:tcW w:w="531"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得分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9" w:hRule="atLeast"/>
          <w:jc w:val="center"/>
        </w:trPr>
        <w:tc>
          <w:tcPr>
            <w:tcW w:w="72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决策</w:t>
            </w:r>
          </w:p>
        </w:tc>
        <w:tc>
          <w:tcPr>
            <w:tcW w:w="73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资金投入</w:t>
            </w:r>
          </w:p>
        </w:tc>
        <w:tc>
          <w:tcPr>
            <w:tcW w:w="7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预算编制</w:t>
            </w:r>
            <w:r>
              <w:rPr>
                <w:rFonts w:hint="eastAsia" w:ascii="仿宋" w:hAnsi="仿宋" w:eastAsia="仿宋" w:cs="仿宋"/>
                <w:i w:val="0"/>
                <w:iCs w:val="0"/>
                <w:color w:val="auto"/>
                <w:kern w:val="0"/>
                <w:sz w:val="21"/>
                <w:szCs w:val="21"/>
                <w:u w:val="none"/>
                <w:lang w:val="en-US" w:eastAsia="zh-CN" w:bidi="ar"/>
              </w:rPr>
              <w:br w:type="textWrapping"/>
            </w:r>
            <w:r>
              <w:rPr>
                <w:rFonts w:hint="eastAsia" w:ascii="仿宋" w:hAnsi="仿宋" w:eastAsia="仿宋" w:cs="仿宋"/>
                <w:i w:val="0"/>
                <w:iCs w:val="0"/>
                <w:color w:val="auto"/>
                <w:kern w:val="0"/>
                <w:sz w:val="21"/>
                <w:szCs w:val="21"/>
                <w:u w:val="none"/>
                <w:lang w:val="en-US" w:eastAsia="zh-CN" w:bidi="ar"/>
              </w:rPr>
              <w:t>科学性</w:t>
            </w:r>
          </w:p>
        </w:tc>
        <w:tc>
          <w:tcPr>
            <w:tcW w:w="4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4</w:t>
            </w:r>
          </w:p>
        </w:tc>
        <w:tc>
          <w:tcPr>
            <w:tcW w:w="52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（1）预算编制是否经过科学论证；（2）预算内容与项目内容是否匹配；（3）预算额度测算依据是否充分，是否按照标准编制；（4）预算确定的项目投资额或资金量是否与工作任务相匹配。每项1分。</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8" w:hRule="atLeast"/>
          <w:jc w:val="center"/>
        </w:trPr>
        <w:tc>
          <w:tcPr>
            <w:tcW w:w="7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p>
        </w:tc>
        <w:tc>
          <w:tcPr>
            <w:tcW w:w="7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p>
        </w:tc>
        <w:tc>
          <w:tcPr>
            <w:tcW w:w="7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资金分配</w:t>
            </w:r>
            <w:r>
              <w:rPr>
                <w:rFonts w:hint="eastAsia" w:ascii="仿宋" w:hAnsi="仿宋" w:eastAsia="仿宋" w:cs="仿宋"/>
                <w:i w:val="0"/>
                <w:iCs w:val="0"/>
                <w:color w:val="auto"/>
                <w:kern w:val="0"/>
                <w:sz w:val="21"/>
                <w:szCs w:val="21"/>
                <w:u w:val="none"/>
                <w:lang w:val="en-US" w:eastAsia="zh-CN" w:bidi="ar"/>
              </w:rPr>
              <w:br w:type="textWrapping"/>
            </w:r>
            <w:r>
              <w:rPr>
                <w:rFonts w:hint="eastAsia" w:ascii="仿宋" w:hAnsi="仿宋" w:eastAsia="仿宋" w:cs="仿宋"/>
                <w:i w:val="0"/>
                <w:iCs w:val="0"/>
                <w:color w:val="auto"/>
                <w:kern w:val="0"/>
                <w:sz w:val="21"/>
                <w:szCs w:val="21"/>
                <w:u w:val="none"/>
                <w:lang w:val="en-US" w:eastAsia="zh-CN" w:bidi="ar"/>
              </w:rPr>
              <w:t>合理性</w:t>
            </w:r>
          </w:p>
        </w:tc>
        <w:tc>
          <w:tcPr>
            <w:tcW w:w="4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4</w:t>
            </w:r>
          </w:p>
        </w:tc>
        <w:tc>
          <w:tcPr>
            <w:tcW w:w="52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（1）预算资金分配依据是否充分；（2）资金分配额度是否合理，与项目单位或地方实际是否相适应。每项2分。</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4</w:t>
            </w:r>
          </w:p>
        </w:tc>
      </w:tr>
    </w:tbl>
    <w:p>
      <w:pPr>
        <w:keepNext w:val="0"/>
        <w:pageBreakBefore w:val="0"/>
        <w:kinsoku/>
        <w:wordWrap/>
        <w:overflowPunct/>
        <w:topLinePunct w:val="0"/>
        <w:autoSpaceDE/>
        <w:autoSpaceDN/>
        <w:bidi w:val="0"/>
        <w:adjustRightInd/>
        <w:snapToGrid/>
        <w:spacing w:line="240" w:lineRule="auto"/>
        <w:ind w:firstLine="560" w:firstLineChars="200"/>
        <w:textAlignment w:val="auto"/>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通过现场调研以及项目相关资料的收集可知，项目公司严格按照国家发改委《污染防治和节能减碳中央预算内投资专项管理办法》和本次明确的投向范围和要求，认真组织申报、筛选、审核2022年度污染治理和节能减碳专项中央预算内投资项目，编制年度投资计划草案及资金申请报告，资金申请报告的资金预算主要以项目可研报告中的投资估算，预算编制经过科学论证，预算内容与项目内容相匹配，预算额度测算依据充分并且按照标准编制，具体包括主要工程量表、主要设备表、投资估算表等，因此，预算确定的项目投资额或资金量与工作任务相匹配，预算资金分配依据充分，资金分配额度合理，与项目单位或地方实际相适应并且通过发改审批。因此，预算编制科学性得4分，资金分配合理性得4分，总计8分。</w:t>
      </w:r>
    </w:p>
    <w:p>
      <w:pPr>
        <w:keepNext w:val="0"/>
        <w:pageBreakBefore w:val="0"/>
        <w:kinsoku/>
        <w:topLinePunct w:val="0"/>
        <w:bidi w:val="0"/>
        <w:spacing w:line="240" w:lineRule="auto"/>
        <w:ind w:leftChars="0" w:firstLine="562" w:firstLineChars="200"/>
        <w:outlineLvl w:val="1"/>
        <w:rPr>
          <w:rFonts w:hint="eastAsia" w:ascii="楷体" w:hAnsi="楷体" w:eastAsia="楷体" w:cs="楷体"/>
          <w:b/>
          <w:bCs/>
          <w:color w:val="auto"/>
          <w:kern w:val="2"/>
          <w:sz w:val="28"/>
          <w:szCs w:val="28"/>
          <w:lang w:val="en-US" w:eastAsia="zh-CN" w:bidi="ar-SA"/>
        </w:rPr>
      </w:pPr>
      <w:bookmarkStart w:id="75" w:name="_Toc13790"/>
      <w:bookmarkStart w:id="76" w:name="_Toc3941"/>
      <w:bookmarkStart w:id="77" w:name="_Toc6980"/>
      <w:r>
        <w:rPr>
          <w:rFonts w:hint="eastAsia" w:ascii="楷体" w:hAnsi="楷体" w:eastAsia="楷体" w:cs="楷体"/>
          <w:b/>
          <w:bCs/>
          <w:color w:val="auto"/>
          <w:kern w:val="2"/>
          <w:sz w:val="28"/>
          <w:szCs w:val="28"/>
          <w:lang w:val="en-US" w:eastAsia="zh-CN" w:bidi="ar-SA"/>
        </w:rPr>
        <w:t>（二）项目过程情况</w:t>
      </w:r>
      <w:bookmarkEnd w:id="73"/>
      <w:bookmarkEnd w:id="75"/>
      <w:bookmarkEnd w:id="76"/>
      <w:bookmarkEnd w:id="77"/>
    </w:p>
    <w:p>
      <w:pPr>
        <w:pStyle w:val="6"/>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2"/>
        <w:rPr>
          <w:rFonts w:hint="eastAsia" w:ascii="仿宋" w:hAnsi="仿宋" w:eastAsia="仿宋" w:cs="仿宋"/>
          <w:color w:val="auto"/>
          <w:sz w:val="28"/>
          <w:szCs w:val="28"/>
        </w:rPr>
      </w:pPr>
      <w:bookmarkStart w:id="78" w:name="_Toc19969"/>
      <w:bookmarkStart w:id="79" w:name="_Toc28033"/>
      <w:bookmarkStart w:id="80" w:name="_Toc23895"/>
      <w:bookmarkStart w:id="81" w:name="_Toc4836"/>
      <w:bookmarkStart w:id="82" w:name="_Toc22190"/>
      <w:bookmarkStart w:id="83" w:name="_Toc1431"/>
      <w:r>
        <w:rPr>
          <w:rFonts w:hint="eastAsia" w:ascii="仿宋" w:hAnsi="仿宋" w:eastAsia="仿宋" w:cs="仿宋"/>
          <w:color w:val="auto"/>
          <w:sz w:val="28"/>
          <w:szCs w:val="28"/>
        </w:rPr>
        <w:t>1.资金管理情况分析</w:t>
      </w:r>
      <w:bookmarkEnd w:id="78"/>
      <w:bookmarkEnd w:id="79"/>
      <w:bookmarkEnd w:id="80"/>
      <w:bookmarkEnd w:id="81"/>
      <w:bookmarkEnd w:id="82"/>
      <w:bookmarkEnd w:id="83"/>
    </w:p>
    <w:tbl>
      <w:tblPr>
        <w:tblStyle w:val="18"/>
        <w:tblW w:w="86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50"/>
        <w:gridCol w:w="734"/>
        <w:gridCol w:w="848"/>
        <w:gridCol w:w="538"/>
        <w:gridCol w:w="5260"/>
        <w:gridCol w:w="54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95" w:hRule="atLeast"/>
          <w:tblHeader/>
          <w:jc w:val="center"/>
        </w:trPr>
        <w:tc>
          <w:tcPr>
            <w:tcW w:w="750"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kern w:val="0"/>
                <w:sz w:val="24"/>
                <w:szCs w:val="24"/>
                <w:u w:val="none"/>
                <w:lang w:val="en-US" w:eastAsia="zh-CN" w:bidi="ar"/>
              </w:rPr>
            </w:pPr>
            <w:r>
              <w:rPr>
                <w:rFonts w:hint="eastAsia" w:ascii="仿宋" w:hAnsi="仿宋" w:eastAsia="仿宋" w:cs="仿宋"/>
                <w:b/>
                <w:bCs/>
                <w:i w:val="0"/>
                <w:iCs w:val="0"/>
                <w:color w:val="000000"/>
                <w:kern w:val="0"/>
                <w:sz w:val="24"/>
                <w:szCs w:val="24"/>
                <w:u w:val="none"/>
                <w:lang w:val="en-US" w:eastAsia="zh-CN" w:bidi="ar"/>
              </w:rPr>
              <w:t>一级</w:t>
            </w:r>
            <w:r>
              <w:rPr>
                <w:rFonts w:hint="eastAsia" w:ascii="仿宋" w:hAnsi="仿宋" w:eastAsia="仿宋" w:cs="仿宋"/>
                <w:b/>
                <w:bCs/>
                <w:i w:val="0"/>
                <w:iCs w:val="0"/>
                <w:color w:val="000000"/>
                <w:kern w:val="0"/>
                <w:sz w:val="24"/>
                <w:szCs w:val="24"/>
                <w:u w:val="none"/>
                <w:lang w:val="en-US" w:eastAsia="zh-CN" w:bidi="ar"/>
              </w:rPr>
              <w:br w:type="textWrapping"/>
            </w:r>
            <w:r>
              <w:rPr>
                <w:rFonts w:hint="eastAsia" w:ascii="仿宋" w:hAnsi="仿宋" w:eastAsia="仿宋" w:cs="仿宋"/>
                <w:b/>
                <w:bCs/>
                <w:i w:val="0"/>
                <w:iCs w:val="0"/>
                <w:color w:val="000000"/>
                <w:kern w:val="0"/>
                <w:sz w:val="24"/>
                <w:szCs w:val="24"/>
                <w:u w:val="none"/>
                <w:lang w:val="en-US" w:eastAsia="zh-CN" w:bidi="ar"/>
              </w:rPr>
              <w:t>指标</w:t>
            </w:r>
          </w:p>
        </w:tc>
        <w:tc>
          <w:tcPr>
            <w:tcW w:w="734"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kern w:val="0"/>
                <w:sz w:val="24"/>
                <w:szCs w:val="24"/>
                <w:u w:val="none"/>
                <w:lang w:val="en-US" w:eastAsia="zh-CN" w:bidi="ar"/>
              </w:rPr>
            </w:pPr>
            <w:r>
              <w:rPr>
                <w:rFonts w:hint="eastAsia" w:ascii="仿宋" w:hAnsi="仿宋" w:eastAsia="仿宋" w:cs="仿宋"/>
                <w:b/>
                <w:bCs/>
                <w:i w:val="0"/>
                <w:iCs w:val="0"/>
                <w:color w:val="000000"/>
                <w:kern w:val="0"/>
                <w:sz w:val="24"/>
                <w:szCs w:val="24"/>
                <w:u w:val="none"/>
                <w:lang w:val="en-US" w:eastAsia="zh-CN" w:bidi="ar"/>
              </w:rPr>
              <w:t>二级</w:t>
            </w:r>
            <w:r>
              <w:rPr>
                <w:rFonts w:hint="eastAsia" w:ascii="仿宋" w:hAnsi="仿宋" w:eastAsia="仿宋" w:cs="仿宋"/>
                <w:b/>
                <w:bCs/>
                <w:i w:val="0"/>
                <w:iCs w:val="0"/>
                <w:color w:val="000000"/>
                <w:kern w:val="0"/>
                <w:sz w:val="24"/>
                <w:szCs w:val="24"/>
                <w:u w:val="none"/>
                <w:lang w:val="en-US" w:eastAsia="zh-CN" w:bidi="ar"/>
              </w:rPr>
              <w:br w:type="textWrapping"/>
            </w:r>
            <w:r>
              <w:rPr>
                <w:rFonts w:hint="eastAsia" w:ascii="仿宋" w:hAnsi="仿宋" w:eastAsia="仿宋" w:cs="仿宋"/>
                <w:b/>
                <w:bCs/>
                <w:i w:val="0"/>
                <w:iCs w:val="0"/>
                <w:color w:val="000000"/>
                <w:kern w:val="0"/>
                <w:sz w:val="24"/>
                <w:szCs w:val="24"/>
                <w:u w:val="none"/>
                <w:lang w:val="en-US" w:eastAsia="zh-CN" w:bidi="ar"/>
              </w:rPr>
              <w:t>指标</w:t>
            </w:r>
          </w:p>
        </w:tc>
        <w:tc>
          <w:tcPr>
            <w:tcW w:w="848"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kern w:val="0"/>
                <w:sz w:val="24"/>
                <w:szCs w:val="24"/>
                <w:u w:val="none"/>
                <w:lang w:val="en-US" w:eastAsia="zh-CN" w:bidi="ar"/>
              </w:rPr>
            </w:pPr>
            <w:r>
              <w:rPr>
                <w:rFonts w:hint="eastAsia" w:ascii="仿宋" w:hAnsi="仿宋" w:eastAsia="仿宋" w:cs="仿宋"/>
                <w:b/>
                <w:bCs/>
                <w:i w:val="0"/>
                <w:iCs w:val="0"/>
                <w:color w:val="000000"/>
                <w:kern w:val="0"/>
                <w:sz w:val="24"/>
                <w:szCs w:val="24"/>
                <w:u w:val="none"/>
                <w:lang w:val="en-US" w:eastAsia="zh-CN" w:bidi="ar"/>
              </w:rPr>
              <w:t>三级指标</w:t>
            </w:r>
          </w:p>
        </w:tc>
        <w:tc>
          <w:tcPr>
            <w:tcW w:w="538"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kern w:val="0"/>
                <w:sz w:val="24"/>
                <w:szCs w:val="24"/>
                <w:u w:val="none"/>
                <w:lang w:val="en-US" w:eastAsia="zh-CN" w:bidi="ar"/>
              </w:rPr>
            </w:pPr>
            <w:r>
              <w:rPr>
                <w:rFonts w:hint="eastAsia" w:ascii="仿宋" w:hAnsi="仿宋" w:eastAsia="仿宋" w:cs="仿宋"/>
                <w:b/>
                <w:bCs/>
                <w:i w:val="0"/>
                <w:iCs w:val="0"/>
                <w:color w:val="000000"/>
                <w:kern w:val="0"/>
                <w:sz w:val="24"/>
                <w:szCs w:val="24"/>
                <w:u w:val="none"/>
                <w:lang w:val="en-US" w:eastAsia="zh-CN" w:bidi="ar"/>
              </w:rPr>
              <w:t>分值</w:t>
            </w:r>
          </w:p>
        </w:tc>
        <w:tc>
          <w:tcPr>
            <w:tcW w:w="5260"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kern w:val="0"/>
                <w:sz w:val="24"/>
                <w:szCs w:val="24"/>
                <w:u w:val="none"/>
                <w:lang w:val="en-US" w:eastAsia="zh-CN" w:bidi="ar"/>
              </w:rPr>
            </w:pPr>
            <w:r>
              <w:rPr>
                <w:rFonts w:hint="eastAsia" w:ascii="仿宋" w:hAnsi="仿宋" w:eastAsia="仿宋" w:cs="仿宋"/>
                <w:b/>
                <w:bCs/>
                <w:i w:val="0"/>
                <w:iCs w:val="0"/>
                <w:color w:val="000000"/>
                <w:kern w:val="0"/>
                <w:sz w:val="24"/>
                <w:szCs w:val="24"/>
                <w:u w:val="none"/>
                <w:lang w:val="en-US" w:eastAsia="zh-CN" w:bidi="ar"/>
              </w:rPr>
              <w:t>指标说明/评价要点</w:t>
            </w:r>
          </w:p>
        </w:tc>
        <w:tc>
          <w:tcPr>
            <w:tcW w:w="542"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kern w:val="0"/>
                <w:sz w:val="24"/>
                <w:szCs w:val="24"/>
                <w:u w:val="none"/>
                <w:lang w:val="en-US" w:eastAsia="zh-CN" w:bidi="ar"/>
              </w:rPr>
            </w:pPr>
            <w:r>
              <w:rPr>
                <w:rFonts w:hint="eastAsia" w:ascii="仿宋" w:hAnsi="仿宋" w:eastAsia="仿宋" w:cs="仿宋"/>
                <w:b/>
                <w:bCs/>
                <w:i w:val="0"/>
                <w:iCs w:val="0"/>
                <w:color w:val="000000"/>
                <w:kern w:val="0"/>
                <w:sz w:val="24"/>
                <w:szCs w:val="24"/>
                <w:u w:val="none"/>
                <w:lang w:val="en-US" w:eastAsia="zh-CN" w:bidi="ar"/>
              </w:rPr>
              <w:t>得分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4" w:hRule="atLeast"/>
          <w:jc w:val="center"/>
        </w:trPr>
        <w:tc>
          <w:tcPr>
            <w:tcW w:w="7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过程</w:t>
            </w:r>
          </w:p>
        </w:tc>
        <w:tc>
          <w:tcPr>
            <w:tcW w:w="7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资金管理</w:t>
            </w:r>
          </w:p>
        </w:tc>
        <w:tc>
          <w:tcPr>
            <w:tcW w:w="84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资金到位</w:t>
            </w: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c>
          <w:tcPr>
            <w:tcW w:w="52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实际到位资金与计划投入资金的比率。资金到位率=（实际到位资金/计划投入资金）×100%。资金到位率≤60%，得零分；60%&lt;资金到位率&lt;100%，得0.5分；资金到位率≥100%，得满分。</w:t>
            </w:r>
          </w:p>
        </w:tc>
        <w:tc>
          <w:tcPr>
            <w:tcW w:w="5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91" w:hRule="atLeast"/>
          <w:jc w:val="center"/>
        </w:trPr>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7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8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c>
          <w:tcPr>
            <w:tcW w:w="52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到位及时率=（及时到位资金/应到位资金）×100%。及时到位资金：截至规定时点实际落实到具体项目的资金。应到位资金：按照合同或项目进度要求截至规定时点应落实到位的资金。到位及时率≤60%，得零分；60%&lt;到位及时率&lt;100%，得0.5分；到位及时率≥100%，得满分。</w:t>
            </w:r>
          </w:p>
        </w:tc>
        <w:tc>
          <w:tcPr>
            <w:tcW w:w="5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78" w:hRule="atLeast"/>
          <w:jc w:val="center"/>
        </w:trPr>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7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8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预算执行</w:t>
            </w: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2</w:t>
            </w:r>
          </w:p>
        </w:tc>
        <w:tc>
          <w:tcPr>
            <w:tcW w:w="52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预算执行率=（实际支出资金/实际到位资金）×100%。实际支出资金：一定时期（本年度或项目期）内项目实际拨付的资金。预算执行率≤60%，得零分；60%&lt;预算执行率&lt;100%，得1分；预算执行率≥100%，得满分。</w:t>
            </w:r>
          </w:p>
        </w:tc>
        <w:tc>
          <w:tcPr>
            <w:tcW w:w="5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51" w:hRule="atLeast"/>
          <w:jc w:val="center"/>
        </w:trPr>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7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848" w:type="dxa"/>
            <w:vMerge w:val="restart"/>
            <w:tcBorders>
              <w:top w:val="single" w:color="000000" w:sz="4" w:space="0"/>
              <w:left w:val="single" w:color="000000" w:sz="4" w:space="0"/>
              <w:right w:val="single" w:color="000000" w:sz="4" w:space="0"/>
            </w:tcBorders>
            <w:shd w:val="clear" w:color="auto" w:fill="auto"/>
            <w:vAlign w:val="center"/>
          </w:tcPr>
          <w:p>
            <w:pPr>
              <w:jc w:val="center"/>
              <w:rPr>
                <w:rFonts w:hint="default"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资金使用合规性</w:t>
            </w: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c>
          <w:tcPr>
            <w:tcW w:w="52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（1）资金使用是否履行审批程序，审批手续是否到位；（2）相关凭据是否完整合规。每符合一项0.5分。</w:t>
            </w:r>
          </w:p>
        </w:tc>
        <w:tc>
          <w:tcPr>
            <w:tcW w:w="5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4" w:hRule="atLeast"/>
          <w:jc w:val="center"/>
        </w:trPr>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7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8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c>
          <w:tcPr>
            <w:tcW w:w="52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（1）资金支付程序是否规范，支付方式是否符合规；（2）资金支付是否及时，是否按照财务管理制度或合同约定方式支付。每符合一项0.5分。</w:t>
            </w:r>
          </w:p>
        </w:tc>
        <w:tc>
          <w:tcPr>
            <w:tcW w:w="54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default"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jc w:val="center"/>
        </w:trPr>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7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8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c>
          <w:tcPr>
            <w:tcW w:w="52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（1）是否符合项目预算批复或合同规定的用途；（2）是否存在截留、挤占、挪用、虚列支出等情况。符合1分，有一项不符合0分。</w:t>
            </w:r>
          </w:p>
        </w:tc>
        <w:tc>
          <w:tcPr>
            <w:tcW w:w="5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51" w:hRule="atLeast"/>
          <w:jc w:val="center"/>
        </w:trPr>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7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8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c>
          <w:tcPr>
            <w:tcW w:w="52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资金使用是否按规定进行财务核算，是否真实、完整、清晰、及时反映项目收支情况。符合1分，有一项不符合扣0.5分，扣完为止。</w:t>
            </w:r>
          </w:p>
        </w:tc>
        <w:tc>
          <w:tcPr>
            <w:tcW w:w="5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7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8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0"/>
                <w:szCs w:val="20"/>
                <w:u w:val="none"/>
                <w:lang w:val="en-US" w:eastAsia="zh-CN" w:bidi="ar"/>
              </w:rPr>
              <w:t>2</w:t>
            </w:r>
          </w:p>
        </w:tc>
        <w:tc>
          <w:tcPr>
            <w:tcW w:w="52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0"/>
                <w:szCs w:val="20"/>
                <w:u w:val="none"/>
                <w:lang w:val="en-US" w:eastAsia="zh-CN" w:bidi="ar"/>
              </w:rPr>
              <w:t>（1）是否已制定或具有相应的财务监控管理机制、计划或方案；（2）监控措施是否保障资金按规定运行，能及时发现问题并及时改善。每符合一项得1分。</w:t>
            </w:r>
          </w:p>
        </w:tc>
        <w:tc>
          <w:tcPr>
            <w:tcW w:w="5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0"/>
                <w:szCs w:val="20"/>
                <w:u w:val="none"/>
                <w:lang w:val="en-US" w:eastAsia="zh-CN" w:bidi="ar"/>
              </w:rPr>
              <w:t>1</w:t>
            </w:r>
          </w:p>
        </w:tc>
      </w:tr>
    </w:tbl>
    <w:p>
      <w:pPr>
        <w:keepNext w:val="0"/>
        <w:pageBreakBefore w:val="0"/>
        <w:kinsoku/>
        <w:topLinePunct w:val="0"/>
        <w:bidi w:val="0"/>
        <w:spacing w:line="240" w:lineRule="auto"/>
        <w:ind w:leftChars="0" w:firstLine="560" w:firstLineChars="200"/>
        <w:rPr>
          <w:rFonts w:hint="default"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本项目总投资预算为35000.00万元。其中，土建投资预计15000.00万元，设备投资预计12000.00万元，其他投资预计8000.00万元。项目的资金来源为中央预算内投资补助、母公司投资和企业自筹。中央预算内投资补助为2000.00万元，母公司投资和企业自筹共计33000.00万元。本项目资金具有完备的支撑保障条件，会计核算资料完整且入账及时，资金由石狮市财政局直接下拨至建设单位泉州市百川彩纺科技有限公司，于2022年11月11日实际到位，到位率为100%，到位及时率为100%。泉州市百川彩纺科技有限公司在2022年底全部拨付到位，预算执行率100%。因此，资金到位得2分，资金预算执行得2分，</w:t>
      </w:r>
      <w:r>
        <w:rPr>
          <w:rFonts w:hint="eastAsia" w:ascii="仿宋" w:hAnsi="仿宋" w:eastAsia="仿宋" w:cs="仿宋"/>
          <w:color w:val="auto"/>
          <w:sz w:val="28"/>
          <w:szCs w:val="28"/>
          <w:lang w:val="en-US" w:eastAsia="zh-CN"/>
        </w:rPr>
        <w:t>总计4分。</w:t>
      </w:r>
    </w:p>
    <w:p>
      <w:pPr>
        <w:keepNext w:val="0"/>
        <w:pageBreakBefore w:val="0"/>
        <w:kinsoku/>
        <w:topLinePunct w:val="0"/>
        <w:bidi w:val="0"/>
        <w:spacing w:line="240" w:lineRule="auto"/>
        <w:ind w:leftChars="0" w:firstLine="560" w:firstLineChars="200"/>
        <w:rPr>
          <w:rFonts w:hint="default"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通过调研可知，项目单位已按要求制定并且具有相应的项目资金管理办法，并且同时按照国家发展改革委关于印发《污染治理和节能减碳中央预算内投资专项管理办法》的通知里面的附件“污染治理和节能减碳中央预算内投资专项管理办法”进行资金规范安全运行。本项目资金使用履行审批程序，审批手续齐全，按照规定通过在线平台（国家重大建设项目库）生成投资计划下达表并下达投资计划，报国家发展改革委备案，并在在线平台（国家重大建设项目库）中相应分解至具体项目。相关凭据完整合规，资金支付程序规范，支付方式符合规定，资金支付及时。资金使用符合项目预算批复规定的用途，主要用在土建投资和设备购置两处，不存在截留、挤占、挪用、虚列支出等情况。资金使用按规定进行财务核算，真实、完整、清晰、及时反映项目收支情况。每笔资金的拨付均有凭证，针对施工单位在建设过程中的质量监控管理主要是委托工程监理，定期进行“项目监理部质量安全动态管理定期自查自纠”，并定期进行会议汇报。但根据《泉州市发展和改革委员会关于分解下达污染治理和节能减碳专项(节能减碳方向)2022第二批中央预算内投资计划的通知》（泉发改</w:t>
      </w:r>
      <w:r>
        <w:rPr>
          <w:rFonts w:hint="eastAsia" w:ascii="宋体" w:hAnsi="宋体" w:eastAsia="宋体" w:cs="宋体"/>
          <w:b w:val="0"/>
          <w:bCs w:val="0"/>
          <w:color w:val="auto"/>
          <w:sz w:val="28"/>
          <w:szCs w:val="28"/>
          <w:lang w:val="en-US" w:eastAsia="zh-CN"/>
        </w:rPr>
        <w:t>〔</w:t>
      </w:r>
      <w:r>
        <w:rPr>
          <w:rFonts w:hint="eastAsia" w:ascii="仿宋" w:hAnsi="仿宋" w:eastAsia="仿宋" w:cs="仿宋"/>
          <w:b w:val="0"/>
          <w:bCs w:val="0"/>
          <w:color w:val="auto"/>
          <w:sz w:val="28"/>
          <w:szCs w:val="28"/>
          <w:lang w:val="en-US" w:eastAsia="zh-CN"/>
        </w:rPr>
        <w:t>2022</w:t>
      </w:r>
      <w:r>
        <w:rPr>
          <w:rFonts w:hint="eastAsia" w:ascii="宋体" w:hAnsi="宋体" w:eastAsia="宋体" w:cs="宋体"/>
          <w:b w:val="0"/>
          <w:bCs w:val="0"/>
          <w:color w:val="auto"/>
          <w:sz w:val="28"/>
          <w:szCs w:val="28"/>
          <w:lang w:val="en-US" w:eastAsia="zh-CN"/>
        </w:rPr>
        <w:t>〕</w:t>
      </w:r>
      <w:r>
        <w:rPr>
          <w:rFonts w:hint="eastAsia" w:ascii="仿宋" w:hAnsi="仿宋" w:eastAsia="仿宋" w:cs="仿宋"/>
          <w:b w:val="0"/>
          <w:bCs w:val="0"/>
          <w:color w:val="auto"/>
          <w:sz w:val="28"/>
          <w:szCs w:val="28"/>
          <w:lang w:val="en-US" w:eastAsia="zh-CN"/>
        </w:rPr>
        <w:t>274 号）文“项目监管单位要建立工作监督机制，制定监管计划，组织实施中央预算内投资项目的日常调度、在线监测、现场检查和监督问责”，但据了解，石狮市发展改革局在项目的实施过程中，有对资金的使用合规性进行监督和检查，但未形成合理有效的机制和制定计划。因此，资金使用合规性指标，扣1分，得5分。</w:t>
      </w:r>
    </w:p>
    <w:p>
      <w:pPr>
        <w:pStyle w:val="6"/>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2"/>
        <w:rPr>
          <w:rFonts w:hint="eastAsia" w:ascii="仿宋" w:hAnsi="仿宋" w:eastAsia="仿宋" w:cs="仿宋"/>
          <w:color w:val="auto"/>
        </w:rPr>
      </w:pPr>
      <w:bookmarkStart w:id="84" w:name="_Toc4093"/>
      <w:bookmarkStart w:id="85" w:name="_Toc1944"/>
      <w:bookmarkStart w:id="86" w:name="_Toc28754"/>
      <w:bookmarkStart w:id="87" w:name="_Toc9942"/>
      <w:bookmarkStart w:id="88" w:name="_Toc17268"/>
      <w:bookmarkStart w:id="89" w:name="_Toc18173"/>
      <w:r>
        <w:rPr>
          <w:rFonts w:hint="eastAsia" w:ascii="仿宋" w:hAnsi="仿宋" w:eastAsia="仿宋" w:cs="仿宋"/>
          <w:color w:val="auto"/>
        </w:rPr>
        <w:t>2.</w:t>
      </w:r>
      <w:r>
        <w:rPr>
          <w:rFonts w:hint="eastAsia" w:ascii="仿宋" w:hAnsi="仿宋" w:eastAsia="仿宋" w:cs="仿宋"/>
          <w:color w:val="auto"/>
          <w:lang w:val="en-US" w:eastAsia="zh-CN"/>
        </w:rPr>
        <w:t>业务管理</w:t>
      </w:r>
      <w:r>
        <w:rPr>
          <w:rFonts w:hint="eastAsia" w:ascii="仿宋" w:hAnsi="仿宋" w:eastAsia="仿宋" w:cs="仿宋"/>
          <w:color w:val="auto"/>
        </w:rPr>
        <w:t>情况分析</w:t>
      </w:r>
      <w:bookmarkEnd w:id="84"/>
      <w:bookmarkEnd w:id="85"/>
      <w:bookmarkEnd w:id="86"/>
      <w:bookmarkEnd w:id="87"/>
      <w:bookmarkEnd w:id="88"/>
      <w:bookmarkEnd w:id="89"/>
    </w:p>
    <w:tbl>
      <w:tblPr>
        <w:tblStyle w:val="18"/>
        <w:tblW w:w="8663" w:type="dxa"/>
        <w:tblInd w:w="-1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18"/>
        <w:gridCol w:w="757"/>
        <w:gridCol w:w="848"/>
        <w:gridCol w:w="538"/>
        <w:gridCol w:w="5260"/>
        <w:gridCol w:w="54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9" w:hRule="atLeast"/>
          <w:tblHeader/>
        </w:trPr>
        <w:tc>
          <w:tcPr>
            <w:tcW w:w="718"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kern w:val="0"/>
                <w:sz w:val="24"/>
                <w:szCs w:val="24"/>
                <w:u w:val="none"/>
                <w:lang w:val="en-US" w:eastAsia="zh-CN" w:bidi="ar"/>
              </w:rPr>
            </w:pPr>
            <w:r>
              <w:rPr>
                <w:rFonts w:hint="eastAsia" w:ascii="仿宋" w:hAnsi="仿宋" w:eastAsia="仿宋" w:cs="仿宋"/>
                <w:b/>
                <w:bCs/>
                <w:i w:val="0"/>
                <w:iCs w:val="0"/>
                <w:color w:val="000000"/>
                <w:kern w:val="0"/>
                <w:sz w:val="24"/>
                <w:szCs w:val="24"/>
                <w:u w:val="none"/>
                <w:lang w:val="en-US" w:eastAsia="zh-CN" w:bidi="ar"/>
              </w:rPr>
              <w:t>一级</w:t>
            </w:r>
            <w:r>
              <w:rPr>
                <w:rFonts w:hint="eastAsia" w:ascii="仿宋" w:hAnsi="仿宋" w:eastAsia="仿宋" w:cs="仿宋"/>
                <w:b/>
                <w:bCs/>
                <w:i w:val="0"/>
                <w:iCs w:val="0"/>
                <w:color w:val="000000"/>
                <w:kern w:val="0"/>
                <w:sz w:val="24"/>
                <w:szCs w:val="24"/>
                <w:u w:val="none"/>
                <w:lang w:val="en-US" w:eastAsia="zh-CN" w:bidi="ar"/>
              </w:rPr>
              <w:br w:type="textWrapping"/>
            </w:r>
            <w:r>
              <w:rPr>
                <w:rFonts w:hint="eastAsia" w:ascii="仿宋" w:hAnsi="仿宋" w:eastAsia="仿宋" w:cs="仿宋"/>
                <w:b/>
                <w:bCs/>
                <w:i w:val="0"/>
                <w:iCs w:val="0"/>
                <w:color w:val="000000"/>
                <w:kern w:val="0"/>
                <w:sz w:val="24"/>
                <w:szCs w:val="24"/>
                <w:u w:val="none"/>
                <w:lang w:val="en-US" w:eastAsia="zh-CN" w:bidi="ar"/>
              </w:rPr>
              <w:t>指标</w:t>
            </w:r>
          </w:p>
        </w:tc>
        <w:tc>
          <w:tcPr>
            <w:tcW w:w="757" w:type="dxa"/>
            <w:tcBorders>
              <w:top w:val="single" w:color="000000" w:sz="4" w:space="0"/>
              <w:left w:val="single" w:color="000000" w:sz="4" w:space="0"/>
              <w:bottom w:val="single" w:color="auto"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kern w:val="0"/>
                <w:sz w:val="24"/>
                <w:szCs w:val="24"/>
                <w:u w:val="none"/>
                <w:lang w:val="en-US" w:eastAsia="zh-CN" w:bidi="ar"/>
              </w:rPr>
            </w:pPr>
            <w:r>
              <w:rPr>
                <w:rFonts w:hint="eastAsia" w:ascii="仿宋" w:hAnsi="仿宋" w:eastAsia="仿宋" w:cs="仿宋"/>
                <w:b/>
                <w:bCs/>
                <w:i w:val="0"/>
                <w:iCs w:val="0"/>
                <w:color w:val="000000"/>
                <w:kern w:val="0"/>
                <w:sz w:val="24"/>
                <w:szCs w:val="24"/>
                <w:u w:val="none"/>
                <w:lang w:val="en-US" w:eastAsia="zh-CN" w:bidi="ar"/>
              </w:rPr>
              <w:t>二级</w:t>
            </w:r>
            <w:r>
              <w:rPr>
                <w:rFonts w:hint="eastAsia" w:ascii="仿宋" w:hAnsi="仿宋" w:eastAsia="仿宋" w:cs="仿宋"/>
                <w:b/>
                <w:bCs/>
                <w:i w:val="0"/>
                <w:iCs w:val="0"/>
                <w:color w:val="000000"/>
                <w:kern w:val="0"/>
                <w:sz w:val="24"/>
                <w:szCs w:val="24"/>
                <w:u w:val="none"/>
                <w:lang w:val="en-US" w:eastAsia="zh-CN" w:bidi="ar"/>
              </w:rPr>
              <w:br w:type="textWrapping"/>
            </w:r>
            <w:r>
              <w:rPr>
                <w:rFonts w:hint="eastAsia" w:ascii="仿宋" w:hAnsi="仿宋" w:eastAsia="仿宋" w:cs="仿宋"/>
                <w:b/>
                <w:bCs/>
                <w:i w:val="0"/>
                <w:iCs w:val="0"/>
                <w:color w:val="000000"/>
                <w:kern w:val="0"/>
                <w:sz w:val="24"/>
                <w:szCs w:val="24"/>
                <w:u w:val="none"/>
                <w:lang w:val="en-US" w:eastAsia="zh-CN" w:bidi="ar"/>
              </w:rPr>
              <w:t>指标</w:t>
            </w:r>
          </w:p>
        </w:tc>
        <w:tc>
          <w:tcPr>
            <w:tcW w:w="848" w:type="dxa"/>
            <w:tcBorders>
              <w:top w:val="single" w:color="000000" w:sz="4" w:space="0"/>
              <w:left w:val="single" w:color="000000" w:sz="4" w:space="0"/>
              <w:bottom w:val="single" w:color="auto"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kern w:val="0"/>
                <w:sz w:val="24"/>
                <w:szCs w:val="24"/>
                <w:u w:val="none"/>
                <w:lang w:val="en-US" w:eastAsia="zh-CN" w:bidi="ar"/>
              </w:rPr>
            </w:pPr>
            <w:r>
              <w:rPr>
                <w:rFonts w:hint="eastAsia" w:ascii="仿宋" w:hAnsi="仿宋" w:eastAsia="仿宋" w:cs="仿宋"/>
                <w:b/>
                <w:bCs/>
                <w:i w:val="0"/>
                <w:iCs w:val="0"/>
                <w:color w:val="000000"/>
                <w:kern w:val="0"/>
                <w:sz w:val="24"/>
                <w:szCs w:val="24"/>
                <w:u w:val="none"/>
                <w:lang w:val="en-US" w:eastAsia="zh-CN" w:bidi="ar"/>
              </w:rPr>
              <w:t>三级指标</w:t>
            </w:r>
          </w:p>
        </w:tc>
        <w:tc>
          <w:tcPr>
            <w:tcW w:w="538" w:type="dxa"/>
            <w:tcBorders>
              <w:top w:val="single" w:color="000000" w:sz="4" w:space="0"/>
              <w:left w:val="single" w:color="000000" w:sz="4" w:space="0"/>
              <w:bottom w:val="single" w:color="auto"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kern w:val="0"/>
                <w:sz w:val="24"/>
                <w:szCs w:val="24"/>
                <w:u w:val="none"/>
                <w:lang w:val="en-US" w:eastAsia="zh-CN" w:bidi="ar"/>
              </w:rPr>
            </w:pPr>
            <w:r>
              <w:rPr>
                <w:rFonts w:hint="eastAsia" w:ascii="仿宋" w:hAnsi="仿宋" w:eastAsia="仿宋" w:cs="仿宋"/>
                <w:b/>
                <w:bCs/>
                <w:i w:val="0"/>
                <w:iCs w:val="0"/>
                <w:color w:val="000000"/>
                <w:kern w:val="0"/>
                <w:sz w:val="24"/>
                <w:szCs w:val="24"/>
                <w:u w:val="none"/>
                <w:lang w:val="en-US" w:eastAsia="zh-CN" w:bidi="ar"/>
              </w:rPr>
              <w:t>分值</w:t>
            </w:r>
          </w:p>
        </w:tc>
        <w:tc>
          <w:tcPr>
            <w:tcW w:w="5260" w:type="dxa"/>
            <w:tcBorders>
              <w:top w:val="single" w:color="000000" w:sz="4" w:space="0"/>
              <w:left w:val="single" w:color="000000" w:sz="4" w:space="0"/>
              <w:bottom w:val="single" w:color="auto"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kern w:val="0"/>
                <w:sz w:val="24"/>
                <w:szCs w:val="24"/>
                <w:u w:val="none"/>
                <w:lang w:val="en-US" w:eastAsia="zh-CN" w:bidi="ar"/>
              </w:rPr>
            </w:pPr>
            <w:r>
              <w:rPr>
                <w:rFonts w:hint="eastAsia" w:ascii="仿宋" w:hAnsi="仿宋" w:eastAsia="仿宋" w:cs="仿宋"/>
                <w:b/>
                <w:bCs/>
                <w:i w:val="0"/>
                <w:iCs w:val="0"/>
                <w:color w:val="000000"/>
                <w:kern w:val="0"/>
                <w:sz w:val="24"/>
                <w:szCs w:val="24"/>
                <w:u w:val="none"/>
                <w:lang w:val="en-US" w:eastAsia="zh-CN" w:bidi="ar"/>
              </w:rPr>
              <w:t>指标说明/评价要点</w:t>
            </w:r>
          </w:p>
        </w:tc>
        <w:tc>
          <w:tcPr>
            <w:tcW w:w="542"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kern w:val="0"/>
                <w:sz w:val="24"/>
                <w:szCs w:val="24"/>
                <w:u w:val="none"/>
                <w:lang w:val="en-US" w:eastAsia="zh-CN" w:bidi="ar"/>
              </w:rPr>
            </w:pPr>
            <w:r>
              <w:rPr>
                <w:rFonts w:hint="eastAsia" w:ascii="仿宋" w:hAnsi="仿宋" w:eastAsia="仿宋" w:cs="仿宋"/>
                <w:b/>
                <w:bCs/>
                <w:i w:val="0"/>
                <w:iCs w:val="0"/>
                <w:color w:val="000000"/>
                <w:kern w:val="0"/>
                <w:sz w:val="24"/>
                <w:szCs w:val="24"/>
                <w:u w:val="none"/>
                <w:lang w:val="en-US" w:eastAsia="zh-CN" w:bidi="ar"/>
              </w:rPr>
              <w:t>得分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718" w:type="dxa"/>
            <w:vMerge w:val="restar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过程</w:t>
            </w:r>
          </w:p>
        </w:tc>
        <w:tc>
          <w:tcPr>
            <w:tcW w:w="75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0"/>
                <w:szCs w:val="20"/>
                <w:u w:val="none"/>
                <w:lang w:val="en-US" w:eastAsia="zh-CN" w:bidi="ar"/>
              </w:rPr>
              <w:t>业务</w:t>
            </w:r>
            <w:r>
              <w:rPr>
                <w:rFonts w:hint="eastAsia" w:ascii="仿宋" w:hAnsi="仿宋" w:eastAsia="仿宋" w:cs="仿宋"/>
                <w:i w:val="0"/>
                <w:iCs w:val="0"/>
                <w:color w:val="auto"/>
                <w:kern w:val="0"/>
                <w:sz w:val="20"/>
                <w:szCs w:val="20"/>
                <w:u w:val="none"/>
                <w:lang w:val="en-US" w:eastAsia="zh-CN" w:bidi="ar"/>
              </w:rPr>
              <w:br w:type="textWrapping"/>
            </w:r>
            <w:r>
              <w:rPr>
                <w:rFonts w:hint="eastAsia" w:ascii="仿宋" w:hAnsi="仿宋" w:eastAsia="仿宋" w:cs="仿宋"/>
                <w:i w:val="0"/>
                <w:iCs w:val="0"/>
                <w:color w:val="auto"/>
                <w:kern w:val="0"/>
                <w:sz w:val="20"/>
                <w:szCs w:val="20"/>
                <w:u w:val="none"/>
                <w:lang w:val="en-US" w:eastAsia="zh-CN" w:bidi="ar"/>
              </w:rPr>
              <w:t>管理</w:t>
            </w:r>
          </w:p>
        </w:tc>
        <w:tc>
          <w:tcPr>
            <w:tcW w:w="84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0"/>
                <w:szCs w:val="20"/>
                <w:u w:val="none"/>
                <w:lang w:val="en-US" w:eastAsia="zh-CN" w:bidi="ar"/>
              </w:rPr>
              <w:t>组织管理</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0"/>
                <w:szCs w:val="20"/>
                <w:u w:val="none"/>
                <w:lang w:val="en-US" w:eastAsia="zh-CN" w:bidi="ar"/>
              </w:rPr>
              <w:t>2</w:t>
            </w:r>
          </w:p>
        </w:tc>
        <w:tc>
          <w:tcPr>
            <w:tcW w:w="526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0"/>
                <w:szCs w:val="20"/>
                <w:u w:val="none"/>
                <w:lang w:val="en-US" w:eastAsia="zh-CN" w:bidi="ar"/>
              </w:rPr>
              <w:t>（1）是否健全组织机构并落实专人负责；（2）机构运转协调、有效，建立协调会签机制。每符合一项1分。</w:t>
            </w:r>
          </w:p>
        </w:tc>
        <w:tc>
          <w:tcPr>
            <w:tcW w:w="542"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0"/>
                <w:szCs w:val="20"/>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6" w:hRule="atLeast"/>
        </w:trPr>
        <w:tc>
          <w:tcPr>
            <w:tcW w:w="718"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7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84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0"/>
                <w:szCs w:val="20"/>
                <w:u w:val="none"/>
                <w:lang w:val="en-US" w:eastAsia="zh-CN" w:bidi="ar"/>
              </w:rPr>
              <w:t>制度建立</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0"/>
                <w:szCs w:val="20"/>
                <w:u w:val="none"/>
                <w:lang w:val="en-US" w:eastAsia="zh-CN" w:bidi="ar"/>
              </w:rPr>
              <w:t>4</w:t>
            </w:r>
          </w:p>
        </w:tc>
        <w:tc>
          <w:tcPr>
            <w:tcW w:w="526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0"/>
                <w:szCs w:val="20"/>
                <w:u w:val="none"/>
                <w:lang w:val="en-US" w:eastAsia="zh-CN" w:bidi="ar"/>
              </w:rPr>
              <w:t>（1）是否已制定或具有相应的业务管理制度；（2）业务管理制度是否合法、合规、完整。每符合一项2分。</w:t>
            </w:r>
          </w:p>
        </w:tc>
        <w:tc>
          <w:tcPr>
            <w:tcW w:w="542"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0"/>
                <w:szCs w:val="20"/>
                <w:u w:val="none"/>
                <w:lang w:val="en-US" w:eastAsia="zh-CN" w:bidi="ar"/>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60" w:hRule="atLeast"/>
        </w:trPr>
        <w:tc>
          <w:tcPr>
            <w:tcW w:w="718"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7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84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0"/>
                <w:szCs w:val="20"/>
                <w:u w:val="none"/>
                <w:lang w:val="en-US" w:eastAsia="zh-CN" w:bidi="ar"/>
              </w:rPr>
              <w:t>制度执行有效性</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4</w:t>
            </w:r>
          </w:p>
        </w:tc>
        <w:tc>
          <w:tcPr>
            <w:tcW w:w="526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0"/>
                <w:szCs w:val="20"/>
                <w:u w:val="none"/>
                <w:lang w:val="en-US" w:eastAsia="zh-CN" w:bidi="ar"/>
              </w:rPr>
              <w:t>项目建设程序是否符合《污染治理和节能减碳中央预算内投资专项管理办法》中要求的“项目法人责任制、招投标制、工程监理制、合同管理制以及中央预算内投资项目管理的有关规定”是否完善相关手续。全部符合4分，不符其中一项不得分。</w:t>
            </w:r>
          </w:p>
        </w:tc>
        <w:tc>
          <w:tcPr>
            <w:tcW w:w="542"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4" w:hRule="atLeast"/>
        </w:trPr>
        <w:tc>
          <w:tcPr>
            <w:tcW w:w="718"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7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8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0"/>
                <w:szCs w:val="20"/>
                <w:u w:val="none"/>
                <w:lang w:val="en-US" w:eastAsia="zh-CN" w:bidi="ar"/>
              </w:rPr>
              <w:t>4</w:t>
            </w:r>
          </w:p>
        </w:tc>
        <w:tc>
          <w:tcPr>
            <w:tcW w:w="526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0"/>
                <w:szCs w:val="20"/>
                <w:u w:val="none"/>
                <w:lang w:val="en-US" w:eastAsia="zh-CN" w:bidi="ar"/>
              </w:rPr>
              <w:t>日常监管直接责任单位中的监管责任人应随时掌握项目建设情况，做到开工到现场、建设到现场、竣工到现场。全部符合2分，部分符合0.5分，不符合0分。</w:t>
            </w:r>
          </w:p>
        </w:tc>
        <w:tc>
          <w:tcPr>
            <w:tcW w:w="542"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0"/>
                <w:szCs w:val="20"/>
                <w:u w:val="none"/>
                <w:lang w:val="en-US" w:eastAsia="zh-CN" w:bidi="ar"/>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45" w:hRule="atLeast"/>
        </w:trPr>
        <w:tc>
          <w:tcPr>
            <w:tcW w:w="718"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7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8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c>
          <w:tcPr>
            <w:tcW w:w="526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项目完工是否按规定进行验收。全部符合1分，部分符合0.5分，不符合0分。</w:t>
            </w:r>
          </w:p>
        </w:tc>
        <w:tc>
          <w:tcPr>
            <w:tcW w:w="542"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7" w:hRule="atLeast"/>
        </w:trPr>
        <w:tc>
          <w:tcPr>
            <w:tcW w:w="718"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7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8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c>
          <w:tcPr>
            <w:tcW w:w="526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项目建设相关资料是否齐全及时归档。全部符合1分，部分符合0.5分，不符合0分。</w:t>
            </w:r>
          </w:p>
        </w:tc>
        <w:tc>
          <w:tcPr>
            <w:tcW w:w="542" w:type="dxa"/>
            <w:tcBorders>
              <w:top w:val="single" w:color="000000" w:sz="4" w:space="0"/>
              <w:left w:val="single" w:color="auto"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71" w:hRule="atLeast"/>
        </w:trPr>
        <w:tc>
          <w:tcPr>
            <w:tcW w:w="718"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757"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84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项目质量可控性</w:t>
            </w: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2</w:t>
            </w:r>
          </w:p>
        </w:tc>
        <w:tc>
          <w:tcPr>
            <w:tcW w:w="52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项目实施单位是否已制定或具有相应的质量要求和标准，并符合相关国家标准、行业标准/规范。全部符合1分，部分符合0.5分，不符合0分。</w:t>
            </w:r>
          </w:p>
        </w:tc>
        <w:tc>
          <w:tcPr>
            <w:tcW w:w="5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40" w:hRule="atLeast"/>
        </w:trPr>
        <w:tc>
          <w:tcPr>
            <w:tcW w:w="718"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757"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8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2</w:t>
            </w:r>
          </w:p>
        </w:tc>
        <w:tc>
          <w:tcPr>
            <w:tcW w:w="52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项目实施单位是否为达到质量标准而采取必要措施，包括质量监理、群众监督、质量检查、项目验收等必要的控制措施和手段。全部符合1分，部分符合0.5分，不符合0分。</w:t>
            </w:r>
          </w:p>
        </w:tc>
        <w:tc>
          <w:tcPr>
            <w:tcW w:w="54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2</w:t>
            </w:r>
          </w:p>
        </w:tc>
      </w:tr>
    </w:tbl>
    <w:p>
      <w:pPr>
        <w:keepNext w:val="0"/>
        <w:pageBreakBefore w:val="0"/>
        <w:widowControl/>
        <w:kinsoku/>
        <w:wordWrap/>
        <w:overflowPunct/>
        <w:topLinePunct w:val="0"/>
        <w:autoSpaceDE/>
        <w:autoSpaceDN/>
        <w:bidi w:val="0"/>
        <w:adjustRightInd/>
        <w:snapToGrid/>
        <w:spacing w:line="240" w:lineRule="auto"/>
        <w:ind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按照《污染防治和节能减碳中央预算内投资专项管理办法》规定，项目上报时，应明确捆中每个项目的项目单位及项目责任人、日常监管直接责任单位及监管责任人，并经日常监管直接责任单位及监管责任人认可后，随投资计划申报文件一并报送，通过材料收集，初步发现泉州市发改委员会以及石狮市发改局在“关于分解下达污染治理和节能减碳专项（节能减碳方向）2022年第二批中央预算内投资计划的通知”中均填报日常监管单位为“石狮市工业信息化和科技局”，经调研，石狮市工业信息化和科技局仅针对“1亿米再生绿色生态纺织品、3000吨熔喷纺织品项目”在建成投产后进行日常监督，由于2022年主要完成任务为土建部分，不存在施工过程中监督职责。据多方了解，本项目由泉州市</w:t>
      </w:r>
      <w:r>
        <w:rPr>
          <w:rFonts w:hint="eastAsia" w:ascii="仿宋" w:hAnsi="仿宋" w:eastAsia="仿宋" w:cs="仿宋"/>
          <w:b w:val="0"/>
          <w:bCs w:val="0"/>
          <w:color w:val="auto"/>
          <w:sz w:val="28"/>
          <w:szCs w:val="28"/>
          <w:lang w:val="en-US" w:eastAsia="zh-CN"/>
        </w:rPr>
        <w:t>百川彩纺科技有限公司作为项目单位实施，石狮市发展和改革局监管资金使用，发改局重点办对业务实施进度进行监管，石狮市工业信息化和科技局对2022年项目投产后的运营情况进行监督管理，</w:t>
      </w:r>
      <w:r>
        <w:rPr>
          <w:rFonts w:hint="eastAsia" w:ascii="仿宋" w:hAnsi="仿宋" w:eastAsia="仿宋" w:cs="仿宋"/>
          <w:color w:val="auto"/>
          <w:sz w:val="28"/>
          <w:szCs w:val="28"/>
          <w:lang w:eastAsia="zh-CN"/>
        </w:rPr>
        <w:t>组织机构健全并落实专人负责，</w:t>
      </w:r>
      <w:r>
        <w:rPr>
          <w:rFonts w:hint="eastAsia" w:ascii="仿宋" w:hAnsi="仿宋" w:eastAsia="仿宋" w:cs="仿宋"/>
          <w:color w:val="auto"/>
          <w:sz w:val="28"/>
          <w:szCs w:val="28"/>
          <w:lang w:val="en-US" w:eastAsia="zh-CN"/>
        </w:rPr>
        <w:t>但由于各个相关单位之间未及时进行项目进度之间的沟通交流，部分业务职责存在归属模糊的问题，单位之间均不了解，</w:t>
      </w:r>
      <w:r>
        <w:rPr>
          <w:rFonts w:hint="eastAsia" w:ascii="仿宋" w:hAnsi="仿宋" w:eastAsia="仿宋" w:cs="仿宋"/>
          <w:color w:val="auto"/>
          <w:sz w:val="28"/>
          <w:szCs w:val="28"/>
          <w:lang w:eastAsia="zh-CN"/>
        </w:rPr>
        <w:t>机构运转</w:t>
      </w:r>
      <w:r>
        <w:rPr>
          <w:rFonts w:hint="eastAsia" w:ascii="仿宋" w:hAnsi="仿宋" w:eastAsia="仿宋" w:cs="仿宋"/>
          <w:color w:val="auto"/>
          <w:sz w:val="28"/>
          <w:szCs w:val="28"/>
          <w:lang w:val="en-US" w:eastAsia="zh-CN"/>
        </w:rPr>
        <w:t>有效性一般</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因此，组织管理扣1分，得1分。</w:t>
      </w:r>
    </w:p>
    <w:p>
      <w:pPr>
        <w:keepNext w:val="0"/>
        <w:pageBreakBefore w:val="0"/>
        <w:widowControl/>
        <w:kinsoku/>
        <w:wordWrap/>
        <w:overflowPunct/>
        <w:topLinePunct w:val="0"/>
        <w:autoSpaceDE/>
        <w:autoSpaceDN/>
        <w:bidi w:val="0"/>
        <w:adjustRightInd/>
        <w:snapToGrid/>
        <w:spacing w:line="240" w:lineRule="auto"/>
        <w:ind w:firstLine="560" w:firstLineChars="200"/>
        <w:textAlignment w:val="auto"/>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其次，石狮市发改委重点办的主要监管动作仅为按规定日期强化项目单位信息填报管理，落实填报责任、严格审核项目数据，提高填报数据质量，若发现问题，及时督促整改，未涉及现场检查核实其项目进度真实情况，未制定专门的业务监管制度或计划，因此，制度建立扣4分，日常监管扣4分。</w:t>
      </w:r>
    </w:p>
    <w:p>
      <w:pPr>
        <w:keepNext w:val="0"/>
        <w:keepLines w:val="0"/>
        <w:pageBreakBefore w:val="0"/>
        <w:widowControl w:val="0"/>
        <w:kinsoku/>
        <w:wordWrap/>
        <w:overflowPunct/>
        <w:topLinePunct w:val="0"/>
        <w:autoSpaceDE/>
        <w:autoSpaceDN/>
        <w:bidi w:val="0"/>
        <w:adjustRightInd/>
        <w:snapToGrid/>
        <w:spacing w:line="240" w:lineRule="auto"/>
        <w:ind w:leftChars="0" w:firstLine="560" w:firstLineChars="200"/>
        <w:textAlignment w:val="auto"/>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本</w:t>
      </w:r>
      <w:r>
        <w:rPr>
          <w:rFonts w:hint="default" w:ascii="仿宋" w:hAnsi="仿宋" w:eastAsia="仿宋" w:cs="仿宋"/>
          <w:color w:val="auto"/>
          <w:sz w:val="28"/>
          <w:szCs w:val="28"/>
          <w:lang w:val="en-US" w:eastAsia="zh-CN"/>
        </w:rPr>
        <w:t>项目建设相关手续</w:t>
      </w:r>
      <w:r>
        <w:rPr>
          <w:rFonts w:hint="eastAsia" w:ascii="仿宋" w:hAnsi="仿宋" w:eastAsia="仿宋" w:cs="仿宋"/>
          <w:color w:val="auto"/>
          <w:sz w:val="28"/>
          <w:szCs w:val="28"/>
          <w:lang w:val="en-US" w:eastAsia="zh-CN"/>
        </w:rPr>
        <w:t>完善、</w:t>
      </w:r>
      <w:r>
        <w:rPr>
          <w:rFonts w:hint="default" w:ascii="仿宋" w:hAnsi="仿宋" w:eastAsia="仿宋" w:cs="仿宋"/>
          <w:color w:val="auto"/>
          <w:sz w:val="28"/>
          <w:szCs w:val="28"/>
          <w:lang w:val="en-US" w:eastAsia="zh-CN"/>
        </w:rPr>
        <w:t>项目单位</w:t>
      </w:r>
      <w:r>
        <w:rPr>
          <w:rFonts w:hint="eastAsia" w:ascii="仿宋" w:hAnsi="仿宋" w:eastAsia="仿宋" w:cs="仿宋"/>
          <w:color w:val="auto"/>
          <w:sz w:val="28"/>
          <w:szCs w:val="28"/>
          <w:lang w:val="en-US" w:eastAsia="zh-CN"/>
        </w:rPr>
        <w:t>有</w:t>
      </w:r>
      <w:r>
        <w:rPr>
          <w:rFonts w:hint="default" w:ascii="仿宋" w:hAnsi="仿宋" w:eastAsia="仿宋" w:cs="仿宋"/>
          <w:color w:val="auto"/>
          <w:sz w:val="28"/>
          <w:szCs w:val="28"/>
          <w:lang w:val="en-US" w:eastAsia="zh-CN"/>
        </w:rPr>
        <w:t>专人负责现场施工管理和协调</w:t>
      </w:r>
      <w:r>
        <w:rPr>
          <w:rFonts w:hint="eastAsia" w:ascii="仿宋" w:hAnsi="仿宋" w:eastAsia="仿宋" w:cs="仿宋"/>
          <w:color w:val="auto"/>
          <w:sz w:val="28"/>
          <w:szCs w:val="28"/>
          <w:lang w:val="en-US" w:eastAsia="zh-CN"/>
        </w:rPr>
        <w:t>并</w:t>
      </w:r>
      <w:r>
        <w:rPr>
          <w:rFonts w:hint="default" w:ascii="仿宋" w:hAnsi="仿宋" w:eastAsia="仿宋" w:cs="仿宋"/>
          <w:color w:val="auto"/>
          <w:sz w:val="28"/>
          <w:szCs w:val="28"/>
          <w:lang w:val="en-US" w:eastAsia="zh-CN"/>
        </w:rPr>
        <w:t>进行监理</w:t>
      </w:r>
      <w:r>
        <w:rPr>
          <w:rFonts w:hint="eastAsia" w:ascii="仿宋" w:hAnsi="仿宋" w:eastAsia="仿宋" w:cs="仿宋"/>
          <w:color w:val="auto"/>
          <w:sz w:val="28"/>
          <w:szCs w:val="28"/>
          <w:lang w:val="en-US" w:eastAsia="zh-CN"/>
        </w:rPr>
        <w:t>，</w:t>
      </w:r>
      <w:r>
        <w:rPr>
          <w:rFonts w:hint="default" w:ascii="仿宋" w:hAnsi="仿宋" w:eastAsia="仿宋" w:cs="仿宋"/>
          <w:color w:val="auto"/>
          <w:sz w:val="28"/>
          <w:szCs w:val="28"/>
          <w:lang w:val="en-US" w:eastAsia="zh-CN"/>
        </w:rPr>
        <w:t>工程</w:t>
      </w:r>
      <w:r>
        <w:rPr>
          <w:rFonts w:hint="eastAsia" w:ascii="仿宋" w:hAnsi="仿宋" w:eastAsia="仿宋" w:cs="仿宋"/>
          <w:color w:val="auto"/>
          <w:sz w:val="28"/>
          <w:szCs w:val="28"/>
          <w:lang w:val="en-US" w:eastAsia="zh-CN"/>
        </w:rPr>
        <w:t>严格</w:t>
      </w:r>
      <w:r>
        <w:rPr>
          <w:rFonts w:hint="default" w:ascii="仿宋" w:hAnsi="仿宋" w:eastAsia="仿宋" w:cs="仿宋"/>
          <w:color w:val="auto"/>
          <w:sz w:val="28"/>
          <w:szCs w:val="28"/>
          <w:lang w:val="en-US" w:eastAsia="zh-CN"/>
        </w:rPr>
        <w:t>按规定进行公示（开工前公示，开工后公示）</w:t>
      </w:r>
      <w:r>
        <w:rPr>
          <w:rFonts w:hint="eastAsia" w:ascii="仿宋" w:hAnsi="仿宋" w:eastAsia="仿宋" w:cs="仿宋"/>
          <w:color w:val="auto"/>
          <w:sz w:val="28"/>
          <w:szCs w:val="28"/>
          <w:lang w:val="en-US" w:eastAsia="zh-CN"/>
        </w:rPr>
        <w:t>，及时在在线平台（国家重大建设项目库）中上报进度。规范</w:t>
      </w:r>
      <w:r>
        <w:rPr>
          <w:rFonts w:hint="default" w:ascii="仿宋" w:hAnsi="仿宋" w:eastAsia="仿宋" w:cs="仿宋"/>
          <w:color w:val="auto"/>
          <w:sz w:val="28"/>
          <w:szCs w:val="28"/>
          <w:lang w:val="en-US" w:eastAsia="zh-CN"/>
        </w:rPr>
        <w:t>进行项目结算并审计。</w:t>
      </w:r>
      <w:r>
        <w:rPr>
          <w:rFonts w:hint="eastAsia" w:ascii="仿宋" w:hAnsi="仿宋" w:eastAsia="仿宋" w:cs="仿宋"/>
          <w:color w:val="auto"/>
          <w:sz w:val="28"/>
          <w:szCs w:val="28"/>
          <w:lang w:val="en-US" w:eastAsia="zh-CN"/>
        </w:rPr>
        <w:t>严格</w:t>
      </w:r>
      <w:r>
        <w:rPr>
          <w:rFonts w:hint="default" w:ascii="仿宋" w:hAnsi="仿宋" w:eastAsia="仿宋" w:cs="仿宋"/>
          <w:color w:val="auto"/>
          <w:sz w:val="28"/>
          <w:szCs w:val="28"/>
          <w:lang w:val="en-US" w:eastAsia="zh-CN"/>
        </w:rPr>
        <w:t>按规定进行</w:t>
      </w:r>
      <w:r>
        <w:rPr>
          <w:rFonts w:hint="eastAsia" w:ascii="仿宋" w:hAnsi="仿宋" w:eastAsia="仿宋" w:cs="仿宋"/>
          <w:color w:val="auto"/>
          <w:sz w:val="28"/>
          <w:szCs w:val="28"/>
          <w:lang w:val="en-US" w:eastAsia="zh-CN"/>
        </w:rPr>
        <w:t>项目竣工</w:t>
      </w:r>
      <w:r>
        <w:rPr>
          <w:rFonts w:hint="default" w:ascii="仿宋" w:hAnsi="仿宋" w:eastAsia="仿宋" w:cs="仿宋"/>
          <w:color w:val="auto"/>
          <w:sz w:val="28"/>
          <w:szCs w:val="28"/>
          <w:lang w:val="en-US" w:eastAsia="zh-CN"/>
        </w:rPr>
        <w:t>验收</w:t>
      </w:r>
      <w:r>
        <w:rPr>
          <w:rFonts w:hint="eastAsia" w:ascii="仿宋" w:hAnsi="仿宋" w:eastAsia="仿宋" w:cs="仿宋"/>
          <w:color w:val="auto"/>
          <w:sz w:val="28"/>
          <w:szCs w:val="28"/>
          <w:lang w:val="en-US" w:eastAsia="zh-CN"/>
        </w:rPr>
        <w:t>，项目竣工验收后，</w:t>
      </w:r>
      <w:r>
        <w:rPr>
          <w:rFonts w:hint="default" w:ascii="仿宋" w:hAnsi="仿宋" w:eastAsia="仿宋" w:cs="仿宋"/>
          <w:color w:val="auto"/>
          <w:sz w:val="28"/>
          <w:szCs w:val="28"/>
          <w:lang w:val="en-US" w:eastAsia="zh-CN"/>
        </w:rPr>
        <w:t>建设相关资料齐全及时</w:t>
      </w:r>
      <w:r>
        <w:rPr>
          <w:rFonts w:hint="eastAsia" w:ascii="仿宋" w:hAnsi="仿宋" w:eastAsia="仿宋" w:cs="仿宋"/>
          <w:color w:val="auto"/>
          <w:sz w:val="28"/>
          <w:szCs w:val="28"/>
          <w:lang w:val="en-US" w:eastAsia="zh-CN"/>
        </w:rPr>
        <w:t>，送至档案室</w:t>
      </w:r>
      <w:r>
        <w:rPr>
          <w:rFonts w:hint="default" w:ascii="仿宋" w:hAnsi="仿宋" w:eastAsia="仿宋" w:cs="仿宋"/>
          <w:color w:val="auto"/>
          <w:sz w:val="28"/>
          <w:szCs w:val="28"/>
          <w:lang w:val="en-US" w:eastAsia="zh-CN"/>
        </w:rPr>
        <w:t>。项目实施单位</w:t>
      </w:r>
      <w:r>
        <w:rPr>
          <w:rFonts w:hint="eastAsia" w:ascii="仿宋" w:hAnsi="仿宋" w:eastAsia="仿宋" w:cs="仿宋"/>
          <w:color w:val="auto"/>
          <w:sz w:val="28"/>
          <w:szCs w:val="28"/>
          <w:lang w:val="en-US" w:eastAsia="zh-CN"/>
        </w:rPr>
        <w:t>按照国家或省市级相关项目</w:t>
      </w:r>
      <w:r>
        <w:rPr>
          <w:rFonts w:hint="default" w:ascii="仿宋" w:hAnsi="仿宋" w:eastAsia="仿宋" w:cs="仿宋"/>
          <w:color w:val="auto"/>
          <w:sz w:val="28"/>
          <w:szCs w:val="28"/>
          <w:lang w:val="en-US" w:eastAsia="zh-CN"/>
        </w:rPr>
        <w:t>质量要求和标准</w:t>
      </w:r>
      <w:r>
        <w:rPr>
          <w:rFonts w:hint="eastAsia" w:ascii="仿宋" w:hAnsi="仿宋" w:eastAsia="仿宋" w:cs="仿宋"/>
          <w:color w:val="auto"/>
          <w:sz w:val="28"/>
          <w:szCs w:val="28"/>
          <w:lang w:val="en-US" w:eastAsia="zh-CN"/>
        </w:rPr>
        <w:t>、</w:t>
      </w:r>
      <w:r>
        <w:rPr>
          <w:rFonts w:hint="default" w:ascii="仿宋" w:hAnsi="仿宋" w:eastAsia="仿宋" w:cs="仿宋"/>
          <w:color w:val="auto"/>
          <w:sz w:val="28"/>
          <w:szCs w:val="28"/>
          <w:lang w:val="en-US" w:eastAsia="zh-CN"/>
        </w:rPr>
        <w:t>行业标准</w:t>
      </w:r>
      <w:r>
        <w:rPr>
          <w:rFonts w:hint="eastAsia" w:ascii="仿宋" w:hAnsi="仿宋" w:eastAsia="仿宋" w:cs="仿宋"/>
          <w:color w:val="auto"/>
          <w:sz w:val="28"/>
          <w:szCs w:val="28"/>
          <w:lang w:val="en-US" w:eastAsia="zh-CN"/>
        </w:rPr>
        <w:t>和</w:t>
      </w:r>
      <w:r>
        <w:rPr>
          <w:rFonts w:hint="default" w:ascii="仿宋" w:hAnsi="仿宋" w:eastAsia="仿宋" w:cs="仿宋"/>
          <w:color w:val="auto"/>
          <w:sz w:val="28"/>
          <w:szCs w:val="28"/>
          <w:lang w:val="en-US" w:eastAsia="zh-CN"/>
        </w:rPr>
        <w:t>规范</w:t>
      </w:r>
      <w:r>
        <w:rPr>
          <w:rFonts w:hint="eastAsia" w:ascii="仿宋" w:hAnsi="仿宋" w:eastAsia="仿宋" w:cs="仿宋"/>
          <w:color w:val="auto"/>
          <w:sz w:val="28"/>
          <w:szCs w:val="28"/>
          <w:lang w:val="en-US" w:eastAsia="zh-CN"/>
        </w:rPr>
        <w:t>进行工程</w:t>
      </w:r>
      <w:r>
        <w:rPr>
          <w:rFonts w:hint="default" w:ascii="仿宋" w:hAnsi="仿宋" w:eastAsia="仿宋" w:cs="仿宋"/>
          <w:color w:val="auto"/>
          <w:sz w:val="28"/>
          <w:szCs w:val="28"/>
          <w:lang w:val="en-US" w:eastAsia="zh-CN"/>
        </w:rPr>
        <w:t>质量监理、群众监督、质量检查、项目验收等必要的控制措施和手段。</w:t>
      </w:r>
      <w:r>
        <w:rPr>
          <w:rFonts w:hint="eastAsia" w:ascii="仿宋" w:hAnsi="仿宋" w:eastAsia="仿宋" w:cs="仿宋"/>
          <w:color w:val="auto"/>
          <w:sz w:val="28"/>
          <w:szCs w:val="28"/>
          <w:lang w:val="en-US" w:eastAsia="zh-CN"/>
        </w:rPr>
        <w:t>因此，项目质量可控性得4分。</w:t>
      </w:r>
    </w:p>
    <w:p>
      <w:pPr>
        <w:keepNext w:val="0"/>
        <w:pageBreakBefore w:val="0"/>
        <w:kinsoku/>
        <w:topLinePunct w:val="0"/>
        <w:bidi w:val="0"/>
        <w:spacing w:line="240" w:lineRule="auto"/>
        <w:ind w:leftChars="0" w:firstLine="562" w:firstLineChars="200"/>
        <w:outlineLvl w:val="1"/>
        <w:rPr>
          <w:rFonts w:hint="eastAsia" w:ascii="楷体" w:hAnsi="楷体" w:eastAsia="楷体" w:cs="楷体"/>
          <w:b/>
          <w:bCs/>
          <w:color w:val="auto"/>
          <w:kern w:val="2"/>
          <w:sz w:val="28"/>
          <w:szCs w:val="28"/>
          <w:lang w:val="en-US" w:eastAsia="zh-CN" w:bidi="ar-SA"/>
        </w:rPr>
      </w:pPr>
      <w:bookmarkStart w:id="90" w:name="_Toc6614"/>
      <w:bookmarkStart w:id="91" w:name="_Toc11039"/>
      <w:bookmarkStart w:id="92" w:name="_Toc6452"/>
      <w:bookmarkStart w:id="93" w:name="_Toc9763"/>
      <w:r>
        <w:rPr>
          <w:rFonts w:hint="eastAsia" w:ascii="楷体" w:hAnsi="楷体" w:eastAsia="楷体" w:cs="楷体"/>
          <w:b/>
          <w:bCs/>
          <w:color w:val="auto"/>
          <w:kern w:val="2"/>
          <w:sz w:val="28"/>
          <w:szCs w:val="28"/>
          <w:lang w:val="en-US" w:eastAsia="zh-CN" w:bidi="ar-SA"/>
        </w:rPr>
        <w:t>（三）项目产出情况</w:t>
      </w:r>
      <w:bookmarkEnd w:id="90"/>
      <w:bookmarkEnd w:id="91"/>
      <w:bookmarkEnd w:id="92"/>
      <w:bookmarkEnd w:id="93"/>
    </w:p>
    <w:tbl>
      <w:tblPr>
        <w:tblStyle w:val="18"/>
        <w:tblW w:w="850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82"/>
        <w:gridCol w:w="757"/>
        <w:gridCol w:w="860"/>
        <w:gridCol w:w="450"/>
        <w:gridCol w:w="5125"/>
        <w:gridCol w:w="53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6" w:hRule="atLeast"/>
          <w:tblHeader/>
          <w:jc w:val="center"/>
        </w:trPr>
        <w:tc>
          <w:tcPr>
            <w:tcW w:w="782"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ascii="仿宋" w:hAnsi="仿宋" w:eastAsia="仿宋" w:cs="仿宋"/>
                <w:b/>
                <w:bCs/>
                <w:i w:val="0"/>
                <w:iCs w:val="0"/>
                <w:color w:val="auto"/>
                <w:sz w:val="24"/>
                <w:szCs w:val="24"/>
                <w:u w:val="none"/>
              </w:rPr>
            </w:pPr>
            <w:bookmarkStart w:id="94" w:name="_Toc16713"/>
            <w:bookmarkStart w:id="95" w:name="_Toc10084"/>
            <w:bookmarkStart w:id="96" w:name="_Toc28863"/>
            <w:bookmarkStart w:id="97" w:name="_Toc6561"/>
            <w:bookmarkStart w:id="98" w:name="_Toc7336"/>
            <w:bookmarkStart w:id="99" w:name="_Toc22626"/>
            <w:bookmarkStart w:id="100" w:name="_Toc2326"/>
            <w:r>
              <w:rPr>
                <w:rFonts w:hint="eastAsia" w:ascii="仿宋" w:hAnsi="仿宋" w:eastAsia="仿宋" w:cs="仿宋"/>
                <w:b/>
                <w:bCs/>
                <w:i w:val="0"/>
                <w:iCs w:val="0"/>
                <w:color w:val="auto"/>
                <w:kern w:val="0"/>
                <w:sz w:val="24"/>
                <w:szCs w:val="24"/>
                <w:u w:val="none"/>
                <w:lang w:val="en-US" w:eastAsia="zh-CN" w:bidi="ar"/>
              </w:rPr>
              <w:t>一级</w:t>
            </w:r>
            <w:r>
              <w:rPr>
                <w:rFonts w:hint="eastAsia" w:ascii="仿宋" w:hAnsi="仿宋" w:eastAsia="仿宋" w:cs="仿宋"/>
                <w:b/>
                <w:bCs/>
                <w:i w:val="0"/>
                <w:iCs w:val="0"/>
                <w:color w:val="auto"/>
                <w:kern w:val="0"/>
                <w:sz w:val="24"/>
                <w:szCs w:val="24"/>
                <w:u w:val="none"/>
                <w:lang w:val="en-US" w:eastAsia="zh-CN" w:bidi="ar"/>
              </w:rPr>
              <w:br w:type="textWrapping"/>
            </w:r>
            <w:r>
              <w:rPr>
                <w:rFonts w:hint="eastAsia" w:ascii="仿宋" w:hAnsi="仿宋" w:eastAsia="仿宋" w:cs="仿宋"/>
                <w:b/>
                <w:bCs/>
                <w:i w:val="0"/>
                <w:iCs w:val="0"/>
                <w:color w:val="auto"/>
                <w:kern w:val="0"/>
                <w:sz w:val="24"/>
                <w:szCs w:val="24"/>
                <w:u w:val="none"/>
                <w:lang w:val="en-US" w:eastAsia="zh-CN" w:bidi="ar"/>
              </w:rPr>
              <w:t>指标</w:t>
            </w:r>
          </w:p>
        </w:tc>
        <w:tc>
          <w:tcPr>
            <w:tcW w:w="75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auto"/>
                <w:sz w:val="24"/>
                <w:szCs w:val="24"/>
                <w:u w:val="none"/>
              </w:rPr>
            </w:pPr>
            <w:r>
              <w:rPr>
                <w:rFonts w:hint="eastAsia" w:ascii="仿宋" w:hAnsi="仿宋" w:eastAsia="仿宋" w:cs="仿宋"/>
                <w:b/>
                <w:bCs/>
                <w:i w:val="0"/>
                <w:iCs w:val="0"/>
                <w:color w:val="auto"/>
                <w:kern w:val="0"/>
                <w:sz w:val="24"/>
                <w:szCs w:val="24"/>
                <w:u w:val="none"/>
                <w:lang w:val="en-US" w:eastAsia="zh-CN" w:bidi="ar"/>
              </w:rPr>
              <w:t>二级</w:t>
            </w:r>
            <w:r>
              <w:rPr>
                <w:rFonts w:hint="eastAsia" w:ascii="仿宋" w:hAnsi="仿宋" w:eastAsia="仿宋" w:cs="仿宋"/>
                <w:b/>
                <w:bCs/>
                <w:i w:val="0"/>
                <w:iCs w:val="0"/>
                <w:color w:val="auto"/>
                <w:kern w:val="0"/>
                <w:sz w:val="24"/>
                <w:szCs w:val="24"/>
                <w:u w:val="none"/>
                <w:lang w:val="en-US" w:eastAsia="zh-CN" w:bidi="ar"/>
              </w:rPr>
              <w:br w:type="textWrapping"/>
            </w:r>
            <w:r>
              <w:rPr>
                <w:rFonts w:hint="eastAsia" w:ascii="仿宋" w:hAnsi="仿宋" w:eastAsia="仿宋" w:cs="仿宋"/>
                <w:b/>
                <w:bCs/>
                <w:i w:val="0"/>
                <w:iCs w:val="0"/>
                <w:color w:val="auto"/>
                <w:kern w:val="0"/>
                <w:sz w:val="24"/>
                <w:szCs w:val="24"/>
                <w:u w:val="none"/>
                <w:lang w:val="en-US" w:eastAsia="zh-CN" w:bidi="ar"/>
              </w:rPr>
              <w:t>指标</w:t>
            </w:r>
          </w:p>
        </w:tc>
        <w:tc>
          <w:tcPr>
            <w:tcW w:w="860"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auto"/>
                <w:sz w:val="24"/>
                <w:szCs w:val="24"/>
                <w:u w:val="none"/>
              </w:rPr>
            </w:pPr>
            <w:r>
              <w:rPr>
                <w:rFonts w:hint="eastAsia" w:ascii="仿宋" w:hAnsi="仿宋" w:eastAsia="仿宋" w:cs="仿宋"/>
                <w:b/>
                <w:bCs/>
                <w:i w:val="0"/>
                <w:iCs w:val="0"/>
                <w:color w:val="auto"/>
                <w:kern w:val="0"/>
                <w:sz w:val="24"/>
                <w:szCs w:val="24"/>
                <w:u w:val="none"/>
                <w:lang w:val="en-US" w:eastAsia="zh-CN" w:bidi="ar"/>
              </w:rPr>
              <w:t>三级指标</w:t>
            </w:r>
          </w:p>
        </w:tc>
        <w:tc>
          <w:tcPr>
            <w:tcW w:w="450"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auto"/>
                <w:sz w:val="24"/>
                <w:szCs w:val="24"/>
                <w:u w:val="none"/>
              </w:rPr>
            </w:pPr>
            <w:r>
              <w:rPr>
                <w:rFonts w:hint="eastAsia" w:ascii="仿宋" w:hAnsi="仿宋" w:eastAsia="仿宋" w:cs="仿宋"/>
                <w:b/>
                <w:bCs/>
                <w:i w:val="0"/>
                <w:iCs w:val="0"/>
                <w:color w:val="auto"/>
                <w:kern w:val="0"/>
                <w:sz w:val="24"/>
                <w:szCs w:val="24"/>
                <w:u w:val="none"/>
                <w:lang w:val="en-US" w:eastAsia="zh-CN" w:bidi="ar"/>
              </w:rPr>
              <w:t>分值</w:t>
            </w:r>
          </w:p>
        </w:tc>
        <w:tc>
          <w:tcPr>
            <w:tcW w:w="5125"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auto"/>
                <w:sz w:val="24"/>
                <w:szCs w:val="24"/>
                <w:u w:val="none"/>
              </w:rPr>
            </w:pPr>
            <w:r>
              <w:rPr>
                <w:rFonts w:hint="eastAsia" w:ascii="仿宋" w:hAnsi="仿宋" w:eastAsia="仿宋" w:cs="仿宋"/>
                <w:b/>
                <w:bCs/>
                <w:i w:val="0"/>
                <w:iCs w:val="0"/>
                <w:color w:val="auto"/>
                <w:kern w:val="0"/>
                <w:sz w:val="24"/>
                <w:szCs w:val="24"/>
                <w:u w:val="none"/>
                <w:lang w:val="en-US" w:eastAsia="zh-CN" w:bidi="ar"/>
              </w:rPr>
              <w:t>指标说明/评价要点</w:t>
            </w:r>
          </w:p>
        </w:tc>
        <w:tc>
          <w:tcPr>
            <w:tcW w:w="531"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auto"/>
                <w:sz w:val="24"/>
                <w:szCs w:val="24"/>
                <w:u w:val="none"/>
              </w:rPr>
            </w:pPr>
            <w:r>
              <w:rPr>
                <w:rFonts w:hint="eastAsia" w:ascii="仿宋" w:hAnsi="仿宋" w:eastAsia="仿宋" w:cs="仿宋"/>
                <w:b/>
                <w:bCs/>
                <w:i w:val="0"/>
                <w:iCs w:val="0"/>
                <w:color w:val="auto"/>
                <w:kern w:val="0"/>
                <w:sz w:val="24"/>
                <w:szCs w:val="24"/>
                <w:u w:val="none"/>
                <w:lang w:val="en-US" w:eastAsia="zh-CN" w:bidi="ar"/>
              </w:rPr>
              <w:t>得分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6" w:hRule="atLeast"/>
          <w:jc w:val="center"/>
        </w:trPr>
        <w:tc>
          <w:tcPr>
            <w:tcW w:w="782" w:type="dxa"/>
            <w:vMerge w:val="restart"/>
            <w:tcBorders>
              <w:top w:val="single" w:color="000000" w:sz="4" w:space="0"/>
              <w:left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产出</w:t>
            </w:r>
          </w:p>
        </w:tc>
        <w:tc>
          <w:tcPr>
            <w:tcW w:w="7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产出数量</w:t>
            </w:r>
          </w:p>
        </w:tc>
        <w:tc>
          <w:tcPr>
            <w:tcW w:w="8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实际完成率</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8</w:t>
            </w:r>
          </w:p>
        </w:tc>
        <w:tc>
          <w:tcPr>
            <w:tcW w:w="51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项目实施内容完成率=（当年实际完成实施内容的总量/当年计划完成实施内容的总量）×100%。</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8" w:hRule="atLeast"/>
          <w:jc w:val="center"/>
        </w:trPr>
        <w:tc>
          <w:tcPr>
            <w:tcW w:w="782" w:type="dxa"/>
            <w:vMerge w:val="continue"/>
            <w:tcBorders>
              <w:left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p>
        </w:tc>
        <w:tc>
          <w:tcPr>
            <w:tcW w:w="7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产出质量</w:t>
            </w:r>
          </w:p>
        </w:tc>
        <w:tc>
          <w:tcPr>
            <w:tcW w:w="8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竣工验收</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8</w:t>
            </w:r>
          </w:p>
        </w:tc>
        <w:tc>
          <w:tcPr>
            <w:tcW w:w="51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施工符合设计要求，质量验收全部合格以上，每存在一处问题扣1分。通过监理报告与竣工验收等材料，因施工质量问题导致的第一次正式验收不合格的不得分。</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52" w:hRule="atLeast"/>
          <w:jc w:val="center"/>
        </w:trPr>
        <w:tc>
          <w:tcPr>
            <w:tcW w:w="782" w:type="dxa"/>
            <w:vMerge w:val="continue"/>
            <w:tcBorders>
              <w:left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p>
        </w:tc>
        <w:tc>
          <w:tcPr>
            <w:tcW w:w="7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产出时效</w:t>
            </w:r>
          </w:p>
        </w:tc>
        <w:tc>
          <w:tcPr>
            <w:tcW w:w="8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完成及时率</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7</w:t>
            </w:r>
          </w:p>
        </w:tc>
        <w:tc>
          <w:tcPr>
            <w:tcW w:w="51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按照项目进度计划，项目实施内容完成及时率=（实际完成时间/计划完成时间）×100%。完成及时率≥150%，得零分；100%&lt;完成及时率&lt;150%，得分=满分-（完成及时率-1）*分值；完成及时率≤100%，得满分。</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8" w:hRule="atLeast"/>
          <w:jc w:val="center"/>
        </w:trPr>
        <w:tc>
          <w:tcPr>
            <w:tcW w:w="782" w:type="dxa"/>
            <w:vMerge w:val="continue"/>
            <w:tcBorders>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p>
        </w:tc>
        <w:tc>
          <w:tcPr>
            <w:tcW w:w="7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产出成本</w:t>
            </w:r>
          </w:p>
        </w:tc>
        <w:tc>
          <w:tcPr>
            <w:tcW w:w="8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项目资金申请估算误差率</w:t>
            </w:r>
          </w:p>
        </w:tc>
        <w:tc>
          <w:tcPr>
            <w:tcW w:w="4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7</w:t>
            </w:r>
          </w:p>
        </w:tc>
        <w:tc>
          <w:tcPr>
            <w:tcW w:w="51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项目资金申请估算误差率=[（项目计划成本-项目实际成本）/项目计划成本]×100%。项目资金估算误差率≤10%，得满分；每增加5%降低权重分的20%。</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auto"/>
                <w:kern w:val="0"/>
                <w:sz w:val="21"/>
                <w:szCs w:val="21"/>
                <w:u w:val="none"/>
                <w:lang w:val="en-US" w:eastAsia="zh-CN" w:bidi="ar"/>
              </w:rPr>
              <w:t>1.06</w:t>
            </w:r>
          </w:p>
        </w:tc>
      </w:tr>
    </w:tbl>
    <w:p>
      <w:pPr>
        <w:pStyle w:val="6"/>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2"/>
        <w:rPr>
          <w:rFonts w:hint="eastAsia" w:ascii="仿宋" w:hAnsi="仿宋" w:eastAsia="仿宋" w:cs="仿宋"/>
          <w:color w:val="auto"/>
        </w:rPr>
      </w:pPr>
      <w:bookmarkStart w:id="101" w:name="_Toc19350"/>
      <w:r>
        <w:rPr>
          <w:rFonts w:hint="eastAsia" w:ascii="仿宋" w:hAnsi="仿宋" w:eastAsia="仿宋" w:cs="仿宋"/>
          <w:color w:val="auto"/>
        </w:rPr>
        <w:t>1.从产出数量指标看</w:t>
      </w:r>
      <w:bookmarkEnd w:id="94"/>
      <w:bookmarkEnd w:id="95"/>
      <w:bookmarkEnd w:id="96"/>
      <w:bookmarkEnd w:id="97"/>
      <w:bookmarkEnd w:id="98"/>
      <w:bookmarkEnd w:id="99"/>
      <w:bookmarkEnd w:id="100"/>
      <w:bookmarkEnd w:id="101"/>
    </w:p>
    <w:p>
      <w:pPr>
        <w:keepNext w:val="0"/>
        <w:pageBreakBefore w:val="0"/>
        <w:kinsoku/>
        <w:wordWrap/>
        <w:overflowPunct/>
        <w:topLinePunct w:val="0"/>
        <w:autoSpaceDE/>
        <w:autoSpaceDN/>
        <w:bidi w:val="0"/>
        <w:adjustRightInd/>
        <w:snapToGrid/>
        <w:spacing w:line="240" w:lineRule="auto"/>
        <w:ind w:leftChars="0"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本项目占地62312m</w:t>
      </w:r>
      <w:r>
        <w:rPr>
          <w:rFonts w:hint="eastAsia" w:ascii="仿宋" w:hAnsi="仿宋" w:eastAsia="仿宋" w:cs="仿宋"/>
          <w:color w:val="auto"/>
          <w:sz w:val="28"/>
          <w:szCs w:val="28"/>
          <w:vertAlign w:val="superscript"/>
          <w:lang w:val="en-US" w:eastAsia="zh-CN"/>
        </w:rPr>
        <w:t>2</w:t>
      </w:r>
      <w:r>
        <w:rPr>
          <w:rFonts w:hint="eastAsia" w:ascii="仿宋" w:hAnsi="仿宋" w:eastAsia="仿宋" w:cs="仿宋"/>
          <w:color w:val="auto"/>
          <w:sz w:val="28"/>
          <w:szCs w:val="28"/>
          <w:lang w:val="en-US" w:eastAsia="zh-CN"/>
        </w:rPr>
        <w:t>，总建筑面积110000m</w:t>
      </w:r>
      <w:r>
        <w:rPr>
          <w:rFonts w:hint="eastAsia" w:ascii="仿宋" w:hAnsi="仿宋" w:eastAsia="仿宋" w:cs="仿宋"/>
          <w:color w:val="auto"/>
          <w:sz w:val="28"/>
          <w:szCs w:val="28"/>
          <w:vertAlign w:val="superscript"/>
          <w:lang w:val="en-US" w:eastAsia="zh-CN"/>
        </w:rPr>
        <w:t>2</w:t>
      </w:r>
      <w:r>
        <w:rPr>
          <w:rFonts w:hint="eastAsia" w:ascii="仿宋" w:hAnsi="仿宋" w:eastAsia="仿宋" w:cs="仿宋"/>
          <w:color w:val="auto"/>
          <w:sz w:val="28"/>
          <w:szCs w:val="28"/>
          <w:lang w:val="en-US" w:eastAsia="zh-CN"/>
        </w:rPr>
        <w:t>，项目建设期为2021年7月至2023年4月。项目已于2021年4月9日在福建省投资项目在线审批监管平台备案（项目代码2020-350581-28-03-023688），并已在国家重大建设项目库备案，2021年10月取得施工许可证，按计划已开工进行基础设施建设，并于2022年12月底建设完工,2023年2月完成实际竣工验收，2023年4月份基本实现投产运营。各项产出均按照计划进行，并全部完成。因此，产出数量指标得8分。</w:t>
      </w:r>
    </w:p>
    <w:p>
      <w:pPr>
        <w:pStyle w:val="6"/>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2"/>
        <w:rPr>
          <w:rFonts w:hint="eastAsia" w:ascii="仿宋" w:hAnsi="仿宋" w:eastAsia="仿宋" w:cs="仿宋"/>
          <w:color w:val="auto"/>
          <w:szCs w:val="22"/>
        </w:rPr>
      </w:pPr>
      <w:bookmarkStart w:id="102" w:name="_Toc952"/>
      <w:bookmarkStart w:id="103" w:name="_Toc32640"/>
      <w:bookmarkStart w:id="104" w:name="_Toc11942"/>
      <w:bookmarkStart w:id="105" w:name="_Toc22831"/>
      <w:bookmarkStart w:id="106" w:name="_Toc8300"/>
      <w:bookmarkStart w:id="107" w:name="_Toc2765"/>
      <w:bookmarkStart w:id="108" w:name="_Toc27527"/>
      <w:bookmarkStart w:id="109" w:name="_Toc11898"/>
      <w:r>
        <w:rPr>
          <w:rFonts w:hint="eastAsia" w:ascii="仿宋" w:hAnsi="仿宋" w:eastAsia="仿宋" w:cs="仿宋"/>
          <w:color w:val="auto"/>
          <w:szCs w:val="22"/>
          <w:lang w:val="en-US" w:eastAsia="zh-CN"/>
        </w:rPr>
        <w:t>2</w:t>
      </w:r>
      <w:r>
        <w:rPr>
          <w:rFonts w:hint="eastAsia" w:ascii="仿宋" w:hAnsi="仿宋" w:eastAsia="仿宋" w:cs="仿宋"/>
          <w:color w:val="auto"/>
          <w:szCs w:val="22"/>
        </w:rPr>
        <w:t>.从产出</w:t>
      </w:r>
      <w:r>
        <w:rPr>
          <w:rFonts w:hint="eastAsia" w:ascii="仿宋" w:hAnsi="仿宋" w:eastAsia="仿宋" w:cs="仿宋"/>
          <w:color w:val="auto"/>
          <w:szCs w:val="22"/>
          <w:lang w:val="en-US" w:eastAsia="zh-CN"/>
        </w:rPr>
        <w:t>质量</w:t>
      </w:r>
      <w:r>
        <w:rPr>
          <w:rFonts w:hint="eastAsia" w:ascii="仿宋" w:hAnsi="仿宋" w:eastAsia="仿宋" w:cs="仿宋"/>
          <w:color w:val="auto"/>
          <w:szCs w:val="22"/>
        </w:rPr>
        <w:t>指标看</w:t>
      </w:r>
      <w:bookmarkEnd w:id="102"/>
      <w:bookmarkEnd w:id="103"/>
      <w:bookmarkEnd w:id="104"/>
      <w:bookmarkEnd w:id="105"/>
      <w:bookmarkEnd w:id="106"/>
      <w:bookmarkEnd w:id="107"/>
      <w:bookmarkEnd w:id="108"/>
      <w:bookmarkEnd w:id="109"/>
    </w:p>
    <w:p>
      <w:pPr>
        <w:keepNext w:val="0"/>
        <w:pageBreakBefore w:val="0"/>
        <w:kinsoku/>
        <w:wordWrap/>
        <w:overflowPunct/>
        <w:topLinePunct w:val="0"/>
        <w:autoSpaceDE/>
        <w:autoSpaceDN/>
        <w:bidi w:val="0"/>
        <w:adjustRightInd/>
        <w:snapToGrid/>
        <w:spacing w:line="240" w:lineRule="auto"/>
        <w:ind w:leftChars="0"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2022年12月完成土建部分的竣工验收，通过项目竣工验收报告以及相关监理报告可知，施工符合设计要求，工程建设质量达标率为100%，一次性通过正式竣工验收程序，验收合格。产出质量指标得8分。</w:t>
      </w:r>
    </w:p>
    <w:p>
      <w:pPr>
        <w:pStyle w:val="6"/>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2"/>
        <w:rPr>
          <w:rFonts w:hint="eastAsia" w:ascii="仿宋" w:hAnsi="仿宋" w:eastAsia="仿宋" w:cs="仿宋"/>
          <w:color w:val="auto"/>
          <w:szCs w:val="22"/>
        </w:rPr>
      </w:pPr>
      <w:bookmarkStart w:id="110" w:name="_Toc16028"/>
      <w:r>
        <w:rPr>
          <w:rFonts w:hint="eastAsia" w:ascii="仿宋" w:hAnsi="仿宋" w:eastAsia="仿宋" w:cs="仿宋"/>
          <w:color w:val="auto"/>
          <w:szCs w:val="22"/>
          <w:lang w:val="en-US" w:eastAsia="zh-CN"/>
        </w:rPr>
        <w:t>3</w:t>
      </w:r>
      <w:r>
        <w:rPr>
          <w:rFonts w:hint="eastAsia" w:ascii="仿宋" w:hAnsi="仿宋" w:eastAsia="仿宋" w:cs="仿宋"/>
          <w:color w:val="auto"/>
          <w:szCs w:val="22"/>
        </w:rPr>
        <w:t>.从产出时效指标看</w:t>
      </w:r>
      <w:bookmarkEnd w:id="110"/>
    </w:p>
    <w:p>
      <w:pPr>
        <w:keepNext w:val="0"/>
        <w:pageBreakBefore w:val="0"/>
        <w:kinsoku/>
        <w:wordWrap/>
        <w:overflowPunct/>
        <w:topLinePunct w:val="0"/>
        <w:autoSpaceDE/>
        <w:autoSpaceDN/>
        <w:bidi w:val="0"/>
        <w:adjustRightInd/>
        <w:snapToGrid/>
        <w:spacing w:line="240" w:lineRule="auto"/>
        <w:ind w:leftChars="0"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项目建设施工年限为2021年7月至2022年11月，设计工作（设备预定、初步设计、施工图设计、进一步落实设计条件等）5个月；施工包括设备安装工程共12个月，竣工验收后进入运营。从工程完工及时性、工程验收及时性以及资金的拨付情况来看，工程建设时间均按照施工进度计划以及合同约定内容执行，完成及时率为100%，资金拨付按照施工单位进度申请报告进行支付，完成及时率为100%，并及时执行。因此，产出时效指标得7分。</w:t>
      </w:r>
    </w:p>
    <w:p>
      <w:pPr>
        <w:pStyle w:val="4"/>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rPr>
          <w:rFonts w:hint="eastAsia" w:ascii="仿宋" w:hAnsi="仿宋" w:eastAsia="仿宋" w:cs="仿宋"/>
          <w:color w:val="auto"/>
          <w:sz w:val="28"/>
          <w:szCs w:val="28"/>
          <w:lang w:val="en-US" w:eastAsia="zh-CN"/>
        </w:rPr>
      </w:pPr>
      <w:bookmarkStart w:id="111" w:name="_Toc4633"/>
      <w:bookmarkStart w:id="112" w:name="_Toc18398"/>
      <w:bookmarkStart w:id="113" w:name="_Toc26836"/>
      <w:bookmarkStart w:id="114" w:name="_Toc20899"/>
      <w:bookmarkStart w:id="115" w:name="_Toc13034"/>
      <w:bookmarkStart w:id="116" w:name="_Toc31625"/>
      <w:bookmarkStart w:id="117" w:name="_Toc16830"/>
      <w:bookmarkStart w:id="118" w:name="_Toc6187"/>
      <w:bookmarkStart w:id="119" w:name="_Toc26786"/>
      <w:r>
        <w:rPr>
          <w:rFonts w:hint="eastAsia" w:ascii="仿宋" w:hAnsi="仿宋" w:eastAsia="仿宋" w:cs="仿宋"/>
          <w:color w:val="auto"/>
          <w:sz w:val="28"/>
          <w:szCs w:val="28"/>
          <w:lang w:val="en-US" w:eastAsia="zh-CN"/>
        </w:rPr>
        <w:t>4.从产出成本指标看</w:t>
      </w:r>
      <w:bookmarkEnd w:id="111"/>
      <w:bookmarkEnd w:id="112"/>
      <w:bookmarkEnd w:id="113"/>
      <w:bookmarkEnd w:id="114"/>
      <w:bookmarkEnd w:id="115"/>
      <w:bookmarkEnd w:id="116"/>
    </w:p>
    <w:p>
      <w:pPr>
        <w:keepNext w:val="0"/>
        <w:pageBreakBefore w:val="0"/>
        <w:kinsoku/>
        <w:wordWrap/>
        <w:overflowPunct/>
        <w:topLinePunct w:val="0"/>
        <w:autoSpaceDE/>
        <w:autoSpaceDN/>
        <w:bidi w:val="0"/>
        <w:adjustRightInd/>
        <w:snapToGrid/>
        <w:spacing w:line="240" w:lineRule="auto"/>
        <w:ind w:leftChars="0" w:firstLine="560" w:firstLineChars="200"/>
        <w:textAlignment w:val="auto"/>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本项目总投资主要是由建设投资、建设期利息和流动资金三部分构成。建设投资是指在项目筹建与建设期间所花费的全部建设费用，按概算法分类包括工程费用、工程建设其他费用和基本预备费用，其中工程费用包括建筑工程费、设备购置费和安装工程费，预备费用包括基本预备费</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通过现场调研以及相关凭证资料可知，本项目总投资预算为35000.00万元。其中，土建投资预计15000.00万元，设备投资预计12000.00万元，其他投资预计8000.00万元。财政核减后确定建设资金为30590万元，完成项目实际投入资金为26383万元，与项目最初资金申请额度35000万元相差8617万元，误差率为26.38%，</w:t>
      </w:r>
      <w:r>
        <w:rPr>
          <w:rFonts w:hint="eastAsia" w:ascii="仿宋" w:hAnsi="仿宋" w:eastAsia="仿宋" w:cs="仿宋"/>
          <w:color w:val="auto"/>
          <w:sz w:val="28"/>
          <w:szCs w:val="28"/>
          <w:lang w:eastAsia="zh-CN"/>
        </w:rPr>
        <w:t>因此，</w:t>
      </w:r>
      <w:r>
        <w:rPr>
          <w:rFonts w:hint="eastAsia" w:ascii="仿宋" w:hAnsi="仿宋" w:eastAsia="仿宋" w:cs="仿宋"/>
          <w:color w:val="auto"/>
          <w:sz w:val="28"/>
          <w:szCs w:val="28"/>
          <w:lang w:val="en-US" w:eastAsia="zh-CN"/>
        </w:rPr>
        <w:t>根据评分标准</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产出成本指标得1.06分。</w:t>
      </w:r>
    </w:p>
    <w:p>
      <w:pPr>
        <w:keepNext w:val="0"/>
        <w:pageBreakBefore w:val="0"/>
        <w:kinsoku/>
        <w:topLinePunct w:val="0"/>
        <w:bidi w:val="0"/>
        <w:spacing w:line="240" w:lineRule="auto"/>
        <w:ind w:leftChars="0" w:firstLine="562" w:firstLineChars="200"/>
        <w:outlineLvl w:val="1"/>
        <w:rPr>
          <w:rFonts w:hint="eastAsia" w:ascii="楷体" w:hAnsi="楷体" w:eastAsia="楷体" w:cs="楷体"/>
          <w:b/>
          <w:bCs/>
          <w:color w:val="auto"/>
          <w:kern w:val="2"/>
          <w:sz w:val="28"/>
          <w:szCs w:val="28"/>
          <w:lang w:val="en-US" w:eastAsia="zh-CN" w:bidi="ar-SA"/>
        </w:rPr>
      </w:pPr>
      <w:bookmarkStart w:id="120" w:name="_Toc16642"/>
      <w:r>
        <w:rPr>
          <w:rFonts w:hint="eastAsia" w:ascii="楷体" w:hAnsi="楷体" w:eastAsia="楷体" w:cs="楷体"/>
          <w:b/>
          <w:bCs/>
          <w:color w:val="auto"/>
          <w:kern w:val="2"/>
          <w:sz w:val="28"/>
          <w:szCs w:val="28"/>
          <w:lang w:val="en-US" w:eastAsia="zh-CN" w:bidi="ar-SA"/>
        </w:rPr>
        <w:t>（四）项目效益情况</w:t>
      </w:r>
      <w:bookmarkEnd w:id="117"/>
      <w:bookmarkEnd w:id="118"/>
      <w:bookmarkEnd w:id="119"/>
      <w:bookmarkEnd w:id="120"/>
    </w:p>
    <w:tbl>
      <w:tblPr>
        <w:tblStyle w:val="18"/>
        <w:tblW w:w="8489"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42"/>
        <w:gridCol w:w="781"/>
        <w:gridCol w:w="763"/>
        <w:gridCol w:w="460"/>
        <w:gridCol w:w="5212"/>
        <w:gridCol w:w="53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6" w:hRule="atLeast"/>
          <w:tblHeader/>
          <w:jc w:val="center"/>
        </w:trPr>
        <w:tc>
          <w:tcPr>
            <w:tcW w:w="742" w:type="dxa"/>
            <w:tcBorders>
              <w:top w:val="single" w:color="000000" w:sz="4" w:space="0"/>
              <w:left w:val="single" w:color="000000" w:sz="4" w:space="0"/>
              <w:bottom w:val="single" w:color="auto"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ascii="仿宋" w:hAnsi="仿宋" w:eastAsia="仿宋" w:cs="仿宋"/>
                <w:b/>
                <w:bCs/>
                <w:i w:val="0"/>
                <w:iCs w:val="0"/>
                <w:color w:val="auto"/>
                <w:sz w:val="24"/>
                <w:szCs w:val="24"/>
                <w:u w:val="none"/>
              </w:rPr>
            </w:pPr>
            <w:bookmarkStart w:id="121" w:name="_Toc17101"/>
            <w:bookmarkStart w:id="122" w:name="_Toc19409"/>
            <w:bookmarkStart w:id="123" w:name="_Toc31115"/>
            <w:bookmarkStart w:id="124" w:name="_Toc8763"/>
            <w:bookmarkStart w:id="125" w:name="_Toc3950"/>
            <w:bookmarkStart w:id="126" w:name="_Toc30849"/>
            <w:bookmarkStart w:id="127" w:name="_Toc8106"/>
            <w:r>
              <w:rPr>
                <w:rFonts w:hint="eastAsia" w:ascii="仿宋" w:hAnsi="仿宋" w:eastAsia="仿宋" w:cs="仿宋"/>
                <w:b/>
                <w:bCs/>
                <w:i w:val="0"/>
                <w:iCs w:val="0"/>
                <w:color w:val="auto"/>
                <w:kern w:val="0"/>
                <w:sz w:val="24"/>
                <w:szCs w:val="24"/>
                <w:u w:val="none"/>
                <w:lang w:val="en-US" w:eastAsia="zh-CN" w:bidi="ar"/>
              </w:rPr>
              <w:t>一级</w:t>
            </w:r>
            <w:r>
              <w:rPr>
                <w:rFonts w:hint="eastAsia" w:ascii="仿宋" w:hAnsi="仿宋" w:eastAsia="仿宋" w:cs="仿宋"/>
                <w:b/>
                <w:bCs/>
                <w:i w:val="0"/>
                <w:iCs w:val="0"/>
                <w:color w:val="auto"/>
                <w:kern w:val="0"/>
                <w:sz w:val="24"/>
                <w:szCs w:val="24"/>
                <w:u w:val="none"/>
                <w:lang w:val="en-US" w:eastAsia="zh-CN" w:bidi="ar"/>
              </w:rPr>
              <w:br w:type="textWrapping"/>
            </w:r>
            <w:r>
              <w:rPr>
                <w:rFonts w:hint="eastAsia" w:ascii="仿宋" w:hAnsi="仿宋" w:eastAsia="仿宋" w:cs="仿宋"/>
                <w:b/>
                <w:bCs/>
                <w:i w:val="0"/>
                <w:iCs w:val="0"/>
                <w:color w:val="auto"/>
                <w:kern w:val="0"/>
                <w:sz w:val="24"/>
                <w:szCs w:val="24"/>
                <w:u w:val="none"/>
                <w:lang w:val="en-US" w:eastAsia="zh-CN" w:bidi="ar"/>
              </w:rPr>
              <w:t>指标</w:t>
            </w:r>
          </w:p>
        </w:tc>
        <w:tc>
          <w:tcPr>
            <w:tcW w:w="781" w:type="dxa"/>
            <w:tcBorders>
              <w:top w:val="single" w:color="000000" w:sz="4" w:space="0"/>
              <w:left w:val="single" w:color="000000" w:sz="4" w:space="0"/>
              <w:bottom w:val="single" w:color="auto"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auto"/>
                <w:sz w:val="24"/>
                <w:szCs w:val="24"/>
                <w:u w:val="none"/>
              </w:rPr>
            </w:pPr>
            <w:r>
              <w:rPr>
                <w:rFonts w:hint="eastAsia" w:ascii="仿宋" w:hAnsi="仿宋" w:eastAsia="仿宋" w:cs="仿宋"/>
                <w:b/>
                <w:bCs/>
                <w:i w:val="0"/>
                <w:iCs w:val="0"/>
                <w:color w:val="auto"/>
                <w:kern w:val="0"/>
                <w:sz w:val="24"/>
                <w:szCs w:val="24"/>
                <w:u w:val="none"/>
                <w:lang w:val="en-US" w:eastAsia="zh-CN" w:bidi="ar"/>
              </w:rPr>
              <w:t>二级</w:t>
            </w:r>
            <w:r>
              <w:rPr>
                <w:rFonts w:hint="eastAsia" w:ascii="仿宋" w:hAnsi="仿宋" w:eastAsia="仿宋" w:cs="仿宋"/>
                <w:b/>
                <w:bCs/>
                <w:i w:val="0"/>
                <w:iCs w:val="0"/>
                <w:color w:val="auto"/>
                <w:kern w:val="0"/>
                <w:sz w:val="24"/>
                <w:szCs w:val="24"/>
                <w:u w:val="none"/>
                <w:lang w:val="en-US" w:eastAsia="zh-CN" w:bidi="ar"/>
              </w:rPr>
              <w:br w:type="textWrapping"/>
            </w:r>
            <w:r>
              <w:rPr>
                <w:rFonts w:hint="eastAsia" w:ascii="仿宋" w:hAnsi="仿宋" w:eastAsia="仿宋" w:cs="仿宋"/>
                <w:b/>
                <w:bCs/>
                <w:i w:val="0"/>
                <w:iCs w:val="0"/>
                <w:color w:val="auto"/>
                <w:kern w:val="0"/>
                <w:sz w:val="24"/>
                <w:szCs w:val="24"/>
                <w:u w:val="none"/>
                <w:lang w:val="en-US" w:eastAsia="zh-CN" w:bidi="ar"/>
              </w:rPr>
              <w:t>指标</w:t>
            </w:r>
          </w:p>
        </w:tc>
        <w:tc>
          <w:tcPr>
            <w:tcW w:w="763" w:type="dxa"/>
            <w:tcBorders>
              <w:top w:val="single" w:color="000000" w:sz="4" w:space="0"/>
              <w:left w:val="single" w:color="000000" w:sz="4" w:space="0"/>
              <w:bottom w:val="single" w:color="auto"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auto"/>
                <w:sz w:val="24"/>
                <w:szCs w:val="24"/>
                <w:u w:val="none"/>
              </w:rPr>
            </w:pPr>
            <w:r>
              <w:rPr>
                <w:rFonts w:hint="eastAsia" w:ascii="仿宋" w:hAnsi="仿宋" w:eastAsia="仿宋" w:cs="仿宋"/>
                <w:b/>
                <w:bCs/>
                <w:i w:val="0"/>
                <w:iCs w:val="0"/>
                <w:color w:val="auto"/>
                <w:kern w:val="0"/>
                <w:sz w:val="24"/>
                <w:szCs w:val="24"/>
                <w:u w:val="none"/>
                <w:lang w:val="en-US" w:eastAsia="zh-CN" w:bidi="ar"/>
              </w:rPr>
              <w:t>三级指标</w:t>
            </w:r>
          </w:p>
        </w:tc>
        <w:tc>
          <w:tcPr>
            <w:tcW w:w="460"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auto"/>
                <w:sz w:val="24"/>
                <w:szCs w:val="24"/>
                <w:u w:val="none"/>
              </w:rPr>
            </w:pPr>
            <w:r>
              <w:rPr>
                <w:rFonts w:hint="eastAsia" w:ascii="仿宋" w:hAnsi="仿宋" w:eastAsia="仿宋" w:cs="仿宋"/>
                <w:b/>
                <w:bCs/>
                <w:i w:val="0"/>
                <w:iCs w:val="0"/>
                <w:color w:val="auto"/>
                <w:kern w:val="0"/>
                <w:sz w:val="24"/>
                <w:szCs w:val="24"/>
                <w:u w:val="none"/>
                <w:lang w:val="en-US" w:eastAsia="zh-CN" w:bidi="ar"/>
              </w:rPr>
              <w:t>分值</w:t>
            </w:r>
          </w:p>
        </w:tc>
        <w:tc>
          <w:tcPr>
            <w:tcW w:w="5212"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auto"/>
                <w:sz w:val="24"/>
                <w:szCs w:val="24"/>
                <w:u w:val="none"/>
              </w:rPr>
            </w:pPr>
            <w:r>
              <w:rPr>
                <w:rFonts w:hint="eastAsia" w:ascii="仿宋" w:hAnsi="仿宋" w:eastAsia="仿宋" w:cs="仿宋"/>
                <w:b/>
                <w:bCs/>
                <w:i w:val="0"/>
                <w:iCs w:val="0"/>
                <w:color w:val="auto"/>
                <w:kern w:val="0"/>
                <w:sz w:val="24"/>
                <w:szCs w:val="24"/>
                <w:u w:val="none"/>
                <w:lang w:val="en-US" w:eastAsia="zh-CN" w:bidi="ar"/>
              </w:rPr>
              <w:t>指标说明/评价要点</w:t>
            </w:r>
          </w:p>
        </w:tc>
        <w:tc>
          <w:tcPr>
            <w:tcW w:w="531"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auto"/>
                <w:sz w:val="24"/>
                <w:szCs w:val="24"/>
                <w:u w:val="none"/>
              </w:rPr>
            </w:pPr>
            <w:r>
              <w:rPr>
                <w:rFonts w:hint="eastAsia" w:ascii="仿宋" w:hAnsi="仿宋" w:eastAsia="仿宋" w:cs="仿宋"/>
                <w:b/>
                <w:bCs/>
                <w:i w:val="0"/>
                <w:iCs w:val="0"/>
                <w:color w:val="auto"/>
                <w:kern w:val="0"/>
                <w:sz w:val="24"/>
                <w:szCs w:val="24"/>
                <w:u w:val="none"/>
                <w:lang w:val="en-US" w:eastAsia="zh-CN" w:bidi="ar"/>
              </w:rPr>
              <w:t>得分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9" w:hRule="atLeast"/>
          <w:jc w:val="center"/>
        </w:trPr>
        <w:tc>
          <w:tcPr>
            <w:tcW w:w="742" w:type="dxa"/>
            <w:vMerge w:val="restart"/>
            <w:tcBorders>
              <w:top w:val="single" w:color="auto" w:sz="4" w:space="0"/>
              <w:left w:val="single" w:color="auto"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预期效益</w:t>
            </w:r>
          </w:p>
        </w:tc>
        <w:tc>
          <w:tcPr>
            <w:tcW w:w="781" w:type="dxa"/>
            <w:tcBorders>
              <w:top w:val="single" w:color="auto"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经济效应</w:t>
            </w:r>
          </w:p>
        </w:tc>
        <w:tc>
          <w:tcPr>
            <w:tcW w:w="763" w:type="dxa"/>
            <w:tcBorders>
              <w:top w:val="single" w:color="auto"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项目投资收益</w:t>
            </w:r>
          </w:p>
        </w:tc>
        <w:tc>
          <w:tcPr>
            <w:tcW w:w="460"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w:t>
            </w:r>
          </w:p>
        </w:tc>
        <w:tc>
          <w:tcPr>
            <w:tcW w:w="52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达到项目预期收益能力，达到得满分，未达到不得分</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8" w:hRule="atLeast"/>
          <w:jc w:val="center"/>
        </w:trPr>
        <w:tc>
          <w:tcPr>
            <w:tcW w:w="742" w:type="dxa"/>
            <w:vMerge w:val="continue"/>
            <w:tcBorders>
              <w:left w:val="single" w:color="auto"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7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预期社会效益</w:t>
            </w:r>
          </w:p>
        </w:tc>
        <w:tc>
          <w:tcPr>
            <w:tcW w:w="763"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就业率提高</w:t>
            </w:r>
          </w:p>
        </w:tc>
        <w:tc>
          <w:tcPr>
            <w:tcW w:w="460"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w:t>
            </w:r>
          </w:p>
        </w:tc>
        <w:tc>
          <w:tcPr>
            <w:tcW w:w="52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为当地提供一定的就业岗位，而且通过带动当地相关产业的发展，可提高当地就业率，增加居民收入，有利于改善居民生活水平。</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8" w:hRule="atLeast"/>
          <w:jc w:val="center"/>
        </w:trPr>
        <w:tc>
          <w:tcPr>
            <w:tcW w:w="742" w:type="dxa"/>
            <w:vMerge w:val="continue"/>
            <w:tcBorders>
              <w:left w:val="single" w:color="auto"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7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预期环境效益</w:t>
            </w:r>
          </w:p>
        </w:tc>
        <w:tc>
          <w:tcPr>
            <w:tcW w:w="763"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环境保护效应</w:t>
            </w:r>
          </w:p>
        </w:tc>
        <w:tc>
          <w:tcPr>
            <w:tcW w:w="460"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w:t>
            </w:r>
          </w:p>
        </w:tc>
        <w:tc>
          <w:tcPr>
            <w:tcW w:w="52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有效缓解</w:t>
            </w:r>
            <w:r>
              <w:rPr>
                <w:rStyle w:val="42"/>
                <w:rFonts w:eastAsia="仿宋"/>
                <w:lang w:val="en-US" w:eastAsia="zh-CN" w:bidi="ar"/>
              </w:rPr>
              <w:t>“</w:t>
            </w:r>
            <w:r>
              <w:rPr>
                <w:rFonts w:hint="eastAsia" w:ascii="仿宋" w:hAnsi="仿宋" w:eastAsia="仿宋" w:cs="仿宋"/>
                <w:i w:val="0"/>
                <w:iCs w:val="0"/>
                <w:color w:val="000000"/>
                <w:kern w:val="0"/>
                <w:sz w:val="20"/>
                <w:szCs w:val="20"/>
                <w:u w:val="none"/>
                <w:lang w:val="en-US" w:eastAsia="zh-CN" w:bidi="ar"/>
              </w:rPr>
              <w:t>白色污染</w:t>
            </w:r>
            <w:r>
              <w:rPr>
                <w:rStyle w:val="42"/>
                <w:rFonts w:eastAsia="仿宋"/>
                <w:lang w:val="en-US" w:eastAsia="zh-CN" w:bidi="ar"/>
              </w:rPr>
              <w:t>”</w:t>
            </w:r>
            <w:r>
              <w:rPr>
                <w:rFonts w:hint="eastAsia" w:ascii="仿宋" w:hAnsi="仿宋" w:eastAsia="仿宋" w:cs="仿宋"/>
                <w:i w:val="0"/>
                <w:iCs w:val="0"/>
                <w:color w:val="000000"/>
                <w:kern w:val="0"/>
                <w:sz w:val="20"/>
                <w:szCs w:val="20"/>
                <w:u w:val="none"/>
                <w:lang w:val="en-US" w:eastAsia="zh-CN" w:bidi="ar"/>
              </w:rPr>
              <w:t>问题，减轻对区域环境的影响、防止环境纠纷的发生。</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8" w:hRule="atLeast"/>
          <w:jc w:val="center"/>
        </w:trPr>
        <w:tc>
          <w:tcPr>
            <w:tcW w:w="742" w:type="dxa"/>
            <w:vMerge w:val="continue"/>
            <w:tcBorders>
              <w:left w:val="single" w:color="auto" w:sz="4" w:space="0"/>
              <w:bottom w:val="single" w:color="auto" w:sz="4" w:space="0"/>
              <w:right w:val="single" w:color="000000" w:sz="4" w:space="0"/>
            </w:tcBorders>
            <w:shd w:val="clear" w:color="auto" w:fill="auto"/>
            <w:vAlign w:val="center"/>
          </w:tcPr>
          <w:p>
            <w:pPr>
              <w:jc w:val="center"/>
              <w:rPr>
                <w:rFonts w:hint="eastAsia" w:ascii="仿宋" w:hAnsi="仿宋" w:eastAsia="仿宋" w:cs="仿宋"/>
                <w:i w:val="0"/>
                <w:iCs w:val="0"/>
                <w:color w:val="auto"/>
                <w:kern w:val="0"/>
                <w:sz w:val="21"/>
                <w:szCs w:val="21"/>
                <w:u w:val="none"/>
                <w:lang w:val="en-US" w:eastAsia="zh-CN" w:bidi="ar"/>
              </w:rPr>
            </w:pPr>
          </w:p>
        </w:tc>
        <w:tc>
          <w:tcPr>
            <w:tcW w:w="781" w:type="dxa"/>
            <w:tcBorders>
              <w:top w:val="single" w:color="000000" w:sz="4" w:space="0"/>
              <w:left w:val="single" w:color="000000" w:sz="4" w:space="0"/>
              <w:bottom w:val="single" w:color="auto"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预期可持续效益</w:t>
            </w:r>
          </w:p>
        </w:tc>
        <w:tc>
          <w:tcPr>
            <w:tcW w:w="763" w:type="dxa"/>
            <w:tcBorders>
              <w:top w:val="single" w:color="000000" w:sz="4" w:space="0"/>
              <w:left w:val="single" w:color="000000"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效果可持续性</w:t>
            </w:r>
          </w:p>
        </w:tc>
        <w:tc>
          <w:tcPr>
            <w:tcW w:w="460"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w:t>
            </w:r>
          </w:p>
        </w:tc>
        <w:tc>
          <w:tcPr>
            <w:tcW w:w="52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0"/>
                <w:szCs w:val="20"/>
                <w:u w:val="none"/>
                <w:lang w:val="en-US" w:eastAsia="zh-CN" w:bidi="ar"/>
              </w:rPr>
              <w:t>项目实施后，作用和效果是可持续的，完善生态文明体系建设，推进循环经济高质量发展。</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w:t>
            </w:r>
          </w:p>
        </w:tc>
      </w:tr>
    </w:tbl>
    <w:p>
      <w:pPr>
        <w:pStyle w:val="6"/>
        <w:keepNext w:val="0"/>
        <w:pageBreakBefore w:val="0"/>
        <w:kinsoku/>
        <w:wordWrap/>
        <w:overflowPunct/>
        <w:topLinePunct w:val="0"/>
        <w:autoSpaceDE/>
        <w:autoSpaceDN/>
        <w:bidi w:val="0"/>
        <w:adjustRightInd/>
        <w:snapToGrid/>
        <w:spacing w:beforeLines="0" w:afterLines="0" w:line="240" w:lineRule="auto"/>
        <w:ind w:firstLine="562" w:firstLineChars="200"/>
        <w:textAlignment w:val="auto"/>
        <w:outlineLvl w:val="2"/>
        <w:rPr>
          <w:rFonts w:hint="eastAsia" w:ascii="仿宋" w:hAnsi="仿宋" w:eastAsia="仿宋" w:cs="仿宋"/>
          <w:color w:val="auto"/>
        </w:rPr>
      </w:pPr>
      <w:bookmarkStart w:id="128" w:name="_Toc23064"/>
      <w:r>
        <w:rPr>
          <w:rFonts w:hint="eastAsia" w:ascii="仿宋" w:hAnsi="仿宋" w:eastAsia="仿宋" w:cs="仿宋"/>
          <w:color w:val="auto"/>
        </w:rPr>
        <w:t>1.</w:t>
      </w:r>
      <w:r>
        <w:rPr>
          <w:rFonts w:hint="eastAsia" w:ascii="仿宋" w:hAnsi="仿宋" w:eastAsia="仿宋" w:cs="仿宋"/>
          <w:color w:val="auto"/>
          <w:lang w:val="en-US" w:eastAsia="zh-CN"/>
        </w:rPr>
        <w:t>经济</w:t>
      </w:r>
      <w:r>
        <w:rPr>
          <w:rFonts w:hint="eastAsia" w:ascii="仿宋" w:hAnsi="仿宋" w:eastAsia="仿宋" w:cs="仿宋"/>
          <w:color w:val="auto"/>
        </w:rPr>
        <w:t>效益分析</w:t>
      </w:r>
      <w:bookmarkEnd w:id="128"/>
    </w:p>
    <w:p>
      <w:pPr>
        <w:keepNext w:val="0"/>
        <w:pageBreakBefore w:val="0"/>
        <w:kinsoku/>
        <w:wordWrap/>
        <w:overflowPunct/>
        <w:topLinePunct w:val="0"/>
        <w:autoSpaceDE/>
        <w:autoSpaceDN/>
        <w:bidi w:val="0"/>
        <w:adjustRightInd/>
        <w:snapToGrid/>
        <w:spacing w:line="240" w:lineRule="auto"/>
        <w:ind w:leftChars="0" w:firstLine="560" w:firstLineChars="200"/>
        <w:textAlignment w:val="auto"/>
        <w:rPr>
          <w:rFonts w:hint="default" w:ascii="仿宋" w:hAnsi="仿宋" w:eastAsia="仿宋" w:cs="仿宋"/>
          <w:color w:val="auto"/>
          <w:lang w:val="en-US"/>
        </w:rPr>
      </w:pPr>
      <w:r>
        <w:rPr>
          <w:rFonts w:hint="eastAsia" w:ascii="仿宋" w:hAnsi="仿宋" w:eastAsia="仿宋" w:cs="仿宋"/>
          <w:color w:val="auto"/>
          <w:sz w:val="28"/>
          <w:szCs w:val="28"/>
          <w:lang w:val="en-US" w:eastAsia="zh-CN"/>
        </w:rPr>
        <w:t>本项目建成后，主要收入来自1亿米再生绿色生态纺织品和3000吨熔喷纺织品，预计项目正常运营年收入可实现82000万元，达产期年净利润5510.81万元。由以上财务分析可知，本项目获利能力良好，抗风险能力良好。因此，经济效益指标得4分。</w:t>
      </w:r>
    </w:p>
    <w:p>
      <w:pPr>
        <w:pStyle w:val="6"/>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2"/>
        <w:rPr>
          <w:rFonts w:hint="eastAsia" w:ascii="仿宋" w:hAnsi="仿宋" w:eastAsia="仿宋" w:cs="仿宋"/>
          <w:color w:val="auto"/>
        </w:rPr>
      </w:pPr>
      <w:bookmarkStart w:id="129" w:name="_Toc30611"/>
      <w:r>
        <w:rPr>
          <w:rFonts w:hint="eastAsia" w:ascii="仿宋" w:hAnsi="仿宋" w:eastAsia="仿宋" w:cs="仿宋"/>
          <w:color w:val="auto"/>
          <w:lang w:val="en-US" w:eastAsia="zh-CN"/>
        </w:rPr>
        <w:t>2</w:t>
      </w:r>
      <w:r>
        <w:rPr>
          <w:rFonts w:hint="eastAsia" w:ascii="仿宋" w:hAnsi="仿宋" w:eastAsia="仿宋" w:cs="仿宋"/>
          <w:color w:val="auto"/>
        </w:rPr>
        <w:t>.社会效益分析</w:t>
      </w:r>
      <w:bookmarkEnd w:id="121"/>
      <w:bookmarkEnd w:id="122"/>
      <w:bookmarkEnd w:id="123"/>
      <w:bookmarkEnd w:id="124"/>
      <w:bookmarkEnd w:id="125"/>
      <w:bookmarkEnd w:id="126"/>
      <w:bookmarkEnd w:id="127"/>
      <w:bookmarkEnd w:id="129"/>
    </w:p>
    <w:p>
      <w:pPr>
        <w:keepNext w:val="0"/>
        <w:pageBreakBefore w:val="0"/>
        <w:kinsoku/>
        <w:wordWrap/>
        <w:overflowPunct/>
        <w:topLinePunct w:val="0"/>
        <w:autoSpaceDE/>
        <w:autoSpaceDN/>
        <w:bidi w:val="0"/>
        <w:adjustRightInd/>
        <w:snapToGrid/>
        <w:spacing w:line="240" w:lineRule="auto"/>
        <w:ind w:leftChars="0"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项目工程的实施，在提高企业经济效益的同时，可通过增加纳税增加地方财政收入，带动当地经济的发展，为当地提供一定的就业岗位，而且通过带动当地相关产业的发展，可提高当地就业率，增加居民收入，有利于改善居民生活水平。因此，社会效益指标得4分。</w:t>
      </w:r>
    </w:p>
    <w:p>
      <w:pPr>
        <w:pStyle w:val="6"/>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2"/>
        <w:rPr>
          <w:rFonts w:hint="eastAsia" w:ascii="仿宋" w:hAnsi="仿宋" w:eastAsia="仿宋" w:cs="仿宋"/>
          <w:color w:val="auto"/>
          <w:lang w:eastAsia="zh-CN"/>
        </w:rPr>
      </w:pPr>
      <w:bookmarkStart w:id="130" w:name="_Toc7662"/>
      <w:bookmarkStart w:id="131" w:name="_Toc30115"/>
      <w:bookmarkStart w:id="132" w:name="_Toc910"/>
      <w:bookmarkStart w:id="133" w:name="_Toc5723"/>
      <w:bookmarkStart w:id="134" w:name="_Toc25043"/>
      <w:bookmarkStart w:id="135" w:name="_Toc4866"/>
      <w:bookmarkStart w:id="136" w:name="_Toc14920"/>
      <w:bookmarkStart w:id="137" w:name="_Toc18480"/>
      <w:r>
        <w:rPr>
          <w:rFonts w:hint="eastAsia" w:ascii="仿宋" w:hAnsi="仿宋" w:eastAsia="仿宋" w:cs="仿宋"/>
          <w:color w:val="auto"/>
          <w:lang w:val="en-US" w:eastAsia="zh-CN"/>
        </w:rPr>
        <w:t>3.</w:t>
      </w:r>
      <w:r>
        <w:rPr>
          <w:rFonts w:hint="eastAsia" w:ascii="仿宋" w:hAnsi="仿宋" w:eastAsia="仿宋" w:cs="仿宋"/>
          <w:color w:val="auto"/>
          <w:lang w:eastAsia="zh-CN"/>
        </w:rPr>
        <w:t>环境效益分析</w:t>
      </w:r>
      <w:bookmarkEnd w:id="130"/>
      <w:bookmarkEnd w:id="131"/>
      <w:bookmarkEnd w:id="132"/>
      <w:bookmarkEnd w:id="133"/>
      <w:bookmarkEnd w:id="134"/>
      <w:bookmarkEnd w:id="135"/>
    </w:p>
    <w:p>
      <w:pPr>
        <w:keepNext w:val="0"/>
        <w:keepLines w:val="0"/>
        <w:pageBreakBefore w:val="0"/>
        <w:widowControl w:val="0"/>
        <w:kinsoku/>
        <w:wordWrap/>
        <w:overflowPunct/>
        <w:topLinePunct w:val="0"/>
        <w:autoSpaceDE/>
        <w:autoSpaceDN/>
        <w:bidi w:val="0"/>
        <w:adjustRightInd/>
        <w:snapToGrid/>
        <w:spacing w:line="240" w:lineRule="auto"/>
        <w:ind w:leftChars="0"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本项目属于废旧塑料综合利用项目，采用无水着色生产工艺技术，建设再生无水着色纺织品生产线，打造绿色纺织品示范生产基地，以废旧塑料为主要原料，形成年产1亿米再生绿色生态纺织品、年产3000吨熔喷纺织品的生产能力，广泛应用于箱包、纺织服装、家纺、户外用品等行业，实现了废旧塑料100%资源利用，有效缓解“白色污染”的问题。因此，社会效益指标得4分。</w:t>
      </w:r>
    </w:p>
    <w:p>
      <w:pPr>
        <w:pStyle w:val="6"/>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2"/>
        <w:rPr>
          <w:rFonts w:hint="eastAsia" w:ascii="仿宋" w:hAnsi="仿宋" w:eastAsia="仿宋" w:cs="仿宋"/>
          <w:color w:val="auto"/>
        </w:rPr>
      </w:pPr>
      <w:bookmarkStart w:id="138" w:name="_Toc12"/>
      <w:bookmarkStart w:id="139" w:name="_Toc3405"/>
      <w:bookmarkStart w:id="140" w:name="_Toc28916"/>
      <w:bookmarkStart w:id="141" w:name="_Toc27422"/>
      <w:bookmarkStart w:id="142" w:name="_Toc16181"/>
      <w:bookmarkStart w:id="143" w:name="_Toc24300"/>
      <w:r>
        <w:rPr>
          <w:rFonts w:hint="eastAsia" w:ascii="仿宋" w:hAnsi="仿宋" w:eastAsia="仿宋" w:cs="仿宋"/>
          <w:color w:val="auto"/>
          <w:lang w:val="en-US" w:eastAsia="zh-CN"/>
        </w:rPr>
        <w:t>4</w:t>
      </w:r>
      <w:r>
        <w:rPr>
          <w:rFonts w:hint="eastAsia" w:ascii="仿宋" w:hAnsi="仿宋" w:eastAsia="仿宋" w:cs="仿宋"/>
          <w:color w:val="auto"/>
        </w:rPr>
        <w:t>.可持续发展</w:t>
      </w:r>
      <w:r>
        <w:rPr>
          <w:rFonts w:hint="eastAsia" w:ascii="仿宋" w:hAnsi="仿宋" w:eastAsia="仿宋" w:cs="仿宋"/>
          <w:color w:val="auto"/>
          <w:lang w:val="en-US" w:eastAsia="zh-CN"/>
        </w:rPr>
        <w:t>效益</w:t>
      </w:r>
      <w:r>
        <w:rPr>
          <w:rFonts w:hint="eastAsia" w:ascii="仿宋" w:hAnsi="仿宋" w:eastAsia="仿宋" w:cs="仿宋"/>
          <w:color w:val="auto"/>
        </w:rPr>
        <w:t>分析</w:t>
      </w:r>
      <w:bookmarkEnd w:id="136"/>
      <w:bookmarkEnd w:id="137"/>
      <w:bookmarkEnd w:id="138"/>
      <w:bookmarkEnd w:id="139"/>
      <w:bookmarkEnd w:id="140"/>
      <w:bookmarkEnd w:id="141"/>
      <w:bookmarkEnd w:id="142"/>
      <w:bookmarkEnd w:id="143"/>
    </w:p>
    <w:p>
      <w:pPr>
        <w:keepNext w:val="0"/>
        <w:pageBreakBefore w:val="0"/>
        <w:kinsoku/>
        <w:wordWrap/>
        <w:overflowPunct/>
        <w:topLinePunct w:val="0"/>
        <w:autoSpaceDE/>
        <w:autoSpaceDN/>
        <w:bidi w:val="0"/>
        <w:adjustRightInd/>
        <w:snapToGrid/>
        <w:spacing w:line="240" w:lineRule="auto"/>
        <w:ind w:leftChars="0"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该项目为福建省目前首个全产业链的废旧塑料回收无害化处理与循环资源化利用项目，项目的落地有助于福建省完善生态文明体系建设，推进循环经济高质量发展。因此，可持续发展效益指标得4分。</w:t>
      </w:r>
    </w:p>
    <w:p>
      <w:pPr>
        <w:keepNext w:val="0"/>
        <w:pageBreakBefore w:val="0"/>
        <w:kinsoku/>
        <w:wordWrap/>
        <w:overflowPunct/>
        <w:topLinePunct w:val="0"/>
        <w:autoSpaceDE/>
        <w:autoSpaceDN/>
        <w:bidi w:val="0"/>
        <w:adjustRightInd/>
        <w:snapToGrid/>
        <w:spacing w:line="240" w:lineRule="auto"/>
        <w:ind w:leftChars="0" w:firstLine="560" w:firstLineChars="200"/>
        <w:textAlignment w:val="auto"/>
        <w:rPr>
          <w:rFonts w:hint="eastAsia" w:ascii="仿宋" w:hAnsi="仿宋" w:eastAsia="仿宋" w:cs="仿宋"/>
          <w:color w:val="auto"/>
          <w:sz w:val="28"/>
          <w:szCs w:val="28"/>
          <w:lang w:val="en-US" w:eastAsia="zh-CN"/>
        </w:rPr>
      </w:pPr>
    </w:p>
    <w:p>
      <w:pPr>
        <w:keepNext w:val="0"/>
        <w:pageBreakBefore w:val="0"/>
        <w:kinsoku/>
        <w:topLinePunct w:val="0"/>
        <w:bidi w:val="0"/>
        <w:spacing w:line="240" w:lineRule="auto"/>
        <w:ind w:leftChars="0" w:firstLine="562" w:firstLineChars="200"/>
        <w:outlineLvl w:val="0"/>
        <w:rPr>
          <w:rFonts w:hint="eastAsia" w:ascii="黑体" w:hAnsi="黑体" w:eastAsia="黑体" w:cs="黑体"/>
          <w:b/>
          <w:bCs/>
          <w:color w:val="auto"/>
          <w:sz w:val="28"/>
          <w:szCs w:val="28"/>
          <w:lang w:val="en-US" w:eastAsia="zh-CN"/>
        </w:rPr>
      </w:pPr>
      <w:bookmarkStart w:id="144" w:name="_Toc11723"/>
      <w:r>
        <w:rPr>
          <w:rFonts w:hint="eastAsia" w:ascii="黑体" w:hAnsi="黑体" w:eastAsia="黑体" w:cs="黑体"/>
          <w:b/>
          <w:bCs/>
          <w:color w:val="auto"/>
          <w:sz w:val="28"/>
          <w:szCs w:val="28"/>
          <w:lang w:val="en-US" w:eastAsia="zh-CN"/>
        </w:rPr>
        <w:t>五、经验及做法</w:t>
      </w:r>
      <w:bookmarkEnd w:id="144"/>
    </w:p>
    <w:p>
      <w:pPr>
        <w:keepNext w:val="0"/>
        <w:pageBreakBefore w:val="0"/>
        <w:kinsoku/>
        <w:topLinePunct w:val="0"/>
        <w:bidi w:val="0"/>
        <w:spacing w:line="240" w:lineRule="auto"/>
        <w:ind w:leftChars="0" w:firstLine="562" w:firstLineChars="200"/>
        <w:outlineLvl w:val="1"/>
        <w:rPr>
          <w:rFonts w:hint="default" w:ascii="楷体" w:hAnsi="楷体" w:eastAsia="楷体" w:cs="楷体"/>
          <w:color w:val="auto"/>
          <w:sz w:val="28"/>
          <w:szCs w:val="28"/>
          <w:lang w:val="en-US" w:eastAsia="zh-CN"/>
        </w:rPr>
      </w:pPr>
      <w:bookmarkStart w:id="145" w:name="_Toc27980"/>
      <w:r>
        <w:rPr>
          <w:rFonts w:hint="eastAsia" w:ascii="楷体" w:hAnsi="楷体" w:eastAsia="楷体" w:cs="楷体"/>
          <w:b/>
          <w:bCs/>
          <w:i w:val="0"/>
          <w:iCs w:val="0"/>
          <w:color w:val="auto"/>
          <w:kern w:val="0"/>
          <w:sz w:val="28"/>
          <w:szCs w:val="28"/>
          <w:highlight w:val="none"/>
          <w:lang w:val="en-US" w:eastAsia="zh-CN" w:bidi="ar-SA"/>
        </w:rPr>
        <w:t>（一）</w:t>
      </w:r>
      <w:r>
        <w:rPr>
          <w:rFonts w:hint="eastAsia" w:ascii="楷体" w:hAnsi="楷体" w:eastAsia="楷体" w:cs="楷体"/>
          <w:b/>
          <w:bCs/>
          <w:i w:val="0"/>
          <w:iCs w:val="0"/>
          <w:color w:val="auto"/>
          <w:kern w:val="0"/>
          <w:sz w:val="28"/>
          <w:szCs w:val="28"/>
          <w:highlight w:val="none"/>
          <w:lang w:val="en-US" w:eastAsia="zh-CN"/>
        </w:rPr>
        <w:t>准备手续齐全，效率高</w:t>
      </w:r>
      <w:bookmarkEnd w:id="145"/>
    </w:p>
    <w:p>
      <w:pPr>
        <w:keepNext w:val="0"/>
        <w:pageBreakBefore w:val="0"/>
        <w:kinsoku/>
        <w:wordWrap/>
        <w:overflowPunct/>
        <w:topLinePunct w:val="0"/>
        <w:autoSpaceDE/>
        <w:autoSpaceDN/>
        <w:bidi w:val="0"/>
        <w:adjustRightInd/>
        <w:snapToGrid/>
        <w:spacing w:line="240" w:lineRule="auto"/>
        <w:ind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项目筹划阶段，委托专业咨询机构进行专业调查；项目备案以后，公司启动编制项目可行性研究报告等相关工作、方案设计和施工图设计，已委托有资质的机构编制水土保持方案、环境影响评价报告、节能报告等。在资金申请前就已经完成该项目工程前期的各项准备工作，包括市场调研、建设规模与内容确定、设备选型、项目选址、土地规划，投资资金的筹措与确定、项目备案、环评批复、土地规划各项手续，为接下来的项目开展提供了必要的基础。</w:t>
      </w:r>
    </w:p>
    <w:p>
      <w:pPr>
        <w:keepNext w:val="0"/>
        <w:pageBreakBefore w:val="0"/>
        <w:kinsoku/>
        <w:topLinePunct w:val="0"/>
        <w:bidi w:val="0"/>
        <w:spacing w:line="240" w:lineRule="auto"/>
        <w:ind w:leftChars="0" w:firstLine="562" w:firstLineChars="200"/>
        <w:outlineLvl w:val="1"/>
        <w:rPr>
          <w:rFonts w:hint="default" w:ascii="楷体" w:hAnsi="楷体" w:eastAsia="楷体" w:cs="楷体"/>
          <w:color w:val="auto"/>
          <w:sz w:val="28"/>
          <w:szCs w:val="28"/>
          <w:lang w:val="en-US" w:eastAsia="zh-CN"/>
        </w:rPr>
      </w:pPr>
      <w:bookmarkStart w:id="146" w:name="_Toc30973"/>
      <w:r>
        <w:rPr>
          <w:rFonts w:hint="eastAsia" w:ascii="楷体" w:hAnsi="楷体" w:eastAsia="楷体" w:cs="楷体"/>
          <w:b/>
          <w:bCs/>
          <w:i w:val="0"/>
          <w:iCs w:val="0"/>
          <w:color w:val="auto"/>
          <w:kern w:val="0"/>
          <w:sz w:val="28"/>
          <w:szCs w:val="28"/>
          <w:highlight w:val="none"/>
          <w:lang w:val="en-US" w:eastAsia="zh-CN" w:bidi="ar-SA"/>
        </w:rPr>
        <w:t>（二）工程质量把控较严，项目公司制度执行有效</w:t>
      </w:r>
      <w:bookmarkEnd w:id="146"/>
    </w:p>
    <w:p>
      <w:pPr>
        <w:keepNext w:val="0"/>
        <w:pageBreakBefore w:val="0"/>
        <w:kinsoku/>
        <w:wordWrap/>
        <w:overflowPunct/>
        <w:topLinePunct w:val="0"/>
        <w:autoSpaceDE/>
        <w:autoSpaceDN/>
        <w:bidi w:val="0"/>
        <w:adjustRightInd/>
        <w:snapToGrid/>
        <w:spacing w:line="240" w:lineRule="auto"/>
        <w:ind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对于该项目厂房基地的建设工程，项目公司严格把控工程质量问题，聘请专业的监理单位对该项目的建设工程部分进行把关，每个月根据监理考核形成书面的整改清单，要求施工单位根据监理通知单及时进行整改同样形成书面反馈，形成监理报告完整的佐证材料存档，每周开一次董事会，针对出现的问题进行汇报公开讨论，形成会议记录存档。</w:t>
      </w:r>
    </w:p>
    <w:p>
      <w:pPr>
        <w:keepNext w:val="0"/>
        <w:pageBreakBefore w:val="0"/>
        <w:kinsoku/>
        <w:topLinePunct w:val="0"/>
        <w:bidi w:val="0"/>
        <w:spacing w:line="240" w:lineRule="auto"/>
        <w:ind w:leftChars="0" w:firstLine="562" w:firstLineChars="200"/>
        <w:outlineLvl w:val="1"/>
        <w:rPr>
          <w:rFonts w:hint="default" w:ascii="楷体" w:hAnsi="楷体" w:eastAsia="楷体" w:cs="楷体"/>
          <w:color w:val="auto"/>
          <w:sz w:val="28"/>
          <w:szCs w:val="28"/>
          <w:lang w:val="en-US" w:eastAsia="zh-CN"/>
        </w:rPr>
      </w:pPr>
      <w:bookmarkStart w:id="147" w:name="_Toc18939"/>
      <w:r>
        <w:rPr>
          <w:rFonts w:hint="eastAsia" w:ascii="楷体" w:hAnsi="楷体" w:eastAsia="楷体" w:cs="楷体"/>
          <w:b/>
          <w:bCs/>
          <w:i w:val="0"/>
          <w:iCs w:val="0"/>
          <w:color w:val="auto"/>
          <w:kern w:val="0"/>
          <w:sz w:val="28"/>
          <w:szCs w:val="28"/>
          <w:highlight w:val="none"/>
          <w:lang w:val="en-US" w:eastAsia="zh-CN" w:bidi="ar-SA"/>
        </w:rPr>
        <w:t>（三）工程进度把控严格，预算资金执行率高</w:t>
      </w:r>
      <w:bookmarkEnd w:id="147"/>
    </w:p>
    <w:p>
      <w:pPr>
        <w:keepNext w:val="0"/>
        <w:pageBreakBefore w:val="0"/>
        <w:kinsoku/>
        <w:wordWrap/>
        <w:overflowPunct/>
        <w:topLinePunct w:val="0"/>
        <w:autoSpaceDE/>
        <w:autoSpaceDN/>
        <w:bidi w:val="0"/>
        <w:adjustRightInd/>
        <w:snapToGrid/>
        <w:spacing w:line="240" w:lineRule="auto"/>
        <w:ind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计划</w:t>
      </w:r>
      <w:r>
        <w:rPr>
          <w:rFonts w:hint="default" w:ascii="仿宋" w:hAnsi="仿宋" w:eastAsia="仿宋" w:cs="仿宋"/>
          <w:color w:val="auto"/>
          <w:sz w:val="28"/>
          <w:szCs w:val="28"/>
          <w:lang w:val="en-US" w:eastAsia="zh-CN"/>
        </w:rPr>
        <w:t>项目建设施工年限为 2021 年 7 月至 2022 年 11 月，设计工作（设备预定、初步设计、施工图设计、进一步落实设计条件等）5个月；施工包括设备安装工程共 12 个月；竣工验收后运营。</w:t>
      </w:r>
      <w:r>
        <w:rPr>
          <w:rFonts w:hint="eastAsia" w:ascii="仿宋" w:hAnsi="仿宋" w:eastAsia="仿宋" w:cs="仿宋"/>
          <w:color w:val="auto"/>
          <w:sz w:val="28"/>
          <w:szCs w:val="28"/>
          <w:lang w:val="en-US" w:eastAsia="zh-CN"/>
        </w:rPr>
        <w:t>实际完成建设进度时间均在计划把控范围内，并且，在财政资金到位时，按照资金文件规定的时间内100%支出，预算执行率为100%。</w:t>
      </w:r>
    </w:p>
    <w:p>
      <w:pPr>
        <w:keepNext w:val="0"/>
        <w:pageBreakBefore w:val="0"/>
        <w:kinsoku/>
        <w:topLinePunct w:val="0"/>
        <w:bidi w:val="0"/>
        <w:spacing w:line="240" w:lineRule="auto"/>
        <w:ind w:leftChars="0" w:firstLine="562" w:firstLineChars="200"/>
        <w:outlineLvl w:val="1"/>
        <w:rPr>
          <w:rFonts w:hint="default" w:ascii="楷体" w:hAnsi="楷体" w:eastAsia="楷体" w:cs="楷体"/>
          <w:color w:val="auto"/>
          <w:sz w:val="28"/>
          <w:szCs w:val="28"/>
          <w:lang w:val="en-US" w:eastAsia="zh-CN"/>
        </w:rPr>
      </w:pPr>
      <w:bookmarkStart w:id="148" w:name="_Toc17085"/>
      <w:r>
        <w:rPr>
          <w:rFonts w:hint="eastAsia" w:ascii="楷体" w:hAnsi="楷体" w:eastAsia="楷体" w:cs="楷体"/>
          <w:b/>
          <w:bCs/>
          <w:i w:val="0"/>
          <w:iCs w:val="0"/>
          <w:color w:val="auto"/>
          <w:kern w:val="0"/>
          <w:sz w:val="28"/>
          <w:szCs w:val="28"/>
          <w:highlight w:val="none"/>
          <w:lang w:val="en-US" w:eastAsia="zh-CN" w:bidi="ar-SA"/>
        </w:rPr>
        <w:t>（四）按要求严格项目筛选与项目资金申报手续</w:t>
      </w:r>
      <w:bookmarkEnd w:id="148"/>
    </w:p>
    <w:p>
      <w:pPr>
        <w:keepNext w:val="0"/>
        <w:pageBreakBefore w:val="0"/>
        <w:kinsoku/>
        <w:wordWrap/>
        <w:overflowPunct/>
        <w:topLinePunct w:val="0"/>
        <w:autoSpaceDE/>
        <w:autoSpaceDN/>
        <w:bidi w:val="0"/>
        <w:adjustRightInd/>
        <w:snapToGrid/>
        <w:spacing w:line="240" w:lineRule="auto"/>
        <w:ind w:firstLine="560" w:firstLineChars="200"/>
        <w:textAlignment w:val="auto"/>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本项目严格按照国家发改委《污染防治和节能减碳中央预算内投资专项管理办法》和明确的投向范围和要求，认真组织申报、筛选、审核2022年度污染治理和节能减碳专项中央预算内投资项目，编制年度投资计划草案及资金申请报告。</w:t>
      </w:r>
    </w:p>
    <w:p>
      <w:pPr>
        <w:keepNext w:val="0"/>
        <w:pageBreakBefore w:val="0"/>
        <w:kinsoku/>
        <w:topLinePunct w:val="0"/>
        <w:bidi w:val="0"/>
        <w:spacing w:line="240" w:lineRule="auto"/>
        <w:ind w:leftChars="0" w:firstLine="562" w:firstLineChars="200"/>
        <w:outlineLvl w:val="0"/>
        <w:rPr>
          <w:rFonts w:hint="eastAsia" w:ascii="黑体" w:hAnsi="黑体" w:eastAsia="黑体" w:cs="黑体"/>
          <w:b/>
          <w:bCs/>
          <w:color w:val="auto"/>
          <w:sz w:val="28"/>
          <w:szCs w:val="28"/>
          <w:lang w:val="en-US" w:eastAsia="zh-CN"/>
        </w:rPr>
      </w:pPr>
      <w:bookmarkStart w:id="149" w:name="_Toc32116"/>
      <w:r>
        <w:rPr>
          <w:rFonts w:hint="eastAsia" w:ascii="黑体" w:hAnsi="黑体" w:eastAsia="黑体" w:cs="黑体"/>
          <w:b/>
          <w:bCs/>
          <w:color w:val="auto"/>
          <w:sz w:val="28"/>
          <w:szCs w:val="28"/>
          <w:lang w:val="en-US" w:eastAsia="zh-CN"/>
        </w:rPr>
        <w:t>六、存在的问题</w:t>
      </w:r>
      <w:bookmarkEnd w:id="149"/>
    </w:p>
    <w:p>
      <w:pPr>
        <w:keepNext w:val="0"/>
        <w:pageBreakBefore w:val="0"/>
        <w:kinsoku/>
        <w:topLinePunct w:val="0"/>
        <w:bidi w:val="0"/>
        <w:spacing w:line="240" w:lineRule="auto"/>
        <w:ind w:leftChars="0" w:firstLine="562" w:firstLineChars="200"/>
        <w:outlineLvl w:val="1"/>
        <w:rPr>
          <w:rFonts w:hint="default" w:ascii="楷体" w:hAnsi="楷体" w:eastAsia="楷体" w:cs="楷体"/>
          <w:b/>
          <w:bCs/>
          <w:i w:val="0"/>
          <w:iCs w:val="0"/>
          <w:color w:val="auto"/>
          <w:kern w:val="0"/>
          <w:sz w:val="28"/>
          <w:szCs w:val="28"/>
          <w:highlight w:val="none"/>
          <w:lang w:val="en-US" w:eastAsia="zh-CN"/>
        </w:rPr>
      </w:pPr>
      <w:bookmarkStart w:id="150" w:name="_Toc3315"/>
      <w:r>
        <w:rPr>
          <w:rFonts w:hint="eastAsia" w:ascii="楷体" w:hAnsi="楷体" w:eastAsia="楷体" w:cs="楷体"/>
          <w:b/>
          <w:bCs/>
          <w:i w:val="0"/>
          <w:iCs w:val="0"/>
          <w:color w:val="auto"/>
          <w:kern w:val="0"/>
          <w:sz w:val="28"/>
          <w:szCs w:val="28"/>
          <w:highlight w:val="none"/>
          <w:lang w:val="en-US" w:eastAsia="zh-CN"/>
        </w:rPr>
        <w:t>（一）日常监管单位存在监管不到位的情况</w:t>
      </w:r>
      <w:bookmarkEnd w:id="150"/>
    </w:p>
    <w:p>
      <w:pPr>
        <w:keepNext w:val="0"/>
        <w:pageBreakBefore w:val="0"/>
        <w:kinsoku/>
        <w:topLinePunct w:val="0"/>
        <w:bidi w:val="0"/>
        <w:spacing w:line="240" w:lineRule="auto"/>
        <w:ind w:leftChars="0" w:firstLine="560" w:firstLineChars="200"/>
        <w:rPr>
          <w:rFonts w:hint="default"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石狮市发改局对该项目的实施具有一定的监管职责，在项目建设期间，分别陪同国家发改、省级发改和市级发改相关人员进行</w:t>
      </w:r>
      <w:r>
        <w:rPr>
          <w:rFonts w:hint="default" w:ascii="仿宋" w:hAnsi="仿宋" w:eastAsia="仿宋" w:cs="仿宋"/>
          <w:b w:val="0"/>
          <w:bCs w:val="0"/>
          <w:color w:val="auto"/>
          <w:sz w:val="28"/>
          <w:szCs w:val="28"/>
          <w:lang w:val="en-US" w:eastAsia="zh-CN"/>
        </w:rPr>
        <w:t>现场调研</w:t>
      </w:r>
      <w:r>
        <w:rPr>
          <w:rFonts w:hint="eastAsia" w:ascii="仿宋" w:hAnsi="仿宋" w:eastAsia="仿宋" w:cs="仿宋"/>
          <w:b w:val="0"/>
          <w:bCs w:val="0"/>
          <w:color w:val="auto"/>
          <w:sz w:val="28"/>
          <w:szCs w:val="28"/>
          <w:lang w:val="en-US" w:eastAsia="zh-CN"/>
        </w:rPr>
        <w:t>。但作为该项目的直接监管单位，仅仅通过在线平台“（国家重大建设项目库）”对项目单位填报的项目信息进行监督，未主动开展项目的现场调研活动，适时</w:t>
      </w:r>
      <w:r>
        <w:rPr>
          <w:rFonts w:hint="eastAsia" w:ascii="仿宋" w:hAnsi="仿宋" w:eastAsia="仿宋" w:cs="仿宋"/>
          <w:color w:val="auto"/>
          <w:sz w:val="28"/>
          <w:szCs w:val="28"/>
          <w:lang w:val="en-US" w:eastAsia="zh-CN"/>
        </w:rPr>
        <w:t>核实项目公司提供的项目进度信息真实情况，项目建设期间现场监督的职责履行不到位。</w:t>
      </w:r>
    </w:p>
    <w:p>
      <w:pPr>
        <w:keepNext w:val="0"/>
        <w:pageBreakBefore w:val="0"/>
        <w:kinsoku/>
        <w:topLinePunct w:val="0"/>
        <w:bidi w:val="0"/>
        <w:spacing w:line="240" w:lineRule="auto"/>
        <w:ind w:leftChars="0" w:firstLine="562" w:firstLineChars="200"/>
        <w:outlineLvl w:val="1"/>
        <w:rPr>
          <w:rFonts w:hint="default" w:ascii="楷体" w:hAnsi="楷体" w:eastAsia="楷体" w:cs="楷体"/>
          <w:b/>
          <w:bCs/>
          <w:i w:val="0"/>
          <w:iCs w:val="0"/>
          <w:color w:val="auto"/>
          <w:kern w:val="0"/>
          <w:sz w:val="28"/>
          <w:szCs w:val="28"/>
          <w:highlight w:val="none"/>
          <w:lang w:val="en-US" w:eastAsia="zh-CN"/>
        </w:rPr>
      </w:pPr>
      <w:bookmarkStart w:id="151" w:name="_Toc14807"/>
      <w:r>
        <w:rPr>
          <w:rFonts w:hint="eastAsia" w:ascii="楷体" w:hAnsi="楷体" w:eastAsia="楷体" w:cs="楷体"/>
          <w:b/>
          <w:bCs/>
          <w:i w:val="0"/>
          <w:iCs w:val="0"/>
          <w:color w:val="auto"/>
          <w:kern w:val="0"/>
          <w:sz w:val="28"/>
          <w:szCs w:val="28"/>
          <w:highlight w:val="none"/>
          <w:lang w:val="en-US" w:eastAsia="zh-CN"/>
        </w:rPr>
        <w:t>（二）监管计划、监管方案未及时制定与执行</w:t>
      </w:r>
      <w:bookmarkEnd w:id="151"/>
    </w:p>
    <w:p>
      <w:pPr>
        <w:keepNext w:val="0"/>
        <w:pageBreakBefore w:val="0"/>
        <w:kinsoku/>
        <w:topLinePunct w:val="0"/>
        <w:bidi w:val="0"/>
        <w:spacing w:line="240" w:lineRule="auto"/>
        <w:ind w:firstLine="560" w:firstLineChars="200"/>
        <w:rPr>
          <w:rFonts w:hint="default" w:ascii="仿宋" w:hAnsi="仿宋" w:eastAsia="仿宋" w:cs="仿宋"/>
          <w:b w:val="0"/>
          <w:bCs w:val="0"/>
          <w:color w:val="auto"/>
          <w:sz w:val="28"/>
          <w:szCs w:val="28"/>
          <w:lang w:val="en-US" w:eastAsia="zh-CN"/>
        </w:rPr>
      </w:pPr>
      <w:r>
        <w:rPr>
          <w:rFonts w:hint="eastAsia" w:ascii="仿宋" w:hAnsi="仿宋" w:eastAsia="仿宋" w:cs="仿宋"/>
          <w:color w:val="auto"/>
          <w:sz w:val="28"/>
          <w:szCs w:val="28"/>
          <w:lang w:val="en-US" w:eastAsia="zh-CN"/>
        </w:rPr>
        <w:t>按照《泉州市发展和改革委员会关于分解下达污染治理和节能减碳专项(节能减碳方向)2022第二批中央预算内投资计划的通知》（泉发改〔2022〕274 号）规定“要建立工作机制，制定监管计划，组织实施中央预算内投资项目的日常调度、在线监测、现场检查和监督问责”，发改局作为主要监管单位，未严格执行上述通知的要求，缺乏相关监管制度、方案的建立。</w:t>
      </w:r>
    </w:p>
    <w:p>
      <w:pPr>
        <w:keepNext w:val="0"/>
        <w:pageBreakBefore w:val="0"/>
        <w:kinsoku/>
        <w:topLinePunct w:val="0"/>
        <w:bidi w:val="0"/>
        <w:spacing w:line="240" w:lineRule="auto"/>
        <w:ind w:leftChars="0" w:firstLine="562" w:firstLineChars="200"/>
        <w:outlineLvl w:val="1"/>
        <w:rPr>
          <w:rFonts w:hint="default" w:ascii="楷体" w:hAnsi="楷体" w:eastAsia="楷体" w:cs="楷体"/>
          <w:b/>
          <w:bCs/>
          <w:i w:val="0"/>
          <w:iCs w:val="0"/>
          <w:color w:val="auto"/>
          <w:kern w:val="0"/>
          <w:sz w:val="28"/>
          <w:szCs w:val="28"/>
          <w:highlight w:val="none"/>
          <w:lang w:val="en-US" w:eastAsia="zh-CN"/>
        </w:rPr>
      </w:pPr>
      <w:bookmarkStart w:id="152" w:name="_Toc17248"/>
      <w:r>
        <w:rPr>
          <w:rFonts w:hint="eastAsia" w:ascii="楷体" w:hAnsi="楷体" w:eastAsia="楷体" w:cs="楷体"/>
          <w:b/>
          <w:bCs/>
          <w:i w:val="0"/>
          <w:iCs w:val="0"/>
          <w:color w:val="auto"/>
          <w:kern w:val="0"/>
          <w:sz w:val="28"/>
          <w:szCs w:val="28"/>
          <w:highlight w:val="none"/>
          <w:lang w:val="en-US" w:eastAsia="zh-CN"/>
        </w:rPr>
        <w:t>（三）项目资金投入估算过高</w:t>
      </w:r>
      <w:bookmarkEnd w:id="152"/>
    </w:p>
    <w:p>
      <w:pPr>
        <w:keepNext w:val="0"/>
        <w:pageBreakBefore w:val="0"/>
        <w:kinsoku/>
        <w:topLinePunct w:val="0"/>
        <w:bidi w:val="0"/>
        <w:spacing w:line="240" w:lineRule="auto"/>
        <w:ind w:leftChars="0" w:firstLine="560" w:firstLineChars="200"/>
        <w:rPr>
          <w:rFonts w:hint="default" w:ascii="仿宋" w:hAnsi="仿宋" w:eastAsia="仿宋" w:cs="仿宋"/>
          <w:color w:val="auto"/>
          <w:kern w:val="0"/>
          <w:sz w:val="28"/>
          <w:szCs w:val="28"/>
          <w:highlight w:val="none"/>
          <w:lang w:val="en-US" w:eastAsia="zh-CN"/>
        </w:rPr>
      </w:pPr>
      <w:r>
        <w:rPr>
          <w:rFonts w:hint="eastAsia" w:ascii="仿宋" w:hAnsi="仿宋" w:eastAsia="仿宋" w:cs="仿宋"/>
          <w:color w:val="auto"/>
          <w:sz w:val="28"/>
          <w:szCs w:val="28"/>
          <w:lang w:val="en-US" w:eastAsia="zh-CN"/>
        </w:rPr>
        <w:t>该项目的资金投入总估算为35000万元，财政核减后确定建设资金为30590万元，完成项目实际投入资金为26383万元，与项目最初资金申请额度35000万元相差8617万元，误差率为26.38%。</w:t>
      </w:r>
    </w:p>
    <w:p>
      <w:pPr>
        <w:keepNext w:val="0"/>
        <w:pageBreakBefore w:val="0"/>
        <w:kinsoku/>
        <w:topLinePunct w:val="0"/>
        <w:bidi w:val="0"/>
        <w:spacing w:line="240" w:lineRule="auto"/>
        <w:ind w:leftChars="0" w:firstLine="562" w:firstLineChars="200"/>
        <w:outlineLvl w:val="0"/>
        <w:rPr>
          <w:rFonts w:hint="eastAsia" w:ascii="黑体" w:hAnsi="黑体" w:eastAsia="黑体" w:cs="黑体"/>
          <w:b/>
          <w:bCs/>
          <w:color w:val="auto"/>
          <w:sz w:val="28"/>
          <w:szCs w:val="28"/>
          <w:lang w:val="en-US" w:eastAsia="zh-CN"/>
        </w:rPr>
      </w:pPr>
      <w:bookmarkStart w:id="153" w:name="_Toc20632"/>
      <w:r>
        <w:rPr>
          <w:rFonts w:hint="eastAsia" w:ascii="黑体" w:hAnsi="黑体" w:eastAsia="黑体" w:cs="黑体"/>
          <w:b/>
          <w:bCs/>
          <w:color w:val="auto"/>
          <w:sz w:val="28"/>
          <w:szCs w:val="28"/>
          <w:lang w:val="en-US" w:eastAsia="zh-CN"/>
        </w:rPr>
        <w:t>七、有关建议</w:t>
      </w:r>
      <w:bookmarkEnd w:id="153"/>
    </w:p>
    <w:p>
      <w:pPr>
        <w:keepNext w:val="0"/>
        <w:pageBreakBefore w:val="0"/>
        <w:kinsoku/>
        <w:topLinePunct w:val="0"/>
        <w:bidi w:val="0"/>
        <w:spacing w:line="240" w:lineRule="auto"/>
        <w:ind w:leftChars="0" w:firstLine="562" w:firstLineChars="200"/>
        <w:outlineLvl w:val="1"/>
        <w:rPr>
          <w:rFonts w:hint="default" w:ascii="楷体" w:hAnsi="楷体" w:eastAsia="楷体" w:cs="楷体"/>
          <w:b/>
          <w:bCs/>
          <w:i w:val="0"/>
          <w:iCs w:val="0"/>
          <w:color w:val="auto"/>
          <w:kern w:val="0"/>
          <w:sz w:val="28"/>
          <w:szCs w:val="28"/>
          <w:highlight w:val="none"/>
          <w:lang w:val="en-US" w:eastAsia="zh-CN"/>
        </w:rPr>
      </w:pPr>
      <w:bookmarkStart w:id="154" w:name="_Toc19926"/>
      <w:r>
        <w:rPr>
          <w:rFonts w:hint="eastAsia" w:ascii="楷体" w:hAnsi="楷体" w:eastAsia="楷体" w:cs="楷体"/>
          <w:b/>
          <w:bCs/>
          <w:i w:val="0"/>
          <w:iCs w:val="0"/>
          <w:color w:val="auto"/>
          <w:kern w:val="0"/>
          <w:sz w:val="28"/>
          <w:szCs w:val="28"/>
          <w:highlight w:val="none"/>
          <w:lang w:val="en-US" w:eastAsia="zh-CN"/>
        </w:rPr>
        <w:t>（一）加强对项目随时监管，对平台信息的填报进行现场核实</w:t>
      </w:r>
      <w:bookmarkEnd w:id="154"/>
    </w:p>
    <w:p>
      <w:pPr>
        <w:keepNext w:val="0"/>
        <w:pageBreakBefore w:val="0"/>
        <w:kinsoku/>
        <w:topLinePunct w:val="0"/>
        <w:bidi w:val="0"/>
        <w:spacing w:line="240" w:lineRule="auto"/>
        <w:ind w:leftChars="0" w:firstLine="560" w:firstLineChars="200"/>
        <w:outlineLvl w:val="9"/>
        <w:rPr>
          <w:rFonts w:hint="eastAsia"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日常监管直接责任单位</w:t>
      </w:r>
      <w:r>
        <w:rPr>
          <w:rFonts w:hint="eastAsia" w:ascii="仿宋" w:hAnsi="仿宋" w:eastAsia="仿宋" w:cs="仿宋"/>
          <w:b w:val="0"/>
          <w:bCs w:val="0"/>
          <w:color w:val="auto"/>
          <w:sz w:val="28"/>
          <w:szCs w:val="28"/>
          <w:lang w:val="en-US" w:eastAsia="zh-CN"/>
        </w:rPr>
        <w:t>应当</w:t>
      </w:r>
      <w:r>
        <w:rPr>
          <w:rFonts w:hint="default" w:ascii="仿宋" w:hAnsi="仿宋" w:eastAsia="仿宋" w:cs="仿宋"/>
          <w:b w:val="0"/>
          <w:bCs w:val="0"/>
          <w:color w:val="auto"/>
          <w:sz w:val="28"/>
          <w:szCs w:val="28"/>
          <w:lang w:val="en-US" w:eastAsia="zh-CN"/>
        </w:rPr>
        <w:t>要严格落实投资计划执行和项目实施的日常监管直接责任。日常监管直接责任单位中的监管责任人应随时掌握项目建设情况，</w:t>
      </w:r>
      <w:r>
        <w:rPr>
          <w:rFonts w:hint="eastAsia" w:ascii="仿宋" w:hAnsi="仿宋" w:eastAsia="仿宋" w:cs="仿宋"/>
          <w:b w:val="0"/>
          <w:bCs w:val="0"/>
          <w:color w:val="auto"/>
          <w:sz w:val="28"/>
          <w:szCs w:val="28"/>
          <w:lang w:val="en-US" w:eastAsia="zh-CN"/>
        </w:rPr>
        <w:t>不光</w:t>
      </w:r>
      <w:r>
        <w:rPr>
          <w:rFonts w:hint="default" w:ascii="仿宋" w:hAnsi="仿宋" w:eastAsia="仿宋" w:cs="仿宋"/>
          <w:b w:val="0"/>
          <w:bCs w:val="0"/>
          <w:color w:val="auto"/>
          <w:sz w:val="28"/>
          <w:szCs w:val="28"/>
          <w:lang w:val="en-US" w:eastAsia="zh-CN"/>
        </w:rPr>
        <w:t>做到开工到现场</w:t>
      </w:r>
      <w:r>
        <w:rPr>
          <w:rFonts w:hint="eastAsia" w:ascii="仿宋" w:hAnsi="仿宋" w:eastAsia="仿宋" w:cs="仿宋"/>
          <w:b w:val="0"/>
          <w:bCs w:val="0"/>
          <w:color w:val="auto"/>
          <w:sz w:val="28"/>
          <w:szCs w:val="28"/>
          <w:lang w:val="en-US" w:eastAsia="zh-CN"/>
        </w:rPr>
        <w:t>和</w:t>
      </w:r>
      <w:r>
        <w:rPr>
          <w:rFonts w:hint="default" w:ascii="仿宋" w:hAnsi="仿宋" w:eastAsia="仿宋" w:cs="仿宋"/>
          <w:b w:val="0"/>
          <w:bCs w:val="0"/>
          <w:color w:val="auto"/>
          <w:sz w:val="28"/>
          <w:szCs w:val="28"/>
          <w:lang w:val="en-US" w:eastAsia="zh-CN"/>
        </w:rPr>
        <w:t>竣工</w:t>
      </w:r>
      <w:r>
        <w:rPr>
          <w:rFonts w:hint="eastAsia" w:ascii="仿宋" w:hAnsi="仿宋" w:eastAsia="仿宋" w:cs="仿宋"/>
          <w:b w:val="0"/>
          <w:bCs w:val="0"/>
          <w:color w:val="auto"/>
          <w:sz w:val="28"/>
          <w:szCs w:val="28"/>
          <w:lang w:val="en-US" w:eastAsia="zh-CN"/>
        </w:rPr>
        <w:t>到现场，在建设过程中，对项目的进度信息填报的真实性进行核实，并及时向上级相关部门报告，努力做到问题早发现早解决。</w:t>
      </w:r>
    </w:p>
    <w:p>
      <w:pPr>
        <w:keepNext w:val="0"/>
        <w:pageBreakBefore w:val="0"/>
        <w:kinsoku/>
        <w:topLinePunct w:val="0"/>
        <w:bidi w:val="0"/>
        <w:spacing w:line="240" w:lineRule="auto"/>
        <w:ind w:leftChars="0" w:firstLine="562" w:firstLineChars="200"/>
        <w:outlineLvl w:val="1"/>
        <w:rPr>
          <w:rFonts w:hint="default" w:ascii="楷体" w:hAnsi="楷体" w:eastAsia="楷体" w:cs="楷体"/>
          <w:b/>
          <w:bCs/>
          <w:i w:val="0"/>
          <w:iCs w:val="0"/>
          <w:color w:val="auto"/>
          <w:kern w:val="0"/>
          <w:sz w:val="28"/>
          <w:szCs w:val="28"/>
          <w:highlight w:val="none"/>
          <w:lang w:val="en-US" w:eastAsia="zh-CN"/>
        </w:rPr>
      </w:pPr>
      <w:bookmarkStart w:id="155" w:name="_Toc29162"/>
      <w:r>
        <w:rPr>
          <w:rFonts w:hint="eastAsia" w:ascii="楷体" w:hAnsi="楷体" w:eastAsia="楷体" w:cs="楷体"/>
          <w:b/>
          <w:bCs/>
          <w:i w:val="0"/>
          <w:iCs w:val="0"/>
          <w:color w:val="auto"/>
          <w:kern w:val="0"/>
          <w:sz w:val="28"/>
          <w:szCs w:val="28"/>
          <w:highlight w:val="none"/>
          <w:lang w:val="en-US" w:eastAsia="zh-CN"/>
        </w:rPr>
        <w:t>（二）建立工作机制，制定监管计划</w:t>
      </w:r>
      <w:bookmarkEnd w:id="155"/>
    </w:p>
    <w:p>
      <w:pPr>
        <w:keepNext w:val="0"/>
        <w:pageBreakBefore w:val="0"/>
        <w:kinsoku/>
        <w:topLinePunct w:val="0"/>
        <w:bidi w:val="0"/>
        <w:spacing w:line="240" w:lineRule="auto"/>
        <w:ind w:leftChars="0" w:firstLine="560" w:firstLineChars="200"/>
        <w:outlineLvl w:val="9"/>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项目计划监督是项目管理过程中必不可少的一环，它涉及对项目计划的实际执行情况进行跟踪和监督，以确保项目进展顺利、达成预期目标。在项目计划监督过程中，需要关注项目进度、质量、成本等方面，及时发现问题和风险，并采取相应的措施来纠正偏差，确保项目达到预期目标，明确计划监督的时间表、频次和目标，建立一份详细的监督计划，并将其与项目计划进行对比，更容易发现项目在执行过程中的偏差和问题。</w:t>
      </w:r>
    </w:p>
    <w:p>
      <w:pPr>
        <w:keepNext w:val="0"/>
        <w:pageBreakBefore w:val="0"/>
        <w:kinsoku/>
        <w:topLinePunct w:val="0"/>
        <w:bidi w:val="0"/>
        <w:spacing w:line="240" w:lineRule="auto"/>
        <w:ind w:leftChars="0" w:firstLine="562" w:firstLineChars="200"/>
        <w:outlineLvl w:val="1"/>
        <w:rPr>
          <w:rFonts w:hint="default" w:ascii="楷体" w:hAnsi="楷体" w:eastAsia="楷体" w:cs="楷体"/>
          <w:b/>
          <w:bCs/>
          <w:i w:val="0"/>
          <w:iCs w:val="0"/>
          <w:color w:val="auto"/>
          <w:kern w:val="0"/>
          <w:sz w:val="28"/>
          <w:szCs w:val="28"/>
          <w:highlight w:val="none"/>
          <w:lang w:val="en-US" w:eastAsia="zh-CN"/>
        </w:rPr>
      </w:pPr>
      <w:bookmarkStart w:id="156" w:name="_Toc14245"/>
      <w:r>
        <w:rPr>
          <w:rFonts w:hint="eastAsia" w:ascii="楷体" w:hAnsi="楷体" w:eastAsia="楷体" w:cs="楷体"/>
          <w:b/>
          <w:bCs/>
          <w:i w:val="0"/>
          <w:iCs w:val="0"/>
          <w:color w:val="auto"/>
          <w:kern w:val="0"/>
          <w:sz w:val="28"/>
          <w:szCs w:val="28"/>
          <w:highlight w:val="none"/>
          <w:lang w:val="en-US" w:eastAsia="zh-CN"/>
        </w:rPr>
        <w:t>（三）</w:t>
      </w:r>
      <w:r>
        <w:rPr>
          <w:rFonts w:hint="eastAsia" w:ascii="楷体" w:hAnsi="楷体" w:eastAsia="楷体" w:cs="楷体"/>
          <w:b/>
          <w:bCs/>
          <w:i w:val="0"/>
          <w:iCs w:val="0"/>
          <w:color w:val="auto"/>
          <w:kern w:val="0"/>
          <w:sz w:val="28"/>
          <w:szCs w:val="28"/>
          <w:highlight w:val="none"/>
          <w:lang w:val="en-US" w:eastAsia="zh-CN" w:bidi="ar-SA"/>
        </w:rPr>
        <w:t>加强项目投入资金估算的准确性、科学性</w:t>
      </w:r>
      <w:bookmarkEnd w:id="156"/>
    </w:p>
    <w:p>
      <w:pPr>
        <w:pStyle w:val="16"/>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auto"/>
        <w:ind w:leftChars="0" w:right="0" w:rightChars="0" w:firstLine="560" w:firstLineChars="200"/>
        <w:jc w:val="left"/>
        <w:textAlignment w:val="auto"/>
        <w:outlineLvl w:val="9"/>
        <w:rPr>
          <w:rFonts w:hint="eastAsia" w:ascii="仿宋" w:hAnsi="仿宋" w:eastAsia="仿宋" w:cs="仿宋"/>
          <w:color w:val="FF0000"/>
          <w:sz w:val="28"/>
          <w:szCs w:val="28"/>
        </w:rPr>
      </w:pPr>
      <w:bookmarkStart w:id="157" w:name="_Toc29726"/>
      <w:bookmarkStart w:id="158" w:name="_Toc22227"/>
      <w:bookmarkStart w:id="159" w:name="_Toc10415"/>
      <w:bookmarkStart w:id="160" w:name="_Toc29372"/>
      <w:bookmarkStart w:id="161" w:name="_Toc14402"/>
      <w:r>
        <w:rPr>
          <w:rFonts w:hint="eastAsia" w:ascii="仿宋" w:hAnsi="仿宋" w:eastAsia="仿宋" w:cs="仿宋"/>
          <w:color w:val="auto"/>
          <w:sz w:val="28"/>
          <w:szCs w:val="28"/>
          <w:lang w:val="en-US" w:eastAsia="zh-CN"/>
        </w:rPr>
        <w:t>完善政府投资项目预算制度。进一步建立健全“估算控制概算，概算控制预算，预算控制结算”制度机制，要求资金申请单位要根据实际更精准的资金测算即资金预算结果进行上报，增强预算意识，高度认识预算编制工作，是政府与相关企业的共同责任，需要全员参与，共同做好预算编制</w:t>
      </w:r>
      <w:bookmarkEnd w:id="157"/>
      <w:bookmarkEnd w:id="158"/>
      <w:r>
        <w:rPr>
          <w:rFonts w:hint="eastAsia" w:ascii="仿宋" w:hAnsi="仿宋" w:eastAsia="仿宋" w:cs="仿宋"/>
          <w:bCs/>
          <w:color w:val="auto"/>
          <w:kern w:val="0"/>
          <w:sz w:val="28"/>
          <w:szCs w:val="28"/>
        </w:rPr>
        <w:t>。</w:t>
      </w:r>
      <w:bookmarkEnd w:id="159"/>
      <w:bookmarkEnd w:id="160"/>
      <w:bookmarkEnd w:id="161"/>
    </w:p>
    <w:p>
      <w:pPr>
        <w:keepNext w:val="0"/>
        <w:pageBreakBefore w:val="0"/>
        <w:kinsoku/>
        <w:topLinePunct w:val="0"/>
        <w:bidi w:val="0"/>
        <w:spacing w:line="240" w:lineRule="auto"/>
        <w:ind w:leftChars="0" w:firstLine="562" w:firstLineChars="200"/>
        <w:outlineLvl w:val="0"/>
        <w:rPr>
          <w:rFonts w:hint="eastAsia" w:ascii="黑体" w:hAnsi="黑体" w:eastAsia="黑体" w:cs="黑体"/>
          <w:b/>
          <w:bCs/>
          <w:color w:val="auto"/>
          <w:sz w:val="28"/>
          <w:szCs w:val="28"/>
          <w:lang w:val="en-US" w:eastAsia="zh-CN"/>
        </w:rPr>
      </w:pPr>
      <w:bookmarkStart w:id="162" w:name="_Toc18930"/>
      <w:r>
        <w:rPr>
          <w:rFonts w:hint="eastAsia" w:ascii="黑体" w:hAnsi="黑体" w:eastAsia="黑体" w:cs="黑体"/>
          <w:b/>
          <w:bCs/>
          <w:color w:val="auto"/>
          <w:sz w:val="28"/>
          <w:szCs w:val="28"/>
          <w:lang w:val="en-US" w:eastAsia="zh-CN"/>
        </w:rPr>
        <w:t>八、其他需要说明的问题</w:t>
      </w:r>
      <w:bookmarkEnd w:id="162"/>
    </w:p>
    <w:p>
      <w:pPr>
        <w:keepNext w:val="0"/>
        <w:pageBreakBefore w:val="0"/>
        <w:kinsoku/>
        <w:topLinePunct w:val="0"/>
        <w:bidi w:val="0"/>
        <w:spacing w:line="240" w:lineRule="auto"/>
        <w:ind w:leftChars="0" w:firstLine="560" w:firstLineChars="200"/>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1.本绩效评价报告是在</w:t>
      </w:r>
      <w:r>
        <w:rPr>
          <w:rFonts w:hint="eastAsia" w:ascii="仿宋" w:hAnsi="仿宋" w:eastAsia="仿宋" w:cs="仿宋"/>
          <w:color w:val="auto"/>
          <w:sz w:val="28"/>
          <w:szCs w:val="28"/>
          <w:highlight w:val="none"/>
          <w:lang w:val="en-US" w:eastAsia="zh-CN"/>
        </w:rPr>
        <w:t>本项目相关单位</w:t>
      </w:r>
      <w:r>
        <w:rPr>
          <w:rFonts w:hint="eastAsia" w:ascii="仿宋" w:hAnsi="仿宋" w:eastAsia="仿宋" w:cs="仿宋"/>
          <w:color w:val="auto"/>
          <w:sz w:val="28"/>
          <w:szCs w:val="28"/>
          <w:highlight w:val="none"/>
        </w:rPr>
        <w:t>提供资料基础上形成的。</w:t>
      </w:r>
    </w:p>
    <w:p>
      <w:pPr>
        <w:pStyle w:val="17"/>
        <w:keepNext w:val="0"/>
        <w:pageBreakBefore w:val="0"/>
        <w:widowControl w:val="0"/>
        <w:kinsoku/>
        <w:wordWrap/>
        <w:overflowPunct/>
        <w:topLinePunct w:val="0"/>
        <w:autoSpaceDE/>
        <w:autoSpaceDN/>
        <w:bidi w:val="0"/>
        <w:adjustRightInd/>
        <w:snapToGrid/>
        <w:spacing w:after="0" w:line="240" w:lineRule="auto"/>
        <w:ind w:left="0" w:leftChars="0" w:right="0" w:firstLine="560" w:firstLineChars="200"/>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2.本绩效评价报告仅供</w:t>
      </w:r>
      <w:r>
        <w:rPr>
          <w:rFonts w:hint="eastAsia" w:ascii="仿宋" w:hAnsi="仿宋" w:eastAsia="仿宋" w:cs="仿宋"/>
          <w:color w:val="auto"/>
          <w:sz w:val="28"/>
          <w:szCs w:val="28"/>
          <w:highlight w:val="none"/>
          <w:lang w:val="en-US" w:eastAsia="zh-CN"/>
        </w:rPr>
        <w:t>泉州市石狮市财政局和石狮市发展和改革局</w:t>
      </w:r>
      <w:r>
        <w:rPr>
          <w:rFonts w:hint="eastAsia" w:ascii="仿宋" w:hAnsi="仿宋" w:eastAsia="仿宋" w:cs="仿宋"/>
          <w:color w:val="auto"/>
          <w:sz w:val="28"/>
          <w:szCs w:val="28"/>
          <w:highlight w:val="none"/>
        </w:rPr>
        <w:t>开展</w:t>
      </w:r>
      <w:r>
        <w:rPr>
          <w:rFonts w:hint="eastAsia" w:ascii="仿宋" w:hAnsi="仿宋" w:eastAsia="仿宋" w:cs="仿宋"/>
          <w:color w:val="auto"/>
          <w:sz w:val="28"/>
          <w:szCs w:val="28"/>
          <w:highlight w:val="none"/>
          <w:lang w:val="en-US" w:eastAsia="zh-CN"/>
        </w:rPr>
        <w:t>污染治理和节能减碳专项（节能减碳方向）2022年第二批中央预算内投资资金项目绩效评价</w:t>
      </w:r>
      <w:r>
        <w:rPr>
          <w:rFonts w:hint="eastAsia" w:ascii="仿宋" w:hAnsi="仿宋" w:eastAsia="仿宋" w:cs="仿宋"/>
          <w:color w:val="auto"/>
          <w:sz w:val="28"/>
          <w:szCs w:val="28"/>
          <w:highlight w:val="none"/>
        </w:rPr>
        <w:t>相关工作使用，不作他用。</w:t>
      </w:r>
    </w:p>
    <w:p>
      <w:pPr>
        <w:pStyle w:val="17"/>
        <w:keepNext w:val="0"/>
        <w:pageBreakBefore w:val="0"/>
        <w:widowControl w:val="0"/>
        <w:kinsoku/>
        <w:wordWrap/>
        <w:overflowPunct/>
        <w:topLinePunct w:val="0"/>
        <w:autoSpaceDE/>
        <w:autoSpaceDN/>
        <w:bidi w:val="0"/>
        <w:adjustRightInd/>
        <w:snapToGrid/>
        <w:spacing w:after="0" w:line="240" w:lineRule="auto"/>
        <w:ind w:left="0" w:leftChars="0" w:right="0" w:firstLine="560" w:firstLineChars="200"/>
        <w:textAlignment w:val="auto"/>
        <w:rPr>
          <w:rFonts w:hint="eastAsia" w:ascii="仿宋" w:hAnsi="仿宋" w:eastAsia="仿宋" w:cs="仿宋"/>
          <w:color w:val="FF0000"/>
          <w:sz w:val="28"/>
          <w:szCs w:val="28"/>
          <w:highlight w:val="none"/>
          <w:lang w:val="en-US" w:eastAsia="zh-CN"/>
        </w:rPr>
      </w:pPr>
    </w:p>
    <w:p>
      <w:pPr>
        <w:keepNext w:val="0"/>
        <w:pageBreakBefore w:val="0"/>
        <w:kinsoku/>
        <w:topLinePunct w:val="0"/>
        <w:bidi w:val="0"/>
        <w:spacing w:line="240" w:lineRule="auto"/>
        <w:ind w:leftChars="0" w:firstLine="562" w:firstLineChars="200"/>
        <w:outlineLvl w:val="0"/>
        <w:rPr>
          <w:rFonts w:hint="eastAsia" w:ascii="黑体" w:hAnsi="黑体" w:eastAsia="黑体" w:cs="黑体"/>
          <w:b/>
          <w:bCs/>
          <w:color w:val="auto"/>
          <w:sz w:val="28"/>
          <w:szCs w:val="28"/>
          <w:lang w:val="en-US" w:eastAsia="zh-CN"/>
        </w:rPr>
      </w:pPr>
      <w:bookmarkStart w:id="163" w:name="_Toc32636"/>
      <w:r>
        <w:rPr>
          <w:rFonts w:hint="eastAsia" w:ascii="黑体" w:hAnsi="黑体" w:eastAsia="黑体" w:cs="黑体"/>
          <w:b/>
          <w:bCs/>
          <w:color w:val="auto"/>
          <w:sz w:val="28"/>
          <w:szCs w:val="28"/>
          <w:lang w:val="en-US" w:eastAsia="zh-CN"/>
        </w:rPr>
        <w:t>九、附件</w:t>
      </w:r>
      <w:bookmarkEnd w:id="163"/>
    </w:p>
    <w:p>
      <w:pPr>
        <w:pStyle w:val="17"/>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leftChars="0" w:right="0" w:rightChars="0" w:firstLine="560" w:firstLineChars="200"/>
        <w:jc w:val="both"/>
        <w:textAlignment w:val="auto"/>
        <w:outlineLvl w:val="0"/>
        <w:rPr>
          <w:rFonts w:hint="eastAsia" w:ascii="仿宋" w:hAnsi="仿宋" w:eastAsia="仿宋" w:cs="仿宋"/>
          <w:b w:val="0"/>
          <w:bCs w:val="0"/>
          <w:color w:val="auto"/>
          <w:sz w:val="28"/>
          <w:szCs w:val="28"/>
          <w:lang w:val="en-US" w:eastAsia="zh-CN"/>
        </w:rPr>
      </w:pPr>
      <w:bookmarkStart w:id="164" w:name="_Toc30287"/>
      <w:bookmarkStart w:id="165" w:name="_Toc30020"/>
      <w:bookmarkStart w:id="166" w:name="_Toc24188"/>
      <w:bookmarkStart w:id="167" w:name="_Toc16365"/>
      <w:bookmarkStart w:id="168" w:name="_Toc28545"/>
      <w:bookmarkStart w:id="169" w:name="_Toc28535"/>
      <w:bookmarkStart w:id="170" w:name="_Toc25142"/>
      <w:bookmarkStart w:id="171" w:name="_Toc20307"/>
      <w:bookmarkStart w:id="172" w:name="_Toc17238"/>
      <w:bookmarkStart w:id="173" w:name="_Toc22104"/>
      <w:r>
        <w:rPr>
          <w:rFonts w:hint="eastAsia" w:ascii="仿宋" w:hAnsi="仿宋" w:eastAsia="仿宋" w:cs="仿宋"/>
          <w:b w:val="0"/>
          <w:bCs w:val="0"/>
          <w:color w:val="auto"/>
          <w:sz w:val="28"/>
          <w:szCs w:val="28"/>
          <w:highlight w:val="none"/>
          <w:lang w:val="en-US" w:eastAsia="zh-CN"/>
        </w:rPr>
        <w:t xml:space="preserve">附件1 </w:t>
      </w:r>
      <w:r>
        <w:rPr>
          <w:rFonts w:hint="eastAsia" w:ascii="仿宋" w:hAnsi="仿宋" w:eastAsia="仿宋" w:cs="仿宋"/>
          <w:b w:val="0"/>
          <w:bCs w:val="0"/>
          <w:color w:val="auto"/>
          <w:sz w:val="28"/>
          <w:szCs w:val="28"/>
          <w:lang w:val="en-US" w:eastAsia="zh-CN"/>
        </w:rPr>
        <w:t>污染治理和节能减碳专项（节能减碳方向）2022年第二批中央预算内投资绩效评价指标体系表</w:t>
      </w:r>
      <w:bookmarkEnd w:id="164"/>
      <w:bookmarkEnd w:id="165"/>
      <w:bookmarkEnd w:id="166"/>
      <w:bookmarkEnd w:id="167"/>
      <w:bookmarkEnd w:id="168"/>
      <w:bookmarkEnd w:id="169"/>
      <w:bookmarkEnd w:id="170"/>
      <w:bookmarkEnd w:id="171"/>
      <w:bookmarkEnd w:id="172"/>
      <w:bookmarkEnd w:id="173"/>
    </w:p>
    <w:p>
      <w:pPr>
        <w:pStyle w:val="17"/>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leftChars="0" w:right="0" w:rightChars="0" w:firstLine="560" w:firstLineChars="200"/>
        <w:jc w:val="both"/>
        <w:textAlignment w:val="auto"/>
        <w:outlineLvl w:val="0"/>
        <w:rPr>
          <w:rFonts w:hint="eastAsia" w:ascii="仿宋" w:hAnsi="仿宋" w:eastAsia="仿宋" w:cs="仿宋"/>
          <w:b w:val="0"/>
          <w:bCs w:val="0"/>
          <w:color w:val="auto"/>
          <w:sz w:val="28"/>
          <w:szCs w:val="28"/>
          <w:lang w:val="en-US" w:eastAsia="zh-CN"/>
        </w:rPr>
      </w:pPr>
      <w:bookmarkStart w:id="174" w:name="_Toc15413"/>
      <w:bookmarkStart w:id="175" w:name="_Toc25551"/>
      <w:r>
        <w:rPr>
          <w:rFonts w:hint="eastAsia" w:ascii="仿宋" w:hAnsi="仿宋" w:eastAsia="仿宋" w:cs="仿宋"/>
          <w:b w:val="0"/>
          <w:bCs w:val="0"/>
          <w:color w:val="auto"/>
          <w:sz w:val="28"/>
          <w:szCs w:val="28"/>
          <w:highlight w:val="none"/>
          <w:lang w:val="en-US" w:eastAsia="zh-CN"/>
        </w:rPr>
        <w:t xml:space="preserve">附件2 </w:t>
      </w:r>
      <w:r>
        <w:rPr>
          <w:rFonts w:hint="eastAsia" w:ascii="仿宋" w:hAnsi="仿宋" w:eastAsia="仿宋" w:cs="仿宋"/>
          <w:b w:val="0"/>
          <w:bCs w:val="0"/>
          <w:color w:val="auto"/>
          <w:sz w:val="28"/>
          <w:szCs w:val="28"/>
          <w:lang w:val="en-US" w:eastAsia="zh-CN"/>
        </w:rPr>
        <w:t>项目申报绩效目标表</w:t>
      </w:r>
      <w:bookmarkEnd w:id="174"/>
      <w:bookmarkEnd w:id="175"/>
    </w:p>
    <w:p>
      <w:pPr>
        <w:pStyle w:val="17"/>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leftChars="0" w:right="0" w:rightChars="0" w:firstLine="560" w:firstLineChars="200"/>
        <w:jc w:val="both"/>
        <w:textAlignment w:val="auto"/>
        <w:outlineLvl w:val="0"/>
        <w:rPr>
          <w:rFonts w:hint="default" w:ascii="仿宋" w:hAnsi="仿宋" w:eastAsia="仿宋" w:cs="仿宋"/>
          <w:b w:val="0"/>
          <w:bCs w:val="0"/>
          <w:color w:val="auto"/>
          <w:sz w:val="28"/>
          <w:szCs w:val="28"/>
          <w:lang w:val="en-US" w:eastAsia="zh-CN"/>
        </w:rPr>
      </w:pPr>
      <w:bookmarkStart w:id="176" w:name="_Toc21437"/>
      <w:bookmarkStart w:id="177" w:name="_Toc29256"/>
      <w:r>
        <w:rPr>
          <w:rFonts w:hint="eastAsia" w:ascii="仿宋" w:hAnsi="仿宋" w:eastAsia="仿宋" w:cs="仿宋"/>
          <w:b w:val="0"/>
          <w:bCs w:val="0"/>
          <w:color w:val="auto"/>
          <w:sz w:val="28"/>
          <w:szCs w:val="28"/>
          <w:highlight w:val="none"/>
          <w:lang w:val="en-US" w:eastAsia="zh-CN"/>
        </w:rPr>
        <w:t>附件3 实施单位项目绩效目标表</w:t>
      </w:r>
      <w:bookmarkEnd w:id="176"/>
      <w:bookmarkEnd w:id="177"/>
    </w:p>
    <w:p>
      <w:pPr>
        <w:pStyle w:val="17"/>
        <w:keepNext w:val="0"/>
        <w:pageBreakBefore w:val="0"/>
        <w:widowControl w:val="0"/>
        <w:numPr>
          <w:ilvl w:val="0"/>
          <w:numId w:val="0"/>
        </w:numPr>
        <w:kinsoku/>
        <w:wordWrap/>
        <w:overflowPunct/>
        <w:topLinePunct w:val="0"/>
        <w:autoSpaceDE/>
        <w:autoSpaceDN/>
        <w:bidi w:val="0"/>
        <w:adjustRightInd/>
        <w:snapToGrid/>
        <w:spacing w:after="0" w:line="240" w:lineRule="auto"/>
        <w:ind w:leftChars="0" w:right="0" w:rightChars="0"/>
        <w:jc w:val="both"/>
        <w:textAlignment w:val="auto"/>
        <w:rPr>
          <w:rFonts w:hint="eastAsia" w:ascii="仿宋" w:hAnsi="仿宋" w:eastAsia="仿宋" w:cs="仿宋"/>
          <w:color w:val="FF0000"/>
          <w:sz w:val="28"/>
          <w:szCs w:val="28"/>
          <w:highlight w:val="none"/>
          <w:lang w:val="en-US" w:eastAsia="zh-CN"/>
        </w:rPr>
      </w:pPr>
    </w:p>
    <w:p>
      <w:pPr>
        <w:pStyle w:val="17"/>
        <w:keepNext w:val="0"/>
        <w:pageBreakBefore w:val="0"/>
        <w:widowControl w:val="0"/>
        <w:numPr>
          <w:ilvl w:val="0"/>
          <w:numId w:val="0"/>
        </w:numPr>
        <w:kinsoku/>
        <w:wordWrap/>
        <w:overflowPunct/>
        <w:topLinePunct w:val="0"/>
        <w:autoSpaceDE/>
        <w:autoSpaceDN/>
        <w:bidi w:val="0"/>
        <w:adjustRightInd/>
        <w:snapToGrid/>
        <w:spacing w:after="0" w:line="240" w:lineRule="auto"/>
        <w:ind w:leftChars="0" w:right="0" w:rightChars="0"/>
        <w:jc w:val="both"/>
        <w:textAlignment w:val="auto"/>
        <w:rPr>
          <w:rFonts w:hint="eastAsia" w:ascii="仿宋" w:hAnsi="仿宋" w:eastAsia="仿宋" w:cs="仿宋"/>
          <w:color w:val="FF0000"/>
          <w:sz w:val="28"/>
          <w:szCs w:val="28"/>
          <w:highlight w:val="none"/>
          <w:lang w:val="en-US" w:eastAsia="zh-CN"/>
        </w:rPr>
        <w:sectPr>
          <w:headerReference r:id="rId8" w:type="default"/>
          <w:pgSz w:w="11906" w:h="16838"/>
          <w:pgMar w:top="1440" w:right="1519" w:bottom="1440" w:left="1587"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keepNext w:val="0"/>
        <w:pageBreakBefore w:val="0"/>
        <w:kinsoku/>
        <w:topLinePunct w:val="0"/>
        <w:bidi w:val="0"/>
        <w:spacing w:line="240" w:lineRule="auto"/>
        <w:ind w:leftChars="0"/>
        <w:outlineLvl w:val="9"/>
        <w:rPr>
          <w:rFonts w:hint="default" w:ascii="仿宋" w:hAnsi="仿宋" w:eastAsia="仿宋" w:cs="仿宋"/>
          <w:b/>
          <w:bCs/>
          <w:color w:val="auto"/>
          <w:sz w:val="28"/>
          <w:szCs w:val="28"/>
          <w:lang w:val="en-US" w:eastAsia="zh-CN"/>
        </w:rPr>
      </w:pPr>
      <w:bookmarkStart w:id="178" w:name="_Toc22639"/>
      <w:bookmarkStart w:id="179" w:name="_Toc26574"/>
      <w:bookmarkStart w:id="180" w:name="_Toc18385"/>
      <w:r>
        <w:rPr>
          <w:rFonts w:hint="eastAsia" w:ascii="仿宋" w:hAnsi="仿宋" w:eastAsia="仿宋" w:cs="仿宋"/>
          <w:b/>
          <w:bCs/>
          <w:color w:val="auto"/>
          <w:sz w:val="28"/>
          <w:szCs w:val="28"/>
          <w:lang w:val="en-US" w:eastAsia="zh-CN"/>
        </w:rPr>
        <w:t>附件1 污染治理和节能减碳专项（节能减碳方向）2022年第二批中央预算内投资绩效评价指标体系</w:t>
      </w:r>
      <w:bookmarkEnd w:id="178"/>
      <w:bookmarkEnd w:id="179"/>
      <w:r>
        <w:rPr>
          <w:rFonts w:hint="eastAsia" w:ascii="仿宋" w:hAnsi="仿宋" w:eastAsia="仿宋" w:cs="仿宋"/>
          <w:b/>
          <w:bCs/>
          <w:color w:val="auto"/>
          <w:sz w:val="28"/>
          <w:szCs w:val="28"/>
          <w:lang w:val="en-US" w:eastAsia="zh-CN"/>
        </w:rPr>
        <w:t>评分表</w:t>
      </w:r>
      <w:bookmarkEnd w:id="180"/>
    </w:p>
    <w:tbl>
      <w:tblPr>
        <w:tblStyle w:val="18"/>
        <w:tblW w:w="14814" w:type="dxa"/>
        <w:tblInd w:w="-21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82"/>
        <w:gridCol w:w="1087"/>
        <w:gridCol w:w="1294"/>
        <w:gridCol w:w="844"/>
        <w:gridCol w:w="9930"/>
        <w:gridCol w:w="77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882"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一级</w:t>
            </w:r>
            <w:r>
              <w:rPr>
                <w:rFonts w:hint="eastAsia" w:ascii="仿宋" w:hAnsi="仿宋" w:eastAsia="仿宋" w:cs="仿宋"/>
                <w:b/>
                <w:bCs/>
                <w:i w:val="0"/>
                <w:iCs w:val="0"/>
                <w:color w:val="000000"/>
                <w:kern w:val="0"/>
                <w:sz w:val="22"/>
                <w:szCs w:val="22"/>
                <w:u w:val="none"/>
                <w:lang w:val="en-US" w:eastAsia="zh-CN" w:bidi="ar"/>
              </w:rPr>
              <w:br w:type="textWrapping"/>
            </w:r>
            <w:r>
              <w:rPr>
                <w:rFonts w:hint="eastAsia" w:ascii="仿宋" w:hAnsi="仿宋" w:eastAsia="仿宋" w:cs="仿宋"/>
                <w:b/>
                <w:bCs/>
                <w:i w:val="0"/>
                <w:iCs w:val="0"/>
                <w:color w:val="000000"/>
                <w:kern w:val="0"/>
                <w:sz w:val="22"/>
                <w:szCs w:val="22"/>
                <w:u w:val="none"/>
                <w:lang w:val="en-US" w:eastAsia="zh-CN" w:bidi="ar"/>
              </w:rPr>
              <w:t>指标</w:t>
            </w:r>
          </w:p>
        </w:tc>
        <w:tc>
          <w:tcPr>
            <w:tcW w:w="108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二级</w:t>
            </w:r>
            <w:r>
              <w:rPr>
                <w:rFonts w:hint="eastAsia" w:ascii="仿宋" w:hAnsi="仿宋" w:eastAsia="仿宋" w:cs="仿宋"/>
                <w:b/>
                <w:bCs/>
                <w:i w:val="0"/>
                <w:iCs w:val="0"/>
                <w:color w:val="000000"/>
                <w:kern w:val="0"/>
                <w:sz w:val="22"/>
                <w:szCs w:val="22"/>
                <w:u w:val="none"/>
                <w:lang w:val="en-US" w:eastAsia="zh-CN" w:bidi="ar"/>
              </w:rPr>
              <w:br w:type="textWrapping"/>
            </w:r>
            <w:r>
              <w:rPr>
                <w:rFonts w:hint="eastAsia" w:ascii="仿宋" w:hAnsi="仿宋" w:eastAsia="仿宋" w:cs="仿宋"/>
                <w:b/>
                <w:bCs/>
                <w:i w:val="0"/>
                <w:iCs w:val="0"/>
                <w:color w:val="000000"/>
                <w:kern w:val="0"/>
                <w:sz w:val="22"/>
                <w:szCs w:val="22"/>
                <w:u w:val="none"/>
                <w:lang w:val="en-US" w:eastAsia="zh-CN" w:bidi="ar"/>
              </w:rPr>
              <w:t>指标</w:t>
            </w:r>
          </w:p>
        </w:tc>
        <w:tc>
          <w:tcPr>
            <w:tcW w:w="1294"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三级指标</w:t>
            </w:r>
          </w:p>
        </w:tc>
        <w:tc>
          <w:tcPr>
            <w:tcW w:w="844"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分值</w:t>
            </w:r>
          </w:p>
        </w:tc>
        <w:tc>
          <w:tcPr>
            <w:tcW w:w="9930"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指标说明/评价要点</w:t>
            </w:r>
          </w:p>
        </w:tc>
        <w:tc>
          <w:tcPr>
            <w:tcW w:w="77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评价得分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2" w:hRule="atLeast"/>
        </w:trPr>
        <w:tc>
          <w:tcPr>
            <w:tcW w:w="8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决策</w:t>
            </w:r>
          </w:p>
        </w:tc>
        <w:tc>
          <w:tcPr>
            <w:tcW w:w="108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项目立项</w:t>
            </w:r>
          </w:p>
        </w:tc>
        <w:tc>
          <w:tcPr>
            <w:tcW w:w="12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立项依据</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充分性</w:t>
            </w: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（1）项目是否符合国家相关法律法规、国民经济发展规划和党委政府决策；（2）项目是否有效缓解供需矛盾，弥补对有效需求的供应不足；（3）项目是否为促进事业发展所必需。满足其中一项得2分。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00"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2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项目实施的必要性、急迫性；（2）项目的技术可行性：项目技术线路/选型/方案/措施选择以及选址、规模等合理可行；（3）项目经济可行性：项目成本造价合理，资金来源有保障；（4）项目预期产出数量、质量、时效符合正常水平。每项0.5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1"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2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立项程序</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规范性</w:t>
            </w: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（1）项目是否符合申报条件；（2）项目申报、设立程序符合相关规定，或通过“一事一议”等问需于民的方式，确定项目建设内容、建设方式、筹资筹劳及管护制度，相关手续完善。每项1分。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0"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2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所提交的文件、材料是否符合相关要求，内容规范完整，包括立项申请、施工图、概预算、实施方案、规划编制等规范完整。内容规范完整2分，否则0分。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1"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绩效目标</w:t>
            </w:r>
          </w:p>
        </w:tc>
        <w:tc>
          <w:tcPr>
            <w:tcW w:w="12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绩效目标</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合理性</w:t>
            </w: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绩效目标明确、合理，项目预期产出效益和效果符合正常水平。符合得4分，每不符合一项扣1分，最多扣4分。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2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绩效指标</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明确性</w:t>
            </w: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将绩效目标分解为具体绩效指标、阶段性绩效指标，绩效指标清晰、细化、可衡量。符合得4分，每不符合一项扣1分，最多扣4分。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7"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资金投入</w:t>
            </w:r>
          </w:p>
        </w:tc>
        <w:tc>
          <w:tcPr>
            <w:tcW w:w="12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预算编制</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科学性</w:t>
            </w: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（1）预算编制是否经过科学论证；（2）预算内容与项目内容是否匹配；（3）预算额度测算依据是否充分，是否按照标准编制；（4）预算确定的项目投资额或资金量是否与工作任务相匹配。每项1分。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5"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2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资金分配</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合理性</w:t>
            </w: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（1）预算资金分配依据是否充分；（2）资金分配额度是否合理，与项目单位或地方实际是否相适应。每项2分。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4" w:hRule="atLeast"/>
        </w:trPr>
        <w:tc>
          <w:tcPr>
            <w:tcW w:w="8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过程</w:t>
            </w:r>
          </w:p>
        </w:tc>
        <w:tc>
          <w:tcPr>
            <w:tcW w:w="108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资金管理</w:t>
            </w:r>
          </w:p>
        </w:tc>
        <w:tc>
          <w:tcPr>
            <w:tcW w:w="12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资金到位</w:t>
            </w: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实际到位资金与计划投入资金的比率。资金到位率=（实际到位资金/计划投入资金）×100%。资金到位率≤60%，得零分；60%&lt;资金到位率&lt;100%，得0.5分；资金到位率≥100%，得满分。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25"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2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到位及时率=（及时到位资金/应到位资金）×100%。及时到位资金：截至规定时点实际落实到具体项目的资金。应到位资金：按照合同或项目进度要求截至规定时点应落实到位的资金。到位及时率≤60%，得零分；60%&lt;到位及时率&lt;100%，得0.5分；到位及时率≥100%，得满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0"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2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预算执行</w:t>
            </w: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预算执行率=（实际支出资金/实际到位资金）×100%。实际支出资金：一定时期（本年度或项目期）内项目实际拨付的资金。预算执行率≤60%，得零分；60%&lt;预算执行率&lt;100%，得1分；预算执行率≥100%，得满分。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5"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2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资金使用合规性</w:t>
            </w: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（1）资金使用是否履行审批程序，审批手续是否到位；（2）相关凭据是否完整合规。每符合一项0.5分。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2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（1）资金支付程序是否规范，支付方式是否符合规定</w:t>
            </w:r>
            <w:bookmarkStart w:id="181" w:name="_GoBack"/>
            <w:bookmarkEnd w:id="181"/>
            <w:r>
              <w:rPr>
                <w:rFonts w:hint="eastAsia" w:ascii="仿宋" w:hAnsi="仿宋" w:eastAsia="仿宋" w:cs="仿宋"/>
                <w:i w:val="0"/>
                <w:iCs w:val="0"/>
                <w:color w:val="000000"/>
                <w:kern w:val="0"/>
                <w:sz w:val="20"/>
                <w:szCs w:val="20"/>
                <w:u w:val="none"/>
                <w:lang w:val="en-US" w:eastAsia="zh-CN" w:bidi="ar"/>
              </w:rPr>
              <w:t>；（2）资金支付是否及时，是否按照财务管理制度或合同约定方式支付。每符合一项0.5分。</w:t>
            </w:r>
          </w:p>
        </w:tc>
        <w:tc>
          <w:tcPr>
            <w:tcW w:w="7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0"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2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（1）是否符合项目预算批复或合同规定的用途；（2）是否存在截留、挤占、挪用、虚列支出等情况。符合1分，有一项不符合0分。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0"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2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资金使用是否按规定进行财务核算，是否真实、完整、清晰、及时反映项目收支情况。符合1分，有一项不符合扣0.5分，扣完为止。</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2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（1）是否已制定或具有相应的财务监控管理机制、计划或方案；（2）监控措施是否保障资金按规定运行，能及时发现问题并及时改善。每符合一项得1分。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0"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业务</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管理</w:t>
            </w:r>
          </w:p>
        </w:tc>
        <w:tc>
          <w:tcPr>
            <w:tcW w:w="12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组织管理</w:t>
            </w: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（1）是否健全组织机构并落实专人负责；（2）机构运转协调、有效，建立协调会签机制。每符合一项1分。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2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制度建立</w:t>
            </w: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（1）是否已制定或具有相应的业务管理制度；（2）业务管理制度是否合法、合规、完整。每符合一项2分。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0"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2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制度执行有效性</w:t>
            </w: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建设程序是否符合《污染治理和节能减碳中央预算内投资专项管理办法》中要求的“项目法人责任制、招投标制、工程监理制、合同管理制以及中央预算内投资项目管理的有关规定”是否完善相关手续。全部符合4分，不符合0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40"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2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日常监管直接责任单位中的监管责任人应随时掌握项目建设情况，做到开工到现场、建设到现场、竣工到现场。全部符合4分，不符合0分。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2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项目完工是否按规定进行验收。全部符合1分，部分符合0.5分，不符合0分。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2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项目建设相关资料是否齐全及时归档。全部符合1分，部分符合0.5分，不符合0分。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2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项目质量可控性</w:t>
            </w: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项目实施单位是否已制定或具有相应的质量要求和标准，并符合相关国家标准、行业标准/规范。全部符合1分，部分符合0.5分，不符合0分。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2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项目实施单位是否为达到质量标准而采取必要措施，包括质量监理、群众监督、质量检查、项目验收等必要的控制措施和手段。全部符合1分，部分符合0.5分，不符合0分。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8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产出</w:t>
            </w:r>
          </w:p>
        </w:tc>
        <w:tc>
          <w:tcPr>
            <w:tcW w:w="1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产出数量</w:t>
            </w:r>
          </w:p>
        </w:tc>
        <w:tc>
          <w:tcPr>
            <w:tcW w:w="12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实际完成率</w:t>
            </w: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项目年度实施内容完成率=（当年实际完成实施内容的总量/当年计划完成实施内容的总量）×100%。</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产出质量</w:t>
            </w:r>
          </w:p>
        </w:tc>
        <w:tc>
          <w:tcPr>
            <w:tcW w:w="12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竣工验收质量合格率</w:t>
            </w: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施工符合设计要求，质量验收全部合格以上，每存在一处问题扣1分。通过监理报告与竣工验收等材料，因施工质量问题导致的第一次正式验收不合格的不得分。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产出时效</w:t>
            </w:r>
          </w:p>
        </w:tc>
        <w:tc>
          <w:tcPr>
            <w:tcW w:w="12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完成及时率</w:t>
            </w: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7</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按照项目进度计划，项目实施内容完成及时率=（实际完成时间/计划完成时间）×100%。完成及时率≥150%，得零分；100%&lt;完成及时率&lt;150%，得分=满分-（完成及时率-1）*分值；完成及时率≤100%，得满分。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8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产出成本</w:t>
            </w:r>
          </w:p>
        </w:tc>
        <w:tc>
          <w:tcPr>
            <w:tcW w:w="12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项目资金申请估算误差率</w:t>
            </w: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7</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项目资金申请估算误差率=[（项目计划成本-项目实际成本）/项目计划成本]×100%。项目资金估算误差率≤10%，得满分；每增加5%降低权重分的20%。</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882" w:type="dxa"/>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效益</w:t>
            </w:r>
          </w:p>
        </w:tc>
        <w:tc>
          <w:tcPr>
            <w:tcW w:w="1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经济效应</w:t>
            </w:r>
          </w:p>
        </w:tc>
        <w:tc>
          <w:tcPr>
            <w:tcW w:w="12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项目投资收益</w:t>
            </w: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达到项目预期收益能力，达到得满分，未达到不得分</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882"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预期社会效益</w:t>
            </w:r>
          </w:p>
        </w:tc>
        <w:tc>
          <w:tcPr>
            <w:tcW w:w="12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就业率提高</w:t>
            </w: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为当地提供一定的就业岗位，而且通过带动当地相关产业的发展，可提高当地就业率，增加居民收入，有利于改善居民生活水平。</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882"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预期环境效益</w:t>
            </w:r>
          </w:p>
        </w:tc>
        <w:tc>
          <w:tcPr>
            <w:tcW w:w="12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环境保护效应</w:t>
            </w: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Style w:val="43"/>
                <w:lang w:val="en-US" w:eastAsia="zh-CN" w:bidi="ar"/>
              </w:rPr>
              <w:t>有效缓解</w:t>
            </w:r>
            <w:r>
              <w:rPr>
                <w:rFonts w:hint="default" w:ascii="Times New Roman" w:hAnsi="Times New Roman" w:eastAsia="仿宋" w:cs="Times New Roman"/>
                <w:i w:val="0"/>
                <w:iCs w:val="0"/>
                <w:color w:val="000000"/>
                <w:kern w:val="0"/>
                <w:sz w:val="20"/>
                <w:szCs w:val="20"/>
                <w:u w:val="none"/>
                <w:lang w:val="en-US" w:eastAsia="zh-CN" w:bidi="ar"/>
              </w:rPr>
              <w:t>“</w:t>
            </w:r>
            <w:r>
              <w:rPr>
                <w:rStyle w:val="43"/>
                <w:lang w:val="en-US" w:eastAsia="zh-CN" w:bidi="ar"/>
              </w:rPr>
              <w:t>白色污染</w:t>
            </w:r>
            <w:r>
              <w:rPr>
                <w:rFonts w:hint="default" w:ascii="Times New Roman" w:hAnsi="Times New Roman" w:eastAsia="仿宋" w:cs="Times New Roman"/>
                <w:i w:val="0"/>
                <w:iCs w:val="0"/>
                <w:color w:val="000000"/>
                <w:kern w:val="0"/>
                <w:sz w:val="20"/>
                <w:szCs w:val="20"/>
                <w:u w:val="none"/>
                <w:lang w:val="en-US" w:eastAsia="zh-CN" w:bidi="ar"/>
              </w:rPr>
              <w:t>”</w:t>
            </w:r>
            <w:r>
              <w:rPr>
                <w:rStyle w:val="43"/>
                <w:lang w:val="en-US" w:eastAsia="zh-CN" w:bidi="ar"/>
              </w:rPr>
              <w:t>问题，减轻对区域环境的影响、防止环境纠纷的发生。</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882"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1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预期可持续效益</w:t>
            </w:r>
          </w:p>
        </w:tc>
        <w:tc>
          <w:tcPr>
            <w:tcW w:w="12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效果可持续性</w:t>
            </w: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项目实施后，作用和效果是可持续的，完善生态文明体系建设，推进循环经济高质量发展。</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88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合计</w:t>
            </w:r>
          </w:p>
        </w:tc>
        <w:tc>
          <w:tcPr>
            <w:tcW w:w="108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b/>
                <w:bCs/>
                <w:i w:val="0"/>
                <w:iCs w:val="0"/>
                <w:color w:val="000000"/>
                <w:sz w:val="20"/>
                <w:szCs w:val="20"/>
                <w:u w:val="none"/>
              </w:rPr>
            </w:pPr>
          </w:p>
        </w:tc>
        <w:tc>
          <w:tcPr>
            <w:tcW w:w="12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b/>
                <w:bCs/>
                <w:i w:val="0"/>
                <w:iCs w:val="0"/>
                <w:color w:val="000000"/>
                <w:sz w:val="20"/>
                <w:szCs w:val="20"/>
                <w:u w:val="none"/>
              </w:rPr>
            </w:pPr>
          </w:p>
        </w:tc>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100</w:t>
            </w:r>
          </w:p>
        </w:tc>
        <w:tc>
          <w:tcPr>
            <w:tcW w:w="993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b/>
                <w:bCs/>
                <w:i w:val="0"/>
                <w:iCs w:val="0"/>
                <w:color w:val="000000"/>
                <w:sz w:val="20"/>
                <w:szCs w:val="20"/>
                <w:u w:val="none"/>
              </w:rPr>
            </w:pP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b/>
                <w:bCs/>
                <w:i w:val="0"/>
                <w:iCs w:val="0"/>
                <w:color w:val="000000"/>
                <w:sz w:val="20"/>
                <w:szCs w:val="20"/>
                <w:u w:val="none"/>
                <w:lang w:val="en-US"/>
              </w:rPr>
            </w:pPr>
            <w:r>
              <w:rPr>
                <w:rFonts w:hint="eastAsia" w:ascii="仿宋" w:hAnsi="仿宋" w:eastAsia="仿宋" w:cs="仿宋"/>
                <w:b/>
                <w:bCs/>
                <w:i w:val="0"/>
                <w:iCs w:val="0"/>
                <w:color w:val="000000"/>
                <w:kern w:val="0"/>
                <w:sz w:val="20"/>
                <w:szCs w:val="20"/>
                <w:u w:val="none"/>
                <w:lang w:val="en-US" w:eastAsia="zh-CN" w:bidi="ar"/>
              </w:rPr>
              <w:t>83.06</w:t>
            </w:r>
          </w:p>
        </w:tc>
      </w:tr>
    </w:tbl>
    <w:p>
      <w:pPr>
        <w:jc w:val="both"/>
        <w:rPr>
          <w:rFonts w:hint="default"/>
          <w:color w:val="auto"/>
          <w:lang w:val="en-US" w:eastAsia="zh-CN"/>
        </w:rPr>
      </w:pPr>
    </w:p>
    <w:p>
      <w:pPr>
        <w:keepNext w:val="0"/>
        <w:pageBreakBefore w:val="0"/>
        <w:kinsoku/>
        <w:topLinePunct w:val="0"/>
        <w:bidi w:val="0"/>
        <w:spacing w:line="240" w:lineRule="auto"/>
        <w:ind w:leftChars="0"/>
        <w:outlineLvl w:val="0"/>
        <w:rPr>
          <w:rFonts w:hint="eastAsia" w:ascii="仿宋" w:hAnsi="仿宋" w:eastAsia="仿宋" w:cs="仿宋"/>
          <w:b/>
          <w:bCs/>
          <w:color w:val="auto"/>
          <w:sz w:val="28"/>
          <w:szCs w:val="28"/>
          <w:lang w:val="en-US" w:eastAsia="zh-CN"/>
        </w:rPr>
        <w:sectPr>
          <w:headerReference r:id="rId9" w:type="default"/>
          <w:pgSz w:w="16838" w:h="11906" w:orient="landscape"/>
          <w:pgMar w:top="1587" w:right="1440" w:bottom="1519"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keepNext w:val="0"/>
        <w:pageBreakBefore w:val="0"/>
        <w:kinsoku/>
        <w:topLinePunct w:val="0"/>
        <w:bidi w:val="0"/>
        <w:spacing w:line="240" w:lineRule="auto"/>
        <w:ind w:leftChars="0"/>
        <w:outlineLvl w:val="9"/>
        <w:rPr>
          <w:rFonts w:hint="default"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附件2  项目申报绩效目标表</w:t>
      </w:r>
    </w:p>
    <w:p>
      <w:pPr>
        <w:rPr>
          <w:rFonts w:hint="eastAsia" w:eastAsiaTheme="minorEastAsia"/>
          <w:color w:val="auto"/>
          <w:lang w:eastAsia="zh-CN"/>
        </w:rPr>
        <w:sectPr>
          <w:pgSz w:w="11906" w:h="16838"/>
          <w:pgMar w:top="1440" w:right="1519" w:bottom="1440" w:left="1587"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eastAsiaTheme="minorEastAsia"/>
          <w:color w:val="auto"/>
          <w:lang w:eastAsia="zh-CN"/>
        </w:rPr>
        <w:drawing>
          <wp:inline distT="0" distB="0" distL="114300" distR="114300">
            <wp:extent cx="5257165" cy="7437755"/>
            <wp:effectExtent l="0" t="0" r="635" b="1270"/>
            <wp:docPr id="3" name="图片 3" descr="168892125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688921251577"/>
                    <pic:cNvPicPr>
                      <a:picLocks noChangeAspect="1"/>
                    </pic:cNvPicPr>
                  </pic:nvPicPr>
                  <pic:blipFill>
                    <a:blip r:embed="rId12"/>
                    <a:stretch>
                      <a:fillRect/>
                    </a:stretch>
                  </pic:blipFill>
                  <pic:spPr>
                    <a:xfrm>
                      <a:off x="0" y="0"/>
                      <a:ext cx="5257165" cy="7437755"/>
                    </a:xfrm>
                    <a:prstGeom prst="rect">
                      <a:avLst/>
                    </a:prstGeom>
                  </pic:spPr>
                </pic:pic>
              </a:graphicData>
            </a:graphic>
          </wp:inline>
        </w:drawing>
      </w:r>
    </w:p>
    <w:p>
      <w:pPr>
        <w:rPr>
          <w:rFonts w:hint="eastAsia" w:ascii="仿宋" w:hAnsi="仿宋" w:eastAsia="仿宋" w:cs="仿宋"/>
          <w:b/>
          <w:bCs/>
          <w:color w:val="auto"/>
          <w:sz w:val="28"/>
          <w:szCs w:val="36"/>
          <w:lang w:val="en-US" w:eastAsia="zh-CN"/>
        </w:rPr>
      </w:pPr>
      <w:r>
        <w:rPr>
          <w:rFonts w:hint="eastAsia" w:ascii="仿宋" w:hAnsi="仿宋" w:eastAsia="仿宋" w:cs="仿宋"/>
          <w:b/>
          <w:bCs/>
          <w:color w:val="auto"/>
          <w:sz w:val="28"/>
          <w:szCs w:val="36"/>
          <w:lang w:val="en-US" w:eastAsia="zh-CN"/>
        </w:rPr>
        <w:t>附件3 项目实施单位绩效目标表</w:t>
      </w:r>
    </w:p>
    <w:p>
      <w:pPr>
        <w:rPr>
          <w:rFonts w:hint="eastAsia"/>
          <w:color w:val="auto"/>
          <w:lang w:val="en-US" w:eastAsia="zh-CN"/>
        </w:rPr>
      </w:pPr>
    </w:p>
    <w:p>
      <w:pPr>
        <w:rPr>
          <w:rFonts w:hint="eastAsia"/>
          <w:color w:val="auto"/>
          <w:lang w:val="en-US" w:eastAsia="zh-CN"/>
        </w:rPr>
      </w:pPr>
    </w:p>
    <w:p>
      <w:pPr>
        <w:rPr>
          <w:rFonts w:hint="eastAsia"/>
          <w:color w:val="auto"/>
          <w:lang w:val="en-US" w:eastAsia="zh-CN"/>
        </w:rPr>
      </w:pPr>
    </w:p>
    <w:p>
      <w:pPr>
        <w:rPr>
          <w:rFonts w:hint="eastAsia"/>
          <w:color w:val="auto"/>
          <w:lang w:val="en-US" w:eastAsia="zh-CN"/>
        </w:rPr>
      </w:pPr>
    </w:p>
    <w:p>
      <w:pPr>
        <w:rPr>
          <w:rFonts w:hint="default"/>
          <w:color w:val="auto"/>
          <w:lang w:val="en-US" w:eastAsia="zh-CN"/>
        </w:rPr>
      </w:pPr>
      <w:r>
        <w:rPr>
          <w:rFonts w:hint="default"/>
          <w:color w:val="auto"/>
          <w:lang w:val="en-US" w:eastAsia="zh-CN"/>
        </w:rPr>
        <w:drawing>
          <wp:inline distT="0" distB="0" distL="114300" distR="114300">
            <wp:extent cx="5964555" cy="5697855"/>
            <wp:effectExtent l="0" t="0" r="0" b="0"/>
            <wp:docPr id="7" name="图片 7" descr="1688921458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688921458866"/>
                    <pic:cNvPicPr>
                      <a:picLocks noChangeAspect="1"/>
                    </pic:cNvPicPr>
                  </pic:nvPicPr>
                  <pic:blipFill>
                    <a:blip r:embed="rId13"/>
                    <a:srcRect t="4674"/>
                    <a:stretch>
                      <a:fillRect/>
                    </a:stretch>
                  </pic:blipFill>
                  <pic:spPr>
                    <a:xfrm>
                      <a:off x="0" y="0"/>
                      <a:ext cx="5964555" cy="5697855"/>
                    </a:xfrm>
                    <a:prstGeom prst="rect">
                      <a:avLst/>
                    </a:prstGeom>
                  </pic:spPr>
                </pic:pic>
              </a:graphicData>
            </a:graphic>
          </wp:inline>
        </w:drawing>
      </w:r>
    </w:p>
    <w:sectPr>
      <w:pgSz w:w="11906" w:h="16838"/>
      <w:pgMar w:top="1440" w:right="1519" w:bottom="1440" w:left="1587"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altName w:val="方正书宋_GBK"/>
    <w:panose1 w:val="00000000000000000000"/>
    <w:charset w:val="00"/>
    <w:family w:val="auto"/>
    <w:pitch w:val="default"/>
    <w:sig w:usb0="00000000" w:usb1="00000000" w:usb2="00000000" w:usb3="00000000" w:csb0="00000000" w:csb1="00000000"/>
  </w:font>
  <w:font w:name="Wingdings">
    <w:altName w:val="GWZT-EN"/>
    <w:panose1 w:val="05000000000000000000"/>
    <w:charset w:val="02"/>
    <w:family w:val="auto"/>
    <w:pitch w:val="default"/>
    <w:sig w:usb0="00000000" w:usb1="00000000" w:usb2="00000000" w:usb3="00000000" w:csb0="80000000" w:csb1="00000000"/>
  </w:font>
  <w:font w:name="Arial">
    <w:altName w:val="Times New Roman"/>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altName w:val="GWZT-EN"/>
    <w:panose1 w:val="05050102010706020507"/>
    <w:charset w:val="02"/>
    <w:family w:val="roman"/>
    <w:pitch w:val="default"/>
    <w:sig w:usb0="00000000" w:usb1="00000000" w:usb2="00000000" w:usb3="00000000" w:csb0="80000000" w:csb1="00000000"/>
  </w:font>
  <w:font w:name="Calibri">
    <w:altName w:val="DejaVu Sans"/>
    <w:panose1 w:val="020F0502020204030204"/>
    <w:charset w:val="00"/>
    <w:family w:val="swiss"/>
    <w:pitch w:val="default"/>
    <w:sig w:usb0="00000000" w:usb1="00000000" w:usb2="00000001" w:usb3="00000000" w:csb0="0000019F" w:csb1="00000000"/>
  </w:font>
  <w:font w:name="DejaVu Sans">
    <w:panose1 w:val="020B0603030804020204"/>
    <w:charset w:val="00"/>
    <w:family w:val="auto"/>
    <w:pitch w:val="default"/>
    <w:sig w:usb0="E7006EFF" w:usb1="D200FDFF" w:usb2="0A246029" w:usb3="0400200C" w:csb0="600001FF" w:csb1="DFFF0000"/>
  </w:font>
  <w:font w:name="方正书宋_GBK">
    <w:panose1 w:val="02000000000000000000"/>
    <w:charset w:val="86"/>
    <w:family w:val="auto"/>
    <w:pitch w:val="default"/>
    <w:sig w:usb0="00000001" w:usb1="08000000" w:usb2="00000000" w:usb3="00000000" w:csb0="00040000" w:csb1="00000000"/>
  </w:font>
  <w:font w:name="仿宋">
    <w:altName w:val="仿宋_GB2312"/>
    <w:panose1 w:val="02010609060101010101"/>
    <w:charset w:val="86"/>
    <w:family w:val="auto"/>
    <w:pitch w:val="default"/>
    <w:sig w:usb0="00000000" w:usb1="00000000" w:usb2="00000016" w:usb3="00000000" w:csb0="00040001" w:csb1="00000000"/>
  </w:font>
  <w:font w:name="仿宋_GB2312">
    <w:panose1 w:val="02010609030101010101"/>
    <w:charset w:val="86"/>
    <w:family w:val="auto"/>
    <w:pitch w:val="default"/>
    <w:sig w:usb0="00000001" w:usb1="080E0000" w:usb2="00000000" w:usb3="00000000" w:csb0="00040000" w:csb1="00000000"/>
  </w:font>
  <w:font w:name="方正小标宋简体">
    <w:panose1 w:val="02000000000000000000"/>
    <w:charset w:val="86"/>
    <w:family w:val="auto"/>
    <w:pitch w:val="default"/>
    <w:sig w:usb0="A00002BF" w:usb1="184F6CFA" w:usb2="00000012" w:usb3="00000000" w:csb0="00040001" w:csb1="00000000"/>
  </w:font>
  <w:font w:name="华文行楷">
    <w:panose1 w:val="02010800040101010101"/>
    <w:charset w:val="86"/>
    <w:family w:val="auto"/>
    <w:pitch w:val="default"/>
    <w:sig w:usb0="00000001" w:usb1="080F0000" w:usb2="00000000" w:usb3="00000000" w:csb0="00040000" w:csb1="00000000"/>
  </w:font>
  <w:font w:name="楷体">
    <w:altName w:val="楷体_GB2312"/>
    <w:panose1 w:val="02010609060101010101"/>
    <w:charset w:val="86"/>
    <w:family w:val="auto"/>
    <w:pitch w:val="default"/>
    <w:sig w:usb0="00000000" w:usb1="00000000" w:usb2="00000016" w:usb3="00000000" w:csb0="00040001" w:csb1="00000000"/>
  </w:font>
  <w:font w:name="楷体_GB2312">
    <w:panose1 w:val="02010609030101010101"/>
    <w:charset w:val="86"/>
    <w:family w:val="auto"/>
    <w:pitch w:val="default"/>
    <w:sig w:usb0="00000001" w:usb1="080E0000" w:usb2="00000000" w:usb3="00000000" w:csb0="00040000" w:csb1="00000000"/>
  </w:font>
  <w:font w:name="GWZT-EN">
    <w:panose1 w:val="02020400000000000000"/>
    <w:charset w:val="86"/>
    <w:family w:val="auto"/>
    <w:pitch w:val="default"/>
    <w:sig w:usb0="A00002BF" w:usb1="38CF7CFA" w:usb2="00082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12"/>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&#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BYAAABkcnMvUEsBAhQAFAAAAAgAh07iQLNJWO7QAAAABQEAAA8AAAAAAAAAAQAgAAAAOAAAAGRy&#10;cy9kb3ducmV2LnhtbFBLAQIUABQAAAAIAIdO4kAPFeUNMAIAAGMEAAAOAAAAAAAAAAEAIAAAADUB&#10;AABkcnMvZTJvRG9jLnhtbFBLBQYAAAAABgAGAFkBAADXBQAAAAA=&#10;">
              <v:fill on="f" focussize="0,0"/>
              <v:stroke on="f" weight="0.5pt"/>
              <v:imagedata o:title=""/>
              <o:lock v:ext="edit" aspectratio="f"/>
              <v:textbox inset="0mm,0mm,0mm,0mm" style="mso-fit-shape-to-text:t;">
                <w:txbxContent>
                  <w:p>
                    <w:pPr>
                      <w:pStyle w:val="12"/>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FgAAAGRycy9QSwECFAAUAAAACACHTuJAs0lY7tAAAAAFAQAADwAAAAAAAAABACAAAAA4AAAA&#10;ZHJzL2Rvd25yZXYueG1sUEsBAhQAFAAAAAgAh07iQC5WZn4yAgAAYwQAAA4AAAAAAAAAAQAgAAAA&#10;NQEAAGRycy9lMm9Eb2MueG1sUEsFBgAAAAAGAAYAWQEAANkFAAAAAA==&#10;">
              <v:fill on="f" focussize="0,0"/>
              <v:stroke on="f" weight="0.5pt"/>
              <v:imagedata o:title=""/>
              <o:lock v:ext="edit" aspectratio="f"/>
              <v:textbox inset="0mm,0mm,0mm,0mm" style="mso-fit-shape-to-text:t;">
                <w:txbxContent>
                  <w:p>
                    <w:pPr>
                      <w:pStyle w:val="1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FgAAAGRycy9QSwECFAAUAAAACACHTuJAs0lY7tAAAAAFAQAADwAAAAAAAAABACAAAAA4AAAA&#10;ZHJzL2Rvd25yZXYueG1sUEsBAhQAFAAAAAgAh07iQP9bQWsyAgAAYwQAAA4AAAAAAAAAAQAgAAAA&#10;NQEAAGRycy9lMm9Eb2MueG1sUEsFBgAAAAAGAAYAWQEAANkFAAAAAA==&#10;">
              <v:fill on="f" focussize="0,0"/>
              <v:stroke on="f" weight="0.5pt"/>
              <v:imagedata o:title=""/>
              <o:lock v:ext="edit" aspectratio="f"/>
              <v:textbox inset="0mm,0mm,0mm,0mm" style="mso-fit-shape-to-text:t;">
                <w:txbxContent>
                  <w:p>
                    <w:pPr>
                      <w:pStyle w:val="12"/>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right"/>
    </w:pPr>
    <w:r>
      <w:rPr>
        <w:rFonts w:hint="eastAsia"/>
        <w:b/>
        <w:bCs/>
        <w:sz w:val="18"/>
        <w:szCs w:val="18"/>
      </w:rPr>
      <w:drawing>
        <wp:anchor distT="0" distB="0" distL="114300" distR="114300" simplePos="0" relativeHeight="251660288" behindDoc="0" locked="0" layoutInCell="1" allowOverlap="1">
          <wp:simplePos x="0" y="0"/>
          <wp:positionH relativeFrom="column">
            <wp:posOffset>5824220</wp:posOffset>
          </wp:positionH>
          <wp:positionV relativeFrom="paragraph">
            <wp:posOffset>-97155</wp:posOffset>
          </wp:positionV>
          <wp:extent cx="314325" cy="306705"/>
          <wp:effectExtent l="0" t="0" r="9525" b="17145"/>
          <wp:wrapSquare wrapText="bothSides"/>
          <wp:docPr id="5" name="图片 5"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ASUS\AppData\Local\Temp\WeChat Files\f186046fc3a4df704901618a4b76ec6.png"/>
                  <pic:cNvPicPr>
                    <a:picLocks noChangeAspect="1" noChangeArrowheads="1"/>
                  </pic:cNvPicPr>
                </pic:nvPicPr>
                <pic:blipFill>
                  <a:blip r:embed="rId1"/>
                  <a:srcRect/>
                  <a:stretch>
                    <a:fillRect/>
                  </a:stretch>
                </pic:blipFill>
                <pic:spPr>
                  <a:xfrm>
                    <a:off x="0" y="0"/>
                    <a:ext cx="314325" cy="306705"/>
                  </a:xfrm>
                  <a:prstGeom prst="rect">
                    <a:avLst/>
                  </a:prstGeom>
                  <a:noFill/>
                  <a:ln w="9525" cmpd="sng">
                    <a:noFill/>
                    <a:miter lim="800000"/>
                    <a:headEnd/>
                    <a:tailEnd/>
                  </a:ln>
                  <a:effectLst/>
                </pic:spPr>
              </pic:pic>
            </a:graphicData>
          </a:graphic>
        </wp:anchor>
      </w:drawing>
    </w:r>
    <w:r>
      <w:rPr>
        <w:rFonts w:hint="eastAsia"/>
      </w:rPr>
      <w:t>泉州市招标咨询中心地方财政绩效评价所</w:t>
    </w:r>
  </w:p>
  <w:p>
    <w:pPr>
      <w:pStyle w:val="13"/>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right"/>
    </w:pPr>
    <w:r>
      <w:rPr>
        <w:rFonts w:hint="eastAsia"/>
        <w:b/>
        <w:bCs/>
        <w:sz w:val="18"/>
        <w:szCs w:val="18"/>
      </w:rPr>
      <w:drawing>
        <wp:anchor distT="0" distB="0" distL="114300" distR="114300" simplePos="0" relativeHeight="251661312" behindDoc="0" locked="0" layoutInCell="1" allowOverlap="1">
          <wp:simplePos x="0" y="0"/>
          <wp:positionH relativeFrom="column">
            <wp:posOffset>5624195</wp:posOffset>
          </wp:positionH>
          <wp:positionV relativeFrom="paragraph">
            <wp:posOffset>-87630</wp:posOffset>
          </wp:positionV>
          <wp:extent cx="314325" cy="306705"/>
          <wp:effectExtent l="0" t="0" r="9525" b="17145"/>
          <wp:wrapSquare wrapText="bothSides"/>
          <wp:docPr id="2" name="图片 2"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SUS\AppData\Local\Temp\WeChat Files\f186046fc3a4df704901618a4b76ec6.png"/>
                  <pic:cNvPicPr>
                    <a:picLocks noChangeAspect="1" noChangeArrowheads="1"/>
                  </pic:cNvPicPr>
                </pic:nvPicPr>
                <pic:blipFill>
                  <a:blip r:embed="rId1"/>
                  <a:srcRect/>
                  <a:stretch>
                    <a:fillRect/>
                  </a:stretch>
                </pic:blipFill>
                <pic:spPr>
                  <a:xfrm>
                    <a:off x="0" y="0"/>
                    <a:ext cx="314325" cy="306705"/>
                  </a:xfrm>
                  <a:prstGeom prst="rect">
                    <a:avLst/>
                  </a:prstGeom>
                  <a:noFill/>
                  <a:ln w="9525" cmpd="sng">
                    <a:noFill/>
                    <a:miter lim="800000"/>
                    <a:headEnd/>
                    <a:tailEnd/>
                  </a:ln>
                  <a:effectLst/>
                </pic:spPr>
              </pic:pic>
            </a:graphicData>
          </a:graphic>
        </wp:anchor>
      </w:drawing>
    </w:r>
    <w:r>
      <w:rPr>
        <w:rFonts w:hint="eastAsia"/>
      </w:rPr>
      <w:t>泉州市招标咨询中心地方财政绩效评价所</w:t>
    </w:r>
  </w:p>
  <w:p>
    <w:pPr>
      <w:pStyle w:val="13"/>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right"/>
    </w:pPr>
    <w:r>
      <w:rPr>
        <w:rFonts w:hint="eastAsia"/>
        <w:b/>
        <w:bCs/>
        <w:sz w:val="18"/>
        <w:szCs w:val="18"/>
      </w:rPr>
      <w:drawing>
        <wp:anchor distT="0" distB="0" distL="114300" distR="114300" simplePos="0" relativeHeight="251663360" behindDoc="0" locked="0" layoutInCell="1" allowOverlap="1">
          <wp:simplePos x="0" y="0"/>
          <wp:positionH relativeFrom="column">
            <wp:posOffset>8857615</wp:posOffset>
          </wp:positionH>
          <wp:positionV relativeFrom="paragraph">
            <wp:posOffset>-90170</wp:posOffset>
          </wp:positionV>
          <wp:extent cx="314325" cy="306705"/>
          <wp:effectExtent l="0" t="0" r="9525" b="17145"/>
          <wp:wrapSquare wrapText="bothSides"/>
          <wp:docPr id="4" name="图片 4"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SUS\AppData\Local\Temp\WeChat Files\f186046fc3a4df704901618a4b76ec6.png"/>
                  <pic:cNvPicPr>
                    <a:picLocks noChangeAspect="1" noChangeArrowheads="1"/>
                  </pic:cNvPicPr>
                </pic:nvPicPr>
                <pic:blipFill>
                  <a:blip r:embed="rId1"/>
                  <a:srcRect/>
                  <a:stretch>
                    <a:fillRect/>
                  </a:stretch>
                </pic:blipFill>
                <pic:spPr>
                  <a:xfrm>
                    <a:off x="0" y="0"/>
                    <a:ext cx="314325" cy="306705"/>
                  </a:xfrm>
                  <a:prstGeom prst="rect">
                    <a:avLst/>
                  </a:prstGeom>
                  <a:noFill/>
                  <a:ln w="9525" cmpd="sng">
                    <a:noFill/>
                    <a:miter lim="800000"/>
                    <a:headEnd/>
                    <a:tailEnd/>
                  </a:ln>
                  <a:effectLst/>
                </pic:spPr>
              </pic:pic>
            </a:graphicData>
          </a:graphic>
        </wp:anchor>
      </w:drawing>
    </w:r>
    <w:r>
      <w:rPr>
        <w:rFonts w:hint="eastAsia"/>
      </w:rPr>
      <w:t>泉州市招标咨询中心地方财政绩效评价所</w:t>
    </w:r>
  </w:p>
  <w:p>
    <w:pPr>
      <w:pStyle w:val="13"/>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RkYmFmYjU0NzIyNDBkZmE0NTJkNDRiOTcxZjNkNDMifQ=="/>
  </w:docVars>
  <w:rsids>
    <w:rsidRoot w:val="4FD10315"/>
    <w:rsid w:val="00725D1C"/>
    <w:rsid w:val="009D77E5"/>
    <w:rsid w:val="0132515B"/>
    <w:rsid w:val="027A076B"/>
    <w:rsid w:val="044C6C30"/>
    <w:rsid w:val="04BC5D9C"/>
    <w:rsid w:val="05285640"/>
    <w:rsid w:val="05B95582"/>
    <w:rsid w:val="080E3991"/>
    <w:rsid w:val="09F20618"/>
    <w:rsid w:val="0C680125"/>
    <w:rsid w:val="0C89045E"/>
    <w:rsid w:val="0DBD5563"/>
    <w:rsid w:val="0EE852F5"/>
    <w:rsid w:val="100B1CEC"/>
    <w:rsid w:val="10AA73F0"/>
    <w:rsid w:val="13E06D0B"/>
    <w:rsid w:val="15FB6774"/>
    <w:rsid w:val="163C514D"/>
    <w:rsid w:val="17D47448"/>
    <w:rsid w:val="18E67E2B"/>
    <w:rsid w:val="1A9A472D"/>
    <w:rsid w:val="1AA610E2"/>
    <w:rsid w:val="1BB37E83"/>
    <w:rsid w:val="1D050057"/>
    <w:rsid w:val="1DAD5B24"/>
    <w:rsid w:val="1F297C0F"/>
    <w:rsid w:val="20617537"/>
    <w:rsid w:val="2263692C"/>
    <w:rsid w:val="23CE70D3"/>
    <w:rsid w:val="23CE7A74"/>
    <w:rsid w:val="24407FA6"/>
    <w:rsid w:val="25850A3A"/>
    <w:rsid w:val="25E971A1"/>
    <w:rsid w:val="26F67477"/>
    <w:rsid w:val="28263CFA"/>
    <w:rsid w:val="29F11AD6"/>
    <w:rsid w:val="2A6B5769"/>
    <w:rsid w:val="2B3338BE"/>
    <w:rsid w:val="2B406E77"/>
    <w:rsid w:val="2B8F38B0"/>
    <w:rsid w:val="2D8A110F"/>
    <w:rsid w:val="2F21503F"/>
    <w:rsid w:val="307F1FF4"/>
    <w:rsid w:val="3248523C"/>
    <w:rsid w:val="326F3678"/>
    <w:rsid w:val="344D1E0E"/>
    <w:rsid w:val="37395C99"/>
    <w:rsid w:val="377941F6"/>
    <w:rsid w:val="38673C95"/>
    <w:rsid w:val="39003A88"/>
    <w:rsid w:val="3A237145"/>
    <w:rsid w:val="3A8A3DD2"/>
    <w:rsid w:val="3AB805CF"/>
    <w:rsid w:val="3B5A6CA6"/>
    <w:rsid w:val="3BF25761"/>
    <w:rsid w:val="3D906F81"/>
    <w:rsid w:val="3DA26D0E"/>
    <w:rsid w:val="3F35674D"/>
    <w:rsid w:val="3F8D59AE"/>
    <w:rsid w:val="3FB66140"/>
    <w:rsid w:val="42AD2CAF"/>
    <w:rsid w:val="42E04083"/>
    <w:rsid w:val="43CE6F51"/>
    <w:rsid w:val="45AE544C"/>
    <w:rsid w:val="46736E18"/>
    <w:rsid w:val="46DB6B62"/>
    <w:rsid w:val="46EF7D35"/>
    <w:rsid w:val="47504DA7"/>
    <w:rsid w:val="4B8327C2"/>
    <w:rsid w:val="4BDA0638"/>
    <w:rsid w:val="4C3C7EE9"/>
    <w:rsid w:val="4F485CAB"/>
    <w:rsid w:val="4FD10315"/>
    <w:rsid w:val="505E1082"/>
    <w:rsid w:val="50671D18"/>
    <w:rsid w:val="52C70DB8"/>
    <w:rsid w:val="52C95E49"/>
    <w:rsid w:val="53F45CA5"/>
    <w:rsid w:val="58F534D6"/>
    <w:rsid w:val="59751851"/>
    <w:rsid w:val="5AC2461D"/>
    <w:rsid w:val="5B881F4E"/>
    <w:rsid w:val="5C647EEB"/>
    <w:rsid w:val="5DBF79F3"/>
    <w:rsid w:val="5F9F2F31"/>
    <w:rsid w:val="5FA97E40"/>
    <w:rsid w:val="5FF9181C"/>
    <w:rsid w:val="614E64D4"/>
    <w:rsid w:val="61BA4B05"/>
    <w:rsid w:val="63035079"/>
    <w:rsid w:val="630F26B0"/>
    <w:rsid w:val="63512DFC"/>
    <w:rsid w:val="63807820"/>
    <w:rsid w:val="64591E34"/>
    <w:rsid w:val="64832A15"/>
    <w:rsid w:val="665758C5"/>
    <w:rsid w:val="677D7015"/>
    <w:rsid w:val="6A2063F9"/>
    <w:rsid w:val="6A627CB8"/>
    <w:rsid w:val="6A7A2B04"/>
    <w:rsid w:val="6B217424"/>
    <w:rsid w:val="6C2B3FA8"/>
    <w:rsid w:val="6C543A21"/>
    <w:rsid w:val="6C5C0714"/>
    <w:rsid w:val="6CD6595B"/>
    <w:rsid w:val="6DD3346B"/>
    <w:rsid w:val="702D396E"/>
    <w:rsid w:val="708F1107"/>
    <w:rsid w:val="71154FDD"/>
    <w:rsid w:val="71F87130"/>
    <w:rsid w:val="72D65AA9"/>
    <w:rsid w:val="73075EF9"/>
    <w:rsid w:val="73A562A5"/>
    <w:rsid w:val="73EA1CCA"/>
    <w:rsid w:val="77D17158"/>
    <w:rsid w:val="78195645"/>
    <w:rsid w:val="791D2F76"/>
    <w:rsid w:val="79810F09"/>
    <w:rsid w:val="7A8721A0"/>
    <w:rsid w:val="7A992B33"/>
    <w:rsid w:val="7B093DF7"/>
    <w:rsid w:val="7B7FE077"/>
    <w:rsid w:val="7C6A5FA9"/>
    <w:rsid w:val="7CAC2290"/>
    <w:rsid w:val="7D67205D"/>
    <w:rsid w:val="7EC315D5"/>
    <w:rsid w:val="7F847C1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99"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link w:val="37"/>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link w:val="38"/>
    <w:semiHidden/>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next w:val="5"/>
    <w:unhideWhenUsed/>
    <w:qFormat/>
    <w:uiPriority w:val="0"/>
    <w:pPr>
      <w:keepLines/>
      <w:spacing w:beforeLines="20" w:afterLines="20" w:line="360" w:lineRule="auto"/>
      <w:outlineLvl w:val="2"/>
    </w:pPr>
    <w:rPr>
      <w:rFonts w:ascii="Calibri" w:hAnsi="Calibri" w:eastAsia="宋体" w:cs="Times New Roman"/>
      <w:b/>
      <w:sz w:val="32"/>
      <w:lang w:val="en-US" w:eastAsia="zh-CN" w:bidi="ar-SA"/>
    </w:rPr>
  </w:style>
  <w:style w:type="paragraph" w:styleId="6">
    <w:name w:val="heading 4"/>
    <w:next w:val="1"/>
    <w:link w:val="36"/>
    <w:unhideWhenUsed/>
    <w:qFormat/>
    <w:uiPriority w:val="0"/>
    <w:pPr>
      <w:keepLines/>
      <w:spacing w:beforeLines="20" w:afterLines="20" w:line="360" w:lineRule="auto"/>
      <w:outlineLvl w:val="3"/>
    </w:pPr>
    <w:rPr>
      <w:rFonts w:ascii="Arial" w:hAnsi="Arial" w:eastAsia="黑体" w:cs="Times New Roman"/>
      <w:b/>
      <w:sz w:val="28"/>
      <w:lang w:val="en-US" w:eastAsia="zh-CN" w:bidi="ar-SA"/>
    </w:rPr>
  </w:style>
  <w:style w:type="paragraph" w:styleId="7">
    <w:name w:val="heading 5"/>
    <w:basedOn w:val="1"/>
    <w:next w:val="1"/>
    <w:link w:val="35"/>
    <w:semiHidden/>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20">
    <w:name w:val="Default Paragraph Font"/>
    <w:semiHidden/>
    <w:qFormat/>
    <w:uiPriority w:val="0"/>
  </w:style>
  <w:style w:type="table" w:default="1" w:styleId="18">
    <w:name w:val="Normal Table"/>
    <w:semiHidden/>
    <w:qFormat/>
    <w:uiPriority w:val="0"/>
    <w:tblPr>
      <w:tblCellMar>
        <w:top w:w="0" w:type="dxa"/>
        <w:left w:w="108" w:type="dxa"/>
        <w:bottom w:w="0" w:type="dxa"/>
        <w:right w:w="108" w:type="dxa"/>
      </w:tblCellMar>
    </w:tblPr>
  </w:style>
  <w:style w:type="paragraph" w:styleId="5">
    <w:name w:val="Block Text"/>
    <w:basedOn w:val="1"/>
    <w:qFormat/>
    <w:uiPriority w:val="0"/>
    <w:pPr>
      <w:ind w:left="1440" w:leftChars="700" w:right="700" w:rightChars="700"/>
    </w:pPr>
  </w:style>
  <w:style w:type="paragraph" w:styleId="8">
    <w:name w:val="annotation text"/>
    <w:basedOn w:val="1"/>
    <w:qFormat/>
    <w:uiPriority w:val="0"/>
    <w:pPr>
      <w:jc w:val="left"/>
    </w:pPr>
  </w:style>
  <w:style w:type="paragraph" w:styleId="9">
    <w:name w:val="Body Text"/>
    <w:basedOn w:val="1"/>
    <w:next w:val="1"/>
    <w:semiHidden/>
    <w:unhideWhenUsed/>
    <w:qFormat/>
    <w:uiPriority w:val="99"/>
    <w:rPr>
      <w:rFonts w:ascii="宋体" w:hAnsi="宋体" w:eastAsia="宋体" w:cs="宋体"/>
      <w:sz w:val="32"/>
      <w:szCs w:val="32"/>
      <w:lang w:val="zh-CN" w:bidi="zh-CN"/>
    </w:rPr>
  </w:style>
  <w:style w:type="paragraph" w:styleId="10">
    <w:name w:val="Body Text Indent"/>
    <w:basedOn w:val="1"/>
    <w:next w:val="1"/>
    <w:qFormat/>
    <w:uiPriority w:val="0"/>
    <w:pPr>
      <w:spacing w:line="500" w:lineRule="exact"/>
      <w:ind w:left="1588" w:leftChars="832" w:firstLine="433" w:firstLineChars="196"/>
    </w:pPr>
    <w:rPr>
      <w:sz w:val="24"/>
    </w:rPr>
  </w:style>
  <w:style w:type="paragraph" w:styleId="11">
    <w:name w:val="toc 3"/>
    <w:basedOn w:val="1"/>
    <w:next w:val="1"/>
    <w:qFormat/>
    <w:uiPriority w:val="0"/>
    <w:pPr>
      <w:ind w:left="840" w:leftChars="400"/>
    </w:pPr>
  </w:style>
  <w:style w:type="paragraph" w:styleId="12">
    <w:name w:val="footer"/>
    <w:basedOn w:val="1"/>
    <w:qFormat/>
    <w:uiPriority w:val="0"/>
    <w:pPr>
      <w:tabs>
        <w:tab w:val="center" w:pos="4153"/>
        <w:tab w:val="right" w:pos="8306"/>
      </w:tabs>
      <w:snapToGrid w:val="0"/>
      <w:jc w:val="left"/>
    </w:pPr>
    <w:rPr>
      <w:sz w:val="18"/>
    </w:rPr>
  </w:style>
  <w:style w:type="paragraph" w:styleId="1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4">
    <w:name w:val="toc 1"/>
    <w:basedOn w:val="1"/>
    <w:next w:val="1"/>
    <w:qFormat/>
    <w:uiPriority w:val="0"/>
  </w:style>
  <w:style w:type="paragraph" w:styleId="15">
    <w:name w:val="toc 2"/>
    <w:basedOn w:val="1"/>
    <w:next w:val="1"/>
    <w:qFormat/>
    <w:uiPriority w:val="0"/>
    <w:pPr>
      <w:ind w:left="420" w:leftChars="200"/>
    </w:pPr>
  </w:style>
  <w:style w:type="paragraph" w:styleId="16">
    <w:name w:val="Normal (Web)"/>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styleId="17">
    <w:name w:val="Body Text First Indent 2"/>
    <w:basedOn w:val="10"/>
    <w:qFormat/>
    <w:uiPriority w:val="0"/>
    <w:pPr>
      <w:spacing w:after="120" w:line="240" w:lineRule="auto"/>
      <w:ind w:left="420" w:leftChars="200" w:firstLine="420" w:firstLineChars="200"/>
    </w:pPr>
    <w:rPr>
      <w:sz w:val="21"/>
    </w:rPr>
  </w:style>
  <w:style w:type="table" w:styleId="19">
    <w:name w:val="Table Grid"/>
    <w:basedOn w:val="1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1">
    <w:name w:val="Strong"/>
    <w:basedOn w:val="20"/>
    <w:qFormat/>
    <w:uiPriority w:val="0"/>
    <w:rPr>
      <w:b/>
      <w:bCs/>
    </w:rPr>
  </w:style>
  <w:style w:type="character" w:styleId="22">
    <w:name w:val="Emphasis"/>
    <w:basedOn w:val="20"/>
    <w:qFormat/>
    <w:uiPriority w:val="0"/>
    <w:rPr>
      <w:i/>
    </w:rPr>
  </w:style>
  <w:style w:type="character" w:styleId="23">
    <w:name w:val="Hyperlink"/>
    <w:basedOn w:val="20"/>
    <w:qFormat/>
    <w:uiPriority w:val="0"/>
    <w:rPr>
      <w:color w:val="0000FF"/>
      <w:u w:val="single"/>
    </w:rPr>
  </w:style>
  <w:style w:type="paragraph" w:customStyle="1" w:styleId="24">
    <w:name w:val="p0"/>
    <w:basedOn w:val="1"/>
    <w:qFormat/>
    <w:uiPriority w:val="0"/>
    <w:rPr>
      <w:rFonts w:ascii="Calibri" w:hAnsi="Calibri"/>
    </w:rPr>
  </w:style>
  <w:style w:type="paragraph" w:customStyle="1" w:styleId="25">
    <w:name w:val="msonormalcxspmiddle"/>
    <w:basedOn w:val="1"/>
    <w:qFormat/>
    <w:uiPriority w:val="99"/>
    <w:pPr>
      <w:widowControl/>
      <w:spacing w:before="100" w:beforeAutospacing="1" w:after="100" w:afterAutospacing="1"/>
      <w:jc w:val="left"/>
    </w:pPr>
    <w:rPr>
      <w:rFonts w:ascii="宋体" w:hAnsi="宋体" w:eastAsia="宋体" w:cs="宋体"/>
      <w:kern w:val="0"/>
      <w:sz w:val="24"/>
      <w:szCs w:val="24"/>
    </w:rPr>
  </w:style>
  <w:style w:type="paragraph" w:styleId="26">
    <w:name w:val="List Paragraph"/>
    <w:basedOn w:val="1"/>
    <w:qFormat/>
    <w:uiPriority w:val="34"/>
    <w:pPr>
      <w:ind w:firstLine="420" w:firstLineChars="200"/>
    </w:pPr>
    <w:rPr>
      <w:rFonts w:ascii="Calibri" w:hAnsi="Calibri" w:eastAsia="宋体" w:cs="Times New Roman"/>
    </w:rPr>
  </w:style>
  <w:style w:type="character" w:customStyle="1" w:styleId="27">
    <w:name w:val="font01"/>
    <w:basedOn w:val="20"/>
    <w:qFormat/>
    <w:uiPriority w:val="0"/>
    <w:rPr>
      <w:rFonts w:hint="eastAsia" w:ascii="宋体" w:hAnsi="宋体" w:eastAsia="宋体" w:cs="宋体"/>
      <w:color w:val="000000"/>
      <w:sz w:val="22"/>
      <w:szCs w:val="22"/>
      <w:u w:val="none"/>
    </w:rPr>
  </w:style>
  <w:style w:type="paragraph" w:customStyle="1" w:styleId="28">
    <w:name w:val="WPSOffice手动目录 1"/>
    <w:qFormat/>
    <w:uiPriority w:val="0"/>
    <w:pPr>
      <w:ind w:leftChars="0"/>
    </w:pPr>
    <w:rPr>
      <w:rFonts w:ascii="Times New Roman" w:hAnsi="Times New Roman" w:eastAsia="宋体" w:cs="Times New Roman"/>
      <w:sz w:val="20"/>
      <w:szCs w:val="20"/>
    </w:rPr>
  </w:style>
  <w:style w:type="paragraph" w:customStyle="1" w:styleId="29">
    <w:name w:val="WPSOffice手动目录 2"/>
    <w:qFormat/>
    <w:uiPriority w:val="0"/>
    <w:pPr>
      <w:ind w:leftChars="200"/>
    </w:pPr>
    <w:rPr>
      <w:rFonts w:ascii="Times New Roman" w:hAnsi="Times New Roman" w:eastAsia="宋体" w:cs="Times New Roman"/>
      <w:sz w:val="20"/>
      <w:szCs w:val="20"/>
    </w:rPr>
  </w:style>
  <w:style w:type="paragraph" w:customStyle="1" w:styleId="30">
    <w:name w:val="WPSOffice手动目录 3"/>
    <w:qFormat/>
    <w:uiPriority w:val="0"/>
    <w:pPr>
      <w:ind w:leftChars="400"/>
    </w:pPr>
    <w:rPr>
      <w:rFonts w:ascii="Times New Roman" w:hAnsi="Times New Roman" w:eastAsia="宋体" w:cs="Times New Roman"/>
      <w:sz w:val="20"/>
      <w:szCs w:val="20"/>
    </w:rPr>
  </w:style>
  <w:style w:type="character" w:customStyle="1" w:styleId="31">
    <w:name w:val="font31"/>
    <w:basedOn w:val="20"/>
    <w:qFormat/>
    <w:uiPriority w:val="0"/>
    <w:rPr>
      <w:rFonts w:hint="eastAsia" w:ascii="宋体" w:hAnsi="宋体" w:eastAsia="宋体" w:cs="宋体"/>
      <w:color w:val="000000"/>
      <w:sz w:val="20"/>
      <w:szCs w:val="20"/>
      <w:u w:val="none"/>
    </w:rPr>
  </w:style>
  <w:style w:type="character" w:customStyle="1" w:styleId="32">
    <w:name w:val="font51"/>
    <w:basedOn w:val="20"/>
    <w:qFormat/>
    <w:uiPriority w:val="0"/>
    <w:rPr>
      <w:rFonts w:hint="eastAsia" w:ascii="宋体" w:hAnsi="宋体" w:eastAsia="宋体" w:cs="宋体"/>
      <w:color w:val="000000"/>
      <w:sz w:val="20"/>
      <w:szCs w:val="20"/>
      <w:u w:val="none"/>
    </w:rPr>
  </w:style>
  <w:style w:type="character" w:customStyle="1" w:styleId="33">
    <w:name w:val="font11"/>
    <w:basedOn w:val="20"/>
    <w:qFormat/>
    <w:uiPriority w:val="0"/>
    <w:rPr>
      <w:rFonts w:hint="default" w:ascii="Times New Roman" w:hAnsi="Times New Roman" w:cs="Times New Roman"/>
      <w:color w:val="000000"/>
      <w:sz w:val="20"/>
      <w:szCs w:val="20"/>
      <w:u w:val="none"/>
    </w:rPr>
  </w:style>
  <w:style w:type="character" w:customStyle="1" w:styleId="34">
    <w:name w:val="font21"/>
    <w:basedOn w:val="20"/>
    <w:qFormat/>
    <w:uiPriority w:val="0"/>
    <w:rPr>
      <w:rFonts w:hint="default" w:ascii="Times New Roman" w:hAnsi="Times New Roman" w:cs="Times New Roman"/>
      <w:color w:val="000000"/>
      <w:sz w:val="20"/>
      <w:szCs w:val="20"/>
      <w:u w:val="none"/>
    </w:rPr>
  </w:style>
  <w:style w:type="character" w:customStyle="1" w:styleId="35">
    <w:name w:val="标题 5 Char"/>
    <w:link w:val="7"/>
    <w:qFormat/>
    <w:uiPriority w:val="0"/>
    <w:rPr>
      <w:b/>
      <w:sz w:val="28"/>
    </w:rPr>
  </w:style>
  <w:style w:type="character" w:customStyle="1" w:styleId="36">
    <w:name w:val="标题 4 Char"/>
    <w:link w:val="6"/>
    <w:qFormat/>
    <w:uiPriority w:val="0"/>
    <w:rPr>
      <w:rFonts w:ascii="Arial" w:hAnsi="Arial" w:eastAsia="黑体" w:cs="Times New Roman"/>
      <w:b/>
      <w:sz w:val="28"/>
      <w:lang w:val="en-US" w:eastAsia="zh-CN" w:bidi="ar-SA"/>
    </w:rPr>
  </w:style>
  <w:style w:type="character" w:customStyle="1" w:styleId="37">
    <w:name w:val="标题 1 Char"/>
    <w:link w:val="2"/>
    <w:qFormat/>
    <w:uiPriority w:val="0"/>
    <w:rPr>
      <w:b/>
      <w:kern w:val="44"/>
      <w:sz w:val="44"/>
    </w:rPr>
  </w:style>
  <w:style w:type="character" w:customStyle="1" w:styleId="38">
    <w:name w:val="标题 2 Char"/>
    <w:link w:val="3"/>
    <w:qFormat/>
    <w:uiPriority w:val="0"/>
    <w:rPr>
      <w:rFonts w:ascii="Arial" w:hAnsi="Arial" w:eastAsia="黑体"/>
      <w:b/>
      <w:sz w:val="32"/>
    </w:rPr>
  </w:style>
  <w:style w:type="character" w:customStyle="1" w:styleId="39">
    <w:name w:val="font111"/>
    <w:basedOn w:val="20"/>
    <w:qFormat/>
    <w:uiPriority w:val="0"/>
    <w:rPr>
      <w:rFonts w:hint="default" w:ascii="Times New Roman" w:hAnsi="Times New Roman" w:cs="Times New Roman"/>
      <w:color w:val="000000"/>
      <w:sz w:val="20"/>
      <w:szCs w:val="20"/>
      <w:u w:val="none"/>
    </w:rPr>
  </w:style>
  <w:style w:type="character" w:customStyle="1" w:styleId="40">
    <w:name w:val="font101"/>
    <w:basedOn w:val="20"/>
    <w:qFormat/>
    <w:uiPriority w:val="0"/>
    <w:rPr>
      <w:rFonts w:hint="default" w:ascii="Times New Roman" w:hAnsi="Times New Roman" w:cs="Times New Roman"/>
      <w:color w:val="000000"/>
      <w:sz w:val="20"/>
      <w:szCs w:val="20"/>
      <w:u w:val="none"/>
    </w:rPr>
  </w:style>
  <w:style w:type="character" w:customStyle="1" w:styleId="41">
    <w:name w:val="font71"/>
    <w:basedOn w:val="20"/>
    <w:qFormat/>
    <w:uiPriority w:val="0"/>
    <w:rPr>
      <w:rFonts w:hint="eastAsia" w:ascii="仿宋" w:hAnsi="仿宋" w:eastAsia="仿宋" w:cs="仿宋"/>
      <w:color w:val="000000"/>
      <w:sz w:val="20"/>
      <w:szCs w:val="20"/>
      <w:u w:val="none"/>
    </w:rPr>
  </w:style>
  <w:style w:type="character" w:customStyle="1" w:styleId="42">
    <w:name w:val="font61"/>
    <w:basedOn w:val="20"/>
    <w:qFormat/>
    <w:uiPriority w:val="0"/>
    <w:rPr>
      <w:rFonts w:hint="default" w:ascii="Times New Roman" w:hAnsi="Times New Roman" w:cs="Times New Roman"/>
      <w:color w:val="000000"/>
      <w:sz w:val="20"/>
      <w:szCs w:val="20"/>
      <w:u w:val="none"/>
    </w:rPr>
  </w:style>
  <w:style w:type="character" w:customStyle="1" w:styleId="43">
    <w:name w:val="font41"/>
    <w:basedOn w:val="20"/>
    <w:qFormat/>
    <w:uiPriority w:val="0"/>
    <w:rPr>
      <w:rFonts w:hint="eastAsia" w:ascii="仿宋" w:hAnsi="仿宋" w:eastAsia="仿宋" w:cs="仿宋"/>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chart" Target="charts/chart1.xml"/><Relationship Id="rId10" Type="http://schemas.openxmlformats.org/officeDocument/2006/relationships/theme" Target="theme/theme1.xml"/><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F:\&#20013;&#24515;&#39033;&#30446;\&#30707;&#29422;&#24066;&#37325;&#28857;&#39033;&#30446;&#35780;&#20215;\&#27745;&#26579;&#27835;&#29702;&#21644;&#33410;&#33021;&#20943;&#30899;&#19987;&#39033;&#65288;&#33410;&#33021;&#20943;&#30899;&#26041;&#21521;&#65289;\&#25351;&#26631;&#20307;&#31995;&#65288;&#33410;&#33021;&#20943;&#30899;&#6528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'[指标体系（节能减碳）.xlsx]Sheet1'!$B$1</c:f>
              <c:strCache>
                <c:ptCount val="1"/>
                <c:pt idx="0">
                  <c:v>分值</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'[指标体系（节能减碳）.xlsx]Sheet1'!$A$2:$A$5</c:f>
              <c:strCache>
                <c:ptCount val="4"/>
                <c:pt idx="0">
                  <c:v>决策　</c:v>
                </c:pt>
                <c:pt idx="1">
                  <c:v>过程</c:v>
                </c:pt>
                <c:pt idx="2">
                  <c:v>产出</c:v>
                </c:pt>
                <c:pt idx="3">
                  <c:v>效益</c:v>
                </c:pt>
              </c:strCache>
            </c:strRef>
          </c:cat>
          <c:val>
            <c:numRef>
              <c:f>'[指标体系（节能减碳）.xlsx]Sheet1'!$B$2:$B$5</c:f>
              <c:numCache>
                <c:formatCode>General</c:formatCode>
                <c:ptCount val="4"/>
                <c:pt idx="0">
                  <c:v>24</c:v>
                </c:pt>
                <c:pt idx="1">
                  <c:v>30</c:v>
                </c:pt>
                <c:pt idx="2">
                  <c:v>30</c:v>
                </c:pt>
                <c:pt idx="3">
                  <c:v>16</c:v>
                </c:pt>
              </c:numCache>
            </c:numRef>
          </c:val>
        </c:ser>
        <c:ser>
          <c:idx val="1"/>
          <c:order val="1"/>
          <c:tx>
            <c:strRef>
              <c:f>'[指标体系（节能减碳）.xlsx]Sheet1'!$C$1</c:f>
              <c:strCache>
                <c:ptCount val="1"/>
                <c:pt idx="0">
                  <c:v>得分</c:v>
                </c:pt>
              </c:strCache>
            </c:strRef>
          </c:tx>
          <c:spPr>
            <a:pattFill prst="narHorz">
              <a:fgClr>
                <a:schemeClr val="accent2"/>
              </a:fgClr>
              <a:bgClr>
                <a:schemeClr val="accent2">
                  <a:lumMod val="20000"/>
                  <a:lumOff val="80000"/>
                </a:schemeClr>
              </a:bgClr>
            </a:pattFill>
            <a:ln>
              <a:noFill/>
            </a:ln>
            <a:effectLst>
              <a:innerShdw blurRad="114300">
                <a:schemeClr val="accent2"/>
              </a:innerShdw>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'[指标体系（节能减碳）.xlsx]Sheet1'!$A$2:$A$5</c:f>
              <c:strCache>
                <c:ptCount val="4"/>
                <c:pt idx="0">
                  <c:v>决策　</c:v>
                </c:pt>
                <c:pt idx="1">
                  <c:v>过程</c:v>
                </c:pt>
                <c:pt idx="2">
                  <c:v>产出</c:v>
                </c:pt>
                <c:pt idx="3">
                  <c:v>效益</c:v>
                </c:pt>
              </c:strCache>
            </c:strRef>
          </c:cat>
          <c:val>
            <c:numRef>
              <c:f>'[指标体系（节能减碳）.xlsx]Sheet1'!$C$2:$C$5</c:f>
              <c:numCache>
                <c:formatCode>General</c:formatCode>
                <c:ptCount val="4"/>
                <c:pt idx="0">
                  <c:v>23</c:v>
                </c:pt>
                <c:pt idx="1">
                  <c:v>20</c:v>
                </c:pt>
                <c:pt idx="2">
                  <c:v>24.06</c:v>
                </c:pt>
                <c:pt idx="3">
                  <c:v>16</c:v>
                </c:pt>
              </c:numCache>
            </c:numRef>
          </c:val>
        </c:ser>
        <c:dLbls>
          <c:showLegendKey val="0"/>
          <c:showVal val="1"/>
          <c:showCatName val="0"/>
          <c:showSerName val="0"/>
          <c:showPercent val="0"/>
          <c:showBubbleSize val="0"/>
        </c:dLbls>
        <c:gapWidth val="164"/>
        <c:overlap val="-22"/>
        <c:axId val="675893621"/>
        <c:axId val="626201601"/>
      </c:barChart>
      <c:catAx>
        <c:axId val="675893621"/>
        <c:scaling>
          <c:orientation val="minMax"/>
        </c:scaling>
        <c:delete val="0"/>
        <c:axPos val="b"/>
        <c:majorTickMark val="none"/>
        <c:minorTickMark val="none"/>
        <c:tickLblPos val="nextTo"/>
        <c:spPr>
          <a:noFill/>
          <a:ln w="19050"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626201601"/>
        <c:crosses val="autoZero"/>
        <c:auto val="1"/>
        <c:lblAlgn val="ctr"/>
        <c:lblOffset val="100"/>
        <c:noMultiLvlLbl val="0"/>
      </c:catAx>
      <c:valAx>
        <c:axId val="626201601"/>
        <c:scaling>
          <c:orientation val="minMax"/>
        </c:scaling>
        <c:delete val="0"/>
        <c:axPos val="l"/>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675893621"/>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dTable>
      <c:spPr>
        <a:noFill/>
        <a:ln>
          <a:noFill/>
        </a:ln>
        <a:effectLst/>
      </c:spPr>
    </c:plotArea>
    <c:legend>
      <c:legendPos val="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36</Pages>
  <Words>18138</Words>
  <Characters>19270</Characters>
  <Lines>0</Lines>
  <Paragraphs>0</Paragraphs>
  <TotalTime>11</TotalTime>
  <ScaleCrop>false</ScaleCrop>
  <LinksUpToDate>false</LinksUpToDate>
  <CharactersWithSpaces>19496</CharactersWithSpaces>
  <Application>WPS Office_11.8.2.12185_F1E327BC-269C-435d-A152-05C5408002CA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2022-08-15T22:30:00Z</dcterms:created>
  <dc:creator>三月的柳絮不飞</dc:creator>
  <cp:lastModifiedBy>thtf</cp:lastModifiedBy>
  <cp:lastPrinted>2023-06-25T16:01:00Z</cp:lastPrinted>
  <dcterms:modified xsi:type="dcterms:W3CDTF">2024-12-08T20:15:23Z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2052-11.8.2.12185</vt:lpwstr>
  </property>
  <property fmtid="{D5CDD505-2E9C-101B-9397-08002B2CF9AE}" pid="3" name="ICV">
    <vt:lpwstr>7250D593F70F49049B8FB8E64C6A9439_13</vt:lpwstr>
  </property>
</Properties>
</file>