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93412">
      <w:pPr>
        <w:widowControl w:val="0"/>
        <w:overflowPunct w:val="0"/>
        <w:jc w:val="center"/>
        <w:rPr>
          <w:rFonts w:hint="eastAsia" w:ascii="黑体" w:hAnsi="黑体" w:eastAsia="黑体" w:cs="黑体"/>
          <w:spacing w:val="4"/>
          <w:sz w:val="44"/>
          <w:szCs w:val="44"/>
          <w:lang w:eastAsia="zh-CN"/>
        </w:rPr>
      </w:pPr>
    </w:p>
    <w:p w14:paraId="2A0F4B71">
      <w:pPr>
        <w:widowControl w:val="0"/>
        <w:overflowPunct w:val="0"/>
        <w:jc w:val="both"/>
        <w:rPr>
          <w:rFonts w:hint="eastAsia" w:ascii="黑体" w:hAnsi="黑体" w:eastAsia="黑体" w:cs="黑体"/>
          <w:spacing w:val="4"/>
          <w:sz w:val="44"/>
          <w:szCs w:val="44"/>
          <w:lang w:eastAsia="zh-CN"/>
        </w:rPr>
      </w:pPr>
    </w:p>
    <w:p w14:paraId="27CDEAAB">
      <w:pPr>
        <w:widowControl w:val="0"/>
        <w:overflowPunct w:val="0"/>
        <w:jc w:val="center"/>
        <w:rPr>
          <w:rFonts w:hint="eastAsia" w:ascii="黑体" w:hAnsi="黑体" w:eastAsia="黑体" w:cs="黑体"/>
          <w:spacing w:val="4"/>
          <w:sz w:val="44"/>
          <w:szCs w:val="44"/>
          <w:lang w:eastAsia="zh-CN"/>
        </w:rPr>
      </w:pPr>
      <w:bookmarkStart w:id="0" w:name="_Toc2112"/>
      <w:bookmarkStart w:id="1" w:name="_Toc31428"/>
      <w:bookmarkStart w:id="2" w:name="_Toc23894"/>
      <w:bookmarkStart w:id="3" w:name="_Toc18180"/>
      <w:bookmarkStart w:id="4" w:name="_Toc2392"/>
      <w:r>
        <w:rPr>
          <w:rFonts w:hint="eastAsia" w:ascii="黑体" w:hAnsi="黑体" w:eastAsia="黑体" w:cs="黑体"/>
          <w:spacing w:val="4"/>
          <w:sz w:val="44"/>
          <w:szCs w:val="44"/>
          <w:lang w:eastAsia="zh-CN"/>
        </w:rPr>
        <w:t>2024年度石狮市退役军人事务局部门</w:t>
      </w:r>
      <w:bookmarkStart w:id="5" w:name="_Toc8216"/>
      <w:bookmarkStart w:id="6" w:name="_Toc12298"/>
      <w:bookmarkStart w:id="7" w:name="_Toc21913"/>
      <w:bookmarkStart w:id="8" w:name="_Toc15425"/>
      <w:bookmarkStart w:id="9" w:name="_Toc14919"/>
      <w:bookmarkStart w:id="10" w:name="_Toc16249"/>
      <w:bookmarkStart w:id="11" w:name="_Toc30332"/>
      <w:bookmarkStart w:id="12" w:name="_Toc13715"/>
      <w:r>
        <w:rPr>
          <w:rFonts w:hint="eastAsia" w:ascii="黑体" w:hAnsi="黑体" w:eastAsia="黑体" w:cs="黑体"/>
          <w:spacing w:val="4"/>
          <w:sz w:val="44"/>
          <w:szCs w:val="44"/>
          <w:lang w:eastAsia="zh-CN"/>
        </w:rPr>
        <w:t>整体支出绩效评价报告</w:t>
      </w:r>
      <w:bookmarkEnd w:id="0"/>
      <w:bookmarkEnd w:id="1"/>
      <w:bookmarkEnd w:id="2"/>
      <w:bookmarkEnd w:id="3"/>
      <w:bookmarkEnd w:id="4"/>
      <w:bookmarkEnd w:id="5"/>
      <w:bookmarkEnd w:id="6"/>
      <w:bookmarkEnd w:id="7"/>
      <w:bookmarkEnd w:id="8"/>
      <w:bookmarkEnd w:id="9"/>
      <w:bookmarkEnd w:id="10"/>
      <w:bookmarkEnd w:id="11"/>
      <w:bookmarkEnd w:id="12"/>
    </w:p>
    <w:p w14:paraId="21B079F0">
      <w:pPr>
        <w:pStyle w:val="56"/>
        <w:widowControl w:val="0"/>
        <w:kinsoku w:val="0"/>
        <w:wordWrap/>
        <w:overflowPunct w:val="0"/>
        <w:autoSpaceDE w:val="0"/>
        <w:autoSpaceDN w:val="0"/>
        <w:rPr>
          <w:rFonts w:hint="eastAsia" w:ascii="黑体" w:hAnsi="黑体" w:eastAsia="黑体" w:cs="黑体"/>
          <w:sz w:val="20"/>
          <w:szCs w:val="21"/>
        </w:rPr>
      </w:pPr>
    </w:p>
    <w:p w14:paraId="0A42C189">
      <w:pPr>
        <w:widowControl w:val="0"/>
        <w:overflowPunct w:val="0"/>
        <w:rPr>
          <w:rFonts w:hint="eastAsia" w:ascii="黑体" w:hAnsi="黑体" w:eastAsia="黑体" w:cs="黑体"/>
          <w:color w:val="auto"/>
          <w:sz w:val="20"/>
          <w:szCs w:val="22"/>
          <w:lang w:eastAsia="zh-CN"/>
        </w:rPr>
      </w:pPr>
    </w:p>
    <w:p w14:paraId="3E0753FA">
      <w:pPr>
        <w:pStyle w:val="55"/>
        <w:widowControl w:val="0"/>
        <w:overflowPunct w:val="0"/>
        <w:rPr>
          <w:rFonts w:hint="eastAsia" w:ascii="黑体" w:hAnsi="黑体" w:eastAsia="黑体" w:cs="黑体"/>
          <w:color w:val="auto"/>
          <w:sz w:val="16"/>
          <w:szCs w:val="16"/>
          <w:lang w:eastAsia="zh-CN"/>
        </w:rPr>
      </w:pPr>
    </w:p>
    <w:p w14:paraId="3A2D61EE">
      <w:pPr>
        <w:pStyle w:val="56"/>
        <w:widowControl w:val="0"/>
        <w:kinsoku w:val="0"/>
        <w:wordWrap/>
        <w:overflowPunct w:val="0"/>
        <w:autoSpaceDE w:val="0"/>
        <w:autoSpaceDN w:val="0"/>
        <w:rPr>
          <w:rFonts w:hint="eastAsia" w:ascii="黑体" w:hAnsi="黑体" w:eastAsia="黑体" w:cs="黑体"/>
          <w:sz w:val="20"/>
          <w:szCs w:val="21"/>
        </w:rPr>
      </w:pPr>
    </w:p>
    <w:p w14:paraId="7A12C591">
      <w:pPr>
        <w:widowControl w:val="0"/>
        <w:overflowPunct w:val="0"/>
        <w:spacing w:line="360" w:lineRule="auto"/>
        <w:ind w:firstLine="1131" w:firstLineChars="345"/>
        <w:jc w:val="center"/>
        <w:rPr>
          <w:rFonts w:hint="eastAsia" w:ascii="黑体" w:hAnsi="黑体" w:eastAsia="黑体" w:cs="黑体"/>
          <w:color w:val="auto"/>
          <w:spacing w:val="4"/>
          <w:sz w:val="32"/>
          <w:szCs w:val="32"/>
          <w:lang w:eastAsia="zh-CN"/>
        </w:rPr>
      </w:pPr>
    </w:p>
    <w:p w14:paraId="3D325146">
      <w:pPr>
        <w:pStyle w:val="55"/>
        <w:widowControl w:val="0"/>
        <w:overflowPunct w:val="0"/>
        <w:rPr>
          <w:color w:val="auto"/>
          <w:sz w:val="16"/>
          <w:szCs w:val="16"/>
          <w:lang w:eastAsia="zh-CN"/>
        </w:rPr>
      </w:pPr>
    </w:p>
    <w:p w14:paraId="4E64BF2C">
      <w:pPr>
        <w:pStyle w:val="55"/>
        <w:widowControl w:val="0"/>
        <w:overflowPunct w:val="0"/>
        <w:rPr>
          <w:color w:val="auto"/>
          <w:sz w:val="16"/>
          <w:szCs w:val="16"/>
          <w:lang w:eastAsia="zh-CN"/>
        </w:rPr>
      </w:pPr>
    </w:p>
    <w:p w14:paraId="0A06E589">
      <w:pPr>
        <w:pStyle w:val="56"/>
        <w:widowControl w:val="0"/>
        <w:kinsoku w:val="0"/>
        <w:wordWrap/>
        <w:overflowPunct w:val="0"/>
        <w:autoSpaceDE w:val="0"/>
        <w:autoSpaceDN w:val="0"/>
        <w:rPr>
          <w:sz w:val="32"/>
          <w:szCs w:val="32"/>
        </w:rPr>
      </w:pPr>
    </w:p>
    <w:p w14:paraId="45A0777C">
      <w:pPr>
        <w:widowControl w:val="0"/>
        <w:overflowPunct w:val="0"/>
        <w:spacing w:line="360" w:lineRule="auto"/>
        <w:ind w:firstLine="640" w:firstLineChars="200"/>
        <w:rPr>
          <w:rFonts w:hint="eastAsia" w:ascii="黑体" w:hAnsi="黑体" w:eastAsia="黑体" w:cs="黑体"/>
          <w:color w:val="auto"/>
          <w:sz w:val="32"/>
          <w:szCs w:val="32"/>
          <w:u w:val="single"/>
          <w:lang w:eastAsia="zh-CN"/>
        </w:rPr>
      </w:pPr>
      <w:r>
        <w:rPr>
          <w:rFonts w:hint="eastAsia" w:ascii="黑体" w:hAnsi="黑体" w:eastAsia="黑体" w:cs="黑体"/>
          <w:color w:val="auto"/>
          <w:sz w:val="32"/>
          <w:szCs w:val="32"/>
          <w:lang w:eastAsia="zh-CN"/>
        </w:rPr>
        <w:t>项目单位：</w:t>
      </w:r>
      <w:r>
        <w:rPr>
          <w:rFonts w:hint="eastAsia" w:ascii="黑体" w:hAnsi="黑体" w:eastAsia="黑体" w:cs="黑体"/>
          <w:color w:val="auto"/>
          <w:sz w:val="32"/>
          <w:szCs w:val="32"/>
          <w:u w:val="single"/>
          <w:lang w:eastAsia="zh-CN"/>
        </w:rPr>
        <w:t xml:space="preserve">     石狮市退役军人事务局         </w:t>
      </w:r>
    </w:p>
    <w:p w14:paraId="3814AB29">
      <w:pPr>
        <w:pStyle w:val="55"/>
        <w:widowControl w:val="0"/>
        <w:overflowPunct w:val="0"/>
        <w:rPr>
          <w:color w:val="auto"/>
          <w:sz w:val="32"/>
          <w:szCs w:val="32"/>
          <w:lang w:eastAsia="zh-CN"/>
        </w:rPr>
      </w:pPr>
    </w:p>
    <w:p w14:paraId="0BF718F1">
      <w:pPr>
        <w:widowControl w:val="0"/>
        <w:overflowPunct w:val="0"/>
        <w:spacing w:line="360" w:lineRule="auto"/>
        <w:ind w:firstLine="640" w:firstLineChars="200"/>
        <w:rPr>
          <w:rFonts w:hint="eastAsia" w:ascii="黑体" w:hAnsi="黑体" w:eastAsia="黑体" w:cs="黑体"/>
          <w:color w:val="auto"/>
          <w:sz w:val="32"/>
          <w:szCs w:val="32"/>
          <w:u w:val="single"/>
          <w:lang w:eastAsia="zh-CN"/>
        </w:rPr>
      </w:pPr>
      <w:r>
        <w:rPr>
          <w:rFonts w:hint="eastAsia" w:ascii="黑体" w:hAnsi="黑体" w:eastAsia="黑体" w:cs="黑体"/>
          <w:color w:val="auto"/>
          <w:sz w:val="32"/>
          <w:szCs w:val="32"/>
          <w:lang w:eastAsia="zh-CN"/>
        </w:rPr>
        <w:t>委托单位：</w:t>
      </w:r>
      <w:r>
        <w:rPr>
          <w:rFonts w:hint="eastAsia" w:ascii="黑体" w:hAnsi="黑体" w:eastAsia="黑体" w:cs="黑体"/>
          <w:color w:val="auto"/>
          <w:sz w:val="32"/>
          <w:szCs w:val="32"/>
          <w:u w:val="single"/>
          <w:lang w:eastAsia="zh-CN"/>
        </w:rPr>
        <w:t xml:space="preserve">       石狮市财政局               </w:t>
      </w:r>
    </w:p>
    <w:p w14:paraId="21848F3F">
      <w:pPr>
        <w:pStyle w:val="506"/>
        <w:widowControl w:val="0"/>
        <w:overflowPunct w:val="0"/>
        <w:ind w:firstLine="640"/>
        <w:rPr>
          <w:rFonts w:hint="eastAsia" w:ascii="黑体" w:hAnsi="黑体" w:eastAsia="黑体" w:cs="黑体"/>
          <w:color w:val="auto"/>
          <w:szCs w:val="32"/>
          <w:lang w:eastAsia="zh-CN"/>
        </w:rPr>
      </w:pPr>
    </w:p>
    <w:p w14:paraId="7578387A">
      <w:pPr>
        <w:widowControl w:val="0"/>
        <w:overflowPunct w:val="0"/>
        <w:spacing w:line="360" w:lineRule="auto"/>
        <w:ind w:firstLine="640" w:firstLineChars="200"/>
        <w:rPr>
          <w:rFonts w:hint="eastAsia" w:ascii="黑体" w:hAnsi="黑体" w:eastAsia="黑体" w:cs="黑体"/>
          <w:color w:val="auto"/>
          <w:sz w:val="32"/>
          <w:szCs w:val="32"/>
          <w:u w:val="single"/>
          <w:lang w:eastAsia="zh-CN"/>
        </w:rPr>
      </w:pPr>
      <w:r>
        <w:rPr>
          <w:rFonts w:hint="eastAsia" w:ascii="黑体" w:hAnsi="黑体" w:eastAsia="黑体" w:cs="黑体"/>
          <w:color w:val="auto"/>
          <w:sz w:val="32"/>
          <w:szCs w:val="32"/>
          <w:lang w:eastAsia="zh-CN"/>
        </w:rPr>
        <w:t>评价机构：</w:t>
      </w:r>
      <w:r>
        <w:rPr>
          <w:rFonts w:hint="eastAsia" w:ascii="黑体" w:hAnsi="黑体" w:eastAsia="黑体" w:cs="黑体"/>
          <w:color w:val="auto"/>
          <w:sz w:val="32"/>
          <w:szCs w:val="32"/>
          <w:u w:val="single"/>
          <w:lang w:eastAsia="zh-CN"/>
        </w:rPr>
        <w:t xml:space="preserve">   泉州市启程财务咨询有限公司     </w:t>
      </w:r>
    </w:p>
    <w:p w14:paraId="201BA34C">
      <w:pPr>
        <w:pStyle w:val="506"/>
        <w:widowControl w:val="0"/>
        <w:overflowPunct w:val="0"/>
        <w:ind w:firstLine="0" w:firstLineChars="0"/>
        <w:rPr>
          <w:rFonts w:hint="eastAsia" w:ascii="黑体" w:hAnsi="黑体" w:eastAsia="黑体" w:cs="黑体"/>
          <w:color w:val="auto"/>
          <w:szCs w:val="32"/>
          <w:lang w:eastAsia="zh-CN"/>
        </w:rPr>
      </w:pPr>
    </w:p>
    <w:p w14:paraId="5F546191">
      <w:pPr>
        <w:widowControl w:val="0"/>
        <w:overflowPunct w:val="0"/>
        <w:spacing w:line="360" w:lineRule="auto"/>
        <w:ind w:firstLine="640" w:firstLineChars="200"/>
        <w:rPr>
          <w:rFonts w:hint="eastAsia" w:ascii="黑体" w:hAnsi="黑体" w:eastAsia="黑体" w:cs="黑体"/>
          <w:color w:val="auto"/>
          <w:sz w:val="32"/>
          <w:szCs w:val="32"/>
          <w:u w:val="single"/>
          <w:lang w:eastAsia="zh-CN"/>
        </w:rPr>
      </w:pPr>
      <w:r>
        <w:rPr>
          <w:rFonts w:hint="eastAsia" w:ascii="黑体" w:hAnsi="黑体" w:eastAsia="黑体" w:cs="黑体"/>
          <w:color w:val="auto"/>
          <w:sz w:val="32"/>
          <w:szCs w:val="32"/>
          <w:lang w:eastAsia="zh-CN"/>
        </w:rPr>
        <w:t>评价时间：</w:t>
      </w:r>
      <w:r>
        <w:rPr>
          <w:rFonts w:hint="eastAsia" w:ascii="黑体" w:hAnsi="黑体" w:eastAsia="黑体" w:cs="黑体"/>
          <w:color w:val="auto"/>
          <w:sz w:val="32"/>
          <w:szCs w:val="32"/>
          <w:u w:val="single"/>
          <w:lang w:eastAsia="zh-CN"/>
        </w:rPr>
        <w:t xml:space="preserve">          2025年7-8月             </w:t>
      </w:r>
    </w:p>
    <w:p w14:paraId="432FD20A">
      <w:pPr>
        <w:widowControl w:val="0"/>
        <w:overflowPunct w:val="0"/>
        <w:spacing w:line="760" w:lineRule="exact"/>
        <w:jc w:val="center"/>
        <w:rPr>
          <w:rFonts w:hint="eastAsia" w:ascii="黑体" w:hAnsi="黑体" w:eastAsia="黑体" w:cs="黑体"/>
          <w:color w:val="auto"/>
          <w:spacing w:val="4"/>
          <w:sz w:val="32"/>
          <w:szCs w:val="32"/>
          <w:lang w:eastAsia="zh-CN"/>
        </w:rPr>
      </w:pPr>
    </w:p>
    <w:p w14:paraId="1C99A5B9">
      <w:pPr>
        <w:pStyle w:val="55"/>
        <w:widowControl w:val="0"/>
        <w:overflowPunct w:val="0"/>
        <w:rPr>
          <w:rFonts w:hint="eastAsia" w:ascii="黑体" w:hAnsi="黑体" w:eastAsia="黑体" w:cs="黑体"/>
          <w:color w:val="auto"/>
          <w:spacing w:val="4"/>
          <w:sz w:val="32"/>
          <w:szCs w:val="32"/>
          <w:lang w:eastAsia="zh-CN"/>
        </w:rPr>
      </w:pPr>
    </w:p>
    <w:p w14:paraId="4D7766C0">
      <w:pPr>
        <w:pStyle w:val="56"/>
        <w:widowControl w:val="0"/>
        <w:kinsoku w:val="0"/>
        <w:wordWrap/>
        <w:overflowPunct w:val="0"/>
        <w:autoSpaceDE w:val="0"/>
        <w:autoSpaceDN w:val="0"/>
        <w:rPr>
          <w:rFonts w:hint="eastAsia" w:ascii="黑体" w:hAnsi="黑体" w:eastAsia="黑体" w:cs="黑体"/>
          <w:spacing w:val="4"/>
          <w:sz w:val="32"/>
          <w:szCs w:val="32"/>
        </w:rPr>
      </w:pPr>
    </w:p>
    <w:p w14:paraId="78ADA498">
      <w:pPr>
        <w:widowControl w:val="0"/>
        <w:overflowPunct w:val="0"/>
        <w:rPr>
          <w:color w:val="auto"/>
          <w:sz w:val="32"/>
          <w:szCs w:val="32"/>
          <w:lang w:eastAsia="zh-CN"/>
        </w:rPr>
      </w:pPr>
    </w:p>
    <w:p w14:paraId="38905B0C">
      <w:pPr>
        <w:pStyle w:val="56"/>
        <w:widowControl w:val="0"/>
        <w:kinsoku w:val="0"/>
        <w:wordWrap/>
        <w:overflowPunct w:val="0"/>
        <w:autoSpaceDE w:val="0"/>
        <w:autoSpaceDN w:val="0"/>
        <w:rPr>
          <w:rFonts w:hint="eastAsia" w:ascii="黑体" w:hAnsi="黑体" w:eastAsia="黑体" w:cs="黑体"/>
          <w:spacing w:val="4"/>
          <w:sz w:val="32"/>
          <w:szCs w:val="32"/>
        </w:rPr>
      </w:pPr>
    </w:p>
    <w:p w14:paraId="1501B0B5">
      <w:pPr>
        <w:widowControl w:val="0"/>
        <w:overflowPunct w:val="0"/>
        <w:spacing w:line="360" w:lineRule="auto"/>
        <w:jc w:val="center"/>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 xml:space="preserve"> 2025年7月</w:t>
      </w:r>
    </w:p>
    <w:p w14:paraId="7CE4BEF5">
      <w:pPr>
        <w:widowControl w:val="0"/>
        <w:overflowPunct w:val="0"/>
        <w:spacing w:line="760" w:lineRule="exact"/>
        <w:rPr>
          <w:rFonts w:hint="eastAsia" w:ascii="黑体" w:hAnsi="黑体" w:eastAsia="黑体" w:cs="黑体"/>
          <w:color w:val="auto"/>
          <w:spacing w:val="4"/>
          <w:sz w:val="32"/>
          <w:szCs w:val="32"/>
          <w:lang w:eastAsia="zh-CN"/>
        </w:rPr>
      </w:pPr>
      <w:r>
        <w:rPr>
          <w:rFonts w:hint="eastAsia" w:ascii="黑体" w:hAnsi="黑体" w:eastAsia="黑体" w:cs="黑体"/>
          <w:color w:val="auto"/>
          <w:spacing w:val="4"/>
          <w:sz w:val="32"/>
          <w:szCs w:val="32"/>
          <w:lang w:eastAsia="zh-CN"/>
        </w:rPr>
        <w:t xml:space="preserve">   </w:t>
      </w:r>
      <w:bookmarkStart w:id="13" w:name="_Toc1930"/>
      <w:bookmarkStart w:id="14" w:name="_Toc30028"/>
      <w:bookmarkStart w:id="15" w:name="_Toc23378"/>
      <w:bookmarkStart w:id="16" w:name="_Toc15437"/>
      <w:bookmarkStart w:id="17" w:name="_Toc3359"/>
    </w:p>
    <w:p w14:paraId="6E7EA779">
      <w:pPr>
        <w:widowControl w:val="0"/>
        <w:overflowPunct w:val="0"/>
        <w:spacing w:line="760" w:lineRule="exact"/>
        <w:jc w:val="center"/>
        <w:rPr>
          <w:rFonts w:hint="eastAsia" w:ascii="黑体" w:hAnsi="黑体" w:eastAsia="黑体" w:cs="黑体"/>
          <w:color w:val="auto"/>
          <w:spacing w:val="4"/>
          <w:sz w:val="32"/>
          <w:szCs w:val="32"/>
          <w:lang w:eastAsia="zh-CN"/>
        </w:rPr>
        <w:sectPr>
          <w:footerReference r:id="rId3" w:type="default"/>
          <w:pgSz w:w="11906" w:h="16838"/>
          <w:pgMar w:top="1440" w:right="1800" w:bottom="1304" w:left="1800" w:header="851" w:footer="992" w:gutter="0"/>
          <w:pgNumType w:fmt="decimalFullWidth" w:start="1"/>
          <w:cols w:space="425" w:num="1"/>
          <w:docGrid w:type="lines" w:linePitch="312" w:charSpace="0"/>
        </w:sectPr>
      </w:pPr>
      <w:bookmarkStart w:id="18" w:name="_Toc29859"/>
      <w:bookmarkStart w:id="19" w:name="_Toc22224"/>
    </w:p>
    <w:bookmarkEnd w:id="13"/>
    <w:bookmarkEnd w:id="14"/>
    <w:bookmarkEnd w:id="15"/>
    <w:bookmarkEnd w:id="16"/>
    <w:bookmarkEnd w:id="17"/>
    <w:bookmarkEnd w:id="18"/>
    <w:bookmarkEnd w:id="19"/>
    <w:p w14:paraId="0BEBD182">
      <w:pPr>
        <w:widowControl w:val="0"/>
        <w:kinsoku/>
        <w:autoSpaceDE/>
        <w:autoSpaceDN/>
        <w:adjustRightInd/>
        <w:snapToGrid/>
        <w:spacing w:after="160" w:line="278" w:lineRule="auto"/>
        <w:jc w:val="center"/>
        <w:textAlignment w:val="auto"/>
        <w:rPr>
          <w:rFonts w:hint="eastAsia" w:ascii="黑体" w:hAnsi="黑体" w:eastAsia="黑体" w:cs="Times New Roman"/>
          <w:snapToGrid/>
          <w:kern w:val="2"/>
          <w:sz w:val="32"/>
          <w:szCs w:val="32"/>
          <w:lang w:eastAsia="zh-CN"/>
          <w14:ligatures w14:val="standardContextual"/>
        </w:rPr>
      </w:pPr>
      <w:r>
        <w:rPr>
          <w:rFonts w:hint="eastAsia" w:ascii="黑体" w:hAnsi="黑体" w:eastAsia="黑体" w:cs="Times New Roman"/>
          <w:snapToGrid/>
          <w:kern w:val="2"/>
          <w:sz w:val="32"/>
          <w:szCs w:val="32"/>
          <w:lang w:eastAsia="zh-CN"/>
          <w14:ligatures w14:val="standardContextual"/>
        </w:rPr>
        <w:t>绩效评价工作组人员名单</w:t>
      </w:r>
    </w:p>
    <w:tbl>
      <w:tblPr>
        <w:tblStyle w:val="90"/>
        <w:tblW w:w="5000"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2085"/>
        <w:gridCol w:w="2085"/>
        <w:gridCol w:w="3555"/>
      </w:tblGrid>
      <w:tr w14:paraId="59FD0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1" w:type="pct"/>
          </w:tcPr>
          <w:p w14:paraId="70D12823">
            <w:pPr>
              <w:widowControl w:val="0"/>
              <w:kinsoku/>
              <w:autoSpaceDE/>
              <w:autoSpaceDN/>
              <w:adjustRightInd/>
              <w:snapToGrid/>
              <w:spacing w:after="160" w:line="278" w:lineRule="auto"/>
              <w:jc w:val="center"/>
              <w:textAlignment w:val="auto"/>
              <w:rPr>
                <w:rFonts w:hint="eastAsia" w:ascii="仿宋" w:hAnsi="仿宋" w:eastAsia="仿宋" w:cs="Times New Roman"/>
                <w:b/>
                <w:bCs/>
                <w:snapToGrid/>
                <w:kern w:val="2"/>
                <w:sz w:val="28"/>
                <w:szCs w:val="28"/>
                <w:lang w:val="zh-CN" w:eastAsia="zh-CN"/>
                <w14:ligatures w14:val="standardContextual"/>
              </w:rPr>
            </w:pPr>
            <w:r>
              <w:rPr>
                <w:rFonts w:hint="eastAsia" w:ascii="仿宋" w:hAnsi="仿宋" w:eastAsia="仿宋" w:cs="Times New Roman"/>
                <w:b/>
                <w:bCs/>
                <w:snapToGrid/>
                <w:kern w:val="2"/>
                <w:sz w:val="28"/>
                <w:szCs w:val="28"/>
                <w:lang w:val="zh-CN" w:eastAsia="zh-CN"/>
                <w14:ligatures w14:val="standardContextual"/>
              </w:rPr>
              <w:t>序号</w:t>
            </w:r>
          </w:p>
        </w:tc>
        <w:tc>
          <w:tcPr>
            <w:tcW w:w="1122" w:type="pct"/>
          </w:tcPr>
          <w:p w14:paraId="22FDC499">
            <w:pPr>
              <w:widowControl w:val="0"/>
              <w:kinsoku/>
              <w:autoSpaceDE/>
              <w:autoSpaceDN/>
              <w:adjustRightInd/>
              <w:snapToGrid/>
              <w:spacing w:after="160" w:line="278" w:lineRule="auto"/>
              <w:jc w:val="center"/>
              <w:textAlignment w:val="auto"/>
              <w:rPr>
                <w:rFonts w:hint="eastAsia" w:ascii="仿宋" w:hAnsi="仿宋" w:eastAsia="仿宋" w:cs="Times New Roman"/>
                <w:b/>
                <w:bCs/>
                <w:snapToGrid/>
                <w:kern w:val="2"/>
                <w:sz w:val="28"/>
                <w:szCs w:val="28"/>
                <w:lang w:val="zh-CN" w:eastAsia="zh-CN"/>
                <w14:ligatures w14:val="standardContextual"/>
              </w:rPr>
            </w:pPr>
            <w:r>
              <w:rPr>
                <w:rFonts w:hint="eastAsia" w:ascii="仿宋" w:hAnsi="仿宋" w:eastAsia="仿宋" w:cs="Times New Roman"/>
                <w:b/>
                <w:bCs/>
                <w:snapToGrid/>
                <w:kern w:val="2"/>
                <w:sz w:val="28"/>
                <w:szCs w:val="28"/>
                <w:lang w:val="zh-CN" w:eastAsia="zh-CN"/>
                <w14:ligatures w14:val="standardContextual"/>
              </w:rPr>
              <w:t>职务</w:t>
            </w:r>
          </w:p>
        </w:tc>
        <w:tc>
          <w:tcPr>
            <w:tcW w:w="1122" w:type="pct"/>
          </w:tcPr>
          <w:p w14:paraId="7C6BDB0C">
            <w:pPr>
              <w:widowControl w:val="0"/>
              <w:kinsoku/>
              <w:autoSpaceDE/>
              <w:autoSpaceDN/>
              <w:adjustRightInd/>
              <w:snapToGrid/>
              <w:spacing w:after="160" w:line="278" w:lineRule="auto"/>
              <w:jc w:val="center"/>
              <w:textAlignment w:val="auto"/>
              <w:rPr>
                <w:rFonts w:hint="eastAsia" w:ascii="仿宋" w:hAnsi="仿宋" w:eastAsia="仿宋" w:cs="Times New Roman"/>
                <w:b/>
                <w:bCs/>
                <w:snapToGrid/>
                <w:kern w:val="2"/>
                <w:sz w:val="28"/>
                <w:szCs w:val="28"/>
                <w:lang w:val="zh-CN" w:eastAsia="zh-CN"/>
                <w14:ligatures w14:val="standardContextual"/>
              </w:rPr>
            </w:pPr>
            <w:r>
              <w:rPr>
                <w:rFonts w:hint="eastAsia" w:ascii="仿宋" w:hAnsi="仿宋" w:eastAsia="仿宋" w:cs="Times New Roman"/>
                <w:b/>
                <w:bCs/>
                <w:snapToGrid/>
                <w:kern w:val="2"/>
                <w:sz w:val="28"/>
                <w:szCs w:val="28"/>
                <w:lang w:val="zh-CN" w:eastAsia="zh-CN"/>
                <w14:ligatures w14:val="standardContextual"/>
              </w:rPr>
              <w:t>姓名</w:t>
            </w:r>
          </w:p>
        </w:tc>
        <w:tc>
          <w:tcPr>
            <w:tcW w:w="1913" w:type="pct"/>
          </w:tcPr>
          <w:p w14:paraId="50BF67C6">
            <w:pPr>
              <w:widowControl w:val="0"/>
              <w:kinsoku/>
              <w:autoSpaceDE/>
              <w:autoSpaceDN/>
              <w:adjustRightInd/>
              <w:snapToGrid/>
              <w:spacing w:after="160" w:line="278" w:lineRule="auto"/>
              <w:jc w:val="center"/>
              <w:textAlignment w:val="auto"/>
              <w:rPr>
                <w:rFonts w:hint="eastAsia" w:ascii="仿宋" w:hAnsi="仿宋" w:eastAsia="仿宋" w:cs="Times New Roman"/>
                <w:b/>
                <w:bCs/>
                <w:snapToGrid/>
                <w:kern w:val="2"/>
                <w:sz w:val="28"/>
                <w:szCs w:val="28"/>
                <w:lang w:val="zh-CN" w:eastAsia="zh-CN"/>
                <w14:ligatures w14:val="standardContextual"/>
              </w:rPr>
            </w:pPr>
            <w:r>
              <w:rPr>
                <w:rFonts w:hint="eastAsia" w:ascii="仿宋" w:hAnsi="仿宋" w:eastAsia="仿宋" w:cs="Times New Roman"/>
                <w:b/>
                <w:bCs/>
                <w:snapToGrid/>
                <w:kern w:val="2"/>
                <w:sz w:val="28"/>
                <w:szCs w:val="28"/>
                <w:lang w:val="zh-CN" w:eastAsia="zh-CN"/>
                <w14:ligatures w14:val="standardContextual"/>
              </w:rPr>
              <w:t>联系方式</w:t>
            </w:r>
          </w:p>
        </w:tc>
      </w:tr>
      <w:tr w14:paraId="49BAD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1" w:type="pct"/>
          </w:tcPr>
          <w:p w14:paraId="59F7ECDB">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1</w:t>
            </w:r>
          </w:p>
        </w:tc>
        <w:tc>
          <w:tcPr>
            <w:tcW w:w="1122" w:type="pct"/>
          </w:tcPr>
          <w:p w14:paraId="17466A3F">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组长</w:t>
            </w:r>
          </w:p>
        </w:tc>
        <w:tc>
          <w:tcPr>
            <w:tcW w:w="1122" w:type="pct"/>
          </w:tcPr>
          <w:p w14:paraId="0366C0D1">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徐本玉</w:t>
            </w:r>
          </w:p>
        </w:tc>
        <w:tc>
          <w:tcPr>
            <w:tcW w:w="1913" w:type="pct"/>
          </w:tcPr>
          <w:p w14:paraId="17FFC1CF">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18606955277</w:t>
            </w:r>
          </w:p>
        </w:tc>
      </w:tr>
      <w:tr w14:paraId="62CFF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1" w:type="pct"/>
          </w:tcPr>
          <w:p w14:paraId="2008BAFF">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eastAsia="zh-CN"/>
                <w14:ligatures w14:val="standardContextual"/>
              </w:rPr>
              <w:t>2</w:t>
            </w:r>
          </w:p>
        </w:tc>
        <w:tc>
          <w:tcPr>
            <w:tcW w:w="1122" w:type="pct"/>
          </w:tcPr>
          <w:p w14:paraId="09FA84E2">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副组长</w:t>
            </w:r>
          </w:p>
        </w:tc>
        <w:tc>
          <w:tcPr>
            <w:tcW w:w="1122" w:type="pct"/>
          </w:tcPr>
          <w:p w14:paraId="6AC88713">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黄诚永</w:t>
            </w:r>
          </w:p>
        </w:tc>
        <w:tc>
          <w:tcPr>
            <w:tcW w:w="1913" w:type="pct"/>
          </w:tcPr>
          <w:p w14:paraId="29F2CDDA">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15559037665</w:t>
            </w:r>
          </w:p>
        </w:tc>
      </w:tr>
      <w:tr w14:paraId="69A1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1" w:type="pct"/>
          </w:tcPr>
          <w:p w14:paraId="5F6B7B49">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eastAsia="zh-CN"/>
                <w14:ligatures w14:val="standardContextual"/>
              </w:rPr>
              <w:t>3</w:t>
            </w:r>
          </w:p>
        </w:tc>
        <w:tc>
          <w:tcPr>
            <w:tcW w:w="1122" w:type="pct"/>
          </w:tcPr>
          <w:p w14:paraId="39658FB0">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组员</w:t>
            </w:r>
          </w:p>
        </w:tc>
        <w:tc>
          <w:tcPr>
            <w:tcW w:w="1122" w:type="pct"/>
          </w:tcPr>
          <w:p w14:paraId="0846298F">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陈晓彬</w:t>
            </w:r>
          </w:p>
        </w:tc>
        <w:tc>
          <w:tcPr>
            <w:tcW w:w="1913" w:type="pct"/>
          </w:tcPr>
          <w:p w14:paraId="06B50588">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15960567231</w:t>
            </w:r>
          </w:p>
        </w:tc>
      </w:tr>
      <w:tr w14:paraId="581A7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1" w:type="pct"/>
          </w:tcPr>
          <w:p w14:paraId="00BB1AC6">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eastAsia="zh-CN"/>
                <w14:ligatures w14:val="standardContextual"/>
              </w:rPr>
              <w:t>4</w:t>
            </w:r>
          </w:p>
        </w:tc>
        <w:tc>
          <w:tcPr>
            <w:tcW w:w="1122" w:type="pct"/>
          </w:tcPr>
          <w:p w14:paraId="24FEC14C">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组员</w:t>
            </w:r>
          </w:p>
        </w:tc>
        <w:tc>
          <w:tcPr>
            <w:tcW w:w="1122" w:type="pct"/>
          </w:tcPr>
          <w:p w14:paraId="5C4A5042">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刘凤阳</w:t>
            </w:r>
          </w:p>
        </w:tc>
        <w:tc>
          <w:tcPr>
            <w:tcW w:w="1913" w:type="pct"/>
          </w:tcPr>
          <w:p w14:paraId="29F5DC8A">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13348313607</w:t>
            </w:r>
          </w:p>
        </w:tc>
      </w:tr>
      <w:tr w14:paraId="4ADD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1" w:type="pct"/>
          </w:tcPr>
          <w:p w14:paraId="09C04A8E">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eastAsia="zh-CN"/>
                <w14:ligatures w14:val="standardContextual"/>
              </w:rPr>
              <w:t>5</w:t>
            </w:r>
          </w:p>
        </w:tc>
        <w:tc>
          <w:tcPr>
            <w:tcW w:w="1122" w:type="pct"/>
          </w:tcPr>
          <w:p w14:paraId="30F8E395">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组员</w:t>
            </w:r>
          </w:p>
        </w:tc>
        <w:tc>
          <w:tcPr>
            <w:tcW w:w="1122" w:type="pct"/>
          </w:tcPr>
          <w:p w14:paraId="573F953B">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李英</w:t>
            </w:r>
          </w:p>
        </w:tc>
        <w:tc>
          <w:tcPr>
            <w:tcW w:w="1913" w:type="pct"/>
          </w:tcPr>
          <w:p w14:paraId="3D4CEAED">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19959520670</w:t>
            </w:r>
          </w:p>
        </w:tc>
      </w:tr>
      <w:tr w14:paraId="4735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1" w:type="pct"/>
          </w:tcPr>
          <w:p w14:paraId="271B69DD">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eastAsia="zh-CN"/>
                <w14:ligatures w14:val="standardContextual"/>
              </w:rPr>
              <w:t>6</w:t>
            </w:r>
          </w:p>
        </w:tc>
        <w:tc>
          <w:tcPr>
            <w:tcW w:w="1122" w:type="pct"/>
          </w:tcPr>
          <w:p w14:paraId="61B919AD">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组员</w:t>
            </w:r>
          </w:p>
        </w:tc>
        <w:tc>
          <w:tcPr>
            <w:tcW w:w="1122" w:type="pct"/>
          </w:tcPr>
          <w:p w14:paraId="151AEC40">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施沛芸</w:t>
            </w:r>
          </w:p>
        </w:tc>
        <w:tc>
          <w:tcPr>
            <w:tcW w:w="1913" w:type="pct"/>
          </w:tcPr>
          <w:p w14:paraId="44E60407">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13960474685</w:t>
            </w:r>
          </w:p>
        </w:tc>
      </w:tr>
      <w:tr w14:paraId="3377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1" w:type="pct"/>
          </w:tcPr>
          <w:p w14:paraId="664642D9">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eastAsia="zh-CN"/>
                <w14:ligatures w14:val="standardContextual"/>
              </w:rPr>
              <w:t>7</w:t>
            </w:r>
          </w:p>
        </w:tc>
        <w:tc>
          <w:tcPr>
            <w:tcW w:w="1122" w:type="pct"/>
          </w:tcPr>
          <w:p w14:paraId="307F65EF">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val="zh-CN" w:eastAsia="zh-CN"/>
                <w14:ligatures w14:val="standardContextual"/>
              </w:rPr>
            </w:pPr>
            <w:r>
              <w:rPr>
                <w:rFonts w:hint="eastAsia" w:ascii="仿宋" w:hAnsi="仿宋" w:eastAsia="仿宋" w:cs="Times New Roman"/>
                <w:snapToGrid/>
                <w:kern w:val="2"/>
                <w:sz w:val="28"/>
                <w:szCs w:val="28"/>
                <w:lang w:val="zh-CN" w:eastAsia="zh-CN"/>
                <w14:ligatures w14:val="standardContextual"/>
              </w:rPr>
              <w:t>组员</w:t>
            </w:r>
          </w:p>
        </w:tc>
        <w:tc>
          <w:tcPr>
            <w:tcW w:w="1122" w:type="pct"/>
          </w:tcPr>
          <w:p w14:paraId="22765945">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eastAsia="zh-CN"/>
                <w14:ligatures w14:val="standardContextual"/>
              </w:rPr>
            </w:pPr>
            <w:r>
              <w:rPr>
                <w:rFonts w:hint="eastAsia" w:ascii="仿宋" w:hAnsi="仿宋" w:eastAsia="仿宋" w:cs="Times New Roman"/>
                <w:snapToGrid/>
                <w:kern w:val="2"/>
                <w:sz w:val="28"/>
                <w:szCs w:val="28"/>
                <w:lang w:eastAsia="zh-CN"/>
                <w14:ligatures w14:val="standardContextual"/>
              </w:rPr>
              <w:t>许金聪</w:t>
            </w:r>
          </w:p>
        </w:tc>
        <w:tc>
          <w:tcPr>
            <w:tcW w:w="1913" w:type="pct"/>
          </w:tcPr>
          <w:p w14:paraId="314B5E92">
            <w:pPr>
              <w:widowControl w:val="0"/>
              <w:kinsoku/>
              <w:autoSpaceDE/>
              <w:autoSpaceDN/>
              <w:adjustRightInd/>
              <w:snapToGrid/>
              <w:spacing w:after="160" w:line="278" w:lineRule="auto"/>
              <w:jc w:val="center"/>
              <w:textAlignment w:val="auto"/>
              <w:rPr>
                <w:rFonts w:hint="eastAsia" w:ascii="仿宋" w:hAnsi="仿宋" w:eastAsia="仿宋" w:cs="Times New Roman"/>
                <w:snapToGrid/>
                <w:kern w:val="2"/>
                <w:sz w:val="28"/>
                <w:szCs w:val="28"/>
                <w:lang w:eastAsia="zh-CN"/>
                <w14:ligatures w14:val="standardContextual"/>
              </w:rPr>
            </w:pPr>
            <w:r>
              <w:rPr>
                <w:rFonts w:hint="eastAsia" w:ascii="仿宋" w:hAnsi="仿宋" w:eastAsia="仿宋" w:cs="Times New Roman"/>
                <w:snapToGrid/>
                <w:kern w:val="2"/>
                <w:sz w:val="28"/>
                <w:szCs w:val="28"/>
                <w:lang w:eastAsia="zh-CN"/>
                <w14:ligatures w14:val="standardContextual"/>
              </w:rPr>
              <w:t>13960401338</w:t>
            </w:r>
          </w:p>
        </w:tc>
      </w:tr>
    </w:tbl>
    <w:p w14:paraId="15ADCF6F">
      <w:pPr>
        <w:widowControl w:val="0"/>
        <w:kinsoku/>
        <w:autoSpaceDE/>
        <w:autoSpaceDN/>
        <w:adjustRightInd/>
        <w:snapToGrid/>
        <w:spacing w:after="160" w:line="278" w:lineRule="auto"/>
        <w:textAlignment w:val="auto"/>
        <w:rPr>
          <w:rFonts w:hint="eastAsia" w:ascii="等线" w:hAnsi="等线" w:eastAsia="等线" w:cs="Times New Roman"/>
          <w:snapToGrid/>
          <w:kern w:val="2"/>
          <w:sz w:val="22"/>
          <w:szCs w:val="24"/>
          <w:highlight w:val="yellow"/>
          <w:lang w:val="zh-CN" w:eastAsia="zh-CN"/>
          <w14:ligatures w14:val="standardContextual"/>
        </w:rPr>
      </w:pPr>
    </w:p>
    <w:p w14:paraId="47FB9EAE">
      <w:pPr>
        <w:widowControl w:val="0"/>
        <w:kinsoku/>
        <w:autoSpaceDE/>
        <w:autoSpaceDN/>
        <w:adjustRightInd/>
        <w:snapToGrid/>
        <w:spacing w:after="160" w:line="278" w:lineRule="auto"/>
        <w:textAlignment w:val="auto"/>
        <w:rPr>
          <w:rFonts w:hint="eastAsia" w:ascii="等线" w:hAnsi="等线" w:eastAsia="等线" w:cs="Times New Roman"/>
          <w:snapToGrid/>
          <w:kern w:val="2"/>
          <w:sz w:val="22"/>
          <w:szCs w:val="24"/>
          <w:lang w:val="zh-CN" w:eastAsia="zh-CN"/>
          <w14:ligatures w14:val="standardContextual"/>
        </w:rPr>
      </w:pPr>
    </w:p>
    <w:p w14:paraId="1B034C62">
      <w:pPr>
        <w:widowControl w:val="0"/>
        <w:kinsoku/>
        <w:autoSpaceDE/>
        <w:autoSpaceDN/>
        <w:adjustRightInd/>
        <w:snapToGrid/>
        <w:spacing w:after="160" w:line="278" w:lineRule="auto"/>
        <w:textAlignment w:val="auto"/>
        <w:rPr>
          <w:rFonts w:hint="eastAsia" w:ascii="等线" w:hAnsi="等线" w:eastAsia="等线" w:cs="Times New Roman"/>
          <w:snapToGrid/>
          <w:kern w:val="2"/>
          <w:sz w:val="22"/>
          <w:szCs w:val="24"/>
          <w:lang w:val="zh-CN" w:eastAsia="zh-CN"/>
          <w14:ligatures w14:val="standardContextual"/>
        </w:rPr>
      </w:pPr>
    </w:p>
    <w:p w14:paraId="689616E7">
      <w:pPr>
        <w:widowControl w:val="0"/>
        <w:kinsoku/>
        <w:autoSpaceDE/>
        <w:autoSpaceDN/>
        <w:adjustRightInd/>
        <w:snapToGrid/>
        <w:spacing w:after="160" w:line="278" w:lineRule="auto"/>
        <w:textAlignment w:val="auto"/>
        <w:rPr>
          <w:rFonts w:hint="eastAsia" w:ascii="等线" w:hAnsi="等线" w:eastAsia="等线" w:cs="Times New Roman"/>
          <w:snapToGrid/>
          <w:kern w:val="2"/>
          <w:sz w:val="22"/>
          <w:szCs w:val="24"/>
          <w:lang w:val="zh-CN" w:eastAsia="zh-CN"/>
          <w14:ligatures w14:val="standardContextual"/>
        </w:rPr>
      </w:pPr>
    </w:p>
    <w:p w14:paraId="60F98ACF">
      <w:pPr>
        <w:widowControl w:val="0"/>
        <w:kinsoku/>
        <w:autoSpaceDE/>
        <w:autoSpaceDN/>
        <w:adjustRightInd/>
        <w:snapToGrid/>
        <w:spacing w:after="160" w:line="278" w:lineRule="auto"/>
        <w:textAlignment w:val="auto"/>
        <w:rPr>
          <w:rFonts w:hint="eastAsia" w:ascii="等线" w:hAnsi="等线" w:eastAsia="等线" w:cs="Times New Roman"/>
          <w:snapToGrid/>
          <w:kern w:val="2"/>
          <w:sz w:val="22"/>
          <w:szCs w:val="24"/>
          <w:lang w:val="zh-CN" w:eastAsia="zh-CN"/>
          <w14:ligatures w14:val="standardContextual"/>
        </w:rPr>
      </w:pPr>
    </w:p>
    <w:p w14:paraId="604F20CE">
      <w:pPr>
        <w:kinsoku/>
        <w:autoSpaceDE/>
        <w:autoSpaceDN/>
        <w:adjustRightInd/>
        <w:snapToGrid/>
        <w:textAlignment w:val="auto"/>
        <w:rPr>
          <w:rFonts w:hint="eastAsia" w:ascii="等线" w:hAnsi="等线" w:eastAsia="等线" w:cs="Times New Roman"/>
          <w:snapToGrid/>
          <w:kern w:val="2"/>
          <w:sz w:val="22"/>
          <w:szCs w:val="24"/>
          <w:lang w:val="zh-CN" w:eastAsia="zh-CN"/>
          <w14:ligatures w14:val="standardContextual"/>
        </w:rPr>
      </w:pPr>
      <w:r>
        <w:rPr>
          <w:rFonts w:hint="eastAsia" w:ascii="等线" w:hAnsi="等线" w:eastAsia="等线" w:cs="Times New Roman"/>
          <w:snapToGrid/>
          <w:kern w:val="2"/>
          <w:sz w:val="22"/>
          <w:szCs w:val="24"/>
          <w:lang w:val="zh-CN" w:eastAsia="zh-CN"/>
          <w14:ligatures w14:val="standardContextual"/>
        </w:rPr>
        <w:br w:type="page"/>
      </w:r>
    </w:p>
    <w:sdt>
      <w:sdtPr>
        <w:rPr>
          <w:rFonts w:hint="eastAsia" w:ascii="仿宋" w:hAnsi="仿宋" w:eastAsia="仿宋" w:cs="仿宋"/>
          <w:b/>
          <w:bCs w:val="0"/>
          <w:spacing w:val="3"/>
          <w:sz w:val="24"/>
          <w:szCs w:val="24"/>
        </w:rPr>
        <w:id w:val="147462243"/>
        <w15:color w:val="DBDBDB"/>
        <w:docPartObj>
          <w:docPartGallery w:val="Table of Contents"/>
          <w:docPartUnique/>
        </w:docPartObj>
      </w:sdtPr>
      <w:sdtEndPr>
        <w:rPr>
          <w:rFonts w:hint="eastAsia" w:ascii="仿宋" w:hAnsi="仿宋" w:eastAsia="仿宋" w:cs="仿宋"/>
          <w:b w:val="0"/>
          <w:bCs/>
          <w:spacing w:val="3"/>
          <w:kern w:val="2"/>
          <w:sz w:val="24"/>
          <w:szCs w:val="24"/>
        </w:rPr>
      </w:sdtEndPr>
      <w:sdtContent>
        <w:p w14:paraId="56AA777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jc w:val="center"/>
            <w:textAlignment w:val="baseline"/>
            <w:rPr>
              <w:rFonts w:hint="eastAsia" w:ascii="仿宋" w:hAnsi="仿宋" w:eastAsia="仿宋" w:cs="仿宋"/>
              <w:b/>
              <w:bCs w:val="0"/>
              <w:spacing w:val="3"/>
              <w:sz w:val="24"/>
              <w:szCs w:val="24"/>
              <w:lang w:eastAsia="zh-CN"/>
            </w:rPr>
          </w:pPr>
          <w:r>
            <w:rPr>
              <w:rFonts w:hint="eastAsia" w:ascii="仿宋" w:hAnsi="仿宋" w:eastAsia="仿宋" w:cs="仿宋"/>
              <w:b/>
              <w:bCs w:val="0"/>
              <w:spacing w:val="3"/>
              <w:sz w:val="24"/>
              <w:szCs w:val="24"/>
              <w:lang w:eastAsia="zh-CN"/>
            </w:rPr>
            <w:t>目 录</w:t>
          </w:r>
        </w:p>
        <w:p w14:paraId="52F77A24">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TOC \o "1-4" \h \u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_Toc862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一、部门概况</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_Toc862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DF6C5F4">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_Toc25472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（一）部门主要职责</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_Toc25472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B58E76C">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_Toc16985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（二）单位构成及人员结构</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_Toc16985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9DA3F4A">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_Toc14271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（三）部门管理制度</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_Toc14271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6</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02842B5">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_Toc12974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二、部门整体收支情况</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_Toc12974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6</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93B5E75">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_Toc15790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（一）资金到位、预算和执行情况</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_Toc15790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6</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1876D91">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_Toc16827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1.资金到位情况</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_Toc16827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6</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8032AB0">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_Toc15641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2.资金预算情况</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_Toc15641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6</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048BD6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_Toc4188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3.资金年度调剂情况</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_Toc4188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7</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A048C32">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_Toc29356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4.资金预算执行情况</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_Toc29356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8</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0BBB4F5">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_Toc29411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（二）资金使用方向、主要内容和涉及范围</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_Toc29411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8</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EE163C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_Toc2681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1.基本支出</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_Toc2681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8</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708380A">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_Toc4604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2.项目支出</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_Toc4604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151682D">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_Toc3026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3.“三公”经费的使用和管理情况</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_Toc3026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515DA7B">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_Toc15261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三、部门年度总体目标</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_Toc15261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10</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D9506DA">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_Toc10501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四、评价思路</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_Toc10501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10</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47FCB71">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_Toc11367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（一）评价目的</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_Toc11367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10</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4163ED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_Toc14758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（二）评价对象及范围</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_Toc14758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10</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76424AB">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_Toc7463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（三）评价依据</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_Toc7463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10</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622DDF6">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_Toc32093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（四）评价原则</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_Toc32093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33D8C1C">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_Toc26355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（五）评价方法</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_Toc26355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857BC8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_Toc19184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（六）绩效标准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_Toc19184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5C6368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_Toc12146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（七）评价思路及关注点</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_Toc12146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9ABEE4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_Toc14447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（八）绩效评价数据来源</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_Toc14447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A9F4F7C">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_Toc539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（九）评价工作开展情况</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_Toc539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50C6F56">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_Toc7839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五、指标体系</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_Toc7839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D336F2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_Toc9774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（一）评价指标分值分布</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_Toc9774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8404F56">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_Toc23324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（二）评价等级</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_Toc23324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C6C7DA6">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_Toc28845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六、绩效指标分析</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_Toc28845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E592A83">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_Toc3415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（一）投入（总分10分，得分7.5分）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_Toc3415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008847B">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_Toc28661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1.目标设定（分值为4分）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_Toc28661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B7B3334">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_Toc27707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（1）绩效目标合理性（2分）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_Toc27707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665ABD0">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_Toc24890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 绩效目标明确性（2分）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_Toc24890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1509EF5">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_Toc569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2.预算配置（分值6分）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_Toc569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E54F3B4">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_Toc9970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（1）在职人员控制率（2分）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_Toc9970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706B3CA">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_Toc19097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（2）“三公”经费变动率（2分）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_Toc19097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3F44B5F">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_Toc28517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（3）结转结余变动率（2分）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_Toc28517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2548DAA">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_Toc16939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（二）过程（总分24分，得分19.5分）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_Toc16939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DA6338F">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_Toc29957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1.预算执行（分值10分）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_Toc29957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3A63C1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_Toc20194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（1）预算执行率（2分）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_Toc20194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9C9A422">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_Toc20026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（2）预算调整率（2分）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_Toc20026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26</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FB7CD83">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_Toc15576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（3）结转结余率（2分）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_Toc15576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26</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CE133F7">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_Toc12476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（4）公用经费控制率（2分）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_Toc12476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26</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FFB7A92">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_Toc17605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（5）人员经费控制率（2分）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_Toc17605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27</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F407E8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_Toc27841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2.预算管理（分值14分）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_Toc27841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27</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764251F">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_Toc28408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（1）管理制度健全性（2分）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_Toc28408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27</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E83C0D2">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_Toc18047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（2）政府采购管理（2分）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_Toc18047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28</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CBAA4EE">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_Toc32595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（3）项目进度管理（2分）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_Toc32595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28</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31714EF">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_Toc14802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（4）预决算信息公开性（2分）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_Toc14802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51B437E">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_Toc16906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（5）合同管理规范性（2分）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_Toc16906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CD81336">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_Toc3240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（6）资产管理完整性（2分）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_Toc3240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13E7093">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_Toc25642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（7） 绩效自评覆盖率（2分）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_Toc25642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30</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35BB530">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_Toc21503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（三）产出（总分42分，得分35分）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_Toc21503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30</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3B957ED">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_Toc3105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1.产出数量（分值18分）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_Toc3105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30</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80C3AE7">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_Toc19662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（1）义务兵优待金发放人数（3分）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_Toc19662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30</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8452970">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_Toc4031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 退役士兵补助人数（3分）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_Toc4031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2FD4BEB">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_Toc14192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 享受医疗待遇优抚对象人数（3分）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_Toc14192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3732ADE">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_Toc12414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（4）优抚对象人数（3分）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_Toc12414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352B99F">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_Toc28638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（5）企业退休军转干部人数（3分）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_Toc28638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AB581ED">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_Toc337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（6）科技文化拥军项目数（3分）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_Toc337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AE3A731">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_Toc12467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2.产出质量（分值18分）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_Toc12467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C984FA4">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_Toc16399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（1）纪念烈士讲解员专业队伍建设（3分）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_Toc16399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9B45EFD">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_Toc8040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 资金发放到位率（3分）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_Toc8040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BCF494A">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_Toc26434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（3）军转干部培训通过率（3分）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_Toc26434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F122B3E">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_Toc29553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（4）光荣牌台账管理规范性（3分）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_Toc29553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41ED407">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_Toc9054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（5）2024年度绩效考评结果（3分）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_Toc9054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70349B1">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_Toc22293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（6）退役士兵安置率（3分）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_Toc22293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438C9F0">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_Toc28327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3.产出时效（分值3分）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_Toc28327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21C64EF">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_Toc22588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专项资金支付及时率（3分）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_Toc22588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B11B807">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_Toc29009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4.产出成本（分值3分）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_Toc29009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275A715">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_Toc12427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成本控制率（3分）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_Toc12427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C21A20B">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_Toc28575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（四）效益（24分，得分22分）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_Toc28575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C4CD721">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_Toc10119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1.社会效益（分值12分）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_Toc10119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08DB544">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_Toc7699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（1）双拥标识标语建设（3分）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_Toc7699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A6A0DEF">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_Toc9873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（2）对优抚对象生活改善效果（3分）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_Toc9873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35</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4CD0B8E">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_Toc13284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（3）困难退役士兵总体稳定覆盖率（3分）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_Toc13284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36</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F7F5276">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_Toc5622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（4）军休干部待遇保障综合落实率（3分）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_Toc5622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37</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658B40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_Toc5714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2.经济效益（分值6分）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_Toc5714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37</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6EE0C30">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_Toc4980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（1）保障退役军人事务员工作补贴发放（3分）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_Toc4980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37</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44964DD">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_Toc2975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（2）优抚对象医疗补助资金执行与政策保障效率（3分）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_Toc2975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38</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33C0CCA">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_Toc21977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3.可持续发展效益（分值3分）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_Toc21977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38</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F4C93A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_Toc6827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自主择业军转干部长效稳定保障指数（3分）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_Toc6827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38</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E6C1E7E">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_Toc28329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4.满意度（分值3分）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_Toc28329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8C104F3">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_Toc9345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公众满意度（3分）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_Toc9345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13DB3D3">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_Toc25075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七、评价结论及绩效分析</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_Toc25075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ACBE4CE">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_Toc28514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（一）绩效评价结论</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_Toc28514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69C67D4">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_Toc3507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（二）扣分项目</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_Toc3507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3084CB7D">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_Toc22287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八、主要成效</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_Toc22287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39</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0DD4B0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_Toc25983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九、 存在问题</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_Toc25983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C1B9D47">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_Toc13399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（一）双拥经费实际开支与绩效目标差距大</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_Toc13399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3B487B3">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_Toc27720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（二）预算编制不精准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_Toc27720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C8CDEE3">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_Toc24125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（三）资金使用计划不合理</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_Toc24125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5B8248D">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_Toc25973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（四）专项资金支付率低</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_Toc25973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44CA2BE">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_Toc31029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（五）合同管理不规范</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_Toc31029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41</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06C1FB2">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_Toc16303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（六）</w:t>
          </w:r>
          <w:r>
            <w:rPr>
              <w:rFonts w:hint="eastAsia" w:ascii="仿宋" w:hAnsi="仿宋" w:eastAsia="仿宋" w:cs="仿宋"/>
              <w:b w:val="0"/>
              <w:bCs/>
              <w:spacing w:val="3"/>
              <w:sz w:val="24"/>
              <w:szCs w:val="24"/>
              <w:lang w:val="en-US" w:eastAsia="zh-CN"/>
            </w:rPr>
            <w:t>个别</w:t>
          </w:r>
          <w:r>
            <w:rPr>
              <w:rFonts w:hint="eastAsia" w:ascii="仿宋" w:hAnsi="仿宋" w:eastAsia="仿宋" w:cs="仿宋"/>
              <w:b w:val="0"/>
              <w:bCs/>
              <w:spacing w:val="3"/>
              <w:sz w:val="24"/>
              <w:szCs w:val="24"/>
              <w:lang w:eastAsia="zh-CN"/>
            </w:rPr>
            <w:t>台账管理不规范</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_Toc16303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EC2F5CD">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_Toc11583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（七）优抚对象医疗补助办法缺失</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_Toc11583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49DAE6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_Toc3849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十、提出建议</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_Toc3849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2D2BED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_Toc25069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（一）构建预算精准化编制机制</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_Toc25069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C86F70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_Toc22892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（二）增强预算编制的准确性与前瞻性</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_Toc22892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7C49222E">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_Toc22428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（三）建立跨年项目清理机制</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_Toc22428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42</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5288C9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_Toc20340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（四）提高专项资金支付效率</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_Toc20340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05905B4C">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_Toc28515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（五）健全合同全流程管理体系</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_Toc28515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13D295E5">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_Toc7455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（六）搭建台账动态核验体系</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_Toc7455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256CE31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_Toc16260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（七）推动优抚对象医疗补助政策加速落地</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_Toc16260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C4CF077">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_Toc6392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十一、其他需说明事项</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_Toc6392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43</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B1B7744">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_Toc16486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十二、相关附件</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_Toc16486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575B3184">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_Toc3498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附件1  2024年度石狮市退役军人事务局部门整体支出绩效评价得分情况表</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_Toc3498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6281156D">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_Toc32355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附件2  2024年度石狮市退役军人事务局部门整体支出满意度调查</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_Toc32355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BAFBBCB">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 w:val="0"/>
              <w:bCs/>
              <w:spacing w:val="3"/>
              <w:sz w:val="24"/>
              <w:szCs w:val="24"/>
              <w:lang w:eastAsia="zh-CN"/>
            </w:rPr>
          </w:pP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HYPERLINK \l _Toc31006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附件3  现场调研照片</w:t>
          </w:r>
          <w:r>
            <w:rPr>
              <w:rFonts w:hint="eastAsia" w:ascii="仿宋" w:hAnsi="仿宋" w:eastAsia="仿宋" w:cs="仿宋"/>
              <w:b w:val="0"/>
              <w:bCs/>
              <w:spacing w:val="3"/>
              <w:sz w:val="24"/>
              <w:szCs w:val="24"/>
              <w:lang w:eastAsia="zh-CN"/>
            </w:rPr>
            <w:tab/>
          </w:r>
          <w:r>
            <w:rPr>
              <w:rFonts w:hint="eastAsia" w:ascii="仿宋" w:hAnsi="仿宋" w:eastAsia="仿宋" w:cs="仿宋"/>
              <w:b w:val="0"/>
              <w:bCs/>
              <w:spacing w:val="3"/>
              <w:sz w:val="24"/>
              <w:szCs w:val="24"/>
              <w:lang w:eastAsia="zh-CN"/>
            </w:rPr>
            <w:fldChar w:fldCharType="begin"/>
          </w:r>
          <w:r>
            <w:rPr>
              <w:rFonts w:hint="eastAsia" w:ascii="仿宋" w:hAnsi="仿宋" w:eastAsia="仿宋" w:cs="仿宋"/>
              <w:b w:val="0"/>
              <w:bCs/>
              <w:spacing w:val="3"/>
              <w:sz w:val="24"/>
              <w:szCs w:val="24"/>
              <w:lang w:eastAsia="zh-CN"/>
            </w:rPr>
            <w:instrText xml:space="preserve"> PAGEREF _Toc31006 \h </w:instrText>
          </w:r>
          <w:r>
            <w:rPr>
              <w:rFonts w:hint="eastAsia" w:ascii="仿宋" w:hAnsi="仿宋" w:eastAsia="仿宋" w:cs="仿宋"/>
              <w:b w:val="0"/>
              <w:bCs/>
              <w:spacing w:val="3"/>
              <w:sz w:val="24"/>
              <w:szCs w:val="24"/>
              <w:lang w:eastAsia="zh-CN"/>
            </w:rPr>
            <w:fldChar w:fldCharType="separate"/>
          </w:r>
          <w:r>
            <w:rPr>
              <w:rFonts w:hint="eastAsia" w:ascii="仿宋" w:hAnsi="仿宋" w:eastAsia="仿宋" w:cs="仿宋"/>
              <w:b w:val="0"/>
              <w:bCs/>
              <w:spacing w:val="3"/>
              <w:sz w:val="24"/>
              <w:szCs w:val="24"/>
              <w:lang w:eastAsia="zh-CN"/>
            </w:rPr>
            <w:t>44</w:t>
          </w:r>
          <w:r>
            <w:rPr>
              <w:rFonts w:hint="eastAsia" w:ascii="仿宋" w:hAnsi="仿宋" w:eastAsia="仿宋" w:cs="仿宋"/>
              <w:b w:val="0"/>
              <w:bCs/>
              <w:spacing w:val="3"/>
              <w:sz w:val="24"/>
              <w:szCs w:val="24"/>
              <w:lang w:eastAsia="zh-CN"/>
            </w:rPr>
            <w:fldChar w:fldCharType="end"/>
          </w:r>
          <w:r>
            <w:rPr>
              <w:rFonts w:hint="eastAsia" w:ascii="仿宋" w:hAnsi="仿宋" w:eastAsia="仿宋" w:cs="仿宋"/>
              <w:b w:val="0"/>
              <w:bCs/>
              <w:spacing w:val="3"/>
              <w:sz w:val="24"/>
              <w:szCs w:val="24"/>
              <w:lang w:eastAsia="zh-CN"/>
            </w:rPr>
            <w:fldChar w:fldCharType="end"/>
          </w:r>
        </w:p>
        <w:p w14:paraId="451CE5F8">
          <w:pPr>
            <w:pStyle w:val="45"/>
            <w:keepNext w:val="0"/>
            <w:keepLines w:val="0"/>
            <w:pageBreakBefore w:val="0"/>
            <w:widowControl/>
            <w:tabs>
              <w:tab w:val="right" w:leader="dot" w:pos="9072"/>
            </w:tabs>
            <w:kinsoku w:val="0"/>
            <w:wordWrap/>
            <w:overflowPunct/>
            <w:topLinePunct w:val="0"/>
            <w:autoSpaceDE w:val="0"/>
            <w:autoSpaceDN w:val="0"/>
            <w:bidi w:val="0"/>
            <w:adjustRightInd w:val="0"/>
            <w:snapToGrid w:val="0"/>
            <w:spacing w:line="288" w:lineRule="auto"/>
            <w:textAlignment w:val="baseline"/>
            <w:rPr>
              <w:rFonts w:hint="eastAsia" w:ascii="仿宋" w:hAnsi="仿宋" w:eastAsia="仿宋" w:cs="仿宋"/>
              <w:bCs/>
              <w:sz w:val="24"/>
              <w:szCs w:val="24"/>
            </w:rPr>
          </w:pPr>
          <w:r>
            <w:rPr>
              <w:rFonts w:hint="eastAsia" w:ascii="仿宋" w:hAnsi="仿宋" w:eastAsia="仿宋" w:cs="仿宋"/>
              <w:b w:val="0"/>
              <w:bCs/>
              <w:spacing w:val="3"/>
              <w:sz w:val="24"/>
              <w:szCs w:val="24"/>
              <w:lang w:eastAsia="zh-CN"/>
            </w:rPr>
            <w:fldChar w:fldCharType="end"/>
          </w:r>
        </w:p>
      </w:sdtContent>
    </w:sdt>
    <w:p w14:paraId="00AF3024">
      <w:pPr>
        <w:keepNext w:val="0"/>
        <w:keepLines w:val="0"/>
        <w:pageBreakBefore w:val="0"/>
        <w:widowControl/>
        <w:kinsoku/>
        <w:wordWrap/>
        <w:overflowPunct/>
        <w:topLinePunct w:val="0"/>
        <w:autoSpaceDE/>
        <w:autoSpaceDN/>
        <w:bidi w:val="0"/>
        <w:adjustRightInd/>
        <w:snapToGrid/>
        <w:spacing w:line="312" w:lineRule="auto"/>
        <w:textAlignment w:val="auto"/>
        <w:rPr>
          <w:rFonts w:hint="eastAsia" w:ascii="仿宋" w:hAnsi="仿宋" w:eastAsia="仿宋" w:cs="仿宋"/>
          <w:bCs/>
          <w:color w:val="auto"/>
          <w:spacing w:val="-2"/>
          <w:sz w:val="24"/>
          <w:szCs w:val="24"/>
          <w:lang w:eastAsia="zh-CN"/>
        </w:rPr>
      </w:pPr>
      <w:bookmarkStart w:id="20" w:name="_Toc25638"/>
      <w:bookmarkStart w:id="21" w:name="_Toc26207"/>
      <w:bookmarkStart w:id="22" w:name="_Toc4449"/>
      <w:bookmarkStart w:id="23" w:name="_Toc10715"/>
      <w:bookmarkStart w:id="24" w:name="_Toc477"/>
      <w:bookmarkStart w:id="25" w:name="_Toc3715"/>
      <w:bookmarkStart w:id="26" w:name="_Toc18658"/>
      <w:bookmarkStart w:id="27" w:name="_Toc25776"/>
      <w:r>
        <w:rPr>
          <w:rFonts w:hint="eastAsia" w:ascii="仿宋" w:hAnsi="仿宋" w:eastAsia="仿宋" w:cs="仿宋"/>
          <w:bCs/>
          <w:color w:val="auto"/>
          <w:spacing w:val="-2"/>
          <w:sz w:val="24"/>
          <w:szCs w:val="24"/>
          <w:lang w:eastAsia="zh-CN"/>
        </w:rPr>
        <w:br w:type="page"/>
      </w:r>
    </w:p>
    <w:p w14:paraId="048CA36C">
      <w:pPr>
        <w:widowControl w:val="0"/>
        <w:overflowPunct w:val="0"/>
        <w:snapToGrid/>
        <w:spacing w:line="408" w:lineRule="auto"/>
        <w:jc w:val="center"/>
        <w:rPr>
          <w:rFonts w:hint="eastAsia" w:ascii="仿宋" w:hAnsi="仿宋" w:eastAsia="仿宋" w:cs="仿宋"/>
          <w:b/>
          <w:bCs/>
          <w:color w:val="auto"/>
          <w:spacing w:val="-2"/>
          <w:sz w:val="28"/>
          <w:szCs w:val="28"/>
          <w:lang w:eastAsia="zh-CN"/>
        </w:rPr>
      </w:pPr>
      <w:r>
        <w:rPr>
          <w:rFonts w:hint="eastAsia" w:ascii="仿宋" w:hAnsi="仿宋" w:eastAsia="仿宋" w:cs="仿宋"/>
          <w:b/>
          <w:bCs/>
          <w:color w:val="auto"/>
          <w:spacing w:val="-2"/>
          <w:sz w:val="28"/>
          <w:szCs w:val="28"/>
          <w:lang w:eastAsia="zh-CN"/>
        </w:rPr>
        <w:t>2024年度石狮市退役军人事务局部门整体支出绩效评价报告</w:t>
      </w:r>
      <w:bookmarkEnd w:id="20"/>
      <w:bookmarkEnd w:id="21"/>
      <w:bookmarkEnd w:id="22"/>
      <w:bookmarkEnd w:id="23"/>
      <w:bookmarkEnd w:id="24"/>
      <w:bookmarkEnd w:id="25"/>
      <w:bookmarkEnd w:id="26"/>
      <w:bookmarkEnd w:id="27"/>
    </w:p>
    <w:p w14:paraId="22660987">
      <w:pPr>
        <w:widowControl w:val="0"/>
        <w:overflowPunct w:val="0"/>
        <w:snapToGrid/>
        <w:spacing w:before="240" w:after="120" w:line="408" w:lineRule="auto"/>
        <w:ind w:firstLine="552" w:firstLineChars="200"/>
        <w:rPr>
          <w:rFonts w:hint="eastAsia" w:ascii="仿宋" w:hAnsi="仿宋" w:eastAsia="仿宋" w:cs="仿宋"/>
          <w:color w:val="auto"/>
          <w:sz w:val="28"/>
          <w:szCs w:val="28"/>
          <w:lang w:eastAsia="zh-CN"/>
        </w:rPr>
      </w:pPr>
      <w:bookmarkStart w:id="28" w:name="_Toc12315"/>
      <w:bookmarkStart w:id="29" w:name="_Toc29757"/>
      <w:bookmarkStart w:id="30" w:name="_Toc28630"/>
      <w:bookmarkStart w:id="31" w:name="_Toc15961"/>
      <w:bookmarkStart w:id="32" w:name="_Toc15812"/>
      <w:r>
        <w:rPr>
          <w:rFonts w:hint="eastAsia" w:ascii="仿宋" w:hAnsi="仿宋" w:eastAsia="仿宋" w:cs="仿宋"/>
          <w:color w:val="auto"/>
          <w:spacing w:val="-2"/>
          <w:sz w:val="28"/>
          <w:szCs w:val="28"/>
          <w:lang w:eastAsia="zh-CN"/>
        </w:rPr>
        <w:t>为深化部门预算绩效改革，提升财政资金支出绩效，提高预算绩效管理水平。</w:t>
      </w:r>
      <w:r>
        <w:rPr>
          <w:rFonts w:hint="eastAsia" w:ascii="仿宋" w:hAnsi="仿宋" w:eastAsia="仿宋" w:cs="仿宋"/>
          <w:sz w:val="28"/>
          <w:szCs w:val="28"/>
          <w:lang w:eastAsia="zh-CN"/>
        </w:rPr>
        <w:t>根据《石狮市财政局关于开展 2025 年重点绩效评价有关工作的通知》（狮财绩〔2025〕3 号）文件要求，</w:t>
      </w:r>
      <w:r>
        <w:rPr>
          <w:rFonts w:hint="eastAsia" w:ascii="仿宋" w:hAnsi="仿宋" w:eastAsia="仿宋" w:cs="仿宋"/>
          <w:color w:val="auto"/>
          <w:spacing w:val="-2"/>
          <w:sz w:val="28"/>
          <w:szCs w:val="28"/>
          <w:lang w:eastAsia="zh-CN"/>
        </w:rPr>
        <w:t>泉州市启程财务咨询有限公司受石狮市财政局委托，</w:t>
      </w:r>
      <w:r>
        <w:rPr>
          <w:rFonts w:hint="eastAsia" w:ascii="仿宋" w:hAnsi="仿宋" w:eastAsia="仿宋" w:cs="仿宋"/>
          <w:color w:val="auto"/>
          <w:spacing w:val="-1"/>
          <w:sz w:val="28"/>
          <w:szCs w:val="28"/>
          <w:lang w:eastAsia="zh-CN"/>
        </w:rPr>
        <w:t>于2025年7月对石狮市退役军人事务局</w:t>
      </w:r>
      <w:r>
        <w:rPr>
          <w:rFonts w:hint="eastAsia" w:ascii="仿宋" w:hAnsi="仿宋" w:eastAsia="仿宋" w:cs="仿宋"/>
          <w:color w:val="auto"/>
          <w:spacing w:val="-2"/>
          <w:sz w:val="28"/>
          <w:szCs w:val="28"/>
          <w:lang w:eastAsia="zh-CN"/>
        </w:rPr>
        <w:t>2024年度</w:t>
      </w:r>
      <w:r>
        <w:rPr>
          <w:rFonts w:hint="eastAsia" w:ascii="仿宋" w:hAnsi="仿宋" w:eastAsia="仿宋" w:cs="仿宋"/>
          <w:color w:val="auto"/>
          <w:sz w:val="28"/>
          <w:szCs w:val="28"/>
          <w:lang w:eastAsia="zh-CN"/>
        </w:rPr>
        <w:t>部门整体支出4749.66</w:t>
      </w:r>
      <w:r>
        <w:rPr>
          <w:rFonts w:hint="eastAsia" w:ascii="仿宋" w:hAnsi="仿宋" w:eastAsia="仿宋" w:cs="仿宋"/>
          <w:color w:val="auto"/>
          <w:spacing w:val="-2"/>
          <w:sz w:val="28"/>
          <w:szCs w:val="28"/>
          <w:lang w:eastAsia="zh-CN"/>
        </w:rPr>
        <w:t>万元</w:t>
      </w:r>
      <w:r>
        <w:rPr>
          <w:rFonts w:hint="eastAsia" w:ascii="仿宋" w:hAnsi="仿宋" w:eastAsia="仿宋" w:cs="仿宋"/>
          <w:color w:val="auto"/>
          <w:sz w:val="28"/>
          <w:szCs w:val="28"/>
          <w:lang w:eastAsia="zh-CN"/>
        </w:rPr>
        <w:t>实施绩效评价工作，评价小组通过收集、查账、实地调研等方式对照评价指标和标准进行评议与打分，</w:t>
      </w:r>
      <w:r>
        <w:rPr>
          <w:rFonts w:hint="eastAsia" w:ascii="仿宋" w:hAnsi="仿宋" w:eastAsia="仿宋" w:cs="仿宋"/>
          <w:color w:val="auto"/>
          <w:spacing w:val="-2"/>
          <w:sz w:val="28"/>
          <w:szCs w:val="28"/>
          <w:lang w:eastAsia="zh-CN"/>
        </w:rPr>
        <w:t>衡量部门和单位整体成效与核心业务实施效果，分析其存在的问题，并提出相应对策建议。</w:t>
      </w:r>
      <w:r>
        <w:rPr>
          <w:rFonts w:hint="eastAsia" w:ascii="仿宋" w:hAnsi="仿宋" w:eastAsia="仿宋" w:cs="仿宋"/>
          <w:color w:val="auto"/>
          <w:sz w:val="28"/>
          <w:szCs w:val="28"/>
          <w:lang w:eastAsia="zh-CN"/>
        </w:rPr>
        <w:t>形成《2024年度部门石狮市退役军人事务局整体支出绩效评价报告》</w:t>
      </w:r>
      <w:bookmarkEnd w:id="28"/>
      <w:bookmarkEnd w:id="29"/>
      <w:bookmarkEnd w:id="30"/>
      <w:bookmarkEnd w:id="31"/>
      <w:bookmarkEnd w:id="32"/>
      <w:r>
        <w:rPr>
          <w:rFonts w:hint="eastAsia" w:ascii="仿宋" w:hAnsi="仿宋" w:eastAsia="仿宋" w:cs="仿宋"/>
          <w:color w:val="auto"/>
          <w:sz w:val="28"/>
          <w:szCs w:val="28"/>
          <w:lang w:eastAsia="zh-CN"/>
        </w:rPr>
        <w:t>。</w:t>
      </w:r>
    </w:p>
    <w:p w14:paraId="3F8848B9">
      <w:pPr>
        <w:widowControl w:val="0"/>
        <w:overflowPunct w:val="0"/>
        <w:snapToGrid/>
        <w:outlineLvl w:val="0"/>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33" w:name="_Toc862"/>
      <w:bookmarkStart w:id="34" w:name="_Toc9386"/>
      <w:bookmarkStart w:id="35" w:name="_Toc2455"/>
      <w:bookmarkStart w:id="36" w:name="_Toc5467"/>
      <w:bookmarkStart w:id="37" w:name="_Toc17783"/>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一、部门概况</w:t>
      </w:r>
      <w:bookmarkEnd w:id="33"/>
      <w:bookmarkEnd w:id="34"/>
      <w:bookmarkEnd w:id="35"/>
      <w:bookmarkEnd w:id="36"/>
      <w:bookmarkEnd w:id="37"/>
    </w:p>
    <w:p w14:paraId="6A5AC263">
      <w:pPr>
        <w:widowControl w:val="0"/>
        <w:overflowPunct w:val="0"/>
        <w:snapToGrid/>
        <w:spacing w:before="120" w:line="408" w:lineRule="auto"/>
        <w:ind w:firstLine="552" w:firstLineChars="200"/>
        <w:jc w:val="both"/>
        <w:outlineLvl w:val="1"/>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38" w:name="_Toc25472"/>
      <w:bookmarkStart w:id="39" w:name="_Toc23022"/>
      <w:bookmarkStart w:id="40" w:name="_Toc24146"/>
      <w:bookmarkStart w:id="41" w:name="_Toc24218"/>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（一）</w:t>
      </w:r>
      <w:bookmarkStart w:id="42" w:name="bookmark5"/>
      <w:bookmarkEnd w:id="42"/>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部门主要职责</w:t>
      </w:r>
      <w:bookmarkEnd w:id="38"/>
      <w:bookmarkEnd w:id="39"/>
      <w:bookmarkEnd w:id="40"/>
      <w:bookmarkEnd w:id="41"/>
    </w:p>
    <w:p w14:paraId="36E0405C">
      <w:pPr>
        <w:widowControl w:val="0"/>
        <w:overflowPunct w:val="0"/>
        <w:snapToGrid/>
        <w:spacing w:line="408" w:lineRule="auto"/>
        <w:ind w:firstLine="544" w:firstLineChars="200"/>
        <w:jc w:val="both"/>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石狮市退役军人事务局的主要职责是：贯彻落实上级关于退役军人思想政治、管理保障和安置优抚等法律法规，起草相应政策措施并组织实施；褒扬彰显退役军人为党、国家和人民牺牲奉献的精神风范和价值导向；负责军队转业干部、复员干部、离退休干部、退役士兵和无军籍退休退职职工的移交安置工作和自主择业、就业退役军人服务管理、待遇保障工作；组织开展退役军人教育培训、优待抚恤等；做好拥军优属工作；负责烈士及退役军人荣誉奖励、军人公墓维护以及纪念活动等。</w:t>
      </w:r>
    </w:p>
    <w:p w14:paraId="5411CE94">
      <w:pPr>
        <w:widowControl w:val="0"/>
        <w:overflowPunct w:val="0"/>
        <w:snapToGrid/>
        <w:spacing w:before="120" w:line="408" w:lineRule="auto"/>
        <w:ind w:firstLine="552" w:firstLineChars="200"/>
        <w:jc w:val="both"/>
        <w:outlineLvl w:val="1"/>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43" w:name="_Toc16985"/>
      <w:bookmarkStart w:id="44" w:name="_Toc869"/>
      <w:bookmarkStart w:id="45" w:name="_Toc23958"/>
      <w:bookmarkStart w:id="46" w:name="_Toc28245"/>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（二）单位构成及人员结构</w:t>
      </w:r>
      <w:bookmarkEnd w:id="43"/>
      <w:bookmarkEnd w:id="44"/>
      <w:bookmarkEnd w:id="45"/>
      <w:bookmarkEnd w:id="46"/>
    </w:p>
    <w:p w14:paraId="4A2EF6B5">
      <w:pPr>
        <w:snapToGrid/>
        <w:spacing w:line="408" w:lineRule="auto"/>
        <w:ind w:firstLine="556" w:firstLineChars="200"/>
        <w:jc w:val="both"/>
        <w:rPr>
          <w:rFonts w:hint="eastAsia" w:ascii="仿宋" w:hAnsi="仿宋" w:eastAsia="仿宋" w:cs="仿宋"/>
          <w:bCs/>
          <w:spacing w:val="-2"/>
          <w:sz w:val="24"/>
          <w:szCs w:val="24"/>
          <w:lang w:eastAsia="zh-CN"/>
          <w14:textOutline w14:w="5105" w14:cap="sq" w14:cmpd="sng" w14:algn="ctr">
            <w14:solidFill>
              <w14:srgbClr w14:val="000000"/>
            </w14:solidFill>
            <w14:prstDash w14:val="solid"/>
            <w14:bevel/>
          </w14:textOutline>
        </w:rPr>
      </w:pPr>
      <w:r>
        <w:rPr>
          <w:rFonts w:hint="eastAsia" w:ascii="仿宋" w:hAnsi="仿宋" w:eastAsia="仿宋" w:cs="仿宋"/>
          <w:color w:val="auto"/>
          <w:spacing w:val="-1"/>
          <w:sz w:val="28"/>
          <w:szCs w:val="28"/>
          <w:lang w:eastAsia="zh-CN"/>
        </w:rPr>
        <w:t>石狮市退役军人事务局包括3个机关行政处（科）室及1个下属单位（详见表2）。截至2024年12月31日，人员编制数为12人，实际在职人数12人。</w:t>
      </w:r>
    </w:p>
    <w:p w14:paraId="06BB49A9">
      <w:pPr>
        <w:widowControl w:val="0"/>
        <w:overflowPunct w:val="0"/>
        <w:ind w:firstLine="554"/>
        <w:rPr>
          <w:rFonts w:hint="eastAsia" w:ascii="仿宋" w:hAnsi="仿宋" w:eastAsia="仿宋" w:cs="仿宋"/>
          <w:bCs/>
          <w:spacing w:val="-2"/>
          <w:sz w:val="24"/>
          <w:szCs w:val="24"/>
          <w:lang w:eastAsia="zh-CN"/>
          <w14:textOutline w14:w="5105" w14:cap="sq" w14:cmpd="sng" w14:algn="ctr">
            <w14:solidFill>
              <w14:srgbClr w14:val="000000"/>
            </w14:solidFill>
            <w14:prstDash w14:val="solid"/>
            <w14:bevel/>
          </w14:textOutline>
        </w:rPr>
      </w:pPr>
      <w:r>
        <w:rPr>
          <w:rFonts w:hint="eastAsia" w:ascii="仿宋" w:hAnsi="仿宋" w:eastAsia="仿宋" w:cs="仿宋"/>
          <w:bCs/>
          <w:spacing w:val="-2"/>
          <w:sz w:val="24"/>
          <w:szCs w:val="24"/>
          <w:lang w:eastAsia="zh-CN"/>
          <w14:textOutline w14:w="5105" w14:cap="sq" w14:cmpd="sng" w14:algn="ctr">
            <w14:solidFill>
              <w14:srgbClr w14:val="000000"/>
            </w14:solidFill>
            <w14:prstDash w14:val="solid"/>
            <w14:bevel/>
          </w14:textOutline>
        </w:rPr>
        <w:t xml:space="preserve">  </w:t>
      </w:r>
    </w:p>
    <w:p w14:paraId="5A058BF2">
      <w:pPr>
        <w:widowControl w:val="0"/>
        <w:overflowPunct w:val="0"/>
        <w:ind w:firstLine="554"/>
        <w:rPr>
          <w:rFonts w:hint="eastAsia" w:ascii="仿宋" w:hAnsi="仿宋" w:eastAsia="仿宋" w:cs="仿宋"/>
          <w:bCs/>
          <w:spacing w:val="-2"/>
          <w:sz w:val="24"/>
          <w:szCs w:val="24"/>
          <w:lang w:eastAsia="zh-CN"/>
          <w14:textOutline w14:w="5105" w14:cap="sq" w14:cmpd="sng" w14:algn="ctr">
            <w14:solidFill>
              <w14:srgbClr w14:val="000000"/>
            </w14:solidFill>
            <w14:prstDash w14:val="solid"/>
            <w14:bevel/>
          </w14:textOutline>
        </w:rPr>
      </w:pPr>
    </w:p>
    <w:p w14:paraId="21D69B8E">
      <w:pPr>
        <w:widowControl w:val="0"/>
        <w:overflowPunct w:val="0"/>
        <w:ind w:firstLine="554"/>
        <w:rPr>
          <w:rFonts w:hint="eastAsia" w:ascii="仿宋" w:hAnsi="仿宋" w:eastAsia="仿宋" w:cs="仿宋"/>
          <w:bCs/>
          <w:spacing w:val="-2"/>
          <w:sz w:val="24"/>
          <w:szCs w:val="24"/>
          <w:lang w:eastAsia="zh-CN"/>
          <w14:textOutline w14:w="5105" w14:cap="sq" w14:cmpd="sng" w14:algn="ctr">
            <w14:solidFill>
              <w14:srgbClr w14:val="000000"/>
            </w14:solidFill>
            <w14:prstDash w14:val="solid"/>
            <w14:bevel/>
          </w14:textOutline>
        </w:rPr>
      </w:pPr>
      <w:r>
        <w:rPr>
          <w:rFonts w:hint="eastAsia" w:ascii="仿宋" w:hAnsi="仿宋" w:eastAsia="仿宋" w:cs="仿宋"/>
          <w:bCs/>
          <w:spacing w:val="-2"/>
          <w:sz w:val="24"/>
          <w:szCs w:val="24"/>
          <w:lang w:eastAsia="zh-CN"/>
          <w14:textOutline w14:w="5105" w14:cap="sq" w14:cmpd="sng" w14:algn="ctr">
            <w14:solidFill>
              <w14:srgbClr w14:val="000000"/>
            </w14:solidFill>
            <w14:prstDash w14:val="solid"/>
            <w14:bevel/>
          </w14:textOutline>
        </w:rPr>
        <w:t>表1  2024年度石狮市退役军人事务局独立编制机构数及</w:t>
      </w:r>
      <w:r>
        <w:rPr>
          <w:rFonts w:ascii="仿宋" w:hAnsi="仿宋" w:eastAsia="仿宋" w:cs="仿宋"/>
          <w:bCs/>
          <w:spacing w:val="-2"/>
          <w:sz w:val="24"/>
          <w:szCs w:val="24"/>
          <w:lang w:eastAsia="zh-CN"/>
          <w14:textOutline w14:w="5105" w14:cap="sq" w14:cmpd="sng" w14:algn="ctr">
            <w14:solidFill>
              <w14:srgbClr w14:val="000000"/>
            </w14:solidFill>
            <w14:prstDash w14:val="solid"/>
            <w14:bevel/>
          </w14:textOutline>
        </w:rPr>
        <w:t>人</w:t>
      </w:r>
      <w:r>
        <w:rPr>
          <w:rFonts w:ascii="仿宋" w:hAnsi="仿宋" w:eastAsia="仿宋" w:cs="仿宋"/>
          <w:bCs/>
          <w:spacing w:val="-3"/>
          <w:sz w:val="24"/>
          <w:szCs w:val="24"/>
          <w:lang w:eastAsia="zh-CN"/>
          <w14:textOutline w14:w="5105" w14:cap="sq" w14:cmpd="sng" w14:algn="ctr">
            <w14:solidFill>
              <w14:srgbClr w14:val="000000"/>
            </w14:solidFill>
            <w14:prstDash w14:val="solid"/>
            <w14:bevel/>
          </w14:textOutline>
        </w:rPr>
        <w:t>员情况</w:t>
      </w:r>
      <w:r>
        <w:rPr>
          <w:rFonts w:hint="eastAsia" w:ascii="仿宋" w:hAnsi="仿宋" w:eastAsia="仿宋" w:cs="仿宋"/>
          <w:bCs/>
          <w:spacing w:val="-3"/>
          <w:sz w:val="24"/>
          <w:szCs w:val="24"/>
          <w:lang w:eastAsia="zh-CN"/>
          <w14:textOutline w14:w="5105" w14:cap="sq" w14:cmpd="sng" w14:algn="ctr">
            <w14:solidFill>
              <w14:srgbClr w14:val="000000"/>
            </w14:solidFill>
            <w14:prstDash w14:val="solid"/>
            <w14:bevel/>
          </w14:textOutline>
        </w:rPr>
        <w:t>表</w:t>
      </w:r>
    </w:p>
    <w:p w14:paraId="411A6BDB">
      <w:pPr>
        <w:widowControl w:val="0"/>
        <w:overflowPunct w:val="0"/>
        <w:ind w:firstLine="554"/>
        <w:jc w:val="right"/>
        <w:rPr>
          <w:rFonts w:hint="eastAsia" w:ascii="仿宋" w:hAnsi="仿宋" w:eastAsia="仿宋" w:cs="仿宋"/>
          <w:bCs/>
          <w:spacing w:val="-3"/>
          <w:lang w:eastAsia="zh-CN"/>
          <w14:textOutline w14:w="5105" w14:cap="sq" w14:cmpd="sng" w14:algn="ctr">
            <w14:solidFill>
              <w14:srgbClr w14:val="000000"/>
            </w14:solidFill>
            <w14:prstDash w14:val="solid"/>
            <w14:bevel/>
          </w14:textOutline>
        </w:rPr>
      </w:pPr>
      <w:r>
        <w:rPr>
          <w:rFonts w:hint="eastAsia" w:ascii="仿宋" w:hAnsi="仿宋" w:eastAsia="仿宋" w:cs="仿宋"/>
          <w:bCs/>
          <w:spacing w:val="-3"/>
          <w:lang w:eastAsia="zh-CN"/>
          <w14:textOutline w14:w="5105" w14:cap="sq" w14:cmpd="sng" w14:algn="ctr">
            <w14:solidFill>
              <w14:srgbClr w14:val="000000"/>
            </w14:solidFill>
            <w14:prstDash w14:val="solid"/>
            <w14:bevel/>
          </w14:textOutline>
        </w:rPr>
        <w:t>单位：人</w:t>
      </w:r>
    </w:p>
    <w:tbl>
      <w:tblPr>
        <w:tblStyle w:val="91"/>
        <w:tblW w:w="48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9"/>
        <w:gridCol w:w="1883"/>
        <w:gridCol w:w="1238"/>
        <w:gridCol w:w="1918"/>
      </w:tblGrid>
      <w:tr w14:paraId="641E2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blHeader/>
        </w:trPr>
        <w:tc>
          <w:tcPr>
            <w:tcW w:w="2174" w:type="pct"/>
            <w:shd w:val="clear" w:color="auto" w:fill="D8D8D8" w:themeFill="background1" w:themeFillShade="D9"/>
            <w:vAlign w:val="center"/>
          </w:tcPr>
          <w:p w14:paraId="2DA87F29">
            <w:pPr>
              <w:widowControl w:val="0"/>
              <w:overflowPunct w:val="0"/>
              <w:spacing w:line="408" w:lineRule="auto"/>
              <w:jc w:val="center"/>
              <w:rPr>
                <w:rFonts w:hint="eastAsia" w:ascii="仿宋" w:hAnsi="仿宋" w:eastAsia="仿宋"/>
                <w:b/>
                <w:sz w:val="18"/>
              </w:rPr>
            </w:pPr>
            <w:r>
              <w:rPr>
                <w:rFonts w:hint="eastAsia" w:ascii="仿宋" w:hAnsi="仿宋" w:eastAsia="仿宋"/>
                <w:b/>
                <w:sz w:val="18"/>
                <w:lang w:eastAsia="zh-CN"/>
              </w:rPr>
              <w:t>独立编制机构数</w:t>
            </w:r>
          </w:p>
        </w:tc>
        <w:tc>
          <w:tcPr>
            <w:tcW w:w="1055" w:type="pct"/>
            <w:shd w:val="clear" w:color="auto" w:fill="D8D8D8" w:themeFill="background1" w:themeFillShade="D9"/>
            <w:vAlign w:val="center"/>
          </w:tcPr>
          <w:p w14:paraId="34231020">
            <w:pPr>
              <w:widowControl w:val="0"/>
              <w:overflowPunct w:val="0"/>
              <w:spacing w:line="408" w:lineRule="auto"/>
              <w:jc w:val="center"/>
              <w:rPr>
                <w:rFonts w:hint="eastAsia" w:ascii="仿宋" w:hAnsi="仿宋" w:eastAsia="仿宋"/>
                <w:b/>
                <w:sz w:val="18"/>
              </w:rPr>
            </w:pPr>
            <w:r>
              <w:rPr>
                <w:rFonts w:hint="eastAsia" w:ascii="仿宋" w:hAnsi="仿宋" w:eastAsia="仿宋" w:cs="宋体"/>
                <w:b/>
                <w:sz w:val="18"/>
                <w:lang w:eastAsia="zh-CN"/>
              </w:rPr>
              <w:t>经费性质</w:t>
            </w:r>
          </w:p>
        </w:tc>
        <w:tc>
          <w:tcPr>
            <w:tcW w:w="694" w:type="pct"/>
            <w:shd w:val="clear" w:color="auto" w:fill="D8D8D8" w:themeFill="background1" w:themeFillShade="D9"/>
            <w:vAlign w:val="center"/>
          </w:tcPr>
          <w:p w14:paraId="402E795C">
            <w:pPr>
              <w:widowControl w:val="0"/>
              <w:overflowPunct w:val="0"/>
              <w:spacing w:line="408" w:lineRule="auto"/>
              <w:jc w:val="center"/>
              <w:rPr>
                <w:rFonts w:hint="eastAsia" w:ascii="仿宋" w:hAnsi="仿宋" w:eastAsia="仿宋"/>
                <w:b/>
                <w:sz w:val="18"/>
              </w:rPr>
            </w:pPr>
            <w:r>
              <w:rPr>
                <w:rFonts w:hint="eastAsia" w:ascii="仿宋" w:hAnsi="仿宋" w:eastAsia="仿宋" w:cs="宋体"/>
                <w:b/>
                <w:sz w:val="18"/>
                <w:lang w:eastAsia="zh-CN"/>
              </w:rPr>
              <w:t>编制数</w:t>
            </w:r>
          </w:p>
        </w:tc>
        <w:tc>
          <w:tcPr>
            <w:tcW w:w="1075" w:type="pct"/>
            <w:shd w:val="clear" w:color="auto" w:fill="D8D8D8" w:themeFill="background1" w:themeFillShade="D9"/>
            <w:vAlign w:val="center"/>
          </w:tcPr>
          <w:p w14:paraId="51F2A12D">
            <w:pPr>
              <w:widowControl w:val="0"/>
              <w:overflowPunct w:val="0"/>
              <w:spacing w:line="408" w:lineRule="auto"/>
              <w:jc w:val="center"/>
              <w:rPr>
                <w:rFonts w:hint="eastAsia" w:ascii="仿宋" w:hAnsi="仿宋" w:eastAsia="仿宋"/>
                <w:b/>
                <w:sz w:val="18"/>
              </w:rPr>
            </w:pPr>
            <w:r>
              <w:rPr>
                <w:rFonts w:hint="eastAsia" w:ascii="仿宋" w:hAnsi="仿宋" w:eastAsia="仿宋" w:cs="宋体"/>
                <w:b/>
                <w:sz w:val="18"/>
                <w:lang w:eastAsia="zh-CN"/>
              </w:rPr>
              <w:t>在职人数</w:t>
            </w:r>
          </w:p>
        </w:tc>
      </w:tr>
      <w:tr w14:paraId="6BF51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79" w:type="dxa"/>
            <w:vAlign w:val="center"/>
          </w:tcPr>
          <w:p w14:paraId="736FC977">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石狮市退役军人事务局</w:t>
            </w:r>
          </w:p>
        </w:tc>
        <w:tc>
          <w:tcPr>
            <w:tcW w:w="1883" w:type="dxa"/>
            <w:vAlign w:val="center"/>
          </w:tcPr>
          <w:p w14:paraId="2290D50A">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全额拨款</w:t>
            </w:r>
          </w:p>
        </w:tc>
        <w:tc>
          <w:tcPr>
            <w:tcW w:w="1239" w:type="dxa"/>
            <w:vAlign w:val="center"/>
          </w:tcPr>
          <w:p w14:paraId="2949AF62">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5</w:t>
            </w:r>
          </w:p>
        </w:tc>
        <w:tc>
          <w:tcPr>
            <w:tcW w:w="1919" w:type="dxa"/>
            <w:vAlign w:val="center"/>
          </w:tcPr>
          <w:p w14:paraId="0ADA18C6">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5</w:t>
            </w:r>
          </w:p>
        </w:tc>
      </w:tr>
      <w:tr w14:paraId="35F7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3879" w:type="dxa"/>
            <w:vAlign w:val="center"/>
          </w:tcPr>
          <w:p w14:paraId="33E909F4">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石狮市退役军人服务中心（石狮市军队离休退休干部休养所）</w:t>
            </w:r>
          </w:p>
        </w:tc>
        <w:tc>
          <w:tcPr>
            <w:tcW w:w="1883" w:type="dxa"/>
            <w:vAlign w:val="center"/>
          </w:tcPr>
          <w:p w14:paraId="0E2FB7E0">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全额拨款</w:t>
            </w:r>
          </w:p>
        </w:tc>
        <w:tc>
          <w:tcPr>
            <w:tcW w:w="1239" w:type="dxa"/>
            <w:vAlign w:val="center"/>
          </w:tcPr>
          <w:p w14:paraId="57ADC4DF">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7</w:t>
            </w:r>
          </w:p>
        </w:tc>
        <w:tc>
          <w:tcPr>
            <w:tcW w:w="1919" w:type="dxa"/>
            <w:vAlign w:val="center"/>
          </w:tcPr>
          <w:p w14:paraId="40667734">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7</w:t>
            </w:r>
          </w:p>
        </w:tc>
      </w:tr>
      <w:tr w14:paraId="025C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229" w:type="pct"/>
            <w:gridSpan w:val="2"/>
            <w:vAlign w:val="center"/>
          </w:tcPr>
          <w:p w14:paraId="001B4873">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合计</w:t>
            </w:r>
          </w:p>
        </w:tc>
        <w:tc>
          <w:tcPr>
            <w:tcW w:w="694" w:type="pct"/>
            <w:vAlign w:val="center"/>
          </w:tcPr>
          <w:p w14:paraId="31B70366">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12</w:t>
            </w:r>
          </w:p>
        </w:tc>
        <w:tc>
          <w:tcPr>
            <w:tcW w:w="1075" w:type="pct"/>
            <w:vAlign w:val="center"/>
          </w:tcPr>
          <w:p w14:paraId="550A2C8F">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12</w:t>
            </w:r>
          </w:p>
        </w:tc>
      </w:tr>
    </w:tbl>
    <w:p w14:paraId="27A7594F">
      <w:pPr>
        <w:widowControl w:val="0"/>
        <w:overflowPunct w:val="0"/>
        <w:snapToGrid/>
        <w:spacing w:before="120" w:line="408" w:lineRule="auto"/>
        <w:ind w:firstLine="552" w:firstLineChars="200"/>
        <w:jc w:val="both"/>
        <w:outlineLvl w:val="1"/>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47" w:name="bookmark18"/>
      <w:bookmarkEnd w:id="47"/>
      <w:bookmarkStart w:id="48" w:name="bookmark13"/>
      <w:bookmarkEnd w:id="48"/>
      <w:bookmarkStart w:id="49" w:name="bookmark14"/>
      <w:bookmarkEnd w:id="49"/>
      <w:bookmarkStart w:id="50" w:name="bookmark17"/>
      <w:bookmarkEnd w:id="50"/>
      <w:bookmarkStart w:id="51" w:name="_Toc29894"/>
      <w:bookmarkStart w:id="52" w:name="_Toc14271"/>
      <w:bookmarkStart w:id="53" w:name="_Toc5134"/>
      <w:bookmarkStart w:id="54" w:name="_Toc30848"/>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（三）部门管理制度</w:t>
      </w:r>
      <w:bookmarkEnd w:id="51"/>
      <w:bookmarkEnd w:id="52"/>
      <w:bookmarkEnd w:id="53"/>
      <w:bookmarkEnd w:id="54"/>
    </w:p>
    <w:p w14:paraId="5A19EBFD">
      <w:pPr>
        <w:widowControl w:val="0"/>
        <w:overflowPunct w:val="0"/>
        <w:snapToGrid/>
        <w:spacing w:line="408" w:lineRule="auto"/>
        <w:ind w:firstLine="544" w:firstLineChars="200"/>
        <w:jc w:val="both"/>
        <w:rPr>
          <w:rFonts w:hint="eastAsia" w:ascii="仿宋" w:hAnsi="仿宋" w:eastAsia="仿宋" w:cs="仿宋"/>
          <w:color w:val="auto"/>
          <w:sz w:val="28"/>
          <w:lang w:eastAsia="zh-CN"/>
        </w:rPr>
      </w:pPr>
      <w:bookmarkStart w:id="55" w:name="bookmark7"/>
      <w:bookmarkEnd w:id="55"/>
      <w:r>
        <w:rPr>
          <w:rFonts w:hint="eastAsia" w:ascii="仿宋" w:hAnsi="仿宋" w:eastAsia="仿宋" w:cs="仿宋"/>
          <w:color w:val="auto"/>
          <w:spacing w:val="-4"/>
          <w:sz w:val="28"/>
          <w:szCs w:val="28"/>
          <w:lang w:eastAsia="zh-CN"/>
        </w:rPr>
        <w:t>为加强石狮市退役军人事务局财务管理和会计核算，规范财务行为，</w:t>
      </w:r>
      <w:r>
        <w:rPr>
          <w:rFonts w:hint="eastAsia" w:ascii="仿宋" w:hAnsi="仿宋" w:eastAsia="仿宋" w:cs="仿宋"/>
          <w:color w:val="auto"/>
          <w:spacing w:val="-3"/>
          <w:sz w:val="28"/>
          <w:szCs w:val="28"/>
          <w:lang w:eastAsia="zh-CN"/>
        </w:rPr>
        <w:t>降低行政成本，防止国有资产流失，提高资金使用效益、强化财务监</w:t>
      </w:r>
      <w:r>
        <w:rPr>
          <w:rFonts w:hint="eastAsia" w:ascii="仿宋" w:hAnsi="仿宋" w:eastAsia="仿宋" w:cs="仿宋"/>
          <w:color w:val="auto"/>
          <w:spacing w:val="-4"/>
          <w:sz w:val="28"/>
          <w:szCs w:val="28"/>
          <w:lang w:eastAsia="zh-CN"/>
        </w:rPr>
        <w:t>督，</w:t>
      </w:r>
      <w:r>
        <w:rPr>
          <w:rFonts w:hint="eastAsia" w:ascii="仿宋" w:hAnsi="仿宋" w:eastAsia="仿宋" w:cs="仿宋"/>
          <w:color w:val="auto"/>
          <w:spacing w:val="-6"/>
          <w:sz w:val="28"/>
          <w:szCs w:val="28"/>
          <w:lang w:eastAsia="zh-CN"/>
        </w:rPr>
        <w:t>石狮市退役军人事务局出台了《石狮市退役军人服务中心工作制度》《石狮市退役军人事务局固定资产管理制度》《石狮市退役军人事务局退役军人档案室制度》，</w:t>
      </w:r>
      <w:r>
        <w:rPr>
          <w:rFonts w:hint="eastAsia" w:ascii="仿宋" w:hAnsi="仿宋" w:eastAsia="仿宋" w:cs="仿宋"/>
          <w:color w:val="auto"/>
          <w:spacing w:val="3"/>
          <w:sz w:val="28"/>
          <w:szCs w:val="28"/>
          <w:lang w:eastAsia="zh-CN"/>
        </w:rPr>
        <w:t>该制度对石狮市退役军人事务局的预算管理、收支管理、固定</w:t>
      </w:r>
      <w:r>
        <w:rPr>
          <w:rFonts w:hint="eastAsia" w:ascii="仿宋" w:hAnsi="仿宋" w:eastAsia="仿宋" w:cs="仿宋"/>
          <w:color w:val="auto"/>
          <w:spacing w:val="-1"/>
          <w:sz w:val="28"/>
          <w:szCs w:val="28"/>
          <w:lang w:eastAsia="zh-CN"/>
        </w:rPr>
        <w:t>资产管理、资金管理、审批管理、会计档案的管理等进行了严格</w:t>
      </w:r>
      <w:r>
        <w:rPr>
          <w:rFonts w:hint="eastAsia" w:ascii="仿宋" w:hAnsi="仿宋" w:eastAsia="仿宋" w:cs="仿宋"/>
          <w:color w:val="auto"/>
          <w:spacing w:val="-2"/>
          <w:sz w:val="28"/>
          <w:szCs w:val="28"/>
          <w:lang w:eastAsia="zh-CN"/>
        </w:rPr>
        <w:t>规定。</w:t>
      </w:r>
      <w:r>
        <w:rPr>
          <w:rFonts w:hint="eastAsia" w:ascii="仿宋" w:hAnsi="仿宋" w:eastAsia="仿宋" w:cs="仿宋"/>
          <w:color w:val="auto"/>
          <w:spacing w:val="3"/>
          <w:sz w:val="28"/>
          <w:szCs w:val="28"/>
          <w:lang w:eastAsia="zh-CN"/>
        </w:rPr>
        <w:t>为加强石狮市退役军人事务局采购活动内部控制的管理，规范采购行为，提高资金使用效益，出台了《石狮市退役军人事务局政府采购内部控制制度》</w:t>
      </w:r>
      <w:r>
        <w:rPr>
          <w:rFonts w:hint="eastAsia" w:ascii="仿宋" w:hAnsi="仿宋" w:eastAsia="仿宋" w:cs="仿宋"/>
          <w:color w:val="auto"/>
          <w:spacing w:val="-6"/>
          <w:sz w:val="28"/>
          <w:szCs w:val="28"/>
          <w:lang w:eastAsia="zh-CN"/>
        </w:rPr>
        <w:t>《石狮市退役军人服务中心工作流程图》</w:t>
      </w:r>
      <w:r>
        <w:rPr>
          <w:rFonts w:hint="eastAsia" w:ascii="仿宋" w:hAnsi="仿宋" w:eastAsia="仿宋" w:cs="仿宋"/>
          <w:color w:val="auto"/>
          <w:spacing w:val="3"/>
          <w:sz w:val="28"/>
          <w:szCs w:val="28"/>
          <w:lang w:eastAsia="zh-CN"/>
        </w:rPr>
        <w:t>，对采购程序、审批程序、采购方式等都提出了明确的规定。</w:t>
      </w:r>
    </w:p>
    <w:p w14:paraId="2F7F33E9">
      <w:pPr>
        <w:widowControl w:val="0"/>
        <w:overflowPunct w:val="0"/>
        <w:snapToGrid/>
        <w:spacing w:line="408" w:lineRule="auto"/>
        <w:ind w:firstLine="554" w:firstLineChars="200"/>
        <w:jc w:val="both"/>
        <w:outlineLvl w:val="0"/>
        <w:rPr>
          <w:rFonts w:hint="eastAsia" w:ascii="仿宋" w:hAnsi="仿宋" w:eastAsia="仿宋" w:cs="仿宋"/>
          <w:b/>
          <w:bCs/>
          <w:color w:val="auto"/>
          <w:spacing w:val="-2"/>
          <w:sz w:val="28"/>
          <w:szCs w:val="28"/>
          <w:lang w:eastAsia="zh-CN"/>
        </w:rPr>
      </w:pPr>
      <w:bookmarkStart w:id="56" w:name="bookmark8"/>
      <w:bookmarkEnd w:id="56"/>
      <w:bookmarkStart w:id="57" w:name="bookmark9"/>
      <w:bookmarkEnd w:id="57"/>
      <w:bookmarkStart w:id="58" w:name="_Toc12974"/>
      <w:bookmarkStart w:id="59" w:name="_Toc3394"/>
      <w:bookmarkStart w:id="60" w:name="_Toc13749"/>
      <w:r>
        <w:rPr>
          <w:rFonts w:hint="eastAsia" w:ascii="仿宋" w:hAnsi="仿宋" w:eastAsia="仿宋" w:cs="仿宋"/>
          <w:b/>
          <w:bCs/>
          <w:color w:val="auto"/>
          <w:spacing w:val="-2"/>
          <w:sz w:val="28"/>
          <w:szCs w:val="28"/>
          <w:lang w:eastAsia="zh-CN"/>
        </w:rPr>
        <w:t>二、部门整体收支情况</w:t>
      </w:r>
      <w:bookmarkEnd w:id="58"/>
      <w:bookmarkEnd w:id="59"/>
      <w:bookmarkEnd w:id="60"/>
      <w:bookmarkStart w:id="61" w:name="bookmark10"/>
      <w:bookmarkEnd w:id="61"/>
    </w:p>
    <w:p w14:paraId="3DF733CF">
      <w:pPr>
        <w:widowControl w:val="0"/>
        <w:overflowPunct w:val="0"/>
        <w:snapToGrid/>
        <w:spacing w:before="120" w:line="408" w:lineRule="auto"/>
        <w:ind w:firstLine="552" w:firstLineChars="200"/>
        <w:jc w:val="both"/>
        <w:outlineLvl w:val="1"/>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62" w:name="_Toc15790"/>
      <w:bookmarkStart w:id="63" w:name="_Toc20243"/>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（一）资金到位、预算和执行情况</w:t>
      </w:r>
      <w:bookmarkEnd w:id="62"/>
      <w:bookmarkEnd w:id="63"/>
    </w:p>
    <w:p w14:paraId="4F8B4E96">
      <w:pPr>
        <w:widowControl w:val="0"/>
        <w:overflowPunct w:val="0"/>
        <w:snapToGrid/>
        <w:spacing w:line="408" w:lineRule="auto"/>
        <w:ind w:firstLine="552" w:firstLineChars="200"/>
        <w:jc w:val="both"/>
        <w:outlineLvl w:val="2"/>
        <w:rPr>
          <w:rFonts w:hint="eastAsia" w:ascii="仿宋" w:hAnsi="仿宋" w:eastAsia="仿宋" w:cs="仿宋"/>
          <w:color w:val="auto"/>
          <w:spacing w:val="-2"/>
          <w:sz w:val="28"/>
          <w:szCs w:val="28"/>
          <w:lang w:eastAsia="zh-CN"/>
        </w:rPr>
      </w:pPr>
      <w:bookmarkStart w:id="64" w:name="_Toc16827"/>
      <w:bookmarkStart w:id="65" w:name="_Toc9126"/>
      <w:bookmarkStart w:id="66" w:name="_Toc7071"/>
      <w:r>
        <w:rPr>
          <w:rFonts w:hint="eastAsia" w:ascii="仿宋" w:hAnsi="仿宋" w:eastAsia="仿宋" w:cs="仿宋"/>
          <w:color w:val="auto"/>
          <w:spacing w:val="-2"/>
          <w:sz w:val="28"/>
          <w:szCs w:val="28"/>
          <w:lang w:eastAsia="zh-CN"/>
        </w:rPr>
        <w:t>1.资金到位情况</w:t>
      </w:r>
      <w:bookmarkEnd w:id="64"/>
      <w:bookmarkEnd w:id="65"/>
      <w:bookmarkEnd w:id="66"/>
    </w:p>
    <w:p w14:paraId="2E52A7C9">
      <w:pPr>
        <w:widowControl w:val="0"/>
        <w:overflowPunct w:val="0"/>
        <w:snapToGrid/>
        <w:spacing w:line="408" w:lineRule="auto"/>
        <w:ind w:firstLine="552" w:firstLineChars="200"/>
        <w:jc w:val="both"/>
        <w:rPr>
          <w:rFonts w:hint="eastAsia" w:ascii="仿宋" w:hAnsi="仿宋" w:eastAsia="仿宋" w:cs="仿宋"/>
          <w:b/>
          <w:bCs/>
          <w:color w:val="auto"/>
          <w:spacing w:val="-2"/>
          <w:sz w:val="28"/>
          <w:szCs w:val="28"/>
          <w:lang w:eastAsia="zh-CN"/>
        </w:rPr>
      </w:pPr>
      <w:r>
        <w:rPr>
          <w:rFonts w:hint="eastAsia" w:ascii="仿宋" w:hAnsi="仿宋" w:eastAsia="仿宋" w:cs="仿宋"/>
          <w:color w:val="auto"/>
          <w:spacing w:val="-2"/>
          <w:sz w:val="28"/>
          <w:szCs w:val="28"/>
          <w:lang w:eastAsia="zh-CN"/>
        </w:rPr>
        <w:t>根据《石狮市财政局关于批复2024年部门预算的通知》批复文件，2024年度共下拨</w:t>
      </w:r>
      <w:r>
        <w:rPr>
          <w:rFonts w:hint="eastAsia" w:ascii="仿宋" w:hAnsi="仿宋" w:eastAsia="仿宋" w:cs="仿宋"/>
          <w:color w:val="auto"/>
          <w:spacing w:val="-4"/>
          <w:sz w:val="28"/>
          <w:szCs w:val="28"/>
          <w:lang w:eastAsia="zh-CN"/>
        </w:rPr>
        <w:t>石狮市退役军人事务局4110.17</w:t>
      </w:r>
      <w:r>
        <w:rPr>
          <w:rFonts w:hint="eastAsia" w:ascii="仿宋" w:hAnsi="仿宋" w:eastAsia="仿宋" w:cs="仿宋"/>
          <w:color w:val="auto"/>
          <w:spacing w:val="-2"/>
          <w:sz w:val="28"/>
          <w:szCs w:val="28"/>
          <w:lang w:eastAsia="zh-CN"/>
        </w:rPr>
        <w:t>万元，资金到位率100%。</w:t>
      </w:r>
    </w:p>
    <w:p w14:paraId="33FB94F3">
      <w:pPr>
        <w:widowControl w:val="0"/>
        <w:overflowPunct w:val="0"/>
        <w:snapToGrid/>
        <w:spacing w:line="408" w:lineRule="auto"/>
        <w:ind w:firstLine="552" w:firstLineChars="200"/>
        <w:jc w:val="both"/>
        <w:outlineLvl w:val="2"/>
        <w:rPr>
          <w:rFonts w:hint="eastAsia" w:ascii="仿宋" w:hAnsi="仿宋" w:eastAsia="仿宋" w:cs="仿宋"/>
          <w:color w:val="auto"/>
          <w:spacing w:val="-2"/>
          <w:sz w:val="28"/>
          <w:szCs w:val="28"/>
          <w:lang w:eastAsia="zh-CN"/>
        </w:rPr>
      </w:pPr>
      <w:bookmarkStart w:id="67" w:name="_Toc15641"/>
      <w:bookmarkStart w:id="68" w:name="_Toc23750"/>
      <w:bookmarkStart w:id="69" w:name="_Toc25686"/>
      <w:bookmarkStart w:id="70" w:name="_Toc21482"/>
      <w:r>
        <w:rPr>
          <w:rFonts w:hint="eastAsia" w:ascii="仿宋" w:hAnsi="仿宋" w:eastAsia="仿宋" w:cs="仿宋"/>
          <w:color w:val="auto"/>
          <w:spacing w:val="-2"/>
          <w:sz w:val="28"/>
          <w:szCs w:val="28"/>
          <w:lang w:eastAsia="zh-CN"/>
        </w:rPr>
        <w:t>2.资金预算情况</w:t>
      </w:r>
      <w:bookmarkEnd w:id="67"/>
      <w:bookmarkEnd w:id="68"/>
      <w:bookmarkEnd w:id="69"/>
      <w:bookmarkEnd w:id="70"/>
    </w:p>
    <w:p w14:paraId="558DFA54">
      <w:pPr>
        <w:widowControl w:val="0"/>
        <w:overflowPunct w:val="0"/>
        <w:snapToGrid/>
        <w:spacing w:line="408" w:lineRule="auto"/>
        <w:ind w:firstLine="552" w:firstLineChars="200"/>
        <w:jc w:val="both"/>
        <w:rPr>
          <w:rFonts w:hint="eastAsia" w:ascii="仿宋" w:hAnsi="仿宋" w:eastAsia="仿宋" w:cs="仿宋"/>
          <w:color w:val="auto"/>
          <w:spacing w:val="-2"/>
          <w:sz w:val="28"/>
          <w:szCs w:val="28"/>
          <w:lang w:eastAsia="zh-CN"/>
        </w:rPr>
      </w:pPr>
      <w:r>
        <w:rPr>
          <w:rFonts w:hint="eastAsia" w:ascii="仿宋" w:hAnsi="仿宋" w:eastAsia="仿宋" w:cs="仿宋"/>
          <w:color w:val="auto"/>
          <w:spacing w:val="-2"/>
          <w:sz w:val="28"/>
          <w:szCs w:val="28"/>
          <w:lang w:eastAsia="zh-CN"/>
        </w:rPr>
        <w:t>石狮市退役军人事务局2024年部门年初收入预算为</w:t>
      </w:r>
      <w:r>
        <w:rPr>
          <w:rFonts w:hint="eastAsia" w:ascii="仿宋" w:hAnsi="仿宋" w:eastAsia="仿宋" w:cs="仿宋"/>
          <w:color w:val="auto"/>
          <w:spacing w:val="-4"/>
          <w:sz w:val="28"/>
          <w:szCs w:val="28"/>
          <w:lang w:eastAsia="zh-CN"/>
        </w:rPr>
        <w:t>4110.17</w:t>
      </w:r>
      <w:r>
        <w:rPr>
          <w:rFonts w:hint="eastAsia" w:ascii="仿宋" w:hAnsi="仿宋" w:eastAsia="仿宋" w:cs="仿宋"/>
          <w:color w:val="auto"/>
          <w:spacing w:val="-2"/>
          <w:sz w:val="28"/>
          <w:szCs w:val="28"/>
          <w:lang w:eastAsia="zh-CN"/>
        </w:rPr>
        <w:t>万元，其中，一般公共预算拨款收入4110.17万元，政府性基金预算拨款收入0.00万元，国有资本经营预算拨款收入0.00万元，其他收入预算拨款0.00万元，上年度结余结转资金</w:t>
      </w:r>
      <w:r>
        <w:rPr>
          <w:rFonts w:hint="eastAsia" w:eastAsia="宋体"/>
          <w:lang w:eastAsia="zh-CN"/>
        </w:rPr>
        <w:t>0</w:t>
      </w:r>
      <w:r>
        <w:rPr>
          <w:rFonts w:hint="eastAsia" w:ascii="仿宋" w:hAnsi="仿宋" w:eastAsia="仿宋" w:cs="仿宋"/>
          <w:color w:val="auto"/>
          <w:spacing w:val="-2"/>
          <w:sz w:val="28"/>
          <w:szCs w:val="28"/>
          <w:lang w:eastAsia="zh-CN"/>
        </w:rPr>
        <w:t>万元。部门预算总支出4110.17万元。其中基本支出248.18万元，项目支出3,861.99万元。部门收入情况和部门预算安排情况如下表4：</w:t>
      </w:r>
    </w:p>
    <w:p w14:paraId="42C9505E">
      <w:pPr>
        <w:widowControl w:val="0"/>
        <w:overflowPunct w:val="0"/>
        <w:spacing w:line="408" w:lineRule="auto"/>
        <w:jc w:val="center"/>
        <w:rPr>
          <w:rFonts w:hint="eastAsia" w:ascii="仿宋" w:hAnsi="仿宋" w:eastAsia="仿宋" w:cs="仿宋"/>
          <w:sz w:val="24"/>
          <w:szCs w:val="24"/>
          <w:lang w:eastAsia="zh-CN"/>
        </w:rPr>
      </w:pPr>
      <w:r>
        <w:rPr>
          <w:rFonts w:ascii="仿宋" w:hAnsi="仿宋" w:eastAsia="仿宋" w:cs="仿宋"/>
          <w:spacing w:val="-2"/>
          <w:sz w:val="24"/>
          <w:szCs w:val="24"/>
          <w:lang w:eastAsia="zh-CN"/>
          <w14:textOutline w14:w="5105" w14:cap="sq" w14:cmpd="sng" w14:algn="ctr">
            <w14:solidFill>
              <w14:srgbClr w14:val="000000"/>
            </w14:solidFill>
            <w14:prstDash w14:val="solid"/>
            <w14:bevel/>
          </w14:textOutline>
        </w:rPr>
        <w:t>表</w:t>
      </w:r>
      <w:r>
        <w:rPr>
          <w:rFonts w:hint="eastAsia" w:ascii="仿宋" w:hAnsi="仿宋" w:eastAsia="仿宋" w:cs="仿宋"/>
          <w:spacing w:val="-2"/>
          <w:sz w:val="24"/>
          <w:szCs w:val="24"/>
          <w:lang w:eastAsia="zh-CN"/>
          <w14:textOutline w14:w="5105" w14:cap="sq" w14:cmpd="sng" w14:algn="ctr">
            <w14:solidFill>
              <w14:srgbClr w14:val="000000"/>
            </w14:solidFill>
            <w14:prstDash w14:val="solid"/>
            <w14:bevel/>
          </w14:textOutline>
        </w:rPr>
        <w:t>4   石狮市退役军人事务局2024年初</w:t>
      </w:r>
      <w:r>
        <w:rPr>
          <w:rFonts w:ascii="仿宋" w:hAnsi="仿宋" w:eastAsia="仿宋" w:cs="仿宋"/>
          <w:spacing w:val="-2"/>
          <w:sz w:val="24"/>
          <w:szCs w:val="24"/>
          <w:lang w:eastAsia="zh-CN"/>
          <w14:textOutline w14:w="5105" w14:cap="sq" w14:cmpd="sng" w14:algn="ctr">
            <w14:solidFill>
              <w14:srgbClr w14:val="000000"/>
            </w14:solidFill>
            <w14:prstDash w14:val="solid"/>
            <w14:bevel/>
          </w14:textOutline>
        </w:rPr>
        <w:t>预算安排情况</w:t>
      </w:r>
    </w:p>
    <w:p w14:paraId="401CF68C">
      <w:pPr>
        <w:widowControl w:val="0"/>
        <w:overflowPunct w:val="0"/>
        <w:ind w:firstLine="556"/>
        <w:jc w:val="right"/>
        <w:rPr>
          <w:rFonts w:hint="eastAsia" w:ascii="仿宋" w:hAnsi="仿宋" w:eastAsia="仿宋"/>
          <w:color w:val="auto"/>
        </w:rPr>
      </w:pPr>
      <w:r>
        <w:rPr>
          <w:rFonts w:hint="eastAsia" w:ascii="仿宋" w:hAnsi="仿宋" w:eastAsia="仿宋" w:cs="仿宋"/>
          <w:spacing w:val="-2"/>
          <w:lang w:eastAsia="zh-CN"/>
          <w14:textOutline w14:w="5105" w14:cap="sq" w14:cmpd="sng" w14:algn="ctr">
            <w14:solidFill>
              <w14:srgbClr w14:val="000000"/>
            </w14:solidFill>
            <w14:prstDash w14:val="solid"/>
            <w14:bevel/>
          </w14:textOutline>
        </w:rPr>
        <w:t>单位：万元</w:t>
      </w:r>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7"/>
        <w:gridCol w:w="1700"/>
        <w:gridCol w:w="1988"/>
        <w:gridCol w:w="1823"/>
      </w:tblGrid>
      <w:tr w14:paraId="15F61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033" w:type="pct"/>
            <w:vMerge w:val="restart"/>
            <w:shd w:val="clear" w:color="auto" w:fill="D8D8D8" w:themeFill="background1" w:themeFillShade="D9"/>
            <w:vAlign w:val="center"/>
          </w:tcPr>
          <w:p w14:paraId="322B2EE1">
            <w:pPr>
              <w:pStyle w:val="493"/>
              <w:widowControl w:val="0"/>
              <w:overflowPunct w:val="0"/>
              <w:spacing w:line="408" w:lineRule="auto"/>
              <w:jc w:val="center"/>
              <w:rPr>
                <w:rFonts w:hint="eastAsia"/>
                <w:sz w:val="18"/>
              </w:rPr>
            </w:pPr>
            <w:r>
              <w:rPr>
                <w:spacing w:val="-6"/>
                <w:sz w:val="18"/>
                <w14:textOutline w14:w="4013" w14:cap="sq" w14:cmpd="sng" w14:algn="ctr">
                  <w14:solidFill>
                    <w14:srgbClr w14:val="000000"/>
                  </w14:solidFill>
                  <w14:prstDash w14:val="solid"/>
                  <w14:bevel/>
                </w14:textOutline>
              </w:rPr>
              <w:t>资金来源</w:t>
            </w:r>
          </w:p>
        </w:tc>
        <w:tc>
          <w:tcPr>
            <w:tcW w:w="915" w:type="pct"/>
            <w:vMerge w:val="restart"/>
            <w:shd w:val="clear" w:color="auto" w:fill="D8D8D8" w:themeFill="background1" w:themeFillShade="D9"/>
            <w:vAlign w:val="center"/>
          </w:tcPr>
          <w:p w14:paraId="3DB2354C">
            <w:pPr>
              <w:pStyle w:val="493"/>
              <w:widowControl w:val="0"/>
              <w:overflowPunct w:val="0"/>
              <w:spacing w:line="408" w:lineRule="auto"/>
              <w:jc w:val="center"/>
              <w:rPr>
                <w:rFonts w:hint="eastAsia"/>
                <w:sz w:val="18"/>
              </w:rPr>
            </w:pPr>
            <w:r>
              <w:rPr>
                <w:rFonts w:hint="eastAsia"/>
                <w:spacing w:val="-3"/>
                <w:sz w:val="18"/>
                <w:lang w:eastAsia="zh-CN"/>
                <w14:textOutline w14:w="4013" w14:cap="sq" w14:cmpd="sng" w14:algn="ctr">
                  <w14:solidFill>
                    <w14:srgbClr w14:val="000000"/>
                  </w14:solidFill>
                  <w14:prstDash w14:val="solid"/>
                  <w14:bevel/>
                </w14:textOutline>
              </w:rPr>
              <w:t>年初</w:t>
            </w:r>
            <w:r>
              <w:rPr>
                <w:spacing w:val="-3"/>
                <w:sz w:val="18"/>
                <w14:textOutline w14:w="4013" w14:cap="sq" w14:cmpd="sng" w14:algn="ctr">
                  <w14:solidFill>
                    <w14:srgbClr w14:val="000000"/>
                  </w14:solidFill>
                  <w14:prstDash w14:val="solid"/>
                  <w14:bevel/>
                </w14:textOutline>
              </w:rPr>
              <w:t>预算收入</w:t>
            </w:r>
          </w:p>
        </w:tc>
        <w:tc>
          <w:tcPr>
            <w:tcW w:w="2051" w:type="pct"/>
            <w:gridSpan w:val="2"/>
            <w:shd w:val="clear" w:color="auto" w:fill="D8D8D8" w:themeFill="background1" w:themeFillShade="D9"/>
            <w:vAlign w:val="center"/>
          </w:tcPr>
          <w:p w14:paraId="78B369FD">
            <w:pPr>
              <w:pStyle w:val="493"/>
              <w:widowControl w:val="0"/>
              <w:overflowPunct w:val="0"/>
              <w:spacing w:line="408" w:lineRule="auto"/>
              <w:jc w:val="center"/>
              <w:rPr>
                <w:rFonts w:hint="eastAsia"/>
                <w:sz w:val="18"/>
              </w:rPr>
            </w:pPr>
            <w:r>
              <w:rPr>
                <w:rFonts w:hint="eastAsia"/>
                <w:spacing w:val="-4"/>
                <w:sz w:val="18"/>
                <w:lang w:eastAsia="zh-CN"/>
                <w14:textOutline w14:w="4013" w14:cap="sq" w14:cmpd="sng" w14:algn="ctr">
                  <w14:solidFill>
                    <w14:srgbClr w14:val="000000"/>
                  </w14:solidFill>
                  <w14:prstDash w14:val="solid"/>
                  <w14:bevel/>
                </w14:textOutline>
              </w:rPr>
              <w:t>年初</w:t>
            </w:r>
            <w:r>
              <w:rPr>
                <w:spacing w:val="-4"/>
                <w:sz w:val="18"/>
                <w14:textOutline w14:w="4013" w14:cap="sq" w14:cmpd="sng" w14:algn="ctr">
                  <w14:solidFill>
                    <w14:srgbClr w14:val="000000"/>
                  </w14:solidFill>
                  <w14:prstDash w14:val="solid"/>
                  <w14:bevel/>
                </w14:textOutline>
              </w:rPr>
              <w:t>收入预算安排</w:t>
            </w:r>
          </w:p>
        </w:tc>
      </w:tr>
      <w:tr w14:paraId="6756B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033" w:type="pct"/>
            <w:vMerge w:val="continue"/>
            <w:shd w:val="clear" w:color="auto" w:fill="D8D8D8" w:themeFill="background1" w:themeFillShade="D9"/>
            <w:vAlign w:val="center"/>
          </w:tcPr>
          <w:p w14:paraId="1CD3D018">
            <w:pPr>
              <w:widowControl w:val="0"/>
              <w:overflowPunct w:val="0"/>
              <w:spacing w:line="408" w:lineRule="auto"/>
              <w:jc w:val="center"/>
              <w:rPr>
                <w:rFonts w:hint="eastAsia" w:ascii="仿宋" w:hAnsi="仿宋" w:eastAsia="仿宋"/>
                <w:sz w:val="18"/>
              </w:rPr>
            </w:pPr>
          </w:p>
        </w:tc>
        <w:tc>
          <w:tcPr>
            <w:tcW w:w="915" w:type="pct"/>
            <w:vMerge w:val="continue"/>
            <w:shd w:val="clear" w:color="auto" w:fill="D8D8D8" w:themeFill="background1" w:themeFillShade="D9"/>
            <w:vAlign w:val="center"/>
          </w:tcPr>
          <w:p w14:paraId="04E2E45E">
            <w:pPr>
              <w:widowControl w:val="0"/>
              <w:overflowPunct w:val="0"/>
              <w:spacing w:line="408" w:lineRule="auto"/>
              <w:jc w:val="center"/>
              <w:rPr>
                <w:rFonts w:hint="eastAsia" w:ascii="仿宋" w:hAnsi="仿宋" w:eastAsia="仿宋"/>
                <w:sz w:val="18"/>
              </w:rPr>
            </w:pPr>
          </w:p>
        </w:tc>
        <w:tc>
          <w:tcPr>
            <w:tcW w:w="1070" w:type="pct"/>
            <w:shd w:val="clear" w:color="auto" w:fill="D8D8D8" w:themeFill="background1" w:themeFillShade="D9"/>
            <w:vAlign w:val="center"/>
          </w:tcPr>
          <w:p w14:paraId="0F5F8DBE">
            <w:pPr>
              <w:pStyle w:val="493"/>
              <w:widowControl w:val="0"/>
              <w:overflowPunct w:val="0"/>
              <w:spacing w:line="408" w:lineRule="auto"/>
              <w:jc w:val="center"/>
              <w:rPr>
                <w:rFonts w:hint="eastAsia"/>
                <w:sz w:val="18"/>
              </w:rPr>
            </w:pPr>
            <w:r>
              <w:rPr>
                <w:spacing w:val="-3"/>
                <w:sz w:val="18"/>
                <w14:textOutline w14:w="4013" w14:cap="sq" w14:cmpd="sng" w14:algn="ctr">
                  <w14:solidFill>
                    <w14:srgbClr w14:val="000000"/>
                  </w14:solidFill>
                  <w14:prstDash w14:val="solid"/>
                  <w14:bevel/>
                </w14:textOutline>
              </w:rPr>
              <w:t>基本支出</w:t>
            </w:r>
          </w:p>
        </w:tc>
        <w:tc>
          <w:tcPr>
            <w:tcW w:w="980" w:type="pct"/>
            <w:shd w:val="clear" w:color="auto" w:fill="D8D8D8" w:themeFill="background1" w:themeFillShade="D9"/>
            <w:vAlign w:val="center"/>
          </w:tcPr>
          <w:p w14:paraId="5FCD7036">
            <w:pPr>
              <w:pStyle w:val="493"/>
              <w:widowControl w:val="0"/>
              <w:overflowPunct w:val="0"/>
              <w:spacing w:line="408" w:lineRule="auto"/>
              <w:jc w:val="center"/>
              <w:rPr>
                <w:rFonts w:hint="eastAsia"/>
                <w:sz w:val="18"/>
              </w:rPr>
            </w:pPr>
            <w:r>
              <w:rPr>
                <w:spacing w:val="-4"/>
                <w:sz w:val="18"/>
                <w14:textOutline w14:w="4013" w14:cap="sq" w14:cmpd="sng" w14:algn="ctr">
                  <w14:solidFill>
                    <w14:srgbClr w14:val="000000"/>
                  </w14:solidFill>
                  <w14:prstDash w14:val="solid"/>
                  <w14:bevel/>
                </w14:textOutline>
              </w:rPr>
              <w:t>项目支出</w:t>
            </w:r>
          </w:p>
        </w:tc>
      </w:tr>
      <w:tr w14:paraId="65714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3" w:type="pct"/>
            <w:vAlign w:val="center"/>
          </w:tcPr>
          <w:p w14:paraId="05DDE4BE">
            <w:pPr>
              <w:pStyle w:val="493"/>
              <w:widowControl w:val="0"/>
              <w:overflowPunct w:val="0"/>
              <w:spacing w:line="408" w:lineRule="auto"/>
              <w:ind w:left="125"/>
              <w:jc w:val="center"/>
              <w:rPr>
                <w:rFonts w:hint="eastAsia"/>
                <w:spacing w:val="-2"/>
                <w:sz w:val="18"/>
                <w:lang w:eastAsia="zh-CN"/>
              </w:rPr>
            </w:pPr>
            <w:r>
              <w:rPr>
                <w:spacing w:val="-2"/>
                <w:sz w:val="18"/>
                <w:lang w:eastAsia="zh-CN"/>
              </w:rPr>
              <w:t>一般公共预算财政拨款收入</w:t>
            </w:r>
          </w:p>
        </w:tc>
        <w:tc>
          <w:tcPr>
            <w:tcW w:w="915" w:type="pct"/>
            <w:vAlign w:val="center"/>
          </w:tcPr>
          <w:p w14:paraId="2C9D0419">
            <w:pPr>
              <w:pStyle w:val="493"/>
              <w:widowControl w:val="0"/>
              <w:overflowPunct w:val="0"/>
              <w:spacing w:line="408" w:lineRule="auto"/>
              <w:ind w:left="125"/>
              <w:jc w:val="center"/>
              <w:rPr>
                <w:rFonts w:hint="eastAsia"/>
                <w:spacing w:val="-2"/>
                <w:sz w:val="18"/>
              </w:rPr>
            </w:pPr>
            <w:r>
              <w:rPr>
                <w:rFonts w:hint="eastAsia"/>
                <w:spacing w:val="-2"/>
                <w:sz w:val="18"/>
                <w:lang w:eastAsia="zh-CN"/>
              </w:rPr>
              <w:t>4110.17</w:t>
            </w:r>
          </w:p>
        </w:tc>
        <w:tc>
          <w:tcPr>
            <w:tcW w:w="1070" w:type="pct"/>
            <w:vAlign w:val="center"/>
          </w:tcPr>
          <w:p w14:paraId="1EB2F9F7">
            <w:pPr>
              <w:pStyle w:val="493"/>
              <w:widowControl w:val="0"/>
              <w:overflowPunct w:val="0"/>
              <w:spacing w:line="408" w:lineRule="auto"/>
              <w:ind w:left="125"/>
              <w:jc w:val="center"/>
              <w:rPr>
                <w:rFonts w:hint="eastAsia"/>
                <w:spacing w:val="-2"/>
                <w:sz w:val="18"/>
                <w:lang w:eastAsia="zh-CN"/>
              </w:rPr>
            </w:pPr>
            <w:r>
              <w:rPr>
                <w:rFonts w:hint="eastAsia"/>
                <w:spacing w:val="-2"/>
                <w:sz w:val="18"/>
                <w:lang w:eastAsia="zh-CN"/>
              </w:rPr>
              <w:t>248.18</w:t>
            </w:r>
          </w:p>
        </w:tc>
        <w:tc>
          <w:tcPr>
            <w:tcW w:w="980" w:type="pct"/>
            <w:vAlign w:val="center"/>
          </w:tcPr>
          <w:p w14:paraId="532C4C20">
            <w:pPr>
              <w:pStyle w:val="493"/>
              <w:widowControl w:val="0"/>
              <w:overflowPunct w:val="0"/>
              <w:spacing w:line="408" w:lineRule="auto"/>
              <w:ind w:left="125"/>
              <w:jc w:val="center"/>
              <w:rPr>
                <w:rFonts w:hint="eastAsia"/>
                <w:spacing w:val="-2"/>
                <w:sz w:val="18"/>
                <w:lang w:eastAsia="zh-CN"/>
              </w:rPr>
            </w:pPr>
            <w:r>
              <w:rPr>
                <w:rFonts w:hint="eastAsia"/>
                <w:spacing w:val="-2"/>
                <w:sz w:val="18"/>
                <w:lang w:eastAsia="zh-CN"/>
              </w:rPr>
              <w:t>3861.99</w:t>
            </w:r>
          </w:p>
        </w:tc>
      </w:tr>
      <w:tr w14:paraId="331F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3" w:type="pct"/>
            <w:vAlign w:val="center"/>
          </w:tcPr>
          <w:p w14:paraId="45DD98E9">
            <w:pPr>
              <w:pStyle w:val="493"/>
              <w:widowControl w:val="0"/>
              <w:overflowPunct w:val="0"/>
              <w:spacing w:line="408" w:lineRule="auto"/>
              <w:ind w:left="125"/>
              <w:jc w:val="center"/>
              <w:rPr>
                <w:rFonts w:hint="eastAsia"/>
                <w:spacing w:val="-2"/>
                <w:sz w:val="18"/>
                <w:lang w:eastAsia="zh-CN"/>
              </w:rPr>
            </w:pPr>
            <w:r>
              <w:rPr>
                <w:spacing w:val="-2"/>
                <w:sz w:val="18"/>
                <w:lang w:eastAsia="zh-CN"/>
              </w:rPr>
              <w:t>政府性基金预算财政拨款收入</w:t>
            </w:r>
          </w:p>
        </w:tc>
        <w:tc>
          <w:tcPr>
            <w:tcW w:w="915" w:type="pct"/>
            <w:vAlign w:val="center"/>
          </w:tcPr>
          <w:p w14:paraId="613FF703">
            <w:pPr>
              <w:pStyle w:val="493"/>
              <w:widowControl w:val="0"/>
              <w:overflowPunct w:val="0"/>
              <w:spacing w:line="408" w:lineRule="auto"/>
              <w:ind w:left="125"/>
              <w:jc w:val="center"/>
              <w:rPr>
                <w:rFonts w:hint="eastAsia"/>
                <w:spacing w:val="-2"/>
                <w:sz w:val="18"/>
                <w:lang w:eastAsia="zh-CN"/>
              </w:rPr>
            </w:pPr>
            <w:r>
              <w:rPr>
                <w:rFonts w:hint="eastAsia"/>
                <w:spacing w:val="-2"/>
                <w:sz w:val="18"/>
                <w:lang w:eastAsia="zh-CN"/>
              </w:rPr>
              <w:t>0.00</w:t>
            </w:r>
          </w:p>
        </w:tc>
        <w:tc>
          <w:tcPr>
            <w:tcW w:w="1070" w:type="pct"/>
            <w:vAlign w:val="center"/>
          </w:tcPr>
          <w:p w14:paraId="6DF41C28">
            <w:pPr>
              <w:pStyle w:val="493"/>
              <w:widowControl w:val="0"/>
              <w:overflowPunct w:val="0"/>
              <w:spacing w:line="408" w:lineRule="auto"/>
              <w:ind w:left="125"/>
              <w:jc w:val="center"/>
              <w:rPr>
                <w:rFonts w:hint="eastAsia"/>
                <w:spacing w:val="-2"/>
                <w:sz w:val="18"/>
              </w:rPr>
            </w:pPr>
            <w:r>
              <w:rPr>
                <w:rFonts w:hint="eastAsia"/>
                <w:spacing w:val="-2"/>
                <w:sz w:val="18"/>
              </w:rPr>
              <w:t>0.00</w:t>
            </w:r>
          </w:p>
        </w:tc>
        <w:tc>
          <w:tcPr>
            <w:tcW w:w="980" w:type="pct"/>
            <w:vAlign w:val="center"/>
          </w:tcPr>
          <w:p w14:paraId="48E92437">
            <w:pPr>
              <w:pStyle w:val="493"/>
              <w:widowControl w:val="0"/>
              <w:overflowPunct w:val="0"/>
              <w:spacing w:line="408" w:lineRule="auto"/>
              <w:ind w:left="125"/>
              <w:jc w:val="center"/>
              <w:rPr>
                <w:rFonts w:hint="eastAsia"/>
                <w:spacing w:val="-2"/>
                <w:sz w:val="18"/>
              </w:rPr>
            </w:pPr>
            <w:r>
              <w:rPr>
                <w:rFonts w:hint="eastAsia"/>
                <w:spacing w:val="-2"/>
                <w:sz w:val="18"/>
                <w:lang w:eastAsia="zh-CN"/>
              </w:rPr>
              <w:t>0</w:t>
            </w:r>
            <w:r>
              <w:rPr>
                <w:rFonts w:hint="eastAsia"/>
                <w:spacing w:val="-2"/>
                <w:sz w:val="18"/>
              </w:rPr>
              <w:t>.00</w:t>
            </w:r>
          </w:p>
        </w:tc>
      </w:tr>
      <w:tr w14:paraId="6CEF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3" w:type="pct"/>
            <w:vAlign w:val="center"/>
          </w:tcPr>
          <w:p w14:paraId="4DC9E9FF">
            <w:pPr>
              <w:pStyle w:val="493"/>
              <w:widowControl w:val="0"/>
              <w:overflowPunct w:val="0"/>
              <w:spacing w:line="408" w:lineRule="auto"/>
              <w:ind w:left="125"/>
              <w:jc w:val="center"/>
              <w:rPr>
                <w:rFonts w:hint="eastAsia"/>
                <w:spacing w:val="-2"/>
                <w:sz w:val="18"/>
                <w:lang w:eastAsia="zh-CN"/>
              </w:rPr>
            </w:pPr>
            <w:r>
              <w:rPr>
                <w:spacing w:val="-2"/>
                <w:sz w:val="18"/>
                <w:lang w:eastAsia="zh-CN"/>
              </w:rPr>
              <w:t>国有资本经营预算财政拨款收入</w:t>
            </w:r>
          </w:p>
        </w:tc>
        <w:tc>
          <w:tcPr>
            <w:tcW w:w="915" w:type="pct"/>
            <w:vAlign w:val="center"/>
          </w:tcPr>
          <w:p w14:paraId="5622AFA1">
            <w:pPr>
              <w:pStyle w:val="493"/>
              <w:widowControl w:val="0"/>
              <w:overflowPunct w:val="0"/>
              <w:spacing w:line="408" w:lineRule="auto"/>
              <w:ind w:left="125"/>
              <w:jc w:val="center"/>
              <w:rPr>
                <w:rFonts w:hint="eastAsia"/>
                <w:spacing w:val="-2"/>
                <w:sz w:val="18"/>
              </w:rPr>
            </w:pPr>
            <w:r>
              <w:rPr>
                <w:rFonts w:hint="eastAsia"/>
                <w:spacing w:val="-2"/>
                <w:sz w:val="18"/>
              </w:rPr>
              <w:t>0.00</w:t>
            </w:r>
          </w:p>
        </w:tc>
        <w:tc>
          <w:tcPr>
            <w:tcW w:w="1070" w:type="pct"/>
            <w:vAlign w:val="center"/>
          </w:tcPr>
          <w:p w14:paraId="0BB8A515">
            <w:pPr>
              <w:pStyle w:val="493"/>
              <w:widowControl w:val="0"/>
              <w:overflowPunct w:val="0"/>
              <w:spacing w:line="408" w:lineRule="auto"/>
              <w:ind w:left="125"/>
              <w:jc w:val="center"/>
              <w:rPr>
                <w:rFonts w:hint="eastAsia"/>
                <w:spacing w:val="-2"/>
                <w:sz w:val="18"/>
              </w:rPr>
            </w:pPr>
            <w:r>
              <w:rPr>
                <w:rFonts w:hint="eastAsia"/>
                <w:spacing w:val="-2"/>
                <w:sz w:val="18"/>
              </w:rPr>
              <w:t>0.00</w:t>
            </w:r>
          </w:p>
        </w:tc>
        <w:tc>
          <w:tcPr>
            <w:tcW w:w="980" w:type="pct"/>
            <w:vAlign w:val="center"/>
          </w:tcPr>
          <w:p w14:paraId="45A1D831">
            <w:pPr>
              <w:pStyle w:val="493"/>
              <w:widowControl w:val="0"/>
              <w:overflowPunct w:val="0"/>
              <w:spacing w:line="408" w:lineRule="auto"/>
              <w:ind w:left="125"/>
              <w:jc w:val="center"/>
              <w:rPr>
                <w:rFonts w:hint="eastAsia"/>
                <w:spacing w:val="-2"/>
                <w:sz w:val="18"/>
              </w:rPr>
            </w:pPr>
            <w:r>
              <w:rPr>
                <w:rFonts w:hint="eastAsia"/>
                <w:spacing w:val="-2"/>
                <w:sz w:val="18"/>
              </w:rPr>
              <w:t>0.00</w:t>
            </w:r>
          </w:p>
        </w:tc>
      </w:tr>
      <w:tr w14:paraId="5766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3" w:type="pct"/>
            <w:vAlign w:val="center"/>
          </w:tcPr>
          <w:p w14:paraId="40ECEE85">
            <w:pPr>
              <w:pStyle w:val="493"/>
              <w:widowControl w:val="0"/>
              <w:overflowPunct w:val="0"/>
              <w:spacing w:line="408" w:lineRule="auto"/>
              <w:ind w:left="125"/>
              <w:jc w:val="center"/>
              <w:rPr>
                <w:rFonts w:hint="eastAsia"/>
                <w:spacing w:val="-2"/>
                <w:sz w:val="18"/>
              </w:rPr>
            </w:pPr>
            <w:r>
              <w:rPr>
                <w:spacing w:val="-2"/>
                <w:sz w:val="18"/>
              </w:rPr>
              <w:t>其他收入</w:t>
            </w:r>
          </w:p>
        </w:tc>
        <w:tc>
          <w:tcPr>
            <w:tcW w:w="915" w:type="pct"/>
            <w:vAlign w:val="center"/>
          </w:tcPr>
          <w:p w14:paraId="5C872C52">
            <w:pPr>
              <w:pStyle w:val="493"/>
              <w:widowControl w:val="0"/>
              <w:overflowPunct w:val="0"/>
              <w:spacing w:line="408" w:lineRule="auto"/>
              <w:ind w:left="125"/>
              <w:jc w:val="center"/>
              <w:rPr>
                <w:rFonts w:hint="eastAsia"/>
                <w:spacing w:val="-2"/>
                <w:sz w:val="18"/>
              </w:rPr>
            </w:pPr>
            <w:r>
              <w:rPr>
                <w:rFonts w:hint="eastAsia"/>
                <w:spacing w:val="-2"/>
                <w:sz w:val="18"/>
              </w:rPr>
              <w:t>0.00</w:t>
            </w:r>
          </w:p>
        </w:tc>
        <w:tc>
          <w:tcPr>
            <w:tcW w:w="1070" w:type="pct"/>
            <w:vAlign w:val="center"/>
          </w:tcPr>
          <w:p w14:paraId="48BC34FC">
            <w:pPr>
              <w:pStyle w:val="493"/>
              <w:widowControl w:val="0"/>
              <w:overflowPunct w:val="0"/>
              <w:spacing w:line="408" w:lineRule="auto"/>
              <w:ind w:left="125"/>
              <w:jc w:val="center"/>
              <w:rPr>
                <w:rFonts w:hint="eastAsia"/>
                <w:spacing w:val="-2"/>
                <w:sz w:val="18"/>
              </w:rPr>
            </w:pPr>
            <w:r>
              <w:rPr>
                <w:rFonts w:hint="eastAsia"/>
                <w:spacing w:val="-2"/>
                <w:sz w:val="18"/>
              </w:rPr>
              <w:t>0.00</w:t>
            </w:r>
          </w:p>
        </w:tc>
        <w:tc>
          <w:tcPr>
            <w:tcW w:w="980" w:type="pct"/>
            <w:vAlign w:val="center"/>
          </w:tcPr>
          <w:p w14:paraId="7749704D">
            <w:pPr>
              <w:pStyle w:val="493"/>
              <w:widowControl w:val="0"/>
              <w:overflowPunct w:val="0"/>
              <w:spacing w:line="408" w:lineRule="auto"/>
              <w:ind w:left="125"/>
              <w:jc w:val="center"/>
              <w:rPr>
                <w:rFonts w:hint="eastAsia"/>
                <w:spacing w:val="-2"/>
                <w:sz w:val="18"/>
              </w:rPr>
            </w:pPr>
            <w:r>
              <w:rPr>
                <w:rFonts w:hint="eastAsia"/>
                <w:spacing w:val="-2"/>
                <w:sz w:val="18"/>
              </w:rPr>
              <w:t>0.00</w:t>
            </w:r>
          </w:p>
        </w:tc>
      </w:tr>
      <w:tr w14:paraId="16598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3" w:type="pct"/>
            <w:vAlign w:val="center"/>
          </w:tcPr>
          <w:p w14:paraId="0437EBB0">
            <w:pPr>
              <w:pStyle w:val="493"/>
              <w:widowControl w:val="0"/>
              <w:overflowPunct w:val="0"/>
              <w:spacing w:line="408" w:lineRule="auto"/>
              <w:ind w:left="125"/>
              <w:jc w:val="center"/>
              <w:rPr>
                <w:rFonts w:hint="eastAsia"/>
                <w:spacing w:val="-2"/>
                <w:sz w:val="18"/>
              </w:rPr>
            </w:pPr>
            <w:r>
              <w:rPr>
                <w:spacing w:val="-2"/>
                <w:sz w:val="18"/>
              </w:rPr>
              <w:t>收入合计</w:t>
            </w:r>
          </w:p>
        </w:tc>
        <w:tc>
          <w:tcPr>
            <w:tcW w:w="915" w:type="pct"/>
            <w:vAlign w:val="center"/>
          </w:tcPr>
          <w:p w14:paraId="70596C0B">
            <w:pPr>
              <w:pStyle w:val="493"/>
              <w:widowControl w:val="0"/>
              <w:overflowPunct w:val="0"/>
              <w:spacing w:line="408" w:lineRule="auto"/>
              <w:ind w:left="125"/>
              <w:jc w:val="center"/>
              <w:rPr>
                <w:rFonts w:hint="eastAsia"/>
                <w:spacing w:val="-2"/>
                <w:sz w:val="18"/>
              </w:rPr>
            </w:pPr>
            <w:r>
              <w:rPr>
                <w:rFonts w:hint="eastAsia"/>
                <w:spacing w:val="-2"/>
                <w:sz w:val="18"/>
                <w:lang w:eastAsia="zh-CN"/>
              </w:rPr>
              <w:t>4110.17</w:t>
            </w:r>
          </w:p>
        </w:tc>
        <w:tc>
          <w:tcPr>
            <w:tcW w:w="1070" w:type="pct"/>
            <w:vAlign w:val="center"/>
          </w:tcPr>
          <w:p w14:paraId="3192C92C">
            <w:pPr>
              <w:pStyle w:val="493"/>
              <w:widowControl w:val="0"/>
              <w:overflowPunct w:val="0"/>
              <w:spacing w:line="408" w:lineRule="auto"/>
              <w:ind w:left="125"/>
              <w:jc w:val="center"/>
              <w:rPr>
                <w:rFonts w:hint="eastAsia"/>
                <w:spacing w:val="-2"/>
                <w:sz w:val="18"/>
                <w:lang w:eastAsia="zh-CN"/>
              </w:rPr>
            </w:pPr>
            <w:r>
              <w:rPr>
                <w:rFonts w:hint="eastAsia"/>
                <w:spacing w:val="-2"/>
                <w:sz w:val="18"/>
                <w:lang w:eastAsia="zh-CN"/>
              </w:rPr>
              <w:t>248.18</w:t>
            </w:r>
          </w:p>
        </w:tc>
        <w:tc>
          <w:tcPr>
            <w:tcW w:w="980" w:type="pct"/>
            <w:vAlign w:val="center"/>
          </w:tcPr>
          <w:p w14:paraId="673C7B78">
            <w:pPr>
              <w:pStyle w:val="493"/>
              <w:widowControl w:val="0"/>
              <w:overflowPunct w:val="0"/>
              <w:spacing w:line="408" w:lineRule="auto"/>
              <w:ind w:left="125"/>
              <w:jc w:val="center"/>
              <w:rPr>
                <w:rFonts w:hint="eastAsia"/>
                <w:spacing w:val="-2"/>
                <w:sz w:val="18"/>
                <w:lang w:eastAsia="zh-CN"/>
              </w:rPr>
            </w:pPr>
            <w:r>
              <w:rPr>
                <w:rFonts w:hint="eastAsia"/>
                <w:spacing w:val="-2"/>
                <w:sz w:val="18"/>
                <w:lang w:eastAsia="zh-CN"/>
              </w:rPr>
              <w:t>3861.99</w:t>
            </w:r>
          </w:p>
        </w:tc>
      </w:tr>
    </w:tbl>
    <w:p w14:paraId="038244C4">
      <w:pPr>
        <w:widowControl w:val="0"/>
        <w:overflowPunct w:val="0"/>
        <w:snapToGrid/>
        <w:spacing w:line="408" w:lineRule="auto"/>
        <w:ind w:firstLine="552" w:firstLineChars="200"/>
        <w:jc w:val="both"/>
        <w:outlineLvl w:val="2"/>
        <w:rPr>
          <w:rFonts w:hint="eastAsia" w:ascii="仿宋" w:hAnsi="仿宋" w:eastAsia="仿宋" w:cs="仿宋"/>
          <w:color w:val="auto"/>
          <w:spacing w:val="-2"/>
          <w:sz w:val="28"/>
          <w:szCs w:val="28"/>
          <w:lang w:eastAsia="zh-CN"/>
        </w:rPr>
      </w:pPr>
      <w:bookmarkStart w:id="71" w:name="_Toc31920"/>
      <w:bookmarkStart w:id="72" w:name="_Toc4479"/>
      <w:bookmarkStart w:id="73" w:name="_Toc8998"/>
      <w:bookmarkStart w:id="74" w:name="_Toc17855"/>
      <w:bookmarkStart w:id="75" w:name="_Toc8039"/>
      <w:bookmarkStart w:id="76" w:name="_Toc4188"/>
      <w:r>
        <w:rPr>
          <w:rFonts w:hint="eastAsia" w:ascii="仿宋" w:hAnsi="仿宋" w:eastAsia="仿宋" w:cs="仿宋"/>
          <w:color w:val="auto"/>
          <w:spacing w:val="-2"/>
          <w:sz w:val="28"/>
          <w:szCs w:val="28"/>
          <w:lang w:eastAsia="zh-CN"/>
        </w:rPr>
        <w:t>3.资金年度调剂情况</w:t>
      </w:r>
      <w:bookmarkEnd w:id="71"/>
      <w:bookmarkEnd w:id="72"/>
      <w:bookmarkEnd w:id="73"/>
      <w:bookmarkEnd w:id="74"/>
      <w:bookmarkEnd w:id="75"/>
      <w:bookmarkEnd w:id="76"/>
    </w:p>
    <w:p w14:paraId="3794D24B">
      <w:pPr>
        <w:widowControl w:val="0"/>
        <w:overflowPunct w:val="0"/>
        <w:snapToGrid/>
        <w:spacing w:line="408" w:lineRule="auto"/>
        <w:ind w:firstLine="552" w:firstLineChars="200"/>
        <w:rPr>
          <w:rFonts w:hint="eastAsia" w:ascii="仿宋" w:hAnsi="仿宋" w:eastAsia="仿宋" w:cs="仿宋"/>
          <w:color w:val="auto"/>
          <w:spacing w:val="-2"/>
          <w:sz w:val="28"/>
          <w:szCs w:val="28"/>
          <w:lang w:eastAsia="zh-CN"/>
        </w:rPr>
      </w:pPr>
      <w:r>
        <w:rPr>
          <w:rFonts w:hint="eastAsia" w:ascii="仿宋" w:hAnsi="仿宋" w:eastAsia="仿宋" w:cs="仿宋"/>
          <w:color w:val="auto"/>
          <w:spacing w:val="-2"/>
          <w:sz w:val="28"/>
          <w:szCs w:val="28"/>
          <w:lang w:eastAsia="zh-CN"/>
        </w:rPr>
        <w:t>2024年部门共追加567.77万元（其中，一般公共预算拨款追加</w:t>
      </w:r>
    </w:p>
    <w:p w14:paraId="63545ED6">
      <w:pPr>
        <w:widowControl w:val="0"/>
        <w:overflowPunct w:val="0"/>
        <w:snapToGrid/>
        <w:spacing w:line="408" w:lineRule="auto"/>
        <w:rPr>
          <w:rFonts w:hint="eastAsia" w:ascii="仿宋" w:hAnsi="仿宋" w:eastAsia="仿宋" w:cs="仿宋"/>
          <w:color w:val="auto"/>
          <w:spacing w:val="-2"/>
          <w:sz w:val="28"/>
          <w:szCs w:val="28"/>
          <w:lang w:eastAsia="zh-CN"/>
        </w:rPr>
      </w:pPr>
      <w:r>
        <w:rPr>
          <w:rFonts w:hint="eastAsia" w:ascii="仿宋" w:hAnsi="仿宋" w:eastAsia="仿宋" w:cs="仿宋"/>
          <w:color w:val="auto"/>
          <w:spacing w:val="-2"/>
          <w:sz w:val="28"/>
          <w:szCs w:val="28"/>
          <w:lang w:eastAsia="zh-CN"/>
        </w:rPr>
        <w:t>566.33万元，政府性基金预算拨款0.00万元，国有资本经营预算拨款0.00万元，其他收入预算拨款0.17万元，上年度结余结转资金1.27万元）。经调剂后部门全年预算收入为4677.94万元，（其中，基本支出274.43万元，项目支出4403.51万元）。部门收入预算安排情况如下表5所示：</w:t>
      </w:r>
    </w:p>
    <w:p w14:paraId="36C71E8B">
      <w:pPr>
        <w:widowControl w:val="0"/>
        <w:overflowPunct w:val="0"/>
        <w:spacing w:line="408" w:lineRule="auto"/>
        <w:jc w:val="center"/>
        <w:rPr>
          <w:rFonts w:hint="eastAsia" w:ascii="仿宋" w:hAnsi="仿宋" w:eastAsia="仿宋" w:cs="仿宋"/>
          <w:bCs/>
          <w:sz w:val="24"/>
          <w:szCs w:val="24"/>
          <w:lang w:eastAsia="zh-CN"/>
        </w:rPr>
      </w:pPr>
      <w:bookmarkStart w:id="77" w:name="_Toc19496"/>
      <w:r>
        <w:rPr>
          <w:rFonts w:ascii="仿宋" w:hAnsi="仿宋" w:eastAsia="仿宋" w:cs="仿宋"/>
          <w:bCs/>
          <w:spacing w:val="-2"/>
          <w:sz w:val="24"/>
          <w:szCs w:val="24"/>
          <w:lang w:eastAsia="zh-CN"/>
          <w14:textOutline w14:w="5105" w14:cap="sq" w14:cmpd="sng" w14:algn="ctr">
            <w14:solidFill>
              <w14:srgbClr w14:val="000000"/>
            </w14:solidFill>
            <w14:prstDash w14:val="solid"/>
            <w14:bevel/>
          </w14:textOutline>
        </w:rPr>
        <w:t>表</w:t>
      </w:r>
      <w:r>
        <w:rPr>
          <w:rFonts w:hint="eastAsia" w:ascii="仿宋" w:hAnsi="仿宋" w:eastAsia="仿宋" w:cs="仿宋"/>
          <w:bCs/>
          <w:spacing w:val="-2"/>
          <w:sz w:val="24"/>
          <w:szCs w:val="24"/>
          <w:lang w:eastAsia="zh-CN"/>
          <w14:textOutline w14:w="5105" w14:cap="sq" w14:cmpd="sng" w14:algn="ctr">
            <w14:solidFill>
              <w14:srgbClr w14:val="000000"/>
            </w14:solidFill>
            <w14:prstDash w14:val="solid"/>
            <w14:bevel/>
          </w14:textOutline>
        </w:rPr>
        <w:t>5   石狮市退役军人事务局2024年全年</w:t>
      </w:r>
      <w:r>
        <w:rPr>
          <w:rFonts w:ascii="仿宋" w:hAnsi="仿宋" w:eastAsia="仿宋" w:cs="仿宋"/>
          <w:bCs/>
          <w:spacing w:val="-2"/>
          <w:sz w:val="24"/>
          <w:szCs w:val="24"/>
          <w:lang w:eastAsia="zh-CN"/>
          <w14:textOutline w14:w="5105" w14:cap="sq" w14:cmpd="sng" w14:algn="ctr">
            <w14:solidFill>
              <w14:srgbClr w14:val="000000"/>
            </w14:solidFill>
            <w14:prstDash w14:val="solid"/>
            <w14:bevel/>
          </w14:textOutline>
        </w:rPr>
        <w:t>预算情况</w:t>
      </w:r>
      <w:bookmarkEnd w:id="77"/>
    </w:p>
    <w:p w14:paraId="0FEB9C6E">
      <w:pPr>
        <w:widowControl w:val="0"/>
        <w:overflowPunct w:val="0"/>
        <w:jc w:val="right"/>
        <w:rPr>
          <w:rFonts w:hint="eastAsia" w:ascii="仿宋" w:hAnsi="仿宋" w:eastAsia="仿宋"/>
          <w:bCs/>
          <w:color w:val="auto"/>
          <w:lang w:eastAsia="zh-CN"/>
        </w:rPr>
      </w:pPr>
      <w:r>
        <w:rPr>
          <w:rFonts w:hint="eastAsia" w:ascii="仿宋" w:hAnsi="仿宋" w:eastAsia="仿宋" w:cs="仿宋"/>
          <w:bCs/>
          <w:spacing w:val="-2"/>
          <w:lang w:eastAsia="zh-CN"/>
          <w14:textOutline w14:w="5105" w14:cap="sq" w14:cmpd="sng" w14:algn="ctr">
            <w14:solidFill>
              <w14:srgbClr w14:val="000000"/>
            </w14:solidFill>
            <w14:prstDash w14:val="solid"/>
            <w14:bevel/>
          </w14:textOutline>
        </w:rPr>
        <w:t>单位：万元</w:t>
      </w:r>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9"/>
        <w:gridCol w:w="1157"/>
        <w:gridCol w:w="1076"/>
        <w:gridCol w:w="1284"/>
        <w:gridCol w:w="1503"/>
        <w:gridCol w:w="1219"/>
      </w:tblGrid>
      <w:tr w14:paraId="27C97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1641" w:type="pct"/>
            <w:vMerge w:val="restart"/>
            <w:shd w:val="clear" w:color="auto" w:fill="D8D8D8" w:themeFill="background1" w:themeFillShade="D9"/>
            <w:vAlign w:val="center"/>
          </w:tcPr>
          <w:p w14:paraId="5CDCEAF2">
            <w:pPr>
              <w:pStyle w:val="493"/>
              <w:widowControl w:val="0"/>
              <w:overflowPunct w:val="0"/>
              <w:spacing w:line="408" w:lineRule="auto"/>
              <w:jc w:val="center"/>
              <w:rPr>
                <w:rFonts w:hint="eastAsia"/>
                <w:bCs/>
                <w:sz w:val="18"/>
              </w:rPr>
            </w:pPr>
            <w:r>
              <w:rPr>
                <w:bCs/>
                <w:spacing w:val="-6"/>
                <w:sz w:val="18"/>
                <w14:textOutline w14:w="4013" w14:cap="sq" w14:cmpd="sng" w14:algn="ctr">
                  <w14:solidFill>
                    <w14:srgbClr w14:val="000000"/>
                  </w14:solidFill>
                  <w14:prstDash w14:val="solid"/>
                  <w14:bevel/>
                </w14:textOutline>
              </w:rPr>
              <w:t>资金来源</w:t>
            </w:r>
          </w:p>
        </w:tc>
        <w:tc>
          <w:tcPr>
            <w:tcW w:w="623" w:type="pct"/>
            <w:vMerge w:val="restart"/>
            <w:shd w:val="clear" w:color="auto" w:fill="D8D8D8" w:themeFill="background1" w:themeFillShade="D9"/>
            <w:vAlign w:val="center"/>
          </w:tcPr>
          <w:p w14:paraId="222E2E97">
            <w:pPr>
              <w:pStyle w:val="493"/>
              <w:widowControl w:val="0"/>
              <w:overflowPunct w:val="0"/>
              <w:spacing w:line="408" w:lineRule="auto"/>
              <w:jc w:val="center"/>
              <w:rPr>
                <w:rFonts w:hint="eastAsia"/>
                <w:bCs/>
                <w:sz w:val="18"/>
                <w:lang w:eastAsia="zh-CN"/>
              </w:rPr>
            </w:pPr>
            <w:r>
              <w:rPr>
                <w:rFonts w:hint="eastAsia"/>
                <w:bCs/>
                <w:spacing w:val="-3"/>
                <w:sz w:val="18"/>
                <w:lang w:eastAsia="zh-CN"/>
                <w14:textOutline w14:w="4013" w14:cap="sq" w14:cmpd="sng" w14:algn="ctr">
                  <w14:solidFill>
                    <w14:srgbClr w14:val="000000"/>
                  </w14:solidFill>
                  <w14:prstDash w14:val="solid"/>
                  <w14:bevel/>
                </w14:textOutline>
              </w:rPr>
              <w:t>年初预算</w:t>
            </w:r>
            <w:r>
              <w:rPr>
                <w:bCs/>
                <w:spacing w:val="-3"/>
                <w:sz w:val="18"/>
                <w14:textOutline w14:w="4013" w14:cap="sq" w14:cmpd="sng" w14:algn="ctr">
                  <w14:solidFill>
                    <w14:srgbClr w14:val="000000"/>
                  </w14:solidFill>
                  <w14:prstDash w14:val="solid"/>
                  <w14:bevel/>
                </w14:textOutline>
              </w:rPr>
              <w:t>收入</w:t>
            </w:r>
          </w:p>
        </w:tc>
        <w:tc>
          <w:tcPr>
            <w:tcW w:w="579" w:type="pct"/>
            <w:vMerge w:val="restart"/>
            <w:shd w:val="clear" w:color="auto" w:fill="D8D8D8" w:themeFill="background1" w:themeFillShade="D9"/>
            <w:vAlign w:val="center"/>
          </w:tcPr>
          <w:p w14:paraId="60BE272D">
            <w:pPr>
              <w:pStyle w:val="493"/>
              <w:widowControl w:val="0"/>
              <w:overflowPunct w:val="0"/>
              <w:spacing w:line="408" w:lineRule="auto"/>
              <w:jc w:val="center"/>
              <w:rPr>
                <w:rFonts w:hint="eastAsia"/>
                <w:bCs/>
                <w:sz w:val="18"/>
                <w:lang w:eastAsia="zh-CN"/>
              </w:rPr>
            </w:pPr>
            <w:r>
              <w:rPr>
                <w:rFonts w:hint="eastAsia"/>
                <w:bCs/>
                <w:spacing w:val="-3"/>
                <w:sz w:val="18"/>
                <w:lang w:eastAsia="zh-CN"/>
                <w14:textOutline w14:w="4013" w14:cap="sq" w14:cmpd="sng" w14:algn="ctr">
                  <w14:solidFill>
                    <w14:srgbClr w14:val="000000"/>
                  </w14:solidFill>
                  <w14:prstDash w14:val="solid"/>
                  <w14:bevel/>
                </w14:textOutline>
              </w:rPr>
              <w:t>调剂收入</w:t>
            </w:r>
          </w:p>
        </w:tc>
        <w:tc>
          <w:tcPr>
            <w:tcW w:w="691" w:type="pct"/>
            <w:vMerge w:val="restart"/>
            <w:shd w:val="clear" w:color="auto" w:fill="D8D8D8" w:themeFill="background1" w:themeFillShade="D9"/>
            <w:vAlign w:val="center"/>
          </w:tcPr>
          <w:p w14:paraId="79F1DEC2">
            <w:pPr>
              <w:pStyle w:val="493"/>
              <w:widowControl w:val="0"/>
              <w:overflowPunct w:val="0"/>
              <w:spacing w:line="408" w:lineRule="auto"/>
              <w:jc w:val="center"/>
              <w:rPr>
                <w:rFonts w:hint="eastAsia"/>
                <w:bCs/>
                <w:sz w:val="18"/>
              </w:rPr>
            </w:pPr>
            <w:r>
              <w:rPr>
                <w:rFonts w:hint="eastAsia"/>
                <w:bCs/>
                <w:spacing w:val="-3"/>
                <w:sz w:val="18"/>
                <w:lang w:eastAsia="zh-CN"/>
                <w14:textOutline w14:w="4013" w14:cap="sq" w14:cmpd="sng" w14:algn="ctr">
                  <w14:solidFill>
                    <w14:srgbClr w14:val="000000"/>
                  </w14:solidFill>
                  <w14:prstDash w14:val="solid"/>
                  <w14:bevel/>
                </w14:textOutline>
              </w:rPr>
              <w:t>全年</w:t>
            </w:r>
            <w:r>
              <w:rPr>
                <w:bCs/>
                <w:spacing w:val="-3"/>
                <w:sz w:val="18"/>
                <w14:textOutline w14:w="4013" w14:cap="sq" w14:cmpd="sng" w14:algn="ctr">
                  <w14:solidFill>
                    <w14:srgbClr w14:val="000000"/>
                  </w14:solidFill>
                  <w14:prstDash w14:val="solid"/>
                  <w14:bevel/>
                </w14:textOutline>
              </w:rPr>
              <w:t>预算收入</w:t>
            </w:r>
          </w:p>
        </w:tc>
        <w:tc>
          <w:tcPr>
            <w:tcW w:w="1465" w:type="pct"/>
            <w:gridSpan w:val="2"/>
            <w:shd w:val="clear" w:color="auto" w:fill="D8D8D8" w:themeFill="background1" w:themeFillShade="D9"/>
            <w:vAlign w:val="center"/>
          </w:tcPr>
          <w:p w14:paraId="4EFBAA84">
            <w:pPr>
              <w:pStyle w:val="493"/>
              <w:widowControl w:val="0"/>
              <w:overflowPunct w:val="0"/>
              <w:spacing w:line="408" w:lineRule="auto"/>
              <w:jc w:val="center"/>
              <w:rPr>
                <w:rFonts w:hint="eastAsia"/>
                <w:bCs/>
                <w:sz w:val="18"/>
              </w:rPr>
            </w:pPr>
            <w:r>
              <w:rPr>
                <w:rFonts w:hint="eastAsia"/>
                <w:bCs/>
                <w:spacing w:val="-4"/>
                <w:sz w:val="18"/>
                <w:lang w:eastAsia="zh-CN"/>
                <w14:textOutline w14:w="4013" w14:cap="sq" w14:cmpd="sng" w14:algn="ctr">
                  <w14:solidFill>
                    <w14:srgbClr w14:val="000000"/>
                  </w14:solidFill>
                  <w14:prstDash w14:val="solid"/>
                  <w14:bevel/>
                </w14:textOutline>
              </w:rPr>
              <w:t>全年</w:t>
            </w:r>
            <w:r>
              <w:rPr>
                <w:bCs/>
                <w:spacing w:val="-4"/>
                <w:sz w:val="18"/>
                <w14:textOutline w14:w="4013" w14:cap="sq" w14:cmpd="sng" w14:algn="ctr">
                  <w14:solidFill>
                    <w14:srgbClr w14:val="000000"/>
                  </w14:solidFill>
                  <w14:prstDash w14:val="solid"/>
                  <w14:bevel/>
                </w14:textOutline>
              </w:rPr>
              <w:t>收入预算安排</w:t>
            </w:r>
          </w:p>
        </w:tc>
      </w:tr>
      <w:tr w14:paraId="64D5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1641" w:type="pct"/>
            <w:vMerge w:val="continue"/>
            <w:shd w:val="clear" w:color="auto" w:fill="D8D8D8" w:themeFill="background1" w:themeFillShade="D9"/>
            <w:vAlign w:val="center"/>
          </w:tcPr>
          <w:p w14:paraId="76AC95E5">
            <w:pPr>
              <w:widowControl w:val="0"/>
              <w:overflowPunct w:val="0"/>
              <w:spacing w:line="408" w:lineRule="auto"/>
              <w:jc w:val="center"/>
              <w:rPr>
                <w:rFonts w:hint="eastAsia" w:ascii="仿宋" w:hAnsi="仿宋" w:eastAsia="仿宋"/>
                <w:bCs/>
                <w:sz w:val="18"/>
              </w:rPr>
            </w:pPr>
          </w:p>
        </w:tc>
        <w:tc>
          <w:tcPr>
            <w:tcW w:w="623" w:type="pct"/>
            <w:vMerge w:val="continue"/>
            <w:shd w:val="clear" w:color="auto" w:fill="D8D8D8" w:themeFill="background1" w:themeFillShade="D9"/>
            <w:vAlign w:val="center"/>
          </w:tcPr>
          <w:p w14:paraId="55FF6475">
            <w:pPr>
              <w:widowControl w:val="0"/>
              <w:overflowPunct w:val="0"/>
              <w:spacing w:line="408" w:lineRule="auto"/>
              <w:jc w:val="center"/>
              <w:rPr>
                <w:rFonts w:hint="eastAsia" w:ascii="仿宋" w:hAnsi="仿宋" w:eastAsia="仿宋"/>
                <w:bCs/>
                <w:sz w:val="18"/>
                <w:lang w:eastAsia="zh-CN"/>
              </w:rPr>
            </w:pPr>
          </w:p>
        </w:tc>
        <w:tc>
          <w:tcPr>
            <w:tcW w:w="579" w:type="pct"/>
            <w:vMerge w:val="continue"/>
            <w:shd w:val="clear" w:color="auto" w:fill="D8D8D8" w:themeFill="background1" w:themeFillShade="D9"/>
            <w:vAlign w:val="center"/>
          </w:tcPr>
          <w:p w14:paraId="41BDB67E">
            <w:pPr>
              <w:widowControl w:val="0"/>
              <w:overflowPunct w:val="0"/>
              <w:spacing w:line="408" w:lineRule="auto"/>
              <w:jc w:val="center"/>
              <w:rPr>
                <w:rFonts w:hint="eastAsia" w:ascii="仿宋" w:hAnsi="仿宋" w:eastAsia="仿宋"/>
                <w:bCs/>
                <w:sz w:val="18"/>
                <w:lang w:eastAsia="zh-CN"/>
              </w:rPr>
            </w:pPr>
          </w:p>
        </w:tc>
        <w:tc>
          <w:tcPr>
            <w:tcW w:w="691" w:type="pct"/>
            <w:vMerge w:val="continue"/>
            <w:shd w:val="clear" w:color="auto" w:fill="D8D8D8" w:themeFill="background1" w:themeFillShade="D9"/>
            <w:vAlign w:val="center"/>
          </w:tcPr>
          <w:p w14:paraId="260EDF62">
            <w:pPr>
              <w:widowControl w:val="0"/>
              <w:overflowPunct w:val="0"/>
              <w:spacing w:line="408" w:lineRule="auto"/>
              <w:jc w:val="center"/>
              <w:rPr>
                <w:rFonts w:hint="eastAsia" w:ascii="仿宋" w:hAnsi="仿宋" w:eastAsia="仿宋"/>
                <w:bCs/>
                <w:sz w:val="18"/>
              </w:rPr>
            </w:pPr>
          </w:p>
        </w:tc>
        <w:tc>
          <w:tcPr>
            <w:tcW w:w="809" w:type="pct"/>
            <w:shd w:val="clear" w:color="auto" w:fill="D8D8D8" w:themeFill="background1" w:themeFillShade="D9"/>
            <w:vAlign w:val="center"/>
          </w:tcPr>
          <w:p w14:paraId="239C83C0">
            <w:pPr>
              <w:pStyle w:val="493"/>
              <w:widowControl w:val="0"/>
              <w:overflowPunct w:val="0"/>
              <w:spacing w:line="408" w:lineRule="auto"/>
              <w:jc w:val="center"/>
              <w:rPr>
                <w:rFonts w:hint="eastAsia"/>
                <w:bCs/>
                <w:sz w:val="18"/>
              </w:rPr>
            </w:pPr>
            <w:r>
              <w:rPr>
                <w:bCs/>
                <w:spacing w:val="-3"/>
                <w:sz w:val="18"/>
                <w14:textOutline w14:w="4013" w14:cap="sq" w14:cmpd="sng" w14:algn="ctr">
                  <w14:solidFill>
                    <w14:srgbClr w14:val="000000"/>
                  </w14:solidFill>
                  <w14:prstDash w14:val="solid"/>
                  <w14:bevel/>
                </w14:textOutline>
              </w:rPr>
              <w:t>基本支出</w:t>
            </w:r>
          </w:p>
        </w:tc>
        <w:tc>
          <w:tcPr>
            <w:tcW w:w="655" w:type="pct"/>
            <w:shd w:val="clear" w:color="auto" w:fill="D8D8D8" w:themeFill="background1" w:themeFillShade="D9"/>
            <w:vAlign w:val="center"/>
          </w:tcPr>
          <w:p w14:paraId="46772BB9">
            <w:pPr>
              <w:pStyle w:val="493"/>
              <w:widowControl w:val="0"/>
              <w:overflowPunct w:val="0"/>
              <w:spacing w:line="408" w:lineRule="auto"/>
              <w:jc w:val="center"/>
              <w:rPr>
                <w:rFonts w:hint="eastAsia"/>
                <w:bCs/>
                <w:sz w:val="18"/>
              </w:rPr>
            </w:pPr>
            <w:r>
              <w:rPr>
                <w:bCs/>
                <w:spacing w:val="-4"/>
                <w:sz w:val="18"/>
                <w14:textOutline w14:w="4013" w14:cap="sq" w14:cmpd="sng" w14:algn="ctr">
                  <w14:solidFill>
                    <w14:srgbClr w14:val="000000"/>
                  </w14:solidFill>
                  <w14:prstDash w14:val="solid"/>
                  <w14:bevel/>
                </w14:textOutline>
              </w:rPr>
              <w:t>项目支出</w:t>
            </w:r>
          </w:p>
        </w:tc>
      </w:tr>
      <w:tr w14:paraId="4BF45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798" w:type="dxa"/>
            <w:vAlign w:val="center"/>
          </w:tcPr>
          <w:p w14:paraId="6482EA49">
            <w:pPr>
              <w:jc w:val="center"/>
              <w:textAlignment w:val="center"/>
              <w:rPr>
                <w:sz w:val="18"/>
                <w:lang w:eastAsia="zh-CN"/>
              </w:rPr>
            </w:pPr>
            <w:r>
              <w:rPr>
                <w:rFonts w:hint="eastAsia" w:ascii="仿宋" w:hAnsi="仿宋" w:eastAsia="仿宋" w:cs="仿宋"/>
                <w:sz w:val="18"/>
                <w:szCs w:val="18"/>
                <w:lang w:eastAsia="zh-CN" w:bidi="ar"/>
              </w:rPr>
              <w:t>一般公共预算财政拨款收入</w:t>
            </w:r>
          </w:p>
        </w:tc>
        <w:tc>
          <w:tcPr>
            <w:tcW w:w="1062" w:type="dxa"/>
            <w:vAlign w:val="center"/>
          </w:tcPr>
          <w:p w14:paraId="0D62D727">
            <w:pPr>
              <w:jc w:val="center"/>
              <w:textAlignment w:val="center"/>
              <w:rPr>
                <w:rFonts w:hint="eastAsia" w:ascii="仿宋" w:hAnsi="仿宋" w:eastAsia="仿宋" w:cs="仿宋"/>
                <w:color w:val="000000" w:themeColor="text1"/>
                <w:spacing w:val="-2"/>
                <w:sz w:val="18"/>
                <w:szCs w:val="22"/>
                <w14:textFill>
                  <w14:solidFill>
                    <w14:schemeClr w14:val="tx1"/>
                  </w14:solidFill>
                </w14:textFill>
              </w:rPr>
            </w:pPr>
            <w:r>
              <w:rPr>
                <w:rFonts w:hint="eastAsia" w:ascii="仿宋" w:hAnsi="仿宋" w:eastAsia="仿宋" w:cs="仿宋"/>
                <w:sz w:val="18"/>
                <w:szCs w:val="18"/>
                <w:lang w:eastAsia="zh-CN" w:bidi="ar"/>
              </w:rPr>
              <w:t>4110.17</w:t>
            </w:r>
          </w:p>
        </w:tc>
        <w:tc>
          <w:tcPr>
            <w:tcW w:w="987" w:type="dxa"/>
            <w:vAlign w:val="center"/>
          </w:tcPr>
          <w:p w14:paraId="23E4A479">
            <w:pPr>
              <w:jc w:val="center"/>
              <w:textAlignment w:val="center"/>
              <w:rPr>
                <w:rFonts w:hint="eastAsia" w:ascii="仿宋" w:hAnsi="仿宋" w:eastAsia="仿宋" w:cs="仿宋"/>
                <w:color w:val="000000" w:themeColor="text1"/>
                <w:spacing w:val="-2"/>
                <w:sz w:val="18"/>
                <w:szCs w:val="22"/>
                <w14:textFill>
                  <w14:solidFill>
                    <w14:schemeClr w14:val="tx1"/>
                  </w14:solidFill>
                </w14:textFill>
              </w:rPr>
            </w:pPr>
            <w:r>
              <w:rPr>
                <w:rFonts w:hint="eastAsia" w:ascii="仿宋" w:hAnsi="仿宋" w:eastAsia="仿宋" w:cs="仿宋"/>
                <w:sz w:val="18"/>
                <w:szCs w:val="18"/>
                <w:lang w:eastAsia="zh-CN" w:bidi="ar"/>
              </w:rPr>
              <w:t>566.33</w:t>
            </w:r>
          </w:p>
        </w:tc>
        <w:tc>
          <w:tcPr>
            <w:tcW w:w="1178" w:type="dxa"/>
            <w:vAlign w:val="center"/>
          </w:tcPr>
          <w:p w14:paraId="15867D5E">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4676.5</w:t>
            </w:r>
          </w:p>
        </w:tc>
        <w:tc>
          <w:tcPr>
            <w:tcW w:w="1380" w:type="dxa"/>
            <w:vAlign w:val="center"/>
          </w:tcPr>
          <w:p w14:paraId="63843698">
            <w:pPr>
              <w:jc w:val="center"/>
              <w:textAlignment w:val="center"/>
              <w:rPr>
                <w:color w:val="000000" w:themeColor="text1"/>
                <w:sz w:val="18"/>
                <w:lang w:eastAsia="zh-CN"/>
                <w14:textFill>
                  <w14:solidFill>
                    <w14:schemeClr w14:val="tx1"/>
                  </w14:solidFill>
                </w14:textFill>
              </w:rPr>
            </w:pPr>
            <w:r>
              <w:rPr>
                <w:rFonts w:hint="eastAsia" w:ascii="仿宋" w:hAnsi="仿宋" w:eastAsia="仿宋" w:cs="仿宋"/>
                <w:sz w:val="18"/>
                <w:szCs w:val="18"/>
                <w:lang w:eastAsia="zh-CN" w:bidi="ar"/>
              </w:rPr>
              <w:t>273.16</w:t>
            </w:r>
          </w:p>
        </w:tc>
        <w:tc>
          <w:tcPr>
            <w:tcW w:w="1118" w:type="dxa"/>
            <w:vAlign w:val="center"/>
          </w:tcPr>
          <w:p w14:paraId="622F4EF1">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4403.51</w:t>
            </w:r>
          </w:p>
        </w:tc>
      </w:tr>
      <w:tr w14:paraId="751B6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2798" w:type="dxa"/>
            <w:vAlign w:val="center"/>
          </w:tcPr>
          <w:p w14:paraId="77FBD378">
            <w:pPr>
              <w:jc w:val="center"/>
              <w:textAlignment w:val="center"/>
              <w:rPr>
                <w:sz w:val="18"/>
                <w:lang w:eastAsia="zh-CN"/>
              </w:rPr>
            </w:pPr>
            <w:r>
              <w:rPr>
                <w:rFonts w:hint="eastAsia" w:ascii="仿宋" w:hAnsi="仿宋" w:eastAsia="仿宋" w:cs="仿宋"/>
                <w:sz w:val="18"/>
                <w:szCs w:val="18"/>
                <w:lang w:eastAsia="zh-CN" w:bidi="ar"/>
              </w:rPr>
              <w:t>政府性基金预算财政拨款收入</w:t>
            </w:r>
          </w:p>
        </w:tc>
        <w:tc>
          <w:tcPr>
            <w:tcW w:w="1062" w:type="dxa"/>
            <w:vAlign w:val="center"/>
          </w:tcPr>
          <w:p w14:paraId="12EC99E2">
            <w:pPr>
              <w:jc w:val="center"/>
              <w:textAlignment w:val="center"/>
              <w:rPr>
                <w:rFonts w:hint="eastAsia" w:ascii="仿宋" w:hAnsi="仿宋" w:eastAsia="仿宋" w:cs="仿宋"/>
                <w:color w:val="000000" w:themeColor="text1"/>
                <w:spacing w:val="-2"/>
                <w:sz w:val="18"/>
                <w:szCs w:val="22"/>
                <w14:textFill>
                  <w14:solidFill>
                    <w14:schemeClr w14:val="tx1"/>
                  </w14:solidFill>
                </w14:textFill>
              </w:rPr>
            </w:pPr>
            <w:r>
              <w:rPr>
                <w:rFonts w:hint="eastAsia" w:ascii="仿宋" w:hAnsi="仿宋" w:eastAsia="仿宋" w:cs="仿宋"/>
                <w:sz w:val="18"/>
                <w:szCs w:val="18"/>
                <w:lang w:eastAsia="zh-CN" w:bidi="ar"/>
              </w:rPr>
              <w:t>0</w:t>
            </w:r>
          </w:p>
        </w:tc>
        <w:tc>
          <w:tcPr>
            <w:tcW w:w="987" w:type="dxa"/>
            <w:vAlign w:val="center"/>
          </w:tcPr>
          <w:p w14:paraId="19D82D2C">
            <w:pPr>
              <w:jc w:val="center"/>
              <w:textAlignment w:val="center"/>
              <w:rPr>
                <w:rFonts w:hint="eastAsia" w:ascii="仿宋" w:hAnsi="仿宋" w:eastAsia="仿宋" w:cs="仿宋"/>
                <w:color w:val="000000" w:themeColor="text1"/>
                <w:spacing w:val="-2"/>
                <w:sz w:val="18"/>
                <w:szCs w:val="22"/>
                <w14:textFill>
                  <w14:solidFill>
                    <w14:schemeClr w14:val="tx1"/>
                  </w14:solidFill>
                </w14:textFill>
              </w:rPr>
            </w:pPr>
            <w:r>
              <w:rPr>
                <w:rFonts w:hint="eastAsia" w:ascii="仿宋" w:hAnsi="仿宋" w:eastAsia="仿宋" w:cs="仿宋"/>
                <w:sz w:val="18"/>
                <w:szCs w:val="18"/>
                <w:lang w:eastAsia="zh-CN" w:bidi="ar"/>
              </w:rPr>
              <w:t>0</w:t>
            </w:r>
          </w:p>
        </w:tc>
        <w:tc>
          <w:tcPr>
            <w:tcW w:w="1178" w:type="dxa"/>
            <w:vAlign w:val="center"/>
          </w:tcPr>
          <w:p w14:paraId="1549C20F">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0</w:t>
            </w:r>
          </w:p>
        </w:tc>
        <w:tc>
          <w:tcPr>
            <w:tcW w:w="1380" w:type="dxa"/>
            <w:vAlign w:val="center"/>
          </w:tcPr>
          <w:p w14:paraId="49A68174">
            <w:pPr>
              <w:jc w:val="center"/>
              <w:textAlignment w:val="center"/>
              <w:rPr>
                <w:rFonts w:hint="eastAsia" w:ascii="仿宋" w:hAnsi="仿宋" w:eastAsia="仿宋"/>
                <w:color w:val="000000" w:themeColor="text1"/>
                <w:sz w:val="18"/>
                <w14:textFill>
                  <w14:solidFill>
                    <w14:schemeClr w14:val="tx1"/>
                  </w14:solidFill>
                </w14:textFill>
              </w:rPr>
            </w:pPr>
            <w:r>
              <w:rPr>
                <w:rFonts w:hint="eastAsia" w:ascii="仿宋" w:hAnsi="仿宋" w:eastAsia="仿宋" w:cs="仿宋"/>
                <w:sz w:val="18"/>
                <w:szCs w:val="18"/>
                <w:lang w:eastAsia="zh-CN" w:bidi="ar"/>
              </w:rPr>
              <w:t>0</w:t>
            </w:r>
          </w:p>
        </w:tc>
        <w:tc>
          <w:tcPr>
            <w:tcW w:w="1118" w:type="dxa"/>
            <w:vAlign w:val="center"/>
          </w:tcPr>
          <w:p w14:paraId="13C12E56">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0</w:t>
            </w:r>
          </w:p>
        </w:tc>
      </w:tr>
      <w:tr w14:paraId="7A510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98" w:type="dxa"/>
            <w:vAlign w:val="center"/>
          </w:tcPr>
          <w:p w14:paraId="368B5BCA">
            <w:pPr>
              <w:jc w:val="center"/>
              <w:textAlignment w:val="center"/>
              <w:rPr>
                <w:sz w:val="18"/>
                <w:lang w:eastAsia="zh-CN"/>
              </w:rPr>
            </w:pPr>
            <w:r>
              <w:rPr>
                <w:rFonts w:hint="eastAsia" w:ascii="仿宋" w:hAnsi="仿宋" w:eastAsia="仿宋" w:cs="仿宋"/>
                <w:sz w:val="18"/>
                <w:szCs w:val="18"/>
                <w:lang w:eastAsia="zh-CN" w:bidi="ar"/>
              </w:rPr>
              <w:t>国有资本经营预算财政拨款收入</w:t>
            </w:r>
          </w:p>
        </w:tc>
        <w:tc>
          <w:tcPr>
            <w:tcW w:w="1062" w:type="dxa"/>
            <w:vAlign w:val="center"/>
          </w:tcPr>
          <w:p w14:paraId="1B4D1A71">
            <w:pPr>
              <w:jc w:val="center"/>
              <w:textAlignment w:val="center"/>
              <w:rPr>
                <w:rFonts w:hint="eastAsia" w:ascii="仿宋" w:hAnsi="仿宋" w:eastAsia="仿宋" w:cs="仿宋"/>
                <w:color w:val="000000" w:themeColor="text1"/>
                <w:spacing w:val="-2"/>
                <w:sz w:val="18"/>
                <w:szCs w:val="22"/>
                <w14:textFill>
                  <w14:solidFill>
                    <w14:schemeClr w14:val="tx1"/>
                  </w14:solidFill>
                </w14:textFill>
              </w:rPr>
            </w:pPr>
            <w:r>
              <w:rPr>
                <w:rFonts w:hint="eastAsia" w:ascii="仿宋" w:hAnsi="仿宋" w:eastAsia="仿宋" w:cs="仿宋"/>
                <w:sz w:val="18"/>
                <w:szCs w:val="18"/>
                <w:lang w:eastAsia="zh-CN" w:bidi="ar"/>
              </w:rPr>
              <w:t>0</w:t>
            </w:r>
          </w:p>
        </w:tc>
        <w:tc>
          <w:tcPr>
            <w:tcW w:w="987" w:type="dxa"/>
            <w:vAlign w:val="center"/>
          </w:tcPr>
          <w:p w14:paraId="77FC3485">
            <w:pPr>
              <w:jc w:val="center"/>
              <w:textAlignment w:val="center"/>
              <w:rPr>
                <w:rFonts w:hint="eastAsia" w:ascii="仿宋" w:hAnsi="仿宋" w:eastAsia="仿宋" w:cs="仿宋"/>
                <w:color w:val="000000" w:themeColor="text1"/>
                <w:spacing w:val="-2"/>
                <w:sz w:val="18"/>
                <w:szCs w:val="22"/>
                <w14:textFill>
                  <w14:solidFill>
                    <w14:schemeClr w14:val="tx1"/>
                  </w14:solidFill>
                </w14:textFill>
              </w:rPr>
            </w:pPr>
            <w:r>
              <w:rPr>
                <w:rFonts w:hint="eastAsia" w:ascii="仿宋" w:hAnsi="仿宋" w:eastAsia="仿宋" w:cs="仿宋"/>
                <w:sz w:val="18"/>
                <w:szCs w:val="18"/>
                <w:lang w:eastAsia="zh-CN" w:bidi="ar"/>
              </w:rPr>
              <w:t>0</w:t>
            </w:r>
          </w:p>
        </w:tc>
        <w:tc>
          <w:tcPr>
            <w:tcW w:w="1178" w:type="dxa"/>
            <w:vAlign w:val="center"/>
          </w:tcPr>
          <w:p w14:paraId="2177B97F">
            <w:pPr>
              <w:jc w:val="center"/>
              <w:textAlignment w:val="center"/>
              <w:rPr>
                <w:rFonts w:hint="eastAsia" w:ascii="仿宋" w:hAnsi="仿宋" w:eastAsia="仿宋" w:cs="仿宋"/>
                <w:color w:val="000000" w:themeColor="text1"/>
                <w:spacing w:val="-2"/>
                <w:sz w:val="18"/>
                <w:szCs w:val="22"/>
                <w14:textFill>
                  <w14:solidFill>
                    <w14:schemeClr w14:val="tx1"/>
                  </w14:solidFill>
                </w14:textFill>
              </w:rPr>
            </w:pPr>
            <w:r>
              <w:rPr>
                <w:rFonts w:hint="eastAsia" w:ascii="仿宋" w:hAnsi="仿宋" w:eastAsia="仿宋" w:cs="仿宋"/>
                <w:sz w:val="18"/>
                <w:szCs w:val="18"/>
                <w:lang w:eastAsia="zh-CN" w:bidi="ar"/>
              </w:rPr>
              <w:t>0</w:t>
            </w:r>
          </w:p>
        </w:tc>
        <w:tc>
          <w:tcPr>
            <w:tcW w:w="1380" w:type="dxa"/>
            <w:vAlign w:val="center"/>
          </w:tcPr>
          <w:p w14:paraId="0913F543">
            <w:pPr>
              <w:jc w:val="center"/>
              <w:textAlignment w:val="center"/>
              <w:rPr>
                <w:rFonts w:hint="eastAsia" w:ascii="仿宋" w:hAnsi="仿宋" w:eastAsia="仿宋"/>
                <w:color w:val="000000" w:themeColor="text1"/>
                <w:sz w:val="18"/>
                <w14:textFill>
                  <w14:solidFill>
                    <w14:schemeClr w14:val="tx1"/>
                  </w14:solidFill>
                </w14:textFill>
              </w:rPr>
            </w:pPr>
            <w:r>
              <w:rPr>
                <w:rFonts w:hint="eastAsia" w:ascii="仿宋" w:hAnsi="仿宋" w:eastAsia="仿宋" w:cs="仿宋"/>
                <w:sz w:val="18"/>
                <w:szCs w:val="18"/>
                <w:lang w:eastAsia="zh-CN" w:bidi="ar"/>
              </w:rPr>
              <w:t>0</w:t>
            </w:r>
          </w:p>
        </w:tc>
        <w:tc>
          <w:tcPr>
            <w:tcW w:w="1118" w:type="dxa"/>
            <w:vAlign w:val="center"/>
          </w:tcPr>
          <w:p w14:paraId="5DB4C0B0">
            <w:pPr>
              <w:jc w:val="center"/>
              <w:textAlignment w:val="center"/>
              <w:rPr>
                <w:rFonts w:hint="eastAsia" w:ascii="仿宋" w:hAnsi="仿宋" w:eastAsia="仿宋" w:cs="仿宋"/>
                <w:color w:val="000000" w:themeColor="text1"/>
                <w:spacing w:val="-2"/>
                <w:sz w:val="18"/>
                <w:szCs w:val="22"/>
                <w14:textFill>
                  <w14:solidFill>
                    <w14:schemeClr w14:val="tx1"/>
                  </w14:solidFill>
                </w14:textFill>
              </w:rPr>
            </w:pPr>
            <w:r>
              <w:rPr>
                <w:rFonts w:hint="eastAsia" w:ascii="仿宋" w:hAnsi="仿宋" w:eastAsia="仿宋" w:cs="仿宋"/>
                <w:sz w:val="18"/>
                <w:szCs w:val="18"/>
                <w:lang w:eastAsia="zh-CN" w:bidi="ar"/>
              </w:rPr>
              <w:t>0</w:t>
            </w:r>
          </w:p>
        </w:tc>
      </w:tr>
      <w:tr w14:paraId="753F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798" w:type="dxa"/>
            <w:vAlign w:val="center"/>
          </w:tcPr>
          <w:p w14:paraId="116E033E">
            <w:pPr>
              <w:jc w:val="center"/>
              <w:textAlignment w:val="center"/>
              <w:rPr>
                <w:sz w:val="18"/>
              </w:rPr>
            </w:pPr>
            <w:r>
              <w:rPr>
                <w:rFonts w:hint="eastAsia" w:ascii="仿宋" w:hAnsi="仿宋" w:eastAsia="仿宋" w:cs="仿宋"/>
                <w:sz w:val="18"/>
                <w:szCs w:val="18"/>
                <w:lang w:eastAsia="zh-CN" w:bidi="ar"/>
              </w:rPr>
              <w:t>其他收入</w:t>
            </w:r>
          </w:p>
        </w:tc>
        <w:tc>
          <w:tcPr>
            <w:tcW w:w="1062" w:type="dxa"/>
            <w:vAlign w:val="center"/>
          </w:tcPr>
          <w:p w14:paraId="447F12E7">
            <w:pPr>
              <w:jc w:val="center"/>
              <w:textAlignment w:val="center"/>
              <w:rPr>
                <w:rFonts w:hint="eastAsia" w:ascii="仿宋" w:hAnsi="仿宋" w:eastAsia="仿宋" w:cs="仿宋"/>
                <w:color w:val="000000" w:themeColor="text1"/>
                <w:spacing w:val="-2"/>
                <w:sz w:val="18"/>
                <w:szCs w:val="22"/>
                <w14:textFill>
                  <w14:solidFill>
                    <w14:schemeClr w14:val="tx1"/>
                  </w14:solidFill>
                </w14:textFill>
              </w:rPr>
            </w:pPr>
            <w:r>
              <w:rPr>
                <w:rFonts w:hint="eastAsia" w:ascii="仿宋" w:hAnsi="仿宋" w:eastAsia="仿宋" w:cs="仿宋"/>
                <w:sz w:val="18"/>
                <w:szCs w:val="18"/>
                <w:lang w:eastAsia="zh-CN" w:bidi="ar"/>
              </w:rPr>
              <w:t>0</w:t>
            </w:r>
          </w:p>
        </w:tc>
        <w:tc>
          <w:tcPr>
            <w:tcW w:w="987" w:type="dxa"/>
            <w:vAlign w:val="center"/>
          </w:tcPr>
          <w:p w14:paraId="5A04F64B">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0.17</w:t>
            </w:r>
          </w:p>
        </w:tc>
        <w:tc>
          <w:tcPr>
            <w:tcW w:w="1178" w:type="dxa"/>
            <w:vAlign w:val="center"/>
          </w:tcPr>
          <w:p w14:paraId="0B6974F0">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0.17</w:t>
            </w:r>
          </w:p>
        </w:tc>
        <w:tc>
          <w:tcPr>
            <w:tcW w:w="1380" w:type="dxa"/>
            <w:vAlign w:val="center"/>
          </w:tcPr>
          <w:p w14:paraId="67B7DEEC">
            <w:pPr>
              <w:jc w:val="center"/>
              <w:textAlignment w:val="center"/>
              <w:rPr>
                <w:rFonts w:hint="eastAsia" w:ascii="仿宋" w:hAnsi="仿宋" w:eastAsia="仿宋"/>
                <w:color w:val="000000" w:themeColor="text1"/>
                <w:sz w:val="18"/>
                <w14:textFill>
                  <w14:solidFill>
                    <w14:schemeClr w14:val="tx1"/>
                  </w14:solidFill>
                </w14:textFill>
              </w:rPr>
            </w:pPr>
            <w:r>
              <w:rPr>
                <w:rFonts w:hint="eastAsia" w:ascii="仿宋" w:hAnsi="仿宋" w:eastAsia="仿宋" w:cs="仿宋"/>
                <w:sz w:val="18"/>
                <w:szCs w:val="18"/>
                <w:lang w:eastAsia="zh-CN" w:bidi="ar"/>
              </w:rPr>
              <w:t>0</w:t>
            </w:r>
          </w:p>
        </w:tc>
        <w:tc>
          <w:tcPr>
            <w:tcW w:w="1118" w:type="dxa"/>
            <w:vAlign w:val="center"/>
          </w:tcPr>
          <w:p w14:paraId="13EFE55E">
            <w:pPr>
              <w:jc w:val="center"/>
              <w:textAlignment w:val="center"/>
              <w:rPr>
                <w:rFonts w:hint="eastAsia" w:ascii="仿宋" w:hAnsi="仿宋" w:eastAsia="仿宋" w:cs="仿宋"/>
                <w:color w:val="000000" w:themeColor="text1"/>
                <w:spacing w:val="-2"/>
                <w:sz w:val="18"/>
                <w:szCs w:val="22"/>
                <w14:textFill>
                  <w14:solidFill>
                    <w14:schemeClr w14:val="tx1"/>
                  </w14:solidFill>
                </w14:textFill>
              </w:rPr>
            </w:pPr>
            <w:r>
              <w:rPr>
                <w:rFonts w:hint="eastAsia" w:ascii="仿宋" w:hAnsi="仿宋" w:eastAsia="仿宋" w:cs="仿宋"/>
                <w:sz w:val="18"/>
                <w:szCs w:val="18"/>
                <w:lang w:eastAsia="zh-CN" w:bidi="ar"/>
              </w:rPr>
              <w:t>0</w:t>
            </w:r>
          </w:p>
        </w:tc>
      </w:tr>
      <w:tr w14:paraId="5E17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2798" w:type="dxa"/>
            <w:vAlign w:val="center"/>
          </w:tcPr>
          <w:p w14:paraId="100710ED">
            <w:pPr>
              <w:jc w:val="center"/>
              <w:textAlignment w:val="center"/>
              <w:rPr>
                <w:spacing w:val="-4"/>
                <w:sz w:val="18"/>
              </w:rPr>
            </w:pPr>
            <w:r>
              <w:rPr>
                <w:rFonts w:hint="eastAsia" w:ascii="仿宋" w:hAnsi="仿宋" w:eastAsia="仿宋" w:cs="仿宋"/>
                <w:sz w:val="18"/>
                <w:szCs w:val="18"/>
                <w:lang w:eastAsia="zh-CN" w:bidi="ar"/>
              </w:rPr>
              <w:t>年初结转和结余</w:t>
            </w:r>
          </w:p>
        </w:tc>
        <w:tc>
          <w:tcPr>
            <w:tcW w:w="1062" w:type="dxa"/>
            <w:vAlign w:val="center"/>
          </w:tcPr>
          <w:p w14:paraId="7A20FCA1">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0</w:t>
            </w:r>
          </w:p>
        </w:tc>
        <w:tc>
          <w:tcPr>
            <w:tcW w:w="987" w:type="dxa"/>
            <w:vAlign w:val="center"/>
          </w:tcPr>
          <w:p w14:paraId="5E88B6F4">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1.27</w:t>
            </w:r>
          </w:p>
        </w:tc>
        <w:tc>
          <w:tcPr>
            <w:tcW w:w="1178" w:type="dxa"/>
            <w:vAlign w:val="center"/>
          </w:tcPr>
          <w:p w14:paraId="3DDFA241">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1.27</w:t>
            </w:r>
          </w:p>
        </w:tc>
        <w:tc>
          <w:tcPr>
            <w:tcW w:w="1380" w:type="dxa"/>
            <w:vAlign w:val="center"/>
          </w:tcPr>
          <w:p w14:paraId="47607BDE">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1.27</w:t>
            </w:r>
          </w:p>
        </w:tc>
        <w:tc>
          <w:tcPr>
            <w:tcW w:w="1118" w:type="dxa"/>
            <w:vAlign w:val="center"/>
          </w:tcPr>
          <w:p w14:paraId="5B7CCED6">
            <w:pPr>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sz w:val="18"/>
                <w:szCs w:val="18"/>
                <w:lang w:eastAsia="zh-CN" w:bidi="ar"/>
              </w:rPr>
              <w:t>0</w:t>
            </w:r>
          </w:p>
        </w:tc>
      </w:tr>
      <w:tr w14:paraId="0EE6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2798" w:type="dxa"/>
            <w:vAlign w:val="center"/>
          </w:tcPr>
          <w:p w14:paraId="50BD9F0D">
            <w:pPr>
              <w:jc w:val="center"/>
              <w:textAlignment w:val="center"/>
              <w:rPr>
                <w:sz w:val="18"/>
              </w:rPr>
            </w:pPr>
            <w:r>
              <w:rPr>
                <w:rFonts w:hint="eastAsia" w:ascii="仿宋" w:hAnsi="仿宋" w:eastAsia="仿宋" w:cs="仿宋"/>
                <w:b/>
                <w:bCs/>
                <w:sz w:val="18"/>
                <w:szCs w:val="18"/>
                <w:lang w:eastAsia="zh-CN" w:bidi="ar"/>
              </w:rPr>
              <w:t>收入合计</w:t>
            </w:r>
          </w:p>
        </w:tc>
        <w:tc>
          <w:tcPr>
            <w:tcW w:w="1062" w:type="dxa"/>
            <w:vAlign w:val="center"/>
          </w:tcPr>
          <w:p w14:paraId="158B8AB2">
            <w:pPr>
              <w:jc w:val="center"/>
              <w:textAlignment w:val="center"/>
              <w:rPr>
                <w:color w:val="000000" w:themeColor="text1"/>
                <w:sz w:val="18"/>
                <w:lang w:eastAsia="zh-CN"/>
                <w14:textFill>
                  <w14:solidFill>
                    <w14:schemeClr w14:val="tx1"/>
                  </w14:solidFill>
                </w14:textFill>
              </w:rPr>
            </w:pPr>
            <w:r>
              <w:rPr>
                <w:rFonts w:hint="eastAsia" w:ascii="仿宋" w:hAnsi="仿宋" w:eastAsia="仿宋" w:cs="仿宋"/>
                <w:b/>
                <w:bCs/>
                <w:sz w:val="18"/>
                <w:szCs w:val="18"/>
                <w:lang w:eastAsia="zh-CN" w:bidi="ar"/>
              </w:rPr>
              <w:t>4110.17</w:t>
            </w:r>
          </w:p>
        </w:tc>
        <w:tc>
          <w:tcPr>
            <w:tcW w:w="987" w:type="dxa"/>
            <w:vAlign w:val="center"/>
          </w:tcPr>
          <w:p w14:paraId="25548164">
            <w:pPr>
              <w:jc w:val="center"/>
              <w:textAlignment w:val="center"/>
              <w:rPr>
                <w:color w:val="000000" w:themeColor="text1"/>
                <w:sz w:val="18"/>
                <w:lang w:eastAsia="zh-CN"/>
                <w14:textFill>
                  <w14:solidFill>
                    <w14:schemeClr w14:val="tx1"/>
                  </w14:solidFill>
                </w14:textFill>
              </w:rPr>
            </w:pPr>
            <w:r>
              <w:rPr>
                <w:rFonts w:hint="eastAsia" w:ascii="仿宋" w:hAnsi="仿宋" w:eastAsia="仿宋" w:cs="仿宋"/>
                <w:b/>
                <w:bCs/>
                <w:sz w:val="18"/>
                <w:szCs w:val="18"/>
                <w:lang w:eastAsia="zh-CN" w:bidi="ar"/>
              </w:rPr>
              <w:t>567.77</w:t>
            </w:r>
          </w:p>
        </w:tc>
        <w:tc>
          <w:tcPr>
            <w:tcW w:w="1178" w:type="dxa"/>
            <w:vAlign w:val="center"/>
          </w:tcPr>
          <w:p w14:paraId="35F4B20B">
            <w:pPr>
              <w:jc w:val="center"/>
              <w:textAlignment w:val="center"/>
              <w:rPr>
                <w:rFonts w:hint="eastAsia" w:ascii="仿宋" w:hAnsi="仿宋" w:eastAsia="仿宋" w:cs="宋体"/>
                <w:color w:val="000000" w:themeColor="text1"/>
                <w:sz w:val="18"/>
                <w:szCs w:val="22"/>
                <w:lang w:eastAsia="zh-CN"/>
                <w14:textFill>
                  <w14:solidFill>
                    <w14:schemeClr w14:val="tx1"/>
                  </w14:solidFill>
                </w14:textFill>
              </w:rPr>
            </w:pPr>
            <w:r>
              <w:rPr>
                <w:rFonts w:hint="eastAsia" w:ascii="仿宋" w:hAnsi="仿宋" w:eastAsia="仿宋" w:cs="仿宋"/>
                <w:b/>
                <w:bCs/>
                <w:sz w:val="18"/>
                <w:szCs w:val="18"/>
                <w:lang w:eastAsia="zh-CN" w:bidi="ar"/>
              </w:rPr>
              <w:t>4677.94</w:t>
            </w:r>
          </w:p>
        </w:tc>
        <w:tc>
          <w:tcPr>
            <w:tcW w:w="1380" w:type="dxa"/>
            <w:vAlign w:val="center"/>
          </w:tcPr>
          <w:p w14:paraId="075F2C3D">
            <w:pPr>
              <w:jc w:val="center"/>
              <w:textAlignment w:val="center"/>
              <w:rPr>
                <w:color w:val="000000" w:themeColor="text1"/>
                <w:sz w:val="18"/>
                <w:lang w:eastAsia="zh-CN"/>
                <w14:textFill>
                  <w14:solidFill>
                    <w14:schemeClr w14:val="tx1"/>
                  </w14:solidFill>
                </w14:textFill>
              </w:rPr>
            </w:pPr>
            <w:r>
              <w:rPr>
                <w:rFonts w:hint="eastAsia" w:ascii="仿宋" w:hAnsi="仿宋" w:eastAsia="仿宋" w:cs="仿宋"/>
                <w:b/>
                <w:bCs/>
                <w:sz w:val="18"/>
                <w:szCs w:val="18"/>
                <w:lang w:eastAsia="zh-CN" w:bidi="ar"/>
              </w:rPr>
              <w:t>274.43</w:t>
            </w:r>
          </w:p>
        </w:tc>
        <w:tc>
          <w:tcPr>
            <w:tcW w:w="1118" w:type="dxa"/>
            <w:vAlign w:val="center"/>
          </w:tcPr>
          <w:p w14:paraId="6930C446">
            <w:pPr>
              <w:jc w:val="center"/>
              <w:textAlignment w:val="center"/>
              <w:rPr>
                <w:color w:val="000000" w:themeColor="text1"/>
                <w:spacing w:val="-2"/>
                <w:sz w:val="18"/>
                <w:lang w:eastAsia="zh-CN"/>
                <w14:textFill>
                  <w14:solidFill>
                    <w14:schemeClr w14:val="tx1"/>
                  </w14:solidFill>
                </w14:textFill>
              </w:rPr>
            </w:pPr>
            <w:r>
              <w:rPr>
                <w:rFonts w:hint="eastAsia" w:ascii="仿宋" w:hAnsi="仿宋" w:eastAsia="仿宋" w:cs="仿宋"/>
                <w:b/>
                <w:bCs/>
                <w:sz w:val="18"/>
                <w:szCs w:val="18"/>
                <w:lang w:eastAsia="zh-CN" w:bidi="ar"/>
              </w:rPr>
              <w:t>4403.51</w:t>
            </w:r>
          </w:p>
        </w:tc>
      </w:tr>
    </w:tbl>
    <w:p w14:paraId="40A44345">
      <w:pPr>
        <w:widowControl w:val="0"/>
        <w:overflowPunct w:val="0"/>
        <w:snapToGrid/>
        <w:spacing w:line="408" w:lineRule="auto"/>
        <w:ind w:firstLine="552" w:firstLineChars="200"/>
        <w:jc w:val="both"/>
        <w:outlineLvl w:val="2"/>
        <w:rPr>
          <w:rFonts w:hint="eastAsia" w:ascii="仿宋" w:hAnsi="仿宋" w:eastAsia="仿宋" w:cs="仿宋"/>
          <w:color w:val="auto"/>
          <w:spacing w:val="-2"/>
          <w:sz w:val="28"/>
          <w:szCs w:val="28"/>
          <w:lang w:eastAsia="zh-CN"/>
        </w:rPr>
      </w:pPr>
      <w:bookmarkStart w:id="78" w:name="bookmark11"/>
      <w:bookmarkEnd w:id="78"/>
      <w:bookmarkStart w:id="79" w:name="_Toc23306"/>
      <w:bookmarkStart w:id="80" w:name="_Toc18498"/>
      <w:bookmarkStart w:id="81" w:name="_Toc14272"/>
      <w:bookmarkStart w:id="82" w:name="_Toc2015"/>
      <w:bookmarkStart w:id="83" w:name="_Toc15086"/>
      <w:bookmarkStart w:id="84" w:name="_Toc29356"/>
      <w:r>
        <w:rPr>
          <w:rFonts w:hint="eastAsia" w:ascii="仿宋" w:hAnsi="仿宋" w:eastAsia="仿宋" w:cs="仿宋"/>
          <w:color w:val="auto"/>
          <w:spacing w:val="-2"/>
          <w:sz w:val="28"/>
          <w:szCs w:val="28"/>
          <w:lang w:eastAsia="zh-CN"/>
        </w:rPr>
        <w:t>4.资金预算执行情况</w:t>
      </w:r>
      <w:bookmarkEnd w:id="79"/>
      <w:bookmarkEnd w:id="80"/>
      <w:bookmarkEnd w:id="81"/>
      <w:bookmarkEnd w:id="82"/>
      <w:bookmarkEnd w:id="83"/>
      <w:bookmarkEnd w:id="84"/>
    </w:p>
    <w:p w14:paraId="78B57C37">
      <w:pPr>
        <w:widowControl w:val="0"/>
        <w:overflowPunct w:val="0"/>
        <w:snapToGrid/>
        <w:spacing w:line="408" w:lineRule="auto"/>
        <w:ind w:firstLine="552" w:firstLineChars="200"/>
        <w:rPr>
          <w:rFonts w:hint="eastAsia" w:ascii="仿宋" w:hAnsi="仿宋" w:eastAsia="仿宋" w:cs="仿宋"/>
          <w:color w:val="auto"/>
          <w:spacing w:val="-2"/>
          <w:sz w:val="28"/>
          <w:szCs w:val="28"/>
          <w:lang w:eastAsia="zh-CN"/>
        </w:rPr>
      </w:pPr>
      <w:r>
        <w:rPr>
          <w:rFonts w:hint="eastAsia" w:ascii="仿宋" w:hAnsi="仿宋" w:eastAsia="仿宋" w:cs="仿宋"/>
          <w:color w:val="auto"/>
          <w:spacing w:val="-2"/>
          <w:sz w:val="28"/>
          <w:szCs w:val="28"/>
          <w:lang w:eastAsia="zh-CN"/>
        </w:rPr>
        <w:t>根据2024年部门决算报表，2024年预算支出4677.94万元，实际支出4677.94万元。其中，基本支出272.9万元，项目支出4403.5万元，当年预算执行率为99.99%。2024年部门预算执行详见下表6：</w:t>
      </w:r>
      <w:bookmarkStart w:id="85" w:name="_Toc22187"/>
    </w:p>
    <w:p w14:paraId="656B3520">
      <w:pPr>
        <w:widowControl w:val="0"/>
        <w:overflowPunct w:val="0"/>
        <w:spacing w:line="408" w:lineRule="auto"/>
        <w:jc w:val="center"/>
        <w:rPr>
          <w:rFonts w:hint="eastAsia" w:ascii="仿宋" w:hAnsi="仿宋" w:eastAsia="仿宋" w:cs="仿宋"/>
          <w:bCs/>
          <w:sz w:val="24"/>
          <w:szCs w:val="24"/>
          <w:lang w:eastAsia="zh-CN"/>
        </w:rPr>
      </w:pPr>
      <w:r>
        <w:rPr>
          <w:rFonts w:ascii="仿宋" w:hAnsi="仿宋" w:eastAsia="仿宋" w:cs="仿宋"/>
          <w:bCs/>
          <w:spacing w:val="-2"/>
          <w:sz w:val="24"/>
          <w:szCs w:val="24"/>
          <w:lang w:eastAsia="zh-CN"/>
          <w14:textOutline w14:w="5105" w14:cap="sq" w14:cmpd="sng" w14:algn="ctr">
            <w14:solidFill>
              <w14:srgbClr w14:val="000000"/>
            </w14:solidFill>
            <w14:prstDash w14:val="solid"/>
            <w14:bevel/>
          </w14:textOutline>
        </w:rPr>
        <w:t>表</w:t>
      </w:r>
      <w:r>
        <w:rPr>
          <w:rFonts w:hint="eastAsia" w:ascii="仿宋" w:hAnsi="仿宋" w:eastAsia="仿宋" w:cs="仿宋"/>
          <w:bCs/>
          <w:spacing w:val="-2"/>
          <w:sz w:val="24"/>
          <w:szCs w:val="24"/>
          <w:lang w:eastAsia="zh-CN"/>
          <w14:textOutline w14:w="5105" w14:cap="sq" w14:cmpd="sng" w14:algn="ctr">
            <w14:solidFill>
              <w14:srgbClr w14:val="000000"/>
            </w14:solidFill>
            <w14:prstDash w14:val="solid"/>
            <w14:bevel/>
          </w14:textOutline>
        </w:rPr>
        <w:t>6   石狮市退役军人事务局2024年</w:t>
      </w:r>
      <w:r>
        <w:rPr>
          <w:rFonts w:ascii="仿宋" w:hAnsi="仿宋" w:eastAsia="仿宋" w:cs="仿宋"/>
          <w:bCs/>
          <w:spacing w:val="-2"/>
          <w:sz w:val="24"/>
          <w:szCs w:val="24"/>
          <w:lang w:eastAsia="zh-CN"/>
          <w14:textOutline w14:w="5105" w14:cap="sq" w14:cmpd="sng" w14:algn="ctr">
            <w14:solidFill>
              <w14:srgbClr w14:val="000000"/>
            </w14:solidFill>
            <w14:prstDash w14:val="solid"/>
            <w14:bevel/>
          </w14:textOutline>
        </w:rPr>
        <w:t>部门预算执行情况</w:t>
      </w:r>
      <w:bookmarkEnd w:id="85"/>
    </w:p>
    <w:p w14:paraId="5CE2033C">
      <w:pPr>
        <w:widowControl w:val="0"/>
        <w:overflowPunct w:val="0"/>
        <w:ind w:firstLine="556"/>
        <w:jc w:val="right"/>
        <w:rPr>
          <w:rFonts w:hint="eastAsia" w:ascii="仿宋" w:hAnsi="仿宋" w:eastAsia="仿宋"/>
          <w:bCs/>
          <w:color w:val="auto"/>
        </w:rPr>
      </w:pPr>
      <w:r>
        <w:rPr>
          <w:rFonts w:ascii="仿宋" w:hAnsi="仿宋" w:eastAsia="仿宋" w:cs="仿宋"/>
          <w:bCs/>
          <w:spacing w:val="-2"/>
          <w14:textOutline w14:w="5105" w14:cap="sq" w14:cmpd="sng" w14:algn="ctr">
            <w14:solidFill>
              <w14:srgbClr w14:val="000000"/>
            </w14:solidFill>
            <w14:prstDash w14:val="solid"/>
            <w14:bevel/>
          </w14:textOutline>
        </w:rPr>
        <w:t>单位：万元</w:t>
      </w:r>
    </w:p>
    <w:tbl>
      <w:tblPr>
        <w:tblStyle w:val="9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8"/>
        <w:gridCol w:w="2066"/>
        <w:gridCol w:w="2727"/>
        <w:gridCol w:w="2727"/>
      </w:tblGrid>
      <w:tr w14:paraId="3504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952" w:type="pct"/>
            <w:shd w:val="clear" w:color="auto" w:fill="D8D8D8" w:themeFill="background1" w:themeFillShade="D9"/>
            <w:vAlign w:val="center"/>
          </w:tcPr>
          <w:p w14:paraId="65A3033D">
            <w:pPr>
              <w:pStyle w:val="493"/>
              <w:widowControl w:val="0"/>
              <w:overflowPunct w:val="0"/>
              <w:spacing w:line="408" w:lineRule="auto"/>
              <w:jc w:val="center"/>
              <w:rPr>
                <w:rFonts w:hint="eastAsia"/>
                <w:b/>
                <w:sz w:val="18"/>
                <w:szCs w:val="24"/>
              </w:rPr>
            </w:pPr>
            <w:r>
              <w:rPr>
                <w:b/>
                <w:spacing w:val="-4"/>
                <w:sz w:val="18"/>
                <w:szCs w:val="24"/>
                <w14:textOutline w14:w="4356" w14:cap="sq" w14:cmpd="sng" w14:algn="ctr">
                  <w14:solidFill>
                    <w14:srgbClr w14:val="000000"/>
                  </w14:solidFill>
                  <w14:prstDash w14:val="solid"/>
                  <w14:bevel/>
                </w14:textOutline>
              </w:rPr>
              <w:t>支出内容</w:t>
            </w:r>
          </w:p>
        </w:tc>
        <w:tc>
          <w:tcPr>
            <w:tcW w:w="1112" w:type="pct"/>
            <w:shd w:val="clear" w:color="auto" w:fill="D8D8D8" w:themeFill="background1" w:themeFillShade="D9"/>
            <w:vAlign w:val="center"/>
          </w:tcPr>
          <w:p w14:paraId="39C03153">
            <w:pPr>
              <w:pStyle w:val="493"/>
              <w:widowControl w:val="0"/>
              <w:overflowPunct w:val="0"/>
              <w:spacing w:line="408" w:lineRule="auto"/>
              <w:jc w:val="center"/>
              <w:rPr>
                <w:rFonts w:hint="eastAsia"/>
                <w:b/>
                <w:spacing w:val="-8"/>
                <w:sz w:val="18"/>
                <w:szCs w:val="24"/>
                <w:lang w:eastAsia="zh-CN"/>
                <w14:textOutline w14:w="4356" w14:cap="sq" w14:cmpd="sng" w14:algn="ctr">
                  <w14:solidFill>
                    <w14:srgbClr w14:val="000000"/>
                  </w14:solidFill>
                  <w14:prstDash w14:val="solid"/>
                  <w14:bevel/>
                </w14:textOutline>
              </w:rPr>
            </w:pPr>
            <w:r>
              <w:rPr>
                <w:rFonts w:hint="eastAsia"/>
                <w:b/>
                <w:spacing w:val="-8"/>
                <w:sz w:val="18"/>
                <w:szCs w:val="24"/>
                <w:lang w:eastAsia="zh-CN"/>
                <w14:textOutline w14:w="4356" w14:cap="sq" w14:cmpd="sng" w14:algn="ctr">
                  <w14:solidFill>
                    <w14:srgbClr w14:val="000000"/>
                  </w14:solidFill>
                  <w14:prstDash w14:val="solid"/>
                  <w14:bevel/>
                </w14:textOutline>
              </w:rPr>
              <w:t>全年预算数</w:t>
            </w:r>
          </w:p>
        </w:tc>
        <w:tc>
          <w:tcPr>
            <w:tcW w:w="1468" w:type="pct"/>
            <w:shd w:val="clear" w:color="auto" w:fill="D8D8D8" w:themeFill="background1" w:themeFillShade="D9"/>
            <w:vAlign w:val="center"/>
          </w:tcPr>
          <w:p w14:paraId="1D3101CA">
            <w:pPr>
              <w:pStyle w:val="493"/>
              <w:widowControl w:val="0"/>
              <w:overflowPunct w:val="0"/>
              <w:spacing w:line="408" w:lineRule="auto"/>
              <w:jc w:val="center"/>
              <w:rPr>
                <w:rFonts w:hint="eastAsia"/>
                <w:b/>
                <w:sz w:val="18"/>
                <w:szCs w:val="24"/>
              </w:rPr>
            </w:pPr>
            <w:r>
              <w:rPr>
                <w:b/>
                <w:spacing w:val="-6"/>
                <w:sz w:val="18"/>
                <w:szCs w:val="24"/>
                <w14:textOutline w14:w="4356" w14:cap="sq" w14:cmpd="sng" w14:algn="ctr">
                  <w14:solidFill>
                    <w14:srgbClr w14:val="000000"/>
                  </w14:solidFill>
                  <w14:prstDash w14:val="solid"/>
                  <w14:bevel/>
                </w14:textOutline>
              </w:rPr>
              <w:t>当年支出决算数</w:t>
            </w:r>
          </w:p>
        </w:tc>
        <w:tc>
          <w:tcPr>
            <w:tcW w:w="1468" w:type="pct"/>
            <w:shd w:val="clear" w:color="auto" w:fill="D8D8D8" w:themeFill="background1" w:themeFillShade="D9"/>
            <w:vAlign w:val="center"/>
          </w:tcPr>
          <w:p w14:paraId="7C1E648B">
            <w:pPr>
              <w:pStyle w:val="493"/>
              <w:widowControl w:val="0"/>
              <w:overflowPunct w:val="0"/>
              <w:spacing w:line="408" w:lineRule="auto"/>
              <w:jc w:val="center"/>
              <w:rPr>
                <w:rFonts w:hint="eastAsia"/>
                <w:b/>
                <w:sz w:val="18"/>
                <w:szCs w:val="24"/>
              </w:rPr>
            </w:pPr>
            <w:r>
              <w:rPr>
                <w:b/>
                <w:spacing w:val="-3"/>
                <w:sz w:val="18"/>
                <w:szCs w:val="24"/>
                <w14:textOutline w14:w="4356" w14:cap="sq" w14:cmpd="sng" w14:algn="ctr">
                  <w14:solidFill>
                    <w14:srgbClr w14:val="000000"/>
                  </w14:solidFill>
                  <w14:prstDash w14:val="solid"/>
                  <w14:bevel/>
                </w14:textOutline>
              </w:rPr>
              <w:t>预算执行率</w:t>
            </w:r>
          </w:p>
        </w:tc>
      </w:tr>
      <w:tr w14:paraId="0189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2" w:type="pct"/>
            <w:vAlign w:val="center"/>
          </w:tcPr>
          <w:p w14:paraId="78167553">
            <w:pPr>
              <w:pStyle w:val="493"/>
              <w:widowControl w:val="0"/>
              <w:overflowPunct w:val="0"/>
              <w:spacing w:line="408" w:lineRule="auto"/>
              <w:jc w:val="center"/>
              <w:rPr>
                <w:rFonts w:hint="eastAsia"/>
                <w:sz w:val="18"/>
                <w:szCs w:val="24"/>
              </w:rPr>
            </w:pPr>
            <w:r>
              <w:rPr>
                <w:spacing w:val="-4"/>
                <w:sz w:val="18"/>
                <w:szCs w:val="24"/>
              </w:rPr>
              <w:t>基本支出</w:t>
            </w:r>
          </w:p>
        </w:tc>
        <w:tc>
          <w:tcPr>
            <w:tcW w:w="1112" w:type="pct"/>
            <w:vAlign w:val="center"/>
          </w:tcPr>
          <w:p w14:paraId="109FF062">
            <w:pPr>
              <w:widowControl w:val="0"/>
              <w:overflowPunct w:val="0"/>
              <w:spacing w:line="408" w:lineRule="auto"/>
              <w:jc w:val="center"/>
              <w:textAlignment w:val="center"/>
              <w:rPr>
                <w:rFonts w:hint="eastAsia" w:ascii="仿宋" w:hAnsi="仿宋" w:eastAsia="仿宋" w:cs="仿宋"/>
                <w:sz w:val="18"/>
                <w:szCs w:val="22"/>
                <w:lang w:eastAsia="zh-CN" w:bidi="ar"/>
              </w:rPr>
            </w:pPr>
            <w:r>
              <w:rPr>
                <w:rFonts w:ascii="仿宋" w:hAnsi="仿宋" w:eastAsia="仿宋" w:cs="仿宋"/>
                <w:sz w:val="18"/>
                <w:szCs w:val="22"/>
                <w:lang w:eastAsia="zh-CN" w:bidi="ar"/>
              </w:rPr>
              <w:t>274.43</w:t>
            </w:r>
          </w:p>
        </w:tc>
        <w:tc>
          <w:tcPr>
            <w:tcW w:w="2502" w:type="dxa"/>
            <w:vAlign w:val="center"/>
          </w:tcPr>
          <w:p w14:paraId="62D5A38F">
            <w:pPr>
              <w:widowControl w:val="0"/>
              <w:overflowPunct w:val="0"/>
              <w:spacing w:line="408" w:lineRule="auto"/>
              <w:jc w:val="center"/>
              <w:textAlignment w:val="center"/>
              <w:rPr>
                <w:rFonts w:hint="eastAsia" w:ascii="仿宋" w:hAnsi="仿宋" w:eastAsia="仿宋" w:cs="仿宋"/>
                <w:sz w:val="18"/>
                <w:szCs w:val="22"/>
                <w:lang w:eastAsia="zh-CN" w:bidi="ar"/>
              </w:rPr>
            </w:pPr>
            <w:r>
              <w:rPr>
                <w:rFonts w:hint="eastAsia" w:ascii="仿宋" w:hAnsi="仿宋" w:eastAsia="仿宋" w:cs="仿宋"/>
                <w:sz w:val="18"/>
                <w:szCs w:val="22"/>
                <w:lang w:eastAsia="zh-CN" w:bidi="ar"/>
              </w:rPr>
              <w:t>272.9</w:t>
            </w:r>
          </w:p>
        </w:tc>
        <w:tc>
          <w:tcPr>
            <w:tcW w:w="1468" w:type="pct"/>
            <w:vAlign w:val="center"/>
          </w:tcPr>
          <w:p w14:paraId="38F09B7D">
            <w:pPr>
              <w:pStyle w:val="493"/>
              <w:widowControl w:val="0"/>
              <w:tabs>
                <w:tab w:val="left" w:pos="692"/>
              </w:tabs>
              <w:overflowPunct w:val="0"/>
              <w:spacing w:line="408" w:lineRule="auto"/>
              <w:jc w:val="center"/>
              <w:rPr>
                <w:rFonts w:hint="eastAsia"/>
                <w:sz w:val="18"/>
                <w:szCs w:val="24"/>
                <w:lang w:eastAsia="zh-CN"/>
              </w:rPr>
            </w:pPr>
            <w:r>
              <w:rPr>
                <w:rFonts w:hint="eastAsia"/>
                <w:spacing w:val="-4"/>
                <w:sz w:val="18"/>
                <w:szCs w:val="24"/>
                <w:lang w:eastAsia="zh-CN"/>
              </w:rPr>
              <w:t>99.99%</w:t>
            </w:r>
          </w:p>
        </w:tc>
      </w:tr>
      <w:tr w14:paraId="3C88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2" w:type="pct"/>
            <w:vAlign w:val="center"/>
          </w:tcPr>
          <w:p w14:paraId="1E51A79A">
            <w:pPr>
              <w:pStyle w:val="493"/>
              <w:widowControl w:val="0"/>
              <w:overflowPunct w:val="0"/>
              <w:spacing w:line="408" w:lineRule="auto"/>
              <w:jc w:val="center"/>
              <w:rPr>
                <w:rFonts w:hint="eastAsia"/>
                <w:sz w:val="18"/>
                <w:szCs w:val="24"/>
              </w:rPr>
            </w:pPr>
            <w:r>
              <w:rPr>
                <w:spacing w:val="-5"/>
                <w:sz w:val="18"/>
                <w:szCs w:val="24"/>
              </w:rPr>
              <w:t>项目支出</w:t>
            </w:r>
          </w:p>
        </w:tc>
        <w:tc>
          <w:tcPr>
            <w:tcW w:w="1112" w:type="pct"/>
            <w:vAlign w:val="center"/>
          </w:tcPr>
          <w:p w14:paraId="3D978335">
            <w:pPr>
              <w:widowControl w:val="0"/>
              <w:overflowPunct w:val="0"/>
              <w:spacing w:line="408" w:lineRule="auto"/>
              <w:jc w:val="center"/>
              <w:textAlignment w:val="center"/>
              <w:rPr>
                <w:rFonts w:hint="eastAsia" w:ascii="仿宋" w:hAnsi="仿宋" w:eastAsia="仿宋" w:cs="仿宋"/>
                <w:sz w:val="18"/>
                <w:szCs w:val="22"/>
                <w:lang w:eastAsia="zh-CN" w:bidi="ar"/>
              </w:rPr>
            </w:pPr>
            <w:r>
              <w:rPr>
                <w:rFonts w:ascii="仿宋" w:hAnsi="仿宋" w:eastAsia="仿宋" w:cs="仿宋"/>
                <w:sz w:val="18"/>
                <w:szCs w:val="22"/>
                <w:lang w:eastAsia="zh-CN" w:bidi="ar"/>
              </w:rPr>
              <w:t>4403.51</w:t>
            </w:r>
          </w:p>
        </w:tc>
        <w:tc>
          <w:tcPr>
            <w:tcW w:w="2502" w:type="dxa"/>
            <w:vAlign w:val="center"/>
          </w:tcPr>
          <w:p w14:paraId="78915970">
            <w:pPr>
              <w:widowControl w:val="0"/>
              <w:overflowPunct w:val="0"/>
              <w:spacing w:line="408" w:lineRule="auto"/>
              <w:jc w:val="center"/>
              <w:textAlignment w:val="center"/>
              <w:rPr>
                <w:rFonts w:hint="eastAsia" w:ascii="仿宋" w:hAnsi="仿宋" w:eastAsia="仿宋" w:cs="仿宋"/>
                <w:sz w:val="18"/>
                <w:szCs w:val="22"/>
                <w:lang w:eastAsia="zh-CN" w:bidi="ar"/>
              </w:rPr>
            </w:pPr>
            <w:r>
              <w:rPr>
                <w:rFonts w:ascii="仿宋" w:hAnsi="仿宋" w:eastAsia="仿宋" w:cs="仿宋"/>
                <w:sz w:val="18"/>
                <w:szCs w:val="22"/>
                <w:lang w:eastAsia="zh-CN" w:bidi="ar"/>
              </w:rPr>
              <w:t>4403.5</w:t>
            </w:r>
          </w:p>
        </w:tc>
        <w:tc>
          <w:tcPr>
            <w:tcW w:w="1468" w:type="pct"/>
            <w:vAlign w:val="center"/>
          </w:tcPr>
          <w:p w14:paraId="7B210349">
            <w:pPr>
              <w:pStyle w:val="493"/>
              <w:widowControl w:val="0"/>
              <w:overflowPunct w:val="0"/>
              <w:spacing w:line="408" w:lineRule="auto"/>
              <w:jc w:val="center"/>
              <w:rPr>
                <w:rFonts w:hint="eastAsia"/>
                <w:sz w:val="18"/>
                <w:szCs w:val="24"/>
              </w:rPr>
            </w:pPr>
            <w:r>
              <w:rPr>
                <w:rFonts w:hint="eastAsia"/>
                <w:spacing w:val="-2"/>
                <w:sz w:val="18"/>
                <w:szCs w:val="24"/>
                <w:lang w:eastAsia="zh-CN"/>
              </w:rPr>
              <w:t>100</w:t>
            </w:r>
            <w:r>
              <w:rPr>
                <w:spacing w:val="-2"/>
                <w:sz w:val="18"/>
                <w:szCs w:val="24"/>
              </w:rPr>
              <w:t>%</w:t>
            </w:r>
          </w:p>
        </w:tc>
      </w:tr>
      <w:tr w14:paraId="2AA69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2" w:type="pct"/>
            <w:vAlign w:val="center"/>
          </w:tcPr>
          <w:p w14:paraId="4B5D81C7">
            <w:pPr>
              <w:pStyle w:val="493"/>
              <w:widowControl w:val="0"/>
              <w:overflowPunct w:val="0"/>
              <w:spacing w:line="408" w:lineRule="auto"/>
              <w:jc w:val="center"/>
              <w:rPr>
                <w:rFonts w:hint="eastAsia"/>
                <w:sz w:val="18"/>
                <w:szCs w:val="24"/>
              </w:rPr>
            </w:pPr>
            <w:r>
              <w:rPr>
                <w:spacing w:val="-12"/>
                <w:sz w:val="18"/>
                <w:szCs w:val="24"/>
              </w:rPr>
              <w:t>合计</w:t>
            </w:r>
          </w:p>
        </w:tc>
        <w:tc>
          <w:tcPr>
            <w:tcW w:w="1112" w:type="pct"/>
            <w:vAlign w:val="center"/>
          </w:tcPr>
          <w:p w14:paraId="5D4898F1">
            <w:pPr>
              <w:widowControl w:val="0"/>
              <w:overflowPunct w:val="0"/>
              <w:spacing w:line="408" w:lineRule="auto"/>
              <w:jc w:val="center"/>
              <w:textAlignment w:val="center"/>
              <w:rPr>
                <w:rFonts w:hint="eastAsia" w:ascii="仿宋" w:hAnsi="仿宋" w:eastAsia="仿宋" w:cs="仿宋"/>
                <w:sz w:val="18"/>
                <w:szCs w:val="22"/>
                <w:lang w:eastAsia="zh-CN" w:bidi="ar"/>
              </w:rPr>
            </w:pPr>
            <w:r>
              <w:rPr>
                <w:rFonts w:ascii="仿宋" w:hAnsi="仿宋" w:eastAsia="仿宋" w:cs="仿宋"/>
                <w:sz w:val="18"/>
                <w:szCs w:val="22"/>
                <w:lang w:eastAsia="zh-CN" w:bidi="ar"/>
              </w:rPr>
              <w:t>4677.94</w:t>
            </w:r>
          </w:p>
        </w:tc>
        <w:tc>
          <w:tcPr>
            <w:tcW w:w="2502" w:type="dxa"/>
            <w:vAlign w:val="center"/>
          </w:tcPr>
          <w:p w14:paraId="452033BC">
            <w:pPr>
              <w:widowControl w:val="0"/>
              <w:overflowPunct w:val="0"/>
              <w:spacing w:line="408" w:lineRule="auto"/>
              <w:jc w:val="center"/>
              <w:textAlignment w:val="center"/>
              <w:rPr>
                <w:rFonts w:hint="eastAsia" w:ascii="仿宋" w:hAnsi="仿宋" w:eastAsia="仿宋" w:cs="仿宋"/>
                <w:sz w:val="18"/>
                <w:szCs w:val="22"/>
                <w:lang w:eastAsia="zh-CN" w:bidi="ar"/>
              </w:rPr>
            </w:pPr>
            <w:r>
              <w:rPr>
                <w:rFonts w:hint="eastAsia" w:ascii="仿宋" w:hAnsi="仿宋" w:eastAsia="仿宋" w:cs="仿宋"/>
                <w:sz w:val="18"/>
                <w:szCs w:val="22"/>
                <w:lang w:eastAsia="zh-CN" w:bidi="ar"/>
              </w:rPr>
              <w:t>4676.94</w:t>
            </w:r>
          </w:p>
        </w:tc>
        <w:tc>
          <w:tcPr>
            <w:tcW w:w="1468" w:type="pct"/>
            <w:vAlign w:val="center"/>
          </w:tcPr>
          <w:p w14:paraId="7F6D997F">
            <w:pPr>
              <w:pStyle w:val="493"/>
              <w:widowControl w:val="0"/>
              <w:overflowPunct w:val="0"/>
              <w:spacing w:line="408" w:lineRule="auto"/>
              <w:jc w:val="center"/>
              <w:rPr>
                <w:rFonts w:hint="eastAsia"/>
                <w:sz w:val="18"/>
                <w:szCs w:val="24"/>
              </w:rPr>
            </w:pPr>
            <w:r>
              <w:rPr>
                <w:rFonts w:hint="eastAsia"/>
                <w:spacing w:val="-2"/>
                <w:sz w:val="18"/>
                <w:szCs w:val="24"/>
                <w:lang w:eastAsia="zh-CN"/>
              </w:rPr>
              <w:t>99.99</w:t>
            </w:r>
            <w:r>
              <w:rPr>
                <w:spacing w:val="-2"/>
                <w:sz w:val="18"/>
                <w:szCs w:val="24"/>
              </w:rPr>
              <w:t>%</w:t>
            </w:r>
          </w:p>
        </w:tc>
      </w:tr>
    </w:tbl>
    <w:p w14:paraId="538A7463">
      <w:pPr>
        <w:widowControl w:val="0"/>
        <w:overflowPunct w:val="0"/>
        <w:snapToGrid/>
        <w:spacing w:before="120" w:line="408" w:lineRule="auto"/>
        <w:ind w:firstLine="572" w:firstLineChars="200"/>
        <w:jc w:val="both"/>
        <w:rPr>
          <w:rFonts w:hint="eastAsia" w:ascii="仿宋" w:hAnsi="仿宋" w:eastAsia="仿宋" w:cs="仿宋"/>
          <w:color w:val="auto"/>
          <w:spacing w:val="3"/>
          <w:sz w:val="28"/>
          <w:szCs w:val="28"/>
          <w:lang w:eastAsia="zh-CN"/>
        </w:rPr>
      </w:pPr>
      <w:bookmarkStart w:id="86" w:name="_Toc7037"/>
      <w:bookmarkStart w:id="87" w:name="_Toc6901"/>
      <w:bookmarkStart w:id="88" w:name="_Toc12907"/>
      <w:bookmarkStart w:id="89" w:name="_Toc8882"/>
      <w:r>
        <w:rPr>
          <w:rFonts w:hint="eastAsia" w:ascii="仿宋" w:hAnsi="仿宋" w:eastAsia="仿宋" w:cs="仿宋"/>
          <w:color w:val="auto"/>
          <w:spacing w:val="3"/>
          <w:sz w:val="28"/>
          <w:szCs w:val="28"/>
          <w:lang w:eastAsia="zh-CN"/>
        </w:rPr>
        <w:t>5.资金结余情况</w:t>
      </w:r>
      <w:bookmarkEnd w:id="86"/>
      <w:bookmarkEnd w:id="87"/>
      <w:bookmarkEnd w:id="88"/>
      <w:bookmarkEnd w:id="89"/>
    </w:p>
    <w:p w14:paraId="019FE69D">
      <w:pPr>
        <w:widowControl w:val="0"/>
        <w:overflowPunct w:val="0"/>
        <w:spacing w:line="408" w:lineRule="auto"/>
        <w:jc w:val="center"/>
        <w:rPr>
          <w:rFonts w:hint="eastAsia" w:ascii="仿宋" w:hAnsi="仿宋" w:eastAsia="仿宋" w:cs="仿宋"/>
          <w:b/>
          <w:spacing w:val="-2"/>
          <w:sz w:val="24"/>
          <w:szCs w:val="24"/>
          <w:lang w:eastAsia="zh-CN"/>
          <w14:textOutline w14:w="5105" w14:cap="sq" w14:cmpd="sng" w14:algn="ctr">
            <w14:solidFill>
              <w14:srgbClr w14:val="000000"/>
            </w14:solidFill>
            <w14:prstDash w14:val="solid"/>
            <w14:bevel/>
          </w14:textOutline>
        </w:rPr>
      </w:pPr>
      <w:bookmarkStart w:id="90" w:name="bookmark12"/>
      <w:bookmarkEnd w:id="90"/>
      <w:bookmarkStart w:id="91" w:name="_Toc22664"/>
      <w:bookmarkStart w:id="92" w:name="_Toc31296"/>
      <w:r>
        <w:rPr>
          <w:rFonts w:ascii="仿宋" w:hAnsi="仿宋" w:eastAsia="仿宋" w:cs="仿宋"/>
          <w:b/>
          <w:spacing w:val="-2"/>
          <w:sz w:val="24"/>
          <w:szCs w:val="24"/>
          <w:lang w:eastAsia="zh-CN"/>
          <w14:textOutline w14:w="5105" w14:cap="sq" w14:cmpd="sng" w14:algn="ctr">
            <w14:solidFill>
              <w14:srgbClr w14:val="000000"/>
            </w14:solidFill>
            <w14:prstDash w14:val="solid"/>
            <w14:bevel/>
          </w14:textOutline>
        </w:rPr>
        <w:t>表</w:t>
      </w:r>
      <w:r>
        <w:rPr>
          <w:rFonts w:hint="eastAsia" w:ascii="仿宋" w:hAnsi="仿宋" w:eastAsia="仿宋" w:cs="仿宋"/>
          <w:b/>
          <w:spacing w:val="-2"/>
          <w:sz w:val="24"/>
          <w:szCs w:val="24"/>
          <w:lang w:eastAsia="zh-CN"/>
          <w14:textOutline w14:w="5105" w14:cap="sq" w14:cmpd="sng" w14:algn="ctr">
            <w14:solidFill>
              <w14:srgbClr w14:val="000000"/>
            </w14:solidFill>
            <w14:prstDash w14:val="solid"/>
            <w14:bevel/>
          </w14:textOutline>
        </w:rPr>
        <w:t>7   石狮市退役军人事务局2024年</w:t>
      </w:r>
      <w:r>
        <w:rPr>
          <w:rFonts w:ascii="仿宋" w:hAnsi="仿宋" w:eastAsia="仿宋" w:cs="仿宋"/>
          <w:b/>
          <w:spacing w:val="-2"/>
          <w:sz w:val="24"/>
          <w:szCs w:val="24"/>
          <w:lang w:eastAsia="zh-CN"/>
          <w14:textOutline w14:w="5105" w14:cap="sq" w14:cmpd="sng" w14:algn="ctr">
            <w14:solidFill>
              <w14:srgbClr w14:val="000000"/>
            </w14:solidFill>
            <w14:prstDash w14:val="solid"/>
            <w14:bevel/>
          </w14:textOutline>
        </w:rPr>
        <w:t>部门资金结余情况</w:t>
      </w:r>
      <w:bookmarkEnd w:id="91"/>
      <w:bookmarkEnd w:id="92"/>
    </w:p>
    <w:p w14:paraId="6E5ED70B">
      <w:pPr>
        <w:widowControl w:val="0"/>
        <w:overflowPunct w:val="0"/>
        <w:jc w:val="right"/>
        <w:rPr>
          <w:rFonts w:hint="eastAsia" w:ascii="仿宋" w:hAnsi="仿宋" w:eastAsia="仿宋"/>
          <w:bCs/>
          <w:color w:val="auto"/>
        </w:rPr>
      </w:pPr>
      <w:r>
        <w:rPr>
          <w:rFonts w:hint="eastAsia" w:ascii="仿宋" w:hAnsi="仿宋" w:eastAsia="仿宋" w:cs="仿宋"/>
          <w:bCs/>
          <w:spacing w:val="-2"/>
          <w:lang w:eastAsia="zh-CN"/>
          <w14:textOutline w14:w="5105" w14:cap="sq" w14:cmpd="sng" w14:algn="ctr">
            <w14:solidFill>
              <w14:srgbClr w14:val="000000"/>
            </w14:solidFill>
            <w14:prstDash w14:val="solid"/>
            <w14:bevel/>
          </w14:textOutline>
        </w:rPr>
        <w:t>单位：万元</w:t>
      </w:r>
    </w:p>
    <w:tbl>
      <w:tblPr>
        <w:tblStyle w:val="9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638"/>
        <w:gridCol w:w="1926"/>
        <w:gridCol w:w="1738"/>
        <w:gridCol w:w="1171"/>
        <w:gridCol w:w="1548"/>
      </w:tblGrid>
      <w:tr w14:paraId="41C2C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682" w:type="pct"/>
            <w:shd w:val="clear" w:color="auto" w:fill="D8D8D8" w:themeFill="background1" w:themeFillShade="D9"/>
            <w:vAlign w:val="center"/>
          </w:tcPr>
          <w:p w14:paraId="476CC22C">
            <w:pPr>
              <w:spacing w:line="408" w:lineRule="auto"/>
              <w:jc w:val="center"/>
              <w:textAlignment w:val="center"/>
              <w:rPr>
                <w:rFonts w:hint="eastAsia" w:ascii="仿宋" w:hAnsi="仿宋" w:eastAsia="仿宋"/>
                <w:b/>
                <w:bCs/>
                <w:sz w:val="18"/>
                <w:szCs w:val="24"/>
              </w:rPr>
            </w:pPr>
            <w:r>
              <w:rPr>
                <w:rFonts w:hint="eastAsia" w:ascii="仿宋" w:hAnsi="仿宋" w:eastAsia="仿宋" w:cs="仿宋"/>
                <w:b/>
                <w:bCs/>
                <w:sz w:val="18"/>
                <w:szCs w:val="24"/>
                <w:lang w:eastAsia="zh-CN" w:bidi="ar"/>
              </w:rPr>
              <w:t>支出内容</w:t>
            </w:r>
          </w:p>
        </w:tc>
        <w:tc>
          <w:tcPr>
            <w:tcW w:w="881" w:type="pct"/>
            <w:shd w:val="clear" w:color="auto" w:fill="D8D8D8" w:themeFill="background1" w:themeFillShade="D9"/>
            <w:vAlign w:val="center"/>
          </w:tcPr>
          <w:p w14:paraId="3261FD0F">
            <w:pPr>
              <w:spacing w:line="408" w:lineRule="auto"/>
              <w:jc w:val="center"/>
              <w:textAlignment w:val="center"/>
              <w:rPr>
                <w:rFonts w:hint="eastAsia" w:ascii="仿宋" w:hAnsi="仿宋" w:eastAsia="仿宋"/>
                <w:b/>
                <w:bCs/>
                <w:sz w:val="18"/>
              </w:rPr>
            </w:pPr>
            <w:r>
              <w:rPr>
                <w:rFonts w:hint="eastAsia" w:ascii="仿宋" w:hAnsi="仿宋" w:eastAsia="仿宋" w:cs="仿宋"/>
                <w:b/>
                <w:bCs/>
                <w:sz w:val="18"/>
                <w:szCs w:val="22"/>
                <w:lang w:eastAsia="zh-CN" w:bidi="ar"/>
              </w:rPr>
              <w:t>上年度结转结</w:t>
            </w:r>
            <w:r>
              <w:rPr>
                <w:rStyle w:val="532"/>
                <w:rFonts w:hint="default"/>
                <w:b/>
                <w:bCs/>
                <w:sz w:val="18"/>
                <w:lang w:eastAsia="zh-CN" w:bidi="ar"/>
              </w:rPr>
              <w:t>余资金</w:t>
            </w:r>
          </w:p>
        </w:tc>
        <w:tc>
          <w:tcPr>
            <w:tcW w:w="1036" w:type="pct"/>
            <w:shd w:val="clear" w:color="auto" w:fill="D8D8D8" w:themeFill="background1" w:themeFillShade="D9"/>
            <w:vAlign w:val="center"/>
          </w:tcPr>
          <w:p w14:paraId="7435F194">
            <w:pPr>
              <w:spacing w:line="408" w:lineRule="auto"/>
              <w:jc w:val="center"/>
              <w:textAlignment w:val="center"/>
              <w:rPr>
                <w:rFonts w:hint="eastAsia" w:ascii="仿宋" w:hAnsi="仿宋" w:eastAsia="仿宋"/>
                <w:b/>
                <w:bCs/>
                <w:sz w:val="18"/>
              </w:rPr>
            </w:pPr>
            <w:r>
              <w:rPr>
                <w:rFonts w:hint="eastAsia" w:ascii="仿宋" w:hAnsi="仿宋" w:eastAsia="仿宋" w:cs="仿宋"/>
                <w:b/>
                <w:bCs/>
                <w:sz w:val="18"/>
                <w:szCs w:val="22"/>
                <w:lang w:eastAsia="zh-CN" w:bidi="ar"/>
              </w:rPr>
              <w:t>当年度结转</w:t>
            </w:r>
            <w:r>
              <w:rPr>
                <w:rStyle w:val="532"/>
                <w:rFonts w:hint="default"/>
                <w:b/>
                <w:bCs/>
                <w:sz w:val="18"/>
                <w:lang w:eastAsia="zh-CN" w:bidi="ar"/>
              </w:rPr>
              <w:t>结余资金</w:t>
            </w:r>
          </w:p>
        </w:tc>
        <w:tc>
          <w:tcPr>
            <w:tcW w:w="935" w:type="pct"/>
            <w:shd w:val="clear" w:color="auto" w:fill="D8D8D8" w:themeFill="background1" w:themeFillShade="D9"/>
            <w:vAlign w:val="center"/>
          </w:tcPr>
          <w:p w14:paraId="54819F65">
            <w:pPr>
              <w:spacing w:line="408" w:lineRule="auto"/>
              <w:jc w:val="center"/>
              <w:textAlignment w:val="center"/>
              <w:rPr>
                <w:rFonts w:hint="eastAsia" w:ascii="仿宋" w:hAnsi="仿宋" w:eastAsia="仿宋" w:cs="仿宋"/>
                <w:b/>
                <w:bCs/>
                <w:sz w:val="18"/>
                <w:szCs w:val="22"/>
                <w:lang w:eastAsia="zh-CN" w:bidi="ar"/>
              </w:rPr>
            </w:pPr>
            <w:r>
              <w:rPr>
                <w:rFonts w:hint="eastAsia" w:ascii="仿宋" w:hAnsi="仿宋" w:eastAsia="仿宋" w:cs="仿宋"/>
                <w:b/>
                <w:bCs/>
                <w:sz w:val="18"/>
                <w:szCs w:val="22"/>
                <w:lang w:eastAsia="zh-CN" w:bidi="ar"/>
              </w:rPr>
              <w:t>当年度支出</w:t>
            </w:r>
            <w:r>
              <w:rPr>
                <w:rStyle w:val="532"/>
                <w:rFonts w:hint="default"/>
                <w:b/>
                <w:bCs/>
                <w:sz w:val="18"/>
                <w:lang w:eastAsia="zh-CN" w:bidi="ar"/>
              </w:rPr>
              <w:t>预算数</w:t>
            </w:r>
          </w:p>
        </w:tc>
        <w:tc>
          <w:tcPr>
            <w:tcW w:w="630" w:type="pct"/>
            <w:shd w:val="clear" w:color="auto" w:fill="D8D8D8" w:themeFill="background1" w:themeFillShade="D9"/>
            <w:vAlign w:val="center"/>
          </w:tcPr>
          <w:p w14:paraId="0BCCBD70">
            <w:pPr>
              <w:spacing w:line="408" w:lineRule="auto"/>
              <w:jc w:val="center"/>
              <w:textAlignment w:val="center"/>
              <w:rPr>
                <w:rFonts w:hint="eastAsia" w:ascii="仿宋" w:hAnsi="仿宋" w:eastAsia="仿宋"/>
                <w:b/>
                <w:bCs/>
                <w:sz w:val="18"/>
              </w:rPr>
            </w:pPr>
            <w:r>
              <w:rPr>
                <w:rFonts w:hint="eastAsia" w:ascii="仿宋" w:hAnsi="仿宋" w:eastAsia="仿宋" w:cs="仿宋"/>
                <w:b/>
                <w:bCs/>
                <w:sz w:val="18"/>
                <w:szCs w:val="22"/>
                <w:lang w:eastAsia="zh-CN" w:bidi="ar"/>
              </w:rPr>
              <w:t>结转结余率</w:t>
            </w:r>
          </w:p>
        </w:tc>
        <w:tc>
          <w:tcPr>
            <w:tcW w:w="833" w:type="pct"/>
            <w:shd w:val="clear" w:color="auto" w:fill="D8D8D8" w:themeFill="background1" w:themeFillShade="D9"/>
            <w:vAlign w:val="center"/>
          </w:tcPr>
          <w:p w14:paraId="488C19B3">
            <w:pPr>
              <w:spacing w:line="408" w:lineRule="auto"/>
              <w:jc w:val="center"/>
              <w:textAlignment w:val="center"/>
              <w:rPr>
                <w:rFonts w:hint="eastAsia" w:ascii="仿宋" w:hAnsi="仿宋" w:eastAsia="仿宋" w:cs="仿宋"/>
                <w:b/>
                <w:bCs/>
                <w:sz w:val="18"/>
                <w:szCs w:val="22"/>
                <w:lang w:eastAsia="zh-CN" w:bidi="ar"/>
              </w:rPr>
            </w:pPr>
            <w:r>
              <w:rPr>
                <w:rFonts w:hint="eastAsia" w:ascii="仿宋" w:hAnsi="仿宋" w:eastAsia="仿宋" w:cs="仿宋"/>
                <w:b/>
                <w:bCs/>
                <w:sz w:val="18"/>
                <w:szCs w:val="22"/>
                <w:lang w:eastAsia="zh-CN" w:bidi="ar"/>
              </w:rPr>
              <w:t>结转结余变</w:t>
            </w:r>
            <w:r>
              <w:rPr>
                <w:rStyle w:val="532"/>
                <w:rFonts w:hint="default"/>
                <w:b/>
                <w:bCs/>
                <w:sz w:val="18"/>
                <w:lang w:eastAsia="zh-CN" w:bidi="ar"/>
              </w:rPr>
              <w:t>动率</w:t>
            </w:r>
          </w:p>
        </w:tc>
      </w:tr>
      <w:tr w14:paraId="2DE4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vAlign w:val="center"/>
          </w:tcPr>
          <w:p w14:paraId="678E7394">
            <w:pPr>
              <w:jc w:val="center"/>
              <w:textAlignment w:val="center"/>
              <w:rPr>
                <w:rFonts w:hint="eastAsia" w:ascii="仿宋" w:hAnsi="仿宋" w:eastAsia="仿宋"/>
                <w:sz w:val="18"/>
                <w:szCs w:val="24"/>
              </w:rPr>
            </w:pPr>
            <w:r>
              <w:rPr>
                <w:rFonts w:hint="eastAsia" w:ascii="仿宋" w:hAnsi="仿宋" w:eastAsia="仿宋" w:cs="仿宋"/>
                <w:sz w:val="18"/>
                <w:szCs w:val="18"/>
                <w:lang w:eastAsia="zh-CN" w:bidi="ar"/>
              </w:rPr>
              <w:t>基本支出</w:t>
            </w:r>
          </w:p>
        </w:tc>
        <w:tc>
          <w:tcPr>
            <w:tcW w:w="1502" w:type="dxa"/>
            <w:vAlign w:val="center"/>
          </w:tcPr>
          <w:p w14:paraId="5EF4D665">
            <w:pPr>
              <w:jc w:val="center"/>
              <w:textAlignment w:val="center"/>
              <w:rPr>
                <w:rFonts w:hint="eastAsia" w:ascii="仿宋" w:hAnsi="仿宋" w:eastAsia="仿宋"/>
                <w:sz w:val="18"/>
                <w:lang w:eastAsia="zh-CN"/>
              </w:rPr>
            </w:pPr>
            <w:r>
              <w:rPr>
                <w:rFonts w:hint="eastAsia" w:ascii="仿宋" w:hAnsi="仿宋" w:eastAsia="仿宋" w:cs="仿宋"/>
                <w:sz w:val="18"/>
                <w:szCs w:val="18"/>
                <w:lang w:eastAsia="zh-CN" w:bidi="ar"/>
              </w:rPr>
              <w:t>1.27</w:t>
            </w:r>
          </w:p>
        </w:tc>
        <w:tc>
          <w:tcPr>
            <w:tcW w:w="1767" w:type="dxa"/>
            <w:vAlign w:val="center"/>
          </w:tcPr>
          <w:p w14:paraId="71D1D487">
            <w:pPr>
              <w:jc w:val="center"/>
              <w:textAlignment w:val="center"/>
              <w:rPr>
                <w:rFonts w:hint="eastAsia" w:ascii="仿宋" w:hAnsi="仿宋" w:eastAsia="仿宋"/>
                <w:sz w:val="18"/>
                <w:lang w:eastAsia="zh-CN"/>
              </w:rPr>
            </w:pPr>
            <w:r>
              <w:rPr>
                <w:rFonts w:hint="eastAsia" w:ascii="仿宋" w:hAnsi="仿宋" w:eastAsia="仿宋" w:cs="仿宋"/>
                <w:sz w:val="18"/>
                <w:szCs w:val="18"/>
                <w:lang w:eastAsia="zh-CN" w:bidi="ar"/>
              </w:rPr>
              <w:t>1.44</w:t>
            </w:r>
          </w:p>
        </w:tc>
        <w:tc>
          <w:tcPr>
            <w:tcW w:w="1595" w:type="dxa"/>
            <w:vAlign w:val="center"/>
          </w:tcPr>
          <w:p w14:paraId="19D33834">
            <w:pPr>
              <w:jc w:val="center"/>
              <w:textAlignment w:val="center"/>
              <w:rPr>
                <w:rFonts w:hint="eastAsia" w:ascii="仿宋" w:hAnsi="仿宋" w:eastAsia="仿宋"/>
                <w:sz w:val="18"/>
                <w:lang w:eastAsia="zh-CN"/>
              </w:rPr>
            </w:pPr>
            <w:r>
              <w:rPr>
                <w:rFonts w:hint="eastAsia" w:ascii="仿宋" w:hAnsi="仿宋" w:eastAsia="仿宋" w:cs="仿宋"/>
                <w:sz w:val="18"/>
                <w:szCs w:val="18"/>
                <w:lang w:eastAsia="zh-CN" w:bidi="ar"/>
              </w:rPr>
              <w:t>274.43</w:t>
            </w:r>
          </w:p>
        </w:tc>
        <w:tc>
          <w:tcPr>
            <w:tcW w:w="1074" w:type="dxa"/>
            <w:vAlign w:val="center"/>
          </w:tcPr>
          <w:p w14:paraId="571FF1CA">
            <w:pPr>
              <w:jc w:val="center"/>
              <w:textAlignment w:val="center"/>
              <w:rPr>
                <w:rFonts w:hint="eastAsia" w:ascii="仿宋" w:hAnsi="仿宋" w:eastAsia="仿宋"/>
                <w:sz w:val="18"/>
                <w:lang w:eastAsia="zh-CN"/>
              </w:rPr>
            </w:pPr>
            <w:r>
              <w:rPr>
                <w:rFonts w:hint="eastAsia" w:ascii="仿宋" w:hAnsi="仿宋" w:eastAsia="仿宋" w:cs="仿宋"/>
                <w:sz w:val="18"/>
                <w:szCs w:val="18"/>
                <w:lang w:eastAsia="zh-CN" w:bidi="ar"/>
              </w:rPr>
              <w:t>0.52%</w:t>
            </w:r>
          </w:p>
        </w:tc>
        <w:tc>
          <w:tcPr>
            <w:tcW w:w="1421" w:type="dxa"/>
            <w:vAlign w:val="center"/>
          </w:tcPr>
          <w:p w14:paraId="7F8BB67C">
            <w:pPr>
              <w:jc w:val="center"/>
              <w:textAlignment w:val="center"/>
              <w:rPr>
                <w:rFonts w:hint="eastAsia" w:ascii="仿宋" w:hAnsi="仿宋" w:eastAsia="仿宋"/>
                <w:sz w:val="18"/>
              </w:rPr>
            </w:pPr>
            <w:r>
              <w:rPr>
                <w:rFonts w:hint="eastAsia" w:ascii="仿宋" w:hAnsi="仿宋" w:eastAsia="仿宋" w:cs="仿宋"/>
                <w:sz w:val="18"/>
                <w:szCs w:val="18"/>
                <w:lang w:eastAsia="zh-CN" w:bidi="ar"/>
              </w:rPr>
              <w:t>14.00%</w:t>
            </w:r>
          </w:p>
        </w:tc>
      </w:tr>
      <w:tr w14:paraId="49CE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vAlign w:val="center"/>
          </w:tcPr>
          <w:p w14:paraId="37DA85B9">
            <w:pPr>
              <w:jc w:val="center"/>
              <w:textAlignment w:val="center"/>
              <w:rPr>
                <w:rFonts w:hint="eastAsia" w:ascii="仿宋" w:hAnsi="仿宋" w:eastAsia="仿宋"/>
                <w:sz w:val="18"/>
                <w:szCs w:val="24"/>
              </w:rPr>
            </w:pPr>
            <w:r>
              <w:rPr>
                <w:rFonts w:hint="eastAsia" w:ascii="仿宋" w:hAnsi="仿宋" w:eastAsia="仿宋" w:cs="仿宋"/>
                <w:sz w:val="18"/>
                <w:szCs w:val="18"/>
                <w:lang w:eastAsia="zh-CN" w:bidi="ar"/>
              </w:rPr>
              <w:t>项目支出</w:t>
            </w:r>
          </w:p>
        </w:tc>
        <w:tc>
          <w:tcPr>
            <w:tcW w:w="1502" w:type="dxa"/>
            <w:vAlign w:val="center"/>
          </w:tcPr>
          <w:p w14:paraId="5548EC5D">
            <w:pPr>
              <w:jc w:val="center"/>
              <w:textAlignment w:val="center"/>
              <w:rPr>
                <w:rFonts w:hint="eastAsia" w:ascii="仿宋" w:hAnsi="仿宋" w:eastAsia="仿宋"/>
                <w:sz w:val="18"/>
                <w:lang w:eastAsia="zh-CN"/>
              </w:rPr>
            </w:pPr>
            <w:r>
              <w:rPr>
                <w:rFonts w:hint="eastAsia" w:ascii="仿宋" w:hAnsi="仿宋" w:eastAsia="仿宋" w:cs="仿宋"/>
                <w:sz w:val="18"/>
                <w:szCs w:val="18"/>
                <w:lang w:eastAsia="zh-CN" w:bidi="ar"/>
              </w:rPr>
              <w:t>0</w:t>
            </w:r>
          </w:p>
        </w:tc>
        <w:tc>
          <w:tcPr>
            <w:tcW w:w="1767" w:type="dxa"/>
            <w:vAlign w:val="center"/>
          </w:tcPr>
          <w:p w14:paraId="69A083AC">
            <w:pPr>
              <w:jc w:val="center"/>
              <w:textAlignment w:val="center"/>
              <w:rPr>
                <w:rFonts w:hint="eastAsia" w:ascii="仿宋" w:hAnsi="仿宋" w:eastAsia="仿宋"/>
                <w:sz w:val="18"/>
                <w:lang w:eastAsia="zh-CN"/>
              </w:rPr>
            </w:pPr>
            <w:r>
              <w:rPr>
                <w:rFonts w:hint="eastAsia" w:ascii="仿宋" w:hAnsi="仿宋" w:eastAsia="仿宋" w:cs="仿宋"/>
                <w:sz w:val="18"/>
                <w:szCs w:val="18"/>
                <w:lang w:eastAsia="zh-CN" w:bidi="ar"/>
              </w:rPr>
              <w:t>0</w:t>
            </w:r>
          </w:p>
        </w:tc>
        <w:tc>
          <w:tcPr>
            <w:tcW w:w="1595" w:type="dxa"/>
            <w:vAlign w:val="center"/>
          </w:tcPr>
          <w:p w14:paraId="4DE86029">
            <w:pPr>
              <w:jc w:val="center"/>
              <w:textAlignment w:val="center"/>
              <w:rPr>
                <w:rFonts w:hint="eastAsia" w:ascii="仿宋" w:hAnsi="仿宋" w:eastAsia="仿宋"/>
                <w:sz w:val="18"/>
              </w:rPr>
            </w:pPr>
            <w:r>
              <w:rPr>
                <w:rFonts w:hint="eastAsia" w:ascii="仿宋" w:hAnsi="仿宋" w:eastAsia="仿宋" w:cs="仿宋"/>
                <w:sz w:val="18"/>
                <w:szCs w:val="18"/>
                <w:lang w:eastAsia="zh-CN" w:bidi="ar"/>
              </w:rPr>
              <w:t>4403.51</w:t>
            </w:r>
          </w:p>
        </w:tc>
        <w:tc>
          <w:tcPr>
            <w:tcW w:w="1074" w:type="dxa"/>
            <w:vAlign w:val="center"/>
          </w:tcPr>
          <w:p w14:paraId="66BDD657">
            <w:pPr>
              <w:jc w:val="center"/>
              <w:textAlignment w:val="center"/>
              <w:rPr>
                <w:rFonts w:hint="eastAsia" w:ascii="仿宋" w:hAnsi="仿宋" w:eastAsia="仿宋"/>
                <w:sz w:val="18"/>
                <w:lang w:eastAsia="zh-CN"/>
              </w:rPr>
            </w:pPr>
            <w:r>
              <w:rPr>
                <w:rFonts w:hint="eastAsia" w:ascii="仿宋" w:hAnsi="仿宋" w:eastAsia="仿宋" w:cs="仿宋"/>
                <w:sz w:val="18"/>
                <w:szCs w:val="18"/>
                <w:lang w:eastAsia="zh-CN" w:bidi="ar"/>
              </w:rPr>
              <w:t>0.00%</w:t>
            </w:r>
          </w:p>
        </w:tc>
        <w:tc>
          <w:tcPr>
            <w:tcW w:w="1421" w:type="dxa"/>
            <w:vAlign w:val="center"/>
          </w:tcPr>
          <w:p w14:paraId="1BD4B275">
            <w:pPr>
              <w:jc w:val="center"/>
              <w:textAlignment w:val="center"/>
              <w:rPr>
                <w:rFonts w:hint="eastAsia" w:ascii="仿宋" w:hAnsi="仿宋" w:eastAsia="仿宋"/>
                <w:sz w:val="18"/>
              </w:rPr>
            </w:pPr>
            <w:r>
              <w:rPr>
                <w:rFonts w:hint="eastAsia" w:ascii="仿宋" w:hAnsi="仿宋" w:eastAsia="仿宋" w:cs="仿宋"/>
                <w:sz w:val="18"/>
                <w:szCs w:val="18"/>
                <w:lang w:eastAsia="zh-CN" w:bidi="ar"/>
              </w:rPr>
              <w:t>0.00%</w:t>
            </w:r>
          </w:p>
        </w:tc>
      </w:tr>
      <w:tr w14:paraId="5FFE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vAlign w:val="center"/>
          </w:tcPr>
          <w:p w14:paraId="21765E90">
            <w:pPr>
              <w:jc w:val="center"/>
              <w:textAlignment w:val="center"/>
              <w:rPr>
                <w:rFonts w:hint="eastAsia" w:ascii="仿宋" w:hAnsi="仿宋" w:eastAsia="仿宋"/>
                <w:sz w:val="18"/>
                <w:szCs w:val="24"/>
              </w:rPr>
            </w:pPr>
            <w:r>
              <w:rPr>
                <w:rFonts w:hint="eastAsia" w:ascii="仿宋" w:hAnsi="仿宋" w:eastAsia="仿宋" w:cs="仿宋"/>
                <w:sz w:val="18"/>
                <w:szCs w:val="18"/>
                <w:lang w:eastAsia="zh-CN" w:bidi="ar"/>
              </w:rPr>
              <w:t>合计</w:t>
            </w:r>
          </w:p>
        </w:tc>
        <w:tc>
          <w:tcPr>
            <w:tcW w:w="1502" w:type="dxa"/>
            <w:vAlign w:val="center"/>
          </w:tcPr>
          <w:p w14:paraId="551690DB">
            <w:pPr>
              <w:jc w:val="center"/>
              <w:textAlignment w:val="center"/>
              <w:rPr>
                <w:rFonts w:hint="eastAsia" w:ascii="仿宋" w:hAnsi="仿宋" w:eastAsia="仿宋"/>
                <w:b/>
                <w:bCs/>
                <w:sz w:val="18"/>
              </w:rPr>
            </w:pPr>
            <w:r>
              <w:rPr>
                <w:rFonts w:hint="eastAsia" w:ascii="仿宋" w:hAnsi="仿宋" w:eastAsia="仿宋" w:cs="仿宋"/>
                <w:b/>
                <w:bCs/>
                <w:sz w:val="18"/>
                <w:szCs w:val="18"/>
                <w:lang w:eastAsia="zh-CN" w:bidi="ar"/>
              </w:rPr>
              <w:t>1.27</w:t>
            </w:r>
          </w:p>
        </w:tc>
        <w:tc>
          <w:tcPr>
            <w:tcW w:w="1767" w:type="dxa"/>
            <w:vAlign w:val="center"/>
          </w:tcPr>
          <w:p w14:paraId="5DBFF387">
            <w:pPr>
              <w:jc w:val="center"/>
              <w:textAlignment w:val="center"/>
              <w:rPr>
                <w:rFonts w:hint="eastAsia" w:ascii="仿宋" w:hAnsi="仿宋" w:eastAsia="仿宋"/>
                <w:b/>
                <w:bCs/>
                <w:sz w:val="18"/>
                <w:lang w:eastAsia="zh-CN"/>
              </w:rPr>
            </w:pPr>
            <w:r>
              <w:rPr>
                <w:rFonts w:hint="eastAsia" w:ascii="仿宋" w:hAnsi="仿宋" w:eastAsia="仿宋" w:cs="仿宋"/>
                <w:b/>
                <w:bCs/>
                <w:sz w:val="18"/>
                <w:szCs w:val="18"/>
                <w:lang w:eastAsia="zh-CN" w:bidi="ar"/>
              </w:rPr>
              <w:t>1.44</w:t>
            </w:r>
          </w:p>
        </w:tc>
        <w:tc>
          <w:tcPr>
            <w:tcW w:w="1595" w:type="dxa"/>
            <w:vAlign w:val="center"/>
          </w:tcPr>
          <w:p w14:paraId="27EE774F">
            <w:pPr>
              <w:jc w:val="center"/>
              <w:textAlignment w:val="center"/>
              <w:rPr>
                <w:rFonts w:hint="eastAsia" w:ascii="仿宋" w:hAnsi="仿宋" w:eastAsia="仿宋"/>
                <w:b/>
                <w:bCs/>
                <w:sz w:val="18"/>
              </w:rPr>
            </w:pPr>
            <w:r>
              <w:rPr>
                <w:rFonts w:hint="eastAsia" w:ascii="仿宋" w:hAnsi="仿宋" w:eastAsia="仿宋" w:cs="仿宋"/>
                <w:b/>
                <w:bCs/>
                <w:sz w:val="18"/>
                <w:szCs w:val="18"/>
                <w:lang w:eastAsia="zh-CN" w:bidi="ar"/>
              </w:rPr>
              <w:t>4677.94</w:t>
            </w:r>
          </w:p>
        </w:tc>
        <w:tc>
          <w:tcPr>
            <w:tcW w:w="1074" w:type="dxa"/>
            <w:vAlign w:val="center"/>
          </w:tcPr>
          <w:p w14:paraId="0263CF72">
            <w:pPr>
              <w:jc w:val="center"/>
              <w:textAlignment w:val="center"/>
              <w:rPr>
                <w:rFonts w:hint="eastAsia" w:ascii="仿宋" w:hAnsi="仿宋" w:eastAsia="仿宋"/>
                <w:b/>
                <w:bCs/>
                <w:sz w:val="18"/>
                <w:lang w:eastAsia="zh-CN"/>
              </w:rPr>
            </w:pPr>
            <w:r>
              <w:rPr>
                <w:rFonts w:hint="eastAsia" w:ascii="仿宋" w:hAnsi="仿宋" w:eastAsia="仿宋" w:cs="仿宋"/>
                <w:b/>
                <w:bCs/>
                <w:sz w:val="18"/>
                <w:szCs w:val="18"/>
                <w:lang w:eastAsia="zh-CN" w:bidi="ar"/>
              </w:rPr>
              <w:t>0.03%</w:t>
            </w:r>
          </w:p>
        </w:tc>
        <w:tc>
          <w:tcPr>
            <w:tcW w:w="1421" w:type="dxa"/>
            <w:vAlign w:val="center"/>
          </w:tcPr>
          <w:p w14:paraId="4A19EF4D">
            <w:pPr>
              <w:jc w:val="center"/>
              <w:textAlignment w:val="center"/>
              <w:rPr>
                <w:rFonts w:hint="eastAsia" w:ascii="仿宋" w:hAnsi="仿宋" w:eastAsia="仿宋"/>
                <w:b/>
                <w:bCs/>
                <w:sz w:val="18"/>
              </w:rPr>
            </w:pPr>
            <w:r>
              <w:rPr>
                <w:rFonts w:hint="eastAsia" w:ascii="仿宋" w:hAnsi="仿宋" w:eastAsia="仿宋" w:cs="仿宋"/>
                <w:b/>
                <w:bCs/>
                <w:sz w:val="18"/>
                <w:szCs w:val="18"/>
                <w:lang w:eastAsia="zh-CN" w:bidi="ar"/>
              </w:rPr>
              <w:t>14.00%</w:t>
            </w:r>
          </w:p>
        </w:tc>
      </w:tr>
    </w:tbl>
    <w:p w14:paraId="38194043">
      <w:pPr>
        <w:widowControl w:val="0"/>
        <w:overflowPunct w:val="0"/>
        <w:snapToGrid/>
        <w:spacing w:before="120" w:line="408" w:lineRule="auto"/>
        <w:ind w:firstLine="552" w:firstLineChars="200"/>
        <w:jc w:val="both"/>
        <w:outlineLvl w:val="1"/>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93" w:name="_Toc17090"/>
      <w:bookmarkStart w:id="94" w:name="_Toc29799"/>
      <w:bookmarkStart w:id="95" w:name="_Toc29645"/>
      <w:bookmarkStart w:id="96" w:name="_Toc29411"/>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（二）资金使用方向、主要内容和涉及范围</w:t>
      </w:r>
      <w:bookmarkEnd w:id="93"/>
      <w:bookmarkEnd w:id="94"/>
      <w:bookmarkEnd w:id="95"/>
      <w:bookmarkEnd w:id="96"/>
    </w:p>
    <w:p w14:paraId="3BC31D49">
      <w:pPr>
        <w:widowControl w:val="0"/>
        <w:overflowPunct w:val="0"/>
        <w:snapToGrid/>
        <w:spacing w:line="408" w:lineRule="auto"/>
        <w:ind w:firstLine="540" w:firstLineChars="200"/>
        <w:jc w:val="both"/>
        <w:outlineLvl w:val="2"/>
        <w:rPr>
          <w:rFonts w:hint="eastAsia" w:ascii="仿宋" w:hAnsi="仿宋" w:eastAsia="仿宋" w:cs="仿宋"/>
          <w:color w:val="auto"/>
          <w:sz w:val="28"/>
          <w:szCs w:val="28"/>
          <w:lang w:eastAsia="zh-CN"/>
        </w:rPr>
      </w:pPr>
      <w:bookmarkStart w:id="97" w:name="_Toc30411"/>
      <w:bookmarkStart w:id="98" w:name="_Toc22866"/>
      <w:bookmarkStart w:id="99" w:name="_Toc1176"/>
      <w:bookmarkStart w:id="100" w:name="_Toc15654"/>
      <w:bookmarkStart w:id="101" w:name="_Toc22589"/>
      <w:bookmarkStart w:id="102" w:name="_Toc2681"/>
      <w:r>
        <w:rPr>
          <w:rFonts w:hint="eastAsia" w:ascii="仿宋" w:hAnsi="仿宋" w:eastAsia="仿宋" w:cs="仿宋"/>
          <w:color w:val="auto"/>
          <w:spacing w:val="-5"/>
          <w:sz w:val="28"/>
          <w:szCs w:val="28"/>
          <w:lang w:eastAsia="zh-CN"/>
        </w:rPr>
        <w:t>1.基本支出</w:t>
      </w:r>
      <w:bookmarkEnd w:id="97"/>
      <w:bookmarkEnd w:id="98"/>
      <w:bookmarkEnd w:id="99"/>
      <w:bookmarkEnd w:id="100"/>
      <w:bookmarkEnd w:id="101"/>
      <w:bookmarkEnd w:id="102"/>
    </w:p>
    <w:p w14:paraId="47475648">
      <w:pPr>
        <w:widowControl w:val="0"/>
        <w:overflowPunct w:val="0"/>
        <w:snapToGrid/>
        <w:spacing w:line="408" w:lineRule="auto"/>
        <w:ind w:firstLine="552" w:firstLineChars="200"/>
        <w:jc w:val="both"/>
        <w:rPr>
          <w:rFonts w:hint="eastAsia" w:ascii="仿宋" w:hAnsi="仿宋" w:eastAsia="仿宋" w:cs="仿宋"/>
          <w:color w:val="auto"/>
          <w:spacing w:val="-4"/>
          <w:sz w:val="28"/>
          <w:szCs w:val="28"/>
          <w:lang w:eastAsia="zh-CN"/>
        </w:rPr>
      </w:pPr>
      <w:r>
        <w:rPr>
          <w:rFonts w:hint="eastAsia" w:ascii="仿宋" w:hAnsi="仿宋" w:eastAsia="仿宋" w:cs="仿宋"/>
          <w:color w:val="auto"/>
          <w:spacing w:val="-2"/>
          <w:sz w:val="28"/>
          <w:szCs w:val="28"/>
          <w:lang w:eastAsia="zh-CN"/>
        </w:rPr>
        <w:t>2024年基本支出当年安排数为274.43万元，决算数272.99万</w:t>
      </w:r>
      <w:r>
        <w:rPr>
          <w:rFonts w:hint="eastAsia" w:ascii="仿宋" w:hAnsi="仿宋" w:eastAsia="仿宋" w:cs="仿宋"/>
          <w:color w:val="auto"/>
          <w:spacing w:val="-4"/>
          <w:sz w:val="28"/>
          <w:szCs w:val="28"/>
          <w:lang w:eastAsia="zh-CN"/>
        </w:rPr>
        <w:t>元，整体执行率为</w:t>
      </w:r>
      <w:r>
        <w:rPr>
          <w:rFonts w:hint="eastAsia" w:ascii="仿宋" w:hAnsi="仿宋" w:eastAsia="仿宋" w:cs="仿宋"/>
          <w:color w:val="auto"/>
          <w:spacing w:val="-2"/>
          <w:sz w:val="28"/>
          <w:szCs w:val="28"/>
          <w:lang w:eastAsia="zh-CN"/>
        </w:rPr>
        <w:t>99.47</w:t>
      </w:r>
      <w:r>
        <w:rPr>
          <w:rFonts w:hint="eastAsia" w:ascii="仿宋" w:hAnsi="仿宋" w:eastAsia="仿宋" w:cs="仿宋"/>
          <w:color w:val="auto"/>
          <w:spacing w:val="-4"/>
          <w:sz w:val="28"/>
          <w:szCs w:val="28"/>
          <w:lang w:eastAsia="zh-CN"/>
        </w:rPr>
        <w:t>%。基本支出的主要用途包括人员工资发放、津贴补贴、五险一金、办公费、差旅费、维修（护）费和其他对个人和家庭的补助等，基本支出情况如</w:t>
      </w:r>
      <w:bookmarkStart w:id="103" w:name="bookmark15"/>
      <w:bookmarkEnd w:id="103"/>
      <w:bookmarkStart w:id="104" w:name="_Toc14534"/>
      <w:r>
        <w:rPr>
          <w:rFonts w:hint="eastAsia" w:ascii="仿宋" w:hAnsi="仿宋" w:eastAsia="仿宋" w:cs="仿宋"/>
          <w:color w:val="auto"/>
          <w:spacing w:val="-4"/>
          <w:sz w:val="28"/>
          <w:szCs w:val="28"/>
          <w:lang w:eastAsia="zh-CN"/>
        </w:rPr>
        <w:t>表8所示。</w:t>
      </w:r>
    </w:p>
    <w:p w14:paraId="16C5DD0E">
      <w:pPr>
        <w:widowControl w:val="0"/>
        <w:overflowPunct w:val="0"/>
        <w:snapToGrid/>
        <w:spacing w:line="408" w:lineRule="auto"/>
        <w:jc w:val="center"/>
        <w:rPr>
          <w:rFonts w:hint="eastAsia" w:ascii="仿宋" w:hAnsi="仿宋" w:eastAsia="仿宋" w:cs="仿宋"/>
          <w:b/>
          <w:sz w:val="24"/>
          <w:szCs w:val="24"/>
          <w:lang w:eastAsia="zh-CN"/>
        </w:rPr>
      </w:pPr>
      <w:r>
        <w:rPr>
          <w:rFonts w:hint="eastAsia" w:ascii="仿宋" w:hAnsi="仿宋" w:eastAsia="仿宋" w:cs="仿宋"/>
          <w:b/>
          <w:spacing w:val="-10"/>
          <w:sz w:val="24"/>
          <w:szCs w:val="24"/>
          <w:lang w:eastAsia="zh-CN"/>
          <w14:textOutline w14:w="5105" w14:cap="sq" w14:cmpd="sng" w14:algn="ctr">
            <w14:solidFill>
              <w14:srgbClr w14:val="000000"/>
            </w14:solidFill>
            <w14:prstDash w14:val="solid"/>
            <w14:bevel/>
          </w14:textOutline>
        </w:rPr>
        <w:t xml:space="preserve">表8   </w:t>
      </w:r>
      <w:r>
        <w:rPr>
          <w:rFonts w:hint="eastAsia" w:ascii="仿宋" w:hAnsi="仿宋" w:eastAsia="仿宋" w:cs="仿宋"/>
          <w:b/>
          <w:color w:val="333333"/>
          <w:spacing w:val="-2"/>
          <w:sz w:val="24"/>
          <w:szCs w:val="24"/>
          <w:lang w:eastAsia="zh-CN"/>
          <w14:textOutline w14:w="5105" w14:cap="sq" w14:cmpd="sng" w14:algn="ctr">
            <w14:solidFill>
              <w14:srgbClr w14:val="333333"/>
            </w14:solidFill>
            <w14:prstDash w14:val="solid"/>
            <w14:bevel/>
          </w14:textOutline>
        </w:rPr>
        <w:t>石狮市退役军人事务局2024年</w:t>
      </w:r>
      <w:r>
        <w:rPr>
          <w:rFonts w:ascii="仿宋" w:hAnsi="仿宋" w:eastAsia="仿宋" w:cs="仿宋"/>
          <w:b/>
          <w:spacing w:val="-10"/>
          <w:sz w:val="24"/>
          <w:szCs w:val="24"/>
          <w:lang w:eastAsia="zh-CN"/>
          <w14:textOutline w14:w="5105" w14:cap="sq" w14:cmpd="sng" w14:algn="ctr">
            <w14:solidFill>
              <w14:srgbClr w14:val="000000"/>
            </w14:solidFill>
            <w14:prstDash w14:val="solid"/>
            <w14:bevel/>
          </w14:textOutline>
        </w:rPr>
        <w:t>基本支出明细</w:t>
      </w:r>
      <w:bookmarkEnd w:id="104"/>
      <w:r>
        <w:rPr>
          <w:rFonts w:hint="eastAsia" w:ascii="仿宋" w:hAnsi="仿宋" w:eastAsia="仿宋" w:cs="仿宋"/>
          <w:b/>
          <w:spacing w:val="-10"/>
          <w:sz w:val="24"/>
          <w:szCs w:val="24"/>
          <w:lang w:eastAsia="zh-CN"/>
          <w14:textOutline w14:w="5105" w14:cap="sq" w14:cmpd="sng" w14:algn="ctr">
            <w14:solidFill>
              <w14:srgbClr w14:val="000000"/>
            </w14:solidFill>
            <w14:prstDash w14:val="solid"/>
            <w14:bevel/>
          </w14:textOutline>
        </w:rPr>
        <w:t>表</w:t>
      </w:r>
    </w:p>
    <w:p w14:paraId="3FBE0DD8">
      <w:pPr>
        <w:widowControl w:val="0"/>
        <w:overflowPunct w:val="0"/>
        <w:ind w:firstLine="540"/>
        <w:jc w:val="right"/>
        <w:rPr>
          <w:rFonts w:hint="eastAsia" w:ascii="仿宋" w:hAnsi="仿宋" w:eastAsia="仿宋" w:cs="仿宋"/>
          <w:bCs/>
          <w:spacing w:val="-10"/>
          <w14:textOutline w14:w="5105" w14:cap="sq" w14:cmpd="sng" w14:algn="ctr">
            <w14:solidFill>
              <w14:srgbClr w14:val="000000"/>
            </w14:solidFill>
            <w14:prstDash w14:val="solid"/>
            <w14:bevel/>
          </w14:textOutline>
        </w:rPr>
      </w:pPr>
      <w:r>
        <w:rPr>
          <w:rFonts w:ascii="仿宋" w:hAnsi="仿宋" w:eastAsia="仿宋" w:cs="仿宋"/>
          <w:bCs/>
          <w:spacing w:val="-10"/>
          <w14:textOutline w14:w="5105" w14:cap="sq" w14:cmpd="sng" w14:algn="ctr">
            <w14:solidFill>
              <w14:srgbClr w14:val="000000"/>
            </w14:solidFill>
            <w14:prstDash w14:val="solid"/>
            <w14:bevel/>
          </w14:textOutline>
        </w:rPr>
        <w:t>单位：万元</w:t>
      </w:r>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6"/>
        <w:gridCol w:w="2775"/>
        <w:gridCol w:w="2167"/>
      </w:tblGrid>
      <w:tr w14:paraId="747F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3988" w:type="dxa"/>
            <w:shd w:val="clear" w:color="auto" w:fill="D8D8D8" w:themeFill="background1" w:themeFillShade="D9"/>
            <w:vAlign w:val="center"/>
          </w:tcPr>
          <w:p w14:paraId="7925F44D">
            <w:pPr>
              <w:jc w:val="center"/>
              <w:textAlignment w:val="center"/>
              <w:rPr>
                <w:rFonts w:hint="eastAsia" w:ascii="仿宋" w:hAnsi="仿宋" w:eastAsia="仿宋" w:cs="宋体"/>
                <w:b/>
                <w:sz w:val="18"/>
                <w:szCs w:val="22"/>
                <w:lang w:eastAsia="zh-CN" w:bidi="ar"/>
              </w:rPr>
            </w:pPr>
            <w:r>
              <w:rPr>
                <w:rFonts w:hint="eastAsia" w:ascii="仿宋" w:hAnsi="仿宋" w:eastAsia="仿宋" w:cs="仿宋"/>
                <w:b/>
                <w:bCs/>
                <w:sz w:val="18"/>
                <w:szCs w:val="18"/>
                <w:lang w:eastAsia="zh-CN" w:bidi="ar"/>
              </w:rPr>
              <w:t>支出项目</w:t>
            </w:r>
          </w:p>
        </w:tc>
        <w:tc>
          <w:tcPr>
            <w:tcW w:w="2546" w:type="dxa"/>
            <w:shd w:val="clear" w:color="auto" w:fill="D8D8D8" w:themeFill="background1" w:themeFillShade="D9"/>
            <w:vAlign w:val="center"/>
          </w:tcPr>
          <w:p w14:paraId="401A3033">
            <w:pPr>
              <w:jc w:val="center"/>
              <w:textAlignment w:val="center"/>
              <w:rPr>
                <w:rFonts w:hint="eastAsia" w:ascii="仿宋" w:hAnsi="仿宋" w:eastAsia="仿宋" w:cs="宋体"/>
                <w:b/>
                <w:sz w:val="18"/>
                <w:szCs w:val="22"/>
                <w:lang w:eastAsia="zh-CN" w:bidi="ar"/>
              </w:rPr>
            </w:pPr>
            <w:r>
              <w:rPr>
                <w:rFonts w:hint="eastAsia" w:ascii="仿宋" w:hAnsi="仿宋" w:eastAsia="仿宋" w:cs="仿宋"/>
                <w:b/>
                <w:bCs/>
                <w:sz w:val="18"/>
                <w:szCs w:val="18"/>
                <w:lang w:eastAsia="zh-CN" w:bidi="ar"/>
              </w:rPr>
              <w:t>金额</w:t>
            </w:r>
          </w:p>
        </w:tc>
        <w:tc>
          <w:tcPr>
            <w:tcW w:w="1988" w:type="dxa"/>
            <w:shd w:val="clear" w:color="auto" w:fill="D8D8D8" w:themeFill="background1" w:themeFillShade="D9"/>
            <w:noWrap/>
            <w:vAlign w:val="center"/>
          </w:tcPr>
          <w:p w14:paraId="47B7E2AD">
            <w:pPr>
              <w:jc w:val="center"/>
              <w:textAlignment w:val="center"/>
              <w:rPr>
                <w:rFonts w:hint="eastAsia" w:ascii="仿宋" w:hAnsi="仿宋" w:eastAsia="仿宋" w:cs="宋体"/>
                <w:b/>
                <w:sz w:val="18"/>
                <w:szCs w:val="22"/>
                <w:lang w:eastAsia="zh-CN" w:bidi="ar"/>
              </w:rPr>
            </w:pPr>
            <w:r>
              <w:rPr>
                <w:rFonts w:hint="eastAsia" w:ascii="仿宋" w:hAnsi="仿宋" w:eastAsia="仿宋" w:cs="仿宋"/>
                <w:b/>
                <w:bCs/>
                <w:sz w:val="18"/>
                <w:szCs w:val="18"/>
                <w:lang w:eastAsia="zh-CN" w:bidi="ar"/>
              </w:rPr>
              <w:t>占比</w:t>
            </w:r>
          </w:p>
        </w:tc>
      </w:tr>
      <w:tr w14:paraId="078D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988" w:type="dxa"/>
            <w:vAlign w:val="center"/>
          </w:tcPr>
          <w:p w14:paraId="6B7393BC">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工资福利支出</w:t>
            </w:r>
          </w:p>
        </w:tc>
        <w:tc>
          <w:tcPr>
            <w:tcW w:w="2546" w:type="dxa"/>
            <w:vAlign w:val="center"/>
          </w:tcPr>
          <w:p w14:paraId="4BF773E1">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253.89</w:t>
            </w:r>
          </w:p>
        </w:tc>
        <w:tc>
          <w:tcPr>
            <w:tcW w:w="1988" w:type="dxa"/>
            <w:noWrap/>
            <w:vAlign w:val="center"/>
          </w:tcPr>
          <w:p w14:paraId="6F255DD2">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93.00%</w:t>
            </w:r>
          </w:p>
        </w:tc>
      </w:tr>
      <w:tr w14:paraId="4489F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988" w:type="dxa"/>
            <w:vAlign w:val="center"/>
          </w:tcPr>
          <w:p w14:paraId="4E39516C">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商品和服务支出</w:t>
            </w:r>
          </w:p>
        </w:tc>
        <w:tc>
          <w:tcPr>
            <w:tcW w:w="2546" w:type="dxa"/>
            <w:vAlign w:val="center"/>
          </w:tcPr>
          <w:p w14:paraId="07F584B0">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18.71</w:t>
            </w:r>
          </w:p>
        </w:tc>
        <w:tc>
          <w:tcPr>
            <w:tcW w:w="1988" w:type="dxa"/>
            <w:noWrap/>
            <w:vAlign w:val="center"/>
          </w:tcPr>
          <w:p w14:paraId="70F00F5A">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6.85%</w:t>
            </w:r>
          </w:p>
        </w:tc>
      </w:tr>
      <w:tr w14:paraId="1F6E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988" w:type="dxa"/>
            <w:vAlign w:val="center"/>
          </w:tcPr>
          <w:p w14:paraId="7B017982">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对个人和家庭的补助</w:t>
            </w:r>
          </w:p>
        </w:tc>
        <w:tc>
          <w:tcPr>
            <w:tcW w:w="2546" w:type="dxa"/>
            <w:vAlign w:val="center"/>
          </w:tcPr>
          <w:p w14:paraId="029F662B">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0.39</w:t>
            </w:r>
          </w:p>
        </w:tc>
        <w:tc>
          <w:tcPr>
            <w:tcW w:w="1988" w:type="dxa"/>
            <w:noWrap/>
            <w:vAlign w:val="center"/>
          </w:tcPr>
          <w:p w14:paraId="381F2F80">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0.14%</w:t>
            </w:r>
          </w:p>
        </w:tc>
      </w:tr>
      <w:tr w14:paraId="311A4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988" w:type="dxa"/>
            <w:noWrap/>
            <w:vAlign w:val="center"/>
          </w:tcPr>
          <w:p w14:paraId="5E805CC1">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合计</w:t>
            </w:r>
          </w:p>
        </w:tc>
        <w:tc>
          <w:tcPr>
            <w:tcW w:w="2546" w:type="dxa"/>
            <w:noWrap/>
            <w:vAlign w:val="center"/>
          </w:tcPr>
          <w:p w14:paraId="7D7331A6">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272.99</w:t>
            </w:r>
          </w:p>
        </w:tc>
        <w:tc>
          <w:tcPr>
            <w:tcW w:w="1988" w:type="dxa"/>
            <w:noWrap/>
            <w:vAlign w:val="center"/>
          </w:tcPr>
          <w:p w14:paraId="4744AFD4">
            <w:pPr>
              <w:jc w:val="center"/>
              <w:textAlignment w:val="center"/>
              <w:rPr>
                <w:rFonts w:hint="eastAsia" w:ascii="仿宋" w:hAnsi="仿宋" w:eastAsia="仿宋" w:cs="宋体"/>
                <w:sz w:val="18"/>
                <w:szCs w:val="22"/>
                <w:lang w:eastAsia="zh-CN" w:bidi="ar"/>
              </w:rPr>
            </w:pPr>
            <w:r>
              <w:rPr>
                <w:rFonts w:hint="eastAsia" w:ascii="仿宋" w:hAnsi="仿宋" w:eastAsia="仿宋" w:cs="仿宋"/>
                <w:sz w:val="18"/>
                <w:szCs w:val="18"/>
                <w:lang w:eastAsia="zh-CN" w:bidi="ar"/>
              </w:rPr>
              <w:t>100.00%</w:t>
            </w:r>
          </w:p>
        </w:tc>
      </w:tr>
    </w:tbl>
    <w:p w14:paraId="5764544C">
      <w:pPr>
        <w:widowControl w:val="0"/>
        <w:overflowPunct w:val="0"/>
        <w:snapToGrid/>
        <w:spacing w:line="408" w:lineRule="auto"/>
        <w:ind w:firstLine="548" w:firstLineChars="200"/>
        <w:jc w:val="both"/>
        <w:outlineLvl w:val="2"/>
        <w:rPr>
          <w:rFonts w:hint="eastAsia" w:ascii="仿宋" w:hAnsi="仿宋" w:eastAsia="仿宋" w:cs="仿宋"/>
          <w:bCs/>
          <w:color w:val="auto"/>
          <w:spacing w:val="-3"/>
          <w:sz w:val="28"/>
          <w:szCs w:val="28"/>
          <w:lang w:eastAsia="zh-CN"/>
        </w:rPr>
      </w:pPr>
      <w:bookmarkStart w:id="105" w:name="_Toc10794"/>
      <w:bookmarkStart w:id="106" w:name="_Toc19779"/>
      <w:bookmarkStart w:id="107" w:name="_Toc9621"/>
      <w:bookmarkStart w:id="108" w:name="_Toc10135"/>
      <w:bookmarkStart w:id="109" w:name="_Toc915"/>
      <w:bookmarkStart w:id="110" w:name="_Toc4604"/>
      <w:r>
        <w:rPr>
          <w:rFonts w:hint="eastAsia" w:ascii="仿宋" w:hAnsi="仿宋" w:eastAsia="仿宋" w:cs="仿宋"/>
          <w:bCs/>
          <w:color w:val="auto"/>
          <w:spacing w:val="-3"/>
          <w:sz w:val="28"/>
          <w:szCs w:val="28"/>
          <w:lang w:eastAsia="zh-CN"/>
        </w:rPr>
        <w:t>2.</w:t>
      </w:r>
      <w:r>
        <w:rPr>
          <w:rFonts w:ascii="仿宋" w:hAnsi="仿宋" w:eastAsia="仿宋" w:cs="仿宋"/>
          <w:bCs/>
          <w:color w:val="auto"/>
          <w:spacing w:val="-3"/>
          <w:sz w:val="28"/>
          <w:szCs w:val="28"/>
          <w:lang w:eastAsia="zh-CN"/>
        </w:rPr>
        <w:t>项目支出</w:t>
      </w:r>
      <w:bookmarkEnd w:id="105"/>
      <w:bookmarkEnd w:id="106"/>
      <w:bookmarkEnd w:id="107"/>
      <w:bookmarkEnd w:id="108"/>
      <w:bookmarkEnd w:id="109"/>
      <w:bookmarkEnd w:id="110"/>
    </w:p>
    <w:p w14:paraId="3F02B935">
      <w:pPr>
        <w:widowControl w:val="0"/>
        <w:overflowPunct w:val="0"/>
        <w:snapToGrid/>
        <w:spacing w:line="408" w:lineRule="auto"/>
        <w:ind w:firstLine="552" w:firstLineChars="200"/>
        <w:jc w:val="both"/>
        <w:rPr>
          <w:rFonts w:hint="eastAsia" w:ascii="仿宋" w:hAnsi="仿宋" w:eastAsia="仿宋" w:cs="仿宋"/>
          <w:color w:val="auto"/>
          <w:spacing w:val="-2"/>
          <w:sz w:val="28"/>
          <w:szCs w:val="28"/>
          <w:lang w:eastAsia="zh-CN"/>
        </w:rPr>
      </w:pPr>
      <w:r>
        <w:rPr>
          <w:rFonts w:hint="eastAsia" w:ascii="仿宋" w:hAnsi="仿宋" w:eastAsia="仿宋" w:cs="仿宋"/>
          <w:color w:val="auto"/>
          <w:spacing w:val="-2"/>
          <w:sz w:val="28"/>
          <w:szCs w:val="28"/>
          <w:lang w:eastAsia="zh-CN"/>
        </w:rPr>
        <w:t>2024年</w:t>
      </w:r>
      <w:r>
        <w:rPr>
          <w:rFonts w:ascii="仿宋" w:hAnsi="仿宋" w:eastAsia="仿宋" w:cs="仿宋"/>
          <w:color w:val="auto"/>
          <w:spacing w:val="-2"/>
          <w:sz w:val="28"/>
          <w:szCs w:val="28"/>
          <w:lang w:eastAsia="zh-CN"/>
        </w:rPr>
        <w:t>项目支出当年预算收</w:t>
      </w:r>
      <w:r>
        <w:rPr>
          <w:rFonts w:hint="eastAsia" w:ascii="仿宋" w:hAnsi="仿宋" w:eastAsia="仿宋" w:cs="仿宋"/>
          <w:color w:val="auto"/>
          <w:spacing w:val="-2"/>
          <w:sz w:val="28"/>
          <w:szCs w:val="28"/>
          <w:lang w:eastAsia="zh-CN"/>
        </w:rPr>
        <w:t>入4403.51万元，支出4403.51万元</w:t>
      </w:r>
      <w:r>
        <w:rPr>
          <w:rFonts w:ascii="仿宋" w:hAnsi="仿宋" w:eastAsia="仿宋" w:cs="仿宋"/>
          <w:color w:val="auto"/>
          <w:spacing w:val="-2"/>
          <w:sz w:val="28"/>
          <w:szCs w:val="28"/>
          <w:lang w:eastAsia="zh-CN"/>
        </w:rPr>
        <w:t>，项目支出整体执行率</w:t>
      </w:r>
      <w:r>
        <w:rPr>
          <w:rFonts w:hint="eastAsia" w:ascii="仿宋" w:hAnsi="仿宋" w:eastAsia="仿宋" w:cs="仿宋"/>
          <w:color w:val="auto"/>
          <w:spacing w:val="-2"/>
          <w:sz w:val="28"/>
          <w:szCs w:val="28"/>
          <w:lang w:eastAsia="zh-CN"/>
        </w:rPr>
        <w:t>100</w:t>
      </w:r>
      <w:r>
        <w:rPr>
          <w:rFonts w:ascii="仿宋" w:hAnsi="仿宋" w:eastAsia="仿宋" w:cs="仿宋"/>
          <w:color w:val="auto"/>
          <w:spacing w:val="-2"/>
          <w:sz w:val="28"/>
          <w:szCs w:val="28"/>
          <w:lang w:eastAsia="zh-CN"/>
        </w:rPr>
        <w:t>%。</w:t>
      </w:r>
      <w:r>
        <w:rPr>
          <w:rFonts w:hint="eastAsia" w:ascii="仿宋" w:hAnsi="仿宋" w:eastAsia="仿宋" w:cs="仿宋"/>
          <w:color w:val="auto"/>
          <w:spacing w:val="-4"/>
          <w:sz w:val="28"/>
          <w:szCs w:val="28"/>
          <w:lang w:eastAsia="zh-CN"/>
        </w:rPr>
        <w:t>项目支出主要用于发放优抚对象生活补助金、义务兵优待金、大学生入伍一次性奖励金、一次性地方经济补助金、退役军人事务员工作补贴、自主择业军转干部退役金补差金、军队退休干部工资、自主择业军转干部医保费用以及退役军人和其他优抚对象慰问金等补助支出。</w:t>
      </w:r>
      <w:r>
        <w:rPr>
          <w:rFonts w:hint="eastAsia" w:ascii="仿宋" w:hAnsi="仿宋" w:eastAsia="仿宋" w:cs="仿宋"/>
          <w:color w:val="auto"/>
          <w:spacing w:val="-2"/>
          <w:sz w:val="28"/>
          <w:szCs w:val="28"/>
          <w:lang w:eastAsia="zh-CN"/>
        </w:rPr>
        <w:t>2024年石狮市退役军人事务局项目支出</w:t>
      </w:r>
      <w:r>
        <w:rPr>
          <w:rFonts w:ascii="仿宋" w:hAnsi="仿宋" w:eastAsia="仿宋" w:cs="仿宋"/>
          <w:color w:val="auto"/>
          <w:spacing w:val="-2"/>
          <w:sz w:val="28"/>
          <w:szCs w:val="28"/>
          <w:lang w:eastAsia="zh-CN"/>
        </w:rPr>
        <w:t>明细如表</w:t>
      </w:r>
      <w:r>
        <w:rPr>
          <w:rFonts w:hint="eastAsia" w:ascii="仿宋" w:hAnsi="仿宋" w:eastAsia="仿宋" w:cs="仿宋"/>
          <w:color w:val="auto"/>
          <w:spacing w:val="-2"/>
          <w:sz w:val="28"/>
          <w:szCs w:val="28"/>
          <w:lang w:eastAsia="zh-CN"/>
        </w:rPr>
        <w:t>9</w:t>
      </w:r>
      <w:r>
        <w:rPr>
          <w:rFonts w:ascii="仿宋" w:hAnsi="仿宋" w:eastAsia="仿宋" w:cs="仿宋"/>
          <w:color w:val="auto"/>
          <w:spacing w:val="-2"/>
          <w:sz w:val="28"/>
          <w:szCs w:val="28"/>
          <w:lang w:eastAsia="zh-CN"/>
        </w:rPr>
        <w:t>所示</w:t>
      </w:r>
      <w:r>
        <w:rPr>
          <w:rFonts w:hint="eastAsia" w:ascii="仿宋" w:hAnsi="仿宋" w:eastAsia="仿宋" w:cs="仿宋"/>
          <w:color w:val="auto"/>
          <w:spacing w:val="-2"/>
          <w:sz w:val="28"/>
          <w:szCs w:val="28"/>
          <w:lang w:eastAsia="zh-CN"/>
        </w:rPr>
        <w:t>。</w:t>
      </w:r>
    </w:p>
    <w:p w14:paraId="6687F8AC">
      <w:pPr>
        <w:widowControl w:val="0"/>
        <w:overflowPunct w:val="0"/>
        <w:spacing w:line="408" w:lineRule="auto"/>
        <w:jc w:val="center"/>
        <w:rPr>
          <w:rFonts w:hint="eastAsia" w:ascii="仿宋" w:hAnsi="仿宋" w:eastAsia="仿宋" w:cs="仿宋"/>
          <w:b/>
          <w:sz w:val="24"/>
          <w:szCs w:val="24"/>
          <w:lang w:eastAsia="zh-CN"/>
        </w:rPr>
      </w:pPr>
      <w:bookmarkStart w:id="111" w:name="_Toc22100"/>
      <w:r>
        <w:rPr>
          <w:rFonts w:hint="eastAsia" w:ascii="仿宋" w:hAnsi="仿宋" w:eastAsia="仿宋" w:cs="仿宋"/>
          <w:b/>
          <w:color w:val="333333"/>
          <w:spacing w:val="-2"/>
          <w:sz w:val="24"/>
          <w:szCs w:val="24"/>
          <w:lang w:eastAsia="zh-CN"/>
          <w14:textOutline w14:w="5105" w14:cap="sq" w14:cmpd="sng" w14:algn="ctr">
            <w14:solidFill>
              <w14:srgbClr w14:val="333333"/>
            </w14:solidFill>
            <w14:prstDash w14:val="solid"/>
            <w14:bevel/>
          </w14:textOutline>
        </w:rPr>
        <w:t>表9   石狮市退役军人事务局2024年</w:t>
      </w:r>
      <w:r>
        <w:rPr>
          <w:rFonts w:ascii="仿宋" w:hAnsi="仿宋" w:eastAsia="仿宋" w:cs="仿宋"/>
          <w:b/>
          <w:color w:val="333333"/>
          <w:spacing w:val="-2"/>
          <w:sz w:val="24"/>
          <w:szCs w:val="24"/>
          <w:lang w:eastAsia="zh-CN"/>
          <w14:textOutline w14:w="5105" w14:cap="sq" w14:cmpd="sng" w14:algn="ctr">
            <w14:solidFill>
              <w14:srgbClr w14:val="333333"/>
            </w14:solidFill>
            <w14:prstDash w14:val="solid"/>
            <w14:bevel/>
          </w14:textOutline>
        </w:rPr>
        <w:t>项目支出明细表</w:t>
      </w:r>
      <w:bookmarkEnd w:id="111"/>
    </w:p>
    <w:p w14:paraId="095BD733">
      <w:pPr>
        <w:widowControl w:val="0"/>
        <w:overflowPunct w:val="0"/>
        <w:jc w:val="right"/>
        <w:rPr>
          <w:rFonts w:hint="eastAsia" w:ascii="仿宋" w:hAnsi="仿宋" w:eastAsia="仿宋" w:cs="仿宋"/>
          <w:color w:val="333333"/>
          <w:spacing w:val="-2"/>
          <w:sz w:val="24"/>
          <w:szCs w:val="28"/>
          <w14:textOutline w14:w="5105" w14:cap="sq" w14:cmpd="sng" w14:algn="ctr">
            <w14:solidFill>
              <w14:srgbClr w14:val="333333"/>
            </w14:solidFill>
            <w14:prstDash w14:val="solid"/>
            <w14:bevel/>
          </w14:textOutline>
        </w:rPr>
      </w:pPr>
      <w:r>
        <w:rPr>
          <w:rFonts w:ascii="仿宋" w:hAnsi="仿宋" w:eastAsia="仿宋" w:cs="仿宋"/>
          <w:bCs/>
          <w:color w:val="333333"/>
          <w:spacing w:val="-2"/>
          <w:sz w:val="24"/>
          <w:szCs w:val="28"/>
          <w14:textOutline w14:w="5105" w14:cap="sq" w14:cmpd="sng" w14:algn="ctr">
            <w14:solidFill>
              <w14:srgbClr w14:val="333333"/>
            </w14:solidFill>
            <w14:prstDash w14:val="solid"/>
            <w14:bevel/>
          </w14:textOutline>
        </w:rPr>
        <w:t>单位：万元</w:t>
      </w:r>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6"/>
        <w:gridCol w:w="3065"/>
        <w:gridCol w:w="1877"/>
      </w:tblGrid>
      <w:tr w14:paraId="5219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3988" w:type="dxa"/>
            <w:shd w:val="clear" w:color="auto" w:fill="D8D8D8" w:themeFill="background1" w:themeFillShade="D9"/>
            <w:vAlign w:val="center"/>
          </w:tcPr>
          <w:p w14:paraId="235B648B">
            <w:pPr>
              <w:jc w:val="center"/>
              <w:textAlignment w:val="center"/>
              <w:rPr>
                <w:rFonts w:hint="eastAsia" w:ascii="仿宋" w:hAnsi="仿宋" w:eastAsia="仿宋" w:cs="宋体"/>
                <w:b/>
                <w:sz w:val="18"/>
                <w:szCs w:val="22"/>
                <w:lang w:eastAsia="zh-CN" w:bidi="ar"/>
              </w:rPr>
            </w:pPr>
            <w:r>
              <w:rPr>
                <w:rFonts w:hint="eastAsia" w:ascii="仿宋" w:hAnsi="仿宋" w:eastAsia="仿宋" w:cs="仿宋"/>
                <w:b/>
                <w:bCs/>
                <w:sz w:val="18"/>
                <w:szCs w:val="18"/>
                <w:lang w:eastAsia="zh-CN" w:bidi="ar"/>
              </w:rPr>
              <w:t>支出项目</w:t>
            </w:r>
          </w:p>
        </w:tc>
        <w:tc>
          <w:tcPr>
            <w:tcW w:w="2812" w:type="dxa"/>
            <w:shd w:val="clear" w:color="auto" w:fill="D8D8D8" w:themeFill="background1" w:themeFillShade="D9"/>
            <w:vAlign w:val="center"/>
          </w:tcPr>
          <w:p w14:paraId="042CF800">
            <w:pPr>
              <w:jc w:val="center"/>
              <w:textAlignment w:val="center"/>
              <w:rPr>
                <w:rFonts w:hint="eastAsia" w:ascii="仿宋" w:hAnsi="仿宋" w:eastAsia="仿宋" w:cs="宋体"/>
                <w:b/>
                <w:sz w:val="18"/>
                <w:szCs w:val="22"/>
                <w:lang w:eastAsia="zh-CN" w:bidi="ar"/>
              </w:rPr>
            </w:pPr>
            <w:r>
              <w:rPr>
                <w:rFonts w:hint="eastAsia" w:ascii="仿宋" w:hAnsi="仿宋" w:eastAsia="仿宋" w:cs="仿宋"/>
                <w:b/>
                <w:bCs/>
                <w:sz w:val="18"/>
                <w:szCs w:val="18"/>
                <w:lang w:eastAsia="zh-CN" w:bidi="ar"/>
              </w:rPr>
              <w:t>金额</w:t>
            </w:r>
          </w:p>
        </w:tc>
        <w:tc>
          <w:tcPr>
            <w:tcW w:w="1722" w:type="dxa"/>
            <w:shd w:val="clear" w:color="auto" w:fill="D8D8D8" w:themeFill="background1" w:themeFillShade="D9"/>
            <w:noWrap/>
            <w:vAlign w:val="center"/>
          </w:tcPr>
          <w:p w14:paraId="4C32C0C3">
            <w:pPr>
              <w:jc w:val="center"/>
              <w:textAlignment w:val="center"/>
              <w:rPr>
                <w:rFonts w:hint="eastAsia" w:ascii="仿宋" w:hAnsi="仿宋" w:eastAsia="仿宋" w:cs="宋体"/>
                <w:b/>
                <w:sz w:val="18"/>
                <w:szCs w:val="22"/>
                <w:lang w:eastAsia="zh-CN" w:bidi="ar"/>
              </w:rPr>
            </w:pPr>
            <w:r>
              <w:rPr>
                <w:rFonts w:hint="eastAsia" w:ascii="仿宋" w:hAnsi="仿宋" w:eastAsia="仿宋" w:cs="仿宋"/>
                <w:b/>
                <w:bCs/>
                <w:sz w:val="18"/>
                <w:szCs w:val="18"/>
                <w:lang w:eastAsia="zh-CN" w:bidi="ar"/>
              </w:rPr>
              <w:t>占比</w:t>
            </w:r>
          </w:p>
        </w:tc>
      </w:tr>
      <w:tr w14:paraId="0B9C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988" w:type="dxa"/>
            <w:vAlign w:val="center"/>
          </w:tcPr>
          <w:p w14:paraId="42A03B4C">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商品和服务支出</w:t>
            </w:r>
          </w:p>
        </w:tc>
        <w:tc>
          <w:tcPr>
            <w:tcW w:w="2812" w:type="dxa"/>
            <w:vAlign w:val="center"/>
          </w:tcPr>
          <w:p w14:paraId="180FB7FD">
            <w:pPr>
              <w:jc w:val="center"/>
              <w:textAlignment w:val="center"/>
              <w:rPr>
                <w:rFonts w:hint="eastAsia" w:ascii="仿宋" w:hAnsi="仿宋" w:eastAsia="仿宋" w:cs="Calibri"/>
                <w:color w:val="auto"/>
                <w:sz w:val="18"/>
                <w:szCs w:val="22"/>
                <w:lang w:eastAsia="zh-CN"/>
              </w:rPr>
            </w:pPr>
            <w:r>
              <w:rPr>
                <w:rFonts w:hint="eastAsia" w:ascii="仿宋" w:hAnsi="仿宋" w:eastAsia="仿宋" w:cs="仿宋"/>
                <w:sz w:val="18"/>
                <w:szCs w:val="18"/>
                <w:lang w:eastAsia="zh-CN" w:bidi="ar"/>
              </w:rPr>
              <w:t>494.76</w:t>
            </w:r>
          </w:p>
        </w:tc>
        <w:tc>
          <w:tcPr>
            <w:tcW w:w="1722" w:type="dxa"/>
            <w:noWrap/>
            <w:vAlign w:val="center"/>
          </w:tcPr>
          <w:p w14:paraId="2E123589">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11.24%</w:t>
            </w:r>
          </w:p>
        </w:tc>
      </w:tr>
      <w:tr w14:paraId="07B2E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988" w:type="dxa"/>
            <w:vAlign w:val="center"/>
          </w:tcPr>
          <w:p w14:paraId="0FE6B113">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对个人和家庭的补助</w:t>
            </w:r>
          </w:p>
        </w:tc>
        <w:tc>
          <w:tcPr>
            <w:tcW w:w="2812" w:type="dxa"/>
            <w:vAlign w:val="center"/>
          </w:tcPr>
          <w:p w14:paraId="2023EC6A">
            <w:pPr>
              <w:jc w:val="center"/>
              <w:textAlignment w:val="center"/>
              <w:rPr>
                <w:rFonts w:hint="eastAsia" w:ascii="仿宋" w:hAnsi="仿宋" w:eastAsia="仿宋" w:cs="Calibri"/>
                <w:color w:val="auto"/>
                <w:sz w:val="18"/>
                <w:szCs w:val="22"/>
                <w:lang w:eastAsia="zh-CN"/>
              </w:rPr>
            </w:pPr>
            <w:r>
              <w:rPr>
                <w:rFonts w:hint="eastAsia" w:ascii="仿宋" w:hAnsi="仿宋" w:eastAsia="仿宋" w:cs="仿宋"/>
                <w:sz w:val="18"/>
                <w:szCs w:val="18"/>
                <w:lang w:eastAsia="zh-CN" w:bidi="ar"/>
              </w:rPr>
              <w:t>3745.63</w:t>
            </w:r>
          </w:p>
        </w:tc>
        <w:tc>
          <w:tcPr>
            <w:tcW w:w="1722" w:type="dxa"/>
            <w:noWrap/>
            <w:vAlign w:val="center"/>
          </w:tcPr>
          <w:p w14:paraId="1D314F10">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85.06%</w:t>
            </w:r>
          </w:p>
        </w:tc>
      </w:tr>
      <w:tr w14:paraId="49F0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988" w:type="dxa"/>
            <w:noWrap/>
            <w:vAlign w:val="center"/>
          </w:tcPr>
          <w:p w14:paraId="755ED5FF">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资本性支出</w:t>
            </w:r>
          </w:p>
        </w:tc>
        <w:tc>
          <w:tcPr>
            <w:tcW w:w="2812" w:type="dxa"/>
            <w:noWrap/>
            <w:vAlign w:val="center"/>
          </w:tcPr>
          <w:p w14:paraId="52447D9D">
            <w:pPr>
              <w:jc w:val="center"/>
              <w:textAlignment w:val="center"/>
              <w:rPr>
                <w:rFonts w:hint="eastAsia" w:ascii="仿宋" w:hAnsi="仿宋" w:eastAsia="仿宋" w:cs="Calibri"/>
                <w:color w:val="auto"/>
                <w:sz w:val="18"/>
                <w:szCs w:val="22"/>
                <w:lang w:eastAsia="zh-CN"/>
              </w:rPr>
            </w:pPr>
            <w:r>
              <w:rPr>
                <w:rFonts w:hint="eastAsia" w:ascii="仿宋" w:hAnsi="仿宋" w:eastAsia="仿宋" w:cs="仿宋"/>
                <w:sz w:val="18"/>
                <w:szCs w:val="18"/>
                <w:lang w:eastAsia="zh-CN" w:bidi="ar"/>
              </w:rPr>
              <w:t>121.56</w:t>
            </w:r>
          </w:p>
        </w:tc>
        <w:tc>
          <w:tcPr>
            <w:tcW w:w="1722" w:type="dxa"/>
            <w:noWrap/>
            <w:vAlign w:val="center"/>
          </w:tcPr>
          <w:p w14:paraId="2893D21E">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2.76%</w:t>
            </w:r>
          </w:p>
        </w:tc>
      </w:tr>
      <w:tr w14:paraId="289F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988" w:type="dxa"/>
            <w:noWrap/>
            <w:vAlign w:val="center"/>
          </w:tcPr>
          <w:p w14:paraId="2E49EDB9">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其他支出</w:t>
            </w:r>
          </w:p>
        </w:tc>
        <w:tc>
          <w:tcPr>
            <w:tcW w:w="2812" w:type="dxa"/>
            <w:noWrap/>
            <w:vAlign w:val="center"/>
          </w:tcPr>
          <w:p w14:paraId="6531A347">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41.56</w:t>
            </w:r>
          </w:p>
        </w:tc>
        <w:tc>
          <w:tcPr>
            <w:tcW w:w="1722" w:type="dxa"/>
            <w:noWrap/>
            <w:vAlign w:val="center"/>
          </w:tcPr>
          <w:p w14:paraId="3C51C92A">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0.94%</w:t>
            </w:r>
          </w:p>
        </w:tc>
      </w:tr>
      <w:tr w14:paraId="1B3C8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988" w:type="dxa"/>
            <w:noWrap/>
            <w:vAlign w:val="center"/>
          </w:tcPr>
          <w:p w14:paraId="7A92501C">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合计</w:t>
            </w:r>
          </w:p>
        </w:tc>
        <w:tc>
          <w:tcPr>
            <w:tcW w:w="2812" w:type="dxa"/>
            <w:noWrap/>
            <w:vAlign w:val="center"/>
          </w:tcPr>
          <w:p w14:paraId="5A182A52">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4403.51</w:t>
            </w:r>
          </w:p>
        </w:tc>
        <w:tc>
          <w:tcPr>
            <w:tcW w:w="1722" w:type="dxa"/>
            <w:noWrap/>
            <w:vAlign w:val="center"/>
          </w:tcPr>
          <w:p w14:paraId="6C1C7835">
            <w:pPr>
              <w:jc w:val="center"/>
              <w:textAlignment w:val="center"/>
              <w:rPr>
                <w:rFonts w:hint="eastAsia" w:ascii="仿宋" w:hAnsi="仿宋" w:eastAsia="仿宋" w:cs="宋体"/>
                <w:color w:val="auto"/>
                <w:sz w:val="18"/>
                <w:szCs w:val="22"/>
                <w:lang w:eastAsia="zh-CN" w:bidi="ar"/>
              </w:rPr>
            </w:pPr>
            <w:r>
              <w:rPr>
                <w:rFonts w:hint="eastAsia" w:ascii="仿宋" w:hAnsi="仿宋" w:eastAsia="仿宋" w:cs="仿宋"/>
                <w:sz w:val="18"/>
                <w:szCs w:val="18"/>
                <w:lang w:eastAsia="zh-CN" w:bidi="ar"/>
              </w:rPr>
              <w:t>100.00%</w:t>
            </w:r>
          </w:p>
        </w:tc>
      </w:tr>
    </w:tbl>
    <w:p w14:paraId="7B7DCA51">
      <w:pPr>
        <w:widowControl w:val="0"/>
        <w:overflowPunct w:val="0"/>
        <w:snapToGrid/>
        <w:spacing w:line="408" w:lineRule="auto"/>
        <w:ind w:firstLine="544" w:firstLineChars="200"/>
        <w:jc w:val="both"/>
        <w:outlineLvl w:val="2"/>
        <w:rPr>
          <w:rFonts w:hint="eastAsia" w:ascii="仿宋" w:hAnsi="仿宋" w:eastAsia="仿宋" w:cs="仿宋"/>
          <w:color w:val="auto"/>
          <w:sz w:val="28"/>
          <w:szCs w:val="28"/>
          <w:lang w:eastAsia="zh-CN"/>
        </w:rPr>
      </w:pPr>
      <w:bookmarkStart w:id="112" w:name="_Toc19018"/>
      <w:bookmarkStart w:id="113" w:name="_Toc12740"/>
      <w:bookmarkStart w:id="114" w:name="_Toc11255"/>
      <w:bookmarkStart w:id="115" w:name="_Toc26905"/>
      <w:bookmarkStart w:id="116" w:name="_Toc26041"/>
      <w:bookmarkStart w:id="117" w:name="_Toc3026"/>
      <w:bookmarkStart w:id="118" w:name="_Toc10931"/>
      <w:r>
        <w:rPr>
          <w:rFonts w:hint="eastAsia" w:ascii="仿宋" w:hAnsi="仿宋" w:eastAsia="仿宋" w:cs="仿宋"/>
          <w:color w:val="auto"/>
          <w:spacing w:val="-4"/>
          <w:sz w:val="28"/>
          <w:szCs w:val="28"/>
          <w:lang w:eastAsia="zh-CN"/>
        </w:rPr>
        <w:t>3.“三公”经费的使用和管理情况</w:t>
      </w:r>
      <w:bookmarkEnd w:id="112"/>
      <w:bookmarkEnd w:id="113"/>
      <w:bookmarkEnd w:id="114"/>
      <w:bookmarkEnd w:id="115"/>
      <w:bookmarkEnd w:id="116"/>
      <w:bookmarkEnd w:id="117"/>
    </w:p>
    <w:p w14:paraId="23C771C6">
      <w:pPr>
        <w:widowControl w:val="0"/>
        <w:overflowPunct w:val="0"/>
        <w:snapToGrid/>
        <w:spacing w:line="408" w:lineRule="auto"/>
        <w:ind w:firstLine="528"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pacing w:val="-8"/>
          <w:sz w:val="28"/>
          <w:szCs w:val="28"/>
          <w:lang w:eastAsia="zh-CN"/>
        </w:rPr>
        <w:t>2024年度石狮市退役军人事务局一般公共预算财政拨款“三公”经费“公用经费”情况</w:t>
      </w:r>
      <w:r>
        <w:rPr>
          <w:rFonts w:hint="eastAsia" w:ascii="仿宋" w:hAnsi="仿宋" w:eastAsia="仿宋" w:cs="仿宋"/>
          <w:color w:val="auto"/>
          <w:spacing w:val="-4"/>
          <w:sz w:val="28"/>
          <w:szCs w:val="28"/>
          <w:lang w:eastAsia="zh-CN"/>
        </w:rPr>
        <w:t>如</w:t>
      </w:r>
      <w:r>
        <w:rPr>
          <w:rFonts w:hint="eastAsia" w:ascii="仿宋" w:hAnsi="仿宋" w:eastAsia="仿宋" w:cs="仿宋"/>
          <w:color w:val="auto"/>
          <w:spacing w:val="-8"/>
          <w:sz w:val="28"/>
          <w:szCs w:val="28"/>
          <w:lang w:eastAsia="zh-CN"/>
        </w:rPr>
        <w:t>下表10所示。</w:t>
      </w:r>
    </w:p>
    <w:p w14:paraId="35648595">
      <w:pPr>
        <w:widowControl w:val="0"/>
        <w:overflowPunct w:val="0"/>
        <w:spacing w:line="408" w:lineRule="auto"/>
        <w:jc w:val="center"/>
        <w:rPr>
          <w:rFonts w:hint="eastAsia" w:ascii="仿宋" w:hAnsi="仿宋" w:eastAsia="仿宋" w:cs="仿宋"/>
          <w:bCs/>
          <w:color w:val="333333"/>
          <w:spacing w:val="-2"/>
          <w:sz w:val="24"/>
          <w:szCs w:val="24"/>
          <w:lang w:eastAsia="zh-CN"/>
          <w14:textOutline w14:w="5105" w14:cap="sq" w14:cmpd="sng" w14:algn="ctr">
            <w14:solidFill>
              <w14:srgbClr w14:val="333333"/>
            </w14:solidFill>
            <w14:prstDash w14:val="solid"/>
            <w14:bevel/>
          </w14:textOutline>
        </w:rPr>
      </w:pPr>
      <w:r>
        <w:rPr>
          <w:rFonts w:hint="eastAsia" w:ascii="仿宋" w:hAnsi="仿宋" w:eastAsia="仿宋" w:cs="仿宋"/>
          <w:bCs/>
          <w:color w:val="333333"/>
          <w:spacing w:val="-2"/>
          <w:sz w:val="24"/>
          <w:szCs w:val="24"/>
          <w:lang w:eastAsia="zh-CN"/>
          <w14:textOutline w14:w="5105" w14:cap="sq" w14:cmpd="sng" w14:algn="ctr">
            <w14:solidFill>
              <w14:srgbClr w14:val="333333"/>
            </w14:solidFill>
            <w14:prstDash w14:val="solid"/>
            <w14:bevel/>
          </w14:textOutline>
        </w:rPr>
        <w:t>表10  2024年</w:t>
      </w:r>
      <w:r>
        <w:rPr>
          <w:rFonts w:hint="eastAsia" w:ascii="仿宋" w:hAnsi="仿宋" w:eastAsia="仿宋" w:cs="仿宋"/>
          <w:bCs/>
          <w:spacing w:val="-3"/>
          <w:sz w:val="24"/>
          <w:szCs w:val="24"/>
          <w:lang w:eastAsia="zh-CN"/>
          <w14:textOutline w14:w="5105" w14:cap="sq" w14:cmpd="sng" w14:algn="ctr">
            <w14:solidFill>
              <w14:srgbClr w14:val="000000"/>
            </w14:solidFill>
            <w14:prstDash w14:val="solid"/>
            <w14:bevel/>
          </w14:textOutline>
        </w:rPr>
        <w:t>石狮市退役军人事务局“三公”经费</w:t>
      </w:r>
      <w:r>
        <w:rPr>
          <w:rFonts w:hint="eastAsia" w:ascii="仿宋" w:hAnsi="仿宋" w:eastAsia="仿宋" w:cs="仿宋"/>
          <w:bCs/>
          <w:color w:val="333333"/>
          <w:spacing w:val="-2"/>
          <w:sz w:val="24"/>
          <w:szCs w:val="24"/>
          <w:lang w:eastAsia="zh-CN"/>
          <w14:textOutline w14:w="5105" w14:cap="sq" w14:cmpd="sng" w14:algn="ctr">
            <w14:solidFill>
              <w14:srgbClr w14:val="333333"/>
            </w14:solidFill>
            <w14:prstDash w14:val="solid"/>
            <w14:bevel/>
          </w14:textOutline>
        </w:rPr>
        <w:t>、公用经费表</w:t>
      </w:r>
      <w:bookmarkEnd w:id="118"/>
    </w:p>
    <w:p w14:paraId="6C6577FF">
      <w:pPr>
        <w:widowControl w:val="0"/>
        <w:overflowPunct w:val="0"/>
        <w:jc w:val="right"/>
        <w:rPr>
          <w:rFonts w:hint="eastAsia" w:ascii="仿宋" w:hAnsi="仿宋" w:eastAsia="仿宋"/>
          <w:bCs/>
          <w:color w:val="auto"/>
        </w:rPr>
      </w:pPr>
      <w:r>
        <w:rPr>
          <w:rFonts w:hint="eastAsia" w:ascii="仿宋" w:hAnsi="仿宋" w:eastAsia="仿宋" w:cs="仿宋"/>
          <w:bCs/>
          <w:color w:val="333333"/>
          <w:spacing w:val="-2"/>
          <w:lang w:eastAsia="zh-CN"/>
          <w14:textOutline w14:w="5105" w14:cap="sq" w14:cmpd="sng" w14:algn="ctr">
            <w14:solidFill>
              <w14:srgbClr w14:val="333333"/>
            </w14:solidFill>
            <w14:prstDash w14:val="solid"/>
            <w14:bevel/>
          </w14:textOutline>
        </w:rPr>
        <w:t>单位：万元</w:t>
      </w:r>
    </w:p>
    <w:tbl>
      <w:tblPr>
        <w:tblStyle w:val="91"/>
        <w:tblW w:w="48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1"/>
        <w:gridCol w:w="2967"/>
        <w:gridCol w:w="2788"/>
      </w:tblGrid>
      <w:tr w14:paraId="161EE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1829" w:type="pct"/>
            <w:shd w:val="clear" w:color="auto" w:fill="D8D8D8" w:themeFill="background1" w:themeFillShade="D9"/>
            <w:vAlign w:val="center"/>
          </w:tcPr>
          <w:p w14:paraId="0BB96DCC">
            <w:pPr>
              <w:widowControl w:val="0"/>
              <w:overflowPunct w:val="0"/>
              <w:spacing w:line="408" w:lineRule="auto"/>
              <w:jc w:val="center"/>
              <w:textAlignment w:val="center"/>
              <w:rPr>
                <w:rFonts w:hint="eastAsia" w:ascii="仿宋" w:hAnsi="仿宋" w:eastAsia="仿宋" w:cs="仿宋"/>
                <w:b/>
                <w:bCs/>
                <w:color w:val="auto"/>
                <w:sz w:val="18"/>
                <w:szCs w:val="22"/>
                <w:lang w:eastAsia="zh-CN" w:bidi="ar"/>
              </w:rPr>
            </w:pPr>
            <w:r>
              <w:rPr>
                <w:rFonts w:hint="eastAsia" w:ascii="仿宋" w:hAnsi="仿宋" w:eastAsia="仿宋" w:cs="仿宋"/>
                <w:b/>
                <w:bCs/>
                <w:color w:val="auto"/>
                <w:sz w:val="18"/>
                <w:szCs w:val="22"/>
                <w:lang w:eastAsia="zh-CN" w:bidi="ar"/>
              </w:rPr>
              <w:t>项目</w:t>
            </w:r>
          </w:p>
        </w:tc>
        <w:tc>
          <w:tcPr>
            <w:tcW w:w="1634" w:type="pct"/>
            <w:shd w:val="clear" w:color="auto" w:fill="D8D8D8" w:themeFill="background1" w:themeFillShade="D9"/>
            <w:vAlign w:val="center"/>
          </w:tcPr>
          <w:p w14:paraId="63B5DDD5">
            <w:pPr>
              <w:widowControl w:val="0"/>
              <w:overflowPunct w:val="0"/>
              <w:spacing w:line="408" w:lineRule="auto"/>
              <w:jc w:val="center"/>
              <w:textAlignment w:val="center"/>
              <w:rPr>
                <w:rFonts w:hint="eastAsia" w:ascii="仿宋" w:hAnsi="仿宋" w:eastAsia="仿宋" w:cs="仿宋"/>
                <w:b/>
                <w:bCs/>
                <w:color w:val="auto"/>
                <w:sz w:val="18"/>
                <w:szCs w:val="22"/>
                <w:lang w:eastAsia="zh-CN" w:bidi="ar"/>
              </w:rPr>
            </w:pPr>
            <w:r>
              <w:rPr>
                <w:rFonts w:hint="eastAsia" w:ascii="仿宋" w:hAnsi="仿宋" w:eastAsia="仿宋" w:cs="仿宋"/>
                <w:b/>
                <w:bCs/>
                <w:color w:val="auto"/>
                <w:sz w:val="18"/>
                <w:szCs w:val="22"/>
                <w:lang w:eastAsia="zh-CN" w:bidi="ar"/>
              </w:rPr>
              <w:t>2024年预算数</w:t>
            </w:r>
          </w:p>
        </w:tc>
        <w:tc>
          <w:tcPr>
            <w:tcW w:w="1535" w:type="pct"/>
            <w:shd w:val="clear" w:color="auto" w:fill="D8D8D8" w:themeFill="background1" w:themeFillShade="D9"/>
            <w:vAlign w:val="center"/>
          </w:tcPr>
          <w:p w14:paraId="530C3375">
            <w:pPr>
              <w:widowControl w:val="0"/>
              <w:overflowPunct w:val="0"/>
              <w:spacing w:line="408" w:lineRule="auto"/>
              <w:jc w:val="center"/>
              <w:textAlignment w:val="center"/>
              <w:rPr>
                <w:rFonts w:hint="eastAsia" w:ascii="仿宋" w:hAnsi="仿宋" w:eastAsia="仿宋" w:cs="仿宋"/>
                <w:b/>
                <w:bCs/>
                <w:color w:val="auto"/>
                <w:sz w:val="18"/>
                <w:szCs w:val="22"/>
                <w:lang w:eastAsia="zh-CN" w:bidi="ar"/>
              </w:rPr>
            </w:pPr>
            <w:r>
              <w:rPr>
                <w:rFonts w:hint="eastAsia" w:ascii="仿宋" w:hAnsi="仿宋" w:eastAsia="仿宋" w:cs="仿宋"/>
                <w:b/>
                <w:bCs/>
                <w:color w:val="auto"/>
                <w:sz w:val="18"/>
                <w:szCs w:val="22"/>
                <w:lang w:eastAsia="zh-CN" w:bidi="ar"/>
              </w:rPr>
              <w:t>2024年实际支出数</w:t>
            </w:r>
          </w:p>
        </w:tc>
      </w:tr>
      <w:tr w14:paraId="0A8E2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829" w:type="pct"/>
            <w:vAlign w:val="center"/>
          </w:tcPr>
          <w:p w14:paraId="3B46A281">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“三公”经费支出</w:t>
            </w:r>
          </w:p>
        </w:tc>
        <w:tc>
          <w:tcPr>
            <w:tcW w:w="1634" w:type="pct"/>
            <w:vAlign w:val="center"/>
          </w:tcPr>
          <w:p w14:paraId="1FD4F779">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3.5</w:t>
            </w:r>
          </w:p>
        </w:tc>
        <w:tc>
          <w:tcPr>
            <w:tcW w:w="1535" w:type="pct"/>
            <w:vAlign w:val="center"/>
          </w:tcPr>
          <w:p w14:paraId="482690CF">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3.825</w:t>
            </w:r>
          </w:p>
        </w:tc>
      </w:tr>
      <w:tr w14:paraId="3F92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829" w:type="pct"/>
            <w:vAlign w:val="center"/>
          </w:tcPr>
          <w:p w14:paraId="09EEF87C">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公用经费支出</w:t>
            </w:r>
          </w:p>
        </w:tc>
        <w:tc>
          <w:tcPr>
            <w:tcW w:w="1634" w:type="pct"/>
            <w:vAlign w:val="center"/>
          </w:tcPr>
          <w:p w14:paraId="2FBF56C9">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20.48</w:t>
            </w:r>
          </w:p>
        </w:tc>
        <w:tc>
          <w:tcPr>
            <w:tcW w:w="1535" w:type="pct"/>
            <w:vAlign w:val="center"/>
          </w:tcPr>
          <w:p w14:paraId="5A71172A">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18.71</w:t>
            </w:r>
          </w:p>
        </w:tc>
      </w:tr>
    </w:tbl>
    <w:p w14:paraId="720413DB">
      <w:pPr>
        <w:widowControl w:val="0"/>
        <w:overflowPunct w:val="0"/>
        <w:snapToGrid/>
        <w:spacing w:before="240" w:after="120" w:line="408" w:lineRule="auto"/>
        <w:ind w:firstLine="556" w:firstLineChars="200"/>
        <w:outlineLvl w:val="0"/>
        <w:rPr>
          <w:rFonts w:hint="eastAsia" w:ascii="仿宋" w:hAnsi="仿宋" w:eastAsia="仿宋" w:cs="仿宋"/>
          <w:bCs/>
          <w:color w:val="auto"/>
          <w:spacing w:val="-1"/>
          <w:sz w:val="28"/>
          <w:szCs w:val="28"/>
          <w14:textOutline w14:w="5105" w14:cap="sq" w14:cmpd="sng" w14:algn="ctr">
            <w14:solidFill>
              <w14:srgbClr w14:val="333333"/>
            </w14:solidFill>
            <w14:prstDash w14:val="solid"/>
            <w14:bevel/>
          </w14:textOutline>
        </w:rPr>
      </w:pPr>
      <w:bookmarkStart w:id="119" w:name="_Toc17411"/>
      <w:bookmarkStart w:id="120" w:name="_Toc14613"/>
      <w:bookmarkStart w:id="121" w:name="_Toc10930"/>
      <w:bookmarkStart w:id="122" w:name="_Toc14444"/>
      <w:bookmarkStart w:id="123" w:name="_Toc15261"/>
      <w:r>
        <w:rPr>
          <w:rFonts w:hint="eastAsia" w:ascii="仿宋" w:hAnsi="仿宋" w:eastAsia="仿宋" w:cs="仿宋"/>
          <w:bCs/>
          <w:color w:val="auto"/>
          <w:spacing w:val="-1"/>
          <w:sz w:val="28"/>
          <w:szCs w:val="28"/>
          <w:lang w:eastAsia="zh-CN"/>
          <w14:textOutline w14:w="5105" w14:cap="sq" w14:cmpd="sng" w14:algn="ctr">
            <w14:solidFill>
              <w14:srgbClr w14:val="333333"/>
            </w14:solidFill>
            <w14:prstDash w14:val="solid"/>
            <w14:bevel/>
          </w14:textOutline>
        </w:rPr>
        <w:t>三、</w:t>
      </w:r>
      <w:r>
        <w:rPr>
          <w:rFonts w:hint="eastAsia" w:ascii="仿宋" w:hAnsi="仿宋" w:eastAsia="仿宋" w:cs="仿宋"/>
          <w:bCs/>
          <w:color w:val="auto"/>
          <w:spacing w:val="-1"/>
          <w:sz w:val="28"/>
          <w:szCs w:val="28"/>
          <w14:textOutline w14:w="5105" w14:cap="sq" w14:cmpd="sng" w14:algn="ctr">
            <w14:solidFill>
              <w14:srgbClr w14:val="333333"/>
            </w14:solidFill>
            <w14:prstDash w14:val="solid"/>
            <w14:bevel/>
          </w14:textOutline>
        </w:rPr>
        <w:t>部门年度总体目标</w:t>
      </w:r>
      <w:bookmarkEnd w:id="119"/>
      <w:bookmarkEnd w:id="120"/>
      <w:bookmarkEnd w:id="121"/>
      <w:bookmarkEnd w:id="122"/>
      <w:bookmarkEnd w:id="123"/>
    </w:p>
    <w:p w14:paraId="217AA821">
      <w:pPr>
        <w:widowControl w:val="0"/>
        <w:overflowPunct w:val="0"/>
        <w:snapToGrid/>
        <w:spacing w:line="408" w:lineRule="auto"/>
        <w:ind w:firstLine="528" w:firstLineChars="200"/>
        <w:jc w:val="both"/>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2024年，石狮市退役军人事务局主要任务是：坚持以退役军人为中心，服务军队改革，扎实做好退役军人各项服务管理保障工作。围绕上述任务，重点抓好以下工作：全力做好支前保障工作；认真做好优待抚恤工作；认真开展褒扬纪念工作；有效促进就业创业工作；完善服务保障体系建设工作；着力提升军队服务管理水平；坚决完成年度安置任务。</w:t>
      </w:r>
    </w:p>
    <w:p w14:paraId="7990BF4B">
      <w:pPr>
        <w:widowControl w:val="0"/>
        <w:overflowPunct w:val="0"/>
        <w:snapToGrid/>
        <w:spacing w:before="240" w:after="120" w:line="408" w:lineRule="auto"/>
        <w:ind w:firstLine="278" w:firstLineChars="100"/>
        <w:outlineLvl w:val="0"/>
        <w:rPr>
          <w:rFonts w:hint="eastAsia" w:ascii="仿宋" w:hAnsi="仿宋" w:eastAsia="仿宋" w:cs="仿宋"/>
          <w:bCs/>
          <w:color w:val="auto"/>
          <w:spacing w:val="-1"/>
          <w:sz w:val="28"/>
          <w:szCs w:val="28"/>
          <w:lang w:eastAsia="zh-CN"/>
          <w14:textOutline w14:w="5105" w14:cap="sq" w14:cmpd="sng" w14:algn="ctr">
            <w14:solidFill>
              <w14:srgbClr w14:val="333333"/>
            </w14:solidFill>
            <w14:prstDash w14:val="solid"/>
            <w14:bevel/>
          </w14:textOutline>
        </w:rPr>
      </w:pPr>
      <w:bookmarkStart w:id="124" w:name="bookmark21"/>
      <w:bookmarkEnd w:id="124"/>
      <w:bookmarkStart w:id="125" w:name="bookmark20"/>
      <w:bookmarkEnd w:id="125"/>
      <w:bookmarkStart w:id="126" w:name="_Toc25096"/>
      <w:bookmarkStart w:id="127" w:name="_Toc3025"/>
      <w:bookmarkStart w:id="128" w:name="_Toc32614"/>
      <w:bookmarkStart w:id="129" w:name="_Toc24906"/>
      <w:bookmarkStart w:id="130" w:name="_Toc10501"/>
      <w:r>
        <w:rPr>
          <w:rFonts w:hint="eastAsia" w:ascii="仿宋" w:hAnsi="仿宋" w:eastAsia="仿宋" w:cs="仿宋"/>
          <w:bCs/>
          <w:color w:val="auto"/>
          <w:spacing w:val="-1"/>
          <w:sz w:val="28"/>
          <w:szCs w:val="28"/>
          <w:lang w:eastAsia="zh-CN"/>
          <w14:textOutline w14:w="5105" w14:cap="sq" w14:cmpd="sng" w14:algn="ctr">
            <w14:solidFill>
              <w14:srgbClr w14:val="333333"/>
            </w14:solidFill>
            <w14:prstDash w14:val="solid"/>
            <w14:bevel/>
          </w14:textOutline>
        </w:rPr>
        <w:t>四、评价思路</w:t>
      </w:r>
      <w:bookmarkEnd w:id="126"/>
      <w:bookmarkEnd w:id="127"/>
      <w:bookmarkEnd w:id="128"/>
      <w:bookmarkEnd w:id="129"/>
      <w:bookmarkEnd w:id="130"/>
    </w:p>
    <w:p w14:paraId="4107A11F">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131" w:name="_Toc25644"/>
      <w:bookmarkStart w:id="132" w:name="_Toc4082"/>
      <w:bookmarkStart w:id="133" w:name="_Toc22826"/>
      <w:bookmarkStart w:id="134" w:name="_Toc11367"/>
      <w:r>
        <w:rPr>
          <w:rFonts w:hint="eastAsia" w:ascii="仿宋" w:hAnsi="仿宋" w:eastAsia="仿宋" w:cs="仿宋"/>
          <w:b/>
          <w:color w:val="auto"/>
          <w:spacing w:val="3"/>
          <w:sz w:val="28"/>
          <w:szCs w:val="28"/>
          <w:lang w:eastAsia="zh-CN"/>
        </w:rPr>
        <w:t>（一）评价目的</w:t>
      </w:r>
      <w:bookmarkEnd w:id="131"/>
      <w:bookmarkEnd w:id="132"/>
      <w:bookmarkEnd w:id="133"/>
      <w:bookmarkEnd w:id="134"/>
    </w:p>
    <w:p w14:paraId="5CBD0C49">
      <w:pPr>
        <w:widowControl w:val="0"/>
        <w:overflowPunct w:val="0"/>
        <w:snapToGrid/>
        <w:spacing w:line="408" w:lineRule="auto"/>
        <w:ind w:firstLine="572" w:firstLineChars="200"/>
        <w:jc w:val="both"/>
        <w:rPr>
          <w:rFonts w:hint="eastAsia" w:ascii="仿宋" w:hAnsi="仿宋" w:eastAsia="仿宋" w:cs="仿宋"/>
          <w:color w:val="auto"/>
          <w:sz w:val="28"/>
          <w:szCs w:val="28"/>
          <w:lang w:eastAsia="zh-CN"/>
        </w:rPr>
      </w:pPr>
      <w:bookmarkStart w:id="135" w:name="_Toc17906"/>
      <w:bookmarkStart w:id="136" w:name="_Toc10724"/>
      <w:r>
        <w:rPr>
          <w:rFonts w:hint="eastAsia" w:ascii="仿宋" w:hAnsi="仿宋" w:eastAsia="仿宋" w:cs="仿宋"/>
          <w:color w:val="auto"/>
          <w:spacing w:val="3"/>
          <w:sz w:val="28"/>
          <w:szCs w:val="28"/>
          <w:lang w:eastAsia="zh-CN"/>
        </w:rPr>
        <w:t>为深入贯彻落实中共中央国务院《关于全面实施预算绩效管理的意</w:t>
      </w:r>
      <w:bookmarkEnd w:id="135"/>
      <w:bookmarkEnd w:id="136"/>
      <w:r>
        <w:rPr>
          <w:rFonts w:hint="eastAsia" w:ascii="仿宋" w:hAnsi="仿宋" w:eastAsia="仿宋" w:cs="仿宋"/>
          <w:color w:val="auto"/>
          <w:spacing w:val="-2"/>
          <w:sz w:val="28"/>
          <w:szCs w:val="28"/>
          <w:lang w:eastAsia="zh-CN"/>
        </w:rPr>
        <w:t>见》相关要求，根据石狮市财政局安排，对2024年度</w:t>
      </w:r>
      <w:r>
        <w:rPr>
          <w:rFonts w:hint="eastAsia" w:ascii="仿宋" w:hAnsi="仿宋" w:eastAsia="仿宋" w:cs="仿宋"/>
          <w:color w:val="auto"/>
          <w:spacing w:val="-3"/>
          <w:sz w:val="28"/>
          <w:szCs w:val="28"/>
          <w:lang w:eastAsia="zh-CN"/>
        </w:rPr>
        <w:t>石狮市退役军人事务局</w:t>
      </w:r>
      <w:r>
        <w:rPr>
          <w:rFonts w:hint="eastAsia" w:ascii="仿宋" w:hAnsi="仿宋" w:eastAsia="仿宋" w:cs="仿宋"/>
          <w:color w:val="auto"/>
          <w:spacing w:val="3"/>
          <w:sz w:val="28"/>
          <w:szCs w:val="28"/>
          <w:lang w:eastAsia="zh-CN"/>
        </w:rPr>
        <w:t>部门整体绩效情况开展评价，以全面反映部门在预算管理中的状况，促进部门总结经验、发现问题、提出建议、改进工作，进一步加强预算管理，提高财政资源配置效</w:t>
      </w:r>
      <w:r>
        <w:rPr>
          <w:rFonts w:hint="eastAsia" w:ascii="仿宋" w:hAnsi="仿宋" w:eastAsia="仿宋" w:cs="仿宋"/>
          <w:color w:val="auto"/>
          <w:spacing w:val="-4"/>
          <w:sz w:val="28"/>
          <w:szCs w:val="28"/>
          <w:lang w:eastAsia="zh-CN"/>
        </w:rPr>
        <w:t>率和使用效益。</w:t>
      </w:r>
    </w:p>
    <w:p w14:paraId="5B8D272E">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137" w:name="bookmark22"/>
      <w:bookmarkEnd w:id="137"/>
      <w:bookmarkStart w:id="138" w:name="_Toc10181"/>
      <w:bookmarkStart w:id="139" w:name="_Toc11100"/>
      <w:bookmarkStart w:id="140" w:name="_Toc27268"/>
      <w:bookmarkStart w:id="141" w:name="_Toc14758"/>
      <w:r>
        <w:rPr>
          <w:rFonts w:hint="eastAsia" w:ascii="仿宋" w:hAnsi="仿宋" w:eastAsia="仿宋" w:cs="仿宋"/>
          <w:b/>
          <w:color w:val="auto"/>
          <w:spacing w:val="3"/>
          <w:sz w:val="28"/>
          <w:szCs w:val="28"/>
          <w:lang w:eastAsia="zh-CN"/>
        </w:rPr>
        <w:t>（二）评价对象及范围</w:t>
      </w:r>
      <w:bookmarkEnd w:id="138"/>
      <w:bookmarkEnd w:id="139"/>
      <w:bookmarkEnd w:id="140"/>
      <w:bookmarkEnd w:id="141"/>
    </w:p>
    <w:p w14:paraId="512507A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42" w:name="_Toc15650"/>
      <w:bookmarkStart w:id="143" w:name="_Toc23609"/>
      <w:r>
        <w:rPr>
          <w:rFonts w:hint="eastAsia" w:ascii="仿宋" w:hAnsi="仿宋" w:eastAsia="仿宋" w:cs="仿宋"/>
          <w:color w:val="auto"/>
          <w:spacing w:val="3"/>
          <w:sz w:val="28"/>
          <w:szCs w:val="28"/>
          <w:lang w:eastAsia="zh-CN"/>
        </w:rPr>
        <w:t>评价对象为石狮市退役军人事务局。</w:t>
      </w:r>
      <w:bookmarkEnd w:id="142"/>
      <w:bookmarkEnd w:id="143"/>
    </w:p>
    <w:p w14:paraId="14A423E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44" w:name="_Toc12666"/>
      <w:bookmarkStart w:id="145" w:name="_Toc20004"/>
      <w:r>
        <w:rPr>
          <w:rFonts w:hint="eastAsia" w:ascii="仿宋" w:hAnsi="仿宋" w:eastAsia="仿宋" w:cs="仿宋"/>
          <w:color w:val="auto"/>
          <w:spacing w:val="3"/>
          <w:sz w:val="28"/>
          <w:szCs w:val="28"/>
          <w:lang w:eastAsia="zh-CN"/>
        </w:rPr>
        <w:t>评价时间范围：2024年1月—12月，部分内容延伸至2023年。</w:t>
      </w:r>
      <w:bookmarkEnd w:id="144"/>
      <w:bookmarkEnd w:id="145"/>
    </w:p>
    <w:p w14:paraId="78024DA0">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146" w:name="bookmark23"/>
      <w:bookmarkEnd w:id="146"/>
      <w:bookmarkStart w:id="147" w:name="_Toc16924"/>
      <w:bookmarkStart w:id="148" w:name="_Toc29289"/>
      <w:bookmarkStart w:id="149" w:name="_Toc21554"/>
      <w:bookmarkStart w:id="150" w:name="_Toc7463"/>
      <w:r>
        <w:rPr>
          <w:rFonts w:hint="eastAsia" w:ascii="仿宋" w:hAnsi="仿宋" w:eastAsia="仿宋" w:cs="仿宋"/>
          <w:b/>
          <w:color w:val="auto"/>
          <w:spacing w:val="3"/>
          <w:sz w:val="28"/>
          <w:szCs w:val="28"/>
          <w:lang w:eastAsia="zh-CN"/>
        </w:rPr>
        <w:t>（三）评价依据</w:t>
      </w:r>
      <w:bookmarkEnd w:id="147"/>
      <w:bookmarkEnd w:id="148"/>
      <w:bookmarkEnd w:id="149"/>
      <w:bookmarkEnd w:id="150"/>
    </w:p>
    <w:p w14:paraId="0B68E4D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51" w:name="_Toc2579"/>
      <w:bookmarkStart w:id="152" w:name="_Toc25595"/>
      <w:bookmarkStart w:id="153" w:name="_Toc24402"/>
      <w:bookmarkStart w:id="154" w:name="_Toc4243"/>
      <w:bookmarkStart w:id="155" w:name="_Toc8985"/>
      <w:bookmarkStart w:id="156" w:name="_Toc31953"/>
      <w:bookmarkStart w:id="157" w:name="_Toc14133"/>
      <w:bookmarkStart w:id="158" w:name="_Toc998"/>
      <w:r>
        <w:rPr>
          <w:rFonts w:hint="eastAsia" w:ascii="仿宋" w:hAnsi="仿宋" w:eastAsia="仿宋" w:cs="仿宋"/>
          <w:color w:val="auto"/>
          <w:spacing w:val="3"/>
          <w:sz w:val="28"/>
          <w:szCs w:val="28"/>
          <w:lang w:eastAsia="zh-CN"/>
        </w:rPr>
        <w:t>1.《中华人民共和国预算法》；</w:t>
      </w:r>
      <w:bookmarkEnd w:id="151"/>
      <w:bookmarkEnd w:id="152"/>
      <w:bookmarkEnd w:id="153"/>
      <w:bookmarkEnd w:id="154"/>
      <w:bookmarkEnd w:id="155"/>
      <w:bookmarkEnd w:id="156"/>
      <w:bookmarkEnd w:id="157"/>
      <w:bookmarkEnd w:id="158"/>
    </w:p>
    <w:p w14:paraId="5220E84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2.《中共中央国务院关于全面实施预算绩效管理的意见》（中发〔2018〕34号）；</w:t>
      </w:r>
    </w:p>
    <w:p w14:paraId="537C88AB">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59" w:name="_Toc29253"/>
      <w:r>
        <w:rPr>
          <w:rFonts w:hint="eastAsia" w:ascii="仿宋" w:hAnsi="仿宋" w:eastAsia="仿宋" w:cs="仿宋"/>
          <w:color w:val="auto"/>
          <w:spacing w:val="3"/>
          <w:sz w:val="28"/>
          <w:szCs w:val="28"/>
          <w:lang w:eastAsia="zh-CN"/>
        </w:rPr>
        <w:t>3.《财政部关于印发〈预算绩效评价共性指标体系框架〉的通知》</w:t>
      </w:r>
      <w:bookmarkEnd w:id="159"/>
      <w:r>
        <w:rPr>
          <w:rFonts w:hint="eastAsia" w:ascii="仿宋" w:hAnsi="仿宋" w:eastAsia="仿宋" w:cs="仿宋"/>
          <w:color w:val="auto"/>
          <w:spacing w:val="3"/>
          <w:sz w:val="28"/>
          <w:szCs w:val="28"/>
          <w:lang w:eastAsia="zh-CN"/>
        </w:rPr>
        <w:t>（财预〔2013〕53号）；</w:t>
      </w:r>
    </w:p>
    <w:p w14:paraId="6B93F8E3">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4.《财政部关于印发〈项目支出绩效评价管理办法〉的通知》（财预〔2020〕10号）；</w:t>
      </w:r>
    </w:p>
    <w:p w14:paraId="26C0047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60" w:name="_Toc9619"/>
      <w:r>
        <w:rPr>
          <w:rFonts w:hint="eastAsia" w:ascii="仿宋" w:hAnsi="仿宋" w:eastAsia="仿宋" w:cs="仿宋"/>
          <w:color w:val="auto"/>
          <w:spacing w:val="3"/>
          <w:sz w:val="28"/>
          <w:szCs w:val="28"/>
          <w:lang w:eastAsia="zh-CN"/>
        </w:rPr>
        <w:t>5.《福建省财政厅转发财政部关于加强地方预算执行管理加快支出</w:t>
      </w:r>
      <w:bookmarkEnd w:id="160"/>
      <w:bookmarkStart w:id="161" w:name="_Toc10883"/>
      <w:r>
        <w:rPr>
          <w:rFonts w:hint="eastAsia" w:ascii="仿宋" w:hAnsi="仿宋" w:eastAsia="仿宋" w:cs="仿宋"/>
          <w:color w:val="auto"/>
          <w:spacing w:val="3"/>
          <w:sz w:val="28"/>
          <w:szCs w:val="28"/>
          <w:lang w:eastAsia="zh-CN"/>
        </w:rPr>
        <w:t>进度的通知》（闽财预〔2018〕20号）；</w:t>
      </w:r>
      <w:bookmarkEnd w:id="161"/>
    </w:p>
    <w:p w14:paraId="2F78279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62" w:name="_Toc21725"/>
      <w:r>
        <w:rPr>
          <w:rFonts w:hint="eastAsia" w:ascii="仿宋" w:hAnsi="仿宋" w:eastAsia="仿宋" w:cs="仿宋"/>
          <w:color w:val="auto"/>
          <w:spacing w:val="3"/>
          <w:sz w:val="28"/>
          <w:szCs w:val="28"/>
          <w:lang w:eastAsia="zh-CN"/>
        </w:rPr>
        <w:t>6.《中共福建省委福建省人民政府印发〈关于全面实施预算绩效管</w:t>
      </w:r>
      <w:bookmarkEnd w:id="162"/>
      <w:bookmarkStart w:id="163" w:name="_Toc14400"/>
      <w:r>
        <w:rPr>
          <w:rFonts w:hint="eastAsia" w:ascii="仿宋" w:hAnsi="仿宋" w:eastAsia="仿宋" w:cs="仿宋"/>
          <w:color w:val="auto"/>
          <w:spacing w:val="3"/>
          <w:sz w:val="28"/>
          <w:szCs w:val="28"/>
          <w:lang w:eastAsia="zh-CN"/>
        </w:rPr>
        <w:t>理的实施意见〉的通知》（闽委发〔2019〕5号）；</w:t>
      </w:r>
      <w:bookmarkEnd w:id="163"/>
    </w:p>
    <w:p w14:paraId="2F92B37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64" w:name="_Toc31990"/>
      <w:r>
        <w:rPr>
          <w:rFonts w:hint="eastAsia" w:ascii="仿宋" w:hAnsi="仿宋" w:eastAsia="仿宋" w:cs="仿宋"/>
          <w:color w:val="auto"/>
          <w:spacing w:val="3"/>
          <w:sz w:val="28"/>
          <w:szCs w:val="28"/>
          <w:lang w:eastAsia="zh-CN"/>
        </w:rPr>
        <w:t>7.《福建省财政厅关于全面实施预算绩效管理若干措施的通知》（闽</w:t>
      </w:r>
      <w:bookmarkEnd w:id="164"/>
      <w:bookmarkStart w:id="165" w:name="_Toc24483"/>
      <w:r>
        <w:rPr>
          <w:rFonts w:hint="eastAsia" w:ascii="仿宋" w:hAnsi="仿宋" w:eastAsia="仿宋" w:cs="仿宋"/>
          <w:color w:val="auto"/>
          <w:spacing w:val="3"/>
          <w:sz w:val="28"/>
          <w:szCs w:val="28"/>
          <w:lang w:eastAsia="zh-CN"/>
        </w:rPr>
        <w:t>财绩〔2019〕2号）；</w:t>
      </w:r>
      <w:bookmarkEnd w:id="165"/>
    </w:p>
    <w:p w14:paraId="29FB3173">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66" w:name="_Toc27873"/>
      <w:r>
        <w:rPr>
          <w:rFonts w:hint="eastAsia" w:ascii="仿宋" w:hAnsi="仿宋" w:eastAsia="仿宋" w:cs="仿宋"/>
          <w:color w:val="auto"/>
          <w:spacing w:val="3"/>
          <w:sz w:val="28"/>
          <w:szCs w:val="28"/>
          <w:lang w:eastAsia="zh-CN"/>
        </w:rPr>
        <w:t>8.《泉州市财政局关于印发〈委托第三方参与财政支出绩效评价工</w:t>
      </w:r>
      <w:bookmarkEnd w:id="166"/>
      <w:bookmarkStart w:id="167" w:name="_Toc26009"/>
      <w:bookmarkStart w:id="168" w:name="_Toc3655"/>
      <w:r>
        <w:rPr>
          <w:rFonts w:hint="eastAsia" w:ascii="仿宋" w:hAnsi="仿宋" w:eastAsia="仿宋" w:cs="仿宋"/>
          <w:color w:val="auto"/>
          <w:spacing w:val="3"/>
          <w:sz w:val="28"/>
          <w:szCs w:val="28"/>
          <w:lang w:eastAsia="zh-CN"/>
        </w:rPr>
        <w:t>作管理暂行规定〉的通知》（泉财预〔2017〕228号）；</w:t>
      </w:r>
      <w:bookmarkEnd w:id="167"/>
      <w:bookmarkEnd w:id="168"/>
    </w:p>
    <w:p w14:paraId="24A4C71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69" w:name="_Toc13829"/>
      <w:r>
        <w:rPr>
          <w:rFonts w:hint="eastAsia" w:ascii="仿宋" w:hAnsi="仿宋" w:eastAsia="仿宋" w:cs="仿宋"/>
          <w:color w:val="auto"/>
          <w:spacing w:val="3"/>
          <w:sz w:val="28"/>
          <w:szCs w:val="28"/>
          <w:lang w:eastAsia="zh-CN"/>
        </w:rPr>
        <w:t>8.经济社会发展目标、部门职责相关规定、部门发展规划、年度工作计划、重点任务及重大政策和项目安排情况、相关行业政策、行业标准及专业技术规范、预算管理制度及办法，项目及资金管理办法、财务和会计资料、审计报告等。</w:t>
      </w:r>
      <w:bookmarkEnd w:id="169"/>
    </w:p>
    <w:p w14:paraId="6077A888">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170" w:name="bookmark24"/>
      <w:bookmarkEnd w:id="170"/>
      <w:bookmarkStart w:id="171" w:name="_Toc26775"/>
      <w:bookmarkStart w:id="172" w:name="_Toc17747"/>
      <w:bookmarkStart w:id="173" w:name="_Toc14864"/>
      <w:bookmarkStart w:id="174" w:name="_Toc32093"/>
      <w:r>
        <w:rPr>
          <w:rFonts w:hint="eastAsia" w:ascii="仿宋" w:hAnsi="仿宋" w:eastAsia="仿宋" w:cs="仿宋"/>
          <w:b/>
          <w:color w:val="auto"/>
          <w:spacing w:val="3"/>
          <w:sz w:val="28"/>
          <w:szCs w:val="28"/>
          <w:lang w:eastAsia="zh-CN"/>
        </w:rPr>
        <w:t>（四）评价原则</w:t>
      </w:r>
      <w:bookmarkEnd w:id="171"/>
      <w:bookmarkEnd w:id="172"/>
      <w:bookmarkEnd w:id="173"/>
      <w:bookmarkEnd w:id="174"/>
    </w:p>
    <w:p w14:paraId="6989530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1.具体性原则。所制定的目标必须具体明确，不能含糊不清，模棱两可。设计指标时，尽量予以量化，减少定性的数量，如确实需要设置定性指标时，可以考虑专家评议、问卷、随机走访周边群众、实地观察等方式收集资料，然后予以确认。</w:t>
      </w:r>
    </w:p>
    <w:p w14:paraId="54441E45">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2.可衡量性原则。所制定的目标必须能够通过某定量或定性的方法予以衡量和判定。</w:t>
      </w:r>
    </w:p>
    <w:p w14:paraId="544A2345">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75" w:name="_Toc18949"/>
      <w:r>
        <w:rPr>
          <w:rFonts w:hint="eastAsia" w:ascii="仿宋" w:hAnsi="仿宋" w:eastAsia="仿宋" w:cs="仿宋"/>
          <w:color w:val="auto"/>
          <w:spacing w:val="3"/>
          <w:sz w:val="28"/>
          <w:szCs w:val="28"/>
          <w:lang w:eastAsia="zh-CN"/>
        </w:rPr>
        <w:t>3.可实现性原则。所制定的目标必须符合实际，并且可以通过执行</w:t>
      </w:r>
      <w:bookmarkEnd w:id="175"/>
      <w:r>
        <w:rPr>
          <w:rFonts w:hint="eastAsia" w:ascii="仿宋" w:hAnsi="仿宋" w:eastAsia="仿宋" w:cs="仿宋"/>
          <w:color w:val="auto"/>
          <w:spacing w:val="3"/>
          <w:sz w:val="28"/>
          <w:szCs w:val="28"/>
          <w:lang w:eastAsia="zh-CN"/>
        </w:rPr>
        <w:t>人的努力而实现，不能把目标定得太高太难。</w:t>
      </w:r>
    </w:p>
    <w:p w14:paraId="3B37DE9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4.相关性原则。确定的绩效评价指标应当与专项资金立项依据文件、绩效目标有直接的联系，能够恰当反映目标的实现程度，而与立项依据文件、绩效目标无关的指标不应列入评价体系。设计指标要充分考虑项目设立时预期达到的目的。</w:t>
      </w:r>
    </w:p>
    <w:p w14:paraId="696410F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76" w:name="_Toc7760"/>
      <w:bookmarkStart w:id="177" w:name="_Toc18849"/>
      <w:bookmarkStart w:id="178" w:name="_Toc18887"/>
      <w:bookmarkStart w:id="179" w:name="_Toc23096"/>
      <w:bookmarkStart w:id="180" w:name="_Toc23071"/>
      <w:bookmarkStart w:id="181" w:name="_Toc10271"/>
      <w:bookmarkStart w:id="182" w:name="_Toc31735"/>
      <w:bookmarkStart w:id="183" w:name="_Toc31709"/>
      <w:r>
        <w:rPr>
          <w:rFonts w:hint="eastAsia" w:ascii="仿宋" w:hAnsi="仿宋" w:eastAsia="仿宋" w:cs="仿宋"/>
          <w:color w:val="auto"/>
          <w:spacing w:val="3"/>
          <w:sz w:val="28"/>
          <w:szCs w:val="28"/>
          <w:lang w:eastAsia="zh-CN"/>
        </w:rPr>
        <w:t>5.时限性原则。绩效目标的实现有时间限制。</w:t>
      </w:r>
      <w:bookmarkEnd w:id="176"/>
      <w:bookmarkEnd w:id="177"/>
      <w:bookmarkEnd w:id="178"/>
      <w:bookmarkEnd w:id="179"/>
      <w:bookmarkEnd w:id="180"/>
      <w:bookmarkEnd w:id="181"/>
      <w:bookmarkEnd w:id="182"/>
      <w:bookmarkEnd w:id="183"/>
    </w:p>
    <w:p w14:paraId="3EEC9F9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6.经济性原则。指标需要的数据容易获取，获取成本低，符合成本效益原则。</w:t>
      </w:r>
    </w:p>
    <w:p w14:paraId="16B329F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84" w:name="_Toc32070"/>
      <w:r>
        <w:rPr>
          <w:rFonts w:hint="eastAsia" w:ascii="仿宋" w:hAnsi="仿宋" w:eastAsia="仿宋" w:cs="仿宋"/>
          <w:color w:val="auto"/>
          <w:spacing w:val="3"/>
          <w:sz w:val="28"/>
          <w:szCs w:val="28"/>
          <w:lang w:eastAsia="zh-CN"/>
        </w:rPr>
        <w:t>7.可比性原则。为了便于纵向和横向的比较，所选指标尽量考虑共</w:t>
      </w:r>
      <w:bookmarkEnd w:id="184"/>
      <w:r>
        <w:rPr>
          <w:rFonts w:hint="eastAsia" w:ascii="仿宋" w:hAnsi="仿宋" w:eastAsia="仿宋" w:cs="仿宋"/>
          <w:color w:val="auto"/>
          <w:spacing w:val="3"/>
          <w:sz w:val="28"/>
          <w:szCs w:val="28"/>
          <w:lang w:eastAsia="zh-CN"/>
        </w:rPr>
        <w:t>性的指标，以便于评价结果可以相互比较。</w:t>
      </w:r>
    </w:p>
    <w:p w14:paraId="725EA95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8.分级分类原则。指标不要设计过多，尽量以最少的指标涵盖主要评价内容，指标之间避免或减少重复性，必要时可以采用关键指标法进行筛选。</w:t>
      </w:r>
    </w:p>
    <w:p w14:paraId="34939E63">
      <w:pPr>
        <w:widowControl w:val="0"/>
        <w:overflowPunct w:val="0"/>
        <w:snapToGrid/>
        <w:spacing w:line="408" w:lineRule="auto"/>
        <w:ind w:firstLine="572" w:firstLineChars="200"/>
        <w:jc w:val="both"/>
        <w:rPr>
          <w:rFonts w:hint="eastAsia" w:ascii="仿宋" w:hAnsi="仿宋" w:eastAsia="仿宋" w:cs="仿宋"/>
          <w:color w:val="auto"/>
          <w:sz w:val="28"/>
          <w:szCs w:val="28"/>
          <w:lang w:eastAsia="zh-CN"/>
        </w:rPr>
      </w:pPr>
      <w:bookmarkStart w:id="185" w:name="_Toc29983"/>
      <w:r>
        <w:rPr>
          <w:rFonts w:hint="eastAsia" w:ascii="仿宋" w:hAnsi="仿宋" w:eastAsia="仿宋" w:cs="仿宋"/>
          <w:color w:val="auto"/>
          <w:spacing w:val="3"/>
          <w:sz w:val="28"/>
          <w:szCs w:val="28"/>
          <w:lang w:eastAsia="zh-CN"/>
        </w:rPr>
        <w:t>9.系统性原则。所选择的指标应加以提炼，尽可能涵盖主要评价内</w:t>
      </w:r>
      <w:bookmarkEnd w:id="185"/>
      <w:r>
        <w:rPr>
          <w:rFonts w:hint="eastAsia" w:ascii="仿宋" w:hAnsi="仿宋" w:eastAsia="仿宋" w:cs="仿宋"/>
          <w:color w:val="auto"/>
          <w:spacing w:val="3"/>
          <w:sz w:val="28"/>
          <w:szCs w:val="28"/>
          <w:lang w:eastAsia="zh-CN"/>
        </w:rPr>
        <w:t>容，主要部分应以细化指标予以反映。当项目支出明细很多时，应适当根据项目特征对项目进行归类，指标设计时应重点考虑那些金额大、可衡量和项目预期总目标贴合的明细支出，并对其进行深入了解，从中</w:t>
      </w:r>
      <w:r>
        <w:rPr>
          <w:rFonts w:hint="eastAsia" w:ascii="仿宋" w:hAnsi="仿宋" w:eastAsia="仿宋" w:cs="仿宋"/>
          <w:color w:val="auto"/>
          <w:spacing w:val="-1"/>
          <w:sz w:val="28"/>
          <w:szCs w:val="28"/>
          <w:lang w:eastAsia="zh-CN"/>
        </w:rPr>
        <w:t>挖掘出可以反映这些明细项目的指标。</w:t>
      </w:r>
    </w:p>
    <w:p w14:paraId="1E301AE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10.可理解性原则。指标的设定和命名应通俗易懂，必要时应加以备注，执行人在执行时不容易产生歧义。</w:t>
      </w:r>
    </w:p>
    <w:p w14:paraId="3684C8B7">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186" w:name="bookmark25"/>
      <w:bookmarkEnd w:id="186"/>
      <w:bookmarkStart w:id="187" w:name="_Toc29800"/>
      <w:bookmarkStart w:id="188" w:name="_Toc12538"/>
      <w:bookmarkStart w:id="189" w:name="_Toc9402"/>
      <w:bookmarkStart w:id="190" w:name="_Toc26355"/>
      <w:r>
        <w:rPr>
          <w:rFonts w:hint="eastAsia" w:ascii="仿宋" w:hAnsi="仿宋" w:eastAsia="仿宋" w:cs="仿宋"/>
          <w:b/>
          <w:color w:val="auto"/>
          <w:spacing w:val="3"/>
          <w:sz w:val="28"/>
          <w:szCs w:val="28"/>
          <w:lang w:eastAsia="zh-CN"/>
        </w:rPr>
        <w:t>（五）评价方法</w:t>
      </w:r>
      <w:bookmarkEnd w:id="187"/>
      <w:bookmarkEnd w:id="188"/>
      <w:bookmarkEnd w:id="189"/>
      <w:bookmarkEnd w:id="190"/>
    </w:p>
    <w:p w14:paraId="1F14E22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绩效评价方法是指在绩效评价实施过程中为了取得被评价的预算支出项目、单位基础数据和资金使用绩效情况，完成绩效评价任务而采取的各种手段。整体绩效评价的方法主要包括成本效益分析法、比较法、因素分析法、最低成本法、公众评判法、标杆管理法等。根据评价对象的具体情况，可采用一种或多种方法。</w:t>
      </w:r>
    </w:p>
    <w:p w14:paraId="7F35E66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91" w:name="_Toc2649"/>
      <w:r>
        <w:rPr>
          <w:rFonts w:hint="eastAsia" w:ascii="仿宋" w:hAnsi="仿宋" w:eastAsia="仿宋" w:cs="仿宋"/>
          <w:color w:val="auto"/>
          <w:spacing w:val="3"/>
          <w:sz w:val="28"/>
          <w:szCs w:val="28"/>
          <w:lang w:eastAsia="zh-CN"/>
        </w:rPr>
        <w:t>1.成本效益分析法，是指将投入与产出、效益进行关联性分析方</w:t>
      </w:r>
      <w:bookmarkEnd w:id="191"/>
      <w:r>
        <w:rPr>
          <w:rFonts w:hint="eastAsia" w:ascii="仿宋" w:hAnsi="仿宋" w:eastAsia="仿宋" w:cs="仿宋"/>
          <w:color w:val="auto"/>
          <w:spacing w:val="3"/>
          <w:sz w:val="28"/>
          <w:szCs w:val="28"/>
          <w:lang w:eastAsia="zh-CN"/>
        </w:rPr>
        <w:t>法。</w:t>
      </w:r>
    </w:p>
    <w:p w14:paraId="51D532F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92" w:name="_Toc3340"/>
      <w:r>
        <w:rPr>
          <w:rFonts w:hint="eastAsia" w:ascii="仿宋" w:hAnsi="仿宋" w:eastAsia="仿宋" w:cs="仿宋"/>
          <w:color w:val="auto"/>
          <w:spacing w:val="3"/>
          <w:sz w:val="28"/>
          <w:szCs w:val="28"/>
          <w:lang w:eastAsia="zh-CN"/>
        </w:rPr>
        <w:t>2.比较法，是指将实施情况与绩效目标、历史情况、不同部门和地</w:t>
      </w:r>
      <w:bookmarkEnd w:id="192"/>
      <w:r>
        <w:rPr>
          <w:rFonts w:hint="eastAsia" w:ascii="仿宋" w:hAnsi="仿宋" w:eastAsia="仿宋" w:cs="仿宋"/>
          <w:color w:val="auto"/>
          <w:spacing w:val="3"/>
          <w:sz w:val="28"/>
          <w:szCs w:val="28"/>
          <w:lang w:eastAsia="zh-CN"/>
        </w:rPr>
        <w:t>区同类情况进行比较的方法。</w:t>
      </w:r>
    </w:p>
    <w:p w14:paraId="7B11326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93" w:name="_Toc30639"/>
      <w:r>
        <w:rPr>
          <w:rFonts w:hint="eastAsia" w:ascii="仿宋" w:hAnsi="仿宋" w:eastAsia="仿宋" w:cs="仿宋"/>
          <w:color w:val="auto"/>
          <w:spacing w:val="3"/>
          <w:sz w:val="28"/>
          <w:szCs w:val="28"/>
          <w:lang w:eastAsia="zh-CN"/>
        </w:rPr>
        <w:t>3.因素分析法，是指综合分析影响绩效目标实现、实施效果的内外</w:t>
      </w:r>
      <w:bookmarkEnd w:id="193"/>
      <w:r>
        <w:rPr>
          <w:rFonts w:hint="eastAsia" w:ascii="仿宋" w:hAnsi="仿宋" w:eastAsia="仿宋" w:cs="仿宋"/>
          <w:color w:val="auto"/>
          <w:spacing w:val="3"/>
          <w:sz w:val="28"/>
          <w:szCs w:val="28"/>
          <w:lang w:eastAsia="zh-CN"/>
        </w:rPr>
        <w:t>部因素的方法。</w:t>
      </w:r>
    </w:p>
    <w:p w14:paraId="5DC873B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94" w:name="_Toc31102"/>
      <w:r>
        <w:rPr>
          <w:rFonts w:hint="eastAsia" w:ascii="仿宋" w:hAnsi="仿宋" w:eastAsia="仿宋" w:cs="仿宋"/>
          <w:color w:val="auto"/>
          <w:spacing w:val="3"/>
          <w:sz w:val="28"/>
          <w:szCs w:val="28"/>
          <w:lang w:eastAsia="zh-CN"/>
        </w:rPr>
        <w:t>4.最低成本法，是指在绩效目标确定的前提下，成本最小者为优的</w:t>
      </w:r>
      <w:bookmarkEnd w:id="194"/>
      <w:r>
        <w:rPr>
          <w:rFonts w:hint="eastAsia" w:ascii="仿宋" w:hAnsi="仿宋" w:eastAsia="仿宋" w:cs="仿宋"/>
          <w:color w:val="auto"/>
          <w:spacing w:val="3"/>
          <w:sz w:val="28"/>
          <w:szCs w:val="28"/>
          <w:lang w:eastAsia="zh-CN"/>
        </w:rPr>
        <w:t>方法。</w:t>
      </w:r>
    </w:p>
    <w:p w14:paraId="6E0CE21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5.公众评判法，是指通过专家评估、公众问卷及抽样调查等方式的方法。</w:t>
      </w:r>
    </w:p>
    <w:p w14:paraId="7F4B652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6.标杆管理法，是指以国内外同行业中较高的绩效水平为标杆</w:t>
      </w:r>
      <w:bookmarkStart w:id="195" w:name="bookmark26"/>
      <w:bookmarkEnd w:id="195"/>
      <w:r>
        <w:rPr>
          <w:rFonts w:hint="eastAsia" w:ascii="仿宋" w:hAnsi="仿宋" w:eastAsia="仿宋" w:cs="仿宋"/>
          <w:color w:val="auto"/>
          <w:spacing w:val="3"/>
          <w:sz w:val="28"/>
          <w:szCs w:val="28"/>
          <w:lang w:eastAsia="zh-CN"/>
        </w:rPr>
        <w:t>评判的方法。</w:t>
      </w:r>
    </w:p>
    <w:p w14:paraId="0A7545E5">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本次绩效评价采用了比较法、因素分析法、公众评判法等评价方法。</w:t>
      </w:r>
    </w:p>
    <w:p w14:paraId="50070DE0">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196" w:name="bookmark27"/>
      <w:bookmarkEnd w:id="196"/>
      <w:bookmarkStart w:id="197" w:name="_Toc20468"/>
      <w:bookmarkStart w:id="198" w:name="_Toc21727"/>
      <w:bookmarkStart w:id="199" w:name="_Toc31466"/>
      <w:bookmarkStart w:id="200" w:name="_Toc19184"/>
      <w:r>
        <w:rPr>
          <w:rFonts w:hint="eastAsia" w:ascii="仿宋" w:hAnsi="仿宋" w:eastAsia="仿宋" w:cs="仿宋"/>
          <w:b/>
          <w:color w:val="auto"/>
          <w:spacing w:val="3"/>
          <w:sz w:val="28"/>
          <w:szCs w:val="28"/>
          <w:lang w:eastAsia="zh-CN"/>
        </w:rPr>
        <w:t>（六）绩效标准</w:t>
      </w:r>
      <w:bookmarkEnd w:id="197"/>
      <w:bookmarkEnd w:id="198"/>
      <w:bookmarkEnd w:id="199"/>
      <w:bookmarkEnd w:id="200"/>
    </w:p>
    <w:p w14:paraId="39AC203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绩效标准是设定、审核绩效指标时所依据或参考的标准，通常包括计划标准、行业标准、历史标准等，也可用于对绩效指标完成情况进行比较。</w:t>
      </w:r>
    </w:p>
    <w:p w14:paraId="1B5DCA8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201" w:name="_Toc9982"/>
      <w:r>
        <w:rPr>
          <w:rFonts w:hint="eastAsia" w:ascii="仿宋" w:hAnsi="仿宋" w:eastAsia="仿宋" w:cs="仿宋"/>
          <w:color w:val="auto"/>
          <w:spacing w:val="3"/>
          <w:sz w:val="28"/>
          <w:szCs w:val="28"/>
          <w:lang w:eastAsia="zh-CN"/>
        </w:rPr>
        <w:t>1.计划标准，指以预先制定的目标、计划、预算、定额等作为评价</w:t>
      </w:r>
      <w:bookmarkEnd w:id="201"/>
      <w:r>
        <w:rPr>
          <w:rFonts w:hint="eastAsia" w:ascii="仿宋" w:hAnsi="仿宋" w:eastAsia="仿宋" w:cs="仿宋"/>
          <w:color w:val="auto"/>
          <w:spacing w:val="3"/>
          <w:sz w:val="28"/>
          <w:szCs w:val="28"/>
          <w:lang w:eastAsia="zh-CN"/>
        </w:rPr>
        <w:t>标准。</w:t>
      </w:r>
    </w:p>
    <w:p w14:paraId="782EAAD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202" w:name="_Toc30280"/>
      <w:bookmarkStart w:id="203" w:name="_Toc21238"/>
      <w:bookmarkStart w:id="204" w:name="_Toc2318"/>
      <w:bookmarkStart w:id="205" w:name="_Toc28544"/>
      <w:bookmarkStart w:id="206" w:name="_Toc5615"/>
      <w:bookmarkStart w:id="207" w:name="_Toc12291"/>
      <w:bookmarkStart w:id="208" w:name="_Toc14653"/>
      <w:bookmarkStart w:id="209" w:name="_Toc13110"/>
      <w:r>
        <w:rPr>
          <w:rFonts w:hint="eastAsia" w:ascii="仿宋" w:hAnsi="仿宋" w:eastAsia="仿宋" w:cs="仿宋"/>
          <w:color w:val="auto"/>
          <w:spacing w:val="3"/>
          <w:sz w:val="28"/>
          <w:szCs w:val="28"/>
          <w:lang w:eastAsia="zh-CN"/>
        </w:rPr>
        <w:t>2.行业标准，指参照国家公布的行业指标数据制定的评价标准。</w:t>
      </w:r>
      <w:bookmarkEnd w:id="202"/>
      <w:bookmarkEnd w:id="203"/>
      <w:bookmarkEnd w:id="204"/>
      <w:bookmarkEnd w:id="205"/>
      <w:bookmarkEnd w:id="206"/>
      <w:bookmarkEnd w:id="207"/>
      <w:bookmarkEnd w:id="208"/>
      <w:bookmarkEnd w:id="209"/>
    </w:p>
    <w:p w14:paraId="315D4DE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3.历史标准，指参照历史数据制定的评价标准。为体现绩效改进原则，在可实现的条件下应当确定相对较高的评价标准。</w:t>
      </w:r>
    </w:p>
    <w:p w14:paraId="63836A1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210" w:name="_Toc2828"/>
      <w:bookmarkStart w:id="211" w:name="_Toc6917"/>
      <w:bookmarkStart w:id="212" w:name="_Toc19926"/>
      <w:bookmarkStart w:id="213" w:name="_Toc5914"/>
      <w:bookmarkStart w:id="214" w:name="_Toc27162"/>
      <w:bookmarkStart w:id="215" w:name="_Toc26961"/>
      <w:bookmarkStart w:id="216" w:name="_Toc8664"/>
      <w:bookmarkStart w:id="217" w:name="_Toc23446"/>
      <w:r>
        <w:rPr>
          <w:rFonts w:hint="eastAsia" w:ascii="仿宋" w:hAnsi="仿宋" w:eastAsia="仿宋" w:cs="仿宋"/>
          <w:color w:val="auto"/>
          <w:spacing w:val="3"/>
          <w:sz w:val="28"/>
          <w:szCs w:val="28"/>
          <w:lang w:eastAsia="zh-CN"/>
        </w:rPr>
        <w:t>4.省财政部门和部门单位确认或认可的其他标准。</w:t>
      </w:r>
      <w:bookmarkEnd w:id="210"/>
      <w:bookmarkEnd w:id="211"/>
      <w:bookmarkEnd w:id="212"/>
      <w:bookmarkEnd w:id="213"/>
      <w:bookmarkEnd w:id="214"/>
      <w:bookmarkEnd w:id="215"/>
      <w:bookmarkEnd w:id="216"/>
      <w:bookmarkEnd w:id="217"/>
    </w:p>
    <w:p w14:paraId="438AE5C1">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218" w:name="bookmark28"/>
      <w:bookmarkEnd w:id="218"/>
      <w:bookmarkStart w:id="219" w:name="_Toc8312"/>
      <w:bookmarkStart w:id="220" w:name="_Toc11075"/>
      <w:bookmarkStart w:id="221" w:name="_Toc11623"/>
      <w:bookmarkStart w:id="222" w:name="_Toc12146"/>
      <w:r>
        <w:rPr>
          <w:rFonts w:hint="eastAsia" w:ascii="仿宋" w:hAnsi="仿宋" w:eastAsia="仿宋" w:cs="仿宋"/>
          <w:b/>
          <w:color w:val="auto"/>
          <w:spacing w:val="3"/>
          <w:sz w:val="28"/>
          <w:szCs w:val="28"/>
          <w:lang w:eastAsia="zh-CN"/>
        </w:rPr>
        <w:t>（七）评价思路及关注点</w:t>
      </w:r>
      <w:bookmarkEnd w:id="219"/>
      <w:bookmarkEnd w:id="220"/>
      <w:bookmarkEnd w:id="221"/>
      <w:bookmarkEnd w:id="222"/>
    </w:p>
    <w:p w14:paraId="429CE35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本次评价依据部门整体支出绩效目标，从部门财政管理工作绩效、部门职能履行、部门履职效果、年度工作重点任务实施情况，以及财政管理、审计发现的问题，梳理评价内容。重点关注和分析部门开展预算绩效管理工作的规范性和执行力；部门履职中重大任务、重点工作完成情况和取得的效果，以及部门在推进事业发展中重大改革创新举措取得的成效。</w:t>
      </w:r>
    </w:p>
    <w:p w14:paraId="17C9A233">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223" w:name="bookmark29"/>
      <w:bookmarkEnd w:id="223"/>
      <w:bookmarkStart w:id="224" w:name="_Toc25668"/>
      <w:bookmarkStart w:id="225" w:name="_Toc15565"/>
      <w:bookmarkStart w:id="226" w:name="_Toc31923"/>
      <w:bookmarkStart w:id="227" w:name="_Toc14447"/>
      <w:r>
        <w:rPr>
          <w:rFonts w:hint="eastAsia" w:ascii="仿宋" w:hAnsi="仿宋" w:eastAsia="仿宋" w:cs="仿宋"/>
          <w:b/>
          <w:color w:val="auto"/>
          <w:spacing w:val="3"/>
          <w:sz w:val="28"/>
          <w:szCs w:val="28"/>
          <w:lang w:eastAsia="zh-CN"/>
        </w:rPr>
        <w:t>（八）绩效评价数据来源</w:t>
      </w:r>
      <w:bookmarkEnd w:id="224"/>
      <w:bookmarkEnd w:id="225"/>
      <w:bookmarkEnd w:id="226"/>
      <w:bookmarkEnd w:id="227"/>
    </w:p>
    <w:p w14:paraId="2D60371A">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2024年度部门整体绩效评价中所用到的数据均来源于石狮市退役军人事务局</w:t>
      </w:r>
      <w:r>
        <w:rPr>
          <w:rFonts w:hint="eastAsia" w:ascii="仿宋" w:hAnsi="仿宋" w:eastAsia="仿宋" w:cs="仿宋"/>
          <w:color w:val="auto"/>
          <w:spacing w:val="3"/>
          <w:sz w:val="28"/>
          <w:szCs w:val="28"/>
          <w:lang w:eastAsia="zh-CN"/>
        </w:rPr>
        <w:t>提供的资料和数据表，包括：部门预决算及说明、部门预算批</w:t>
      </w:r>
      <w:r>
        <w:rPr>
          <w:rFonts w:hint="eastAsia" w:ascii="仿宋" w:hAnsi="仿宋" w:eastAsia="仿宋" w:cs="仿宋"/>
          <w:color w:val="auto"/>
          <w:spacing w:val="1"/>
          <w:sz w:val="28"/>
          <w:szCs w:val="28"/>
          <w:lang w:eastAsia="zh-CN"/>
        </w:rPr>
        <w:t>复文件、部门整体支出及专项支出的绩效自评表、自评报告</w:t>
      </w:r>
      <w:r>
        <w:rPr>
          <w:rFonts w:hint="eastAsia" w:ascii="仿宋" w:hAnsi="仿宋" w:eastAsia="仿宋" w:cs="仿宋"/>
          <w:color w:val="auto"/>
          <w:sz w:val="28"/>
          <w:szCs w:val="28"/>
          <w:lang w:eastAsia="zh-CN"/>
        </w:rPr>
        <w:t>和绩效目标</w:t>
      </w:r>
      <w:r>
        <w:rPr>
          <w:rFonts w:hint="eastAsia" w:ascii="仿宋" w:hAnsi="仿宋" w:eastAsia="仿宋" w:cs="仿宋"/>
          <w:color w:val="auto"/>
          <w:spacing w:val="-3"/>
          <w:sz w:val="28"/>
          <w:szCs w:val="28"/>
          <w:lang w:eastAsia="zh-CN"/>
        </w:rPr>
        <w:t>表、部门年度计划及工作总结、资金下达文件、制</w:t>
      </w:r>
      <w:r>
        <w:rPr>
          <w:rFonts w:hint="eastAsia" w:ascii="仿宋" w:hAnsi="仿宋" w:eastAsia="仿宋" w:cs="仿宋"/>
          <w:color w:val="auto"/>
          <w:spacing w:val="-4"/>
          <w:sz w:val="28"/>
          <w:szCs w:val="28"/>
          <w:lang w:eastAsia="zh-CN"/>
        </w:rPr>
        <w:t>度文件、审计报告等材料。</w:t>
      </w:r>
    </w:p>
    <w:p w14:paraId="5F2E993D">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228" w:name="bookmark30"/>
      <w:bookmarkEnd w:id="228"/>
      <w:bookmarkStart w:id="229" w:name="_Toc17225"/>
      <w:bookmarkStart w:id="230" w:name="_Toc32715"/>
      <w:bookmarkStart w:id="231" w:name="_Toc4076"/>
      <w:bookmarkStart w:id="232" w:name="_Toc539"/>
      <w:r>
        <w:rPr>
          <w:rFonts w:hint="eastAsia" w:ascii="仿宋" w:hAnsi="仿宋" w:eastAsia="仿宋" w:cs="仿宋"/>
          <w:b/>
          <w:color w:val="auto"/>
          <w:spacing w:val="3"/>
          <w:sz w:val="28"/>
          <w:szCs w:val="28"/>
          <w:lang w:eastAsia="zh-CN"/>
        </w:rPr>
        <w:t>（九）评价工作开展情况</w:t>
      </w:r>
      <w:bookmarkEnd w:id="229"/>
      <w:bookmarkEnd w:id="230"/>
      <w:bookmarkEnd w:id="231"/>
      <w:bookmarkEnd w:id="232"/>
    </w:p>
    <w:p w14:paraId="19B9AD3A">
      <w:pPr>
        <w:widowControl w:val="0"/>
        <w:overflowPunct w:val="0"/>
        <w:snapToGrid/>
        <w:spacing w:line="408" w:lineRule="auto"/>
        <w:ind w:firstLine="564" w:firstLineChars="200"/>
        <w:jc w:val="both"/>
        <w:rPr>
          <w:rFonts w:hint="eastAsia" w:ascii="仿宋" w:hAnsi="仿宋" w:eastAsia="仿宋" w:cs="仿宋"/>
          <w:color w:val="auto"/>
          <w:spacing w:val="1"/>
          <w:sz w:val="28"/>
          <w:szCs w:val="28"/>
          <w:lang w:eastAsia="zh-CN"/>
        </w:rPr>
      </w:pPr>
      <w:r>
        <w:rPr>
          <w:rFonts w:hint="eastAsia" w:ascii="仿宋" w:hAnsi="仿宋" w:eastAsia="仿宋" w:cs="仿宋"/>
          <w:color w:val="auto"/>
          <w:spacing w:val="1"/>
          <w:sz w:val="28"/>
          <w:szCs w:val="28"/>
          <w:lang w:eastAsia="zh-CN"/>
        </w:rPr>
        <w:t>1.按要求对2024年度部门整体绩效评价工作进行调研方案设计；</w:t>
      </w:r>
    </w:p>
    <w:p w14:paraId="03374B69">
      <w:pPr>
        <w:widowControl w:val="0"/>
        <w:overflowPunct w:val="0"/>
        <w:snapToGrid/>
        <w:spacing w:line="408" w:lineRule="auto"/>
        <w:ind w:firstLine="564"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1"/>
          <w:sz w:val="28"/>
          <w:szCs w:val="28"/>
          <w:lang w:eastAsia="zh-CN"/>
        </w:rPr>
        <w:t>2.绩效评价工作组成员到石狮市退役军人事务局进行实地调研和座谈，查阅单位有关档案，收集数据、资料等，依据评</w:t>
      </w:r>
      <w:r>
        <w:rPr>
          <w:rFonts w:hint="eastAsia" w:ascii="仿宋" w:hAnsi="仿宋" w:eastAsia="仿宋" w:cs="仿宋"/>
          <w:color w:val="auto"/>
          <w:spacing w:val="3"/>
          <w:sz w:val="28"/>
          <w:szCs w:val="28"/>
          <w:lang w:eastAsia="zh-CN"/>
        </w:rPr>
        <w:t>价工作规范，制订评价工作方案；</w:t>
      </w:r>
    </w:p>
    <w:p w14:paraId="7B54BD9A">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3.拟定2024年度部门整体绩效评价指标体系，与石狮市财政局、石狮市退役军人事务局相关部门商讨指标体系，根据反馈意见，修订绩效评价指标体系；</w:t>
      </w:r>
    </w:p>
    <w:p w14:paraId="7CFAC19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4.根据修订后的指标体系以及绩效评价过程中出现的问题，绩效评价工作组与石狮市财政局和石狮市退役军人事务局进行讨论，补充搜集绩效评价所需的数据和资料；</w:t>
      </w:r>
    </w:p>
    <w:p w14:paraId="3AE0DBE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5.归纳、分析、综合数据与资料，对2024年度部门整体绩效进行分析，完成2024年度部门整体绩效评价报告初稿；</w:t>
      </w:r>
    </w:p>
    <w:p w14:paraId="5F61DD80">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233" w:name="_Toc10283"/>
      <w:r>
        <w:rPr>
          <w:rFonts w:hint="eastAsia" w:ascii="仿宋" w:hAnsi="仿宋" w:eastAsia="仿宋" w:cs="仿宋"/>
          <w:color w:val="auto"/>
          <w:spacing w:val="3"/>
          <w:sz w:val="28"/>
          <w:szCs w:val="28"/>
          <w:lang w:eastAsia="zh-CN"/>
        </w:rPr>
        <w:t>6.征询石狮市财政局及石狮市退役军人事务局的意见，对初稿进行修改</w:t>
      </w:r>
      <w:bookmarkEnd w:id="233"/>
      <w:r>
        <w:rPr>
          <w:rFonts w:hint="eastAsia" w:ascii="仿宋" w:hAnsi="仿宋" w:eastAsia="仿宋" w:cs="仿宋"/>
          <w:color w:val="auto"/>
          <w:spacing w:val="3"/>
          <w:sz w:val="28"/>
          <w:szCs w:val="28"/>
          <w:lang w:eastAsia="zh-CN"/>
        </w:rPr>
        <w:t>调整，完成《2024年度石狮市退役军人事务局部门整体支出绩效评价报告》修订稿；</w:t>
      </w:r>
    </w:p>
    <w:p w14:paraId="487B5F80">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234" w:name="_Toc18250"/>
      <w:r>
        <w:rPr>
          <w:rFonts w:hint="eastAsia" w:ascii="仿宋" w:hAnsi="仿宋" w:eastAsia="仿宋" w:cs="仿宋"/>
          <w:color w:val="auto"/>
          <w:spacing w:val="3"/>
          <w:sz w:val="28"/>
          <w:szCs w:val="28"/>
          <w:lang w:eastAsia="zh-CN"/>
        </w:rPr>
        <w:t>7.组织专家评审。根据绩效评价报告修订稿，组织外部专家</w:t>
      </w:r>
      <w:bookmarkEnd w:id="234"/>
      <w:r>
        <w:rPr>
          <w:rFonts w:hint="eastAsia" w:ascii="仿宋" w:hAnsi="仿宋" w:eastAsia="仿宋" w:cs="仿宋"/>
          <w:color w:val="auto"/>
          <w:spacing w:val="3"/>
          <w:sz w:val="28"/>
          <w:szCs w:val="28"/>
          <w:lang w:eastAsia="zh-CN"/>
        </w:rPr>
        <w:t>对报告进行专家评审，根据专家评审意见对报告进行再次优化；</w:t>
      </w:r>
    </w:p>
    <w:p w14:paraId="400B8FD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235" w:name="_Toc26015"/>
      <w:r>
        <w:rPr>
          <w:rFonts w:hint="eastAsia" w:ascii="仿宋" w:hAnsi="仿宋" w:eastAsia="仿宋" w:cs="仿宋"/>
          <w:color w:val="auto"/>
          <w:spacing w:val="3"/>
          <w:sz w:val="28"/>
          <w:szCs w:val="28"/>
          <w:lang w:eastAsia="zh-CN"/>
        </w:rPr>
        <w:t>8.提交绩效评价报告。根据各方意见对评价报告进行优化完善定稿</w:t>
      </w:r>
      <w:bookmarkEnd w:id="235"/>
      <w:r>
        <w:rPr>
          <w:rFonts w:hint="eastAsia" w:ascii="仿宋" w:hAnsi="仿宋" w:eastAsia="仿宋" w:cs="仿宋"/>
          <w:color w:val="auto"/>
          <w:spacing w:val="3"/>
          <w:sz w:val="28"/>
          <w:szCs w:val="28"/>
          <w:lang w:eastAsia="zh-CN"/>
        </w:rPr>
        <w:t>；对评价报告装订成册，在规定时间内提交评价报告终稿。</w:t>
      </w:r>
      <w:bookmarkStart w:id="236" w:name="bookmark31"/>
      <w:bookmarkEnd w:id="236"/>
      <w:bookmarkStart w:id="237" w:name="bookmark32"/>
      <w:bookmarkEnd w:id="237"/>
      <w:bookmarkStart w:id="238" w:name="bookmark33"/>
      <w:bookmarkEnd w:id="238"/>
    </w:p>
    <w:p w14:paraId="1699D285">
      <w:pPr>
        <w:widowControl w:val="0"/>
        <w:overflowPunct w:val="0"/>
        <w:snapToGrid/>
        <w:spacing w:line="408" w:lineRule="auto"/>
        <w:ind w:firstLine="548" w:firstLineChars="200"/>
        <w:outlineLvl w:val="0"/>
        <w:rPr>
          <w:rFonts w:hint="eastAsia" w:ascii="仿宋" w:hAnsi="仿宋" w:eastAsia="仿宋" w:cs="仿宋"/>
          <w:bCs/>
          <w:color w:val="auto"/>
          <w:sz w:val="28"/>
          <w:szCs w:val="28"/>
          <w:lang w:eastAsia="zh-CN"/>
        </w:rPr>
      </w:pPr>
      <w:bookmarkStart w:id="239" w:name="_Toc10339"/>
      <w:bookmarkStart w:id="240" w:name="_Toc20218"/>
      <w:bookmarkStart w:id="241" w:name="_Toc1265"/>
      <w:bookmarkStart w:id="242" w:name="_Toc9813"/>
      <w:bookmarkStart w:id="243" w:name="_Toc7839"/>
      <w:r>
        <w:rPr>
          <w:rFonts w:hint="eastAsia" w:ascii="仿宋" w:hAnsi="仿宋" w:eastAsia="仿宋" w:cs="仿宋"/>
          <w:bCs/>
          <w:color w:val="auto"/>
          <w:spacing w:val="-3"/>
          <w:sz w:val="28"/>
          <w:szCs w:val="28"/>
          <w:lang w:eastAsia="zh-CN"/>
          <w14:textOutline w14:w="5105" w14:cap="sq" w14:cmpd="sng" w14:algn="ctr">
            <w14:solidFill>
              <w14:srgbClr w14:val="000000"/>
            </w14:solidFill>
            <w14:prstDash w14:val="solid"/>
            <w14:bevel/>
          </w14:textOutline>
        </w:rPr>
        <w:t>五、指标体系</w:t>
      </w:r>
      <w:bookmarkEnd w:id="239"/>
      <w:bookmarkEnd w:id="240"/>
      <w:bookmarkEnd w:id="241"/>
      <w:bookmarkEnd w:id="242"/>
      <w:bookmarkEnd w:id="243"/>
    </w:p>
    <w:p w14:paraId="262E00A0">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244" w:name="_Toc14475"/>
      <w:bookmarkStart w:id="245" w:name="_Toc7468"/>
      <w:bookmarkStart w:id="246" w:name="_Toc27969"/>
      <w:bookmarkStart w:id="247" w:name="_Toc9774"/>
      <w:r>
        <w:rPr>
          <w:rFonts w:hint="eastAsia" w:ascii="仿宋" w:hAnsi="仿宋" w:eastAsia="仿宋" w:cs="仿宋"/>
          <w:b/>
          <w:color w:val="auto"/>
          <w:spacing w:val="3"/>
          <w:sz w:val="28"/>
          <w:szCs w:val="28"/>
          <w:lang w:eastAsia="zh-CN"/>
        </w:rPr>
        <w:t>（一）评价指标分值分布</w:t>
      </w:r>
      <w:bookmarkEnd w:id="244"/>
      <w:bookmarkEnd w:id="245"/>
      <w:bookmarkEnd w:id="246"/>
      <w:bookmarkEnd w:id="247"/>
    </w:p>
    <w:p w14:paraId="4DDAB877">
      <w:pPr>
        <w:widowControl w:val="0"/>
        <w:overflowPunct w:val="0"/>
        <w:snapToGrid/>
        <w:spacing w:before="120" w:line="408" w:lineRule="auto"/>
        <w:ind w:firstLine="556" w:firstLineChars="200"/>
        <w:jc w:val="both"/>
        <w:rPr>
          <w:rFonts w:hint="eastAsia" w:ascii="仿宋" w:hAnsi="仿宋" w:eastAsia="仿宋" w:cs="仿宋"/>
          <w:color w:val="auto"/>
          <w:spacing w:val="-1"/>
          <w:sz w:val="28"/>
          <w:szCs w:val="28"/>
          <w:lang w:eastAsia="zh-CN"/>
        </w:rPr>
      </w:pPr>
      <w:r>
        <w:rPr>
          <w:rFonts w:hint="eastAsia" w:ascii="仿宋" w:hAnsi="仿宋" w:eastAsia="仿宋" w:cs="仿宋"/>
          <w:color w:val="auto"/>
          <w:spacing w:val="-1"/>
          <w:sz w:val="28"/>
          <w:szCs w:val="28"/>
          <w:lang w:eastAsia="zh-CN"/>
        </w:rPr>
        <w:t>本次绩效评价指标体系总体依据《预算绩效评价共性指标体系框架》（财预〔2013〕53号）的相关规定设计，在参考“部门整体支出项目绩效评价指标体系”的一级和二级指标内容的前提下，结合部门当年度实际工作任务对三级指标进行细化和调整，并采用层次分析法，结合以往经验确定三级指标的权重。</w:t>
      </w:r>
    </w:p>
    <w:p w14:paraId="5AE38BDD">
      <w:pPr>
        <w:widowControl w:val="0"/>
        <w:overflowPunct w:val="0"/>
        <w:snapToGrid/>
        <w:spacing w:before="120" w:line="408" w:lineRule="auto"/>
        <w:ind w:firstLine="574" w:firstLineChars="200"/>
        <w:jc w:val="both"/>
        <w:outlineLvl w:val="1"/>
        <w:rPr>
          <w:rFonts w:hint="eastAsia" w:ascii="仿宋" w:hAnsi="仿宋" w:eastAsia="仿宋" w:cs="仿宋"/>
          <w:b/>
          <w:color w:val="auto"/>
          <w:spacing w:val="3"/>
          <w:sz w:val="28"/>
          <w:szCs w:val="28"/>
          <w:lang w:eastAsia="zh-CN"/>
        </w:rPr>
      </w:pPr>
      <w:bookmarkStart w:id="248" w:name="_Toc4648"/>
      <w:bookmarkStart w:id="249" w:name="_Toc12985"/>
      <w:bookmarkStart w:id="250" w:name="_Toc28811"/>
      <w:bookmarkStart w:id="251" w:name="_Toc23324"/>
      <w:r>
        <w:rPr>
          <w:rFonts w:hint="eastAsia" w:ascii="仿宋" w:hAnsi="仿宋" w:eastAsia="仿宋" w:cs="仿宋"/>
          <w:b/>
          <w:color w:val="auto"/>
          <w:spacing w:val="3"/>
          <w:sz w:val="28"/>
          <w:szCs w:val="28"/>
          <w:lang w:eastAsia="zh-CN"/>
        </w:rPr>
        <w:t>（二）评价等级</w:t>
      </w:r>
      <w:bookmarkEnd w:id="248"/>
      <w:bookmarkEnd w:id="249"/>
      <w:bookmarkEnd w:id="250"/>
      <w:bookmarkEnd w:id="251"/>
    </w:p>
    <w:p w14:paraId="667986EF">
      <w:pPr>
        <w:widowControl w:val="0"/>
        <w:overflowPunct w:val="0"/>
        <w:snapToGrid/>
        <w:spacing w:before="120" w:line="408" w:lineRule="auto"/>
        <w:ind w:firstLine="556" w:firstLineChars="200"/>
        <w:jc w:val="both"/>
        <w:rPr>
          <w:rFonts w:hint="eastAsia" w:ascii="仿宋" w:hAnsi="仿宋" w:eastAsia="仿宋" w:cs="仿宋"/>
          <w:color w:val="auto"/>
          <w:spacing w:val="-1"/>
          <w:sz w:val="28"/>
          <w:szCs w:val="28"/>
          <w:lang w:eastAsia="zh-CN"/>
        </w:rPr>
      </w:pPr>
      <w:bookmarkStart w:id="252" w:name="_Toc22776"/>
      <w:r>
        <w:rPr>
          <w:rFonts w:hint="eastAsia" w:ascii="仿宋" w:hAnsi="仿宋" w:eastAsia="仿宋" w:cs="仿宋"/>
          <w:color w:val="auto"/>
          <w:spacing w:val="-1"/>
          <w:sz w:val="28"/>
          <w:szCs w:val="28"/>
          <w:lang w:eastAsia="zh-CN"/>
        </w:rPr>
        <w:t>评价结果包括综合评分和评级，分为四个等级：高于或等于90（含）为“优”；80分（含）～90分为“良”；60分（含）～80分为“中”；低于60分为“差”</w:t>
      </w:r>
      <w:bookmarkEnd w:id="252"/>
      <w:r>
        <w:rPr>
          <w:rFonts w:hint="eastAsia" w:ascii="仿宋" w:hAnsi="仿宋" w:eastAsia="仿宋" w:cs="仿宋"/>
          <w:color w:val="auto"/>
          <w:spacing w:val="-1"/>
          <w:sz w:val="28"/>
          <w:szCs w:val="28"/>
          <w:lang w:eastAsia="zh-CN"/>
        </w:rPr>
        <w:t>。</w:t>
      </w:r>
    </w:p>
    <w:p w14:paraId="5F3A5D02">
      <w:pPr>
        <w:widowControl w:val="0"/>
        <w:overflowPunct w:val="0"/>
        <w:spacing w:line="408" w:lineRule="auto"/>
        <w:jc w:val="center"/>
        <w:rPr>
          <w:rFonts w:hint="eastAsia" w:ascii="仿宋" w:hAnsi="仿宋" w:eastAsia="仿宋" w:cs="仿宋"/>
          <w:bCs/>
          <w:spacing w:val="-3"/>
          <w:sz w:val="24"/>
          <w:szCs w:val="24"/>
          <w:lang w:eastAsia="zh-CN"/>
          <w14:textOutline w14:w="5105" w14:cap="sq" w14:cmpd="sng" w14:algn="ctr">
            <w14:solidFill>
              <w14:srgbClr w14:val="000000"/>
            </w14:solidFill>
            <w14:prstDash w14:val="solid"/>
            <w14:bevel/>
          </w14:textOutline>
        </w:rPr>
      </w:pPr>
      <w:r>
        <w:rPr>
          <w:rFonts w:hint="eastAsia" w:ascii="仿宋" w:hAnsi="仿宋" w:eastAsia="仿宋" w:cs="仿宋"/>
          <w:bCs/>
          <w:spacing w:val="-3"/>
          <w:sz w:val="24"/>
          <w:szCs w:val="24"/>
          <w:lang w:eastAsia="zh-CN"/>
          <w14:textOutline w14:w="5105" w14:cap="sq" w14:cmpd="sng" w14:algn="ctr">
            <w14:solidFill>
              <w14:srgbClr w14:val="000000"/>
            </w14:solidFill>
            <w14:prstDash w14:val="solid"/>
            <w14:bevel/>
          </w14:textOutline>
        </w:rPr>
        <w:t>2024年度石狮市退役军人事务局</w:t>
      </w:r>
      <w:r>
        <w:rPr>
          <w:rFonts w:ascii="仿宋" w:hAnsi="仿宋" w:eastAsia="仿宋" w:cs="仿宋"/>
          <w:bCs/>
          <w:spacing w:val="-3"/>
          <w:sz w:val="24"/>
          <w:szCs w:val="24"/>
          <w:lang w:eastAsia="zh-CN"/>
          <w14:textOutline w14:w="5105" w14:cap="sq" w14:cmpd="sng" w14:algn="ctr">
            <w14:solidFill>
              <w14:srgbClr w14:val="000000"/>
            </w14:solidFill>
            <w14:prstDash w14:val="solid"/>
            <w14:bevel/>
          </w14:textOutline>
        </w:rPr>
        <w:t>部门整体支出绩效评价指标体系表</w:t>
      </w:r>
    </w:p>
    <w:tbl>
      <w:tblPr>
        <w:tblStyle w:val="89"/>
        <w:tblW w:w="0" w:type="auto"/>
        <w:tblInd w:w="0" w:type="dxa"/>
        <w:tblLayout w:type="fixed"/>
        <w:tblCellMar>
          <w:top w:w="0" w:type="dxa"/>
          <w:left w:w="108" w:type="dxa"/>
          <w:bottom w:w="0" w:type="dxa"/>
          <w:right w:w="108" w:type="dxa"/>
        </w:tblCellMar>
      </w:tblPr>
      <w:tblGrid>
        <w:gridCol w:w="1233"/>
        <w:gridCol w:w="1200"/>
        <w:gridCol w:w="2250"/>
        <w:gridCol w:w="3967"/>
        <w:gridCol w:w="638"/>
      </w:tblGrid>
      <w:tr w14:paraId="4B9559CE">
        <w:tblPrEx>
          <w:tblCellMar>
            <w:top w:w="0" w:type="dxa"/>
            <w:left w:w="108" w:type="dxa"/>
            <w:bottom w:w="0" w:type="dxa"/>
            <w:right w:w="108" w:type="dxa"/>
          </w:tblCellMar>
        </w:tblPrEx>
        <w:trPr>
          <w:trHeight w:val="680" w:hRule="atLeast"/>
        </w:trPr>
        <w:tc>
          <w:tcPr>
            <w:tcW w:w="1233" w:type="dxa"/>
            <w:tcBorders>
              <w:top w:val="single" w:color="000000" w:sz="4" w:space="0"/>
              <w:left w:val="single" w:color="000000" w:sz="4" w:space="0"/>
              <w:bottom w:val="single" w:color="000000" w:sz="4" w:space="0"/>
              <w:right w:val="single" w:color="000000" w:sz="4" w:space="0"/>
            </w:tcBorders>
            <w:noWrap/>
            <w:vAlign w:val="center"/>
          </w:tcPr>
          <w:p w14:paraId="5D0EFBED">
            <w:pPr>
              <w:jc w:val="center"/>
              <w:textAlignment w:val="center"/>
              <w:rPr>
                <w:rFonts w:hint="eastAsia" w:ascii="仿宋" w:hAnsi="仿宋" w:eastAsia="仿宋" w:cs="仿宋"/>
                <w:b/>
                <w:bCs/>
              </w:rPr>
            </w:pPr>
            <w:r>
              <w:rPr>
                <w:rFonts w:hint="eastAsia" w:ascii="仿宋" w:hAnsi="仿宋" w:eastAsia="仿宋" w:cs="仿宋"/>
                <w:b/>
                <w:bCs/>
                <w:lang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2E3AA03">
            <w:pPr>
              <w:jc w:val="center"/>
              <w:textAlignment w:val="center"/>
              <w:rPr>
                <w:rFonts w:hint="eastAsia" w:ascii="仿宋" w:hAnsi="仿宋" w:eastAsia="仿宋" w:cs="仿宋"/>
                <w:b/>
                <w:bCs/>
              </w:rPr>
            </w:pPr>
            <w:r>
              <w:rPr>
                <w:rFonts w:hint="eastAsia" w:ascii="仿宋" w:hAnsi="仿宋" w:eastAsia="仿宋" w:cs="仿宋"/>
                <w:b/>
                <w:bCs/>
                <w:lang w:eastAsia="zh-CN" w:bidi="ar"/>
              </w:rPr>
              <w:t>二级指标</w:t>
            </w:r>
          </w:p>
        </w:tc>
        <w:tc>
          <w:tcPr>
            <w:tcW w:w="2250" w:type="dxa"/>
            <w:tcBorders>
              <w:top w:val="single" w:color="000000" w:sz="4" w:space="0"/>
              <w:left w:val="single" w:color="000000" w:sz="4" w:space="0"/>
              <w:bottom w:val="single" w:color="000000" w:sz="4" w:space="0"/>
              <w:right w:val="single" w:color="000000" w:sz="4" w:space="0"/>
            </w:tcBorders>
            <w:vAlign w:val="center"/>
          </w:tcPr>
          <w:p w14:paraId="12FDF2AF">
            <w:pPr>
              <w:jc w:val="center"/>
              <w:textAlignment w:val="center"/>
              <w:rPr>
                <w:rFonts w:hint="eastAsia" w:ascii="仿宋" w:hAnsi="仿宋" w:eastAsia="仿宋" w:cs="仿宋"/>
                <w:b/>
                <w:bCs/>
              </w:rPr>
            </w:pPr>
            <w:r>
              <w:rPr>
                <w:rFonts w:hint="eastAsia" w:ascii="仿宋" w:hAnsi="仿宋" w:eastAsia="仿宋" w:cs="仿宋"/>
                <w:b/>
                <w:bCs/>
                <w:lang w:eastAsia="zh-CN" w:bidi="ar"/>
              </w:rPr>
              <w:t>三级指标</w:t>
            </w:r>
          </w:p>
        </w:tc>
        <w:tc>
          <w:tcPr>
            <w:tcW w:w="3967" w:type="dxa"/>
            <w:tcBorders>
              <w:top w:val="single" w:color="000000" w:sz="4" w:space="0"/>
              <w:left w:val="single" w:color="000000" w:sz="4" w:space="0"/>
              <w:bottom w:val="single" w:color="000000" w:sz="4" w:space="0"/>
              <w:right w:val="single" w:color="000000" w:sz="4" w:space="0"/>
            </w:tcBorders>
            <w:vAlign w:val="center"/>
          </w:tcPr>
          <w:p w14:paraId="3353E2E4">
            <w:pPr>
              <w:jc w:val="center"/>
              <w:textAlignment w:val="center"/>
              <w:rPr>
                <w:rFonts w:hint="eastAsia" w:ascii="仿宋" w:hAnsi="仿宋" w:eastAsia="仿宋" w:cs="仿宋"/>
                <w:b/>
                <w:bCs/>
              </w:rPr>
            </w:pPr>
            <w:r>
              <w:rPr>
                <w:rFonts w:hint="eastAsia" w:ascii="仿宋" w:hAnsi="仿宋" w:eastAsia="仿宋" w:cs="仿宋"/>
                <w:b/>
                <w:bCs/>
                <w:lang w:eastAsia="zh-CN" w:bidi="ar"/>
              </w:rPr>
              <w:t>评价标准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4340AF6">
            <w:pPr>
              <w:jc w:val="center"/>
              <w:textAlignment w:val="center"/>
              <w:rPr>
                <w:rFonts w:hint="eastAsia" w:ascii="仿宋" w:hAnsi="仿宋" w:eastAsia="仿宋" w:cs="仿宋"/>
                <w:b/>
                <w:bCs/>
              </w:rPr>
            </w:pPr>
            <w:r>
              <w:rPr>
                <w:rFonts w:hint="eastAsia" w:ascii="仿宋" w:hAnsi="仿宋" w:eastAsia="仿宋" w:cs="仿宋"/>
                <w:b/>
                <w:bCs/>
                <w:lang w:eastAsia="zh-CN" w:bidi="ar"/>
              </w:rPr>
              <w:t>分值</w:t>
            </w:r>
          </w:p>
        </w:tc>
      </w:tr>
      <w:tr w14:paraId="5312CFA8">
        <w:tblPrEx>
          <w:tblCellMar>
            <w:top w:w="0" w:type="dxa"/>
            <w:left w:w="108" w:type="dxa"/>
            <w:bottom w:w="0" w:type="dxa"/>
            <w:right w:w="108" w:type="dxa"/>
          </w:tblCellMar>
        </w:tblPrEx>
        <w:trPr>
          <w:trHeight w:val="2200" w:hRule="atLeast"/>
        </w:trPr>
        <w:tc>
          <w:tcPr>
            <w:tcW w:w="1233" w:type="dxa"/>
            <w:vMerge w:val="restart"/>
            <w:tcBorders>
              <w:top w:val="single" w:color="000000" w:sz="4" w:space="0"/>
              <w:left w:val="single" w:color="000000" w:sz="4" w:space="0"/>
              <w:bottom w:val="single" w:color="000000" w:sz="4" w:space="0"/>
              <w:right w:val="single" w:color="000000" w:sz="4" w:space="0"/>
            </w:tcBorders>
            <w:noWrap/>
            <w:vAlign w:val="center"/>
          </w:tcPr>
          <w:p w14:paraId="3BA316E4">
            <w:pPr>
              <w:jc w:val="center"/>
              <w:textAlignment w:val="center"/>
              <w:rPr>
                <w:rFonts w:hint="eastAsia" w:ascii="仿宋" w:hAnsi="仿宋" w:eastAsia="仿宋" w:cs="仿宋"/>
              </w:rPr>
            </w:pPr>
            <w:r>
              <w:rPr>
                <w:rFonts w:hint="eastAsia" w:ascii="仿宋" w:hAnsi="仿宋" w:eastAsia="仿宋" w:cs="仿宋"/>
                <w:lang w:eastAsia="zh-CN" w:bidi="ar"/>
              </w:rPr>
              <w:t>投入</w:t>
            </w:r>
            <w:r>
              <w:rPr>
                <w:rFonts w:hint="eastAsia" w:ascii="仿宋" w:hAnsi="仿宋" w:eastAsia="仿宋" w:cs="仿宋"/>
                <w:lang w:eastAsia="zh-CN" w:bidi="ar"/>
              </w:rPr>
              <w:br w:type="textWrapping"/>
            </w:r>
            <w:r>
              <w:rPr>
                <w:rFonts w:hint="eastAsia" w:ascii="仿宋" w:hAnsi="仿宋" w:eastAsia="仿宋" w:cs="仿宋"/>
                <w:lang w:eastAsia="zh-CN" w:bidi="ar"/>
              </w:rPr>
              <w:t>（10分）</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7AB2079C">
            <w:pPr>
              <w:jc w:val="center"/>
              <w:textAlignment w:val="center"/>
              <w:rPr>
                <w:rFonts w:hint="eastAsia" w:ascii="仿宋" w:hAnsi="仿宋" w:eastAsia="仿宋" w:cs="仿宋"/>
              </w:rPr>
            </w:pPr>
            <w:r>
              <w:rPr>
                <w:rFonts w:hint="eastAsia" w:ascii="仿宋" w:hAnsi="仿宋" w:eastAsia="仿宋" w:cs="仿宋"/>
                <w:lang w:eastAsia="zh-CN" w:bidi="ar"/>
              </w:rPr>
              <w:t>目标设定（4分）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1ADAE343">
            <w:pPr>
              <w:jc w:val="center"/>
              <w:textAlignment w:val="center"/>
              <w:rPr>
                <w:rFonts w:hint="eastAsia" w:ascii="仿宋" w:hAnsi="仿宋" w:eastAsia="仿宋" w:cs="仿宋"/>
              </w:rPr>
            </w:pPr>
            <w:r>
              <w:rPr>
                <w:rFonts w:hint="eastAsia" w:ascii="仿宋" w:hAnsi="仿宋" w:eastAsia="仿宋" w:cs="仿宋"/>
                <w:lang w:eastAsia="zh-CN" w:bidi="ar"/>
              </w:rPr>
              <w:t>绩效目标合理性</w:t>
            </w:r>
          </w:p>
        </w:tc>
        <w:tc>
          <w:tcPr>
            <w:tcW w:w="3967" w:type="dxa"/>
            <w:tcBorders>
              <w:top w:val="single" w:color="000000" w:sz="4" w:space="0"/>
              <w:left w:val="single" w:color="000000" w:sz="4" w:space="0"/>
              <w:bottom w:val="single" w:color="000000" w:sz="4" w:space="0"/>
              <w:right w:val="single" w:color="000000" w:sz="4" w:space="0"/>
            </w:tcBorders>
            <w:vAlign w:val="center"/>
          </w:tcPr>
          <w:p w14:paraId="5A4D30EB">
            <w:pPr>
              <w:textAlignment w:val="center"/>
              <w:rPr>
                <w:rFonts w:hint="eastAsia" w:ascii="仿宋" w:hAnsi="仿宋" w:eastAsia="仿宋" w:cs="仿宋"/>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①是否符合国家法律法规；</w:t>
            </w:r>
            <w:r>
              <w:rPr>
                <w:rFonts w:hint="eastAsia" w:ascii="仿宋" w:hAnsi="仿宋" w:eastAsia="仿宋" w:cs="仿宋"/>
                <w:lang w:eastAsia="zh-CN" w:bidi="ar"/>
              </w:rPr>
              <w:br w:type="textWrapping"/>
            </w:r>
            <w:r>
              <w:rPr>
                <w:rFonts w:hint="eastAsia" w:ascii="仿宋" w:hAnsi="仿宋" w:eastAsia="仿宋" w:cs="仿宋"/>
                <w:lang w:eastAsia="zh-CN" w:bidi="ar"/>
              </w:rPr>
              <w:t>②是否符合国民经济和社会发展总体规划；</w:t>
            </w:r>
            <w:r>
              <w:rPr>
                <w:rFonts w:hint="eastAsia" w:ascii="仿宋" w:hAnsi="仿宋" w:eastAsia="仿宋" w:cs="仿宋"/>
                <w:lang w:eastAsia="zh-CN" w:bidi="ar"/>
              </w:rPr>
              <w:br w:type="textWrapping"/>
            </w:r>
            <w:r>
              <w:rPr>
                <w:rFonts w:hint="eastAsia" w:ascii="仿宋" w:hAnsi="仿宋" w:eastAsia="仿宋" w:cs="仿宋"/>
                <w:lang w:eastAsia="zh-CN" w:bidi="ar"/>
              </w:rPr>
              <w:t>③是否符合部门“三定”方案确定的职责；</w:t>
            </w:r>
            <w:r>
              <w:rPr>
                <w:rFonts w:hint="eastAsia" w:ascii="仿宋" w:hAnsi="仿宋" w:eastAsia="仿宋" w:cs="仿宋"/>
                <w:lang w:eastAsia="zh-CN" w:bidi="ar"/>
              </w:rPr>
              <w:br w:type="textWrapping"/>
            </w:r>
            <w:r>
              <w:rPr>
                <w:rFonts w:hint="eastAsia" w:ascii="仿宋" w:hAnsi="仿宋" w:eastAsia="仿宋" w:cs="仿宋"/>
                <w:lang w:eastAsia="zh-CN" w:bidi="ar"/>
              </w:rPr>
              <w:t>④是否符合部门制定的中长期实施规划或年度工作计划。</w:t>
            </w:r>
            <w:r>
              <w:rPr>
                <w:rFonts w:hint="eastAsia" w:ascii="仿宋" w:hAnsi="仿宋" w:eastAsia="仿宋" w:cs="仿宋"/>
                <w:lang w:eastAsia="zh-CN" w:bidi="ar"/>
              </w:rPr>
              <w:br w:type="textWrapping"/>
            </w:r>
            <w:r>
              <w:rPr>
                <w:rFonts w:hint="eastAsia" w:ascii="仿宋" w:hAnsi="仿宋" w:eastAsia="仿宋" w:cs="仿宋"/>
                <w:lang w:eastAsia="zh-CN" w:bidi="ar"/>
              </w:rPr>
              <w:t>一项不符扣0.5分。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E5A8E52">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15F68641">
        <w:tblPrEx>
          <w:tblCellMar>
            <w:top w:w="0" w:type="dxa"/>
            <w:left w:w="108" w:type="dxa"/>
            <w:bottom w:w="0" w:type="dxa"/>
            <w:right w:w="108" w:type="dxa"/>
          </w:tblCellMar>
        </w:tblPrEx>
        <w:trPr>
          <w:trHeight w:val="276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13B54124">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2B90C524">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6BE7BF5B">
            <w:pPr>
              <w:jc w:val="center"/>
              <w:textAlignment w:val="center"/>
              <w:rPr>
                <w:rFonts w:hint="eastAsia" w:ascii="仿宋" w:hAnsi="仿宋" w:eastAsia="仿宋" w:cs="仿宋"/>
              </w:rPr>
            </w:pPr>
            <w:r>
              <w:rPr>
                <w:rFonts w:hint="eastAsia" w:ascii="仿宋" w:hAnsi="仿宋" w:eastAsia="仿宋" w:cs="仿宋"/>
                <w:lang w:eastAsia="zh-CN" w:bidi="ar"/>
              </w:rPr>
              <w:t>绩效目标明确性</w:t>
            </w:r>
          </w:p>
        </w:tc>
        <w:tc>
          <w:tcPr>
            <w:tcW w:w="3967" w:type="dxa"/>
            <w:tcBorders>
              <w:top w:val="single" w:color="000000" w:sz="4" w:space="0"/>
              <w:left w:val="single" w:color="000000" w:sz="4" w:space="0"/>
              <w:bottom w:val="single" w:color="000000" w:sz="4" w:space="0"/>
              <w:right w:val="single" w:color="000000" w:sz="4" w:space="0"/>
            </w:tcBorders>
            <w:vAlign w:val="center"/>
          </w:tcPr>
          <w:p w14:paraId="34A4F8A0">
            <w:pPr>
              <w:textAlignment w:val="center"/>
              <w:rPr>
                <w:rFonts w:hint="eastAsia" w:ascii="仿宋" w:hAnsi="仿宋" w:eastAsia="仿宋" w:cs="仿宋"/>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①是否将部门整体的绩效目标细化分解为具体的工作任务；</w:t>
            </w:r>
            <w:r>
              <w:rPr>
                <w:rFonts w:hint="eastAsia" w:ascii="仿宋" w:hAnsi="仿宋" w:eastAsia="仿宋" w:cs="仿宋"/>
                <w:lang w:eastAsia="zh-CN" w:bidi="ar"/>
              </w:rPr>
              <w:br w:type="textWrapping"/>
            </w:r>
            <w:r>
              <w:rPr>
                <w:rFonts w:hint="eastAsia" w:ascii="仿宋" w:hAnsi="仿宋" w:eastAsia="仿宋" w:cs="仿宋"/>
                <w:lang w:eastAsia="zh-CN" w:bidi="ar"/>
              </w:rPr>
              <w:t>②是否通过清晰、可衡量的指标予以体现；</w:t>
            </w:r>
            <w:r>
              <w:rPr>
                <w:rFonts w:hint="eastAsia" w:ascii="仿宋" w:hAnsi="仿宋" w:eastAsia="仿宋" w:cs="仿宋"/>
                <w:lang w:eastAsia="zh-CN" w:bidi="ar"/>
              </w:rPr>
              <w:br w:type="textWrapping"/>
            </w:r>
            <w:r>
              <w:rPr>
                <w:rFonts w:hint="eastAsia" w:ascii="仿宋" w:hAnsi="仿宋" w:eastAsia="仿宋" w:cs="仿宋"/>
                <w:lang w:eastAsia="zh-CN" w:bidi="ar"/>
              </w:rPr>
              <w:t>③是否与部门年度的任务数或计划数相对应；</w:t>
            </w:r>
            <w:r>
              <w:rPr>
                <w:rFonts w:hint="eastAsia" w:ascii="仿宋" w:hAnsi="仿宋" w:eastAsia="仿宋" w:cs="仿宋"/>
                <w:lang w:eastAsia="zh-CN" w:bidi="ar"/>
              </w:rPr>
              <w:br w:type="textWrapping"/>
            </w:r>
            <w:r>
              <w:rPr>
                <w:rFonts w:hint="eastAsia" w:ascii="仿宋" w:hAnsi="仿宋" w:eastAsia="仿宋" w:cs="仿宋"/>
                <w:lang w:eastAsia="zh-CN" w:bidi="ar"/>
              </w:rPr>
              <w:t>④是否以本年度部门预算资金相匹配。</w:t>
            </w:r>
            <w:r>
              <w:rPr>
                <w:rFonts w:hint="eastAsia" w:ascii="仿宋" w:hAnsi="仿宋" w:eastAsia="仿宋" w:cs="仿宋"/>
                <w:lang w:eastAsia="zh-CN" w:bidi="ar"/>
              </w:rPr>
              <w:br w:type="textWrapping"/>
            </w:r>
            <w:r>
              <w:rPr>
                <w:rFonts w:hint="eastAsia" w:ascii="仿宋" w:hAnsi="仿宋" w:eastAsia="仿宋" w:cs="仿宋"/>
                <w:lang w:eastAsia="zh-CN" w:bidi="ar"/>
              </w:rPr>
              <w:t>一项不符扣0.5分。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7E2E1A0">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78B1F42B">
        <w:tblPrEx>
          <w:tblCellMar>
            <w:top w:w="0" w:type="dxa"/>
            <w:left w:w="108" w:type="dxa"/>
            <w:bottom w:w="0" w:type="dxa"/>
            <w:right w:w="108" w:type="dxa"/>
          </w:tblCellMar>
        </w:tblPrEx>
        <w:trPr>
          <w:trHeight w:val="2592"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2D8917E6">
            <w:pPr>
              <w:jc w:val="center"/>
              <w:rPr>
                <w:rFonts w:hint="eastAsia" w:ascii="仿宋" w:hAnsi="仿宋" w:eastAsia="仿宋" w:cs="仿宋"/>
              </w:rPr>
            </w:pP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7F669370">
            <w:pPr>
              <w:jc w:val="center"/>
              <w:textAlignment w:val="center"/>
              <w:rPr>
                <w:rFonts w:hint="eastAsia" w:ascii="仿宋" w:hAnsi="仿宋" w:eastAsia="仿宋" w:cs="仿宋"/>
              </w:rPr>
            </w:pPr>
            <w:r>
              <w:rPr>
                <w:rFonts w:hint="eastAsia" w:ascii="仿宋" w:hAnsi="仿宋" w:eastAsia="仿宋" w:cs="仿宋"/>
                <w:lang w:eastAsia="zh-CN" w:bidi="ar"/>
              </w:rPr>
              <w:t>预算配置（6分）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1D333B6E">
            <w:pPr>
              <w:jc w:val="center"/>
              <w:textAlignment w:val="center"/>
              <w:rPr>
                <w:rFonts w:hint="eastAsia" w:ascii="仿宋" w:hAnsi="仿宋" w:eastAsia="仿宋" w:cs="仿宋"/>
              </w:rPr>
            </w:pPr>
            <w:r>
              <w:rPr>
                <w:rFonts w:hint="eastAsia" w:ascii="仿宋" w:hAnsi="仿宋" w:eastAsia="仿宋" w:cs="仿宋"/>
                <w:lang w:eastAsia="zh-CN" w:bidi="ar"/>
              </w:rPr>
              <w:t>在职人员控制率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517BBBA8">
            <w:pPr>
              <w:textAlignment w:val="center"/>
              <w:rPr>
                <w:rFonts w:hint="eastAsia" w:ascii="仿宋" w:hAnsi="仿宋" w:eastAsia="仿宋" w:cs="仿宋"/>
                <w:lang w:eastAsia="zh-CN"/>
              </w:rPr>
            </w:pPr>
            <w:r>
              <w:rPr>
                <w:rFonts w:hint="eastAsia" w:ascii="仿宋" w:hAnsi="仿宋" w:eastAsia="仿宋" w:cs="仿宋"/>
                <w:lang w:eastAsia="zh-CN" w:bidi="ar"/>
              </w:rPr>
              <w:t>评价要点：部门（单位）本年度实际在职人员数与编制数的比率，用以反映和评价部门（单位）对人员成本的控制程度。在职人员控制率=（在职人员数/编制数）×100%。</w:t>
            </w:r>
            <w:r>
              <w:rPr>
                <w:rFonts w:hint="eastAsia" w:ascii="仿宋" w:hAnsi="仿宋" w:eastAsia="仿宋" w:cs="仿宋"/>
                <w:lang w:eastAsia="zh-CN" w:bidi="ar"/>
              </w:rPr>
              <w:br w:type="textWrapping"/>
            </w: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①在职人员控制率≤100%，得满分；</w:t>
            </w:r>
            <w:r>
              <w:rPr>
                <w:rFonts w:hint="eastAsia" w:ascii="仿宋" w:hAnsi="仿宋" w:eastAsia="仿宋" w:cs="仿宋"/>
                <w:lang w:eastAsia="zh-CN" w:bidi="ar"/>
              </w:rPr>
              <w:br w:type="textWrapping"/>
            </w:r>
            <w:r>
              <w:rPr>
                <w:rFonts w:hint="eastAsia" w:ascii="仿宋" w:hAnsi="仿宋" w:eastAsia="仿宋" w:cs="仿宋"/>
                <w:lang w:eastAsia="zh-CN" w:bidi="ar"/>
              </w:rPr>
              <w:t>②在职人员控制率≧115%，得0分；</w:t>
            </w:r>
            <w:r>
              <w:rPr>
                <w:rFonts w:hint="eastAsia" w:ascii="仿宋" w:hAnsi="仿宋" w:eastAsia="仿宋" w:cs="仿宋"/>
                <w:lang w:eastAsia="zh-CN" w:bidi="ar"/>
              </w:rPr>
              <w:br w:type="textWrapping"/>
            </w:r>
            <w:r>
              <w:rPr>
                <w:rFonts w:hint="eastAsia" w:ascii="仿宋" w:hAnsi="仿宋" w:eastAsia="仿宋" w:cs="仿宋"/>
                <w:lang w:eastAsia="zh-CN" w:bidi="ar"/>
              </w:rPr>
              <w:t>③100%＜在职人员控制率＜115%之间，得分=（115%－某部门在职人员控制率）/15%×指标分值。</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12DB0DED">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4DA1EB94">
        <w:tblPrEx>
          <w:tblCellMar>
            <w:top w:w="0" w:type="dxa"/>
            <w:left w:w="108" w:type="dxa"/>
            <w:bottom w:w="0" w:type="dxa"/>
            <w:right w:w="108" w:type="dxa"/>
          </w:tblCellMar>
        </w:tblPrEx>
        <w:trPr>
          <w:trHeight w:val="2016"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5DF102DD">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0207D233">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01178FF3">
            <w:pPr>
              <w:jc w:val="center"/>
              <w:textAlignment w:val="center"/>
              <w:rPr>
                <w:rFonts w:hint="eastAsia" w:ascii="仿宋" w:hAnsi="仿宋" w:eastAsia="仿宋" w:cs="仿宋"/>
              </w:rPr>
            </w:pPr>
            <w:r>
              <w:rPr>
                <w:rFonts w:hint="eastAsia" w:ascii="仿宋" w:hAnsi="仿宋" w:eastAsia="仿宋" w:cs="仿宋"/>
                <w:lang w:eastAsia="zh-CN" w:bidi="ar"/>
              </w:rPr>
              <w:t>“三公”经费变动率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7FFA1134">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“三公”经费变动率=[（本年度“三公”经费总额-上年度“三公”经费总额）/上年度“三公”经费总额]×100%。</w:t>
            </w:r>
            <w:r>
              <w:rPr>
                <w:rFonts w:hint="eastAsia" w:ascii="仿宋" w:hAnsi="仿宋" w:eastAsia="仿宋" w:cs="仿宋"/>
                <w:lang w:eastAsia="zh-CN" w:bidi="ar"/>
              </w:rPr>
              <w:br w:type="textWrapping"/>
            </w: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①变动率≤0%得满分；</w:t>
            </w:r>
            <w:r>
              <w:rPr>
                <w:rFonts w:hint="eastAsia" w:ascii="仿宋" w:hAnsi="仿宋" w:eastAsia="仿宋" w:cs="仿宋"/>
                <w:lang w:eastAsia="zh-CN" w:bidi="ar"/>
              </w:rPr>
              <w:br w:type="textWrapping"/>
            </w:r>
            <w:r>
              <w:rPr>
                <w:rFonts w:hint="eastAsia" w:ascii="仿宋" w:hAnsi="仿宋" w:eastAsia="仿宋" w:cs="仿宋"/>
                <w:lang w:eastAsia="zh-CN" w:bidi="ar"/>
              </w:rPr>
              <w:t>②变动率每超过10个百分点扣1分，扣完为止。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772E402">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F8118AE">
        <w:tblPrEx>
          <w:tblCellMar>
            <w:top w:w="0" w:type="dxa"/>
            <w:left w:w="108" w:type="dxa"/>
            <w:bottom w:w="0" w:type="dxa"/>
            <w:right w:w="108" w:type="dxa"/>
          </w:tblCellMar>
        </w:tblPrEx>
        <w:trPr>
          <w:trHeight w:val="184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57D77836">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002B9B98">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23FCBFE2">
            <w:pPr>
              <w:jc w:val="center"/>
              <w:textAlignment w:val="center"/>
              <w:rPr>
                <w:rFonts w:hint="eastAsia" w:ascii="仿宋" w:hAnsi="仿宋" w:eastAsia="仿宋" w:cs="仿宋"/>
              </w:rPr>
            </w:pPr>
            <w:r>
              <w:rPr>
                <w:rFonts w:hint="eastAsia" w:ascii="仿宋" w:hAnsi="仿宋" w:eastAsia="仿宋" w:cs="仿宋"/>
                <w:lang w:eastAsia="zh-CN" w:bidi="ar"/>
              </w:rPr>
              <w:t>结转结余变动率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3259F448">
            <w:pPr>
              <w:textAlignment w:val="center"/>
              <w:rPr>
                <w:rFonts w:hint="eastAsia" w:ascii="仿宋" w:hAnsi="仿宋" w:eastAsia="仿宋" w:cs="仿宋"/>
                <w:lang w:eastAsia="zh-CN"/>
              </w:rPr>
            </w:pPr>
            <w:r>
              <w:rPr>
                <w:rFonts w:hint="eastAsia" w:ascii="仿宋" w:hAnsi="仿宋" w:eastAsia="仿宋" w:cs="仿宋"/>
                <w:lang w:eastAsia="zh-CN" w:bidi="ar"/>
              </w:rPr>
              <w:t>结转结余变动率=[（本年度累计结转结余资金总额-上年度累计结转结余资金总额）/上年度累计结转结余资金总额]×100%。</w:t>
            </w:r>
            <w:r>
              <w:rPr>
                <w:rFonts w:hint="eastAsia" w:ascii="仿宋" w:hAnsi="仿宋" w:eastAsia="仿宋" w:cs="仿宋"/>
                <w:lang w:eastAsia="zh-CN" w:bidi="ar"/>
              </w:rPr>
              <w:br w:type="textWrapping"/>
            </w:r>
            <w:r>
              <w:rPr>
                <w:rFonts w:hint="eastAsia" w:ascii="仿宋" w:hAnsi="仿宋" w:eastAsia="仿宋" w:cs="仿宋"/>
                <w:lang w:eastAsia="zh-CN" w:bidi="ar"/>
              </w:rPr>
              <w:t>①结转结余变动率＜0，得满分；</w:t>
            </w:r>
            <w:r>
              <w:rPr>
                <w:rFonts w:hint="eastAsia" w:ascii="仿宋" w:hAnsi="仿宋" w:eastAsia="仿宋" w:cs="仿宋"/>
                <w:lang w:eastAsia="zh-CN" w:bidi="ar"/>
              </w:rPr>
              <w:br w:type="textWrapping"/>
            </w:r>
            <w:r>
              <w:rPr>
                <w:rFonts w:hint="eastAsia" w:ascii="仿宋" w:hAnsi="仿宋" w:eastAsia="仿宋" w:cs="仿宋"/>
                <w:lang w:eastAsia="zh-CN" w:bidi="ar"/>
              </w:rPr>
              <w:t>②结转结余变动率≧0，不得分。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FFD3257">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5CBC8F8C">
        <w:tblPrEx>
          <w:tblCellMar>
            <w:top w:w="0" w:type="dxa"/>
            <w:left w:w="108" w:type="dxa"/>
            <w:bottom w:w="0" w:type="dxa"/>
            <w:right w:w="108" w:type="dxa"/>
          </w:tblCellMar>
        </w:tblPrEx>
        <w:trPr>
          <w:trHeight w:val="1152" w:hRule="atLeast"/>
        </w:trPr>
        <w:tc>
          <w:tcPr>
            <w:tcW w:w="1233" w:type="dxa"/>
            <w:vMerge w:val="restart"/>
            <w:tcBorders>
              <w:top w:val="single" w:color="000000" w:sz="4" w:space="0"/>
              <w:left w:val="single" w:color="000000" w:sz="4" w:space="0"/>
              <w:bottom w:val="single" w:color="000000" w:sz="4" w:space="0"/>
              <w:right w:val="single" w:color="000000" w:sz="4" w:space="0"/>
            </w:tcBorders>
            <w:noWrap/>
            <w:vAlign w:val="center"/>
          </w:tcPr>
          <w:p w14:paraId="469CCCB0">
            <w:pPr>
              <w:jc w:val="center"/>
              <w:textAlignment w:val="center"/>
              <w:rPr>
                <w:rFonts w:hint="eastAsia" w:ascii="仿宋" w:hAnsi="仿宋" w:eastAsia="仿宋" w:cs="仿宋"/>
              </w:rPr>
            </w:pPr>
            <w:r>
              <w:rPr>
                <w:rFonts w:hint="eastAsia" w:ascii="仿宋" w:hAnsi="仿宋" w:eastAsia="仿宋" w:cs="仿宋"/>
                <w:lang w:eastAsia="zh-CN" w:bidi="ar"/>
              </w:rPr>
              <w:t>过程</w:t>
            </w:r>
            <w:r>
              <w:rPr>
                <w:rFonts w:hint="eastAsia" w:ascii="仿宋" w:hAnsi="仿宋" w:eastAsia="仿宋" w:cs="仿宋"/>
                <w:lang w:eastAsia="zh-CN" w:bidi="ar"/>
              </w:rPr>
              <w:br w:type="textWrapping"/>
            </w:r>
            <w:r>
              <w:rPr>
                <w:rFonts w:hint="eastAsia" w:ascii="仿宋" w:hAnsi="仿宋" w:eastAsia="仿宋" w:cs="仿宋"/>
                <w:lang w:eastAsia="zh-CN" w:bidi="ar"/>
              </w:rPr>
              <w:t>（24分）</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086550FC">
            <w:pPr>
              <w:jc w:val="center"/>
              <w:textAlignment w:val="center"/>
              <w:rPr>
                <w:rFonts w:hint="eastAsia" w:ascii="仿宋" w:hAnsi="仿宋" w:eastAsia="仿宋" w:cs="仿宋"/>
              </w:rPr>
            </w:pPr>
            <w:r>
              <w:rPr>
                <w:rFonts w:hint="eastAsia" w:ascii="仿宋" w:hAnsi="仿宋" w:eastAsia="仿宋" w:cs="仿宋"/>
                <w:lang w:eastAsia="zh-CN" w:bidi="ar"/>
              </w:rPr>
              <w:t>预算执行</w:t>
            </w:r>
            <w:r>
              <w:rPr>
                <w:rFonts w:hint="eastAsia" w:ascii="仿宋" w:hAnsi="仿宋" w:eastAsia="仿宋" w:cs="仿宋"/>
                <w:lang w:eastAsia="zh-CN" w:bidi="ar"/>
              </w:rPr>
              <w:br w:type="textWrapping"/>
            </w:r>
            <w:r>
              <w:rPr>
                <w:rFonts w:hint="eastAsia" w:ascii="仿宋" w:hAnsi="仿宋" w:eastAsia="仿宋" w:cs="仿宋"/>
                <w:lang w:eastAsia="zh-CN" w:bidi="ar"/>
              </w:rPr>
              <w:t>（10分）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31E08D3E">
            <w:pPr>
              <w:jc w:val="center"/>
              <w:textAlignment w:val="center"/>
              <w:rPr>
                <w:rFonts w:hint="eastAsia" w:ascii="仿宋" w:hAnsi="仿宋" w:eastAsia="仿宋" w:cs="仿宋"/>
              </w:rPr>
            </w:pPr>
            <w:r>
              <w:rPr>
                <w:rFonts w:hint="eastAsia" w:ascii="仿宋" w:hAnsi="仿宋" w:eastAsia="仿宋" w:cs="仿宋"/>
                <w:lang w:eastAsia="zh-CN" w:bidi="ar"/>
              </w:rPr>
              <w:t>预算执行率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0E97581F">
            <w:pPr>
              <w:textAlignment w:val="center"/>
              <w:rPr>
                <w:rFonts w:hint="eastAsia" w:ascii="仿宋" w:hAnsi="仿宋" w:eastAsia="仿宋" w:cs="仿宋"/>
                <w:lang w:eastAsia="zh-CN"/>
              </w:rPr>
            </w:pPr>
            <w:r>
              <w:rPr>
                <w:rFonts w:hint="eastAsia" w:ascii="仿宋" w:hAnsi="仿宋" w:eastAsia="仿宋" w:cs="仿宋"/>
                <w:lang w:eastAsia="zh-CN" w:bidi="ar"/>
              </w:rPr>
              <w:t>评价要点：预算执行率=（全年支出执行数/全年预算数）×100%。</w:t>
            </w:r>
            <w:r>
              <w:rPr>
                <w:rFonts w:hint="eastAsia" w:ascii="仿宋" w:hAnsi="仿宋" w:eastAsia="仿宋" w:cs="仿宋"/>
                <w:lang w:eastAsia="zh-CN" w:bidi="ar"/>
              </w:rPr>
              <w:br w:type="textWrapping"/>
            </w:r>
            <w:r>
              <w:rPr>
                <w:rFonts w:hint="eastAsia" w:ascii="仿宋" w:hAnsi="仿宋" w:eastAsia="仿宋" w:cs="仿宋"/>
                <w:lang w:eastAsia="zh-CN" w:bidi="ar"/>
              </w:rPr>
              <w:t>预算执行率≧95%，得2分；每降低1个百分点扣0.1分，扣完为止。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F1C5382">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0F11E10">
        <w:tblPrEx>
          <w:tblCellMar>
            <w:top w:w="0" w:type="dxa"/>
            <w:left w:w="108" w:type="dxa"/>
            <w:bottom w:w="0" w:type="dxa"/>
            <w:right w:w="108" w:type="dxa"/>
          </w:tblCellMar>
        </w:tblPrEx>
        <w:trPr>
          <w:trHeight w:val="446"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48DBC839">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329D0ECC">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4E4D64A7">
            <w:pPr>
              <w:jc w:val="center"/>
              <w:textAlignment w:val="center"/>
              <w:rPr>
                <w:rFonts w:hint="eastAsia" w:ascii="仿宋" w:hAnsi="仿宋" w:eastAsia="仿宋" w:cs="仿宋"/>
              </w:rPr>
            </w:pPr>
            <w:r>
              <w:rPr>
                <w:rFonts w:hint="eastAsia" w:ascii="仿宋" w:hAnsi="仿宋" w:eastAsia="仿宋" w:cs="仿宋"/>
                <w:lang w:eastAsia="zh-CN" w:bidi="ar"/>
              </w:rPr>
              <w:t>预算调整率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0A1B2B85">
            <w:pPr>
              <w:textAlignment w:val="center"/>
              <w:rPr>
                <w:rFonts w:hint="eastAsia" w:ascii="仿宋" w:hAnsi="仿宋" w:eastAsia="仿宋" w:cs="仿宋"/>
                <w:lang w:eastAsia="zh-CN"/>
              </w:rPr>
            </w:pPr>
            <w:r>
              <w:rPr>
                <w:rFonts w:hint="eastAsia" w:ascii="仿宋" w:hAnsi="仿宋" w:eastAsia="仿宋" w:cs="仿宋"/>
                <w:lang w:eastAsia="zh-CN" w:bidi="ar"/>
              </w:rPr>
              <w:t>评价要点：部门本年度支出预算调整数与支出预算数的比率，用以反映和评价单位预算的调整程度。支出预算调整率=（支出预算调整数/支出预算数）×100%。</w:t>
            </w:r>
            <w:r>
              <w:rPr>
                <w:rFonts w:hint="eastAsia" w:ascii="仿宋" w:hAnsi="仿宋" w:eastAsia="仿宋" w:cs="仿宋"/>
                <w:lang w:eastAsia="zh-CN" w:bidi="ar"/>
              </w:rPr>
              <w:br w:type="textWrapping"/>
            </w:r>
            <w:r>
              <w:rPr>
                <w:rFonts w:hint="eastAsia" w:ascii="仿宋" w:hAnsi="仿宋" w:eastAsia="仿宋" w:cs="仿宋"/>
                <w:lang w:eastAsia="zh-CN" w:bidi="ar"/>
              </w:rPr>
              <w:t>①预算调整率=0，得2分；</w:t>
            </w:r>
            <w:r>
              <w:rPr>
                <w:rFonts w:hint="eastAsia" w:ascii="仿宋" w:hAnsi="仿宋" w:eastAsia="仿宋" w:cs="仿宋"/>
                <w:lang w:eastAsia="zh-CN" w:bidi="ar"/>
              </w:rPr>
              <w:br w:type="textWrapping"/>
            </w:r>
            <w:r>
              <w:rPr>
                <w:rFonts w:hint="eastAsia" w:ascii="仿宋" w:hAnsi="仿宋" w:eastAsia="仿宋" w:cs="仿宋"/>
                <w:lang w:eastAsia="zh-CN" w:bidi="ar"/>
              </w:rPr>
              <w:t>②调整率≧10%，得0分；</w:t>
            </w:r>
            <w:r>
              <w:rPr>
                <w:rFonts w:hint="eastAsia" w:ascii="仿宋" w:hAnsi="仿宋" w:eastAsia="仿宋" w:cs="仿宋"/>
                <w:lang w:eastAsia="zh-CN" w:bidi="ar"/>
              </w:rPr>
              <w:br w:type="textWrapping"/>
            </w:r>
            <w:r>
              <w:rPr>
                <w:rFonts w:hint="eastAsia" w:ascii="仿宋" w:hAnsi="仿宋" w:eastAsia="仿宋" w:cs="仿宋"/>
                <w:lang w:eastAsia="zh-CN" w:bidi="ar"/>
              </w:rPr>
              <w:t>③0＜预算调整率＜10%，得分=（10%-预算调整率）/10%×该指标分值。</w:t>
            </w:r>
          </w:p>
        </w:tc>
        <w:tc>
          <w:tcPr>
            <w:tcW w:w="638" w:type="dxa"/>
            <w:tcBorders>
              <w:top w:val="single" w:color="000000" w:sz="4" w:space="0"/>
              <w:left w:val="single" w:color="000000" w:sz="4" w:space="0"/>
              <w:bottom w:val="single" w:color="000000" w:sz="4" w:space="0"/>
              <w:right w:val="single" w:color="000000" w:sz="4" w:space="0"/>
            </w:tcBorders>
            <w:vAlign w:val="center"/>
          </w:tcPr>
          <w:p w14:paraId="4F61406B">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511DA263">
        <w:tblPrEx>
          <w:tblCellMar>
            <w:top w:w="0" w:type="dxa"/>
            <w:left w:w="108" w:type="dxa"/>
            <w:bottom w:w="0" w:type="dxa"/>
            <w:right w:w="108" w:type="dxa"/>
          </w:tblCellMar>
        </w:tblPrEx>
        <w:trPr>
          <w:trHeight w:val="2016"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1D1B39CF">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3885868D">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7587AC95">
            <w:pPr>
              <w:jc w:val="center"/>
              <w:textAlignment w:val="center"/>
              <w:rPr>
                <w:rFonts w:hint="eastAsia" w:ascii="仿宋" w:hAnsi="仿宋" w:eastAsia="仿宋" w:cs="仿宋"/>
              </w:rPr>
            </w:pPr>
            <w:r>
              <w:rPr>
                <w:rFonts w:hint="eastAsia" w:ascii="仿宋" w:hAnsi="仿宋" w:eastAsia="仿宋" w:cs="仿宋"/>
                <w:lang w:eastAsia="zh-CN" w:bidi="ar"/>
              </w:rPr>
              <w:t>结转结余率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70F4B667">
            <w:pPr>
              <w:textAlignment w:val="center"/>
              <w:rPr>
                <w:rFonts w:hint="eastAsia" w:ascii="仿宋" w:hAnsi="仿宋" w:eastAsia="仿宋" w:cs="仿宋"/>
                <w:lang w:eastAsia="zh-CN"/>
              </w:rPr>
            </w:pPr>
            <w:r>
              <w:rPr>
                <w:rFonts w:hint="eastAsia" w:ascii="仿宋" w:hAnsi="仿宋" w:eastAsia="仿宋" w:cs="仿宋"/>
                <w:lang w:eastAsia="zh-CN" w:bidi="ar"/>
              </w:rPr>
              <w:t>评价要点：部门本年度结转结余总额与支出预算数的比率，反映和评价单位对本年度结转结余资金的实际控制程度。结转结余率=结转结余总额/支出预算数×100%。</w:t>
            </w:r>
            <w:r>
              <w:rPr>
                <w:rFonts w:hint="eastAsia" w:ascii="仿宋" w:hAnsi="仿宋" w:eastAsia="仿宋" w:cs="仿宋"/>
                <w:lang w:eastAsia="zh-CN" w:bidi="ar"/>
              </w:rPr>
              <w:br w:type="textWrapping"/>
            </w:r>
            <w:r>
              <w:rPr>
                <w:rFonts w:hint="eastAsia" w:ascii="仿宋" w:hAnsi="仿宋" w:eastAsia="仿宋" w:cs="仿宋"/>
                <w:lang w:eastAsia="zh-CN" w:bidi="ar"/>
              </w:rPr>
              <w:t>①结转结余率=0，得2分；</w:t>
            </w:r>
            <w:r>
              <w:rPr>
                <w:rFonts w:hint="eastAsia" w:ascii="仿宋" w:hAnsi="仿宋" w:eastAsia="仿宋" w:cs="仿宋"/>
                <w:lang w:eastAsia="zh-CN" w:bidi="ar"/>
              </w:rPr>
              <w:br w:type="textWrapping"/>
            </w:r>
            <w:r>
              <w:rPr>
                <w:rFonts w:hint="eastAsia" w:ascii="仿宋" w:hAnsi="仿宋" w:eastAsia="仿宋" w:cs="仿宋"/>
                <w:lang w:eastAsia="zh-CN" w:bidi="ar"/>
              </w:rPr>
              <w:t>②结转结余率≧50%，得0分；</w:t>
            </w:r>
            <w:r>
              <w:rPr>
                <w:rFonts w:hint="eastAsia" w:ascii="仿宋" w:hAnsi="仿宋" w:eastAsia="仿宋" w:cs="仿宋"/>
                <w:lang w:eastAsia="zh-CN" w:bidi="ar"/>
              </w:rPr>
              <w:br w:type="textWrapping"/>
            </w:r>
            <w:r>
              <w:rPr>
                <w:rFonts w:hint="eastAsia" w:ascii="仿宋" w:hAnsi="仿宋" w:eastAsia="仿宋" w:cs="仿宋"/>
                <w:lang w:eastAsia="zh-CN" w:bidi="ar"/>
              </w:rPr>
              <w:t>③0%＜结转结余率＜50%，得分=（50%-结转结余率）/50%×该指标分值。</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7068B5F">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30BA9FA">
        <w:tblPrEx>
          <w:tblCellMar>
            <w:top w:w="0" w:type="dxa"/>
            <w:left w:w="108" w:type="dxa"/>
            <w:bottom w:w="0" w:type="dxa"/>
            <w:right w:w="108" w:type="dxa"/>
          </w:tblCellMar>
        </w:tblPrEx>
        <w:trPr>
          <w:trHeight w:val="1728"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78EB98F0">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01571B63">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05C26389">
            <w:pPr>
              <w:jc w:val="center"/>
              <w:textAlignment w:val="center"/>
              <w:rPr>
                <w:rFonts w:hint="eastAsia" w:ascii="仿宋" w:hAnsi="仿宋" w:eastAsia="仿宋" w:cs="仿宋"/>
              </w:rPr>
            </w:pPr>
            <w:r>
              <w:rPr>
                <w:rFonts w:hint="eastAsia" w:ascii="仿宋" w:hAnsi="仿宋" w:eastAsia="仿宋" w:cs="仿宋"/>
                <w:lang w:eastAsia="zh-CN" w:bidi="ar"/>
              </w:rPr>
              <w:t>公用经费控制率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0D712596">
            <w:pPr>
              <w:textAlignment w:val="center"/>
              <w:rPr>
                <w:rFonts w:hint="eastAsia" w:ascii="仿宋" w:hAnsi="仿宋" w:eastAsia="仿宋" w:cs="仿宋"/>
                <w:lang w:eastAsia="zh-CN"/>
              </w:rPr>
            </w:pPr>
            <w:r>
              <w:rPr>
                <w:rFonts w:hint="eastAsia" w:ascii="仿宋" w:hAnsi="仿宋" w:eastAsia="仿宋" w:cs="仿宋"/>
                <w:lang w:eastAsia="zh-CN" w:bidi="ar"/>
              </w:rPr>
              <w:t>评价要点：公用经费控制率=（实际支出公用经费总额/预算安排公用经费总额）×100%。</w:t>
            </w:r>
            <w:r>
              <w:rPr>
                <w:rFonts w:hint="eastAsia" w:ascii="仿宋" w:hAnsi="仿宋" w:eastAsia="仿宋" w:cs="仿宋"/>
                <w:lang w:eastAsia="zh-CN" w:bidi="ar"/>
              </w:rPr>
              <w:br w:type="textWrapping"/>
            </w:r>
            <w:r>
              <w:rPr>
                <w:rFonts w:hint="eastAsia" w:ascii="仿宋" w:hAnsi="仿宋" w:eastAsia="仿宋" w:cs="仿宋"/>
                <w:lang w:eastAsia="zh-CN" w:bidi="ar"/>
              </w:rPr>
              <w:t>①公用经费控制率≦100%，得2分；</w:t>
            </w:r>
            <w:r>
              <w:rPr>
                <w:rFonts w:hint="eastAsia" w:ascii="仿宋" w:hAnsi="仿宋" w:eastAsia="仿宋" w:cs="仿宋"/>
                <w:lang w:eastAsia="zh-CN" w:bidi="ar"/>
              </w:rPr>
              <w:br w:type="textWrapping"/>
            </w:r>
            <w:r>
              <w:rPr>
                <w:rFonts w:hint="eastAsia" w:ascii="仿宋" w:hAnsi="仿宋" w:eastAsia="仿宋" w:cs="仿宋"/>
                <w:lang w:eastAsia="zh-CN" w:bidi="ar"/>
              </w:rPr>
              <w:t>②公用经费控制率≧105%，得0分；</w:t>
            </w:r>
            <w:r>
              <w:rPr>
                <w:rFonts w:hint="eastAsia" w:ascii="仿宋" w:hAnsi="仿宋" w:eastAsia="仿宋" w:cs="仿宋"/>
                <w:lang w:eastAsia="zh-CN" w:bidi="ar"/>
              </w:rPr>
              <w:br w:type="textWrapping"/>
            </w:r>
            <w:r>
              <w:rPr>
                <w:rFonts w:hint="eastAsia" w:ascii="仿宋" w:hAnsi="仿宋" w:eastAsia="仿宋" w:cs="仿宋"/>
                <w:lang w:eastAsia="zh-CN" w:bidi="ar"/>
              </w:rPr>
              <w:t>③100%＜公用经费控制率&lt;105%，得分=（105%-公用经费控制率）/5%××该指标分值。</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8BBADE9">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733E3D6">
        <w:tblPrEx>
          <w:tblCellMar>
            <w:top w:w="0" w:type="dxa"/>
            <w:left w:w="108" w:type="dxa"/>
            <w:bottom w:w="0" w:type="dxa"/>
            <w:right w:w="108" w:type="dxa"/>
          </w:tblCellMar>
        </w:tblPrEx>
        <w:trPr>
          <w:trHeight w:val="2304"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5184C22C">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6D19F077">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172B074F">
            <w:pPr>
              <w:jc w:val="center"/>
              <w:textAlignment w:val="center"/>
              <w:rPr>
                <w:rFonts w:hint="eastAsia" w:ascii="仿宋" w:hAnsi="仿宋" w:eastAsia="仿宋" w:cs="仿宋"/>
              </w:rPr>
            </w:pPr>
            <w:r>
              <w:rPr>
                <w:rFonts w:hint="eastAsia" w:ascii="仿宋" w:hAnsi="仿宋" w:eastAsia="仿宋" w:cs="仿宋"/>
                <w:lang w:eastAsia="zh-CN" w:bidi="ar"/>
              </w:rPr>
              <w:t>人员经费控制率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68C421C3">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用于衡量人员经费与支出预算数的比率，反映和评价部门（单位）对本年度人员经费的实际执行情况。</w:t>
            </w:r>
            <w:r>
              <w:rPr>
                <w:rFonts w:hint="eastAsia" w:ascii="仿宋" w:hAnsi="仿宋" w:eastAsia="仿宋" w:cs="仿宋"/>
                <w:lang w:eastAsia="zh-CN" w:bidi="ar"/>
              </w:rPr>
              <w:br w:type="textWrapping"/>
            </w:r>
            <w:r>
              <w:rPr>
                <w:rFonts w:hint="eastAsia" w:ascii="仿宋" w:hAnsi="仿宋" w:eastAsia="仿宋" w:cs="仿宋"/>
                <w:lang w:eastAsia="zh-CN" w:bidi="ar"/>
              </w:rPr>
              <w:t>人员经费控制率=（实际人员经费执行总额/预算安排人员经费总额）×100%。</w:t>
            </w:r>
            <w:r>
              <w:rPr>
                <w:rFonts w:hint="eastAsia" w:ascii="仿宋" w:hAnsi="仿宋" w:eastAsia="仿宋" w:cs="仿宋"/>
                <w:lang w:eastAsia="zh-CN" w:bidi="ar"/>
              </w:rPr>
              <w:br w:type="textWrapping"/>
            </w:r>
            <w:r>
              <w:rPr>
                <w:rFonts w:hint="eastAsia" w:ascii="仿宋" w:hAnsi="仿宋" w:eastAsia="仿宋" w:cs="仿宋"/>
                <w:lang w:eastAsia="zh-CN" w:bidi="ar"/>
              </w:rPr>
              <w:t>人员经费控制率≤100%，得2分，人员经费控制率&gt;100%且≤120%，得1.5分；人员经费控制率&gt;120%且≤150%，得1分；人员经费控制率&gt;150%，得0分。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7501B4B">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0FD5DBC3">
        <w:tblPrEx>
          <w:tblCellMar>
            <w:top w:w="0" w:type="dxa"/>
            <w:left w:w="108" w:type="dxa"/>
            <w:bottom w:w="0" w:type="dxa"/>
            <w:right w:w="108" w:type="dxa"/>
          </w:tblCellMar>
        </w:tblPrEx>
        <w:trPr>
          <w:trHeight w:val="244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4CB86F8B">
            <w:pPr>
              <w:jc w:val="center"/>
              <w:rPr>
                <w:rFonts w:hint="eastAsia" w:ascii="仿宋" w:hAnsi="仿宋" w:eastAsia="仿宋" w:cs="仿宋"/>
              </w:rPr>
            </w:pP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5A9C096D">
            <w:pPr>
              <w:jc w:val="center"/>
              <w:textAlignment w:val="center"/>
              <w:rPr>
                <w:rFonts w:hint="eastAsia" w:ascii="仿宋" w:hAnsi="仿宋" w:eastAsia="仿宋" w:cs="仿宋"/>
              </w:rPr>
            </w:pPr>
            <w:r>
              <w:rPr>
                <w:rFonts w:hint="eastAsia" w:ascii="仿宋" w:hAnsi="仿宋" w:eastAsia="仿宋" w:cs="仿宋"/>
                <w:lang w:eastAsia="zh-CN" w:bidi="ar"/>
              </w:rPr>
              <w:t>预算管理</w:t>
            </w:r>
            <w:r>
              <w:rPr>
                <w:rFonts w:hint="eastAsia" w:ascii="仿宋" w:hAnsi="仿宋" w:eastAsia="仿宋" w:cs="仿宋"/>
                <w:lang w:eastAsia="zh-CN" w:bidi="ar"/>
              </w:rPr>
              <w:br w:type="textWrapping"/>
            </w:r>
            <w:r>
              <w:rPr>
                <w:rFonts w:hint="eastAsia" w:ascii="仿宋" w:hAnsi="仿宋" w:eastAsia="仿宋" w:cs="仿宋"/>
                <w:lang w:eastAsia="zh-CN" w:bidi="ar"/>
              </w:rPr>
              <w:t>（14分）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2F2283F3">
            <w:pPr>
              <w:jc w:val="center"/>
              <w:textAlignment w:val="center"/>
              <w:rPr>
                <w:rFonts w:hint="eastAsia" w:ascii="仿宋" w:hAnsi="仿宋" w:eastAsia="仿宋" w:cs="仿宋"/>
              </w:rPr>
            </w:pPr>
            <w:r>
              <w:rPr>
                <w:rFonts w:hint="eastAsia" w:ascii="仿宋" w:hAnsi="仿宋" w:eastAsia="仿宋" w:cs="仿宋"/>
                <w:lang w:eastAsia="zh-CN" w:bidi="ar"/>
              </w:rPr>
              <w:t>管理制度健全性</w:t>
            </w:r>
          </w:p>
        </w:tc>
        <w:tc>
          <w:tcPr>
            <w:tcW w:w="3967" w:type="dxa"/>
            <w:tcBorders>
              <w:top w:val="single" w:color="000000" w:sz="4" w:space="0"/>
              <w:left w:val="single" w:color="000000" w:sz="4" w:space="0"/>
              <w:bottom w:val="single" w:color="000000" w:sz="4" w:space="0"/>
              <w:right w:val="single" w:color="000000" w:sz="4" w:space="0"/>
            </w:tcBorders>
            <w:vAlign w:val="center"/>
          </w:tcPr>
          <w:p w14:paraId="5A2CC396">
            <w:pPr>
              <w:textAlignment w:val="center"/>
              <w:rPr>
                <w:rFonts w:hint="eastAsia" w:ascii="仿宋" w:hAnsi="仿宋" w:eastAsia="仿宋" w:cs="仿宋"/>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①是否已制定或具有预算资金管理办法、内部财务管理制度、会计核算制度等管理制度；</w:t>
            </w:r>
            <w:r>
              <w:rPr>
                <w:rFonts w:hint="eastAsia" w:ascii="仿宋" w:hAnsi="仿宋" w:eastAsia="仿宋" w:cs="仿宋"/>
                <w:lang w:eastAsia="zh-CN" w:bidi="ar"/>
              </w:rPr>
              <w:br w:type="textWrapping"/>
            </w:r>
            <w:r>
              <w:rPr>
                <w:rFonts w:hint="eastAsia" w:ascii="仿宋" w:hAnsi="仿宋" w:eastAsia="仿宋" w:cs="仿宋"/>
                <w:lang w:eastAsia="zh-CN" w:bidi="ar"/>
              </w:rPr>
              <w:t>②相关管理制度是否合法、合规、完整；</w:t>
            </w:r>
            <w:r>
              <w:rPr>
                <w:rFonts w:hint="eastAsia" w:ascii="仿宋" w:hAnsi="仿宋" w:eastAsia="仿宋" w:cs="仿宋"/>
                <w:lang w:eastAsia="zh-CN" w:bidi="ar"/>
              </w:rPr>
              <w:br w:type="textWrapping"/>
            </w:r>
            <w:r>
              <w:rPr>
                <w:rFonts w:hint="eastAsia" w:ascii="仿宋" w:hAnsi="仿宋" w:eastAsia="仿宋" w:cs="仿宋"/>
                <w:lang w:eastAsia="zh-CN" w:bidi="ar"/>
              </w:rPr>
              <w:t>③相关管理制度是否得到有效执行。</w:t>
            </w:r>
            <w:r>
              <w:rPr>
                <w:rFonts w:hint="eastAsia" w:ascii="仿宋" w:hAnsi="仿宋" w:eastAsia="仿宋" w:cs="仿宋"/>
                <w:lang w:eastAsia="zh-CN" w:bidi="ar"/>
              </w:rPr>
              <w:br w:type="textWrapping"/>
            </w:r>
            <w:r>
              <w:rPr>
                <w:rFonts w:hint="eastAsia" w:ascii="仿宋" w:hAnsi="仿宋" w:eastAsia="仿宋" w:cs="仿宋"/>
                <w:lang w:eastAsia="zh-CN" w:bidi="ar"/>
              </w:rPr>
              <w:t>一项不符合扣1分。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0258482F">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4BC6B618">
        <w:tblPrEx>
          <w:tblCellMar>
            <w:top w:w="0" w:type="dxa"/>
            <w:left w:w="108" w:type="dxa"/>
            <w:bottom w:w="0" w:type="dxa"/>
            <w:right w:w="108" w:type="dxa"/>
          </w:tblCellMar>
        </w:tblPrEx>
        <w:trPr>
          <w:trHeight w:val="346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1A5C9386">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6C943153">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0C353F75">
            <w:pPr>
              <w:jc w:val="center"/>
              <w:textAlignment w:val="center"/>
              <w:rPr>
                <w:rFonts w:hint="eastAsia" w:ascii="仿宋" w:hAnsi="仿宋" w:eastAsia="仿宋" w:cs="仿宋"/>
              </w:rPr>
            </w:pPr>
            <w:r>
              <w:rPr>
                <w:rFonts w:hint="eastAsia" w:ascii="仿宋" w:hAnsi="仿宋" w:eastAsia="仿宋" w:cs="仿宋"/>
                <w:lang w:eastAsia="zh-CN" w:bidi="ar"/>
              </w:rPr>
              <w:t>政府采购管理合规性</w:t>
            </w:r>
          </w:p>
        </w:tc>
        <w:tc>
          <w:tcPr>
            <w:tcW w:w="3967" w:type="dxa"/>
            <w:tcBorders>
              <w:top w:val="single" w:color="000000" w:sz="4" w:space="0"/>
              <w:left w:val="single" w:color="000000" w:sz="4" w:space="0"/>
              <w:bottom w:val="single" w:color="000000" w:sz="4" w:space="0"/>
              <w:right w:val="single" w:color="000000" w:sz="4" w:space="0"/>
            </w:tcBorders>
            <w:vAlign w:val="center"/>
          </w:tcPr>
          <w:p w14:paraId="71D01A2E">
            <w:pPr>
              <w:textAlignment w:val="center"/>
              <w:rPr>
                <w:rFonts w:hint="eastAsia" w:ascii="仿宋" w:hAnsi="仿宋" w:eastAsia="仿宋" w:cs="仿宋"/>
              </w:rPr>
            </w:pPr>
            <w:r>
              <w:rPr>
                <w:rFonts w:hint="eastAsia" w:ascii="仿宋" w:hAnsi="仿宋" w:eastAsia="仿宋" w:cs="仿宋"/>
                <w:lang w:eastAsia="zh-CN" w:bidi="ar"/>
              </w:rPr>
              <w:t>主要评价部门（单位）本年度政府采购是否执行政府采购相关规定和要求，用以反映和考核部门（单位）政府采购预算执行情况。</w:t>
            </w:r>
            <w:r>
              <w:rPr>
                <w:rFonts w:hint="eastAsia" w:ascii="仿宋" w:hAnsi="仿宋" w:eastAsia="仿宋" w:cs="仿宋"/>
                <w:lang w:eastAsia="zh-CN" w:bidi="ar"/>
              </w:rPr>
              <w:br w:type="textWrapping"/>
            </w: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①是否按照规定编制政府采购预算；</w:t>
            </w:r>
            <w:r>
              <w:rPr>
                <w:rFonts w:hint="eastAsia" w:ascii="仿宋" w:hAnsi="仿宋" w:eastAsia="仿宋" w:cs="仿宋"/>
                <w:lang w:eastAsia="zh-CN" w:bidi="ar"/>
              </w:rPr>
              <w:br w:type="textWrapping"/>
            </w:r>
            <w:r>
              <w:rPr>
                <w:rFonts w:hint="eastAsia" w:ascii="仿宋" w:hAnsi="仿宋" w:eastAsia="仿宋" w:cs="仿宋"/>
                <w:lang w:eastAsia="zh-CN" w:bidi="ar"/>
              </w:rPr>
              <w:t>②是否编制了政府采购计划表，编制是否准确；</w:t>
            </w:r>
            <w:r>
              <w:rPr>
                <w:rFonts w:hint="eastAsia" w:ascii="仿宋" w:hAnsi="仿宋" w:eastAsia="仿宋" w:cs="仿宋"/>
                <w:lang w:eastAsia="zh-CN" w:bidi="ar"/>
              </w:rPr>
              <w:br w:type="textWrapping"/>
            </w:r>
            <w:r>
              <w:rPr>
                <w:rFonts w:hint="eastAsia" w:ascii="仿宋" w:hAnsi="仿宋" w:eastAsia="仿宋" w:cs="仿宋"/>
                <w:lang w:eastAsia="zh-CN" w:bidi="ar"/>
              </w:rPr>
              <w:t>③政府采购预算资金申请是否合规；</w:t>
            </w:r>
            <w:r>
              <w:rPr>
                <w:rFonts w:hint="eastAsia" w:ascii="仿宋" w:hAnsi="仿宋" w:eastAsia="仿宋" w:cs="仿宋"/>
                <w:lang w:eastAsia="zh-CN" w:bidi="ar"/>
              </w:rPr>
              <w:br w:type="textWrapping"/>
            </w:r>
            <w:r>
              <w:rPr>
                <w:rFonts w:hint="eastAsia" w:ascii="仿宋" w:hAnsi="仿宋" w:eastAsia="仿宋" w:cs="仿宋"/>
                <w:lang w:eastAsia="zh-CN" w:bidi="ar"/>
              </w:rPr>
              <w:t>④是否存在政府采购未按规定公开招标、违规采购等违规行为。</w:t>
            </w:r>
            <w:r>
              <w:rPr>
                <w:rFonts w:hint="eastAsia" w:ascii="仿宋" w:hAnsi="仿宋" w:eastAsia="仿宋" w:cs="仿宋"/>
                <w:lang w:eastAsia="zh-CN" w:bidi="ar"/>
              </w:rPr>
              <w:br w:type="textWrapping"/>
            </w:r>
            <w:r>
              <w:rPr>
                <w:rFonts w:hint="eastAsia" w:ascii="仿宋" w:hAnsi="仿宋" w:eastAsia="仿宋" w:cs="仿宋"/>
                <w:lang w:eastAsia="zh-CN" w:bidi="ar"/>
              </w:rPr>
              <w:t>一项不符合扣0.5分。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7895D22">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25451588">
        <w:tblPrEx>
          <w:tblCellMar>
            <w:top w:w="0" w:type="dxa"/>
            <w:left w:w="108" w:type="dxa"/>
            <w:bottom w:w="0" w:type="dxa"/>
            <w:right w:w="108" w:type="dxa"/>
          </w:tblCellMar>
        </w:tblPrEx>
        <w:trPr>
          <w:trHeight w:val="324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2144A145">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60EB92C8">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486ADDC5">
            <w:pPr>
              <w:jc w:val="center"/>
              <w:textAlignment w:val="center"/>
              <w:rPr>
                <w:rFonts w:hint="eastAsia" w:ascii="仿宋" w:hAnsi="仿宋" w:eastAsia="仿宋" w:cs="仿宋"/>
              </w:rPr>
            </w:pPr>
            <w:r>
              <w:rPr>
                <w:rFonts w:hint="eastAsia" w:ascii="仿宋" w:hAnsi="仿宋" w:eastAsia="仿宋" w:cs="仿宋"/>
                <w:lang w:eastAsia="zh-CN" w:bidi="ar"/>
              </w:rPr>
              <w:t>项目进度管理</w:t>
            </w:r>
          </w:p>
        </w:tc>
        <w:tc>
          <w:tcPr>
            <w:tcW w:w="3967" w:type="dxa"/>
            <w:tcBorders>
              <w:top w:val="single" w:color="000000" w:sz="4" w:space="0"/>
              <w:left w:val="single" w:color="000000" w:sz="4" w:space="0"/>
              <w:bottom w:val="single" w:color="000000" w:sz="4" w:space="0"/>
              <w:right w:val="single" w:color="000000" w:sz="4" w:space="0"/>
            </w:tcBorders>
            <w:vAlign w:val="center"/>
          </w:tcPr>
          <w:p w14:paraId="46CAA39C">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重点考核项目是否按计划完成结算并及时支付资金，避免因结算滞后导致资金长期滞留。</w:t>
            </w:r>
            <w:r>
              <w:rPr>
                <w:rFonts w:hint="eastAsia" w:ascii="仿宋" w:hAnsi="仿宋" w:eastAsia="仿宋" w:cs="仿宋"/>
                <w:lang w:eastAsia="zh-CN" w:bidi="ar"/>
              </w:rPr>
              <w:br w:type="textWrapping"/>
            </w:r>
            <w:r>
              <w:rPr>
                <w:rFonts w:hint="eastAsia" w:ascii="仿宋" w:hAnsi="仿宋" w:eastAsia="仿宋" w:cs="仿宋"/>
                <w:lang w:eastAsia="zh-CN" w:bidi="ar"/>
              </w:rPr>
              <w:t>①所有项目均按时完成结算，资金全额支付，无跨年度未结算项目，得2分；</w:t>
            </w:r>
            <w:r>
              <w:rPr>
                <w:rFonts w:hint="eastAsia" w:ascii="仿宋" w:hAnsi="仿宋" w:eastAsia="仿宋" w:cs="仿宋"/>
                <w:lang w:eastAsia="zh-CN" w:bidi="ar"/>
              </w:rPr>
              <w:br w:type="textWrapping"/>
            </w:r>
            <w:r>
              <w:rPr>
                <w:rFonts w:hint="eastAsia" w:ascii="仿宋" w:hAnsi="仿宋" w:eastAsia="仿宋" w:cs="仿宋"/>
                <w:lang w:eastAsia="zh-CN" w:bidi="ar"/>
              </w:rPr>
              <w:t>②未结算项目≤2项，且无跨年度未结算项目，得1.5分；</w:t>
            </w:r>
            <w:r>
              <w:rPr>
                <w:rFonts w:hint="eastAsia" w:ascii="仿宋" w:hAnsi="仿宋" w:eastAsia="仿宋" w:cs="仿宋"/>
                <w:lang w:eastAsia="zh-CN" w:bidi="ar"/>
              </w:rPr>
              <w:br w:type="textWrapping"/>
            </w:r>
            <w:r>
              <w:rPr>
                <w:rFonts w:hint="eastAsia" w:ascii="仿宋" w:hAnsi="仿宋" w:eastAsia="仿宋" w:cs="仿宋"/>
                <w:lang w:eastAsia="zh-CN" w:bidi="ar"/>
              </w:rPr>
              <w:t>③未决算项目3-5项，或存在1-2项跨年度未结算项目，得1分；</w:t>
            </w:r>
            <w:r>
              <w:rPr>
                <w:rFonts w:hint="eastAsia" w:ascii="仿宋" w:hAnsi="仿宋" w:eastAsia="仿宋" w:cs="仿宋"/>
                <w:lang w:eastAsia="zh-CN" w:bidi="ar"/>
              </w:rPr>
              <w:br w:type="textWrapping"/>
            </w:r>
            <w:r>
              <w:rPr>
                <w:rFonts w:hint="eastAsia" w:ascii="仿宋" w:hAnsi="仿宋" w:eastAsia="仿宋" w:cs="仿宋"/>
                <w:lang w:eastAsia="zh-CN" w:bidi="ar"/>
              </w:rPr>
              <w:t>④未结算项目＞5项，或存在3项及以上跨年度未结算项目，得0.5分；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66F377BA">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7E87DAA3">
        <w:tblPrEx>
          <w:tblCellMar>
            <w:top w:w="0" w:type="dxa"/>
            <w:left w:w="108" w:type="dxa"/>
            <w:bottom w:w="0" w:type="dxa"/>
            <w:right w:w="108" w:type="dxa"/>
          </w:tblCellMar>
        </w:tblPrEx>
        <w:trPr>
          <w:trHeight w:val="2277"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6657B8A7">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4E53CBFD">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7FC58345">
            <w:pPr>
              <w:jc w:val="center"/>
              <w:textAlignment w:val="center"/>
              <w:rPr>
                <w:rFonts w:hint="eastAsia" w:ascii="仿宋" w:hAnsi="仿宋" w:eastAsia="仿宋" w:cs="仿宋"/>
              </w:rPr>
            </w:pPr>
            <w:r>
              <w:rPr>
                <w:rFonts w:hint="eastAsia" w:ascii="仿宋" w:hAnsi="仿宋" w:eastAsia="仿宋" w:cs="仿宋"/>
                <w:lang w:eastAsia="zh-CN" w:bidi="ar"/>
              </w:rPr>
              <w:t>预决算信息公开性</w:t>
            </w:r>
          </w:p>
        </w:tc>
        <w:tc>
          <w:tcPr>
            <w:tcW w:w="3967" w:type="dxa"/>
            <w:tcBorders>
              <w:top w:val="single" w:color="000000" w:sz="4" w:space="0"/>
              <w:left w:val="single" w:color="000000" w:sz="4" w:space="0"/>
              <w:bottom w:val="single" w:color="000000" w:sz="4" w:space="0"/>
              <w:right w:val="single" w:color="000000" w:sz="4" w:space="0"/>
            </w:tcBorders>
            <w:vAlign w:val="center"/>
          </w:tcPr>
          <w:p w14:paraId="5749F084">
            <w:pPr>
              <w:textAlignment w:val="center"/>
              <w:rPr>
                <w:rFonts w:hint="eastAsia" w:ascii="仿宋" w:hAnsi="仿宋" w:eastAsia="仿宋" w:cs="仿宋"/>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是否按照政府信息公开有关规定及预决算批复文件中要求的格式、时限公开相关预决算信息，用以反映和评价部门（单位）预决算管理的公开透明情况。</w:t>
            </w:r>
            <w:r>
              <w:rPr>
                <w:rFonts w:hint="eastAsia" w:ascii="仿宋" w:hAnsi="仿宋" w:eastAsia="仿宋" w:cs="仿宋"/>
                <w:lang w:eastAsia="zh-CN" w:bidi="ar"/>
              </w:rPr>
              <w:br w:type="textWrapping"/>
            </w:r>
            <w:r>
              <w:rPr>
                <w:rFonts w:hint="eastAsia" w:ascii="仿宋" w:hAnsi="仿宋" w:eastAsia="仿宋" w:cs="仿宋"/>
                <w:lang w:eastAsia="zh-CN" w:bidi="ar"/>
              </w:rPr>
              <w:t>①是否按要求的格式、时限公开预算；</w:t>
            </w:r>
            <w:r>
              <w:rPr>
                <w:rFonts w:hint="eastAsia" w:ascii="仿宋" w:hAnsi="仿宋" w:eastAsia="仿宋" w:cs="仿宋"/>
                <w:lang w:eastAsia="zh-CN" w:bidi="ar"/>
              </w:rPr>
              <w:br w:type="textWrapping"/>
            </w:r>
            <w:r>
              <w:rPr>
                <w:rFonts w:hint="eastAsia" w:ascii="仿宋" w:hAnsi="仿宋" w:eastAsia="仿宋" w:cs="仿宋"/>
                <w:lang w:eastAsia="zh-CN" w:bidi="ar"/>
              </w:rPr>
              <w:t>②是否按要求的格式、时限公开决算。</w:t>
            </w:r>
            <w:r>
              <w:rPr>
                <w:rFonts w:hint="eastAsia" w:ascii="仿宋" w:hAnsi="仿宋" w:eastAsia="仿宋" w:cs="仿宋"/>
                <w:lang w:eastAsia="zh-CN" w:bidi="ar"/>
              </w:rPr>
              <w:br w:type="textWrapping"/>
            </w:r>
            <w:r>
              <w:rPr>
                <w:rFonts w:hint="eastAsia" w:ascii="仿宋" w:hAnsi="仿宋" w:eastAsia="仿宋" w:cs="仿宋"/>
                <w:lang w:eastAsia="zh-CN" w:bidi="ar"/>
              </w:rPr>
              <w:t>一项不符合扣1分。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A9CDAEF">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122727EB">
        <w:tblPrEx>
          <w:tblCellMar>
            <w:top w:w="0" w:type="dxa"/>
            <w:left w:w="108" w:type="dxa"/>
            <w:bottom w:w="0" w:type="dxa"/>
            <w:right w:w="108" w:type="dxa"/>
          </w:tblCellMar>
        </w:tblPrEx>
        <w:trPr>
          <w:trHeight w:val="226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3CDB9AEC">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4FD32560">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724DC550">
            <w:pPr>
              <w:jc w:val="center"/>
              <w:textAlignment w:val="center"/>
              <w:rPr>
                <w:rFonts w:hint="eastAsia" w:ascii="仿宋" w:hAnsi="仿宋" w:eastAsia="仿宋" w:cs="仿宋"/>
              </w:rPr>
            </w:pPr>
            <w:r>
              <w:rPr>
                <w:rFonts w:hint="eastAsia" w:ascii="仿宋" w:hAnsi="仿宋" w:eastAsia="仿宋" w:cs="仿宋"/>
                <w:lang w:eastAsia="zh-CN" w:bidi="ar"/>
              </w:rPr>
              <w:t>合同管理规范性</w:t>
            </w:r>
          </w:p>
        </w:tc>
        <w:tc>
          <w:tcPr>
            <w:tcW w:w="3967" w:type="dxa"/>
            <w:tcBorders>
              <w:top w:val="single" w:color="000000" w:sz="4" w:space="0"/>
              <w:left w:val="single" w:color="000000" w:sz="4" w:space="0"/>
              <w:bottom w:val="single" w:color="000000" w:sz="4" w:space="0"/>
              <w:right w:val="single" w:color="000000" w:sz="4" w:space="0"/>
            </w:tcBorders>
            <w:vAlign w:val="center"/>
          </w:tcPr>
          <w:p w14:paraId="2C978E6B">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单位的合同管理是否规范；</w:t>
            </w:r>
            <w:r>
              <w:rPr>
                <w:rFonts w:hint="eastAsia" w:ascii="仿宋" w:hAnsi="仿宋" w:eastAsia="仿宋" w:cs="仿宋"/>
                <w:lang w:eastAsia="zh-CN" w:bidi="ar"/>
              </w:rPr>
              <w:br w:type="textWrapping"/>
            </w:r>
            <w:r>
              <w:rPr>
                <w:rFonts w:hint="eastAsia" w:ascii="仿宋" w:hAnsi="仿宋" w:eastAsia="仿宋" w:cs="仿宋"/>
                <w:lang w:eastAsia="zh-CN" w:bidi="ar"/>
              </w:rPr>
              <w:t>合同内容与权责是否明确；</w:t>
            </w:r>
            <w:r>
              <w:rPr>
                <w:rFonts w:hint="eastAsia" w:ascii="仿宋" w:hAnsi="仿宋" w:eastAsia="仿宋" w:cs="仿宋"/>
                <w:lang w:eastAsia="zh-CN" w:bidi="ar"/>
              </w:rPr>
              <w:br w:type="textWrapping"/>
            </w:r>
            <w:r>
              <w:rPr>
                <w:rFonts w:hint="eastAsia" w:ascii="仿宋" w:hAnsi="仿宋" w:eastAsia="仿宋" w:cs="仿宋"/>
                <w:lang w:eastAsia="zh-CN" w:bidi="ar"/>
              </w:rPr>
              <w:t>双方是否按合同条款履行权利义务。</w:t>
            </w:r>
            <w:r>
              <w:rPr>
                <w:rFonts w:hint="eastAsia" w:ascii="仿宋" w:hAnsi="仿宋" w:eastAsia="仿宋" w:cs="仿宋"/>
                <w:lang w:eastAsia="zh-CN" w:bidi="ar"/>
              </w:rPr>
              <w:br w:type="textWrapping"/>
            </w:r>
            <w:r>
              <w:rPr>
                <w:rFonts w:hint="eastAsia" w:ascii="仿宋" w:hAnsi="仿宋" w:eastAsia="仿宋" w:cs="仿宋"/>
                <w:lang w:eastAsia="zh-CN" w:bidi="ar"/>
              </w:rPr>
              <w:t>一项不符扣1分，扣完为止。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D3F5831">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4545F204">
        <w:tblPrEx>
          <w:tblCellMar>
            <w:top w:w="0" w:type="dxa"/>
            <w:left w:w="108" w:type="dxa"/>
            <w:bottom w:w="0" w:type="dxa"/>
            <w:right w:w="108" w:type="dxa"/>
          </w:tblCellMar>
        </w:tblPrEx>
        <w:trPr>
          <w:trHeight w:val="144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03332D3A">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5D5ACF27">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7FC9F723">
            <w:pPr>
              <w:jc w:val="center"/>
              <w:textAlignment w:val="center"/>
              <w:rPr>
                <w:rFonts w:hint="eastAsia" w:ascii="仿宋" w:hAnsi="仿宋" w:eastAsia="仿宋" w:cs="仿宋"/>
              </w:rPr>
            </w:pPr>
            <w:r>
              <w:rPr>
                <w:rFonts w:hint="eastAsia" w:ascii="仿宋" w:hAnsi="仿宋" w:eastAsia="仿宋" w:cs="仿宋"/>
                <w:lang w:eastAsia="zh-CN" w:bidi="ar"/>
              </w:rPr>
              <w:t>资产管理完整性</w:t>
            </w:r>
          </w:p>
        </w:tc>
        <w:tc>
          <w:tcPr>
            <w:tcW w:w="3967" w:type="dxa"/>
            <w:tcBorders>
              <w:top w:val="single" w:color="000000" w:sz="4" w:space="0"/>
              <w:left w:val="single" w:color="000000" w:sz="4" w:space="0"/>
              <w:bottom w:val="single" w:color="000000" w:sz="4" w:space="0"/>
              <w:right w:val="single" w:color="000000" w:sz="4" w:space="0"/>
            </w:tcBorders>
            <w:vAlign w:val="center"/>
          </w:tcPr>
          <w:p w14:paraId="021B071C">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①单位和下级单位资产管理制度是否健全、完整、合法；</w:t>
            </w:r>
            <w:r>
              <w:rPr>
                <w:rFonts w:hint="eastAsia" w:ascii="仿宋" w:hAnsi="仿宋" w:eastAsia="仿宋" w:cs="仿宋"/>
                <w:lang w:eastAsia="zh-CN" w:bidi="ar"/>
              </w:rPr>
              <w:br w:type="textWrapping"/>
            </w:r>
            <w:r>
              <w:rPr>
                <w:rFonts w:hint="eastAsia" w:ascii="仿宋" w:hAnsi="仿宋" w:eastAsia="仿宋" w:cs="仿宋"/>
                <w:lang w:eastAsia="zh-CN" w:bidi="ar"/>
              </w:rPr>
              <w:t>②资产管理台账和实物是否账实相符；</w:t>
            </w:r>
            <w:r>
              <w:rPr>
                <w:rFonts w:hint="eastAsia" w:ascii="仿宋" w:hAnsi="仿宋" w:eastAsia="仿宋" w:cs="仿宋"/>
                <w:lang w:eastAsia="zh-CN" w:bidi="ar"/>
              </w:rPr>
              <w:br w:type="textWrapping"/>
            </w:r>
            <w:r>
              <w:rPr>
                <w:rFonts w:hint="eastAsia" w:ascii="仿宋" w:hAnsi="仿宋" w:eastAsia="仿宋" w:cs="仿宋"/>
                <w:lang w:eastAsia="zh-CN" w:bidi="ar"/>
              </w:rPr>
              <w:t>一项不符扣1分，扣完为止。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61EC675B">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3C959722">
        <w:tblPrEx>
          <w:tblCellMar>
            <w:top w:w="0" w:type="dxa"/>
            <w:left w:w="108" w:type="dxa"/>
            <w:bottom w:w="0" w:type="dxa"/>
            <w:right w:w="108" w:type="dxa"/>
          </w:tblCellMar>
        </w:tblPrEx>
        <w:trPr>
          <w:trHeight w:val="236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276259C6">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031ABE00">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33F7BAE7">
            <w:pPr>
              <w:jc w:val="center"/>
              <w:textAlignment w:val="center"/>
              <w:rPr>
                <w:rFonts w:hint="eastAsia" w:ascii="仿宋" w:hAnsi="仿宋" w:eastAsia="仿宋" w:cs="仿宋"/>
              </w:rPr>
            </w:pPr>
            <w:r>
              <w:rPr>
                <w:rFonts w:hint="eastAsia" w:ascii="仿宋" w:hAnsi="仿宋" w:eastAsia="仿宋" w:cs="仿宋"/>
                <w:lang w:eastAsia="zh-CN" w:bidi="ar"/>
              </w:rPr>
              <w:t>绩效自评覆盖率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41C9EC8A">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“绩效自评覆盖率”用于部门绩效自评项目金额在部门项目预算资金总额中所占的比例，反映和评价部门对项目绩效自评工作的重视程度。</w:t>
            </w:r>
            <w:r>
              <w:rPr>
                <w:rFonts w:hint="eastAsia" w:ascii="仿宋" w:hAnsi="仿宋" w:eastAsia="仿宋" w:cs="仿宋"/>
                <w:lang w:eastAsia="zh-CN" w:bidi="ar"/>
              </w:rPr>
              <w:br w:type="textWrapping"/>
            </w:r>
            <w:r>
              <w:rPr>
                <w:rFonts w:hint="eastAsia" w:ascii="仿宋" w:hAnsi="仿宋" w:eastAsia="仿宋" w:cs="仿宋"/>
                <w:lang w:eastAsia="zh-CN" w:bidi="ar"/>
              </w:rPr>
              <w:t>绩效自评覆盖率=自评项目支出金额/项目支出总额×100%，指标得分=绩效自评覆盖率/年度资金覆盖率要求×2×100%</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A843296">
            <w:pPr>
              <w:jc w:val="center"/>
              <w:textAlignment w:val="center"/>
              <w:rPr>
                <w:rFonts w:hint="eastAsia" w:ascii="仿宋" w:hAnsi="仿宋" w:eastAsia="仿宋" w:cs="仿宋"/>
              </w:rPr>
            </w:pPr>
            <w:r>
              <w:rPr>
                <w:rFonts w:hint="eastAsia" w:ascii="仿宋" w:hAnsi="仿宋" w:eastAsia="仿宋" w:cs="仿宋"/>
                <w:lang w:eastAsia="zh-CN" w:bidi="ar"/>
              </w:rPr>
              <w:t>2</w:t>
            </w:r>
          </w:p>
        </w:tc>
      </w:tr>
      <w:tr w14:paraId="1FDB677D">
        <w:tblPrEx>
          <w:tblCellMar>
            <w:top w:w="0" w:type="dxa"/>
            <w:left w:w="108" w:type="dxa"/>
            <w:bottom w:w="0" w:type="dxa"/>
            <w:right w:w="108" w:type="dxa"/>
          </w:tblCellMar>
        </w:tblPrEx>
        <w:trPr>
          <w:trHeight w:val="2560" w:hRule="atLeast"/>
        </w:trPr>
        <w:tc>
          <w:tcPr>
            <w:tcW w:w="1233" w:type="dxa"/>
            <w:vMerge w:val="restart"/>
            <w:tcBorders>
              <w:top w:val="single" w:color="000000" w:sz="4" w:space="0"/>
              <w:left w:val="single" w:color="000000" w:sz="4" w:space="0"/>
              <w:bottom w:val="single" w:color="000000" w:sz="4" w:space="0"/>
              <w:right w:val="single" w:color="000000" w:sz="4" w:space="0"/>
            </w:tcBorders>
            <w:noWrap/>
            <w:vAlign w:val="center"/>
          </w:tcPr>
          <w:p w14:paraId="51D3C9E5">
            <w:pPr>
              <w:jc w:val="center"/>
              <w:textAlignment w:val="center"/>
              <w:rPr>
                <w:rFonts w:hint="eastAsia" w:ascii="仿宋" w:hAnsi="仿宋" w:eastAsia="仿宋" w:cs="仿宋"/>
              </w:rPr>
            </w:pPr>
            <w:r>
              <w:rPr>
                <w:rFonts w:hint="eastAsia" w:ascii="仿宋" w:hAnsi="仿宋" w:eastAsia="仿宋" w:cs="仿宋"/>
                <w:lang w:eastAsia="zh-CN" w:bidi="ar"/>
              </w:rPr>
              <w:t>产出（42分）</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44F5282A">
            <w:pPr>
              <w:jc w:val="center"/>
              <w:textAlignment w:val="center"/>
              <w:rPr>
                <w:rFonts w:hint="eastAsia" w:ascii="仿宋" w:hAnsi="仿宋" w:eastAsia="仿宋" w:cs="仿宋"/>
              </w:rPr>
            </w:pPr>
            <w:r>
              <w:rPr>
                <w:rFonts w:hint="eastAsia" w:ascii="仿宋" w:hAnsi="仿宋" w:eastAsia="仿宋" w:cs="仿宋"/>
                <w:lang w:eastAsia="zh-CN" w:bidi="ar"/>
              </w:rPr>
              <w:t>产出数量（18分）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0C12A229">
            <w:pPr>
              <w:jc w:val="center"/>
              <w:textAlignment w:val="center"/>
              <w:rPr>
                <w:rFonts w:hint="eastAsia" w:ascii="仿宋" w:hAnsi="仿宋" w:eastAsia="仿宋" w:cs="仿宋"/>
                <w:lang w:eastAsia="zh-CN"/>
              </w:rPr>
            </w:pPr>
            <w:r>
              <w:rPr>
                <w:rFonts w:hint="eastAsia" w:ascii="仿宋" w:hAnsi="仿宋" w:eastAsia="仿宋" w:cs="仿宋"/>
                <w:lang w:eastAsia="zh-CN" w:bidi="ar"/>
              </w:rPr>
              <w:t>义务兵优待金发放人数</w:t>
            </w:r>
          </w:p>
        </w:tc>
        <w:tc>
          <w:tcPr>
            <w:tcW w:w="3967" w:type="dxa"/>
            <w:tcBorders>
              <w:top w:val="single" w:color="000000" w:sz="4" w:space="0"/>
              <w:left w:val="single" w:color="000000" w:sz="4" w:space="0"/>
              <w:bottom w:val="single" w:color="000000" w:sz="4" w:space="0"/>
              <w:right w:val="single" w:color="000000" w:sz="4" w:space="0"/>
            </w:tcBorders>
            <w:vAlign w:val="center"/>
          </w:tcPr>
          <w:p w14:paraId="41E3BCA3">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主要通过比较完成义务兵优待金发放人数与计划数，用以反映和考核完成义务兵优待金发放人数目标的实现程度。</w:t>
            </w:r>
            <w:r>
              <w:rPr>
                <w:rFonts w:hint="eastAsia" w:ascii="仿宋" w:hAnsi="仿宋" w:eastAsia="仿宋" w:cs="仿宋"/>
                <w:lang w:eastAsia="zh-CN" w:bidi="ar"/>
              </w:rPr>
              <w:br w:type="textWrapping"/>
            </w:r>
            <w:r>
              <w:rPr>
                <w:rFonts w:hint="eastAsia" w:ascii="仿宋" w:hAnsi="仿宋" w:eastAsia="仿宋" w:cs="仿宋"/>
                <w:lang w:eastAsia="zh-CN" w:bidi="ar"/>
              </w:rPr>
              <w:t>义务兵优待金发放人数≥104人（3分）；每少10人扣0.5分（不足10人的，按10人计算），扣完为止。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8C88677">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78C27E5C">
        <w:tblPrEx>
          <w:tblCellMar>
            <w:top w:w="0" w:type="dxa"/>
            <w:left w:w="108" w:type="dxa"/>
            <w:bottom w:w="0" w:type="dxa"/>
            <w:right w:w="108" w:type="dxa"/>
          </w:tblCellMar>
        </w:tblPrEx>
        <w:trPr>
          <w:trHeight w:val="180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3F1DDB3C">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77068CE">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2E71A923">
            <w:pPr>
              <w:jc w:val="center"/>
              <w:textAlignment w:val="center"/>
              <w:rPr>
                <w:rFonts w:hint="eastAsia" w:ascii="仿宋" w:hAnsi="仿宋" w:eastAsia="仿宋" w:cs="仿宋"/>
              </w:rPr>
            </w:pPr>
            <w:r>
              <w:rPr>
                <w:rFonts w:hint="eastAsia" w:ascii="仿宋" w:hAnsi="仿宋" w:eastAsia="仿宋" w:cs="仿宋"/>
                <w:lang w:eastAsia="zh-CN" w:bidi="ar"/>
              </w:rPr>
              <w:t>退役士兵补助人数</w:t>
            </w:r>
          </w:p>
        </w:tc>
        <w:tc>
          <w:tcPr>
            <w:tcW w:w="3967" w:type="dxa"/>
            <w:tcBorders>
              <w:top w:val="single" w:color="000000" w:sz="4" w:space="0"/>
              <w:left w:val="single" w:color="000000" w:sz="4" w:space="0"/>
              <w:bottom w:val="single" w:color="000000" w:sz="4" w:space="0"/>
              <w:right w:val="single" w:color="000000" w:sz="4" w:space="0"/>
            </w:tcBorders>
            <w:vAlign w:val="center"/>
          </w:tcPr>
          <w:p w14:paraId="597278C2">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主要通过退役士兵补助实际完成人数与计划数比较，用以反映和考核退役士兵补助人数目标的实现程度。退役士兵补助人数≥90人（3分）；每少10人扣0.5分（不足10人的，按10人计算），扣完为止。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178F8A8A">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0A2017AC">
        <w:tblPrEx>
          <w:tblCellMar>
            <w:top w:w="0" w:type="dxa"/>
            <w:left w:w="108" w:type="dxa"/>
            <w:bottom w:w="0" w:type="dxa"/>
            <w:right w:w="108" w:type="dxa"/>
          </w:tblCellMar>
        </w:tblPrEx>
        <w:trPr>
          <w:trHeight w:val="202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58769265">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57DB1A03">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0B81BF75">
            <w:pPr>
              <w:jc w:val="center"/>
              <w:textAlignment w:val="center"/>
              <w:rPr>
                <w:rFonts w:hint="eastAsia" w:ascii="仿宋" w:hAnsi="仿宋" w:eastAsia="仿宋" w:cs="仿宋"/>
                <w:lang w:eastAsia="zh-CN"/>
              </w:rPr>
            </w:pPr>
            <w:r>
              <w:rPr>
                <w:rFonts w:hint="eastAsia" w:ascii="仿宋" w:hAnsi="仿宋" w:eastAsia="仿宋" w:cs="仿宋"/>
                <w:lang w:eastAsia="zh-CN" w:bidi="ar"/>
              </w:rPr>
              <w:t>享受医疗待遇优抚对象人数</w:t>
            </w:r>
          </w:p>
        </w:tc>
        <w:tc>
          <w:tcPr>
            <w:tcW w:w="3967" w:type="dxa"/>
            <w:tcBorders>
              <w:top w:val="single" w:color="000000" w:sz="4" w:space="0"/>
              <w:left w:val="single" w:color="000000" w:sz="4" w:space="0"/>
              <w:bottom w:val="single" w:color="000000" w:sz="4" w:space="0"/>
              <w:right w:val="single" w:color="000000" w:sz="4" w:space="0"/>
            </w:tcBorders>
            <w:vAlign w:val="center"/>
          </w:tcPr>
          <w:p w14:paraId="0B9AA13B">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享受医疗待遇优抚对象实际人数与计划数比较，用以反映和考核享受医疗待遇优抚对象人数目标的实现程度。享受医疗待遇优抚对象人数≥262人（3分）；每少10人扣0.5分（不足10人的，按10人计算），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62810FA">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35955629">
        <w:tblPrEx>
          <w:tblCellMar>
            <w:top w:w="0" w:type="dxa"/>
            <w:left w:w="108" w:type="dxa"/>
            <w:bottom w:w="0" w:type="dxa"/>
            <w:right w:w="108" w:type="dxa"/>
          </w:tblCellMar>
        </w:tblPrEx>
        <w:trPr>
          <w:trHeight w:val="1671"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0C38D497">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B4053AF">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6DD74E91">
            <w:pPr>
              <w:jc w:val="center"/>
              <w:textAlignment w:val="center"/>
              <w:rPr>
                <w:rFonts w:hint="eastAsia" w:ascii="仿宋" w:hAnsi="仿宋" w:eastAsia="仿宋" w:cs="仿宋"/>
              </w:rPr>
            </w:pPr>
            <w:r>
              <w:rPr>
                <w:rFonts w:hint="eastAsia" w:ascii="仿宋" w:hAnsi="仿宋" w:eastAsia="仿宋" w:cs="仿宋"/>
                <w:lang w:eastAsia="zh-CN" w:bidi="ar"/>
              </w:rPr>
              <w:t>优抚对象人数</w:t>
            </w:r>
          </w:p>
        </w:tc>
        <w:tc>
          <w:tcPr>
            <w:tcW w:w="3967" w:type="dxa"/>
            <w:tcBorders>
              <w:top w:val="single" w:color="000000" w:sz="4" w:space="0"/>
              <w:left w:val="single" w:color="000000" w:sz="4" w:space="0"/>
              <w:bottom w:val="single" w:color="000000" w:sz="4" w:space="0"/>
              <w:right w:val="single" w:color="000000" w:sz="4" w:space="0"/>
            </w:tcBorders>
            <w:vAlign w:val="center"/>
          </w:tcPr>
          <w:p w14:paraId="77EE0363">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主要通过比较优抚对象人数完成数与计划数，用以反映和考核优抚对象人数目标的实现程度。</w:t>
            </w:r>
            <w:r>
              <w:rPr>
                <w:rFonts w:hint="eastAsia" w:ascii="仿宋" w:hAnsi="仿宋" w:eastAsia="仿宋" w:cs="仿宋"/>
                <w:lang w:eastAsia="zh-CN" w:bidi="ar"/>
              </w:rPr>
              <w:br w:type="textWrapping"/>
            </w:r>
            <w:r>
              <w:rPr>
                <w:rFonts w:hint="eastAsia" w:ascii="仿宋" w:hAnsi="仿宋" w:eastAsia="仿宋" w:cs="仿宋"/>
                <w:lang w:eastAsia="zh-CN" w:bidi="ar"/>
              </w:rPr>
              <w:t>优抚对象人数≥2232人（3分）；每少10人扣0.5分（不足10人的，按10人计算），扣完为止。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0104F0C5">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712DCADA">
        <w:tblPrEx>
          <w:tblCellMar>
            <w:top w:w="0" w:type="dxa"/>
            <w:left w:w="108" w:type="dxa"/>
            <w:bottom w:w="0" w:type="dxa"/>
            <w:right w:w="108" w:type="dxa"/>
          </w:tblCellMar>
        </w:tblPrEx>
        <w:trPr>
          <w:trHeight w:val="216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3D173D42">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3F95F487">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76D2B9EE">
            <w:pPr>
              <w:jc w:val="center"/>
              <w:textAlignment w:val="center"/>
              <w:rPr>
                <w:rFonts w:hint="eastAsia" w:ascii="仿宋" w:hAnsi="仿宋" w:eastAsia="仿宋" w:cs="仿宋"/>
                <w:lang w:eastAsia="zh-CN"/>
              </w:rPr>
            </w:pPr>
            <w:r>
              <w:rPr>
                <w:rFonts w:hint="eastAsia" w:ascii="仿宋" w:hAnsi="仿宋" w:eastAsia="仿宋" w:cs="仿宋"/>
                <w:lang w:eastAsia="zh-CN" w:bidi="ar"/>
              </w:rPr>
              <w:t>企业退休军转干部人数</w:t>
            </w:r>
          </w:p>
        </w:tc>
        <w:tc>
          <w:tcPr>
            <w:tcW w:w="3967" w:type="dxa"/>
            <w:tcBorders>
              <w:top w:val="single" w:color="000000" w:sz="4" w:space="0"/>
              <w:left w:val="single" w:color="000000" w:sz="4" w:space="0"/>
              <w:bottom w:val="single" w:color="000000" w:sz="4" w:space="0"/>
              <w:right w:val="single" w:color="000000" w:sz="4" w:space="0"/>
            </w:tcBorders>
            <w:vAlign w:val="center"/>
          </w:tcPr>
          <w:p w14:paraId="0D33C5F7">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主要通过比较企业退休军转干部人数完成数与计划数，用以反映和考核企业退休军转干部人数目标的实现程度。企业退休军转干部人数≥32人（3分）；每少10人扣1分（不足10人的，按10人计算），扣完为止。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163E5ACB">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3AA4D10E">
        <w:tblPrEx>
          <w:tblCellMar>
            <w:top w:w="0" w:type="dxa"/>
            <w:left w:w="108" w:type="dxa"/>
            <w:bottom w:w="0" w:type="dxa"/>
            <w:right w:w="108" w:type="dxa"/>
          </w:tblCellMar>
        </w:tblPrEx>
        <w:trPr>
          <w:trHeight w:val="190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04CBF460">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F6ABF00">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5D2E1859">
            <w:pPr>
              <w:jc w:val="center"/>
              <w:textAlignment w:val="center"/>
              <w:rPr>
                <w:rFonts w:hint="eastAsia" w:ascii="仿宋" w:hAnsi="仿宋" w:eastAsia="仿宋" w:cs="仿宋"/>
              </w:rPr>
            </w:pPr>
            <w:r>
              <w:rPr>
                <w:rFonts w:hint="eastAsia" w:ascii="仿宋" w:hAnsi="仿宋" w:eastAsia="仿宋" w:cs="仿宋"/>
                <w:lang w:eastAsia="zh-CN" w:bidi="ar"/>
              </w:rPr>
              <w:t>科技文化拥军项目数</w:t>
            </w:r>
          </w:p>
        </w:tc>
        <w:tc>
          <w:tcPr>
            <w:tcW w:w="3967" w:type="dxa"/>
            <w:tcBorders>
              <w:top w:val="single" w:color="000000" w:sz="4" w:space="0"/>
              <w:left w:val="single" w:color="000000" w:sz="4" w:space="0"/>
              <w:bottom w:val="single" w:color="000000" w:sz="4" w:space="0"/>
              <w:right w:val="single" w:color="000000" w:sz="4" w:space="0"/>
            </w:tcBorders>
            <w:vAlign w:val="center"/>
          </w:tcPr>
          <w:p w14:paraId="4C68F4C2">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主要通过比较科技文化拥军项目数完成数与计划数，用以反映和考核科技文化拥军项目数量目标的实现程度。科技文化拥军项目数≥9个得3分，每少1个扣1分，扣完为止。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1829BED">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5092F90A">
        <w:tblPrEx>
          <w:tblCellMar>
            <w:top w:w="0" w:type="dxa"/>
            <w:left w:w="108" w:type="dxa"/>
            <w:bottom w:w="0" w:type="dxa"/>
            <w:right w:w="108" w:type="dxa"/>
          </w:tblCellMar>
        </w:tblPrEx>
        <w:trPr>
          <w:trHeight w:val="224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5FF4C699">
            <w:pPr>
              <w:jc w:val="center"/>
              <w:rPr>
                <w:rFonts w:hint="eastAsia" w:ascii="仿宋" w:hAnsi="仿宋" w:eastAsia="仿宋" w:cs="仿宋"/>
              </w:rPr>
            </w:pP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4C73C47B">
            <w:pPr>
              <w:jc w:val="center"/>
              <w:textAlignment w:val="center"/>
              <w:rPr>
                <w:rFonts w:hint="eastAsia" w:ascii="仿宋" w:hAnsi="仿宋" w:eastAsia="仿宋" w:cs="仿宋"/>
              </w:rPr>
            </w:pPr>
            <w:r>
              <w:rPr>
                <w:rFonts w:hint="eastAsia" w:ascii="仿宋" w:hAnsi="仿宋" w:eastAsia="仿宋" w:cs="仿宋"/>
                <w:lang w:eastAsia="zh-CN" w:bidi="ar"/>
              </w:rPr>
              <w:t>产出质量</w:t>
            </w:r>
            <w:r>
              <w:rPr>
                <w:rFonts w:hint="eastAsia" w:ascii="仿宋" w:hAnsi="仿宋" w:eastAsia="仿宋" w:cs="仿宋"/>
                <w:lang w:eastAsia="zh-CN" w:bidi="ar"/>
              </w:rPr>
              <w:br w:type="textWrapping"/>
            </w:r>
            <w:r>
              <w:rPr>
                <w:rFonts w:hint="eastAsia" w:ascii="仿宋" w:hAnsi="仿宋" w:eastAsia="仿宋" w:cs="仿宋"/>
                <w:lang w:eastAsia="zh-CN" w:bidi="ar"/>
              </w:rPr>
              <w:t>（18分）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104587EA">
            <w:pPr>
              <w:jc w:val="center"/>
              <w:textAlignment w:val="center"/>
              <w:rPr>
                <w:rFonts w:hint="eastAsia" w:ascii="仿宋" w:hAnsi="仿宋" w:eastAsia="仿宋" w:cs="仿宋"/>
                <w:lang w:eastAsia="zh-CN"/>
              </w:rPr>
            </w:pPr>
            <w:r>
              <w:rPr>
                <w:rFonts w:hint="eastAsia" w:ascii="仿宋" w:hAnsi="仿宋" w:eastAsia="仿宋" w:cs="仿宋"/>
                <w:lang w:eastAsia="zh-CN" w:bidi="ar"/>
              </w:rPr>
              <w:t>纪念烈士讲解员专业队伍建设</w:t>
            </w:r>
          </w:p>
        </w:tc>
        <w:tc>
          <w:tcPr>
            <w:tcW w:w="3967" w:type="dxa"/>
            <w:tcBorders>
              <w:top w:val="single" w:color="000000" w:sz="4" w:space="0"/>
              <w:left w:val="single" w:color="000000" w:sz="4" w:space="0"/>
              <w:bottom w:val="single" w:color="000000" w:sz="4" w:space="0"/>
              <w:right w:val="single" w:color="000000" w:sz="4" w:space="0"/>
            </w:tcBorders>
            <w:vAlign w:val="center"/>
          </w:tcPr>
          <w:p w14:paraId="567BDEB1">
            <w:pPr>
              <w:textAlignment w:val="center"/>
              <w:rPr>
                <w:rFonts w:hint="eastAsia" w:ascii="仿宋" w:hAnsi="仿宋" w:eastAsia="仿宋" w:cs="仿宋"/>
                <w:lang w:eastAsia="zh-CN"/>
              </w:rPr>
            </w:pPr>
            <w:r>
              <w:rPr>
                <w:rFonts w:hint="eastAsia" w:ascii="仿宋" w:hAnsi="仿宋" w:eastAsia="仿宋" w:cs="仿宋"/>
                <w:lang w:eastAsia="zh-CN" w:bidi="ar"/>
              </w:rPr>
              <w:t>评价要点：以烈士纪念设施讲解员队伍建设为核心指标，设定四档评分标准：</w:t>
            </w:r>
            <w:r>
              <w:rPr>
                <w:rFonts w:hint="eastAsia" w:ascii="仿宋" w:hAnsi="仿宋" w:eastAsia="仿宋" w:cs="仿宋"/>
                <w:lang w:eastAsia="zh-CN" w:bidi="ar"/>
              </w:rPr>
              <w:br w:type="textWrapping"/>
            </w:r>
            <w:r>
              <w:rPr>
                <w:rFonts w:hint="eastAsia" w:ascii="仿宋" w:hAnsi="仿宋" w:eastAsia="仿宋" w:cs="仿宋"/>
                <w:lang w:eastAsia="zh-CN" w:bidi="ar"/>
              </w:rPr>
              <w:t>①具备专职讲解员且队伍稳定得3分；</w:t>
            </w:r>
            <w:r>
              <w:rPr>
                <w:rFonts w:hint="eastAsia" w:ascii="仿宋" w:hAnsi="仿宋" w:eastAsia="仿宋" w:cs="仿宋"/>
                <w:lang w:eastAsia="zh-CN" w:bidi="ar"/>
              </w:rPr>
              <w:br w:type="textWrapping"/>
            </w:r>
            <w:r>
              <w:rPr>
                <w:rFonts w:hint="eastAsia" w:ascii="仿宋" w:hAnsi="仿宋" w:eastAsia="仿宋" w:cs="仿宋"/>
                <w:lang w:eastAsia="zh-CN" w:bidi="ar"/>
              </w:rPr>
              <w:t>②具备兼职讲解员且队伍较稳定得2分；</w:t>
            </w:r>
            <w:r>
              <w:rPr>
                <w:rFonts w:hint="eastAsia" w:ascii="仿宋" w:hAnsi="仿宋" w:eastAsia="仿宋" w:cs="仿宋"/>
                <w:lang w:eastAsia="zh-CN" w:bidi="ar"/>
              </w:rPr>
              <w:br w:type="textWrapping"/>
            </w:r>
            <w:r>
              <w:rPr>
                <w:rFonts w:hint="eastAsia" w:ascii="仿宋" w:hAnsi="仿宋" w:eastAsia="仿宋" w:cs="仿宋"/>
                <w:lang w:eastAsia="zh-CN" w:bidi="ar"/>
              </w:rPr>
              <w:t>③仅有志愿者讲解员得1分；</w:t>
            </w:r>
            <w:r>
              <w:rPr>
                <w:rFonts w:hint="eastAsia" w:ascii="仿宋" w:hAnsi="仿宋" w:eastAsia="仿宋" w:cs="仿宋"/>
                <w:lang w:eastAsia="zh-CN" w:bidi="ar"/>
              </w:rPr>
              <w:br w:type="textWrapping"/>
            </w:r>
            <w:r>
              <w:rPr>
                <w:rFonts w:hint="eastAsia" w:ascii="仿宋" w:hAnsi="仿宋" w:eastAsia="仿宋" w:cs="仿宋"/>
                <w:lang w:eastAsia="zh-CN" w:bidi="ar"/>
              </w:rPr>
              <w:t>④无讲解员得0分。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691B1F77">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40BF1A71">
        <w:tblPrEx>
          <w:tblCellMar>
            <w:top w:w="0" w:type="dxa"/>
            <w:left w:w="108" w:type="dxa"/>
            <w:bottom w:w="0" w:type="dxa"/>
            <w:right w:w="108" w:type="dxa"/>
          </w:tblCellMar>
        </w:tblPrEx>
        <w:trPr>
          <w:trHeight w:val="170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3168C22F">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AEE5ED7">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45B928CF">
            <w:pPr>
              <w:jc w:val="center"/>
              <w:textAlignment w:val="center"/>
              <w:rPr>
                <w:rFonts w:hint="eastAsia" w:ascii="仿宋" w:hAnsi="仿宋" w:eastAsia="仿宋" w:cs="仿宋"/>
                <w:lang w:eastAsia="zh-CN"/>
              </w:rPr>
            </w:pPr>
            <w:r>
              <w:rPr>
                <w:rFonts w:hint="eastAsia" w:ascii="仿宋" w:hAnsi="仿宋" w:eastAsia="仿宋" w:cs="仿宋"/>
                <w:lang w:eastAsia="zh-CN" w:bidi="ar"/>
              </w:rPr>
              <w:t>优抚对象补助金发放到位率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6B5F6AB5">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资金发放到位率主要通过按相关政策标准足额发放补助资金数与应发放补助资金数的对比，考察部门工作开展，落实政策的实现程度。评分标准为到位率100%得3分；每低于10%扣1分，至扣完为止。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68D95F8">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249E0E2B">
        <w:tblPrEx>
          <w:tblCellMar>
            <w:top w:w="0" w:type="dxa"/>
            <w:left w:w="108" w:type="dxa"/>
            <w:bottom w:w="0" w:type="dxa"/>
            <w:right w:w="108" w:type="dxa"/>
          </w:tblCellMar>
        </w:tblPrEx>
        <w:trPr>
          <w:trHeight w:val="1524"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7E664899">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34FC16D6">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4604CFF5">
            <w:pPr>
              <w:jc w:val="center"/>
              <w:textAlignment w:val="center"/>
              <w:rPr>
                <w:rFonts w:hint="eastAsia" w:ascii="仿宋" w:hAnsi="仿宋" w:eastAsia="仿宋" w:cs="仿宋"/>
              </w:rPr>
            </w:pPr>
            <w:r>
              <w:rPr>
                <w:rFonts w:hint="eastAsia" w:ascii="仿宋" w:hAnsi="仿宋" w:eastAsia="仿宋" w:cs="仿宋"/>
                <w:lang w:eastAsia="zh-CN" w:bidi="ar"/>
              </w:rPr>
              <w:t>军转干部培训通过率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41AAB708">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军转干部培训通过率≥90%得3分；</w:t>
            </w:r>
            <w:r>
              <w:rPr>
                <w:rFonts w:hint="eastAsia" w:ascii="仿宋" w:hAnsi="仿宋" w:eastAsia="仿宋" w:cs="仿宋"/>
                <w:lang w:eastAsia="zh-CN" w:bidi="ar"/>
              </w:rPr>
              <w:br w:type="textWrapping"/>
            </w:r>
            <w:r>
              <w:rPr>
                <w:rFonts w:hint="eastAsia" w:ascii="仿宋" w:hAnsi="仿宋" w:eastAsia="仿宋" w:cs="仿宋"/>
                <w:lang w:eastAsia="zh-CN" w:bidi="ar"/>
              </w:rPr>
              <w:t>85%≤军转干部培训通过率&lt;90%得2分；</w:t>
            </w:r>
            <w:r>
              <w:rPr>
                <w:rFonts w:hint="eastAsia" w:ascii="仿宋" w:hAnsi="仿宋" w:eastAsia="仿宋" w:cs="仿宋"/>
                <w:lang w:eastAsia="zh-CN" w:bidi="ar"/>
              </w:rPr>
              <w:br w:type="textWrapping"/>
            </w:r>
            <w:r>
              <w:rPr>
                <w:rFonts w:hint="eastAsia" w:ascii="仿宋" w:hAnsi="仿宋" w:eastAsia="仿宋" w:cs="仿宋"/>
                <w:lang w:eastAsia="zh-CN" w:bidi="ar"/>
              </w:rPr>
              <w:t>80%≤军转干部培训通过率&lt;85%得1分；</w:t>
            </w:r>
            <w:r>
              <w:rPr>
                <w:rFonts w:hint="eastAsia" w:ascii="仿宋" w:hAnsi="仿宋" w:eastAsia="仿宋" w:cs="仿宋"/>
                <w:lang w:eastAsia="zh-CN" w:bidi="ar"/>
              </w:rPr>
              <w:br w:type="textWrapping"/>
            </w:r>
            <w:r>
              <w:rPr>
                <w:rFonts w:hint="eastAsia" w:ascii="仿宋" w:hAnsi="仿宋" w:eastAsia="仿宋" w:cs="仿宋"/>
                <w:lang w:eastAsia="zh-CN" w:bidi="ar"/>
              </w:rPr>
              <w:t>军转干部培训通过率&lt;80%得0分。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D3C7D41">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47B8AFEA">
        <w:tblPrEx>
          <w:tblCellMar>
            <w:top w:w="0" w:type="dxa"/>
            <w:left w:w="108" w:type="dxa"/>
            <w:bottom w:w="0" w:type="dxa"/>
            <w:right w:w="108" w:type="dxa"/>
          </w:tblCellMar>
        </w:tblPrEx>
        <w:trPr>
          <w:trHeight w:val="180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5E923C25">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2B1A3DF2">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28C732F9">
            <w:pPr>
              <w:jc w:val="center"/>
              <w:textAlignment w:val="center"/>
              <w:rPr>
                <w:rFonts w:hint="eastAsia" w:ascii="仿宋" w:hAnsi="仿宋" w:eastAsia="仿宋" w:cs="仿宋"/>
                <w:lang w:eastAsia="zh-CN"/>
              </w:rPr>
            </w:pPr>
            <w:r>
              <w:rPr>
                <w:rFonts w:hint="eastAsia" w:ascii="仿宋" w:hAnsi="仿宋" w:eastAsia="仿宋" w:cs="仿宋"/>
                <w:lang w:eastAsia="zh-CN" w:bidi="ar"/>
              </w:rPr>
              <w:t>光荣牌台账管理规范性</w:t>
            </w:r>
          </w:p>
        </w:tc>
        <w:tc>
          <w:tcPr>
            <w:tcW w:w="3967" w:type="dxa"/>
            <w:tcBorders>
              <w:top w:val="single" w:color="000000" w:sz="4" w:space="0"/>
              <w:left w:val="single" w:color="000000" w:sz="4" w:space="0"/>
              <w:bottom w:val="single" w:color="000000" w:sz="4" w:space="0"/>
              <w:right w:val="single" w:color="000000" w:sz="4" w:space="0"/>
            </w:tcBorders>
            <w:vAlign w:val="center"/>
          </w:tcPr>
          <w:p w14:paraId="7CFB4DEC">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①是否建立光荣牌管理制度；</w:t>
            </w:r>
            <w:r>
              <w:rPr>
                <w:rFonts w:hint="eastAsia" w:ascii="仿宋" w:hAnsi="仿宋" w:eastAsia="仿宋" w:cs="仿宋"/>
                <w:lang w:eastAsia="zh-CN" w:bidi="ar"/>
              </w:rPr>
              <w:br w:type="textWrapping"/>
            </w:r>
            <w:r>
              <w:rPr>
                <w:rFonts w:hint="eastAsia" w:ascii="仿宋" w:hAnsi="仿宋" w:eastAsia="仿宋" w:cs="仿宋"/>
                <w:lang w:eastAsia="zh-CN" w:bidi="ar"/>
              </w:rPr>
              <w:t>②是否具备光荣牌台账；</w:t>
            </w:r>
            <w:r>
              <w:rPr>
                <w:rFonts w:hint="eastAsia" w:ascii="仿宋" w:hAnsi="仿宋" w:eastAsia="仿宋" w:cs="仿宋"/>
                <w:lang w:eastAsia="zh-CN" w:bidi="ar"/>
              </w:rPr>
              <w:br w:type="textWrapping"/>
            </w:r>
            <w:r>
              <w:rPr>
                <w:rFonts w:hint="eastAsia" w:ascii="仿宋" w:hAnsi="仿宋" w:eastAsia="仿宋" w:cs="仿宋"/>
                <w:lang w:eastAsia="zh-CN" w:bidi="ar"/>
              </w:rPr>
              <w:t>③光荣牌台账记录是否规范，内容是否完整。</w:t>
            </w:r>
            <w:r>
              <w:rPr>
                <w:rFonts w:hint="eastAsia" w:ascii="仿宋" w:hAnsi="仿宋" w:eastAsia="仿宋" w:cs="仿宋"/>
                <w:lang w:eastAsia="zh-CN" w:bidi="ar"/>
              </w:rPr>
              <w:br w:type="textWrapping"/>
            </w:r>
            <w:r>
              <w:rPr>
                <w:rFonts w:hint="eastAsia" w:ascii="仿宋" w:hAnsi="仿宋" w:eastAsia="仿宋" w:cs="仿宋"/>
                <w:lang w:eastAsia="zh-CN" w:bidi="ar"/>
              </w:rPr>
              <w:t>一项不符扣1分，扣完为止。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FE96446">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7DE35B8F">
        <w:tblPrEx>
          <w:tblCellMar>
            <w:top w:w="0" w:type="dxa"/>
            <w:left w:w="108" w:type="dxa"/>
            <w:bottom w:w="0" w:type="dxa"/>
            <w:right w:w="108" w:type="dxa"/>
          </w:tblCellMar>
        </w:tblPrEx>
        <w:trPr>
          <w:trHeight w:val="150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13417FB9">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52CD9C45">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34F0E885">
            <w:pPr>
              <w:jc w:val="center"/>
              <w:textAlignment w:val="center"/>
              <w:rPr>
                <w:rFonts w:hint="eastAsia" w:ascii="仿宋" w:hAnsi="仿宋" w:eastAsia="仿宋" w:cs="仿宋"/>
              </w:rPr>
            </w:pPr>
            <w:r>
              <w:rPr>
                <w:rFonts w:hint="eastAsia" w:ascii="仿宋" w:hAnsi="仿宋" w:eastAsia="仿宋" w:cs="仿宋"/>
                <w:lang w:eastAsia="zh-CN" w:bidi="ar"/>
              </w:rPr>
              <w:t>2024年度绩效考评结果</w:t>
            </w:r>
          </w:p>
        </w:tc>
        <w:tc>
          <w:tcPr>
            <w:tcW w:w="3967" w:type="dxa"/>
            <w:tcBorders>
              <w:top w:val="single" w:color="000000" w:sz="4" w:space="0"/>
              <w:left w:val="single" w:color="000000" w:sz="4" w:space="0"/>
              <w:bottom w:val="single" w:color="000000" w:sz="4" w:space="0"/>
              <w:right w:val="single" w:color="000000" w:sz="4" w:space="0"/>
            </w:tcBorders>
            <w:vAlign w:val="center"/>
          </w:tcPr>
          <w:p w14:paraId="19150DE9">
            <w:pPr>
              <w:textAlignment w:val="center"/>
              <w:rPr>
                <w:rFonts w:hint="eastAsia" w:ascii="仿宋" w:hAnsi="仿宋" w:eastAsia="仿宋" w:cs="仿宋"/>
                <w:lang w:eastAsia="zh-CN"/>
              </w:rPr>
            </w:pPr>
            <w:r>
              <w:rPr>
                <w:rFonts w:hint="eastAsia" w:ascii="仿宋" w:hAnsi="仿宋" w:eastAsia="仿宋" w:cs="仿宋"/>
                <w:lang w:eastAsia="zh-CN" w:bidi="ar"/>
              </w:rPr>
              <w:t>评价要点：按照《2024年度石狮市绩效管理工作方案》（狮委办〔2024〕36号）要求，获得优秀等次得分3分；良好等次得分2分，合格等次得分1分。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7C36415">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22326E63">
        <w:tblPrEx>
          <w:tblCellMar>
            <w:top w:w="0" w:type="dxa"/>
            <w:left w:w="108" w:type="dxa"/>
            <w:bottom w:w="0" w:type="dxa"/>
            <w:right w:w="108" w:type="dxa"/>
          </w:tblCellMar>
        </w:tblPrEx>
        <w:trPr>
          <w:trHeight w:val="174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163C664D">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262D5A70">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34F33296">
            <w:pPr>
              <w:jc w:val="center"/>
              <w:textAlignment w:val="center"/>
              <w:rPr>
                <w:rFonts w:hint="eastAsia" w:ascii="仿宋" w:hAnsi="仿宋" w:eastAsia="仿宋" w:cs="仿宋"/>
              </w:rPr>
            </w:pPr>
            <w:r>
              <w:rPr>
                <w:rFonts w:hint="eastAsia" w:ascii="仿宋" w:hAnsi="仿宋" w:eastAsia="仿宋" w:cs="仿宋"/>
                <w:lang w:eastAsia="zh-CN" w:bidi="ar"/>
              </w:rPr>
              <w:t>退役士兵安置率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70E86B4C">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主要通过年度退役士兵安置数与应安置数的对比，完成退役士兵安置的实现程度。安置率100%得3分；每低于10%扣1分，直至扣完为止。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1F693567">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253AEF3C">
        <w:tblPrEx>
          <w:tblCellMar>
            <w:top w:w="0" w:type="dxa"/>
            <w:left w:w="108" w:type="dxa"/>
            <w:bottom w:w="0" w:type="dxa"/>
            <w:right w:w="108" w:type="dxa"/>
          </w:tblCellMar>
        </w:tblPrEx>
        <w:trPr>
          <w:trHeight w:val="3505"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03C187C3">
            <w:pPr>
              <w:jc w:val="center"/>
              <w:rPr>
                <w:rFonts w:hint="eastAsia" w:ascii="仿宋" w:hAnsi="仿宋" w:eastAsia="仿宋" w:cs="仿宋"/>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281F55E">
            <w:pPr>
              <w:jc w:val="center"/>
              <w:textAlignment w:val="center"/>
              <w:rPr>
                <w:rFonts w:hint="eastAsia" w:ascii="仿宋" w:hAnsi="仿宋" w:eastAsia="仿宋" w:cs="仿宋"/>
              </w:rPr>
            </w:pPr>
            <w:r>
              <w:rPr>
                <w:rFonts w:hint="eastAsia" w:ascii="仿宋" w:hAnsi="仿宋" w:eastAsia="仿宋" w:cs="仿宋"/>
                <w:lang w:eastAsia="zh-CN" w:bidi="ar"/>
              </w:rPr>
              <w:t>产出时效</w:t>
            </w:r>
            <w:r>
              <w:rPr>
                <w:rFonts w:hint="eastAsia" w:ascii="仿宋" w:hAnsi="仿宋" w:eastAsia="仿宋" w:cs="仿宋"/>
                <w:lang w:eastAsia="zh-CN" w:bidi="ar"/>
              </w:rPr>
              <w:br w:type="textWrapping"/>
            </w:r>
            <w:r>
              <w:rPr>
                <w:rFonts w:hint="eastAsia" w:ascii="仿宋" w:hAnsi="仿宋" w:eastAsia="仿宋" w:cs="仿宋"/>
                <w:lang w:eastAsia="zh-CN" w:bidi="ar"/>
              </w:rPr>
              <w:t>（3分）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3EAEF376">
            <w:pPr>
              <w:jc w:val="center"/>
              <w:textAlignment w:val="center"/>
              <w:rPr>
                <w:rFonts w:hint="eastAsia" w:ascii="仿宋" w:hAnsi="仿宋" w:eastAsia="仿宋" w:cs="仿宋"/>
              </w:rPr>
            </w:pPr>
            <w:r>
              <w:rPr>
                <w:rFonts w:hint="eastAsia" w:ascii="仿宋" w:hAnsi="仿宋" w:eastAsia="仿宋" w:cs="仿宋"/>
                <w:lang w:eastAsia="zh-CN" w:bidi="ar"/>
              </w:rPr>
              <w:t>专项资金支付及时率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58BEC750">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在一年的考核周期内，专项资金的支付及时率。支付及时率 =（实际及时支付的资金总额÷应支付的资金总额）× 100%</w:t>
            </w:r>
            <w:r>
              <w:rPr>
                <w:rFonts w:hint="eastAsia" w:ascii="仿宋" w:hAnsi="仿宋" w:eastAsia="仿宋" w:cs="仿宋"/>
                <w:lang w:eastAsia="zh-CN" w:bidi="ar"/>
              </w:rPr>
              <w:br w:type="textWrapping"/>
            </w:r>
            <w:r>
              <w:rPr>
                <w:rFonts w:hint="eastAsia" w:ascii="仿宋" w:hAnsi="仿宋" w:eastAsia="仿宋" w:cs="仿宋"/>
                <w:lang w:eastAsia="zh-CN" w:bidi="ar"/>
              </w:rPr>
              <w:t>其中，实际及时支付的资金总额指在规定时间内完成支付的资金数额；应支付的资金总额指根据项目合同和进度安排，在该考核周期内需要支付的资金总额。</w:t>
            </w:r>
            <w:r>
              <w:rPr>
                <w:rFonts w:hint="eastAsia" w:ascii="仿宋" w:hAnsi="仿宋" w:eastAsia="仿宋" w:cs="仿宋"/>
                <w:lang w:eastAsia="zh-CN" w:bidi="ar"/>
              </w:rPr>
              <w:br w:type="textWrapping"/>
            </w:r>
            <w:r>
              <w:rPr>
                <w:rFonts w:hint="eastAsia" w:ascii="仿宋" w:hAnsi="仿宋" w:eastAsia="仿宋" w:cs="仿宋"/>
                <w:lang w:eastAsia="zh-CN" w:bidi="ar"/>
              </w:rPr>
              <w:t>支付及时率100%（3分）；</w:t>
            </w:r>
            <w:r>
              <w:rPr>
                <w:rFonts w:hint="eastAsia" w:ascii="仿宋" w:hAnsi="仿宋" w:eastAsia="仿宋" w:cs="仿宋"/>
                <w:lang w:eastAsia="zh-CN" w:bidi="ar"/>
              </w:rPr>
              <w:br w:type="textWrapping"/>
            </w:r>
            <w:r>
              <w:rPr>
                <w:rFonts w:hint="eastAsia" w:ascii="仿宋" w:hAnsi="仿宋" w:eastAsia="仿宋" w:cs="仿宋"/>
                <w:lang w:eastAsia="zh-CN" w:bidi="ar"/>
              </w:rPr>
              <w:t>90%≤支付及时率&lt;100%（2分）；</w:t>
            </w:r>
            <w:r>
              <w:rPr>
                <w:rFonts w:hint="eastAsia" w:ascii="仿宋" w:hAnsi="仿宋" w:eastAsia="仿宋" w:cs="仿宋"/>
                <w:lang w:eastAsia="zh-CN" w:bidi="ar"/>
              </w:rPr>
              <w:br w:type="textWrapping"/>
            </w:r>
            <w:r>
              <w:rPr>
                <w:rFonts w:hint="eastAsia" w:ascii="仿宋" w:hAnsi="仿宋" w:eastAsia="仿宋" w:cs="仿宋"/>
                <w:lang w:eastAsia="zh-CN" w:bidi="ar"/>
              </w:rPr>
              <w:t>80%≤支付及时率&lt;90%（1分）；</w:t>
            </w:r>
            <w:r>
              <w:rPr>
                <w:rFonts w:hint="eastAsia" w:ascii="仿宋" w:hAnsi="仿宋" w:eastAsia="仿宋" w:cs="仿宋"/>
                <w:lang w:eastAsia="zh-CN" w:bidi="ar"/>
              </w:rPr>
              <w:br w:type="textWrapping"/>
            </w:r>
            <w:r>
              <w:rPr>
                <w:rFonts w:hint="eastAsia" w:ascii="仿宋" w:hAnsi="仿宋" w:eastAsia="仿宋" w:cs="仿宋"/>
                <w:lang w:eastAsia="zh-CN" w:bidi="ar"/>
              </w:rPr>
              <w:t>支付及时率&lt;70%（0分）。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9F132E9">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359493E7">
        <w:tblPrEx>
          <w:tblCellMar>
            <w:top w:w="0" w:type="dxa"/>
            <w:left w:w="108" w:type="dxa"/>
            <w:bottom w:w="0" w:type="dxa"/>
            <w:right w:w="108" w:type="dxa"/>
          </w:tblCellMar>
        </w:tblPrEx>
        <w:trPr>
          <w:trHeight w:val="1620" w:hRule="atLeast"/>
        </w:trPr>
        <w:tc>
          <w:tcPr>
            <w:tcW w:w="1233" w:type="dxa"/>
            <w:vMerge w:val="continue"/>
            <w:tcBorders>
              <w:top w:val="single" w:color="000000" w:sz="4" w:space="0"/>
              <w:left w:val="single" w:color="000000" w:sz="4" w:space="0"/>
              <w:bottom w:val="single" w:color="000000" w:sz="4" w:space="0"/>
              <w:right w:val="single" w:color="000000" w:sz="4" w:space="0"/>
            </w:tcBorders>
            <w:noWrap/>
            <w:vAlign w:val="center"/>
          </w:tcPr>
          <w:p w14:paraId="60F89B6C">
            <w:pPr>
              <w:jc w:val="center"/>
              <w:rPr>
                <w:rFonts w:hint="eastAsia" w:ascii="仿宋" w:hAnsi="仿宋" w:eastAsia="仿宋" w:cs="仿宋"/>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C6F7B24">
            <w:pPr>
              <w:jc w:val="center"/>
              <w:textAlignment w:val="center"/>
              <w:rPr>
                <w:rFonts w:hint="eastAsia" w:ascii="仿宋" w:hAnsi="仿宋" w:eastAsia="仿宋" w:cs="仿宋"/>
              </w:rPr>
            </w:pPr>
            <w:r>
              <w:rPr>
                <w:rFonts w:hint="eastAsia" w:ascii="仿宋" w:hAnsi="仿宋" w:eastAsia="仿宋" w:cs="仿宋"/>
                <w:lang w:eastAsia="zh-CN" w:bidi="ar"/>
              </w:rPr>
              <w:t>产出成本</w:t>
            </w:r>
            <w:r>
              <w:rPr>
                <w:rFonts w:hint="eastAsia" w:ascii="仿宋" w:hAnsi="仿宋" w:eastAsia="仿宋" w:cs="仿宋"/>
                <w:lang w:eastAsia="zh-CN" w:bidi="ar"/>
              </w:rPr>
              <w:br w:type="textWrapping"/>
            </w:r>
            <w:r>
              <w:rPr>
                <w:rFonts w:hint="eastAsia" w:ascii="仿宋" w:hAnsi="仿宋" w:eastAsia="仿宋" w:cs="仿宋"/>
                <w:lang w:eastAsia="zh-CN" w:bidi="ar"/>
              </w:rPr>
              <w:t>（3分）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1BD3E60D">
            <w:pPr>
              <w:jc w:val="center"/>
              <w:textAlignment w:val="center"/>
              <w:rPr>
                <w:rFonts w:hint="eastAsia" w:ascii="仿宋" w:hAnsi="仿宋" w:eastAsia="仿宋" w:cs="仿宋"/>
              </w:rPr>
            </w:pPr>
            <w:r>
              <w:rPr>
                <w:rFonts w:hint="eastAsia" w:ascii="仿宋" w:hAnsi="仿宋" w:eastAsia="仿宋" w:cs="仿宋"/>
                <w:lang w:eastAsia="zh-CN" w:bidi="ar"/>
              </w:rPr>
              <w:t>成本控制率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2B2D4FA0">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成本控制率=截至年末累计支出数/概算或当年度预算×100%。</w:t>
            </w:r>
            <w:r>
              <w:rPr>
                <w:rFonts w:hint="eastAsia" w:ascii="仿宋" w:hAnsi="仿宋" w:eastAsia="仿宋" w:cs="仿宋"/>
                <w:lang w:eastAsia="zh-CN" w:bidi="ar"/>
              </w:rPr>
              <w:br w:type="textWrapping"/>
            </w:r>
            <w:r>
              <w:rPr>
                <w:rFonts w:hint="eastAsia" w:ascii="仿宋" w:hAnsi="仿宋" w:eastAsia="仿宋" w:cs="仿宋"/>
                <w:lang w:eastAsia="zh-CN" w:bidi="ar"/>
              </w:rPr>
              <w:t>成本控制率≦100得满分，每超10%扣1分，扣完为止。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04546ADF">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61120A5F">
        <w:tblPrEx>
          <w:tblCellMar>
            <w:top w:w="0" w:type="dxa"/>
            <w:left w:w="108" w:type="dxa"/>
            <w:bottom w:w="0" w:type="dxa"/>
            <w:right w:w="108" w:type="dxa"/>
          </w:tblCellMar>
        </w:tblPrEx>
        <w:trPr>
          <w:trHeight w:val="3213" w:hRule="atLeast"/>
        </w:trPr>
        <w:tc>
          <w:tcPr>
            <w:tcW w:w="1233" w:type="dxa"/>
            <w:vMerge w:val="restart"/>
            <w:tcBorders>
              <w:top w:val="single" w:color="000000" w:sz="4" w:space="0"/>
              <w:left w:val="single" w:color="000000" w:sz="4" w:space="0"/>
              <w:bottom w:val="single" w:color="000000" w:sz="4" w:space="0"/>
              <w:right w:val="single" w:color="000000" w:sz="4" w:space="0"/>
            </w:tcBorders>
            <w:vAlign w:val="center"/>
          </w:tcPr>
          <w:p w14:paraId="1FFAC2D0">
            <w:pPr>
              <w:jc w:val="center"/>
              <w:textAlignment w:val="center"/>
              <w:rPr>
                <w:rFonts w:hint="eastAsia" w:ascii="仿宋" w:hAnsi="仿宋" w:eastAsia="仿宋" w:cs="仿宋"/>
              </w:rPr>
            </w:pPr>
            <w:r>
              <w:rPr>
                <w:rFonts w:hint="eastAsia" w:ascii="仿宋" w:hAnsi="仿宋" w:eastAsia="仿宋" w:cs="仿宋"/>
                <w:lang w:eastAsia="zh-CN" w:bidi="ar"/>
              </w:rPr>
              <w:t>效益</w:t>
            </w:r>
            <w:r>
              <w:rPr>
                <w:rFonts w:hint="eastAsia" w:ascii="仿宋" w:hAnsi="仿宋" w:eastAsia="仿宋" w:cs="仿宋"/>
                <w:lang w:eastAsia="zh-CN" w:bidi="ar"/>
              </w:rPr>
              <w:br w:type="textWrapping"/>
            </w:r>
            <w:r>
              <w:rPr>
                <w:rFonts w:hint="eastAsia" w:ascii="仿宋" w:hAnsi="仿宋" w:eastAsia="仿宋" w:cs="仿宋"/>
                <w:lang w:eastAsia="zh-CN" w:bidi="ar"/>
              </w:rPr>
              <w:t>（24分）</w:t>
            </w:r>
          </w:p>
        </w:tc>
        <w:tc>
          <w:tcPr>
            <w:tcW w:w="1200" w:type="dxa"/>
            <w:vMerge w:val="restart"/>
            <w:tcBorders>
              <w:top w:val="single" w:color="000000" w:sz="4" w:space="0"/>
              <w:left w:val="single" w:color="000000" w:sz="4" w:space="0"/>
              <w:bottom w:val="nil"/>
              <w:right w:val="single" w:color="000000" w:sz="4" w:space="0"/>
            </w:tcBorders>
            <w:vAlign w:val="center"/>
          </w:tcPr>
          <w:p w14:paraId="72105A62">
            <w:pPr>
              <w:jc w:val="center"/>
              <w:textAlignment w:val="center"/>
              <w:rPr>
                <w:rFonts w:hint="eastAsia" w:ascii="仿宋" w:hAnsi="仿宋" w:eastAsia="仿宋" w:cs="仿宋"/>
              </w:rPr>
            </w:pPr>
            <w:r>
              <w:rPr>
                <w:rFonts w:hint="eastAsia" w:ascii="仿宋" w:hAnsi="仿宋" w:eastAsia="仿宋" w:cs="仿宋"/>
                <w:lang w:eastAsia="zh-CN" w:bidi="ar"/>
              </w:rPr>
              <w:t>社会效益</w:t>
            </w:r>
            <w:r>
              <w:rPr>
                <w:rFonts w:hint="eastAsia" w:ascii="仿宋" w:hAnsi="仿宋" w:eastAsia="仿宋" w:cs="仿宋"/>
                <w:lang w:eastAsia="zh-CN" w:bidi="ar"/>
              </w:rPr>
              <w:br w:type="textWrapping"/>
            </w:r>
            <w:r>
              <w:rPr>
                <w:rFonts w:hint="eastAsia" w:ascii="仿宋" w:hAnsi="仿宋" w:eastAsia="仿宋" w:cs="仿宋"/>
                <w:lang w:eastAsia="zh-CN" w:bidi="ar"/>
              </w:rPr>
              <w:t>（12分）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786863F9">
            <w:pPr>
              <w:jc w:val="center"/>
              <w:textAlignment w:val="center"/>
              <w:rPr>
                <w:rFonts w:hint="eastAsia" w:ascii="仿宋" w:hAnsi="仿宋" w:eastAsia="仿宋" w:cs="仿宋"/>
              </w:rPr>
            </w:pPr>
            <w:r>
              <w:rPr>
                <w:rFonts w:hint="eastAsia" w:ascii="仿宋" w:hAnsi="仿宋" w:eastAsia="仿宋" w:cs="仿宋"/>
                <w:lang w:eastAsia="zh-CN" w:bidi="ar"/>
              </w:rPr>
              <w:t>双拥标识标语建设</w:t>
            </w:r>
          </w:p>
        </w:tc>
        <w:tc>
          <w:tcPr>
            <w:tcW w:w="3967" w:type="dxa"/>
            <w:tcBorders>
              <w:top w:val="single" w:color="000000" w:sz="4" w:space="0"/>
              <w:left w:val="single" w:color="000000" w:sz="4" w:space="0"/>
              <w:bottom w:val="single" w:color="000000" w:sz="4" w:space="0"/>
              <w:right w:val="single" w:color="000000" w:sz="4" w:space="0"/>
            </w:tcBorders>
            <w:vAlign w:val="center"/>
          </w:tcPr>
          <w:p w14:paraId="57D049C2">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①永久性双拥标识：是否在城市主干道、公园、广场等显著区域设置永久性双拥标识，且设计规范、维护良好。</w:t>
            </w:r>
            <w:r>
              <w:rPr>
                <w:rFonts w:hint="eastAsia" w:ascii="仿宋" w:hAnsi="仿宋" w:eastAsia="仿宋" w:cs="仿宋"/>
                <w:lang w:eastAsia="zh-CN" w:bidi="ar"/>
              </w:rPr>
              <w:br w:type="textWrapping"/>
            </w:r>
            <w:r>
              <w:rPr>
                <w:rFonts w:hint="eastAsia" w:ascii="仿宋" w:hAnsi="仿宋" w:eastAsia="仿宋" w:cs="仿宋"/>
                <w:lang w:eastAsia="zh-CN" w:bidi="ar"/>
              </w:rPr>
              <w:t>②临时标语更换频率：临时标语是否按季度或重大节点及时更新；</w:t>
            </w:r>
            <w:r>
              <w:rPr>
                <w:rFonts w:hint="eastAsia" w:ascii="仿宋" w:hAnsi="仿宋" w:eastAsia="仿宋" w:cs="仿宋"/>
                <w:lang w:eastAsia="zh-CN" w:bidi="ar"/>
              </w:rPr>
              <w:br w:type="textWrapping"/>
            </w:r>
            <w:r>
              <w:rPr>
                <w:rFonts w:hint="eastAsia" w:ascii="仿宋" w:hAnsi="仿宋" w:eastAsia="仿宋" w:cs="仿宋"/>
                <w:lang w:eastAsia="zh-CN" w:bidi="ar"/>
              </w:rPr>
              <w:t>③内容时效性：标语内容是否与最新政策、活动相符，无过时或错误信息。</w:t>
            </w:r>
            <w:r>
              <w:rPr>
                <w:rFonts w:hint="eastAsia" w:ascii="仿宋" w:hAnsi="仿宋" w:eastAsia="仿宋" w:cs="仿宋"/>
                <w:lang w:eastAsia="zh-CN" w:bidi="ar"/>
              </w:rPr>
              <w:br w:type="textWrapping"/>
            </w:r>
            <w:r>
              <w:rPr>
                <w:rFonts w:hint="eastAsia" w:ascii="仿宋" w:hAnsi="仿宋" w:eastAsia="仿宋" w:cs="仿宋"/>
                <w:lang w:eastAsia="zh-CN" w:bidi="ar"/>
              </w:rPr>
              <w:t>每项达标得1分，未达标按问题严重程度扣0.2～0.5分，总分3分，扣完为止</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6CAA6C85">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52777C22">
        <w:tblPrEx>
          <w:tblCellMar>
            <w:top w:w="0" w:type="dxa"/>
            <w:left w:w="108" w:type="dxa"/>
            <w:bottom w:w="0" w:type="dxa"/>
            <w:right w:w="108" w:type="dxa"/>
          </w:tblCellMar>
        </w:tblPrEx>
        <w:trPr>
          <w:trHeight w:val="4960" w:hRule="atLeast"/>
        </w:trPr>
        <w:tc>
          <w:tcPr>
            <w:tcW w:w="1233" w:type="dxa"/>
            <w:vMerge w:val="continue"/>
            <w:tcBorders>
              <w:top w:val="single" w:color="000000" w:sz="4" w:space="0"/>
              <w:left w:val="single" w:color="000000" w:sz="4" w:space="0"/>
              <w:bottom w:val="single" w:color="000000" w:sz="4" w:space="0"/>
              <w:right w:val="single" w:color="000000" w:sz="4" w:space="0"/>
            </w:tcBorders>
            <w:vAlign w:val="center"/>
          </w:tcPr>
          <w:p w14:paraId="0C24D99F">
            <w:pPr>
              <w:jc w:val="center"/>
              <w:rPr>
                <w:rFonts w:hint="eastAsia" w:ascii="仿宋" w:hAnsi="仿宋" w:eastAsia="仿宋" w:cs="仿宋"/>
              </w:rPr>
            </w:pPr>
          </w:p>
        </w:tc>
        <w:tc>
          <w:tcPr>
            <w:tcW w:w="1200" w:type="dxa"/>
            <w:vMerge w:val="continue"/>
            <w:tcBorders>
              <w:top w:val="single" w:color="000000" w:sz="4" w:space="0"/>
              <w:left w:val="single" w:color="000000" w:sz="4" w:space="0"/>
              <w:bottom w:val="nil"/>
              <w:right w:val="single" w:color="000000" w:sz="4" w:space="0"/>
            </w:tcBorders>
            <w:vAlign w:val="center"/>
          </w:tcPr>
          <w:p w14:paraId="7CBD6CF1">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noWrap/>
            <w:vAlign w:val="center"/>
          </w:tcPr>
          <w:p w14:paraId="0A0964FF">
            <w:pPr>
              <w:jc w:val="center"/>
              <w:textAlignment w:val="center"/>
              <w:rPr>
                <w:rFonts w:hint="eastAsia" w:ascii="仿宋" w:hAnsi="仿宋" w:eastAsia="仿宋" w:cs="仿宋"/>
                <w:lang w:eastAsia="zh-CN"/>
              </w:rPr>
            </w:pPr>
            <w:r>
              <w:rPr>
                <w:rFonts w:hint="eastAsia" w:ascii="仿宋" w:hAnsi="仿宋" w:eastAsia="仿宋" w:cs="仿宋"/>
                <w:lang w:eastAsia="zh-CN" w:bidi="ar"/>
              </w:rPr>
              <w:t>对优抚对象生活改善效果</w:t>
            </w:r>
          </w:p>
        </w:tc>
        <w:tc>
          <w:tcPr>
            <w:tcW w:w="3967" w:type="dxa"/>
            <w:tcBorders>
              <w:top w:val="single" w:color="000000" w:sz="4" w:space="0"/>
              <w:left w:val="single" w:color="000000" w:sz="4" w:space="0"/>
              <w:bottom w:val="single" w:color="000000" w:sz="4" w:space="0"/>
              <w:right w:val="single" w:color="000000" w:sz="4" w:space="0"/>
            </w:tcBorders>
            <w:vAlign w:val="center"/>
          </w:tcPr>
          <w:p w14:paraId="25743F77">
            <w:pPr>
              <w:textAlignment w:val="center"/>
              <w:rPr>
                <w:rFonts w:hint="eastAsia" w:ascii="仿宋" w:hAnsi="仿宋" w:eastAsia="仿宋" w:cs="仿宋"/>
                <w:lang w:eastAsia="zh-CN" w:bidi="ar"/>
              </w:rPr>
            </w:pPr>
            <w:r>
              <w:rPr>
                <w:rFonts w:hint="eastAsia" w:ascii="仿宋" w:hAnsi="仿宋" w:eastAsia="仿宋" w:cs="仿宋"/>
                <w:lang w:eastAsia="zh-CN" w:bidi="ar"/>
              </w:rPr>
              <w:t>评价要点：评估补助资金的发放对优抚对象生活质量的提升程度。</w:t>
            </w:r>
          </w:p>
          <w:p w14:paraId="77B36DE0">
            <w:pPr>
              <w:textAlignment w:val="center"/>
              <w:rPr>
                <w:rFonts w:hint="eastAsia" w:ascii="仿宋" w:hAnsi="仿宋" w:eastAsia="仿宋" w:cs="仿宋"/>
                <w:lang w:eastAsia="zh-CN" w:bidi="ar"/>
              </w:rPr>
            </w:pPr>
            <w:r>
              <w:rPr>
                <w:rFonts w:hint="eastAsia" w:ascii="仿宋" w:hAnsi="仿宋" w:eastAsia="仿宋" w:cs="仿宋"/>
                <w:lang w:eastAsia="zh-CN" w:bidi="ar"/>
              </w:rPr>
              <w:t>①补助资金的发放显著改善了优抚对象的生活状况。能够满足他们的基本生活需求，如食品、住房、医疗等方面的支出得到保障；在精神生活上，优抚对象的心理状态更加积极乐观，参与社会活动的积极性明显提高，得3分</w:t>
            </w:r>
          </w:p>
          <w:p w14:paraId="398B2CAD">
            <w:pPr>
              <w:textAlignment w:val="center"/>
              <w:rPr>
                <w:rFonts w:hint="eastAsia" w:ascii="仿宋" w:hAnsi="仿宋" w:eastAsia="仿宋" w:cs="仿宋"/>
                <w:lang w:eastAsia="zh-CN" w:bidi="ar"/>
              </w:rPr>
            </w:pPr>
            <w:r>
              <w:rPr>
                <w:rFonts w:hint="eastAsia" w:ascii="仿宋" w:hAnsi="仿宋" w:eastAsia="仿宋" w:cs="仿宋"/>
                <w:lang w:eastAsia="zh-CN" w:bidi="ar"/>
              </w:rPr>
              <w:t>②补助资金对优抚对象的生活有一定的改善作用。基本能够满足他们的部分生活需求，但仍存在一定困难。得2分。</w:t>
            </w:r>
          </w:p>
          <w:p w14:paraId="2B3DBDE5">
            <w:pPr>
              <w:textAlignment w:val="center"/>
              <w:rPr>
                <w:rFonts w:hint="eastAsia" w:ascii="仿宋" w:hAnsi="仿宋" w:eastAsia="仿宋" w:cs="仿宋"/>
                <w:lang w:eastAsia="zh-CN" w:bidi="ar"/>
              </w:rPr>
            </w:pPr>
            <w:r>
              <w:rPr>
                <w:rFonts w:hint="eastAsia" w:ascii="仿宋" w:hAnsi="仿宋" w:eastAsia="仿宋" w:cs="仿宋"/>
                <w:lang w:eastAsia="zh-CN" w:bidi="ar"/>
              </w:rPr>
              <w:t>③补助资金的发放对优抚对象生活的改善效果不明显。只能勉强维持他们的基本生存，无法满足一些必要的生活需求，得1分。</w:t>
            </w:r>
          </w:p>
          <w:p w14:paraId="7AAAB3E2">
            <w:pPr>
              <w:textAlignment w:val="center"/>
              <w:rPr>
                <w:rFonts w:hint="eastAsia" w:ascii="仿宋" w:hAnsi="仿宋" w:eastAsia="仿宋" w:cs="仿宋"/>
                <w:lang w:eastAsia="zh-CN"/>
              </w:rPr>
            </w:pPr>
            <w:r>
              <w:rPr>
                <w:rFonts w:hint="eastAsia" w:ascii="仿宋" w:hAnsi="仿宋" w:eastAsia="仿宋" w:cs="仿宋"/>
                <w:lang w:eastAsia="zh-CN" w:bidi="ar"/>
              </w:rPr>
              <w:t>④补助资金的发放对优抚对象的生活几乎没有起到改善作用，得0分。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01C3E010">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7F72CCB2">
        <w:tblPrEx>
          <w:tblCellMar>
            <w:top w:w="0" w:type="dxa"/>
            <w:left w:w="108" w:type="dxa"/>
            <w:bottom w:w="0" w:type="dxa"/>
            <w:right w:w="108" w:type="dxa"/>
          </w:tblCellMar>
        </w:tblPrEx>
        <w:trPr>
          <w:trHeight w:val="4347" w:hRule="atLeast"/>
        </w:trPr>
        <w:tc>
          <w:tcPr>
            <w:tcW w:w="1233" w:type="dxa"/>
            <w:vMerge w:val="continue"/>
            <w:tcBorders>
              <w:top w:val="single" w:color="000000" w:sz="4" w:space="0"/>
              <w:left w:val="single" w:color="000000" w:sz="4" w:space="0"/>
              <w:bottom w:val="single" w:color="000000" w:sz="4" w:space="0"/>
              <w:right w:val="single" w:color="000000" w:sz="4" w:space="0"/>
            </w:tcBorders>
            <w:vAlign w:val="center"/>
          </w:tcPr>
          <w:p w14:paraId="4CE218A4">
            <w:pPr>
              <w:jc w:val="center"/>
              <w:rPr>
                <w:rFonts w:hint="eastAsia" w:ascii="仿宋" w:hAnsi="仿宋" w:eastAsia="仿宋" w:cs="仿宋"/>
              </w:rPr>
            </w:pPr>
          </w:p>
        </w:tc>
        <w:tc>
          <w:tcPr>
            <w:tcW w:w="1200" w:type="dxa"/>
            <w:vMerge w:val="continue"/>
            <w:tcBorders>
              <w:top w:val="single" w:color="000000" w:sz="4" w:space="0"/>
              <w:left w:val="single" w:color="000000" w:sz="4" w:space="0"/>
              <w:bottom w:val="nil"/>
              <w:right w:val="single" w:color="000000" w:sz="4" w:space="0"/>
            </w:tcBorders>
            <w:vAlign w:val="center"/>
          </w:tcPr>
          <w:p w14:paraId="18D838D4">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3A08CA0C">
            <w:pPr>
              <w:jc w:val="center"/>
              <w:textAlignment w:val="center"/>
              <w:rPr>
                <w:rFonts w:hint="eastAsia" w:ascii="仿宋" w:hAnsi="仿宋" w:eastAsia="仿宋" w:cs="仿宋"/>
                <w:lang w:eastAsia="zh-CN"/>
              </w:rPr>
            </w:pPr>
            <w:r>
              <w:rPr>
                <w:rFonts w:hint="eastAsia" w:ascii="仿宋" w:hAnsi="仿宋" w:eastAsia="仿宋" w:cs="仿宋"/>
                <w:lang w:eastAsia="zh-CN" w:bidi="ar"/>
              </w:rPr>
              <w:t>困难退役士兵总体稳定覆盖率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7E3C0E90">
            <w:pPr>
              <w:textAlignment w:val="center"/>
              <w:rPr>
                <w:rFonts w:hint="eastAsia" w:ascii="仿宋" w:hAnsi="仿宋" w:eastAsia="仿宋" w:cs="仿宋"/>
                <w:lang w:eastAsia="zh-CN"/>
              </w:rPr>
            </w:pPr>
            <w:r>
              <w:rPr>
                <w:rFonts w:hint="eastAsia" w:ascii="仿宋" w:hAnsi="仿宋" w:eastAsia="仿宋" w:cs="仿宋"/>
                <w:lang w:eastAsia="zh-CN" w:bidi="ar"/>
              </w:rPr>
              <w:t>评价要点：通过政策帮扶、就业支持等综合措施，确保辖区内困难退役士兵群体中保持生活、心理和社会关系总体稳定的人员占比，反映帮扶措施对群体稳定性的实际覆盖效果。</w:t>
            </w:r>
            <w:r>
              <w:rPr>
                <w:rFonts w:hint="eastAsia" w:ascii="仿宋" w:hAnsi="仿宋" w:eastAsia="仿宋" w:cs="仿宋"/>
                <w:lang w:eastAsia="zh-CN" w:bidi="ar"/>
              </w:rPr>
              <w:br w:type="textWrapping"/>
            </w:r>
            <w:r>
              <w:rPr>
                <w:rFonts w:hint="eastAsia" w:ascii="仿宋" w:hAnsi="仿宋" w:eastAsia="仿宋" w:cs="仿宋"/>
                <w:lang w:eastAsia="zh-CN" w:bidi="ar"/>
              </w:rPr>
              <w:t>计算公式：稳定覆盖率 =（当年稳定状态困难退役士兵人数 / 登记在册困难退役士兵总人数）×100%</w:t>
            </w:r>
            <w:r>
              <w:rPr>
                <w:rFonts w:hint="eastAsia" w:ascii="仿宋" w:hAnsi="仿宋" w:eastAsia="仿宋" w:cs="仿宋"/>
                <w:lang w:eastAsia="zh-CN" w:bidi="ar"/>
              </w:rPr>
              <w:br w:type="textWrapping"/>
            </w:r>
            <w:r>
              <w:rPr>
                <w:rFonts w:hint="eastAsia" w:ascii="仿宋" w:hAnsi="仿宋" w:eastAsia="仿宋" w:cs="仿宋"/>
                <w:lang w:eastAsia="zh-CN" w:bidi="ar"/>
              </w:rPr>
              <w:t>①稳定覆盖率 ≥95%，且无重大群体性不稳定事件（得3分）；</w:t>
            </w:r>
            <w:r>
              <w:rPr>
                <w:rFonts w:hint="eastAsia" w:ascii="仿宋" w:hAnsi="仿宋" w:eastAsia="仿宋" w:cs="仿宋"/>
                <w:lang w:eastAsia="zh-CN" w:bidi="ar"/>
              </w:rPr>
              <w:br w:type="textWrapping"/>
            </w:r>
            <w:r>
              <w:rPr>
                <w:rFonts w:hint="eastAsia" w:ascii="仿宋" w:hAnsi="仿宋" w:eastAsia="仿宋" w:cs="仿宋"/>
                <w:lang w:eastAsia="zh-CN" w:bidi="ar"/>
              </w:rPr>
              <w:t>②稳定覆盖率 85%～94%，或发生1起一般性不稳定事件但及时化解（得2分）；</w:t>
            </w:r>
            <w:r>
              <w:rPr>
                <w:rFonts w:hint="eastAsia" w:ascii="仿宋" w:hAnsi="仿宋" w:eastAsia="仿宋" w:cs="仿宋"/>
                <w:lang w:eastAsia="zh-CN" w:bidi="ar"/>
              </w:rPr>
              <w:br w:type="textWrapping"/>
            </w:r>
            <w:r>
              <w:rPr>
                <w:rFonts w:hint="eastAsia" w:ascii="仿宋" w:hAnsi="仿宋" w:eastAsia="仿宋" w:cs="仿宋"/>
                <w:lang w:eastAsia="zh-CN" w:bidi="ar"/>
              </w:rPr>
              <w:t>③稳定覆盖率 70%～84%，或发生2起一般性不稳定事件（得1分）；</w:t>
            </w:r>
            <w:r>
              <w:rPr>
                <w:rFonts w:hint="eastAsia" w:ascii="仿宋" w:hAnsi="仿宋" w:eastAsia="仿宋" w:cs="仿宋"/>
                <w:lang w:eastAsia="zh-CN" w:bidi="ar"/>
              </w:rPr>
              <w:br w:type="textWrapping"/>
            </w:r>
            <w:r>
              <w:rPr>
                <w:rFonts w:hint="eastAsia" w:ascii="仿宋" w:hAnsi="仿宋" w:eastAsia="仿宋" w:cs="仿宋"/>
                <w:lang w:eastAsia="zh-CN" w:bidi="ar"/>
              </w:rPr>
              <w:t>④稳定覆盖率 &lt;70%，或发生重大群体性不稳定事件（得0分）。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6107B334">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21ED007C">
        <w:tblPrEx>
          <w:tblCellMar>
            <w:top w:w="0" w:type="dxa"/>
            <w:left w:w="108" w:type="dxa"/>
            <w:bottom w:w="0" w:type="dxa"/>
            <w:right w:w="108" w:type="dxa"/>
          </w:tblCellMar>
        </w:tblPrEx>
        <w:trPr>
          <w:trHeight w:val="90" w:hRule="atLeast"/>
        </w:trPr>
        <w:tc>
          <w:tcPr>
            <w:tcW w:w="1233" w:type="dxa"/>
            <w:vMerge w:val="continue"/>
            <w:tcBorders>
              <w:top w:val="single" w:color="000000" w:sz="4" w:space="0"/>
              <w:left w:val="single" w:color="000000" w:sz="4" w:space="0"/>
              <w:bottom w:val="single" w:color="000000" w:sz="4" w:space="0"/>
              <w:right w:val="single" w:color="000000" w:sz="4" w:space="0"/>
            </w:tcBorders>
            <w:vAlign w:val="center"/>
          </w:tcPr>
          <w:p w14:paraId="7223BDB3">
            <w:pPr>
              <w:jc w:val="center"/>
              <w:rPr>
                <w:rFonts w:hint="eastAsia" w:ascii="仿宋" w:hAnsi="仿宋" w:eastAsia="仿宋" w:cs="仿宋"/>
              </w:rPr>
            </w:pPr>
          </w:p>
        </w:tc>
        <w:tc>
          <w:tcPr>
            <w:tcW w:w="1200" w:type="dxa"/>
            <w:vMerge w:val="continue"/>
            <w:tcBorders>
              <w:top w:val="single" w:color="000000" w:sz="4" w:space="0"/>
              <w:left w:val="single" w:color="000000" w:sz="4" w:space="0"/>
              <w:bottom w:val="nil"/>
              <w:right w:val="single" w:color="000000" w:sz="4" w:space="0"/>
            </w:tcBorders>
            <w:vAlign w:val="center"/>
          </w:tcPr>
          <w:p w14:paraId="603171BD">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63E54749">
            <w:pPr>
              <w:jc w:val="center"/>
              <w:textAlignment w:val="center"/>
              <w:rPr>
                <w:rFonts w:hint="eastAsia" w:ascii="仿宋" w:hAnsi="仿宋" w:eastAsia="仿宋" w:cs="仿宋"/>
                <w:lang w:eastAsia="zh-CN"/>
              </w:rPr>
            </w:pPr>
            <w:r>
              <w:rPr>
                <w:rFonts w:hint="eastAsia" w:ascii="仿宋" w:hAnsi="仿宋" w:eastAsia="仿宋" w:cs="仿宋"/>
                <w:lang w:eastAsia="zh-CN" w:bidi="ar"/>
              </w:rPr>
              <w:t>军休干部待遇保障综合落实率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6DEC9D60">
            <w:pPr>
              <w:textAlignment w:val="center"/>
              <w:rPr>
                <w:rFonts w:hint="eastAsia" w:ascii="仿宋" w:hAnsi="仿宋" w:eastAsia="仿宋" w:cs="仿宋"/>
                <w:lang w:eastAsia="zh-CN"/>
              </w:rPr>
            </w:pPr>
            <w:r>
              <w:rPr>
                <w:rFonts w:hint="eastAsia" w:ascii="仿宋" w:hAnsi="仿宋" w:eastAsia="仿宋" w:cs="仿宋"/>
                <w:lang w:eastAsia="zh-CN" w:bidi="ar"/>
              </w:rPr>
              <w:t>通过全额发放生活补助、离退休费、体检费等生活待遇，以及落实政治关怀措施，衡量军休干部政治和生活待遇的全面覆盖与精准保障水平。</w:t>
            </w:r>
            <w:r>
              <w:rPr>
                <w:rFonts w:hint="eastAsia" w:ascii="仿宋" w:hAnsi="仿宋" w:eastAsia="仿宋" w:cs="仿宋"/>
                <w:lang w:eastAsia="zh-CN" w:bidi="ar"/>
              </w:rPr>
              <w:br w:type="textWrapping"/>
            </w:r>
            <w:r>
              <w:rPr>
                <w:rFonts w:hint="eastAsia" w:ascii="仿宋" w:hAnsi="仿宋" w:eastAsia="仿宋" w:cs="仿宋"/>
                <w:lang w:eastAsia="zh-CN" w:bidi="ar"/>
              </w:rPr>
              <w:t>①综合落实率 ≥95%，且无漏发、错发情况（得3分）；</w:t>
            </w:r>
            <w:r>
              <w:rPr>
                <w:rFonts w:hint="eastAsia" w:ascii="仿宋" w:hAnsi="仿宋" w:eastAsia="仿宋" w:cs="仿宋"/>
                <w:lang w:eastAsia="zh-CN" w:bidi="ar"/>
              </w:rPr>
              <w:br w:type="textWrapping"/>
            </w:r>
            <w:r>
              <w:rPr>
                <w:rFonts w:hint="eastAsia" w:ascii="仿宋" w:hAnsi="仿宋" w:eastAsia="仿宋" w:cs="仿宋"/>
                <w:lang w:eastAsia="zh-CN" w:bidi="ar"/>
              </w:rPr>
              <w:t>②综合落实率 85%～94%，或存在个别漏发但及时补发（得2分）；</w:t>
            </w:r>
            <w:r>
              <w:rPr>
                <w:rFonts w:hint="eastAsia" w:ascii="仿宋" w:hAnsi="仿宋" w:eastAsia="仿宋" w:cs="仿宋"/>
                <w:lang w:eastAsia="zh-CN" w:bidi="ar"/>
              </w:rPr>
              <w:br w:type="textWrapping"/>
            </w:r>
            <w:r>
              <w:rPr>
                <w:rFonts w:hint="eastAsia" w:ascii="仿宋" w:hAnsi="仿宋" w:eastAsia="仿宋" w:cs="仿宋"/>
                <w:lang w:eastAsia="zh-CN" w:bidi="ar"/>
              </w:rPr>
              <w:t>③综合落实率 70%～84%，或存在多项漏发（得1分）；</w:t>
            </w:r>
            <w:r>
              <w:rPr>
                <w:rFonts w:hint="eastAsia" w:ascii="仿宋" w:hAnsi="仿宋" w:eastAsia="仿宋" w:cs="仿宋"/>
                <w:lang w:eastAsia="zh-CN" w:bidi="ar"/>
              </w:rPr>
              <w:br w:type="textWrapping"/>
            </w:r>
            <w:r>
              <w:rPr>
                <w:rFonts w:hint="eastAsia" w:ascii="仿宋" w:hAnsi="仿宋" w:eastAsia="仿宋" w:cs="仿宋"/>
                <w:lang w:eastAsia="zh-CN" w:bidi="ar"/>
              </w:rPr>
              <w:t>④综合落实率 &lt;70%，或发生群体性投诉（得0分）。</w:t>
            </w:r>
          </w:p>
        </w:tc>
        <w:tc>
          <w:tcPr>
            <w:tcW w:w="638" w:type="dxa"/>
            <w:tcBorders>
              <w:top w:val="single" w:color="000000" w:sz="4" w:space="0"/>
              <w:left w:val="single" w:color="000000" w:sz="4" w:space="0"/>
              <w:bottom w:val="single" w:color="000000" w:sz="4" w:space="0"/>
              <w:right w:val="single" w:color="000000" w:sz="4" w:space="0"/>
            </w:tcBorders>
            <w:vAlign w:val="center"/>
          </w:tcPr>
          <w:p w14:paraId="295E4E42">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68BF1FCE">
        <w:tblPrEx>
          <w:tblCellMar>
            <w:top w:w="0" w:type="dxa"/>
            <w:left w:w="108" w:type="dxa"/>
            <w:bottom w:w="0" w:type="dxa"/>
            <w:right w:w="108" w:type="dxa"/>
          </w:tblCellMar>
        </w:tblPrEx>
        <w:trPr>
          <w:trHeight w:val="2400" w:hRule="atLeast"/>
        </w:trPr>
        <w:tc>
          <w:tcPr>
            <w:tcW w:w="1233" w:type="dxa"/>
            <w:vMerge w:val="continue"/>
            <w:tcBorders>
              <w:top w:val="single" w:color="000000" w:sz="4" w:space="0"/>
              <w:left w:val="single" w:color="000000" w:sz="4" w:space="0"/>
              <w:bottom w:val="single" w:color="000000" w:sz="4" w:space="0"/>
              <w:right w:val="single" w:color="000000" w:sz="4" w:space="0"/>
            </w:tcBorders>
            <w:vAlign w:val="center"/>
          </w:tcPr>
          <w:p w14:paraId="1C386BF7">
            <w:pPr>
              <w:jc w:val="center"/>
              <w:rPr>
                <w:rFonts w:hint="eastAsia" w:ascii="仿宋" w:hAnsi="仿宋" w:eastAsia="仿宋" w:cs="仿宋"/>
              </w:rPr>
            </w:pP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3B92B12E">
            <w:pPr>
              <w:jc w:val="center"/>
              <w:textAlignment w:val="center"/>
              <w:rPr>
                <w:rFonts w:hint="eastAsia" w:ascii="仿宋" w:hAnsi="仿宋" w:eastAsia="仿宋" w:cs="仿宋"/>
              </w:rPr>
            </w:pPr>
            <w:r>
              <w:rPr>
                <w:rFonts w:hint="eastAsia" w:ascii="仿宋" w:hAnsi="仿宋" w:eastAsia="仿宋" w:cs="仿宋"/>
                <w:lang w:eastAsia="zh-CN" w:bidi="ar"/>
              </w:rPr>
              <w:t>经济效益</w:t>
            </w:r>
            <w:r>
              <w:rPr>
                <w:rFonts w:hint="eastAsia" w:ascii="仿宋" w:hAnsi="仿宋" w:eastAsia="仿宋" w:cs="仿宋"/>
                <w:lang w:eastAsia="zh-CN" w:bidi="ar"/>
              </w:rPr>
              <w:br w:type="textWrapping"/>
            </w:r>
            <w:r>
              <w:rPr>
                <w:rFonts w:hint="eastAsia" w:ascii="仿宋" w:hAnsi="仿宋" w:eastAsia="仿宋" w:cs="仿宋"/>
                <w:lang w:eastAsia="zh-CN" w:bidi="ar"/>
              </w:rPr>
              <w:t>（6分）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05A4125F">
            <w:pPr>
              <w:jc w:val="center"/>
              <w:textAlignment w:val="center"/>
              <w:rPr>
                <w:rFonts w:hint="eastAsia" w:ascii="仿宋" w:hAnsi="仿宋" w:eastAsia="仿宋" w:cs="仿宋"/>
                <w:lang w:eastAsia="zh-CN"/>
              </w:rPr>
            </w:pPr>
            <w:r>
              <w:rPr>
                <w:rFonts w:hint="eastAsia" w:ascii="仿宋" w:hAnsi="仿宋" w:eastAsia="仿宋" w:cs="仿宋"/>
                <w:lang w:eastAsia="zh-CN" w:bidi="ar"/>
              </w:rPr>
              <w:t>保障退役军人事务员工作补贴发放</w:t>
            </w:r>
          </w:p>
        </w:tc>
        <w:tc>
          <w:tcPr>
            <w:tcW w:w="3967" w:type="dxa"/>
            <w:tcBorders>
              <w:top w:val="single" w:color="000000" w:sz="4" w:space="0"/>
              <w:left w:val="single" w:color="000000" w:sz="4" w:space="0"/>
              <w:bottom w:val="single" w:color="000000" w:sz="4" w:space="0"/>
              <w:right w:val="single" w:color="000000" w:sz="4" w:space="0"/>
            </w:tcBorders>
            <w:vAlign w:val="center"/>
          </w:tcPr>
          <w:p w14:paraId="02618621">
            <w:pPr>
              <w:textAlignment w:val="center"/>
              <w:rPr>
                <w:rFonts w:hint="eastAsia" w:ascii="仿宋" w:hAnsi="仿宋" w:eastAsia="仿宋" w:cs="仿宋"/>
                <w:lang w:eastAsia="zh-CN"/>
              </w:rPr>
            </w:pPr>
            <w:r>
              <w:rPr>
                <w:rFonts w:hint="eastAsia" w:ascii="仿宋" w:hAnsi="仿宋" w:eastAsia="仿宋" w:cs="仿宋"/>
                <w:lang w:eastAsia="zh-CN" w:bidi="ar"/>
              </w:rPr>
              <w:t>通过考核补贴发放的准确性，衡量财政资金在保障退役军人事务员薪酬待遇中的使用效率与规范程度。发放准确率 =（实际正确发放人数 / 应发放人数）×100%。</w:t>
            </w:r>
          </w:p>
        </w:tc>
        <w:tc>
          <w:tcPr>
            <w:tcW w:w="638" w:type="dxa"/>
            <w:tcBorders>
              <w:top w:val="single" w:color="000000" w:sz="4" w:space="0"/>
              <w:left w:val="single" w:color="000000" w:sz="4" w:space="0"/>
              <w:bottom w:val="single" w:color="000000" w:sz="4" w:space="0"/>
              <w:right w:val="single" w:color="000000" w:sz="4" w:space="0"/>
            </w:tcBorders>
            <w:vAlign w:val="center"/>
          </w:tcPr>
          <w:p w14:paraId="72635BA1">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63ED061A">
        <w:tblPrEx>
          <w:tblCellMar>
            <w:top w:w="0" w:type="dxa"/>
            <w:left w:w="108" w:type="dxa"/>
            <w:bottom w:w="0" w:type="dxa"/>
            <w:right w:w="108" w:type="dxa"/>
          </w:tblCellMar>
        </w:tblPrEx>
        <w:trPr>
          <w:trHeight w:val="4096" w:hRule="atLeast"/>
        </w:trPr>
        <w:tc>
          <w:tcPr>
            <w:tcW w:w="1233" w:type="dxa"/>
            <w:vMerge w:val="continue"/>
            <w:tcBorders>
              <w:top w:val="single" w:color="000000" w:sz="4" w:space="0"/>
              <w:left w:val="single" w:color="000000" w:sz="4" w:space="0"/>
              <w:bottom w:val="single" w:color="000000" w:sz="4" w:space="0"/>
              <w:right w:val="single" w:color="000000" w:sz="4" w:space="0"/>
            </w:tcBorders>
            <w:vAlign w:val="center"/>
          </w:tcPr>
          <w:p w14:paraId="07341D65">
            <w:pPr>
              <w:jc w:val="center"/>
              <w:rPr>
                <w:rFonts w:hint="eastAsia" w:ascii="仿宋" w:hAnsi="仿宋" w:eastAsia="仿宋" w:cs="仿宋"/>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5587352">
            <w:pPr>
              <w:jc w:val="center"/>
              <w:rPr>
                <w:rFonts w:hint="eastAsia" w:ascii="仿宋" w:hAnsi="仿宋" w:eastAsia="仿宋" w:cs="仿宋"/>
              </w:rPr>
            </w:pPr>
          </w:p>
        </w:tc>
        <w:tc>
          <w:tcPr>
            <w:tcW w:w="2250" w:type="dxa"/>
            <w:tcBorders>
              <w:top w:val="single" w:color="000000" w:sz="4" w:space="0"/>
              <w:left w:val="single" w:color="000000" w:sz="4" w:space="0"/>
              <w:bottom w:val="single" w:color="000000" w:sz="4" w:space="0"/>
              <w:right w:val="single" w:color="000000" w:sz="4" w:space="0"/>
            </w:tcBorders>
            <w:vAlign w:val="center"/>
          </w:tcPr>
          <w:p w14:paraId="5D4D0381">
            <w:pPr>
              <w:jc w:val="center"/>
              <w:textAlignment w:val="center"/>
              <w:rPr>
                <w:rFonts w:hint="eastAsia" w:ascii="仿宋" w:hAnsi="仿宋" w:eastAsia="仿宋" w:cs="仿宋"/>
                <w:lang w:eastAsia="zh-CN"/>
              </w:rPr>
            </w:pPr>
            <w:r>
              <w:rPr>
                <w:rFonts w:hint="eastAsia" w:ascii="仿宋" w:hAnsi="仿宋" w:eastAsia="仿宋" w:cs="仿宋"/>
                <w:lang w:eastAsia="zh-CN" w:bidi="ar"/>
              </w:rPr>
              <w:t>优抚对象医疗补助资金执行与政策保障效率</w:t>
            </w:r>
          </w:p>
        </w:tc>
        <w:tc>
          <w:tcPr>
            <w:tcW w:w="3967" w:type="dxa"/>
            <w:tcBorders>
              <w:top w:val="single" w:color="000000" w:sz="4" w:space="0"/>
              <w:left w:val="single" w:color="000000" w:sz="4" w:space="0"/>
              <w:bottom w:val="single" w:color="000000" w:sz="4" w:space="0"/>
              <w:right w:val="single" w:color="000000" w:sz="4" w:space="0"/>
            </w:tcBorders>
            <w:vAlign w:val="center"/>
          </w:tcPr>
          <w:p w14:paraId="6E8C494C">
            <w:pPr>
              <w:textAlignment w:val="center"/>
              <w:rPr>
                <w:rFonts w:hint="eastAsia" w:ascii="仿宋" w:hAnsi="仿宋" w:eastAsia="仿宋" w:cs="仿宋"/>
                <w:lang w:eastAsia="zh-CN"/>
              </w:rPr>
            </w:pPr>
            <w:r>
              <w:rPr>
                <w:rFonts w:hint="eastAsia" w:ascii="仿宋" w:hAnsi="仿宋" w:eastAsia="仿宋" w:cs="仿宋"/>
                <w:lang w:eastAsia="zh-CN" w:bidi="ar"/>
              </w:rPr>
              <w:t>通过考核医疗补助资金的预算执行率、支付及时性及配套政策出台情况，衡量财政资金在优抚对象医疗保障中的使用效率与制度保障水平。计算公式：预算执行率 =（实际支付金额 / 预算金额）×100%</w:t>
            </w:r>
            <w:r>
              <w:rPr>
                <w:rFonts w:hint="eastAsia" w:ascii="仿宋" w:hAnsi="仿宋" w:eastAsia="仿宋" w:cs="仿宋"/>
                <w:lang w:eastAsia="zh-CN" w:bidi="ar"/>
              </w:rPr>
              <w:br w:type="textWrapping"/>
            </w:r>
            <w:r>
              <w:rPr>
                <w:rFonts w:hint="eastAsia" w:ascii="仿宋" w:hAnsi="仿宋" w:eastAsia="仿宋" w:cs="仿宋"/>
                <w:lang w:eastAsia="zh-CN" w:bidi="ar"/>
              </w:rPr>
              <w:t>政策覆盖率 =（已出台报销规定重点对象人数 / 应享受医疗补助重点对象人数）×100%</w:t>
            </w:r>
            <w:r>
              <w:rPr>
                <w:rFonts w:hint="eastAsia" w:ascii="仿宋" w:hAnsi="仿宋" w:eastAsia="仿宋" w:cs="仿宋"/>
                <w:lang w:eastAsia="zh-CN" w:bidi="ar"/>
              </w:rPr>
              <w:br w:type="textWrapping"/>
            </w:r>
            <w:r>
              <w:rPr>
                <w:rFonts w:hint="eastAsia" w:ascii="仿宋" w:hAnsi="仿宋" w:eastAsia="仿宋" w:cs="仿宋"/>
                <w:lang w:eastAsia="zh-CN" w:bidi="ar"/>
              </w:rPr>
              <w:t>评分标准：</w:t>
            </w:r>
            <w:r>
              <w:rPr>
                <w:rFonts w:hint="eastAsia" w:ascii="仿宋" w:hAnsi="仿宋" w:eastAsia="仿宋" w:cs="仿宋"/>
                <w:lang w:eastAsia="zh-CN" w:bidi="ar"/>
              </w:rPr>
              <w:br w:type="textWrapping"/>
            </w:r>
            <w:r>
              <w:rPr>
                <w:rFonts w:hint="eastAsia" w:ascii="仿宋" w:hAnsi="仿宋" w:eastAsia="仿宋" w:cs="仿宋"/>
                <w:lang w:eastAsia="zh-CN" w:bidi="ar"/>
              </w:rPr>
              <w:t>①预算执行率≥95%，且政策覆盖率100%（得3分）；</w:t>
            </w:r>
            <w:r>
              <w:rPr>
                <w:rFonts w:hint="eastAsia" w:ascii="仿宋" w:hAnsi="仿宋" w:eastAsia="仿宋" w:cs="仿宋"/>
                <w:lang w:eastAsia="zh-CN" w:bidi="ar"/>
              </w:rPr>
              <w:br w:type="textWrapping"/>
            </w:r>
            <w:r>
              <w:rPr>
                <w:rFonts w:hint="eastAsia" w:ascii="仿宋" w:hAnsi="仿宋" w:eastAsia="仿宋" w:cs="仿宋"/>
                <w:lang w:eastAsia="zh-CN" w:bidi="ar"/>
              </w:rPr>
              <w:t>②预算执行率80%～94%，或政策覆盖率80%～99%（得2分）；</w:t>
            </w:r>
            <w:r>
              <w:rPr>
                <w:rFonts w:hint="eastAsia" w:ascii="仿宋" w:hAnsi="仿宋" w:eastAsia="仿宋" w:cs="仿宋"/>
                <w:lang w:eastAsia="zh-CN" w:bidi="ar"/>
              </w:rPr>
              <w:br w:type="textWrapping"/>
            </w:r>
            <w:r>
              <w:rPr>
                <w:rFonts w:hint="eastAsia" w:ascii="仿宋" w:hAnsi="仿宋" w:eastAsia="仿宋" w:cs="仿宋"/>
                <w:lang w:eastAsia="zh-CN" w:bidi="ar"/>
              </w:rPr>
              <w:t>预算执行率50%～79%，或政策覆盖率50%～79%，或政策未出台但执行率≥50%（得1分）；</w:t>
            </w:r>
            <w:r>
              <w:rPr>
                <w:rFonts w:hint="eastAsia" w:ascii="仿宋" w:hAnsi="仿宋" w:eastAsia="仿宋" w:cs="仿宋"/>
                <w:lang w:eastAsia="zh-CN" w:bidi="ar"/>
              </w:rPr>
              <w:br w:type="textWrapping"/>
            </w:r>
            <w:r>
              <w:rPr>
                <w:rFonts w:hint="eastAsia" w:ascii="仿宋" w:hAnsi="仿宋" w:eastAsia="仿宋" w:cs="仿宋"/>
                <w:lang w:eastAsia="zh-CN" w:bidi="ar"/>
              </w:rPr>
              <w:t>④预算执行率&lt;50%，或政策覆盖率&lt;50%，或政策未出台且执行率&lt;50%（得0分）。</w:t>
            </w:r>
          </w:p>
        </w:tc>
        <w:tc>
          <w:tcPr>
            <w:tcW w:w="638" w:type="dxa"/>
            <w:tcBorders>
              <w:top w:val="single" w:color="000000" w:sz="4" w:space="0"/>
              <w:left w:val="single" w:color="000000" w:sz="4" w:space="0"/>
              <w:bottom w:val="single" w:color="000000" w:sz="4" w:space="0"/>
              <w:right w:val="single" w:color="000000" w:sz="4" w:space="0"/>
            </w:tcBorders>
            <w:vAlign w:val="center"/>
          </w:tcPr>
          <w:p w14:paraId="16E4D5DC">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5E3B113B">
        <w:tblPrEx>
          <w:tblCellMar>
            <w:top w:w="0" w:type="dxa"/>
            <w:left w:w="108" w:type="dxa"/>
            <w:bottom w:w="0" w:type="dxa"/>
            <w:right w:w="108" w:type="dxa"/>
          </w:tblCellMar>
        </w:tblPrEx>
        <w:trPr>
          <w:trHeight w:val="3040" w:hRule="atLeast"/>
        </w:trPr>
        <w:tc>
          <w:tcPr>
            <w:tcW w:w="1233" w:type="dxa"/>
            <w:vMerge w:val="continue"/>
            <w:tcBorders>
              <w:top w:val="single" w:color="000000" w:sz="4" w:space="0"/>
              <w:left w:val="single" w:color="000000" w:sz="4" w:space="0"/>
              <w:bottom w:val="single" w:color="000000" w:sz="4" w:space="0"/>
              <w:right w:val="single" w:color="000000" w:sz="4" w:space="0"/>
            </w:tcBorders>
            <w:vAlign w:val="center"/>
          </w:tcPr>
          <w:p w14:paraId="17100198">
            <w:pPr>
              <w:jc w:val="center"/>
              <w:rPr>
                <w:rFonts w:hint="eastAsia" w:ascii="仿宋" w:hAnsi="仿宋" w:eastAsia="仿宋" w:cs="仿宋"/>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5C19D825">
            <w:pPr>
              <w:jc w:val="center"/>
              <w:textAlignment w:val="center"/>
              <w:rPr>
                <w:rFonts w:hint="eastAsia" w:ascii="仿宋" w:hAnsi="仿宋" w:eastAsia="仿宋" w:cs="仿宋"/>
                <w:lang w:eastAsia="zh-CN"/>
              </w:rPr>
            </w:pPr>
            <w:r>
              <w:rPr>
                <w:rFonts w:hint="eastAsia" w:ascii="仿宋" w:hAnsi="仿宋" w:eastAsia="仿宋" w:cs="仿宋"/>
                <w:lang w:eastAsia="zh-CN" w:bidi="ar"/>
              </w:rPr>
              <w:t>可持续发展效益（3分）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6685D88F">
            <w:pPr>
              <w:jc w:val="center"/>
              <w:textAlignment w:val="center"/>
              <w:rPr>
                <w:rFonts w:hint="eastAsia" w:ascii="仿宋" w:hAnsi="仿宋" w:eastAsia="仿宋" w:cs="仿宋"/>
                <w:lang w:eastAsia="zh-CN"/>
              </w:rPr>
            </w:pPr>
            <w:r>
              <w:rPr>
                <w:rFonts w:hint="eastAsia" w:ascii="仿宋" w:hAnsi="仿宋" w:eastAsia="仿宋" w:cs="仿宋"/>
                <w:lang w:eastAsia="zh-CN" w:bidi="ar"/>
              </w:rPr>
              <w:t>自主择业军转干部长效稳定保障指数</w:t>
            </w:r>
          </w:p>
        </w:tc>
        <w:tc>
          <w:tcPr>
            <w:tcW w:w="3967" w:type="dxa"/>
            <w:tcBorders>
              <w:top w:val="single" w:color="000000" w:sz="4" w:space="0"/>
              <w:left w:val="single" w:color="000000" w:sz="4" w:space="0"/>
              <w:bottom w:val="single" w:color="000000" w:sz="4" w:space="0"/>
              <w:right w:val="single" w:color="000000" w:sz="4" w:space="0"/>
            </w:tcBorders>
            <w:vAlign w:val="center"/>
          </w:tcPr>
          <w:p w14:paraId="37D1CCFA">
            <w:pPr>
              <w:textAlignment w:val="center"/>
              <w:rPr>
                <w:rFonts w:hint="eastAsia" w:ascii="仿宋" w:hAnsi="仿宋" w:eastAsia="仿宋" w:cs="仿宋"/>
                <w:lang w:eastAsia="zh-CN"/>
              </w:rPr>
            </w:pPr>
            <w:r>
              <w:rPr>
                <w:rFonts w:hint="eastAsia" w:ascii="仿宋" w:hAnsi="仿宋" w:eastAsia="仿宋" w:cs="仿宋"/>
                <w:lang w:eastAsia="zh-CN" w:bidi="ar"/>
              </w:rPr>
              <w:t>通过构建政策支持、资金保障、就业促进等长效机制，衡量自主择业军转干部生活保障可持续的综合状态。</w:t>
            </w:r>
            <w:r>
              <w:rPr>
                <w:rFonts w:hint="eastAsia" w:ascii="仿宋" w:hAnsi="仿宋" w:eastAsia="仿宋" w:cs="仿宋"/>
                <w:lang w:eastAsia="zh-CN" w:bidi="ar"/>
              </w:rPr>
              <w:br w:type="textWrapping"/>
            </w:r>
            <w:r>
              <w:rPr>
                <w:rFonts w:hint="eastAsia" w:ascii="仿宋" w:hAnsi="仿宋" w:eastAsia="仿宋" w:cs="仿宋"/>
                <w:lang w:eastAsia="zh-CN" w:bidi="ar"/>
              </w:rPr>
              <w:t>评价标准：是否按期完成发放补助金、组织培训、举办招聘会等事项，衡量自主择业军转干部在就业稳定率以上每少一项扣1分。</w:t>
            </w:r>
          </w:p>
        </w:tc>
        <w:tc>
          <w:tcPr>
            <w:tcW w:w="638" w:type="dxa"/>
            <w:tcBorders>
              <w:top w:val="single" w:color="000000" w:sz="4" w:space="0"/>
              <w:left w:val="single" w:color="000000" w:sz="4" w:space="0"/>
              <w:bottom w:val="single" w:color="000000" w:sz="4" w:space="0"/>
              <w:right w:val="single" w:color="000000" w:sz="4" w:space="0"/>
            </w:tcBorders>
            <w:vAlign w:val="center"/>
          </w:tcPr>
          <w:p w14:paraId="06B1634C">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426E8289">
        <w:tblPrEx>
          <w:tblCellMar>
            <w:top w:w="0" w:type="dxa"/>
            <w:left w:w="108" w:type="dxa"/>
            <w:bottom w:w="0" w:type="dxa"/>
            <w:right w:w="108" w:type="dxa"/>
          </w:tblCellMar>
        </w:tblPrEx>
        <w:trPr>
          <w:trHeight w:val="2016" w:hRule="atLeast"/>
        </w:trPr>
        <w:tc>
          <w:tcPr>
            <w:tcW w:w="1233" w:type="dxa"/>
            <w:vMerge w:val="continue"/>
            <w:tcBorders>
              <w:top w:val="single" w:color="000000" w:sz="4" w:space="0"/>
              <w:left w:val="single" w:color="000000" w:sz="4" w:space="0"/>
              <w:bottom w:val="single" w:color="000000" w:sz="4" w:space="0"/>
              <w:right w:val="single" w:color="000000" w:sz="4" w:space="0"/>
            </w:tcBorders>
            <w:vAlign w:val="center"/>
          </w:tcPr>
          <w:p w14:paraId="1B10EE3C">
            <w:pPr>
              <w:jc w:val="center"/>
              <w:rPr>
                <w:rFonts w:hint="eastAsia" w:ascii="仿宋" w:hAnsi="仿宋" w:eastAsia="仿宋" w:cs="仿宋"/>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7390398D">
            <w:pPr>
              <w:jc w:val="center"/>
              <w:textAlignment w:val="center"/>
              <w:rPr>
                <w:rFonts w:hint="eastAsia" w:ascii="仿宋" w:hAnsi="仿宋" w:eastAsia="仿宋" w:cs="仿宋"/>
              </w:rPr>
            </w:pPr>
            <w:r>
              <w:rPr>
                <w:rFonts w:hint="eastAsia" w:ascii="仿宋" w:hAnsi="仿宋" w:eastAsia="仿宋" w:cs="仿宋"/>
                <w:lang w:eastAsia="zh-CN" w:bidi="ar"/>
              </w:rPr>
              <w:t>满意度（3分）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7EFCDA8B">
            <w:pPr>
              <w:jc w:val="center"/>
              <w:textAlignment w:val="center"/>
              <w:rPr>
                <w:rFonts w:hint="eastAsia" w:ascii="仿宋" w:hAnsi="仿宋" w:eastAsia="仿宋" w:cs="仿宋"/>
              </w:rPr>
            </w:pPr>
            <w:r>
              <w:rPr>
                <w:rFonts w:hint="eastAsia" w:ascii="仿宋" w:hAnsi="仿宋" w:eastAsia="仿宋" w:cs="仿宋"/>
                <w:lang w:eastAsia="zh-CN" w:bidi="ar"/>
              </w:rPr>
              <w:t>公众满意度</w:t>
            </w:r>
          </w:p>
        </w:tc>
        <w:tc>
          <w:tcPr>
            <w:tcW w:w="3967" w:type="dxa"/>
            <w:tcBorders>
              <w:top w:val="single" w:color="000000" w:sz="4" w:space="0"/>
              <w:left w:val="single" w:color="000000" w:sz="4" w:space="0"/>
              <w:bottom w:val="single" w:color="000000" w:sz="4" w:space="0"/>
              <w:right w:val="single" w:color="000000" w:sz="4" w:space="0"/>
            </w:tcBorders>
            <w:vAlign w:val="center"/>
          </w:tcPr>
          <w:p w14:paraId="4558FE4E">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考核社会公众对部门履职效果的满意程度。社会公众对部门履职效果的满意程度。</w:t>
            </w:r>
            <w:r>
              <w:rPr>
                <w:rFonts w:hint="eastAsia" w:ascii="仿宋" w:hAnsi="仿宋" w:eastAsia="仿宋" w:cs="仿宋"/>
                <w:lang w:eastAsia="zh-CN" w:bidi="ar"/>
              </w:rPr>
              <w:br w:type="textWrapping"/>
            </w:r>
            <w:r>
              <w:rPr>
                <w:rFonts w:hint="eastAsia" w:ascii="仿宋" w:hAnsi="仿宋" w:eastAsia="仿宋" w:cs="仿宋"/>
                <w:lang w:eastAsia="zh-CN" w:bidi="ar"/>
              </w:rPr>
              <w:t>①90%≤满意度＜100%，得3分；</w:t>
            </w:r>
            <w:r>
              <w:rPr>
                <w:rFonts w:hint="eastAsia" w:ascii="仿宋" w:hAnsi="仿宋" w:eastAsia="仿宋" w:cs="仿宋"/>
                <w:lang w:eastAsia="zh-CN" w:bidi="ar"/>
              </w:rPr>
              <w:br w:type="textWrapping"/>
            </w:r>
            <w:r>
              <w:rPr>
                <w:rFonts w:hint="eastAsia" w:ascii="仿宋" w:hAnsi="仿宋" w:eastAsia="仿宋" w:cs="仿宋"/>
                <w:lang w:eastAsia="zh-CN" w:bidi="ar"/>
              </w:rPr>
              <w:t>②85%≤满意度＜90%，得2分；</w:t>
            </w:r>
            <w:r>
              <w:rPr>
                <w:rFonts w:hint="eastAsia" w:ascii="仿宋" w:hAnsi="仿宋" w:eastAsia="仿宋" w:cs="仿宋"/>
                <w:lang w:eastAsia="zh-CN" w:bidi="ar"/>
              </w:rPr>
              <w:br w:type="textWrapping"/>
            </w:r>
            <w:r>
              <w:rPr>
                <w:rFonts w:hint="eastAsia" w:ascii="仿宋" w:hAnsi="仿宋" w:eastAsia="仿宋" w:cs="仿宋"/>
                <w:lang w:eastAsia="zh-CN" w:bidi="ar"/>
              </w:rPr>
              <w:t>③80%≤满意度＜85%得1分；</w:t>
            </w:r>
            <w:r>
              <w:rPr>
                <w:rFonts w:hint="eastAsia" w:ascii="仿宋" w:hAnsi="仿宋" w:eastAsia="仿宋" w:cs="仿宋"/>
                <w:lang w:eastAsia="zh-CN" w:bidi="ar"/>
              </w:rPr>
              <w:br w:type="textWrapping"/>
            </w:r>
            <w:r>
              <w:rPr>
                <w:rFonts w:hint="eastAsia" w:ascii="仿宋" w:hAnsi="仿宋" w:eastAsia="仿宋" w:cs="仿宋"/>
                <w:lang w:eastAsia="zh-CN" w:bidi="ar"/>
              </w:rPr>
              <w:t>④满意度低于80%，不得分。</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0220E143">
            <w:pPr>
              <w:jc w:val="center"/>
              <w:textAlignment w:val="center"/>
              <w:rPr>
                <w:rFonts w:hint="eastAsia" w:ascii="仿宋" w:hAnsi="仿宋" w:eastAsia="仿宋" w:cs="仿宋"/>
              </w:rPr>
            </w:pPr>
            <w:r>
              <w:rPr>
                <w:rFonts w:hint="eastAsia" w:ascii="仿宋" w:hAnsi="仿宋" w:eastAsia="仿宋" w:cs="仿宋"/>
                <w:lang w:eastAsia="zh-CN" w:bidi="ar"/>
              </w:rPr>
              <w:t>3</w:t>
            </w:r>
          </w:p>
        </w:tc>
      </w:tr>
      <w:tr w14:paraId="4FB2A6DD">
        <w:tblPrEx>
          <w:tblCellMar>
            <w:top w:w="0" w:type="dxa"/>
            <w:left w:w="108" w:type="dxa"/>
            <w:bottom w:w="0" w:type="dxa"/>
            <w:right w:w="108" w:type="dxa"/>
          </w:tblCellMar>
        </w:tblPrEx>
        <w:trPr>
          <w:trHeight w:val="840" w:hRule="atLeast"/>
        </w:trPr>
        <w:tc>
          <w:tcPr>
            <w:tcW w:w="8650" w:type="dxa"/>
            <w:gridSpan w:val="4"/>
            <w:tcBorders>
              <w:top w:val="single" w:color="000000" w:sz="4" w:space="0"/>
              <w:left w:val="single" w:color="000000" w:sz="4" w:space="0"/>
              <w:bottom w:val="single" w:color="000000" w:sz="4" w:space="0"/>
              <w:right w:val="single" w:color="000000" w:sz="4" w:space="0"/>
            </w:tcBorders>
            <w:noWrap/>
            <w:vAlign w:val="center"/>
          </w:tcPr>
          <w:p w14:paraId="24928848">
            <w:pPr>
              <w:jc w:val="center"/>
              <w:textAlignment w:val="center"/>
              <w:rPr>
                <w:rFonts w:hint="eastAsia" w:ascii="仿宋" w:hAnsi="仿宋" w:eastAsia="仿宋" w:cs="仿宋"/>
              </w:rPr>
            </w:pPr>
            <w:r>
              <w:rPr>
                <w:rFonts w:hint="eastAsia" w:ascii="仿宋" w:hAnsi="仿宋" w:eastAsia="仿宋" w:cs="仿宋"/>
                <w:lang w:eastAsia="zh-CN" w:bidi="ar"/>
              </w:rPr>
              <w:t>合计</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482F9B7">
            <w:pPr>
              <w:jc w:val="center"/>
              <w:textAlignment w:val="center"/>
              <w:rPr>
                <w:rFonts w:hint="eastAsia" w:ascii="仿宋" w:hAnsi="仿宋" w:eastAsia="仿宋" w:cs="仿宋"/>
              </w:rPr>
            </w:pPr>
            <w:r>
              <w:rPr>
                <w:rFonts w:hint="eastAsia" w:ascii="仿宋" w:hAnsi="仿宋" w:eastAsia="仿宋" w:cs="仿宋"/>
                <w:lang w:eastAsia="zh-CN" w:bidi="ar"/>
              </w:rPr>
              <w:t>100</w:t>
            </w:r>
          </w:p>
        </w:tc>
      </w:tr>
    </w:tbl>
    <w:p w14:paraId="13B84DC5">
      <w:pPr>
        <w:widowControl w:val="0"/>
        <w:overflowPunct w:val="0"/>
        <w:jc w:val="center"/>
        <w:rPr>
          <w:rFonts w:hint="eastAsia" w:ascii="仿宋" w:hAnsi="仿宋" w:eastAsia="仿宋" w:cs="仿宋"/>
          <w:bCs/>
          <w:spacing w:val="-3"/>
          <w:sz w:val="24"/>
          <w:szCs w:val="24"/>
          <w:lang w:eastAsia="zh-CN"/>
          <w14:textOutline w14:w="5105" w14:cap="sq" w14:cmpd="sng" w14:algn="ctr">
            <w14:solidFill>
              <w14:srgbClr w14:val="000000"/>
            </w14:solidFill>
            <w14:prstDash w14:val="solid"/>
            <w14:bevel/>
          </w14:textOutline>
        </w:rPr>
      </w:pPr>
    </w:p>
    <w:p w14:paraId="208C3E1C">
      <w:pPr>
        <w:widowControl w:val="0"/>
        <w:overflowPunct w:val="0"/>
        <w:snapToGrid/>
        <w:spacing w:before="120" w:line="408" w:lineRule="auto"/>
        <w:ind w:firstLine="574" w:firstLineChars="200"/>
        <w:jc w:val="both"/>
        <w:outlineLvl w:val="0"/>
        <w:rPr>
          <w:rFonts w:hint="eastAsia" w:ascii="仿宋" w:hAnsi="仿宋" w:eastAsia="仿宋" w:cs="仿宋"/>
          <w:b/>
          <w:color w:val="auto"/>
          <w:spacing w:val="3"/>
          <w:sz w:val="28"/>
          <w:szCs w:val="28"/>
          <w:lang w:eastAsia="zh-CN"/>
        </w:rPr>
      </w:pPr>
      <w:bookmarkStart w:id="253" w:name="bookmark34"/>
      <w:bookmarkEnd w:id="253"/>
      <w:bookmarkStart w:id="254" w:name="_Toc28845"/>
      <w:bookmarkStart w:id="255" w:name="_Toc13785"/>
      <w:bookmarkStart w:id="256" w:name="_Toc28626"/>
      <w:bookmarkStart w:id="257" w:name="_Toc2377"/>
      <w:bookmarkStart w:id="258" w:name="_Toc31391"/>
      <w:bookmarkStart w:id="259" w:name="_Toc11331"/>
      <w:r>
        <w:rPr>
          <w:rFonts w:hint="eastAsia" w:ascii="仿宋" w:hAnsi="仿宋" w:eastAsia="仿宋" w:cs="仿宋"/>
          <w:b/>
          <w:color w:val="auto"/>
          <w:spacing w:val="3"/>
          <w:sz w:val="28"/>
          <w:szCs w:val="28"/>
          <w:lang w:eastAsia="zh-CN"/>
        </w:rPr>
        <w:t>六、绩效指标分析</w:t>
      </w:r>
      <w:bookmarkEnd w:id="254"/>
      <w:bookmarkEnd w:id="255"/>
      <w:bookmarkEnd w:id="256"/>
      <w:bookmarkEnd w:id="257"/>
      <w:bookmarkEnd w:id="258"/>
      <w:bookmarkEnd w:id="259"/>
    </w:p>
    <w:p w14:paraId="3F376CD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石狮市退役军人事务局</w:t>
      </w:r>
      <w:r>
        <w:rPr>
          <w:rFonts w:ascii="仿宋" w:hAnsi="仿宋" w:eastAsia="仿宋" w:cs="仿宋"/>
          <w:color w:val="auto"/>
          <w:spacing w:val="3"/>
          <w:sz w:val="28"/>
          <w:szCs w:val="28"/>
          <w:lang w:eastAsia="zh-CN"/>
        </w:rPr>
        <w:t>的绩效指标体系涵盖了投入、过程、产出、效益和满意度等多个维度，旨在全面、系统地评估该局的工作绩效。以下是对各项指标分数、得分情况和完成情况的详细分析，并在此基础上提出存在的问题与改进建议。</w:t>
      </w:r>
    </w:p>
    <w:p w14:paraId="4C578EE8">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260" w:name="_Toc21654"/>
      <w:bookmarkStart w:id="261" w:name="_Toc26272"/>
      <w:bookmarkStart w:id="262" w:name="_Toc25241"/>
      <w:bookmarkStart w:id="263" w:name="_Toc3415"/>
      <w:r>
        <w:rPr>
          <w:rFonts w:ascii="仿宋" w:hAnsi="仿宋" w:eastAsia="仿宋" w:cs="仿宋"/>
          <w:b/>
          <w:bCs/>
          <w:color w:val="auto"/>
          <w:spacing w:val="3"/>
          <w:sz w:val="28"/>
          <w:szCs w:val="28"/>
          <w:lang w:eastAsia="zh-CN"/>
        </w:rPr>
        <w:t>（一）投入（总分10分，得分</w:t>
      </w:r>
      <w:r>
        <w:rPr>
          <w:rFonts w:hint="eastAsia" w:ascii="仿宋" w:hAnsi="仿宋" w:eastAsia="仿宋" w:cs="仿宋"/>
          <w:b/>
          <w:bCs/>
          <w:color w:val="auto"/>
          <w:spacing w:val="3"/>
          <w:sz w:val="28"/>
          <w:szCs w:val="28"/>
          <w:lang w:eastAsia="zh-CN"/>
        </w:rPr>
        <w:t>7.5</w:t>
      </w:r>
      <w:r>
        <w:rPr>
          <w:rFonts w:ascii="仿宋" w:hAnsi="仿宋" w:eastAsia="仿宋" w:cs="仿宋"/>
          <w:b/>
          <w:bCs/>
          <w:color w:val="auto"/>
          <w:spacing w:val="3"/>
          <w:sz w:val="28"/>
          <w:szCs w:val="28"/>
          <w:lang w:eastAsia="zh-CN"/>
        </w:rPr>
        <w:t>分）</w:t>
      </w:r>
      <w:bookmarkEnd w:id="260"/>
      <w:bookmarkEnd w:id="261"/>
      <w:bookmarkEnd w:id="262"/>
      <w:bookmarkEnd w:id="263"/>
    </w:p>
    <w:p w14:paraId="56123E76">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264" w:name="_Toc26038"/>
      <w:bookmarkStart w:id="265" w:name="_Toc18518"/>
      <w:bookmarkStart w:id="266" w:name="_Toc17697"/>
      <w:bookmarkStart w:id="267" w:name="_Toc29084"/>
      <w:bookmarkStart w:id="268" w:name="_Toc28661"/>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目标设定（</w:t>
      </w:r>
      <w:r>
        <w:rPr>
          <w:rFonts w:hint="eastAsia" w:ascii="仿宋" w:hAnsi="仿宋" w:eastAsia="仿宋" w:cs="仿宋"/>
          <w:color w:val="auto"/>
          <w:spacing w:val="3"/>
          <w:sz w:val="28"/>
          <w:szCs w:val="28"/>
          <w:lang w:eastAsia="zh-CN"/>
        </w:rPr>
        <w:t>分值为</w:t>
      </w:r>
      <w:r>
        <w:rPr>
          <w:rFonts w:ascii="仿宋" w:hAnsi="仿宋" w:eastAsia="仿宋" w:cs="仿宋"/>
          <w:color w:val="auto"/>
          <w:spacing w:val="3"/>
          <w:sz w:val="28"/>
          <w:szCs w:val="28"/>
          <w:lang w:eastAsia="zh-CN"/>
        </w:rPr>
        <w:t>4分）</w:t>
      </w:r>
      <w:bookmarkEnd w:id="264"/>
      <w:bookmarkEnd w:id="265"/>
      <w:bookmarkEnd w:id="266"/>
      <w:bookmarkEnd w:id="267"/>
      <w:bookmarkEnd w:id="268"/>
    </w:p>
    <w:p w14:paraId="14F30917">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69" w:name="_Toc27707"/>
      <w:r>
        <w:rPr>
          <w:rFonts w:ascii="仿宋" w:hAnsi="仿宋" w:eastAsia="仿宋" w:cs="仿宋"/>
          <w:color w:val="auto"/>
          <w:spacing w:val="3"/>
          <w:sz w:val="28"/>
          <w:szCs w:val="28"/>
          <w:lang w:eastAsia="zh-CN"/>
        </w:rPr>
        <w:t>（1）绩效目标合理性（2分）</w:t>
      </w:r>
      <w:bookmarkEnd w:id="269"/>
    </w:p>
    <w:p w14:paraId="4AB07120">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评价要点：是否符合国家法律法规；是否符合国民经济和社会发展总体规划；是否符合部门“三定”方案确定的职责；是否符合部门制定的中长期实施规划或年度工作计划。</w:t>
      </w:r>
    </w:p>
    <w:p w14:paraId="6DF0B42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退役军人事务局按照工作职能制定了年度目标任务，整体支出绩效目标与部门年度的任务数相对应，年度总体目标基本符合国家法律法规、国民经济和社会发展总体规划、部门“三定”方案确定的职责和部门中长期规划，根据评分标准，本项得分2分。</w:t>
      </w:r>
    </w:p>
    <w:p w14:paraId="463D6DEE">
      <w:pPr>
        <w:widowControl w:val="0"/>
        <w:numPr>
          <w:ilvl w:val="0"/>
          <w:numId w:val="11"/>
        </w:numPr>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70" w:name="_Toc24890"/>
      <w:r>
        <w:rPr>
          <w:rFonts w:ascii="仿宋" w:hAnsi="仿宋" w:eastAsia="仿宋" w:cs="仿宋"/>
          <w:color w:val="auto"/>
          <w:spacing w:val="3"/>
          <w:sz w:val="28"/>
          <w:szCs w:val="28"/>
          <w:lang w:eastAsia="zh-CN"/>
        </w:rPr>
        <w:t>绩效目标明确性（2分）</w:t>
      </w:r>
      <w:bookmarkEnd w:id="270"/>
    </w:p>
    <w:p w14:paraId="3DAF0AD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评价要点：是否将部门整体的绩效目标细化分解为具体的工作任务；是否通过清晰、可衡量的指标予以体现；是否与部门年度的任务数或计划数相对应；是否以本年度部门预算资金相匹配。</w:t>
      </w:r>
    </w:p>
    <w:p w14:paraId="7F40C475">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271" w:name="_Toc31041"/>
      <w:bookmarkStart w:id="272" w:name="_Toc1760"/>
      <w:bookmarkStart w:id="273" w:name="_Toc30758"/>
      <w:r>
        <w:rPr>
          <w:rFonts w:ascii="仿宋" w:hAnsi="仿宋" w:eastAsia="仿宋" w:cs="仿宋"/>
          <w:color w:val="auto"/>
          <w:spacing w:val="3"/>
          <w:sz w:val="28"/>
          <w:szCs w:val="28"/>
          <w:lang w:eastAsia="zh-CN"/>
        </w:rPr>
        <w:t>根据石狮市退役军人事务局2024年度的部门整体支出的绩效指标细化分解为具体的工作任务，但部门预算资金相匹配。申请资金与拨付资金存在差距，导致目标值与实际完成值存在偏差问题</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如，双拥支前工作经费情况目标值228</w:t>
      </w:r>
      <w:r>
        <w:rPr>
          <w:rFonts w:hint="eastAsia" w:ascii="仿宋" w:hAnsi="仿宋" w:eastAsia="仿宋" w:cs="仿宋"/>
          <w:color w:val="auto"/>
          <w:spacing w:val="3"/>
          <w:sz w:val="28"/>
          <w:szCs w:val="28"/>
          <w:lang w:eastAsia="zh-CN"/>
        </w:rPr>
        <w:t>万元</w:t>
      </w:r>
      <w:r>
        <w:rPr>
          <w:rFonts w:ascii="仿宋" w:hAnsi="仿宋" w:eastAsia="仿宋" w:cs="仿宋"/>
          <w:color w:val="auto"/>
          <w:spacing w:val="3"/>
          <w:sz w:val="28"/>
          <w:szCs w:val="28"/>
          <w:lang w:eastAsia="zh-CN"/>
        </w:rPr>
        <w:t>，完成值52</w:t>
      </w:r>
      <w:r>
        <w:rPr>
          <w:rFonts w:hint="eastAsia" w:ascii="仿宋" w:hAnsi="仿宋" w:eastAsia="仿宋" w:cs="仿宋"/>
          <w:color w:val="auto"/>
          <w:spacing w:val="3"/>
          <w:sz w:val="28"/>
          <w:szCs w:val="28"/>
          <w:lang w:eastAsia="zh-CN"/>
        </w:rPr>
        <w:t>万元</w:t>
      </w:r>
      <w:r>
        <w:rPr>
          <w:rFonts w:ascii="仿宋" w:hAnsi="仿宋" w:eastAsia="仿宋" w:cs="仿宋"/>
          <w:color w:val="auto"/>
          <w:spacing w:val="3"/>
          <w:sz w:val="28"/>
          <w:szCs w:val="28"/>
          <w:lang w:eastAsia="zh-CN"/>
        </w:rPr>
        <w:t>。退役军人事务工作及退役军人服务中心专项经费（含党建）目标值254万元，完成值</w:t>
      </w:r>
      <w:r>
        <w:rPr>
          <w:rFonts w:hint="eastAsia" w:ascii="仿宋" w:hAnsi="仿宋" w:eastAsia="仿宋" w:cs="仿宋"/>
          <w:color w:val="auto"/>
          <w:spacing w:val="3"/>
          <w:sz w:val="28"/>
          <w:szCs w:val="28"/>
          <w:lang w:eastAsia="zh-CN"/>
        </w:rPr>
        <w:t>仅</w:t>
      </w:r>
      <w:r>
        <w:rPr>
          <w:rFonts w:ascii="仿宋" w:hAnsi="仿宋" w:eastAsia="仿宋" w:cs="仿宋"/>
          <w:color w:val="auto"/>
          <w:spacing w:val="3"/>
          <w:sz w:val="28"/>
          <w:szCs w:val="28"/>
          <w:lang w:eastAsia="zh-CN"/>
        </w:rPr>
        <w:t>46.5万元。制订单位预算时申请的资金</w:t>
      </w:r>
      <w:r>
        <w:rPr>
          <w:rFonts w:hint="eastAsia" w:ascii="仿宋" w:hAnsi="仿宋" w:eastAsia="仿宋" w:cs="仿宋"/>
          <w:color w:val="auto"/>
          <w:spacing w:val="3"/>
          <w:sz w:val="28"/>
          <w:szCs w:val="28"/>
          <w:lang w:eastAsia="zh-CN"/>
        </w:rPr>
        <w:t>数量</w:t>
      </w:r>
      <w:r>
        <w:rPr>
          <w:rFonts w:ascii="仿宋" w:hAnsi="仿宋" w:eastAsia="仿宋" w:cs="仿宋"/>
          <w:color w:val="auto"/>
          <w:spacing w:val="3"/>
          <w:sz w:val="28"/>
          <w:szCs w:val="28"/>
          <w:lang w:eastAsia="zh-CN"/>
        </w:rPr>
        <w:t>与本级财政预算拨付的资金数量出入比较大，导致完成比例低。此项扣0.5分，该指标得1.5分。</w:t>
      </w:r>
    </w:p>
    <w:p w14:paraId="72BDA63A">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274" w:name="_Toc26142"/>
      <w:bookmarkStart w:id="275" w:name="_Toc569"/>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预算配置（</w:t>
      </w:r>
      <w:r>
        <w:rPr>
          <w:rFonts w:hint="eastAsia" w:ascii="仿宋" w:hAnsi="仿宋" w:eastAsia="仿宋" w:cs="仿宋"/>
          <w:color w:val="auto"/>
          <w:spacing w:val="3"/>
          <w:sz w:val="28"/>
          <w:szCs w:val="28"/>
          <w:lang w:eastAsia="zh-CN"/>
        </w:rPr>
        <w:t>分值</w:t>
      </w:r>
      <w:r>
        <w:rPr>
          <w:rFonts w:ascii="仿宋" w:hAnsi="仿宋" w:eastAsia="仿宋" w:cs="仿宋"/>
          <w:color w:val="auto"/>
          <w:spacing w:val="3"/>
          <w:sz w:val="28"/>
          <w:szCs w:val="28"/>
          <w:lang w:eastAsia="zh-CN"/>
        </w:rPr>
        <w:t>6分）</w:t>
      </w:r>
      <w:bookmarkEnd w:id="271"/>
      <w:bookmarkEnd w:id="272"/>
      <w:bookmarkEnd w:id="273"/>
      <w:bookmarkEnd w:id="274"/>
      <w:bookmarkEnd w:id="275"/>
    </w:p>
    <w:p w14:paraId="709EE44C">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76" w:name="_Toc9970"/>
      <w:r>
        <w:rPr>
          <w:rFonts w:ascii="仿宋" w:hAnsi="仿宋" w:eastAsia="仿宋" w:cs="仿宋"/>
          <w:color w:val="auto"/>
          <w:spacing w:val="3"/>
          <w:sz w:val="28"/>
          <w:szCs w:val="28"/>
          <w:lang w:eastAsia="zh-CN"/>
        </w:rPr>
        <w:t>（1）在职人员控制率（2分）</w:t>
      </w:r>
      <w:bookmarkEnd w:id="276"/>
    </w:p>
    <w:p w14:paraId="1AA920B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部门本年度实际在职人员数与编制数的比率，用以反映部门对人员成本的控制程度。在职人员控制率≤100%，得满分；在职人员控制率≧115%，得0分；100%＜在职人员控制率＜115%之间，得分=（115%－某部门在职人员控制率）/15%×指标分值。</w:t>
      </w:r>
    </w:p>
    <w:p w14:paraId="6559A02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石狮市退役军人事务局2024年</w:t>
      </w:r>
      <w:r>
        <w:rPr>
          <w:rFonts w:ascii="仿宋" w:hAnsi="仿宋" w:eastAsia="仿宋" w:cs="仿宋"/>
          <w:color w:val="auto"/>
          <w:spacing w:val="3"/>
          <w:sz w:val="28"/>
          <w:szCs w:val="28"/>
          <w:lang w:eastAsia="zh-CN"/>
        </w:rPr>
        <w:t>的编制数为1</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人，实际在职人员数也为1</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人，控制率为100%</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在职人员控制率=（12/12）×100%=100%。根据评分标准，该指标得2分。</w:t>
      </w:r>
    </w:p>
    <w:p w14:paraId="3A6168BC">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77" w:name="_Toc19097"/>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“三公”经费</w:t>
      </w:r>
      <w:r>
        <w:rPr>
          <w:rFonts w:ascii="仿宋" w:hAnsi="仿宋" w:eastAsia="仿宋" w:cs="仿宋"/>
          <w:color w:val="auto"/>
          <w:spacing w:val="3"/>
          <w:sz w:val="28"/>
          <w:szCs w:val="28"/>
          <w:lang w:eastAsia="zh-CN"/>
        </w:rPr>
        <w:t>变动率（2分）</w:t>
      </w:r>
      <w:bookmarkEnd w:id="277"/>
    </w:p>
    <w:p w14:paraId="45FBBE1A">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w:t>
      </w:r>
      <w:r>
        <w:rPr>
          <w:rFonts w:hint="eastAsia" w:ascii="仿宋" w:hAnsi="仿宋" w:eastAsia="仿宋" w:cs="仿宋"/>
          <w:color w:val="auto"/>
          <w:spacing w:val="3"/>
          <w:sz w:val="28"/>
          <w:szCs w:val="28"/>
          <w:lang w:eastAsia="zh-CN"/>
        </w:rPr>
        <w:t>“三公”经费</w:t>
      </w:r>
      <w:r>
        <w:rPr>
          <w:rFonts w:ascii="仿宋" w:hAnsi="仿宋" w:eastAsia="仿宋" w:cs="仿宋"/>
          <w:color w:val="auto"/>
          <w:spacing w:val="3"/>
          <w:sz w:val="28"/>
          <w:szCs w:val="28"/>
          <w:lang w:eastAsia="zh-CN"/>
        </w:rPr>
        <w:t>变动率=[（本年度</w:t>
      </w:r>
      <w:r>
        <w:rPr>
          <w:rFonts w:hint="eastAsia" w:ascii="仿宋" w:hAnsi="仿宋" w:eastAsia="仿宋" w:cs="仿宋"/>
          <w:color w:val="auto"/>
          <w:spacing w:val="3"/>
          <w:sz w:val="28"/>
          <w:szCs w:val="28"/>
          <w:lang w:eastAsia="zh-CN"/>
        </w:rPr>
        <w:t>“三公”经费</w:t>
      </w:r>
      <w:r>
        <w:rPr>
          <w:rFonts w:ascii="仿宋" w:hAnsi="仿宋" w:eastAsia="仿宋" w:cs="仿宋"/>
          <w:color w:val="auto"/>
          <w:spacing w:val="3"/>
          <w:sz w:val="28"/>
          <w:szCs w:val="28"/>
          <w:lang w:eastAsia="zh-CN"/>
        </w:rPr>
        <w:t>总额-上年度</w:t>
      </w:r>
      <w:r>
        <w:rPr>
          <w:rFonts w:hint="eastAsia" w:ascii="仿宋" w:hAnsi="仿宋" w:eastAsia="仿宋" w:cs="仿宋"/>
          <w:color w:val="auto"/>
          <w:spacing w:val="3"/>
          <w:sz w:val="28"/>
          <w:szCs w:val="28"/>
          <w:lang w:eastAsia="zh-CN"/>
        </w:rPr>
        <w:t>“三公”经费</w:t>
      </w:r>
      <w:r>
        <w:rPr>
          <w:rFonts w:ascii="仿宋" w:hAnsi="仿宋" w:eastAsia="仿宋" w:cs="仿宋"/>
          <w:color w:val="auto"/>
          <w:spacing w:val="3"/>
          <w:sz w:val="28"/>
          <w:szCs w:val="28"/>
          <w:lang w:eastAsia="zh-CN"/>
        </w:rPr>
        <w:t>总额）/上年度</w:t>
      </w:r>
      <w:r>
        <w:rPr>
          <w:rFonts w:hint="eastAsia" w:ascii="仿宋" w:hAnsi="仿宋" w:eastAsia="仿宋" w:cs="仿宋"/>
          <w:color w:val="auto"/>
          <w:spacing w:val="3"/>
          <w:sz w:val="28"/>
          <w:szCs w:val="28"/>
          <w:lang w:eastAsia="zh-CN"/>
        </w:rPr>
        <w:t>“三公”经费</w:t>
      </w:r>
      <w:r>
        <w:rPr>
          <w:rFonts w:ascii="仿宋" w:hAnsi="仿宋" w:eastAsia="仿宋" w:cs="仿宋"/>
          <w:color w:val="auto"/>
          <w:spacing w:val="3"/>
          <w:sz w:val="28"/>
          <w:szCs w:val="28"/>
          <w:lang w:eastAsia="zh-CN"/>
        </w:rPr>
        <w:t>总额]×100%。变动率≤0%得满分；变动率每超过10个百分点扣1分，</w:t>
      </w:r>
      <w:r>
        <w:rPr>
          <w:rFonts w:hint="eastAsia" w:ascii="仿宋" w:hAnsi="仿宋" w:eastAsia="仿宋" w:cs="仿宋"/>
          <w:color w:val="auto"/>
          <w:spacing w:val="3"/>
          <w:sz w:val="28"/>
          <w:szCs w:val="28"/>
          <w:lang w:eastAsia="zh-CN"/>
        </w:rPr>
        <w:t>至</w:t>
      </w:r>
      <w:r>
        <w:rPr>
          <w:rFonts w:ascii="仿宋" w:hAnsi="仿宋" w:eastAsia="仿宋" w:cs="仿宋"/>
          <w:color w:val="auto"/>
          <w:spacing w:val="3"/>
          <w:sz w:val="28"/>
          <w:szCs w:val="28"/>
          <w:lang w:eastAsia="zh-CN"/>
        </w:rPr>
        <w:t>扣完为止</w:t>
      </w:r>
      <w:r>
        <w:rPr>
          <w:rFonts w:hint="eastAsia" w:ascii="仿宋" w:hAnsi="仿宋" w:eastAsia="仿宋" w:cs="仿宋"/>
          <w:color w:val="auto"/>
          <w:spacing w:val="3"/>
          <w:sz w:val="28"/>
          <w:szCs w:val="28"/>
          <w:lang w:eastAsia="zh-CN"/>
        </w:rPr>
        <w:t>。</w:t>
      </w:r>
    </w:p>
    <w:p w14:paraId="65B8C20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石狮市退役军人事务局2024年“三公”经费预算数为3.5万元，2023年“三公”经费预算数为3.3万元，“三公”经费变动率为（3.5-3.3）/3.3×100%=6%，“三公”经费预算</w:t>
      </w:r>
      <w:r>
        <w:rPr>
          <w:rFonts w:ascii="仿宋" w:hAnsi="仿宋" w:eastAsia="仿宋" w:cs="仿宋"/>
          <w:color w:val="auto"/>
          <w:spacing w:val="3"/>
          <w:sz w:val="28"/>
          <w:szCs w:val="28"/>
          <w:lang w:eastAsia="zh-CN"/>
        </w:rPr>
        <w:t>控制得当，符合财务管理要求。根据评分标准，该指标得2分。</w:t>
      </w:r>
    </w:p>
    <w:p w14:paraId="7BF9B8C0">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78" w:name="_Toc28517"/>
      <w:r>
        <w:rPr>
          <w:rFonts w:ascii="仿宋" w:hAnsi="仿宋" w:eastAsia="仿宋" w:cs="仿宋"/>
          <w:color w:val="auto"/>
          <w:spacing w:val="3"/>
          <w:sz w:val="28"/>
          <w:szCs w:val="28"/>
          <w:lang w:eastAsia="zh-CN"/>
        </w:rPr>
        <w:t>（3）结转结余变动率（2分）</w:t>
      </w:r>
      <w:bookmarkEnd w:id="278"/>
    </w:p>
    <w:p w14:paraId="36318EE5">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评价要点：结转结余变动率=[（本年度累计结转结余资金总额-上年度累计结转结余资金总额）/上年度累计结转结余资金总额]×100%。结转结余变动率＜0，得满分；结转结余变动率≧0，不得分。</w:t>
      </w:r>
    </w:p>
    <w:p w14:paraId="2643A575">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根据石狮市退役军人事务局2024年部门资金结余情况表，2023结转结余资金总额为1.2651万元，2024年结转结余资金总额1.4412万元。结转结余变动率=（1.4412-1.2651）/1.2651=14%。反映出资金管理需进一步加强，以确保资金使用的</w:t>
      </w:r>
      <w:r>
        <w:rPr>
          <w:rFonts w:hint="eastAsia" w:ascii="仿宋" w:hAnsi="仿宋" w:eastAsia="仿宋" w:cs="仿宋"/>
          <w:color w:val="auto"/>
          <w:spacing w:val="3"/>
          <w:sz w:val="28"/>
          <w:szCs w:val="28"/>
          <w:lang w:eastAsia="zh-CN"/>
        </w:rPr>
        <w:t>有效</w:t>
      </w:r>
      <w:r>
        <w:rPr>
          <w:rFonts w:ascii="仿宋" w:hAnsi="仿宋" w:eastAsia="仿宋" w:cs="仿宋"/>
          <w:color w:val="auto"/>
          <w:spacing w:val="3"/>
          <w:sz w:val="28"/>
          <w:szCs w:val="28"/>
          <w:lang w:eastAsia="zh-CN"/>
        </w:rPr>
        <w:t>性。根据评分标准，本项得0分。</w:t>
      </w:r>
    </w:p>
    <w:p w14:paraId="0C2F512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因此，投入共计得分</w:t>
      </w:r>
      <w:bookmarkStart w:id="279" w:name="_Toc30671"/>
      <w:bookmarkStart w:id="280" w:name="_Toc32013"/>
      <w:r>
        <w:rPr>
          <w:rFonts w:hint="eastAsia" w:ascii="仿宋" w:hAnsi="仿宋" w:eastAsia="仿宋" w:cs="仿宋"/>
          <w:color w:val="auto"/>
          <w:spacing w:val="3"/>
          <w:sz w:val="28"/>
          <w:szCs w:val="28"/>
          <w:lang w:eastAsia="zh-CN"/>
        </w:rPr>
        <w:t>7.5分。</w:t>
      </w:r>
    </w:p>
    <w:p w14:paraId="0E49CC65">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281" w:name="_Toc229"/>
      <w:bookmarkStart w:id="282" w:name="_Toc16939"/>
      <w:r>
        <w:rPr>
          <w:rFonts w:ascii="仿宋" w:hAnsi="仿宋" w:eastAsia="仿宋" w:cs="仿宋"/>
          <w:b/>
          <w:bCs/>
          <w:color w:val="auto"/>
          <w:spacing w:val="3"/>
          <w:sz w:val="28"/>
          <w:szCs w:val="28"/>
          <w:lang w:eastAsia="zh-CN"/>
        </w:rPr>
        <w:t>（二）过程（总分24分，得分</w:t>
      </w:r>
      <w:r>
        <w:rPr>
          <w:rFonts w:hint="eastAsia" w:ascii="仿宋" w:hAnsi="仿宋" w:eastAsia="仿宋" w:cs="仿宋"/>
          <w:b/>
          <w:bCs/>
          <w:color w:val="auto"/>
          <w:spacing w:val="3"/>
          <w:sz w:val="28"/>
          <w:szCs w:val="28"/>
          <w:lang w:eastAsia="zh-CN"/>
        </w:rPr>
        <w:t>19.5</w:t>
      </w:r>
      <w:r>
        <w:rPr>
          <w:rFonts w:ascii="仿宋" w:hAnsi="仿宋" w:eastAsia="仿宋" w:cs="仿宋"/>
          <w:b/>
          <w:bCs/>
          <w:color w:val="auto"/>
          <w:spacing w:val="3"/>
          <w:sz w:val="28"/>
          <w:szCs w:val="28"/>
          <w:lang w:eastAsia="zh-CN"/>
        </w:rPr>
        <w:t>分）</w:t>
      </w:r>
      <w:bookmarkEnd w:id="279"/>
      <w:bookmarkEnd w:id="280"/>
      <w:bookmarkEnd w:id="281"/>
      <w:bookmarkEnd w:id="282"/>
    </w:p>
    <w:p w14:paraId="4032F623">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283" w:name="_Toc23961"/>
      <w:bookmarkStart w:id="284" w:name="_Toc25513"/>
      <w:bookmarkStart w:id="285" w:name="_Toc27632"/>
      <w:bookmarkStart w:id="286" w:name="_Toc18642"/>
      <w:bookmarkStart w:id="287" w:name="_Toc29957"/>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预算执行（</w:t>
      </w:r>
      <w:r>
        <w:rPr>
          <w:rFonts w:hint="eastAsia" w:ascii="仿宋" w:hAnsi="仿宋" w:eastAsia="仿宋" w:cs="仿宋"/>
          <w:color w:val="auto"/>
          <w:spacing w:val="3"/>
          <w:sz w:val="28"/>
          <w:szCs w:val="28"/>
          <w:lang w:eastAsia="zh-CN"/>
        </w:rPr>
        <w:t>分值</w:t>
      </w:r>
      <w:r>
        <w:rPr>
          <w:rFonts w:ascii="仿宋" w:hAnsi="仿宋" w:eastAsia="仿宋" w:cs="仿宋"/>
          <w:color w:val="auto"/>
          <w:spacing w:val="3"/>
          <w:sz w:val="28"/>
          <w:szCs w:val="28"/>
          <w:lang w:eastAsia="zh-CN"/>
        </w:rPr>
        <w:t>10分）</w:t>
      </w:r>
      <w:bookmarkEnd w:id="283"/>
      <w:bookmarkEnd w:id="284"/>
      <w:bookmarkEnd w:id="285"/>
      <w:bookmarkEnd w:id="286"/>
      <w:bookmarkEnd w:id="287"/>
    </w:p>
    <w:p w14:paraId="7E19866F">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88" w:name="_Toc20194"/>
      <w:r>
        <w:rPr>
          <w:rFonts w:ascii="仿宋" w:hAnsi="仿宋" w:eastAsia="仿宋" w:cs="仿宋"/>
          <w:color w:val="auto"/>
          <w:spacing w:val="3"/>
          <w:sz w:val="28"/>
          <w:szCs w:val="28"/>
          <w:lang w:eastAsia="zh-CN"/>
        </w:rPr>
        <w:t>（1）预算执行率（2分）</w:t>
      </w:r>
      <w:bookmarkEnd w:id="288"/>
    </w:p>
    <w:p w14:paraId="34475BD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评价要点：预算执行率=（全年支出执行数/全年预算数）×100%。预算执行率≧95%，得2分；每降低1个百分点扣0.1分，扣完为止。</w:t>
      </w:r>
    </w:p>
    <w:p w14:paraId="309B295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退役军人事务局2024年度支出完成数与支出预算数的比较，2024年度全年预算数4749.66万元，全年支出执行数为4677.95万元，预算执行率=（全年支出执行数/全年预算数）×100%。（4677.95/4749.66）×100%=98%，根据评分标准，本项得2分。</w:t>
      </w:r>
    </w:p>
    <w:p w14:paraId="4B8DA71A">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89" w:name="_Toc20026"/>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预算调整率（2分）</w:t>
      </w:r>
      <w:bookmarkEnd w:id="289"/>
    </w:p>
    <w:p w14:paraId="145068A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部门本年度支出预算调整数与支出预算数的比率，用以反映和评价单位预算的调整程度。支出预算调整率=（支出预算调整数/支出预算数）×100%。预算调整率=0，得2分；调整率≧10%，得0分；0＜预算调整率＜10%</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得分=（10%-预算调整率）/10%×该指标分值</w:t>
      </w:r>
      <w:r>
        <w:rPr>
          <w:rFonts w:hint="eastAsia" w:ascii="仿宋" w:hAnsi="仿宋" w:eastAsia="仿宋" w:cs="仿宋"/>
          <w:color w:val="auto"/>
          <w:spacing w:val="3"/>
          <w:sz w:val="28"/>
          <w:szCs w:val="28"/>
          <w:lang w:eastAsia="zh-CN"/>
        </w:rPr>
        <w:t>。</w:t>
      </w:r>
    </w:p>
    <w:p w14:paraId="6BCB070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退役军人事务局2024年初预算为4110.17万元，2024年度全年预算数4677.95万元，调整支出4677.95-4110.17=567.18万元，支出预算调整率为567.18/4677.95×100%=12.14%。由于石狮市退役军人事务局统筹资金使用力度大，单位年初预算无法具体反映本单位的年度开支事项，出现短缺时进行年中追加，根据评分标准，调整率≧10%，得0分。</w:t>
      </w:r>
    </w:p>
    <w:p w14:paraId="66D9CB98">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90" w:name="_Toc15576"/>
      <w:r>
        <w:rPr>
          <w:rFonts w:ascii="仿宋" w:hAnsi="仿宋" w:eastAsia="仿宋" w:cs="仿宋"/>
          <w:color w:val="auto"/>
          <w:spacing w:val="3"/>
          <w:sz w:val="28"/>
          <w:szCs w:val="28"/>
          <w:lang w:eastAsia="zh-CN"/>
        </w:rPr>
        <w:t>（3）结转结余率（2分）</w:t>
      </w:r>
      <w:bookmarkEnd w:id="290"/>
    </w:p>
    <w:p w14:paraId="4C6472A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部门本年度结转结余总额与支出预算数的比率，反映和评价单位对本年度结转结余资金的实际控制程度。结转结余率=结转结余总额/支出预算数×100%。结转结余率=0，得2分；结转结余率≧50%，得0分；0%＜结转结余率＜50%，得分=（50%-结转结余率）/50%×该指标分值。</w:t>
      </w:r>
    </w:p>
    <w:p w14:paraId="448ED10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石狮市退役军人事务局2024年结转结余资金总额1.4412万元，4677.9</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万元，结转结余率=（</w:t>
      </w:r>
      <w:r>
        <w:rPr>
          <w:rFonts w:hint="eastAsia" w:ascii="仿宋" w:hAnsi="仿宋" w:eastAsia="仿宋" w:cs="仿宋"/>
          <w:color w:val="auto"/>
          <w:spacing w:val="3"/>
          <w:sz w:val="28"/>
          <w:szCs w:val="28"/>
          <w:lang w:eastAsia="zh-CN"/>
        </w:rPr>
        <w:t>1.4412</w:t>
      </w:r>
      <w:r>
        <w:rPr>
          <w:rFonts w:ascii="仿宋" w:hAnsi="仿宋" w:eastAsia="仿宋" w:cs="仿宋"/>
          <w:color w:val="auto"/>
          <w:spacing w:val="3"/>
          <w:sz w:val="28"/>
          <w:szCs w:val="28"/>
          <w:lang w:eastAsia="zh-CN"/>
        </w:rPr>
        <w:t>/4677.9</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）*100%=</w:t>
      </w:r>
      <w:r>
        <w:rPr>
          <w:rFonts w:hint="eastAsia" w:ascii="仿宋" w:hAnsi="仿宋" w:eastAsia="仿宋" w:cs="仿宋"/>
          <w:color w:val="auto"/>
          <w:spacing w:val="3"/>
          <w:sz w:val="28"/>
          <w:szCs w:val="28"/>
          <w:lang w:eastAsia="zh-CN"/>
        </w:rPr>
        <w:t>0.03</w:t>
      </w:r>
      <w:r>
        <w:rPr>
          <w:rFonts w:ascii="仿宋" w:hAnsi="仿宋" w:eastAsia="仿宋" w:cs="仿宋"/>
          <w:color w:val="auto"/>
          <w:spacing w:val="3"/>
          <w:sz w:val="28"/>
          <w:szCs w:val="28"/>
          <w:lang w:eastAsia="zh-CN"/>
        </w:rPr>
        <w:t>%。根据评价指标，</w:t>
      </w:r>
      <w:r>
        <w:rPr>
          <w:rFonts w:hint="eastAsia" w:ascii="仿宋" w:hAnsi="仿宋" w:eastAsia="仿宋" w:cs="仿宋"/>
          <w:color w:val="auto"/>
          <w:spacing w:val="3"/>
          <w:sz w:val="28"/>
          <w:szCs w:val="28"/>
          <w:lang w:eastAsia="zh-CN"/>
        </w:rPr>
        <w:t>结转结余率接近为0，</w:t>
      </w:r>
      <w:r>
        <w:rPr>
          <w:rFonts w:ascii="仿宋" w:hAnsi="仿宋" w:eastAsia="仿宋" w:cs="仿宋"/>
          <w:color w:val="auto"/>
          <w:spacing w:val="3"/>
          <w:sz w:val="28"/>
          <w:szCs w:val="28"/>
          <w:lang w:eastAsia="zh-CN"/>
        </w:rPr>
        <w:t>本项得</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p>
    <w:p w14:paraId="35F6A089">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91" w:name="_Toc12476"/>
      <w:r>
        <w:rPr>
          <w:rFonts w:ascii="仿宋" w:hAnsi="仿宋" w:eastAsia="仿宋" w:cs="仿宋"/>
          <w:color w:val="auto"/>
          <w:spacing w:val="3"/>
          <w:sz w:val="28"/>
          <w:szCs w:val="28"/>
          <w:lang w:eastAsia="zh-CN"/>
        </w:rPr>
        <w:t>（4）公用经费控制率（2分）</w:t>
      </w:r>
      <w:bookmarkEnd w:id="291"/>
    </w:p>
    <w:p w14:paraId="5179862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公用经费控制率=（实际支出公用经费总额/预算安排公用经费总额）×100%。公用经费控制率≦100%，得2分；公用经费控制率≧105%，得0分；100%＜公用经费控制率&lt;105%，得分=（105%-公用经费控制率）/5%××该指标分值。</w:t>
      </w:r>
    </w:p>
    <w:p w14:paraId="3E1D6775">
      <w:pPr>
        <w:widowControl w:val="0"/>
        <w:overflowPunct w:val="0"/>
        <w:snapToGrid/>
        <w:spacing w:line="408" w:lineRule="auto"/>
        <w:ind w:firstLine="572" w:firstLineChars="200"/>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石狮市退役军人事务局2024年公用经费预算安排数为20.48万元，当年度实际支出18.71万元，公用经费控制率=(18.71/20.48)*100%=91.34%，根据评分标准，此项得2分。</w:t>
      </w:r>
    </w:p>
    <w:p w14:paraId="0916B7B1">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92" w:name="_Toc17605"/>
      <w:r>
        <w:rPr>
          <w:rFonts w:ascii="仿宋" w:hAnsi="仿宋" w:eastAsia="仿宋" w:cs="仿宋"/>
          <w:color w:val="auto"/>
          <w:spacing w:val="3"/>
          <w:sz w:val="28"/>
          <w:szCs w:val="28"/>
          <w:lang w:eastAsia="zh-CN"/>
        </w:rPr>
        <w:t>（5）人员经费控制率（2分）</w:t>
      </w:r>
      <w:bookmarkEnd w:id="292"/>
    </w:p>
    <w:p w14:paraId="4791C00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评价要点：用于衡量人员经费与支出预算数的比率，反映和评价部门（单位）对本年度人员经费的实际执行情况。</w:t>
      </w:r>
    </w:p>
    <w:p w14:paraId="3D80349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人员经费控制率=</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实际人员经费执行总额/预算安排人员经费总额</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×100%。人员经费控制率≤100%，得2分，人员经费控制率&gt;100%且≤120%，得1.5分；人员经费控制率&gt;120%且≤150%，得1分；人员经费控制率&gt;150%，得0分。</w:t>
      </w:r>
    </w:p>
    <w:p w14:paraId="7A6D73B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根据石狮市退役军人事务局2024年初预算安排人员经费总额227.7万元，实际支出人员经费总额254.28万元，人员经费控制率=</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实际人员经费执行总额/预算安排人员经费总额</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×100%=（254.28/227.7）×100%=111.67%，根据评分标准，人员经费控制率&gt;100%且≤120%，得1.5分。</w:t>
      </w:r>
    </w:p>
    <w:p w14:paraId="53FD39E7">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293" w:name="_Toc31970"/>
      <w:bookmarkStart w:id="294" w:name="_Toc22733"/>
      <w:bookmarkStart w:id="295" w:name="_Toc16016"/>
      <w:bookmarkStart w:id="296" w:name="_Toc15989"/>
      <w:bookmarkStart w:id="297" w:name="_Toc27841"/>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预算管理（</w:t>
      </w:r>
      <w:r>
        <w:rPr>
          <w:rFonts w:hint="eastAsia" w:ascii="仿宋" w:hAnsi="仿宋" w:eastAsia="仿宋" w:cs="仿宋"/>
          <w:color w:val="auto"/>
          <w:spacing w:val="3"/>
          <w:sz w:val="28"/>
          <w:szCs w:val="28"/>
          <w:lang w:eastAsia="zh-CN"/>
        </w:rPr>
        <w:t>分值</w:t>
      </w:r>
      <w:r>
        <w:rPr>
          <w:rFonts w:ascii="仿宋" w:hAnsi="仿宋" w:eastAsia="仿宋" w:cs="仿宋"/>
          <w:color w:val="auto"/>
          <w:spacing w:val="3"/>
          <w:sz w:val="28"/>
          <w:szCs w:val="28"/>
          <w:lang w:eastAsia="zh-CN"/>
        </w:rPr>
        <w:t>14分）</w:t>
      </w:r>
      <w:bookmarkEnd w:id="293"/>
      <w:bookmarkEnd w:id="294"/>
      <w:bookmarkEnd w:id="295"/>
      <w:bookmarkEnd w:id="296"/>
      <w:bookmarkEnd w:id="297"/>
    </w:p>
    <w:p w14:paraId="34A327AA">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98" w:name="_Toc28408"/>
      <w:r>
        <w:rPr>
          <w:rFonts w:ascii="仿宋" w:hAnsi="仿宋" w:eastAsia="仿宋" w:cs="仿宋"/>
          <w:color w:val="auto"/>
          <w:spacing w:val="3"/>
          <w:sz w:val="28"/>
          <w:szCs w:val="28"/>
          <w:lang w:eastAsia="zh-CN"/>
        </w:rPr>
        <w:t>（1）管理制度健全性（2分）</w:t>
      </w:r>
      <w:bookmarkEnd w:id="298"/>
    </w:p>
    <w:p w14:paraId="723568F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评价要点：是否已制定或具有预算资金管理办法等相关管理制度；相关管理制度是否合法、合规、完整；是否得到有效执行。</w:t>
      </w:r>
    </w:p>
    <w:p w14:paraId="0607CAA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为加强石狮市退役军人事务局财务管理和会计核算，规范财务行为，降低行政成本，防止国有资产流失，提高资金使用效益、强化财务监督，石狮市退役军人事务局制定了《石狮市退役军人事务局机关财务管理制度》，该制度对石狮市退役军人事务局的预算管理、收支管理、固定资产管理、资金管理、审批管理、会计档案管理等进行了严格规定。根据评分标准，此项得2分。</w:t>
      </w:r>
    </w:p>
    <w:p w14:paraId="73F55DAC">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299" w:name="_Toc18047"/>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政府采购管理（2分）</w:t>
      </w:r>
      <w:bookmarkEnd w:id="299"/>
    </w:p>
    <w:p w14:paraId="271791D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评价要点：主要评价部门本年度政府采购是否执行政府采购相关规定和要求，用以反映和考核部门政府采购预算执行情况。</w:t>
      </w:r>
    </w:p>
    <w:p w14:paraId="4E4380D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退役军人事务局政府采购内部控制制度，对采购程序、采购行为实施主体、采购审批程序、采购方式等提出了明确的规定。2024年初预算公开，政府采购预算0万元，2024年末决算表《机构运行信息表》2024年度政府采购支出0万元，未发现违规采购等违规行为。按照规定编制政府采购预算，根据评分标准，指标得2分。</w:t>
      </w:r>
    </w:p>
    <w:p w14:paraId="0EB34CE5">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00" w:name="_Toc32595"/>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项目进度管理（2分）</w:t>
      </w:r>
      <w:bookmarkEnd w:id="300"/>
    </w:p>
    <w:p w14:paraId="0F999FE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评价要点：重点考核项目是否按计划完成结算并及时支付资金，避免因结算滞后导致资金长期滞留。</w:t>
      </w:r>
    </w:p>
    <w:p w14:paraId="1398D31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经评价小组核查，石狮市退役军人事务局2024年其他应付款中存在12项未结算工程，合计金额126.59万元。其中，科技文化拥军项目（浮雕墙和文化广场）1.74万元、科技文化拥军项目（大礼堂）1.17万元、第四篮球场工程项目质保金2.75万元为2022年项目，因未及时结算导致资金滞留超过2年。根据评分标准，存在3项跨年度未结算项目，此项扣1分，得分1分。</w:t>
      </w:r>
    </w:p>
    <w:p w14:paraId="68E6CF3A">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01" w:name="_Toc14802"/>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预决算信息公开性（2分）</w:t>
      </w:r>
      <w:bookmarkEnd w:id="301"/>
    </w:p>
    <w:p w14:paraId="79A8D4E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评价要点：是否按照政府信息公开有关规定及预决算批复文件中要求的格式、时限公开相关预决算信息，用以反映和评价部门预决算管理的公开透明情况。</w:t>
      </w:r>
    </w:p>
    <w:p w14:paraId="5CFCDD9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退役军人事务局严格遵循政府信息公开的相关规定及预算要求的具体格式与时限，于2024年2月在泉州市石狮市人民政府公开网上，全面地公布了其预算信息。该局又在2024年9月及时公开了当年度决算报告，确保了信息的透明度与公众的知情权。依据评分标准，此项得2分。</w:t>
      </w:r>
    </w:p>
    <w:p w14:paraId="6BCEAA52">
      <w:pPr>
        <w:widowControl w:val="0"/>
        <w:overflowPunct w:val="0"/>
        <w:snapToGrid/>
        <w:spacing w:line="408" w:lineRule="auto"/>
        <w:ind w:left="629"/>
        <w:jc w:val="both"/>
        <w:outlineLvl w:val="3"/>
        <w:rPr>
          <w:rFonts w:hint="eastAsia" w:ascii="仿宋" w:hAnsi="仿宋" w:eastAsia="仿宋" w:cs="仿宋"/>
          <w:color w:val="auto"/>
          <w:spacing w:val="3"/>
          <w:sz w:val="28"/>
          <w:szCs w:val="28"/>
          <w:lang w:eastAsia="zh-CN"/>
        </w:rPr>
      </w:pPr>
      <w:bookmarkStart w:id="302" w:name="_Toc16906"/>
      <w:r>
        <w:rPr>
          <w:rFonts w:hint="eastAsia" w:ascii="仿宋" w:hAnsi="仿宋" w:eastAsia="仿宋" w:cs="仿宋"/>
          <w:color w:val="auto"/>
          <w:spacing w:val="3"/>
          <w:sz w:val="28"/>
          <w:szCs w:val="28"/>
          <w:lang w:eastAsia="zh-CN"/>
        </w:rPr>
        <w:t>（5）</w:t>
      </w:r>
      <w:r>
        <w:rPr>
          <w:rFonts w:ascii="仿宋" w:hAnsi="仿宋" w:eastAsia="仿宋" w:cs="仿宋"/>
          <w:color w:val="auto"/>
          <w:spacing w:val="3"/>
          <w:sz w:val="28"/>
          <w:szCs w:val="28"/>
          <w:lang w:eastAsia="zh-CN"/>
        </w:rPr>
        <w:t>合同管理规范性（2分）</w:t>
      </w:r>
      <w:bookmarkEnd w:id="302"/>
    </w:p>
    <w:p w14:paraId="72690745">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评价要点：单位的合同管理是否规范；内容和权责是否明确；双方是否按照合同条款，履行合同的权利和义务</w:t>
      </w:r>
      <w:r>
        <w:rPr>
          <w:rFonts w:hint="eastAsia" w:ascii="仿宋" w:hAnsi="仿宋" w:eastAsia="仿宋" w:cs="仿宋"/>
          <w:color w:val="auto"/>
          <w:spacing w:val="3"/>
          <w:sz w:val="28"/>
          <w:szCs w:val="28"/>
          <w:lang w:eastAsia="zh-CN"/>
        </w:rPr>
        <w:t>。</w:t>
      </w:r>
    </w:p>
    <w:p w14:paraId="4248C91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经检查合同档案及凭证，发现石狮市退役军人事务局部分合同管理存在不规范问题：2024年8月1日支付石狮顶红装饰有限公司原301办公室修缮费28654元的合同中，验收单的竣工时间与验收时间均为空白，不符合《会计基础工作规范》（财会字〔1996〕19号）第四十八条关于原始凭证内容完整性的要求。根据评分标准，一项不符扣1分，此项得分1分。</w:t>
      </w:r>
    </w:p>
    <w:p w14:paraId="7D576E43">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03" w:name="_Toc3240"/>
      <w:r>
        <w:rPr>
          <w:rFonts w:ascii="仿宋" w:hAnsi="仿宋" w:eastAsia="仿宋" w:cs="仿宋"/>
          <w:color w:val="auto"/>
          <w:spacing w:val="3"/>
          <w:sz w:val="28"/>
          <w:szCs w:val="28"/>
          <w:lang w:eastAsia="zh-CN"/>
        </w:rPr>
        <w:t>（6）资产管理完整性（2分）</w:t>
      </w:r>
      <w:bookmarkEnd w:id="303"/>
    </w:p>
    <w:p w14:paraId="1E2E0AA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w:t>
      </w:r>
      <w:r>
        <w:rPr>
          <w:rFonts w:hint="eastAsia" w:ascii="仿宋" w:hAnsi="仿宋" w:eastAsia="仿宋" w:cs="仿宋"/>
          <w:color w:val="auto"/>
          <w:spacing w:val="3"/>
          <w:sz w:val="28"/>
          <w:szCs w:val="28"/>
          <w:lang w:eastAsia="zh-CN"/>
        </w:rPr>
        <w:t>主要通过检查</w:t>
      </w:r>
      <w:r>
        <w:rPr>
          <w:rFonts w:ascii="仿宋" w:hAnsi="仿宋" w:eastAsia="仿宋" w:cs="仿宋"/>
          <w:color w:val="auto"/>
          <w:spacing w:val="3"/>
          <w:sz w:val="28"/>
          <w:szCs w:val="28"/>
          <w:lang w:eastAsia="zh-CN"/>
        </w:rPr>
        <w:t>单位和下级单位资产管理制度是否健全</w:t>
      </w:r>
      <w:r>
        <w:rPr>
          <w:rFonts w:hint="eastAsia" w:ascii="仿宋" w:hAnsi="仿宋" w:eastAsia="仿宋" w:cs="仿宋"/>
          <w:color w:val="auto"/>
          <w:spacing w:val="3"/>
          <w:sz w:val="28"/>
          <w:szCs w:val="28"/>
          <w:lang w:eastAsia="zh-CN"/>
        </w:rPr>
        <w:t>，资产管理台账和实物是否账实相符</w:t>
      </w:r>
      <w:r>
        <w:rPr>
          <w:rFonts w:ascii="仿宋" w:hAnsi="仿宋" w:eastAsia="仿宋" w:cs="仿宋"/>
          <w:color w:val="auto"/>
          <w:spacing w:val="3"/>
          <w:sz w:val="28"/>
          <w:szCs w:val="28"/>
          <w:lang w:eastAsia="zh-CN"/>
        </w:rPr>
        <w:t>等</w:t>
      </w:r>
      <w:r>
        <w:rPr>
          <w:rFonts w:hint="eastAsia" w:ascii="仿宋" w:hAnsi="仿宋" w:eastAsia="仿宋" w:cs="仿宋"/>
          <w:color w:val="auto"/>
          <w:spacing w:val="3"/>
          <w:sz w:val="28"/>
          <w:szCs w:val="28"/>
          <w:lang w:eastAsia="zh-CN"/>
        </w:rPr>
        <w:t>，评价资产管理是否具有完整性。</w:t>
      </w:r>
    </w:p>
    <w:p w14:paraId="675BB4DB">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评价小组通过现场走访，石狮市退役军人事务局资产保存完整，有专人保管，固定资产日常使用与维护按照《石狮市行政事业单位固定资产日常管理细则》进行了详细规定，资产管理制度较为健全，根据评分标准，本项得2分。</w:t>
      </w:r>
    </w:p>
    <w:p w14:paraId="44362FFE">
      <w:pPr>
        <w:widowControl w:val="0"/>
        <w:numPr>
          <w:ilvl w:val="0"/>
          <w:numId w:val="12"/>
        </w:numPr>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04" w:name="_Toc25642"/>
      <w:r>
        <w:rPr>
          <w:rFonts w:ascii="仿宋" w:hAnsi="仿宋" w:eastAsia="仿宋" w:cs="仿宋"/>
          <w:color w:val="auto"/>
          <w:spacing w:val="3"/>
          <w:sz w:val="28"/>
          <w:szCs w:val="28"/>
          <w:lang w:eastAsia="zh-CN"/>
        </w:rPr>
        <w:t>绩效自评覆盖率（2分）</w:t>
      </w:r>
      <w:bookmarkEnd w:id="304"/>
    </w:p>
    <w:p w14:paraId="6DDBF57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305" w:name="_Toc9141"/>
      <w:r>
        <w:rPr>
          <w:rFonts w:ascii="仿宋" w:hAnsi="仿宋" w:eastAsia="仿宋" w:cs="仿宋"/>
          <w:color w:val="auto"/>
          <w:spacing w:val="3"/>
          <w:sz w:val="28"/>
          <w:szCs w:val="28"/>
          <w:lang w:eastAsia="zh-CN"/>
        </w:rPr>
        <w:t>评价要点：</w:t>
      </w:r>
      <w:bookmarkEnd w:id="305"/>
      <w:r>
        <w:rPr>
          <w:rFonts w:ascii="仿宋" w:hAnsi="仿宋" w:eastAsia="仿宋" w:cs="仿宋"/>
          <w:color w:val="auto"/>
          <w:spacing w:val="3"/>
          <w:sz w:val="28"/>
          <w:szCs w:val="28"/>
          <w:lang w:eastAsia="zh-CN"/>
        </w:rPr>
        <w:t>绩效自评覆盖率=自评项目支出金额/项目支出总额×100%，指标得分=绩效自评覆盖率/年度资金覆盖率要求×2×100%</w:t>
      </w:r>
      <w:r>
        <w:rPr>
          <w:rFonts w:hint="eastAsia" w:ascii="仿宋" w:hAnsi="仿宋" w:eastAsia="仿宋" w:cs="仿宋"/>
          <w:color w:val="auto"/>
          <w:spacing w:val="3"/>
          <w:sz w:val="28"/>
          <w:szCs w:val="28"/>
          <w:lang w:eastAsia="zh-CN"/>
        </w:rPr>
        <w:t>。用于部门绩效自评项目金额在部门项目预算资金总额中所占的比例，反映和评价部门对项目绩效自评工作的重视程度。</w:t>
      </w:r>
    </w:p>
    <w:p w14:paraId="2A64E06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306" w:name="_Toc28445"/>
      <w:bookmarkStart w:id="307" w:name="_Toc27270"/>
      <w:r>
        <w:rPr>
          <w:rFonts w:ascii="仿宋" w:hAnsi="仿宋" w:eastAsia="仿宋" w:cs="仿宋"/>
          <w:color w:val="auto"/>
          <w:spacing w:val="3"/>
          <w:sz w:val="28"/>
          <w:szCs w:val="28"/>
          <w:lang w:eastAsia="zh-CN"/>
        </w:rPr>
        <w:t>根据石狮市退役军人事务局提供的资料，2024年石狮市退役军人事务局的项目</w:t>
      </w:r>
      <w:r>
        <w:rPr>
          <w:rFonts w:hint="eastAsia" w:ascii="仿宋" w:hAnsi="仿宋" w:eastAsia="仿宋" w:cs="仿宋"/>
          <w:color w:val="auto"/>
          <w:spacing w:val="3"/>
          <w:sz w:val="28"/>
          <w:szCs w:val="28"/>
          <w:lang w:eastAsia="zh-CN"/>
        </w:rPr>
        <w:t>资金</w:t>
      </w:r>
      <w:r>
        <w:rPr>
          <w:rFonts w:ascii="仿宋" w:hAnsi="仿宋" w:eastAsia="仿宋" w:cs="仿宋"/>
          <w:color w:val="auto"/>
          <w:spacing w:val="3"/>
          <w:sz w:val="28"/>
          <w:szCs w:val="28"/>
          <w:lang w:eastAsia="zh-CN"/>
        </w:rPr>
        <w:t>全部开展了绩效自评并撰写绩效自评报告。部门绩效自评项目占比率100%。根据评分标准，此项得分2分。</w:t>
      </w:r>
    </w:p>
    <w:p w14:paraId="7B0180CB">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因此，过程共计得分19.5分。</w:t>
      </w:r>
    </w:p>
    <w:p w14:paraId="03B6E07D">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308" w:name="_Toc31717"/>
      <w:bookmarkStart w:id="309" w:name="_Toc21503"/>
      <w:r>
        <w:rPr>
          <w:rFonts w:hint="eastAsia" w:ascii="仿宋" w:hAnsi="仿宋" w:eastAsia="仿宋" w:cs="仿宋"/>
          <w:b/>
          <w:bCs/>
          <w:color w:val="auto"/>
          <w:spacing w:val="3"/>
          <w:sz w:val="28"/>
          <w:szCs w:val="28"/>
          <w:lang w:eastAsia="zh-CN"/>
        </w:rPr>
        <w:t>（三）产出（总分42分，得分35分）</w:t>
      </w:r>
      <w:bookmarkEnd w:id="306"/>
      <w:bookmarkEnd w:id="307"/>
      <w:bookmarkEnd w:id="308"/>
      <w:bookmarkEnd w:id="309"/>
    </w:p>
    <w:p w14:paraId="19CECEE3">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310" w:name="_Toc1456"/>
      <w:bookmarkStart w:id="311" w:name="_Toc26830"/>
      <w:bookmarkStart w:id="312" w:name="_Toc3471"/>
      <w:bookmarkStart w:id="313" w:name="_Toc4846"/>
      <w:bookmarkStart w:id="314" w:name="_Toc3105"/>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产出数量（</w:t>
      </w:r>
      <w:r>
        <w:rPr>
          <w:rFonts w:hint="eastAsia" w:ascii="仿宋" w:hAnsi="仿宋" w:eastAsia="仿宋" w:cs="仿宋"/>
          <w:color w:val="auto"/>
          <w:spacing w:val="3"/>
          <w:sz w:val="28"/>
          <w:szCs w:val="28"/>
          <w:lang w:eastAsia="zh-CN"/>
        </w:rPr>
        <w:t>分值18</w:t>
      </w:r>
      <w:r>
        <w:rPr>
          <w:rFonts w:ascii="仿宋" w:hAnsi="仿宋" w:eastAsia="仿宋" w:cs="仿宋"/>
          <w:color w:val="auto"/>
          <w:spacing w:val="3"/>
          <w:sz w:val="28"/>
          <w:szCs w:val="28"/>
          <w:lang w:eastAsia="zh-CN"/>
        </w:rPr>
        <w:t>分）</w:t>
      </w:r>
      <w:bookmarkEnd w:id="310"/>
      <w:bookmarkEnd w:id="311"/>
      <w:bookmarkEnd w:id="312"/>
      <w:bookmarkEnd w:id="313"/>
      <w:bookmarkEnd w:id="314"/>
    </w:p>
    <w:p w14:paraId="2DE3AC23">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15" w:name="_Toc19662"/>
      <w:r>
        <w:rPr>
          <w:rFonts w:ascii="仿宋" w:hAnsi="仿宋" w:eastAsia="仿宋" w:cs="仿宋"/>
          <w:color w:val="auto"/>
          <w:spacing w:val="3"/>
          <w:sz w:val="28"/>
          <w:szCs w:val="28"/>
          <w:lang w:eastAsia="zh-CN"/>
        </w:rPr>
        <w:t>（1）义务兵优待金发放人数（</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15"/>
    </w:p>
    <w:p w14:paraId="124F941B">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评价要点：义务兵优待金发放人数主要通过比较完成义务兵优待金发放人数与计划数，用以反映和考核完成义务兵优待金发放人数目标的实现程度。义务兵优待金发放人数≥104人（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分）；每少10人扣0.5分（不足10人的，按10人计算），扣完为止。</w:t>
      </w:r>
    </w:p>
    <w:p w14:paraId="11F19E0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根据《石狮市退役军人事务局关于发放2024年春季义务兵优待金和大学生入伍一次性奖励金有关事项的通知》（狮退役军人局〔2024〕21号）及《石狮市退役军人事务局关于发放2024年秋季义务兵优待金和大学生入伍一次性奖励金有关事项的通知》（狮退役军人局〔2024〕43号），发放对象</w:t>
      </w:r>
      <w:r>
        <w:rPr>
          <w:rFonts w:hint="eastAsia" w:ascii="仿宋" w:hAnsi="仿宋" w:eastAsia="仿宋" w:cs="仿宋"/>
          <w:color w:val="auto"/>
          <w:spacing w:val="3"/>
          <w:sz w:val="28"/>
          <w:szCs w:val="28"/>
          <w:lang w:eastAsia="zh-CN"/>
        </w:rPr>
        <w:t>为</w:t>
      </w:r>
      <w:r>
        <w:rPr>
          <w:rFonts w:ascii="仿宋" w:hAnsi="仿宋" w:eastAsia="仿宋" w:cs="仿宋"/>
          <w:color w:val="auto"/>
          <w:spacing w:val="3"/>
          <w:sz w:val="28"/>
          <w:szCs w:val="28"/>
          <w:lang w:eastAsia="zh-CN"/>
        </w:rPr>
        <w:t>2023年入伍的义务兵及大学生（含普通高等院校本科毕业生、专科毕业生、本科在校生和新生、专科在校生和新生）。2024年度共发放198</w:t>
      </w:r>
      <w:r>
        <w:rPr>
          <w:rFonts w:hint="eastAsia" w:ascii="仿宋" w:hAnsi="仿宋" w:eastAsia="仿宋" w:cs="仿宋"/>
          <w:color w:val="auto"/>
          <w:spacing w:val="3"/>
          <w:sz w:val="28"/>
          <w:szCs w:val="28"/>
          <w:lang w:eastAsia="zh-CN"/>
        </w:rPr>
        <w:t>人。</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7D488B05">
      <w:pPr>
        <w:widowControl w:val="0"/>
        <w:numPr>
          <w:ilvl w:val="0"/>
          <w:numId w:val="13"/>
        </w:numPr>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16" w:name="_Toc4031"/>
      <w:r>
        <w:rPr>
          <w:rFonts w:ascii="仿宋" w:hAnsi="仿宋" w:eastAsia="仿宋" w:cs="仿宋"/>
          <w:color w:val="auto"/>
          <w:spacing w:val="3"/>
          <w:sz w:val="28"/>
          <w:szCs w:val="28"/>
          <w:lang w:eastAsia="zh-CN"/>
        </w:rPr>
        <w:t>退役士兵补助人数（</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16"/>
    </w:p>
    <w:p w14:paraId="630A312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评价要点：退役士兵补助人数主要通过退役士兵补助</w:t>
      </w:r>
      <w:r>
        <w:rPr>
          <w:rFonts w:hint="eastAsia" w:ascii="仿宋" w:hAnsi="仿宋" w:eastAsia="仿宋" w:cs="仿宋"/>
          <w:color w:val="auto"/>
          <w:spacing w:val="3"/>
          <w:sz w:val="28"/>
          <w:szCs w:val="28"/>
          <w:lang w:eastAsia="zh-CN"/>
        </w:rPr>
        <w:t>实际完成</w:t>
      </w:r>
      <w:r>
        <w:rPr>
          <w:rFonts w:ascii="仿宋" w:hAnsi="仿宋" w:eastAsia="仿宋" w:cs="仿宋"/>
          <w:color w:val="auto"/>
          <w:spacing w:val="3"/>
          <w:sz w:val="28"/>
          <w:szCs w:val="28"/>
          <w:lang w:eastAsia="zh-CN"/>
        </w:rPr>
        <w:t>人数与计划数比较，用以反映和考核退役士兵补助</w:t>
      </w:r>
      <w:r>
        <w:rPr>
          <w:rFonts w:hint="eastAsia" w:ascii="仿宋" w:hAnsi="仿宋" w:eastAsia="仿宋" w:cs="仿宋"/>
          <w:color w:val="auto"/>
          <w:spacing w:val="3"/>
          <w:sz w:val="28"/>
          <w:szCs w:val="28"/>
          <w:lang w:eastAsia="zh-CN"/>
        </w:rPr>
        <w:t>人数</w:t>
      </w:r>
      <w:r>
        <w:rPr>
          <w:rFonts w:ascii="仿宋" w:hAnsi="仿宋" w:eastAsia="仿宋" w:cs="仿宋"/>
          <w:color w:val="auto"/>
          <w:spacing w:val="3"/>
          <w:sz w:val="28"/>
          <w:szCs w:val="28"/>
          <w:lang w:eastAsia="zh-CN"/>
        </w:rPr>
        <w:t>目标的实现程度。退役士兵补助人数≥90人（3分）；每少10人扣0.5分（不足10人的，按10人计算），扣完为止。</w:t>
      </w:r>
    </w:p>
    <w:p w14:paraId="190CAC9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根据石狮市退役军人事务局提供资料，2024年度退役士兵补助人数实际98人，根据评分标准，此项得分3分。</w:t>
      </w:r>
    </w:p>
    <w:p w14:paraId="1644F2C5">
      <w:pPr>
        <w:widowControl w:val="0"/>
        <w:numPr>
          <w:ilvl w:val="0"/>
          <w:numId w:val="13"/>
        </w:numPr>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17" w:name="_Toc14192"/>
      <w:r>
        <w:rPr>
          <w:rFonts w:ascii="仿宋" w:hAnsi="仿宋" w:eastAsia="仿宋" w:cs="仿宋"/>
          <w:color w:val="auto"/>
          <w:spacing w:val="3"/>
          <w:sz w:val="28"/>
          <w:szCs w:val="28"/>
          <w:lang w:eastAsia="zh-CN"/>
        </w:rPr>
        <w:t>享受医疗待遇优抚对象人数（3分）</w:t>
      </w:r>
      <w:bookmarkEnd w:id="317"/>
    </w:p>
    <w:p w14:paraId="6E223CF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主要通过享受医疗待遇优抚对象实际人数与计划数比较，用以反映和考核享受医疗待遇优抚对象人数目标的实现程度。享受医疗待遇优抚对象人数≥262人（3分）；每少10人扣0.5分（不足10人的，按10人计算），扣完为止。</w:t>
      </w:r>
    </w:p>
    <w:p w14:paraId="3289C1E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根据石狮市退役军人事务局提供资料，2024年度享受医疗待遇优抚对象人数实际262人，根据评分标准，此项得分3分。</w:t>
      </w:r>
    </w:p>
    <w:p w14:paraId="69E14DAE">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18" w:name="_Toc12414"/>
      <w:r>
        <w:rPr>
          <w:rFonts w:ascii="仿宋" w:hAnsi="仿宋" w:eastAsia="仿宋" w:cs="仿宋"/>
          <w:color w:val="auto"/>
          <w:spacing w:val="3"/>
          <w:sz w:val="28"/>
          <w:szCs w:val="28"/>
          <w:lang w:eastAsia="zh-CN"/>
        </w:rPr>
        <w:t>（4）优抚对象人数（3分）</w:t>
      </w:r>
      <w:bookmarkEnd w:id="318"/>
    </w:p>
    <w:p w14:paraId="036DE8FA">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评价要点：主要通过比较优抚对象人数完成数与计划数，用以反映和考核优抚对象</w:t>
      </w:r>
      <w:r>
        <w:rPr>
          <w:rFonts w:hint="eastAsia" w:ascii="仿宋" w:hAnsi="仿宋" w:eastAsia="仿宋" w:cs="仿宋"/>
          <w:color w:val="auto"/>
          <w:spacing w:val="3"/>
          <w:sz w:val="28"/>
          <w:szCs w:val="28"/>
          <w:lang w:eastAsia="zh-CN"/>
        </w:rPr>
        <w:t>人数</w:t>
      </w:r>
      <w:r>
        <w:rPr>
          <w:rFonts w:ascii="仿宋" w:hAnsi="仿宋" w:eastAsia="仿宋" w:cs="仿宋"/>
          <w:color w:val="auto"/>
          <w:spacing w:val="3"/>
          <w:sz w:val="28"/>
          <w:szCs w:val="28"/>
          <w:lang w:eastAsia="zh-CN"/>
        </w:rPr>
        <w:t>目标的实现程度。优抚对象人数≥2232人（3分）；每少10人扣0.5分（不足10人的，按10人计算），扣完为止。</w:t>
      </w:r>
    </w:p>
    <w:p w14:paraId="2A8F6D5A">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根据石狮市退役军人事务局提供的2024年1-12月份优抚对象经费表，抚恤人数为2422人。本项得分3分。</w:t>
      </w:r>
    </w:p>
    <w:p w14:paraId="5B62E7D1">
      <w:pPr>
        <w:widowControl w:val="0"/>
        <w:overflowPunct w:val="0"/>
        <w:snapToGrid/>
        <w:spacing w:line="408" w:lineRule="auto"/>
        <w:ind w:left="420" w:leftChars="200"/>
        <w:jc w:val="both"/>
        <w:outlineLvl w:val="3"/>
        <w:rPr>
          <w:rFonts w:hint="eastAsia" w:ascii="仿宋" w:hAnsi="仿宋" w:eastAsia="仿宋" w:cs="仿宋"/>
          <w:color w:val="auto"/>
          <w:spacing w:val="3"/>
          <w:sz w:val="28"/>
          <w:szCs w:val="28"/>
          <w:lang w:eastAsia="zh-CN"/>
        </w:rPr>
      </w:pPr>
      <w:bookmarkStart w:id="319" w:name="_Toc28638"/>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5</w:t>
      </w:r>
      <w:r>
        <w:rPr>
          <w:rFonts w:ascii="仿宋" w:hAnsi="仿宋" w:eastAsia="仿宋" w:cs="仿宋"/>
          <w:color w:val="auto"/>
          <w:spacing w:val="3"/>
          <w:sz w:val="28"/>
          <w:szCs w:val="28"/>
          <w:lang w:eastAsia="zh-CN"/>
        </w:rPr>
        <w:t>）企业退休军转干部人数（3分）</w:t>
      </w:r>
      <w:bookmarkEnd w:id="319"/>
    </w:p>
    <w:p w14:paraId="7C6419C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评价要点：主要通过比较企业退休军转干部人数完成数与计划数，用以反映和考核企业退休军转干部</w:t>
      </w:r>
      <w:r>
        <w:rPr>
          <w:rFonts w:hint="eastAsia" w:ascii="仿宋" w:hAnsi="仿宋" w:eastAsia="仿宋" w:cs="仿宋"/>
          <w:color w:val="auto"/>
          <w:spacing w:val="3"/>
          <w:sz w:val="28"/>
          <w:szCs w:val="28"/>
          <w:lang w:eastAsia="zh-CN"/>
        </w:rPr>
        <w:t>人数</w:t>
      </w:r>
      <w:r>
        <w:rPr>
          <w:rFonts w:ascii="仿宋" w:hAnsi="仿宋" w:eastAsia="仿宋" w:cs="仿宋"/>
          <w:color w:val="auto"/>
          <w:spacing w:val="3"/>
          <w:sz w:val="28"/>
          <w:szCs w:val="28"/>
          <w:lang w:eastAsia="zh-CN"/>
        </w:rPr>
        <w:t>目标的实现程度。企业退休军转干部人数≥32人（3分）；每少10人扣1分（不足10人的，按10人计算），扣完为止</w:t>
      </w:r>
      <w:r>
        <w:rPr>
          <w:rFonts w:hint="eastAsia" w:ascii="仿宋" w:hAnsi="仿宋" w:eastAsia="仿宋" w:cs="仿宋"/>
          <w:color w:val="auto"/>
          <w:spacing w:val="3"/>
          <w:sz w:val="28"/>
          <w:szCs w:val="28"/>
          <w:lang w:eastAsia="zh-CN"/>
        </w:rPr>
        <w:t>。</w:t>
      </w:r>
    </w:p>
    <w:p w14:paraId="273D29B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根据石狮市退役军人事务局提供资料，2024年企业退休军转干部人数属于本级管理17人，省属4人，合计21人，与目标相差9人。此项扣1分，得2分。</w:t>
      </w:r>
    </w:p>
    <w:p w14:paraId="7075AC8A">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20" w:name="_Toc337"/>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6</w:t>
      </w:r>
      <w:r>
        <w:rPr>
          <w:rFonts w:ascii="仿宋" w:hAnsi="仿宋" w:eastAsia="仿宋" w:cs="仿宋"/>
          <w:color w:val="auto"/>
          <w:spacing w:val="3"/>
          <w:sz w:val="28"/>
          <w:szCs w:val="28"/>
          <w:lang w:eastAsia="zh-CN"/>
        </w:rPr>
        <w:t>）科技文化拥军项目数（</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20"/>
    </w:p>
    <w:p w14:paraId="6D69154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评价要点：主要通过比较科技文化拥军项目数完成数与计划数，用以反映和考核科技文化拥军项目数</w:t>
      </w:r>
      <w:r>
        <w:rPr>
          <w:rFonts w:hint="eastAsia" w:ascii="仿宋" w:hAnsi="仿宋" w:eastAsia="仿宋" w:cs="仿宋"/>
          <w:color w:val="auto"/>
          <w:spacing w:val="3"/>
          <w:sz w:val="28"/>
          <w:szCs w:val="28"/>
          <w:lang w:eastAsia="zh-CN"/>
        </w:rPr>
        <w:t>量</w:t>
      </w:r>
      <w:r>
        <w:rPr>
          <w:rFonts w:ascii="仿宋" w:hAnsi="仿宋" w:eastAsia="仿宋" w:cs="仿宋"/>
          <w:color w:val="auto"/>
          <w:spacing w:val="3"/>
          <w:sz w:val="28"/>
          <w:szCs w:val="28"/>
          <w:lang w:eastAsia="zh-CN"/>
        </w:rPr>
        <w:t>目标的实现程度。科技文化拥军项目数≥9个（3分）；每少1个扣1分，扣完为止。</w:t>
      </w:r>
    </w:p>
    <w:p w14:paraId="73623B6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321" w:name="_Toc14869"/>
      <w:bookmarkStart w:id="322" w:name="_Toc9411"/>
      <w:bookmarkStart w:id="323" w:name="_Toc1094"/>
      <w:r>
        <w:rPr>
          <w:rFonts w:hint="eastAsia" w:ascii="仿宋" w:hAnsi="仿宋" w:eastAsia="仿宋" w:cs="仿宋"/>
          <w:color w:val="auto"/>
          <w:spacing w:val="3"/>
          <w:sz w:val="28"/>
          <w:szCs w:val="28"/>
          <w:lang w:eastAsia="zh-CN"/>
        </w:rPr>
        <w:t>根据石狮市退役军人事务局提供的资料，2024年度科技文化拥军项目实际完成数为0个，远未达到计划目标，此项得0分。</w:t>
      </w:r>
    </w:p>
    <w:p w14:paraId="1A8DCCF1">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324" w:name="_Toc20908"/>
      <w:bookmarkStart w:id="325" w:name="_Toc12467"/>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产出质量（</w:t>
      </w:r>
      <w:r>
        <w:rPr>
          <w:rFonts w:hint="eastAsia" w:ascii="仿宋" w:hAnsi="仿宋" w:eastAsia="仿宋" w:cs="仿宋"/>
          <w:color w:val="auto"/>
          <w:spacing w:val="3"/>
          <w:sz w:val="28"/>
          <w:szCs w:val="28"/>
          <w:lang w:eastAsia="zh-CN"/>
        </w:rPr>
        <w:t>分值18</w:t>
      </w:r>
      <w:r>
        <w:rPr>
          <w:rFonts w:ascii="仿宋" w:hAnsi="仿宋" w:eastAsia="仿宋" w:cs="仿宋"/>
          <w:color w:val="auto"/>
          <w:spacing w:val="3"/>
          <w:sz w:val="28"/>
          <w:szCs w:val="28"/>
          <w:lang w:eastAsia="zh-CN"/>
        </w:rPr>
        <w:t>分）</w:t>
      </w:r>
      <w:bookmarkEnd w:id="321"/>
      <w:bookmarkEnd w:id="322"/>
      <w:bookmarkEnd w:id="323"/>
      <w:bookmarkEnd w:id="324"/>
      <w:bookmarkEnd w:id="325"/>
    </w:p>
    <w:p w14:paraId="4CFBEA07">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26" w:name="_Toc16399"/>
      <w:r>
        <w:rPr>
          <w:rFonts w:ascii="仿宋" w:hAnsi="仿宋" w:eastAsia="仿宋" w:cs="仿宋"/>
          <w:color w:val="auto"/>
          <w:spacing w:val="3"/>
          <w:sz w:val="28"/>
          <w:szCs w:val="28"/>
          <w:lang w:eastAsia="zh-CN"/>
        </w:rPr>
        <w:t>（1）纪念烈士讲解员专业队伍建设（</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26"/>
    </w:p>
    <w:p w14:paraId="774DFC63">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评价要点：以烈士纪念设施讲解员队伍建设为核心指标，设定四档标准：具备专职讲解员且队伍稳定得3分；具备兼职讲解员且队伍较稳定得2分；仅有志愿者讲解员得1分；无讲解员得0分。</w:t>
      </w:r>
    </w:p>
    <w:p w14:paraId="05D846B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根据评价组实地走访及石狮市退役军人事务局提供的资料，石狮市烈士纪念设施讲解，日常依托学校老师等志愿者开展讲解工作，建立了一支专业和稳定性强的讲解队伍。根据评分标准，得3分。</w:t>
      </w:r>
    </w:p>
    <w:p w14:paraId="551ECCB3">
      <w:pPr>
        <w:widowControl w:val="0"/>
        <w:numPr>
          <w:ilvl w:val="0"/>
          <w:numId w:val="14"/>
        </w:numPr>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27" w:name="_Toc8040"/>
      <w:r>
        <w:rPr>
          <w:rFonts w:hint="eastAsia" w:ascii="仿宋" w:hAnsi="仿宋" w:eastAsia="仿宋" w:cs="仿宋"/>
          <w:color w:val="auto"/>
          <w:spacing w:val="3"/>
          <w:sz w:val="28"/>
          <w:szCs w:val="28"/>
          <w:lang w:eastAsia="zh-CN"/>
        </w:rPr>
        <w:t>资金发放到位率</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27"/>
    </w:p>
    <w:p w14:paraId="199FDB8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评价要点：资金发放到位率主要通过按相关政策标准足额发放补助资金数与应发放补助资金数的对比，考察部门工作开展，落实政策的实现程度。评分标准为到位率100%</w:t>
      </w:r>
      <w:r>
        <w:rPr>
          <w:rFonts w:hint="eastAsia" w:ascii="仿宋" w:hAnsi="仿宋" w:eastAsia="仿宋" w:cs="仿宋"/>
          <w:color w:val="auto"/>
          <w:spacing w:val="3"/>
          <w:sz w:val="28"/>
          <w:szCs w:val="28"/>
          <w:lang w:eastAsia="zh-CN"/>
        </w:rPr>
        <w:t>得3分</w:t>
      </w:r>
      <w:r>
        <w:rPr>
          <w:rFonts w:ascii="仿宋" w:hAnsi="仿宋" w:eastAsia="仿宋" w:cs="仿宋"/>
          <w:color w:val="auto"/>
          <w:spacing w:val="3"/>
          <w:sz w:val="28"/>
          <w:szCs w:val="28"/>
          <w:lang w:eastAsia="zh-CN"/>
        </w:rPr>
        <w:t>；每低于10%扣1分，至扣完为止。</w:t>
      </w:r>
    </w:p>
    <w:p w14:paraId="24B57E1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经检查石狮市退役军人事务局的优抚对象补助金相关发放凭证，2024年共发放优抚对象生活补助金1374.5万元，未发现资金未支付现象，资金发放到位率100%。本项得分3分。</w:t>
      </w:r>
    </w:p>
    <w:p w14:paraId="61B427F4">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28" w:name="_Toc26434"/>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军转干部培训通过率（</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28"/>
    </w:p>
    <w:p w14:paraId="576D9A6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评价要点：军转干部培训通过率≥90%</w:t>
      </w:r>
      <w:r>
        <w:rPr>
          <w:rFonts w:hint="eastAsia" w:ascii="仿宋" w:hAnsi="仿宋" w:eastAsia="仿宋" w:cs="仿宋"/>
          <w:color w:val="auto"/>
          <w:spacing w:val="3"/>
          <w:sz w:val="28"/>
          <w:szCs w:val="28"/>
          <w:lang w:eastAsia="zh-CN"/>
        </w:rPr>
        <w:t>得</w:t>
      </w:r>
      <w:r>
        <w:rPr>
          <w:rFonts w:ascii="仿宋" w:hAnsi="仿宋" w:eastAsia="仿宋" w:cs="仿宋"/>
          <w:color w:val="auto"/>
          <w:spacing w:val="3"/>
          <w:sz w:val="28"/>
          <w:szCs w:val="28"/>
          <w:lang w:eastAsia="zh-CN"/>
        </w:rPr>
        <w:t>3分；85%≤军转干部培训通过率&lt;90%</w:t>
      </w:r>
      <w:r>
        <w:rPr>
          <w:rFonts w:hint="eastAsia" w:ascii="仿宋" w:hAnsi="仿宋" w:eastAsia="仿宋" w:cs="仿宋"/>
          <w:color w:val="auto"/>
          <w:spacing w:val="3"/>
          <w:sz w:val="28"/>
          <w:szCs w:val="28"/>
          <w:lang w:eastAsia="zh-CN"/>
        </w:rPr>
        <w:t>得</w:t>
      </w:r>
      <w:r>
        <w:rPr>
          <w:rFonts w:ascii="仿宋" w:hAnsi="仿宋" w:eastAsia="仿宋" w:cs="仿宋"/>
          <w:color w:val="auto"/>
          <w:spacing w:val="3"/>
          <w:sz w:val="28"/>
          <w:szCs w:val="28"/>
          <w:lang w:eastAsia="zh-CN"/>
        </w:rPr>
        <w:t>2分；80%≤军转干部培训通过率&lt;85%</w:t>
      </w:r>
      <w:r>
        <w:rPr>
          <w:rFonts w:hint="eastAsia" w:ascii="仿宋" w:hAnsi="仿宋" w:eastAsia="仿宋" w:cs="仿宋"/>
          <w:color w:val="auto"/>
          <w:spacing w:val="3"/>
          <w:sz w:val="28"/>
          <w:szCs w:val="28"/>
          <w:lang w:eastAsia="zh-CN"/>
        </w:rPr>
        <w:t>得</w:t>
      </w:r>
      <w:r>
        <w:rPr>
          <w:rFonts w:ascii="仿宋" w:hAnsi="仿宋" w:eastAsia="仿宋" w:cs="仿宋"/>
          <w:color w:val="auto"/>
          <w:spacing w:val="3"/>
          <w:sz w:val="28"/>
          <w:szCs w:val="28"/>
          <w:lang w:eastAsia="zh-CN"/>
        </w:rPr>
        <w:t>1分；</w:t>
      </w:r>
      <w:r>
        <w:rPr>
          <w:rFonts w:hint="eastAsia" w:ascii="仿宋" w:hAnsi="仿宋" w:eastAsia="仿宋" w:cs="仿宋"/>
          <w:color w:val="auto"/>
          <w:spacing w:val="3"/>
          <w:sz w:val="28"/>
          <w:szCs w:val="28"/>
          <w:lang w:eastAsia="zh-CN"/>
        </w:rPr>
        <w:t>军</w:t>
      </w:r>
      <w:r>
        <w:rPr>
          <w:rFonts w:ascii="仿宋" w:hAnsi="仿宋" w:eastAsia="仿宋" w:cs="仿宋"/>
          <w:color w:val="auto"/>
          <w:spacing w:val="3"/>
          <w:sz w:val="28"/>
          <w:szCs w:val="28"/>
          <w:lang w:eastAsia="zh-CN"/>
        </w:rPr>
        <w:t>转干部培训通过率&lt;80%</w:t>
      </w:r>
      <w:r>
        <w:rPr>
          <w:rFonts w:hint="eastAsia" w:ascii="仿宋" w:hAnsi="仿宋" w:eastAsia="仿宋" w:cs="仿宋"/>
          <w:color w:val="auto"/>
          <w:spacing w:val="3"/>
          <w:sz w:val="28"/>
          <w:szCs w:val="28"/>
          <w:lang w:eastAsia="zh-CN"/>
        </w:rPr>
        <w:t>得</w:t>
      </w:r>
      <w:r>
        <w:rPr>
          <w:rFonts w:ascii="仿宋" w:hAnsi="仿宋" w:eastAsia="仿宋" w:cs="仿宋"/>
          <w:color w:val="auto"/>
          <w:spacing w:val="3"/>
          <w:sz w:val="28"/>
          <w:szCs w:val="28"/>
          <w:lang w:eastAsia="zh-CN"/>
        </w:rPr>
        <w:t>0分。</w:t>
      </w:r>
    </w:p>
    <w:p w14:paraId="22CA18D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2024年度，石狮市组织2844余名服务保障体系工作人员分11期在海洋职业学院开展培训，邀请福建省内及部分兄弟省市退役军人事务系统资深培训师授课，并严格实施结业考核。经统计，参训人员考试合格率达97.9%，远超90%的满分标准，此项得分3分。</w:t>
      </w:r>
    </w:p>
    <w:p w14:paraId="3E27063B">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29" w:name="_Toc29553"/>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）光荣牌台账管理规范性（</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29"/>
    </w:p>
    <w:p w14:paraId="7A26EC6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评价要点：是否建立光荣牌管理制度</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是否具备光荣牌台账；光荣牌台账记录是否规范，内容是否完整。一项不符扣1分，扣完为止。</w:t>
      </w:r>
    </w:p>
    <w:p w14:paraId="42475B7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根据光荣牌管理指标，经检查，光荣牌台账存在不规范问题，具体表现为被登记光荣牌的身份证信息多处重复、地址张冠李戴，与实际情况不符。根据评分标准，一项不符扣1分，此项扣1分，得2分。</w:t>
      </w:r>
    </w:p>
    <w:p w14:paraId="468CEBC7">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30" w:name="_Toc9054"/>
      <w:r>
        <w:rPr>
          <w:rFonts w:hint="eastAsia" w:ascii="仿宋" w:hAnsi="仿宋" w:eastAsia="仿宋" w:cs="仿宋"/>
          <w:color w:val="auto"/>
          <w:spacing w:val="3"/>
          <w:sz w:val="28"/>
          <w:szCs w:val="28"/>
          <w:lang w:eastAsia="zh-CN"/>
        </w:rPr>
        <w:t>（5）</w:t>
      </w:r>
      <w:r>
        <w:rPr>
          <w:rFonts w:ascii="仿宋" w:hAnsi="仿宋" w:eastAsia="仿宋" w:cs="仿宋"/>
          <w:color w:val="auto"/>
          <w:spacing w:val="3"/>
          <w:sz w:val="28"/>
          <w:szCs w:val="28"/>
          <w:lang w:eastAsia="zh-CN"/>
        </w:rPr>
        <w:t>2024年度绩效考评结果（</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30"/>
    </w:p>
    <w:p w14:paraId="273DFB53">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w:t>
      </w:r>
      <w:bookmarkStart w:id="471" w:name="_GoBack"/>
      <w:bookmarkEnd w:id="471"/>
      <w:r>
        <w:rPr>
          <w:rFonts w:ascii="仿宋" w:hAnsi="仿宋" w:eastAsia="仿宋" w:cs="仿宋"/>
          <w:color w:val="auto"/>
          <w:spacing w:val="3"/>
          <w:sz w:val="28"/>
          <w:szCs w:val="28"/>
          <w:lang w:eastAsia="zh-CN"/>
        </w:rPr>
        <w:t>按照《2024年度石狮市绩效管理工作方案》（狮委办〔2024〕36号）要求，获得优秀等次得分3分；良好等次得分2分，合格等次得分1分。</w:t>
      </w:r>
    </w:p>
    <w:p w14:paraId="0FDF6450">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根据《石狮市机关效能建设领导小组关于2024年度全市绩效考评结果的通报》（狮效〔2025〕1号），石狮市退役军人事务局获得第二系列，即市政府工作部门优秀等次，得分3分。</w:t>
      </w:r>
    </w:p>
    <w:p w14:paraId="08181DA5">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31" w:name="_Toc22293"/>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6</w:t>
      </w:r>
      <w:r>
        <w:rPr>
          <w:rFonts w:ascii="仿宋" w:hAnsi="仿宋" w:eastAsia="仿宋" w:cs="仿宋"/>
          <w:color w:val="auto"/>
          <w:spacing w:val="3"/>
          <w:sz w:val="28"/>
          <w:szCs w:val="28"/>
          <w:lang w:eastAsia="zh-CN"/>
        </w:rPr>
        <w:t>）退役士兵安置率（</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31"/>
    </w:p>
    <w:p w14:paraId="2035E87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主要通过年度退役士兵安置数与应安置数的对比，完成退役士兵安置的实现程度。安置率100%</w:t>
      </w:r>
      <w:r>
        <w:rPr>
          <w:rFonts w:hint="eastAsia" w:ascii="仿宋" w:hAnsi="仿宋" w:eastAsia="仿宋" w:cs="仿宋"/>
          <w:color w:val="auto"/>
          <w:spacing w:val="3"/>
          <w:sz w:val="28"/>
          <w:szCs w:val="28"/>
          <w:lang w:eastAsia="zh-CN"/>
        </w:rPr>
        <w:t>得3分</w:t>
      </w:r>
      <w:r>
        <w:rPr>
          <w:rFonts w:ascii="仿宋" w:hAnsi="仿宋" w:eastAsia="仿宋" w:cs="仿宋"/>
          <w:color w:val="auto"/>
          <w:spacing w:val="3"/>
          <w:sz w:val="28"/>
          <w:szCs w:val="28"/>
          <w:lang w:eastAsia="zh-CN"/>
        </w:rPr>
        <w:t>；每低于10%扣1分，</w:t>
      </w:r>
      <w:r>
        <w:rPr>
          <w:rFonts w:hint="eastAsia" w:ascii="仿宋" w:hAnsi="仿宋" w:eastAsia="仿宋" w:cs="仿宋"/>
          <w:color w:val="auto"/>
          <w:spacing w:val="3"/>
          <w:sz w:val="28"/>
          <w:szCs w:val="28"/>
          <w:lang w:eastAsia="zh-CN"/>
        </w:rPr>
        <w:t>直</w:t>
      </w:r>
      <w:r>
        <w:rPr>
          <w:rFonts w:ascii="仿宋" w:hAnsi="仿宋" w:eastAsia="仿宋" w:cs="仿宋"/>
          <w:color w:val="auto"/>
          <w:spacing w:val="3"/>
          <w:sz w:val="28"/>
          <w:szCs w:val="28"/>
          <w:lang w:eastAsia="zh-CN"/>
        </w:rPr>
        <w:t>至扣完为止。</w:t>
      </w:r>
    </w:p>
    <w:p w14:paraId="4F24909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332" w:name="_Toc18904"/>
      <w:bookmarkStart w:id="333" w:name="_Toc21919"/>
      <w:bookmarkStart w:id="334" w:name="_Toc27809"/>
      <w:r>
        <w:rPr>
          <w:rFonts w:hint="eastAsia" w:ascii="仿宋" w:hAnsi="仿宋" w:eastAsia="仿宋" w:cs="仿宋"/>
          <w:color w:val="auto"/>
          <w:spacing w:val="3"/>
          <w:sz w:val="28"/>
          <w:szCs w:val="28"/>
          <w:lang w:eastAsia="zh-CN"/>
        </w:rPr>
        <w:t>因项目单位明确安置名单不方便提供，经现场查阅，2024年接收军队转业干部6名，接收符合政府安排工作退役士兵12名。转业军官100%安置进公务员（含参公）队伍，符合政府安排工作退役士兵100%安置进事业单位和国有企业的要求。本项得分3分。</w:t>
      </w:r>
    </w:p>
    <w:p w14:paraId="48CC1639">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335" w:name="_Toc30485"/>
      <w:bookmarkStart w:id="336" w:name="_Toc28327"/>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产出时效（</w:t>
      </w:r>
      <w:r>
        <w:rPr>
          <w:rFonts w:hint="eastAsia" w:ascii="仿宋" w:hAnsi="仿宋" w:eastAsia="仿宋" w:cs="仿宋"/>
          <w:color w:val="auto"/>
          <w:spacing w:val="3"/>
          <w:sz w:val="28"/>
          <w:szCs w:val="28"/>
          <w:lang w:eastAsia="zh-CN"/>
        </w:rPr>
        <w:t>分值3分</w:t>
      </w:r>
      <w:r>
        <w:rPr>
          <w:rFonts w:ascii="仿宋" w:hAnsi="仿宋" w:eastAsia="仿宋" w:cs="仿宋"/>
          <w:color w:val="auto"/>
          <w:spacing w:val="3"/>
          <w:sz w:val="28"/>
          <w:szCs w:val="28"/>
          <w:lang w:eastAsia="zh-CN"/>
        </w:rPr>
        <w:t>）</w:t>
      </w:r>
      <w:bookmarkEnd w:id="332"/>
      <w:bookmarkEnd w:id="333"/>
      <w:bookmarkEnd w:id="334"/>
      <w:bookmarkEnd w:id="335"/>
      <w:bookmarkEnd w:id="336"/>
    </w:p>
    <w:p w14:paraId="587D5DF9">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37" w:name="_Toc22588"/>
      <w:r>
        <w:rPr>
          <w:rFonts w:ascii="仿宋" w:hAnsi="仿宋" w:eastAsia="仿宋" w:cs="仿宋"/>
          <w:color w:val="auto"/>
          <w:spacing w:val="3"/>
          <w:sz w:val="28"/>
          <w:szCs w:val="28"/>
          <w:lang w:eastAsia="zh-CN"/>
        </w:rPr>
        <w:t>专项资金支付及时率</w:t>
      </w:r>
      <w:r>
        <w:rPr>
          <w:rFonts w:hint="eastAsia" w:ascii="仿宋" w:hAnsi="仿宋" w:eastAsia="仿宋" w:cs="仿宋"/>
          <w:color w:val="auto"/>
          <w:spacing w:val="3"/>
          <w:sz w:val="28"/>
          <w:szCs w:val="28"/>
          <w:lang w:eastAsia="zh-CN"/>
        </w:rPr>
        <w:t>（3分）</w:t>
      </w:r>
      <w:bookmarkEnd w:id="337"/>
    </w:p>
    <w:p w14:paraId="5C8B0E6B">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评价要点：在一年的考核周期内，专项资金的支付及时率。支付及时率 =（实际及时支付的资金总额÷应支付的资金总额）× 100%</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其中，实际及时支付的资金总额指在规定时间内完成支付的资金数额；应支付的资金总额指根据项目合同和进度安排，在该考核周期内需要支付的资金总额。支付及时率100%（3分）；90%≤支付及时率&lt;100%（2分）；80%≤支付及时率&lt;90%（1分）；支付及时率&lt;70%（0分）。</w:t>
      </w:r>
    </w:p>
    <w:p w14:paraId="5DB50D7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338" w:name="_Toc585"/>
      <w:bookmarkStart w:id="339" w:name="_Toc5020"/>
      <w:bookmarkStart w:id="340" w:name="_Toc20817"/>
      <w:r>
        <w:rPr>
          <w:rFonts w:hint="eastAsia" w:ascii="仿宋" w:hAnsi="仿宋" w:eastAsia="仿宋" w:cs="仿宋"/>
          <w:color w:val="auto"/>
          <w:spacing w:val="3"/>
          <w:sz w:val="28"/>
          <w:szCs w:val="28"/>
          <w:lang w:eastAsia="zh-CN"/>
        </w:rPr>
        <w:t>截至2024年12月，石狮市退役军人事务局存在多笔专项资金支付及时率低的问题，具体涉及：无军籍退休人员省级补助4.32万元（全额未支付）、退役军人服务中心（站）市级补助经费3万元（因2024年未做资产预算，采购空调款项全额未支付）、优抚对象医疗补助34.42万元（因重点对象医疗报销规定未出台，未支付25.69万元）、拥军优属65万元（全额未支付）。由于多项专项资金使用率低，根据考核标准，此项扣2分，得分1分。</w:t>
      </w:r>
    </w:p>
    <w:p w14:paraId="05D26BF8">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341" w:name="_Toc23135"/>
      <w:bookmarkStart w:id="342" w:name="_Toc29009"/>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产出成本（</w:t>
      </w:r>
      <w:r>
        <w:rPr>
          <w:rFonts w:hint="eastAsia" w:ascii="仿宋" w:hAnsi="仿宋" w:eastAsia="仿宋" w:cs="仿宋"/>
          <w:color w:val="auto"/>
          <w:spacing w:val="3"/>
          <w:sz w:val="28"/>
          <w:szCs w:val="28"/>
          <w:lang w:eastAsia="zh-CN"/>
        </w:rPr>
        <w:t>分值3</w:t>
      </w:r>
      <w:r>
        <w:rPr>
          <w:rFonts w:ascii="仿宋" w:hAnsi="仿宋" w:eastAsia="仿宋" w:cs="仿宋"/>
          <w:color w:val="auto"/>
          <w:spacing w:val="3"/>
          <w:sz w:val="28"/>
          <w:szCs w:val="28"/>
          <w:lang w:eastAsia="zh-CN"/>
        </w:rPr>
        <w:t>分）</w:t>
      </w:r>
      <w:bookmarkEnd w:id="338"/>
      <w:bookmarkEnd w:id="339"/>
      <w:bookmarkEnd w:id="340"/>
      <w:bookmarkEnd w:id="341"/>
      <w:bookmarkEnd w:id="342"/>
    </w:p>
    <w:p w14:paraId="7484C57C">
      <w:pPr>
        <w:widowControl w:val="0"/>
        <w:tabs>
          <w:tab w:val="left" w:pos="1002"/>
        </w:tabs>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43" w:name="_Toc12427"/>
      <w:r>
        <w:rPr>
          <w:rFonts w:hint="eastAsia" w:ascii="仿宋" w:hAnsi="仿宋" w:eastAsia="仿宋" w:cs="仿宋"/>
          <w:color w:val="auto"/>
          <w:spacing w:val="3"/>
          <w:sz w:val="28"/>
          <w:szCs w:val="28"/>
          <w:lang w:eastAsia="zh-CN"/>
        </w:rPr>
        <w:t>成本控制率（3分）</w:t>
      </w:r>
      <w:bookmarkEnd w:id="343"/>
    </w:p>
    <w:p w14:paraId="24990F53">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评价要点：成本控制率=截至年末累计支出数/概算或当年度预算×100%。成本控制率≦100得满分，每超10%扣1分，扣完为止。</w:t>
      </w:r>
    </w:p>
    <w:p w14:paraId="1EED9E93">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344" w:name="_Toc12906"/>
      <w:bookmarkStart w:id="345" w:name="_Toc14650"/>
      <w:bookmarkStart w:id="346" w:name="_Toc5788"/>
      <w:bookmarkStart w:id="347" w:name="_Toc2938"/>
      <w:r>
        <w:rPr>
          <w:rFonts w:ascii="仿宋" w:hAnsi="仿宋" w:eastAsia="仿宋" w:cs="仿宋"/>
          <w:color w:val="auto"/>
          <w:spacing w:val="3"/>
          <w:sz w:val="28"/>
          <w:szCs w:val="28"/>
          <w:lang w:eastAsia="zh-CN"/>
        </w:rPr>
        <w:t>经评价组审查，</w:t>
      </w:r>
      <w:bookmarkEnd w:id="344"/>
      <w:bookmarkEnd w:id="345"/>
      <w:r>
        <w:rPr>
          <w:rFonts w:ascii="仿宋" w:hAnsi="仿宋" w:eastAsia="仿宋" w:cs="仿宋"/>
          <w:color w:val="auto"/>
          <w:spacing w:val="3"/>
          <w:sz w:val="28"/>
          <w:szCs w:val="28"/>
          <w:lang w:eastAsia="zh-CN"/>
        </w:rPr>
        <w:t>石狮市退役军人事务局提供的202</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年决算报表的收入支出决算总表，成本控制率=截至年末累计支出数/概算或当年度预算×100%=（4677.95/4749.66）×100%=98%，根据评分标准，得分3分。</w:t>
      </w:r>
    </w:p>
    <w:p w14:paraId="1CE9227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因此，产出共计得分35分。</w:t>
      </w:r>
    </w:p>
    <w:p w14:paraId="36DB86B2">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348" w:name="_Toc3232"/>
      <w:bookmarkStart w:id="349" w:name="_Toc28575"/>
      <w:r>
        <w:rPr>
          <w:rFonts w:ascii="仿宋" w:hAnsi="仿宋" w:eastAsia="仿宋" w:cs="仿宋"/>
          <w:b/>
          <w:bCs/>
          <w:color w:val="auto"/>
          <w:spacing w:val="3"/>
          <w:sz w:val="28"/>
          <w:szCs w:val="28"/>
          <w:lang w:eastAsia="zh-CN"/>
        </w:rPr>
        <w:t>（四）效益（</w:t>
      </w:r>
      <w:r>
        <w:rPr>
          <w:rFonts w:hint="eastAsia" w:ascii="仿宋" w:hAnsi="仿宋" w:eastAsia="仿宋" w:cs="仿宋"/>
          <w:b/>
          <w:bCs/>
          <w:color w:val="auto"/>
          <w:spacing w:val="3"/>
          <w:sz w:val="28"/>
          <w:szCs w:val="28"/>
          <w:lang w:eastAsia="zh-CN"/>
        </w:rPr>
        <w:t>24</w:t>
      </w:r>
      <w:r>
        <w:rPr>
          <w:rFonts w:ascii="仿宋" w:hAnsi="仿宋" w:eastAsia="仿宋" w:cs="仿宋"/>
          <w:b/>
          <w:bCs/>
          <w:color w:val="auto"/>
          <w:spacing w:val="3"/>
          <w:sz w:val="28"/>
          <w:szCs w:val="28"/>
          <w:lang w:eastAsia="zh-CN"/>
        </w:rPr>
        <w:t>分，得</w:t>
      </w:r>
      <w:r>
        <w:rPr>
          <w:rFonts w:hint="eastAsia" w:ascii="仿宋" w:hAnsi="仿宋" w:eastAsia="仿宋" w:cs="仿宋"/>
          <w:b/>
          <w:bCs/>
          <w:color w:val="auto"/>
          <w:spacing w:val="3"/>
          <w:sz w:val="28"/>
          <w:szCs w:val="28"/>
          <w:lang w:eastAsia="zh-CN"/>
        </w:rPr>
        <w:t>分22</w:t>
      </w:r>
      <w:r>
        <w:rPr>
          <w:rFonts w:ascii="仿宋" w:hAnsi="仿宋" w:eastAsia="仿宋" w:cs="仿宋"/>
          <w:b/>
          <w:bCs/>
          <w:color w:val="auto"/>
          <w:spacing w:val="3"/>
          <w:sz w:val="28"/>
          <w:szCs w:val="28"/>
          <w:lang w:eastAsia="zh-CN"/>
        </w:rPr>
        <w:t>分）</w:t>
      </w:r>
      <w:bookmarkEnd w:id="346"/>
      <w:bookmarkEnd w:id="347"/>
      <w:bookmarkEnd w:id="348"/>
      <w:bookmarkEnd w:id="349"/>
    </w:p>
    <w:p w14:paraId="1ECB2A3E">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350" w:name="_Toc21851"/>
      <w:bookmarkStart w:id="351" w:name="_Toc7537"/>
      <w:bookmarkStart w:id="352" w:name="_Toc25556"/>
      <w:bookmarkStart w:id="353" w:name="_Toc26881"/>
      <w:bookmarkStart w:id="354" w:name="_Toc10119"/>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社会效益（</w:t>
      </w:r>
      <w:r>
        <w:rPr>
          <w:rFonts w:hint="eastAsia" w:ascii="仿宋" w:hAnsi="仿宋" w:eastAsia="仿宋" w:cs="仿宋"/>
          <w:color w:val="auto"/>
          <w:spacing w:val="3"/>
          <w:sz w:val="28"/>
          <w:szCs w:val="28"/>
          <w:lang w:eastAsia="zh-CN"/>
        </w:rPr>
        <w:t>分值12</w:t>
      </w:r>
      <w:r>
        <w:rPr>
          <w:rFonts w:ascii="仿宋" w:hAnsi="仿宋" w:eastAsia="仿宋" w:cs="仿宋"/>
          <w:color w:val="auto"/>
          <w:spacing w:val="3"/>
          <w:sz w:val="28"/>
          <w:szCs w:val="28"/>
          <w:lang w:eastAsia="zh-CN"/>
        </w:rPr>
        <w:t>分）</w:t>
      </w:r>
      <w:bookmarkEnd w:id="350"/>
      <w:bookmarkEnd w:id="351"/>
      <w:bookmarkEnd w:id="352"/>
      <w:bookmarkEnd w:id="353"/>
      <w:bookmarkEnd w:id="354"/>
    </w:p>
    <w:p w14:paraId="73203C40">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55" w:name="_Toc7699"/>
      <w:r>
        <w:rPr>
          <w:rFonts w:ascii="仿宋" w:hAnsi="仿宋" w:eastAsia="仿宋" w:cs="仿宋"/>
          <w:color w:val="auto"/>
          <w:spacing w:val="3"/>
          <w:sz w:val="28"/>
          <w:szCs w:val="28"/>
          <w:lang w:eastAsia="zh-CN"/>
        </w:rPr>
        <w:t>（1）双拥标识标语建设（3分）</w:t>
      </w:r>
      <w:bookmarkEnd w:id="355"/>
    </w:p>
    <w:p w14:paraId="36B4582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①永久性双拥标识：是否在城市主干道、公园、广场等显著区域设置永久性双拥标识，且设计规范、维护良好。②临时标语更换频率：临时标语是否按季度或重大节点及时更新；③内容时效性：标语内容是否与最新政策、活动相符，无过时或错误信息。每项达标得1分，未达标按问题严重程度扣0.5分，总分3分，扣完为止</w:t>
      </w:r>
      <w:r>
        <w:rPr>
          <w:rFonts w:hint="eastAsia" w:ascii="仿宋" w:hAnsi="仿宋" w:eastAsia="仿宋" w:cs="仿宋"/>
          <w:color w:val="auto"/>
          <w:spacing w:val="3"/>
          <w:sz w:val="28"/>
          <w:szCs w:val="28"/>
          <w:lang w:eastAsia="zh-CN"/>
        </w:rPr>
        <w:t>。</w:t>
      </w:r>
    </w:p>
    <w:p w14:paraId="3FA61E57">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经实地检查，德惠广场、石光中学等地与店家合作设置了显著区域设置永久性双拥标识，且设计规范、维护良好。</w:t>
      </w:r>
      <w:r>
        <w:rPr>
          <w:rFonts w:hint="eastAsia" w:ascii="仿宋" w:hAnsi="仿宋" w:eastAsia="仿宋" w:cs="仿宋"/>
          <w:color w:val="auto"/>
          <w:spacing w:val="3"/>
          <w:sz w:val="28"/>
          <w:szCs w:val="28"/>
          <w:lang w:eastAsia="zh-CN"/>
        </w:rPr>
        <w:t>日常</w:t>
      </w:r>
      <w:r>
        <w:rPr>
          <w:rFonts w:ascii="仿宋" w:hAnsi="仿宋" w:eastAsia="仿宋" w:cs="仿宋"/>
          <w:color w:val="auto"/>
          <w:spacing w:val="3"/>
          <w:sz w:val="28"/>
          <w:szCs w:val="28"/>
          <w:lang w:eastAsia="zh-CN"/>
        </w:rPr>
        <w:t>通过反馈检查进行更换</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未发现标语内容过时或错误问题，根据评分标准，此项得分</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62E6D176">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56" w:name="_Toc9873"/>
      <w:r>
        <w:rPr>
          <w:rFonts w:hint="eastAsia" w:ascii="仿宋" w:hAnsi="仿宋" w:eastAsia="仿宋" w:cs="仿宋"/>
          <w:color w:val="auto"/>
          <w:spacing w:val="3"/>
          <w:sz w:val="28"/>
          <w:szCs w:val="28"/>
          <w:lang w:eastAsia="zh-CN"/>
        </w:rPr>
        <w:t>（2）对优抚对象生活改善效果（3分）</w:t>
      </w:r>
      <w:bookmarkEnd w:id="356"/>
    </w:p>
    <w:p w14:paraId="4BFE7E3F">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评价要点：评估补助资金的发放对优抚对象生活质量的提升程度</w:t>
      </w:r>
      <w:r>
        <w:rPr>
          <w:rFonts w:hint="eastAsia" w:ascii="仿宋" w:hAnsi="仿宋" w:eastAsia="仿宋" w:cs="仿宋"/>
          <w:color w:val="auto"/>
          <w:spacing w:val="3"/>
          <w:sz w:val="28"/>
          <w:szCs w:val="28"/>
          <w:lang w:eastAsia="zh-CN"/>
        </w:rPr>
        <w:t>，衡量补</w:t>
      </w:r>
      <w:r>
        <w:rPr>
          <w:rFonts w:ascii="仿宋" w:hAnsi="仿宋" w:eastAsia="仿宋" w:cs="仿宋"/>
          <w:color w:val="auto"/>
          <w:spacing w:val="3"/>
          <w:sz w:val="28"/>
          <w:szCs w:val="28"/>
          <w:lang w:eastAsia="zh-CN"/>
        </w:rPr>
        <w:t>助资金对优抚对象的生活</w:t>
      </w:r>
      <w:r>
        <w:rPr>
          <w:rFonts w:hint="eastAsia" w:ascii="仿宋" w:hAnsi="仿宋" w:eastAsia="仿宋" w:cs="仿宋"/>
          <w:color w:val="auto"/>
          <w:spacing w:val="3"/>
          <w:sz w:val="28"/>
          <w:szCs w:val="28"/>
          <w:lang w:eastAsia="zh-CN"/>
        </w:rPr>
        <w:t>起到</w:t>
      </w:r>
      <w:r>
        <w:rPr>
          <w:rFonts w:ascii="仿宋" w:hAnsi="仿宋" w:eastAsia="仿宋" w:cs="仿宋"/>
          <w:color w:val="auto"/>
          <w:spacing w:val="3"/>
          <w:sz w:val="28"/>
          <w:szCs w:val="28"/>
          <w:lang w:eastAsia="zh-CN"/>
        </w:rPr>
        <w:t>改善作用</w:t>
      </w:r>
      <w:r>
        <w:rPr>
          <w:rFonts w:hint="eastAsia" w:ascii="仿宋" w:hAnsi="仿宋" w:eastAsia="仿宋" w:cs="仿宋"/>
          <w:color w:val="auto"/>
          <w:spacing w:val="3"/>
          <w:sz w:val="28"/>
          <w:szCs w:val="28"/>
          <w:lang w:eastAsia="zh-CN"/>
        </w:rPr>
        <w:t>。</w:t>
      </w:r>
    </w:p>
    <w:p w14:paraId="7D3E23AE">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石狮市退役军人事务局聚焦优抚对象、义务兵家属及60周岁以上农村籍退役士兵等群体，累计发放各类补助金、优待金、体检费等共计2370.17万元。资金分配严格遵循</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精准保障、差异扶持</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原则，针对生活困难优抚对象主动提高补助标准，重点覆盖食品、住房、医疗等基本生活需求；同步实施就业培训与创业扶持计划，通过技能提升与资源对接助力优抚对象增加收入、改善生活条件。</w:t>
      </w:r>
      <w:r>
        <w:rPr>
          <w:rFonts w:hint="eastAsia" w:ascii="仿宋" w:hAnsi="仿宋" w:eastAsia="仿宋" w:cs="仿宋"/>
          <w:color w:val="auto"/>
          <w:spacing w:val="3"/>
          <w:sz w:val="28"/>
          <w:szCs w:val="28"/>
          <w:lang w:eastAsia="zh-CN"/>
        </w:rPr>
        <w:t>根据</w:t>
      </w:r>
      <w:r>
        <w:rPr>
          <w:rFonts w:ascii="仿宋" w:hAnsi="仿宋" w:eastAsia="仿宋" w:cs="仿宋"/>
          <w:color w:val="auto"/>
          <w:spacing w:val="3"/>
          <w:sz w:val="28"/>
          <w:szCs w:val="28"/>
          <w:lang w:eastAsia="zh-CN"/>
        </w:rPr>
        <w:t>评分标准，此项工作因资金覆盖全面、需求响应及时、扶持措施有效，此项得分3分。</w:t>
      </w:r>
    </w:p>
    <w:p w14:paraId="53EBC086">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57" w:name="_Toc13284"/>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困难退役士兵总体稳定覆盖率（</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57"/>
    </w:p>
    <w:p w14:paraId="1645A754">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评价要点：通过政策帮扶、就业支持等综合措施，确保辖区内困难退役士兵群体中保持生活、心理和社会关系总体稳定的人员占比，反映帮扶措施对群体稳定性的实际覆盖效果。</w:t>
      </w:r>
    </w:p>
    <w:p w14:paraId="09310268">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计算公式：稳定覆盖率 =（当年稳定状态困难退役士兵人数 / 登记在册困难退役士兵总人数）×100%</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①稳定覆盖率 ≥95%，且无重大群体性不稳定事件（得3分）；②稳定覆盖率 85%</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94%，或发生1起一般性不稳定事件但及时化解（得2分）；③稳定覆盖率 70%</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84%，或发生2起一般性不稳定事件（得1分）；④稳定覆盖率 &lt;70%，或发生重大群体性不稳定事件（得0分）。</w:t>
      </w:r>
    </w:p>
    <w:p w14:paraId="38360ECC">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退役军人事务部门年度统计数据和社区/基层单位定期走访记录。2024年促进困难退役士兵保持总体稳定覆盖面一是通过定期调研走访，梳理困难退役军人情况，适时掌握全市困难退役军人生活状况，认真研判困难退役军人困难原因，建立困难退役军人帮扶台账，做到“一人一档”，并将信息及时录入系统，使系统运行步入正轨；二是利用市、镇、村三级联动和常态化联系退役军人机制，实时对辖区内困难退役军人进行更新，做到定期摸排，不漏一人；三是开展“网格化+信息化”双化服务，由</w:t>
      </w:r>
      <w:r>
        <w:rPr>
          <w:rFonts w:hint="eastAsia" w:ascii="仿宋" w:hAnsi="仿宋" w:eastAsia="仿宋" w:cs="仿宋"/>
          <w:color w:val="auto"/>
          <w:spacing w:val="3"/>
          <w:sz w:val="28"/>
          <w:szCs w:val="28"/>
          <w:lang w:eastAsia="zh-CN"/>
        </w:rPr>
        <w:t>村“两委”</w:t>
      </w:r>
      <w:r>
        <w:rPr>
          <w:rFonts w:ascii="仿宋" w:hAnsi="仿宋" w:eastAsia="仿宋" w:cs="仿宋"/>
          <w:color w:val="auto"/>
          <w:spacing w:val="3"/>
          <w:sz w:val="28"/>
          <w:szCs w:val="28"/>
          <w:lang w:eastAsia="zh-CN"/>
        </w:rPr>
        <w:t>担任网格管理员，适时利用泉州市退役军人信息管理系统小程序进行困难退役军人的摸排调查工作，全面掌握信息并通过小程序及时将困难退役军人的实际情况向市、镇两级进行反馈，以便快速</w:t>
      </w:r>
      <w:r>
        <w:rPr>
          <w:rFonts w:hint="eastAsia" w:ascii="仿宋" w:hAnsi="仿宋" w:eastAsia="仿宋" w:cs="仿宋"/>
          <w:color w:val="auto"/>
          <w:spacing w:val="3"/>
          <w:sz w:val="28"/>
          <w:szCs w:val="28"/>
          <w:lang w:eastAsia="zh-CN"/>
        </w:rPr>
        <w:t>地</w:t>
      </w:r>
      <w:r>
        <w:rPr>
          <w:rFonts w:ascii="仿宋" w:hAnsi="仿宋" w:eastAsia="仿宋" w:cs="仿宋"/>
          <w:color w:val="auto"/>
          <w:spacing w:val="3"/>
          <w:sz w:val="28"/>
          <w:szCs w:val="28"/>
          <w:lang w:eastAsia="zh-CN"/>
        </w:rPr>
        <w:t>对困难退役军人进行帮扶工作。2024年帮扶困难退役军人41人次，帮扶资金共计9.25万元；不存在困难退役军人对帮扶资金不知情的情况。稳定覆盖率 ≥95%，且无重大群体性不稳定事件。根据评分标准，此项得分3分。</w:t>
      </w:r>
    </w:p>
    <w:p w14:paraId="0CE278BC">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58" w:name="_Toc5622"/>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）军休干部待遇保障综合落实率（</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58"/>
    </w:p>
    <w:p w14:paraId="673E88DB">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评价要点：评估重点场所、人群的健康监测，公共场所防控措施落实情况。是否对重点场所、人群健康监测，公共场所防控措施落实到位。一项不符合扣0.5分。</w:t>
      </w:r>
    </w:p>
    <w:p w14:paraId="65151B1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落实军休干部政治和生活待遇，累计发放军休干部、军休干部遗孀和无军籍职工各类补助金、离退休费、体检费共计173.5万元，为军休干部订阅报纸、书刊0.32万元。在春节、“八一”、重阳节等重大节日采取入户走访、召开座谈会等形式慰问军休干部共计1.71万元。根据评分标准，此项得分3分。</w:t>
      </w:r>
    </w:p>
    <w:p w14:paraId="75BE1467">
      <w:pPr>
        <w:widowControl w:val="0"/>
        <w:overflowPunct w:val="0"/>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359" w:name="_Toc1512"/>
      <w:bookmarkStart w:id="360" w:name="_Toc110"/>
      <w:bookmarkStart w:id="361" w:name="_Toc23158"/>
      <w:bookmarkStart w:id="362" w:name="_Toc7320"/>
      <w:bookmarkStart w:id="363" w:name="_Toc5714"/>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经济效益（</w:t>
      </w:r>
      <w:r>
        <w:rPr>
          <w:rFonts w:hint="eastAsia" w:ascii="仿宋" w:hAnsi="仿宋" w:eastAsia="仿宋" w:cs="仿宋"/>
          <w:color w:val="auto"/>
          <w:spacing w:val="3"/>
          <w:sz w:val="28"/>
          <w:szCs w:val="28"/>
          <w:lang w:eastAsia="zh-CN"/>
        </w:rPr>
        <w:t>分值6</w:t>
      </w:r>
      <w:r>
        <w:rPr>
          <w:rFonts w:ascii="仿宋" w:hAnsi="仿宋" w:eastAsia="仿宋" w:cs="仿宋"/>
          <w:color w:val="auto"/>
          <w:spacing w:val="3"/>
          <w:sz w:val="28"/>
          <w:szCs w:val="28"/>
          <w:lang w:eastAsia="zh-CN"/>
        </w:rPr>
        <w:t>分）</w:t>
      </w:r>
      <w:bookmarkEnd w:id="359"/>
      <w:bookmarkEnd w:id="360"/>
      <w:bookmarkEnd w:id="361"/>
      <w:bookmarkEnd w:id="362"/>
      <w:bookmarkEnd w:id="363"/>
    </w:p>
    <w:p w14:paraId="1821B0B3">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64" w:name="_Toc4980"/>
      <w:r>
        <w:rPr>
          <w:rFonts w:hint="eastAsia" w:ascii="仿宋" w:hAnsi="仿宋" w:eastAsia="仿宋" w:cs="仿宋"/>
          <w:color w:val="auto"/>
          <w:spacing w:val="3"/>
          <w:sz w:val="28"/>
          <w:szCs w:val="28"/>
          <w:lang w:eastAsia="zh-CN"/>
        </w:rPr>
        <w:t>（1）保障退役军人事务员工作补贴发放</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64"/>
    </w:p>
    <w:p w14:paraId="5F84917A">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评价要点：通过考核补贴发放的准确性，衡量财政资金在保障退役军人事务员薪酬待遇中的使用效率与规范程度。发放准确率 =（实际正确发放人数/应发放人数）×100%。</w:t>
      </w:r>
    </w:p>
    <w:p w14:paraId="7BCDD5F9">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评价组</w:t>
      </w:r>
      <w:r>
        <w:rPr>
          <w:rFonts w:ascii="仿宋" w:hAnsi="仿宋" w:eastAsia="仿宋" w:cs="仿宋"/>
          <w:color w:val="auto"/>
          <w:spacing w:val="3"/>
          <w:sz w:val="28"/>
          <w:szCs w:val="28"/>
          <w:lang w:eastAsia="zh-CN"/>
        </w:rPr>
        <w:t>基于财政补贴发放记录、银行转账凭证及事务员签字台账等数据，结合预算文件与决算报告，</w:t>
      </w:r>
      <w:r>
        <w:rPr>
          <w:rFonts w:hint="eastAsia" w:ascii="仿宋" w:hAnsi="仿宋" w:eastAsia="仿宋" w:cs="仿宋"/>
          <w:color w:val="auto"/>
          <w:spacing w:val="3"/>
          <w:sz w:val="28"/>
          <w:szCs w:val="28"/>
          <w:lang w:eastAsia="zh-CN"/>
        </w:rPr>
        <w:t>2024年度</w:t>
      </w:r>
      <w:r>
        <w:rPr>
          <w:rFonts w:ascii="仿宋" w:hAnsi="仿宋" w:eastAsia="仿宋" w:cs="仿宋"/>
          <w:color w:val="auto"/>
          <w:spacing w:val="3"/>
          <w:sz w:val="28"/>
          <w:szCs w:val="28"/>
          <w:lang w:eastAsia="zh-CN"/>
        </w:rPr>
        <w:t>石狮市明确了退役军人事务员适用范围、管理机制及薪酬待遇，起草了《新职业试点工作方案》。该方案经市委退役军人事务工作领导小组会议审议通过后，相关经费纳入财政预算。自2024年3月起，按每人每月350元标准向128名事务员发放补贴，完成政策全流程落地。根据评分标准，此项得分3分。</w:t>
      </w:r>
    </w:p>
    <w:p w14:paraId="2296BDCD">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65" w:name="_Toc2975"/>
      <w:r>
        <w:rPr>
          <w:rFonts w:hint="eastAsia" w:ascii="仿宋" w:hAnsi="仿宋" w:eastAsia="仿宋" w:cs="仿宋"/>
          <w:color w:val="auto"/>
          <w:spacing w:val="3"/>
          <w:sz w:val="28"/>
          <w:szCs w:val="28"/>
          <w:lang w:eastAsia="zh-CN"/>
        </w:rPr>
        <w:t>（2）优抚对象医疗补助资金执行与政策保障效率</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65"/>
    </w:p>
    <w:p w14:paraId="0BFC1D32">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通过考核医疗补助资金的预算执行率、支付及时性及配套政策出台情况，衡量财政资金在优抚对象医疗保障中的使用效率与制度保障水平。公式：预算执行率 =（实际支付金额/预算金额）×100%</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政策覆盖率 =（已出台报销规定重点对象人数/应享受医疗补助重点对象人数）×100%</w:t>
      </w:r>
      <w:r>
        <w:rPr>
          <w:rFonts w:hint="eastAsia" w:ascii="仿宋" w:hAnsi="仿宋" w:eastAsia="仿宋" w:cs="仿宋"/>
          <w:color w:val="auto"/>
          <w:spacing w:val="3"/>
          <w:sz w:val="28"/>
          <w:szCs w:val="28"/>
          <w:lang w:eastAsia="zh-CN"/>
        </w:rPr>
        <w:t>。</w:t>
      </w:r>
    </w:p>
    <w:p w14:paraId="61F8B1B9">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2024年优抚对象医疗补助经费执行情况如下：因重点对象医疗报销规定尚未出台，导致上级下达的医疗经费未能按计划完成。本年度预算安排医疗补助资金34.42万元，实际仅支付8.73万元，剩余25.69万元未拨付，预算执行率仅约25.36%；同时，由于报销政策缺失，重点优抚对象医疗补助政策覆盖率实际为0%。根据考核标准，此项得分1分。</w:t>
      </w:r>
    </w:p>
    <w:p w14:paraId="1CC6E6A4">
      <w:pPr>
        <w:widowControl w:val="0"/>
        <w:overflowPunct w:val="0"/>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366" w:name="_Toc19987"/>
      <w:bookmarkStart w:id="367" w:name="_Toc26566"/>
      <w:bookmarkStart w:id="368" w:name="_Toc12951"/>
      <w:bookmarkStart w:id="369" w:name="_Toc23400"/>
      <w:bookmarkStart w:id="370" w:name="_Toc21977"/>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可持续发展效益（</w:t>
      </w:r>
      <w:r>
        <w:rPr>
          <w:rFonts w:hint="eastAsia" w:ascii="仿宋" w:hAnsi="仿宋" w:eastAsia="仿宋" w:cs="仿宋"/>
          <w:color w:val="auto"/>
          <w:spacing w:val="3"/>
          <w:sz w:val="28"/>
          <w:szCs w:val="28"/>
          <w:lang w:eastAsia="zh-CN"/>
        </w:rPr>
        <w:t>分值3</w:t>
      </w:r>
      <w:r>
        <w:rPr>
          <w:rFonts w:ascii="仿宋" w:hAnsi="仿宋" w:eastAsia="仿宋" w:cs="仿宋"/>
          <w:color w:val="auto"/>
          <w:spacing w:val="3"/>
          <w:sz w:val="28"/>
          <w:szCs w:val="28"/>
          <w:lang w:eastAsia="zh-CN"/>
        </w:rPr>
        <w:t>分）</w:t>
      </w:r>
      <w:bookmarkEnd w:id="366"/>
      <w:bookmarkEnd w:id="367"/>
      <w:bookmarkEnd w:id="368"/>
      <w:bookmarkEnd w:id="369"/>
      <w:bookmarkEnd w:id="370"/>
    </w:p>
    <w:p w14:paraId="158AF2A7">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71" w:name="_Toc6827"/>
      <w:r>
        <w:rPr>
          <w:rFonts w:ascii="仿宋" w:hAnsi="仿宋" w:eastAsia="仿宋" w:cs="仿宋"/>
          <w:color w:val="auto"/>
          <w:spacing w:val="3"/>
          <w:sz w:val="28"/>
          <w:szCs w:val="28"/>
          <w:lang w:eastAsia="zh-CN"/>
        </w:rPr>
        <w:t>自主择业军转干部长效稳定保障指数（</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bookmarkEnd w:id="371"/>
    </w:p>
    <w:p w14:paraId="0E8BB8AD">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评价要点：通过构建政策支持、资金保障、就业促进等长效机制，衡量自主择业军转干部生活保障可持续的综合状态。</w:t>
      </w:r>
      <w:r>
        <w:rPr>
          <w:rFonts w:hint="eastAsia" w:ascii="仿宋" w:hAnsi="仿宋" w:eastAsia="仿宋" w:cs="仿宋"/>
          <w:color w:val="auto"/>
          <w:spacing w:val="3"/>
          <w:sz w:val="28"/>
          <w:szCs w:val="28"/>
          <w:lang w:eastAsia="zh-CN"/>
        </w:rPr>
        <w:t>评价</w:t>
      </w:r>
      <w:r>
        <w:rPr>
          <w:rFonts w:ascii="仿宋" w:hAnsi="仿宋" w:eastAsia="仿宋" w:cs="仿宋"/>
          <w:color w:val="auto"/>
          <w:spacing w:val="3"/>
          <w:sz w:val="28"/>
          <w:szCs w:val="28"/>
          <w:lang w:eastAsia="zh-CN"/>
        </w:rPr>
        <w:t>是否按期完成发放补助金、组织培训、举办招聘会等事项，衡量自主择业军转干部在就业稳定率以上每少一项扣1分。</w:t>
      </w:r>
    </w:p>
    <w:p w14:paraId="21388DAE">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2024年，围绕自主择业军转干部稳定保障开展多项工作：为自主择业及企业退休军转干部发放补助金、体检费及医疗保险费用共计50.08万元；接收自主就业退役士兵98名，发放一次性地方经济补助金913.31万元；组织46名退役军人参加线下适应性培训班，同步推动98名退役士兵完成线上培训，实现</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应修尽修</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目标；累计举办3场退役军人线下招聘会，协调213家企业提供3100个就业岗位，促成70人初步达成就业意向。此项工作因政策覆盖全面、资金保障到位、就业促进成效显著，得分3分。</w:t>
      </w:r>
    </w:p>
    <w:p w14:paraId="11A014F8">
      <w:pPr>
        <w:widowControl w:val="0"/>
        <w:overflowPunct w:val="0"/>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372" w:name="_Toc30830"/>
      <w:bookmarkStart w:id="373" w:name="_Toc23331"/>
      <w:bookmarkStart w:id="374" w:name="_Toc18318"/>
      <w:bookmarkStart w:id="375" w:name="_Toc13566"/>
      <w:bookmarkStart w:id="376" w:name="_Toc28329"/>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满意度（</w:t>
      </w:r>
      <w:r>
        <w:rPr>
          <w:rFonts w:hint="eastAsia" w:ascii="仿宋" w:hAnsi="仿宋" w:eastAsia="仿宋" w:cs="仿宋"/>
          <w:color w:val="auto"/>
          <w:spacing w:val="3"/>
          <w:sz w:val="28"/>
          <w:szCs w:val="28"/>
          <w:lang w:eastAsia="zh-CN"/>
        </w:rPr>
        <w:t>分值3分</w:t>
      </w:r>
      <w:r>
        <w:rPr>
          <w:rFonts w:ascii="仿宋" w:hAnsi="仿宋" w:eastAsia="仿宋" w:cs="仿宋"/>
          <w:color w:val="auto"/>
          <w:spacing w:val="3"/>
          <w:sz w:val="28"/>
          <w:szCs w:val="28"/>
          <w:lang w:eastAsia="zh-CN"/>
        </w:rPr>
        <w:t>）</w:t>
      </w:r>
      <w:bookmarkEnd w:id="372"/>
      <w:bookmarkEnd w:id="373"/>
      <w:bookmarkEnd w:id="374"/>
      <w:bookmarkEnd w:id="375"/>
      <w:bookmarkEnd w:id="376"/>
    </w:p>
    <w:p w14:paraId="45512FE1">
      <w:pPr>
        <w:widowControl w:val="0"/>
        <w:overflowPunct w:val="0"/>
        <w:spacing w:line="408" w:lineRule="auto"/>
        <w:ind w:firstLine="572" w:firstLineChars="200"/>
        <w:jc w:val="both"/>
        <w:outlineLvl w:val="3"/>
        <w:rPr>
          <w:rFonts w:hint="eastAsia" w:ascii="仿宋" w:hAnsi="仿宋" w:eastAsia="仿宋" w:cs="仿宋"/>
          <w:color w:val="auto"/>
          <w:spacing w:val="3"/>
          <w:sz w:val="28"/>
          <w:szCs w:val="28"/>
          <w:lang w:eastAsia="zh-CN"/>
        </w:rPr>
      </w:pPr>
      <w:bookmarkStart w:id="377" w:name="_Toc9345"/>
      <w:r>
        <w:rPr>
          <w:rFonts w:ascii="仿宋" w:hAnsi="仿宋" w:eastAsia="仿宋" w:cs="仿宋"/>
          <w:color w:val="auto"/>
          <w:spacing w:val="3"/>
          <w:sz w:val="28"/>
          <w:szCs w:val="28"/>
          <w:lang w:eastAsia="zh-CN"/>
        </w:rPr>
        <w:t>公众满意度（3分）</w:t>
      </w:r>
      <w:bookmarkEnd w:id="377"/>
    </w:p>
    <w:p w14:paraId="56A6B702">
      <w:pPr>
        <w:widowControl w:val="0"/>
        <w:overflowPunct w:val="0"/>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评价要点：考核社会公众对部门履职效果的满意程度。社会公众对部门履职效果的满意程度。</w:t>
      </w:r>
    </w:p>
    <w:p w14:paraId="54C7B39F">
      <w:pPr>
        <w:widowControl w:val="0"/>
        <w:overflowPunct w:val="0"/>
        <w:snapToGrid/>
        <w:spacing w:line="408" w:lineRule="auto"/>
        <w:ind w:firstLine="572" w:firstLineChars="200"/>
        <w:rPr>
          <w:rFonts w:hint="eastAsia" w:ascii="仿宋" w:hAnsi="仿宋" w:eastAsia="仿宋" w:cs="仿宋"/>
          <w:color w:val="auto"/>
          <w:spacing w:val="3"/>
          <w:sz w:val="28"/>
          <w:szCs w:val="28"/>
          <w:lang w:eastAsia="zh-CN"/>
        </w:rPr>
      </w:pPr>
      <w:bookmarkStart w:id="378" w:name="bookmark35"/>
      <w:bookmarkEnd w:id="378"/>
      <w:bookmarkStart w:id="379" w:name="_Toc1750"/>
      <w:bookmarkStart w:id="380" w:name="_Toc11487"/>
      <w:bookmarkStart w:id="381" w:name="_Toc21374"/>
      <w:bookmarkStart w:id="382" w:name="_Toc7555"/>
      <w:r>
        <w:rPr>
          <w:rFonts w:hint="eastAsia" w:ascii="仿宋" w:hAnsi="仿宋" w:eastAsia="仿宋" w:cs="仿宋"/>
          <w:color w:val="auto"/>
          <w:spacing w:val="3"/>
          <w:sz w:val="28"/>
          <w:szCs w:val="28"/>
          <w:lang w:eastAsia="zh-CN"/>
        </w:rPr>
        <w:t>绩效评价工作小组通过发放问卷调查表开展评估，共发放100份问卷，回收有效问卷98份（问卷模板详见附件一）。经统计，群众满意度平均值为93%，此项得分3分。</w:t>
      </w:r>
    </w:p>
    <w:p w14:paraId="0C42CA2F">
      <w:pPr>
        <w:widowControl w:val="0"/>
        <w:overflowPunct w:val="0"/>
        <w:snapToGrid/>
        <w:spacing w:line="408" w:lineRule="auto"/>
        <w:ind w:firstLine="572" w:firstLineChars="200"/>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因此，效益共计得分22分。</w:t>
      </w:r>
    </w:p>
    <w:p w14:paraId="7953245E">
      <w:pPr>
        <w:widowControl w:val="0"/>
        <w:overflowPunct w:val="0"/>
        <w:snapToGrid/>
        <w:spacing w:line="408" w:lineRule="auto"/>
        <w:ind w:firstLine="552" w:firstLineChars="200"/>
        <w:outlineLvl w:val="0"/>
        <w:rPr>
          <w:rFonts w:hint="eastAsia" w:ascii="仿宋" w:hAnsi="仿宋" w:eastAsia="仿宋" w:cs="仿宋"/>
          <w:bCs/>
          <w:color w:val="auto"/>
          <w:sz w:val="28"/>
          <w:szCs w:val="28"/>
          <w:lang w:eastAsia="zh-CN"/>
        </w:rPr>
      </w:pPr>
      <w:bookmarkStart w:id="383" w:name="_Toc2277"/>
      <w:bookmarkStart w:id="384" w:name="_Toc25075"/>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七、评价结论及绩效分析</w:t>
      </w:r>
      <w:bookmarkEnd w:id="379"/>
      <w:bookmarkEnd w:id="380"/>
      <w:bookmarkEnd w:id="381"/>
      <w:bookmarkEnd w:id="382"/>
      <w:bookmarkEnd w:id="383"/>
      <w:bookmarkEnd w:id="384"/>
    </w:p>
    <w:p w14:paraId="05A72C4E">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385" w:name="bookmark36"/>
      <w:bookmarkEnd w:id="385"/>
      <w:bookmarkStart w:id="386" w:name="_Toc3257"/>
      <w:bookmarkStart w:id="387" w:name="_Toc19472"/>
      <w:bookmarkStart w:id="388" w:name="_Toc28207"/>
      <w:bookmarkStart w:id="389" w:name="_Toc8384"/>
      <w:bookmarkStart w:id="390" w:name="_Toc28514"/>
      <w:r>
        <w:rPr>
          <w:rFonts w:hint="eastAsia" w:ascii="仿宋" w:hAnsi="仿宋" w:eastAsia="仿宋" w:cs="仿宋"/>
          <w:b/>
          <w:color w:val="auto"/>
          <w:spacing w:val="3"/>
          <w:sz w:val="28"/>
          <w:szCs w:val="28"/>
          <w:lang w:eastAsia="zh-CN"/>
        </w:rPr>
        <w:t>（一）绩效评价结论</w:t>
      </w:r>
      <w:bookmarkEnd w:id="386"/>
      <w:bookmarkEnd w:id="387"/>
      <w:bookmarkEnd w:id="388"/>
      <w:bookmarkEnd w:id="389"/>
      <w:bookmarkEnd w:id="390"/>
    </w:p>
    <w:p w14:paraId="795B4D1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评价小组通过评价指标体系及评分标准，从投入、过程、产出、效益四个方面着手，对2024年度石狮市退役军人事务局部门整体支出进行客观评价，最终评分结果：84分，评价等级为“良”。</w:t>
      </w:r>
    </w:p>
    <w:p w14:paraId="3EA8E091">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391" w:name="_Toc31469"/>
      <w:bookmarkStart w:id="392" w:name="_Toc4098"/>
      <w:bookmarkStart w:id="393" w:name="_Toc24955"/>
      <w:bookmarkStart w:id="394" w:name="_Toc11279"/>
      <w:bookmarkStart w:id="395" w:name="_Toc3507"/>
      <w:r>
        <w:rPr>
          <w:rFonts w:hint="eastAsia" w:ascii="仿宋" w:hAnsi="仿宋" w:eastAsia="仿宋" w:cs="仿宋"/>
          <w:b/>
          <w:color w:val="auto"/>
          <w:spacing w:val="3"/>
          <w:sz w:val="28"/>
          <w:szCs w:val="28"/>
          <w:lang w:eastAsia="zh-CN"/>
        </w:rPr>
        <w:t>（二）扣分项目</w:t>
      </w:r>
      <w:bookmarkEnd w:id="391"/>
      <w:bookmarkEnd w:id="392"/>
      <w:bookmarkEnd w:id="393"/>
      <w:bookmarkEnd w:id="394"/>
      <w:bookmarkEnd w:id="395"/>
      <w:bookmarkStart w:id="396" w:name="_Toc2984"/>
      <w:bookmarkEnd w:id="396"/>
    </w:p>
    <w:p w14:paraId="6FBBEE85">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绩效目标明确性扣0.5分，结转结余变动率扣2分，预算调整率扣2分，人员经费控制率扣0.5分。项目进度管理扣1分，合同管理规范性扣1分，企业退休军转干部人数扣1分，科技文化拥军项目数扣3分，光荣牌台账管理规范性扣1分，专项资金支付及时率扣2分，优抚对象医疗补助资金执行与政策保障效率扣2分，共扣16分，得分84分。</w:t>
      </w:r>
    </w:p>
    <w:p w14:paraId="17BA47F9">
      <w:pPr>
        <w:widowControl w:val="0"/>
        <w:overflowPunct w:val="0"/>
        <w:snapToGrid/>
        <w:spacing w:line="408" w:lineRule="auto"/>
        <w:ind w:firstLine="552" w:firstLineChars="200"/>
        <w:outlineLvl w:val="0"/>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397" w:name="_Toc6291"/>
      <w:bookmarkStart w:id="398" w:name="_Toc3720"/>
      <w:bookmarkStart w:id="399" w:name="_Toc22287"/>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八、主要成效</w:t>
      </w:r>
      <w:bookmarkEnd w:id="397"/>
      <w:bookmarkEnd w:id="398"/>
      <w:bookmarkEnd w:id="399"/>
    </w:p>
    <w:p w14:paraId="6067E569">
      <w:pPr>
        <w:widowControl w:val="0"/>
        <w:overflowPunct w:val="0"/>
        <w:snapToGrid/>
        <w:spacing w:line="408" w:lineRule="auto"/>
        <w:ind w:firstLine="572" w:firstLineChars="200"/>
        <w:jc w:val="both"/>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r>
        <w:rPr>
          <w:rFonts w:hint="eastAsia" w:ascii="仿宋" w:hAnsi="仿宋" w:eastAsia="仿宋" w:cs="仿宋"/>
          <w:color w:val="auto"/>
          <w:spacing w:val="3"/>
          <w:sz w:val="28"/>
          <w:szCs w:val="28"/>
          <w:lang w:eastAsia="zh-CN"/>
        </w:rPr>
        <w:t>2024年度，石狮市退役军人事务局在退役军人服务保障领域取得显著成效：一是安置就业方面，高效完成6名军队转业干部和12名符合政府安排工作退役士兵的接收安置，转业军官100%进入公务员（含参公）队伍，退役士兵100%安置至事业单位和国有企业（其中事业单位安置比例超92%），安置质量获军地双方高度认可；同步落实自主择业、企业退休军转干部补助金及退役士兵一次性经济补助金发放共计963.39万元，组织98名自主就业退役士兵完成线上线下适应性培训，举办3场线下招聘会提供3100个岗位，促成70人达成就业意向。二是抚恤优待方面，精准发放各类补助金、优待金及体检费等2370.17万元，开展下访关爱143人次，通过财政资金及东方森林中菲慈善基金会合作帮扶困难退役军人71人次（资金10.75万元），投入71.11万元为2151户对象免费提供广电数字服务，并在春节、“八一”等节点慰问616人次（发放物资69.15万元）；同时完善立功受奖激励机制，为11名三等功获得者增发优待金6.54万元。三是军休工作方面，全面落实军休干部及无军籍职工政治生活待遇，发放离退休费、补助金及体检费等173.5万元，订阅报刊书刊0.32万元，并在重大节日通过走访、座谈等形式发放慰问金1.71万元。四是思政工作方面，有效化解25件上级转办及5件本级信访件，接待退役军人261人次，实现“零越级上访”；开展“民法典相伴”“蒲公英+退役军人”等普法活动，结合清明节、烈士纪念日等节点组织祭扫英烈、主题宣讲等活动，弘扬红色精神；通过“我与老兵面对面”宣讲98场次（覆盖5610余人次）及“老兵建新功”典型宣传（5篇获泉州转发），营造崇军拥军社会氛围。五是服务保障体系建设方面，作为全国退役军人事务员新职业先行试点，建立荣誉激励、惩戒管理等制度，构建科学化职业评价体系，累计发放事务员工作补贴44.8万元；组织150名工作人员开展业务培训及知识竞赛，推行“网格化+信息化”管理模式，实现市－镇－村三级服务平台互联互通，并通过考评规范镇村级服务站运行，全面提升服务效能。</w:t>
      </w:r>
    </w:p>
    <w:p w14:paraId="0CD8D1B4">
      <w:pPr>
        <w:widowControl w:val="0"/>
        <w:numPr>
          <w:ilvl w:val="0"/>
          <w:numId w:val="15"/>
        </w:numPr>
        <w:overflowPunct w:val="0"/>
        <w:snapToGrid/>
        <w:spacing w:line="408" w:lineRule="auto"/>
        <w:ind w:firstLine="552" w:firstLineChars="200"/>
        <w:outlineLvl w:val="0"/>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400" w:name="bookmark48"/>
      <w:bookmarkEnd w:id="400"/>
      <w:bookmarkStart w:id="401" w:name="bookmark47"/>
      <w:bookmarkEnd w:id="401"/>
      <w:bookmarkStart w:id="402" w:name="_Toc7112"/>
      <w:bookmarkStart w:id="403" w:name="_Toc25983"/>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存在问题</w:t>
      </w:r>
      <w:bookmarkEnd w:id="402"/>
      <w:bookmarkEnd w:id="403"/>
    </w:p>
    <w:p w14:paraId="74F190B9">
      <w:pPr>
        <w:widowControl w:val="0"/>
        <w:numPr>
          <w:ilvl w:val="0"/>
          <w:numId w:val="16"/>
        </w:numPr>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404" w:name="_Toc13399"/>
      <w:r>
        <w:rPr>
          <w:rFonts w:hint="eastAsia" w:ascii="仿宋" w:hAnsi="仿宋" w:eastAsia="仿宋" w:cs="仿宋"/>
          <w:b/>
          <w:bCs/>
          <w:color w:val="auto"/>
          <w:spacing w:val="3"/>
          <w:sz w:val="28"/>
          <w:szCs w:val="28"/>
          <w:lang w:eastAsia="zh-CN"/>
        </w:rPr>
        <w:t>双拥经费实际开支与绩效目标差距大</w:t>
      </w:r>
      <w:bookmarkEnd w:id="404"/>
    </w:p>
    <w:p w14:paraId="7249FB1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双拥经费原预算 80 万元，实际支出 79.53 万元，占比99%。但根据单位提供的绩效自评表，设定的绩效目标为 228 万元，全年实际仅达成 52 万元，执行率仅为 65%，实际开支与绩效目标差距大。</w:t>
      </w:r>
    </w:p>
    <w:p w14:paraId="1B32CB85">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405" w:name="_Toc27720"/>
      <w:r>
        <w:rPr>
          <w:rFonts w:hint="eastAsia" w:ascii="仿宋" w:hAnsi="仿宋" w:eastAsia="仿宋" w:cs="仿宋"/>
          <w:b/>
          <w:bCs/>
          <w:color w:val="auto"/>
          <w:spacing w:val="3"/>
          <w:sz w:val="28"/>
          <w:szCs w:val="28"/>
          <w:lang w:eastAsia="zh-CN"/>
        </w:rPr>
        <w:t>（二）预算编制不精准</w:t>
      </w:r>
      <w:bookmarkEnd w:id="405"/>
    </w:p>
    <w:p w14:paraId="06B6744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2024 年初预算 4110.17 万元，年中调整增至 4677.95 万元，调整支出额达 567.18 万元，预算调整率为 12.14%。年初预算难反映实际需求，年中频繁追加。</w:t>
      </w:r>
    </w:p>
    <w:p w14:paraId="20977BCC">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406" w:name="_Toc24125"/>
      <w:r>
        <w:rPr>
          <w:rFonts w:hint="eastAsia" w:ascii="仿宋" w:hAnsi="仿宋" w:eastAsia="仿宋" w:cs="仿宋"/>
          <w:b/>
          <w:bCs/>
          <w:color w:val="auto"/>
          <w:spacing w:val="3"/>
          <w:sz w:val="28"/>
          <w:szCs w:val="28"/>
          <w:lang w:eastAsia="zh-CN"/>
        </w:rPr>
        <w:t>（三）资金使用计划不合理</w:t>
      </w:r>
      <w:bookmarkEnd w:id="406"/>
    </w:p>
    <w:p w14:paraId="6E74F6D5">
      <w:pPr>
        <w:widowControl w:val="0"/>
        <w:overflowPunct w:val="0"/>
        <w:snapToGrid/>
        <w:spacing w:line="408" w:lineRule="auto"/>
        <w:ind w:firstLine="572" w:firstLineChars="200"/>
        <w:jc w:val="both"/>
        <w:rPr>
          <w:rFonts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2024 年其他应付款有 12 项未结算工程，金额 126.59 万元，科技文化拥军项目（浮雕墙、文化广场、大礼堂）及第四篮球场工程项目质保金等 3 项 2022 年遗留项目因工程结算不及时，资金滞留超 2 年。</w:t>
      </w:r>
    </w:p>
    <w:p w14:paraId="013BD48A">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407" w:name="_Toc25973"/>
      <w:r>
        <w:rPr>
          <w:rFonts w:hint="eastAsia" w:ascii="仿宋" w:hAnsi="仿宋" w:eastAsia="仿宋" w:cs="仿宋"/>
          <w:b/>
          <w:bCs/>
          <w:color w:val="auto"/>
          <w:spacing w:val="3"/>
          <w:sz w:val="28"/>
          <w:szCs w:val="28"/>
          <w:lang w:eastAsia="zh-CN"/>
        </w:rPr>
        <w:t>（四）专项资金支付率低</w:t>
      </w:r>
      <w:bookmarkEnd w:id="407"/>
    </w:p>
    <w:p w14:paraId="182E2C4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截至 2024 年底，多笔专项资金支付滞后。无军籍退休人员省级补助 4.32 万元因上年度结余未付；拥军优属经费 65 万元全额未付，已被上级收回；退役军人服务中心（站）市级补助 3 万元因未做资产预算致采购款滞留；优抚对象医疗补助 34.42 万元未用省级资金，致省级资金结余。</w:t>
      </w:r>
    </w:p>
    <w:p w14:paraId="3E65BD5E">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408" w:name="_Toc31029"/>
      <w:r>
        <w:rPr>
          <w:rFonts w:hint="eastAsia" w:ascii="仿宋" w:hAnsi="仿宋" w:eastAsia="仿宋" w:cs="仿宋"/>
          <w:b/>
          <w:bCs/>
          <w:color w:val="auto"/>
          <w:spacing w:val="3"/>
          <w:sz w:val="28"/>
          <w:szCs w:val="28"/>
          <w:lang w:eastAsia="zh-CN"/>
        </w:rPr>
        <w:t>（五）合同管理不规范</w:t>
      </w:r>
      <w:bookmarkEnd w:id="408"/>
    </w:p>
    <w:p w14:paraId="601E989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2024 年 8 月 1 日支付石狮顶红装饰公司修缮费合同费用 28654 元，验收单缺竣工与验收时间，不符合《会计基础工作规范》（财会字〔1996〕19 号）第四十八条关于原始凭证内容完整性的要求。</w:t>
      </w:r>
    </w:p>
    <w:p w14:paraId="10D1943B">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409" w:name="_Toc16303"/>
      <w:r>
        <w:rPr>
          <w:rFonts w:hint="eastAsia" w:ascii="仿宋" w:hAnsi="仿宋" w:eastAsia="仿宋" w:cs="仿宋"/>
          <w:b/>
          <w:bCs/>
          <w:color w:val="auto"/>
          <w:spacing w:val="3"/>
          <w:sz w:val="28"/>
          <w:szCs w:val="28"/>
          <w:lang w:eastAsia="zh-CN"/>
        </w:rPr>
        <w:t>（六）</w:t>
      </w:r>
      <w:r>
        <w:rPr>
          <w:rFonts w:hint="eastAsia" w:ascii="仿宋" w:hAnsi="仿宋" w:eastAsia="仿宋" w:cs="仿宋"/>
          <w:b/>
          <w:bCs/>
          <w:color w:val="auto"/>
          <w:spacing w:val="3"/>
          <w:sz w:val="28"/>
          <w:szCs w:val="28"/>
          <w:lang w:val="en-US" w:eastAsia="zh-CN"/>
        </w:rPr>
        <w:t>个别</w:t>
      </w:r>
      <w:r>
        <w:rPr>
          <w:rFonts w:hint="eastAsia" w:ascii="仿宋" w:hAnsi="仿宋" w:eastAsia="仿宋" w:cs="仿宋"/>
          <w:b/>
          <w:bCs/>
          <w:color w:val="auto"/>
          <w:spacing w:val="3"/>
          <w:sz w:val="28"/>
          <w:szCs w:val="28"/>
          <w:lang w:eastAsia="zh-CN"/>
        </w:rPr>
        <w:t>台账管理不规范</w:t>
      </w:r>
      <w:bookmarkEnd w:id="409"/>
    </w:p>
    <w:p w14:paraId="53306310">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光荣牌台账存在身份证信息重复、地址登记错误等问题，与实际情况不符，影响数据统计与决策。</w:t>
      </w:r>
    </w:p>
    <w:p w14:paraId="02554F88">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410" w:name="_Toc11583"/>
      <w:r>
        <w:rPr>
          <w:rFonts w:hint="eastAsia" w:ascii="仿宋" w:hAnsi="仿宋" w:eastAsia="仿宋" w:cs="仿宋"/>
          <w:b/>
          <w:bCs/>
          <w:color w:val="auto"/>
          <w:spacing w:val="3"/>
          <w:sz w:val="28"/>
          <w:szCs w:val="28"/>
          <w:lang w:eastAsia="zh-CN"/>
        </w:rPr>
        <w:t>（七）优抚对象医疗补助办法缺失</w:t>
      </w:r>
      <w:bookmarkEnd w:id="410"/>
    </w:p>
    <w:p w14:paraId="1DD8CB6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411" w:name="_Toc21349"/>
      <w:bookmarkStart w:id="412" w:name="_Toc28973"/>
      <w:r>
        <w:rPr>
          <w:rFonts w:hint="eastAsia" w:ascii="仿宋" w:hAnsi="仿宋" w:eastAsia="仿宋" w:cs="仿宋"/>
          <w:color w:val="auto"/>
          <w:spacing w:val="3"/>
          <w:sz w:val="28"/>
          <w:szCs w:val="28"/>
          <w:lang w:eastAsia="zh-CN"/>
        </w:rPr>
        <w:t>未制定《优抚对象医疗补助办法》，日常补助形式单一，仅通过入户走访慰问，金额有限且无补助标准，2023 年底拟定暂行办法待上会，但至今未执行。</w:t>
      </w:r>
    </w:p>
    <w:p w14:paraId="210014B3">
      <w:pPr>
        <w:widowControl w:val="0"/>
        <w:overflowPunct w:val="0"/>
        <w:snapToGrid/>
        <w:spacing w:line="408" w:lineRule="auto"/>
        <w:ind w:firstLine="552" w:firstLineChars="200"/>
        <w:outlineLvl w:val="0"/>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413" w:name="_Toc3849"/>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十、提出建议</w:t>
      </w:r>
      <w:bookmarkEnd w:id="411"/>
      <w:bookmarkEnd w:id="413"/>
    </w:p>
    <w:p w14:paraId="1B26DF30">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414" w:name="_Toc11006"/>
      <w:bookmarkStart w:id="415" w:name="_Toc25069"/>
      <w:r>
        <w:rPr>
          <w:rFonts w:hint="eastAsia" w:ascii="仿宋" w:hAnsi="仿宋" w:eastAsia="仿宋" w:cs="仿宋"/>
          <w:b/>
          <w:bCs/>
          <w:color w:val="auto"/>
          <w:spacing w:val="3"/>
          <w:sz w:val="28"/>
          <w:szCs w:val="28"/>
          <w:lang w:eastAsia="zh-CN"/>
        </w:rPr>
        <w:t>（一）</w:t>
      </w:r>
      <w:bookmarkEnd w:id="414"/>
      <w:r>
        <w:rPr>
          <w:rFonts w:hint="eastAsia" w:ascii="仿宋" w:hAnsi="仿宋" w:eastAsia="仿宋" w:cs="仿宋"/>
          <w:b/>
          <w:bCs/>
          <w:color w:val="auto"/>
          <w:spacing w:val="3"/>
          <w:sz w:val="28"/>
          <w:szCs w:val="28"/>
          <w:lang w:eastAsia="zh-CN"/>
        </w:rPr>
        <w:t>构建预算精准化编制机制</w:t>
      </w:r>
      <w:bookmarkEnd w:id="415"/>
    </w:p>
    <w:p w14:paraId="3D4CE4D7">
      <w:pPr>
        <w:widowControl w:val="0"/>
        <w:kinsoku/>
        <w:autoSpaceDE/>
        <w:autoSpaceDN/>
        <w:adjustRightInd/>
        <w:snapToGrid/>
        <w:spacing w:line="408" w:lineRule="auto"/>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深入开展需求科学测算工作，充分结合过往实际支出情况，对绩效目标进行科学合理的调整。在预算执行过程中，强化监控与分析力度，定期将实际开支与绩效目标进度进行对比，及时发现偏差并采取有效措施加以纠正，如优化经费使用结构、加快项目推进速度等。</w:t>
      </w:r>
    </w:p>
    <w:p w14:paraId="49F3F2FB">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416" w:name="_Toc22892"/>
      <w:r>
        <w:rPr>
          <w:rFonts w:hint="eastAsia" w:ascii="仿宋" w:hAnsi="仿宋" w:eastAsia="仿宋" w:cs="仿宋"/>
          <w:b/>
          <w:bCs/>
          <w:color w:val="auto"/>
          <w:spacing w:val="3"/>
          <w:sz w:val="28"/>
          <w:szCs w:val="28"/>
          <w:lang w:eastAsia="zh-CN"/>
        </w:rPr>
        <w:t>（二）增强预算编制的准确性与前瞻性</w:t>
      </w:r>
      <w:bookmarkEnd w:id="416"/>
    </w:p>
    <w:p w14:paraId="2EBD7016">
      <w:pPr>
        <w:widowControl w:val="0"/>
        <w:kinsoku/>
        <w:autoSpaceDE/>
        <w:autoSpaceDN/>
        <w:adjustRightInd/>
        <w:snapToGrid/>
        <w:spacing w:line="408" w:lineRule="auto"/>
        <w:ind w:firstLine="560" w:firstLineChars="200"/>
        <w:jc w:val="both"/>
        <w:textAlignment w:val="auto"/>
        <w:rPr>
          <w:rFonts w:hint="eastAsia" w:ascii="仿宋" w:hAnsi="仿宋" w:eastAsia="仿宋" w:cs="仿宋"/>
          <w:snapToGrid/>
          <w:kern w:val="2"/>
          <w:sz w:val="28"/>
          <w:szCs w:val="28"/>
          <w:lang w:eastAsia="zh-CN"/>
        </w:rPr>
      </w:pPr>
      <w:bookmarkStart w:id="417" w:name="_Toc19314"/>
      <w:r>
        <w:rPr>
          <w:rFonts w:hint="eastAsia" w:ascii="仿宋" w:hAnsi="仿宋" w:eastAsia="仿宋" w:cs="仿宋"/>
          <w:snapToGrid/>
          <w:kern w:val="2"/>
          <w:sz w:val="28"/>
          <w:szCs w:val="28"/>
          <w:lang w:eastAsia="zh-CN"/>
        </w:rPr>
        <w:t>建立预算编制沟通协调机制，促进各部门之间的信息共享与协作配合，确保预算编制能够全面、精准地反映单位的整体工作安排和资金需求。严格管控预算调整，明确预算调整的条件、程序以及审批权限，减少不必要的预算调整。</w:t>
      </w:r>
    </w:p>
    <w:p w14:paraId="3481BADC">
      <w:pPr>
        <w:widowControl w:val="0"/>
        <w:kinsoku/>
        <w:autoSpaceDE/>
        <w:autoSpaceDN/>
        <w:adjustRightInd/>
        <w:snapToGrid/>
        <w:spacing w:line="408" w:lineRule="auto"/>
        <w:ind w:firstLine="562" w:firstLineChars="200"/>
        <w:jc w:val="both"/>
        <w:textAlignment w:val="auto"/>
        <w:outlineLvl w:val="1"/>
        <w:rPr>
          <w:rFonts w:hint="eastAsia" w:ascii="仿宋" w:hAnsi="仿宋" w:eastAsia="仿宋" w:cs="仿宋"/>
          <w:b/>
          <w:bCs/>
          <w:snapToGrid/>
          <w:kern w:val="2"/>
          <w:sz w:val="28"/>
          <w:szCs w:val="28"/>
          <w:lang w:eastAsia="zh-CN"/>
        </w:rPr>
      </w:pPr>
      <w:bookmarkStart w:id="418" w:name="_Toc22428"/>
      <w:r>
        <w:rPr>
          <w:rFonts w:hint="eastAsia" w:ascii="仿宋" w:hAnsi="仿宋" w:eastAsia="仿宋" w:cs="仿宋"/>
          <w:b/>
          <w:bCs/>
          <w:snapToGrid/>
          <w:kern w:val="2"/>
          <w:sz w:val="28"/>
          <w:szCs w:val="28"/>
          <w:lang w:eastAsia="zh-CN"/>
        </w:rPr>
        <w:t>（三）建立跨年项目清理机制</w:t>
      </w:r>
      <w:bookmarkEnd w:id="417"/>
      <w:bookmarkEnd w:id="418"/>
    </w:p>
    <w:p w14:paraId="6FEA4C9B">
      <w:pPr>
        <w:widowControl w:val="0"/>
        <w:kinsoku/>
        <w:autoSpaceDE/>
        <w:autoSpaceDN/>
        <w:adjustRightInd/>
        <w:snapToGrid/>
        <w:spacing w:line="408" w:lineRule="auto"/>
        <w:ind w:firstLine="560" w:firstLineChars="200"/>
        <w:jc w:val="both"/>
        <w:textAlignment w:val="auto"/>
        <w:rPr>
          <w:rFonts w:hint="eastAsia" w:ascii="仿宋" w:hAnsi="仿宋" w:eastAsia="仿宋" w:cs="仿宋"/>
          <w:snapToGrid/>
          <w:kern w:val="2"/>
          <w:sz w:val="28"/>
          <w:szCs w:val="28"/>
          <w:lang w:eastAsia="zh-CN"/>
        </w:rPr>
      </w:pPr>
      <w:bookmarkStart w:id="419" w:name="_Toc6168"/>
      <w:r>
        <w:rPr>
          <w:rFonts w:hint="eastAsia" w:ascii="仿宋" w:hAnsi="仿宋" w:eastAsia="仿宋" w:cs="仿宋"/>
          <w:snapToGrid/>
          <w:kern w:val="2"/>
          <w:sz w:val="28"/>
          <w:szCs w:val="28"/>
          <w:lang w:eastAsia="zh-CN"/>
        </w:rPr>
        <w:t>完善项目结算管理制度，清晰界定项目结算的时间节点、责任人和工作流程，并加强对项目结算工作的监督与考核。同时，加强与工程承包方、监理方等相关单位的沟通协调，及时解决工程结算过程中出现的各类问题，加快结算进度，确保资金及时到位。</w:t>
      </w:r>
    </w:p>
    <w:p w14:paraId="0A89C97A">
      <w:pPr>
        <w:widowControl w:val="0"/>
        <w:kinsoku/>
        <w:autoSpaceDE/>
        <w:autoSpaceDN/>
        <w:adjustRightInd/>
        <w:snapToGrid/>
        <w:spacing w:line="408" w:lineRule="auto"/>
        <w:ind w:firstLine="562" w:firstLineChars="200"/>
        <w:jc w:val="both"/>
        <w:textAlignment w:val="auto"/>
        <w:outlineLvl w:val="1"/>
        <w:rPr>
          <w:rFonts w:hint="eastAsia" w:ascii="仿宋" w:hAnsi="仿宋" w:eastAsia="仿宋" w:cs="仿宋"/>
          <w:b/>
          <w:bCs/>
          <w:snapToGrid/>
          <w:kern w:val="2"/>
          <w:sz w:val="28"/>
          <w:szCs w:val="28"/>
          <w:lang w:eastAsia="zh-CN"/>
        </w:rPr>
      </w:pPr>
      <w:bookmarkStart w:id="420" w:name="_Toc20340"/>
      <w:r>
        <w:rPr>
          <w:rFonts w:hint="eastAsia" w:ascii="仿宋" w:hAnsi="仿宋" w:eastAsia="仿宋" w:cs="仿宋"/>
          <w:b/>
          <w:bCs/>
          <w:snapToGrid/>
          <w:kern w:val="2"/>
          <w:sz w:val="28"/>
          <w:szCs w:val="28"/>
          <w:lang w:eastAsia="zh-CN"/>
        </w:rPr>
        <w:t>（四）</w:t>
      </w:r>
      <w:bookmarkEnd w:id="419"/>
      <w:r>
        <w:rPr>
          <w:rFonts w:hint="eastAsia" w:ascii="仿宋" w:hAnsi="仿宋" w:eastAsia="仿宋" w:cs="仿宋"/>
          <w:b/>
          <w:bCs/>
          <w:snapToGrid/>
          <w:kern w:val="2"/>
          <w:sz w:val="28"/>
          <w:szCs w:val="28"/>
          <w:lang w:eastAsia="zh-CN"/>
        </w:rPr>
        <w:t>提高专项资金支付效率</w:t>
      </w:r>
      <w:bookmarkEnd w:id="420"/>
    </w:p>
    <w:p w14:paraId="630307D6">
      <w:pPr>
        <w:widowControl w:val="0"/>
        <w:kinsoku/>
        <w:autoSpaceDE/>
        <w:autoSpaceDN/>
        <w:adjustRightInd/>
        <w:snapToGrid/>
        <w:spacing w:line="408" w:lineRule="auto"/>
        <w:ind w:firstLine="560" w:firstLineChars="200"/>
        <w:jc w:val="both"/>
        <w:textAlignment w:val="auto"/>
        <w:rPr>
          <w:rFonts w:hint="eastAsia" w:ascii="仿宋" w:hAnsi="仿宋" w:eastAsia="仿宋" w:cs="仿宋"/>
          <w:snapToGrid/>
          <w:kern w:val="2"/>
          <w:sz w:val="28"/>
          <w:szCs w:val="28"/>
          <w:lang w:eastAsia="zh-CN"/>
        </w:rPr>
      </w:pPr>
      <w:bookmarkStart w:id="421" w:name="_Toc18567"/>
      <w:r>
        <w:rPr>
          <w:rFonts w:hint="eastAsia" w:ascii="仿宋" w:hAnsi="仿宋" w:eastAsia="仿宋" w:cs="仿宋"/>
          <w:snapToGrid/>
          <w:kern w:val="2"/>
          <w:sz w:val="28"/>
          <w:szCs w:val="28"/>
          <w:lang w:eastAsia="zh-CN"/>
        </w:rPr>
        <w:t>加强对专项资金的管理，制定详细的专项资金使用计划和支付时间表，明确各项资金的使用用途、支付条件以及支付时间节点。积极与上级主管部门沟通协调，主动争取资金支持，确保专项资金能够及时、足额到位。对于因特殊原因无法按时支付的专项资金，应及时按照规定办理资金结转或调整手续，防止资金被收回或闲置。</w:t>
      </w:r>
    </w:p>
    <w:p w14:paraId="065097A1">
      <w:pPr>
        <w:widowControl w:val="0"/>
        <w:kinsoku/>
        <w:autoSpaceDE/>
        <w:autoSpaceDN/>
        <w:adjustRightInd/>
        <w:snapToGrid/>
        <w:spacing w:line="408" w:lineRule="auto"/>
        <w:ind w:firstLine="562" w:firstLineChars="200"/>
        <w:jc w:val="both"/>
        <w:textAlignment w:val="auto"/>
        <w:outlineLvl w:val="1"/>
        <w:rPr>
          <w:rFonts w:hint="eastAsia" w:ascii="仿宋" w:hAnsi="仿宋" w:eastAsia="仿宋" w:cs="仿宋"/>
          <w:b/>
          <w:bCs/>
          <w:snapToGrid/>
          <w:kern w:val="2"/>
          <w:sz w:val="28"/>
          <w:szCs w:val="28"/>
          <w:lang w:eastAsia="zh-CN"/>
        </w:rPr>
      </w:pPr>
      <w:bookmarkStart w:id="422" w:name="_Toc28515"/>
      <w:r>
        <w:rPr>
          <w:rFonts w:hint="eastAsia" w:ascii="仿宋" w:hAnsi="仿宋" w:eastAsia="仿宋" w:cs="仿宋"/>
          <w:b/>
          <w:bCs/>
          <w:snapToGrid/>
          <w:kern w:val="2"/>
          <w:sz w:val="28"/>
          <w:szCs w:val="28"/>
          <w:lang w:eastAsia="zh-CN"/>
        </w:rPr>
        <w:t>（五）</w:t>
      </w:r>
      <w:bookmarkEnd w:id="421"/>
      <w:bookmarkStart w:id="423" w:name="_Toc13472"/>
      <w:r>
        <w:rPr>
          <w:rFonts w:hint="eastAsia" w:ascii="仿宋" w:hAnsi="仿宋" w:eastAsia="仿宋" w:cs="仿宋"/>
          <w:b/>
          <w:bCs/>
          <w:snapToGrid/>
          <w:kern w:val="2"/>
          <w:sz w:val="28"/>
          <w:szCs w:val="28"/>
          <w:lang w:eastAsia="zh-CN"/>
        </w:rPr>
        <w:t>健全合同全流程管理体系</w:t>
      </w:r>
      <w:bookmarkEnd w:id="422"/>
    </w:p>
    <w:p w14:paraId="5CD5AAC4">
      <w:pPr>
        <w:widowControl w:val="0"/>
        <w:kinsoku/>
        <w:autoSpaceDE/>
        <w:autoSpaceDN/>
        <w:adjustRightInd/>
        <w:snapToGrid/>
        <w:spacing w:line="408" w:lineRule="auto"/>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建立健全合同管理制度，明确合同管理的流程和标准，加强对合同文本的审核把关。加强对合同执行情况的监督和检查，定期对合同进行清理和盘点，及时发现并解决合同执行过程中存在的问题，保障合同顺利履行。</w:t>
      </w:r>
    </w:p>
    <w:p w14:paraId="0C0512A6">
      <w:pPr>
        <w:widowControl w:val="0"/>
        <w:kinsoku/>
        <w:autoSpaceDE/>
        <w:autoSpaceDN/>
        <w:adjustRightInd/>
        <w:snapToGrid/>
        <w:spacing w:line="408" w:lineRule="auto"/>
        <w:ind w:firstLine="562" w:firstLineChars="200"/>
        <w:jc w:val="both"/>
        <w:textAlignment w:val="auto"/>
        <w:outlineLvl w:val="1"/>
        <w:rPr>
          <w:rFonts w:hint="eastAsia" w:ascii="仿宋" w:hAnsi="仿宋" w:eastAsia="仿宋" w:cs="仿宋"/>
          <w:b/>
          <w:bCs/>
          <w:snapToGrid/>
          <w:kern w:val="2"/>
          <w:sz w:val="28"/>
          <w:szCs w:val="28"/>
          <w:lang w:eastAsia="zh-CN"/>
        </w:rPr>
      </w:pPr>
      <w:bookmarkStart w:id="424" w:name="_Toc7455"/>
      <w:r>
        <w:rPr>
          <w:rFonts w:hint="eastAsia" w:ascii="仿宋" w:hAnsi="仿宋" w:eastAsia="仿宋" w:cs="仿宋"/>
          <w:b/>
          <w:bCs/>
          <w:snapToGrid/>
          <w:kern w:val="2"/>
          <w:sz w:val="28"/>
          <w:szCs w:val="28"/>
          <w:lang w:eastAsia="zh-CN"/>
        </w:rPr>
        <w:t>（六）</w:t>
      </w:r>
      <w:bookmarkEnd w:id="423"/>
      <w:r>
        <w:rPr>
          <w:rFonts w:hint="eastAsia" w:ascii="仿宋" w:hAnsi="仿宋" w:eastAsia="仿宋" w:cs="仿宋"/>
          <w:b/>
          <w:bCs/>
          <w:snapToGrid/>
          <w:kern w:val="2"/>
          <w:sz w:val="28"/>
          <w:szCs w:val="28"/>
          <w:lang w:eastAsia="zh-CN"/>
        </w:rPr>
        <w:t>搭建台账动态核验体系</w:t>
      </w:r>
      <w:bookmarkEnd w:id="424"/>
    </w:p>
    <w:p w14:paraId="39A91DEE">
      <w:pPr>
        <w:widowControl w:val="0"/>
        <w:kinsoku/>
        <w:autoSpaceDE/>
        <w:autoSpaceDN/>
        <w:adjustRightInd/>
        <w:snapToGrid/>
        <w:spacing w:line="408" w:lineRule="auto"/>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组织专门人员对台账进行全面清理和核对，及时更正错误信息，确保台账数据的准确性和完整性。同时，建立光荣牌台账动态管理机制，加强对台账数据的日常维护和更新，及时掌握光荣牌发放对象的变化情况，规范台账管理流程，保证台账数据质量。</w:t>
      </w:r>
    </w:p>
    <w:p w14:paraId="27EE1312">
      <w:pPr>
        <w:widowControl w:val="0"/>
        <w:kinsoku/>
        <w:autoSpaceDE/>
        <w:autoSpaceDN/>
        <w:adjustRightInd/>
        <w:snapToGrid/>
        <w:spacing w:line="408" w:lineRule="auto"/>
        <w:ind w:firstLine="562" w:firstLineChars="200"/>
        <w:jc w:val="both"/>
        <w:textAlignment w:val="auto"/>
        <w:outlineLvl w:val="1"/>
        <w:rPr>
          <w:rFonts w:hint="eastAsia" w:ascii="仿宋" w:hAnsi="仿宋" w:eastAsia="仿宋" w:cs="仿宋"/>
          <w:b/>
          <w:bCs/>
          <w:snapToGrid/>
          <w:kern w:val="2"/>
          <w:sz w:val="28"/>
          <w:szCs w:val="28"/>
          <w:lang w:eastAsia="zh-CN"/>
        </w:rPr>
      </w:pPr>
      <w:bookmarkStart w:id="425" w:name="_Toc3010"/>
      <w:bookmarkStart w:id="426" w:name="_Toc16260"/>
      <w:r>
        <w:rPr>
          <w:rFonts w:hint="eastAsia" w:ascii="仿宋" w:hAnsi="仿宋" w:eastAsia="仿宋" w:cs="仿宋"/>
          <w:b/>
          <w:bCs/>
          <w:snapToGrid/>
          <w:kern w:val="2"/>
          <w:sz w:val="28"/>
          <w:szCs w:val="28"/>
          <w:lang w:eastAsia="zh-CN"/>
        </w:rPr>
        <w:t>（七）</w:t>
      </w:r>
      <w:bookmarkEnd w:id="425"/>
      <w:r>
        <w:rPr>
          <w:rFonts w:hint="eastAsia" w:ascii="仿宋" w:hAnsi="仿宋" w:eastAsia="仿宋" w:cs="仿宋"/>
          <w:b/>
          <w:bCs/>
          <w:snapToGrid/>
          <w:kern w:val="2"/>
          <w:sz w:val="28"/>
          <w:szCs w:val="28"/>
          <w:lang w:eastAsia="zh-CN"/>
        </w:rPr>
        <w:t>推动优抚对象医疗补助政策加速落地</w:t>
      </w:r>
      <w:bookmarkEnd w:id="426"/>
    </w:p>
    <w:p w14:paraId="735E6AAF">
      <w:pPr>
        <w:widowControl w:val="0"/>
        <w:kinsoku/>
        <w:autoSpaceDE/>
        <w:autoSpaceDN/>
        <w:adjustRightInd/>
        <w:snapToGrid/>
        <w:spacing w:line="408" w:lineRule="auto"/>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加快《优抚对象医疗补助办法》的制定和审议进程，明确优抚对象医疗补助的范围、标准、申请流程和审批程序等内容。积极争取将部分省级优抚对象医疗补助资金用于支付医疗补助经费，提高补助资金的使用效益。</w:t>
      </w:r>
    </w:p>
    <w:p w14:paraId="082FB0EA">
      <w:pPr>
        <w:widowControl w:val="0"/>
        <w:overflowPunct w:val="0"/>
        <w:snapToGrid/>
        <w:spacing w:line="408" w:lineRule="auto"/>
        <w:ind w:firstLine="552" w:firstLineChars="200"/>
        <w:outlineLvl w:val="0"/>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427" w:name="_Toc25094"/>
      <w:bookmarkStart w:id="428" w:name="_Toc22034"/>
      <w:bookmarkStart w:id="429" w:name="_Toc6392"/>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十一、其他需说明事项</w:t>
      </w:r>
      <w:bookmarkEnd w:id="412"/>
      <w:bookmarkEnd w:id="427"/>
      <w:bookmarkEnd w:id="428"/>
      <w:bookmarkEnd w:id="429"/>
    </w:p>
    <w:p w14:paraId="28A2C5DE">
      <w:pPr>
        <w:widowControl w:val="0"/>
        <w:kinsoku/>
        <w:autoSpaceDE/>
        <w:autoSpaceDN/>
        <w:adjustRightInd/>
        <w:snapToGrid/>
        <w:spacing w:line="408" w:lineRule="auto"/>
        <w:ind w:firstLine="560" w:firstLineChars="200"/>
        <w:jc w:val="both"/>
        <w:textAlignment w:val="auto"/>
        <w:rPr>
          <w:rFonts w:hint="eastAsia" w:ascii="仿宋" w:hAnsi="仿宋" w:eastAsia="仿宋" w:cs="仿宋"/>
          <w:snapToGrid/>
          <w:kern w:val="2"/>
          <w:sz w:val="28"/>
          <w:szCs w:val="28"/>
          <w:lang w:eastAsia="zh-CN"/>
        </w:rPr>
      </w:pPr>
      <w:bookmarkStart w:id="430" w:name="_Toc22079"/>
      <w:bookmarkStart w:id="431" w:name="_Toc6954"/>
      <w:bookmarkStart w:id="432" w:name="_Toc7333"/>
      <w:r>
        <w:rPr>
          <w:rFonts w:hint="eastAsia" w:ascii="仿宋" w:hAnsi="仿宋" w:eastAsia="仿宋" w:cs="仿宋"/>
          <w:snapToGrid/>
          <w:kern w:val="2"/>
          <w:sz w:val="28"/>
          <w:szCs w:val="28"/>
          <w:lang w:eastAsia="zh-CN"/>
        </w:rPr>
        <w:t>本绩效评价报告是在石狮市退役军人事务局所提供资料及回收的问卷统计数据基础上形成的，石狮市退役军人事务局须对所提供资料的真实性、准确性和完整性负责。</w:t>
      </w:r>
      <w:bookmarkEnd w:id="430"/>
      <w:bookmarkEnd w:id="431"/>
      <w:bookmarkEnd w:id="432"/>
      <w:bookmarkStart w:id="433" w:name="bookmark65"/>
      <w:bookmarkEnd w:id="433"/>
      <w:bookmarkStart w:id="434" w:name="bookmark64"/>
      <w:bookmarkEnd w:id="434"/>
      <w:bookmarkStart w:id="435" w:name="_Toc7298"/>
      <w:bookmarkStart w:id="436" w:name="_Toc791"/>
      <w:bookmarkStart w:id="437" w:name="_Toc23227"/>
      <w:bookmarkStart w:id="438" w:name="_Toc6943"/>
    </w:p>
    <w:p w14:paraId="078DACB8">
      <w:pPr>
        <w:widowControl w:val="0"/>
        <w:overflowPunct w:val="0"/>
        <w:snapToGrid/>
        <w:spacing w:line="408" w:lineRule="auto"/>
        <w:ind w:firstLine="552" w:firstLineChars="200"/>
        <w:outlineLvl w:val="0"/>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pPr>
      <w:bookmarkStart w:id="439" w:name="_Toc26253"/>
      <w:bookmarkStart w:id="440" w:name="_Toc16486"/>
      <w:r>
        <w:rPr>
          <w:rFonts w:hint="eastAsia" w:ascii="仿宋" w:hAnsi="仿宋" w:eastAsia="仿宋" w:cs="仿宋"/>
          <w:bCs/>
          <w:color w:val="auto"/>
          <w:spacing w:val="-2"/>
          <w:sz w:val="28"/>
          <w:szCs w:val="28"/>
          <w:lang w:eastAsia="zh-CN"/>
          <w14:textOutline w14:w="5105" w14:cap="sq" w14:cmpd="sng" w14:algn="ctr">
            <w14:solidFill>
              <w14:srgbClr w14:val="333333"/>
            </w14:solidFill>
            <w14:prstDash w14:val="solid"/>
            <w14:bevel/>
          </w14:textOutline>
        </w:rPr>
        <w:t>十二、相关附件</w:t>
      </w:r>
      <w:bookmarkEnd w:id="435"/>
      <w:bookmarkEnd w:id="436"/>
      <w:bookmarkEnd w:id="437"/>
      <w:bookmarkEnd w:id="438"/>
      <w:bookmarkEnd w:id="439"/>
      <w:bookmarkEnd w:id="440"/>
    </w:p>
    <w:p w14:paraId="6127C4DE">
      <w:pPr>
        <w:widowControl w:val="0"/>
        <w:kinsoku/>
        <w:autoSpaceDE/>
        <w:autoSpaceDN/>
        <w:adjustRightInd/>
        <w:snapToGrid/>
        <w:spacing w:line="408" w:lineRule="auto"/>
        <w:ind w:firstLine="560" w:firstLineChars="200"/>
        <w:jc w:val="both"/>
        <w:textAlignment w:val="auto"/>
        <w:outlineLvl w:val="1"/>
        <w:rPr>
          <w:rFonts w:hint="eastAsia" w:ascii="仿宋" w:hAnsi="仿宋" w:eastAsia="仿宋" w:cs="仿宋"/>
          <w:snapToGrid/>
          <w:kern w:val="2"/>
          <w:sz w:val="28"/>
          <w:szCs w:val="28"/>
          <w:lang w:eastAsia="zh-CN"/>
        </w:rPr>
      </w:pPr>
      <w:bookmarkStart w:id="441" w:name="_Toc32365"/>
      <w:bookmarkStart w:id="442" w:name="_Toc8628"/>
      <w:bookmarkStart w:id="443" w:name="_Toc29951"/>
      <w:bookmarkStart w:id="444" w:name="_Toc20014"/>
      <w:bookmarkStart w:id="445" w:name="_Toc3498"/>
      <w:r>
        <w:rPr>
          <w:rFonts w:hint="eastAsia" w:ascii="仿宋" w:hAnsi="仿宋" w:eastAsia="仿宋" w:cs="仿宋"/>
          <w:snapToGrid/>
          <w:kern w:val="2"/>
          <w:sz w:val="28"/>
          <w:szCs w:val="28"/>
          <w:lang w:eastAsia="zh-CN"/>
        </w:rPr>
        <w:t>附件1  2024年度石狮市退役军人事务局部门整体支出绩效评价得分情况表</w:t>
      </w:r>
      <w:bookmarkEnd w:id="441"/>
      <w:bookmarkEnd w:id="442"/>
      <w:bookmarkEnd w:id="443"/>
      <w:bookmarkEnd w:id="444"/>
      <w:bookmarkEnd w:id="445"/>
    </w:p>
    <w:p w14:paraId="4DB85110">
      <w:pPr>
        <w:widowControl w:val="0"/>
        <w:kinsoku/>
        <w:autoSpaceDE/>
        <w:autoSpaceDN/>
        <w:adjustRightInd/>
        <w:snapToGrid/>
        <w:spacing w:line="408" w:lineRule="auto"/>
        <w:ind w:firstLine="560" w:firstLineChars="200"/>
        <w:jc w:val="both"/>
        <w:textAlignment w:val="auto"/>
        <w:outlineLvl w:val="1"/>
        <w:rPr>
          <w:rFonts w:hint="eastAsia" w:ascii="仿宋" w:hAnsi="仿宋" w:eastAsia="仿宋" w:cs="仿宋"/>
          <w:snapToGrid/>
          <w:kern w:val="2"/>
          <w:sz w:val="28"/>
          <w:szCs w:val="28"/>
          <w:lang w:eastAsia="zh-CN"/>
        </w:rPr>
      </w:pPr>
      <w:bookmarkStart w:id="446" w:name="_Toc3249"/>
      <w:bookmarkStart w:id="447" w:name="_Toc20371"/>
      <w:bookmarkStart w:id="448" w:name="_Toc18460"/>
      <w:bookmarkStart w:id="449" w:name="_Toc10852"/>
      <w:bookmarkStart w:id="450" w:name="_Toc32355"/>
      <w:r>
        <w:rPr>
          <w:rFonts w:hint="eastAsia" w:ascii="仿宋" w:hAnsi="仿宋" w:eastAsia="仿宋" w:cs="仿宋"/>
          <w:snapToGrid/>
          <w:kern w:val="2"/>
          <w:sz w:val="28"/>
          <w:szCs w:val="28"/>
          <w:lang w:eastAsia="zh-CN"/>
        </w:rPr>
        <w:t>附件2  2024年度石狮市退役军人事务局部门整体支出满意度调查</w:t>
      </w:r>
      <w:bookmarkEnd w:id="446"/>
      <w:bookmarkEnd w:id="447"/>
      <w:bookmarkEnd w:id="448"/>
      <w:bookmarkEnd w:id="449"/>
      <w:bookmarkEnd w:id="450"/>
    </w:p>
    <w:p w14:paraId="75958C30">
      <w:pPr>
        <w:widowControl w:val="0"/>
        <w:kinsoku/>
        <w:autoSpaceDE/>
        <w:autoSpaceDN/>
        <w:adjustRightInd/>
        <w:snapToGrid/>
        <w:spacing w:line="408" w:lineRule="auto"/>
        <w:ind w:firstLine="560" w:firstLineChars="200"/>
        <w:jc w:val="both"/>
        <w:textAlignment w:val="auto"/>
        <w:outlineLvl w:val="1"/>
        <w:rPr>
          <w:rFonts w:hint="eastAsia" w:ascii="仿宋" w:hAnsi="仿宋" w:eastAsia="仿宋" w:cs="仿宋"/>
          <w:snapToGrid/>
          <w:kern w:val="2"/>
          <w:sz w:val="28"/>
          <w:szCs w:val="28"/>
          <w:lang w:eastAsia="zh-CN"/>
        </w:rPr>
      </w:pPr>
      <w:bookmarkStart w:id="451" w:name="_Toc7341"/>
      <w:bookmarkStart w:id="452" w:name="_Toc17497"/>
      <w:bookmarkStart w:id="453" w:name="_Toc26348"/>
      <w:bookmarkStart w:id="454" w:name="_Toc31006"/>
      <w:r>
        <w:rPr>
          <w:rFonts w:hint="eastAsia" w:ascii="仿宋" w:hAnsi="仿宋" w:eastAsia="仿宋" w:cs="仿宋"/>
          <w:snapToGrid/>
          <w:kern w:val="2"/>
          <w:sz w:val="28"/>
          <w:szCs w:val="28"/>
          <w:lang w:eastAsia="zh-CN"/>
        </w:rPr>
        <w:fldChar w:fldCharType="begin"/>
      </w:r>
      <w:r>
        <w:rPr>
          <w:rFonts w:hint="eastAsia" w:ascii="仿宋" w:hAnsi="仿宋" w:eastAsia="仿宋" w:cs="仿宋"/>
          <w:snapToGrid/>
          <w:kern w:val="2"/>
          <w:sz w:val="28"/>
          <w:szCs w:val="28"/>
          <w:lang w:eastAsia="zh-CN"/>
        </w:rPr>
        <w:instrText xml:space="preserve"> HYPERLINK \l "bookmark72" </w:instrText>
      </w:r>
      <w:r>
        <w:rPr>
          <w:rFonts w:hint="eastAsia" w:ascii="仿宋" w:hAnsi="仿宋" w:eastAsia="仿宋" w:cs="仿宋"/>
          <w:snapToGrid/>
          <w:kern w:val="2"/>
          <w:sz w:val="28"/>
          <w:szCs w:val="28"/>
          <w:lang w:eastAsia="zh-CN"/>
        </w:rPr>
        <w:fldChar w:fldCharType="separate"/>
      </w:r>
      <w:r>
        <w:rPr>
          <w:rFonts w:hint="eastAsia" w:ascii="仿宋" w:hAnsi="仿宋" w:eastAsia="仿宋" w:cs="仿宋"/>
          <w:snapToGrid/>
          <w:kern w:val="2"/>
          <w:sz w:val="28"/>
          <w:szCs w:val="28"/>
          <w:lang w:eastAsia="zh-CN"/>
        </w:rPr>
        <w:t>附件3  现场调研照片</w:t>
      </w:r>
      <w:r>
        <w:rPr>
          <w:rFonts w:hint="eastAsia" w:ascii="仿宋" w:hAnsi="仿宋" w:eastAsia="仿宋" w:cs="仿宋"/>
          <w:snapToGrid/>
          <w:kern w:val="2"/>
          <w:sz w:val="28"/>
          <w:szCs w:val="28"/>
          <w:lang w:eastAsia="zh-CN"/>
        </w:rPr>
        <w:fldChar w:fldCharType="end"/>
      </w:r>
      <w:bookmarkEnd w:id="451"/>
      <w:bookmarkEnd w:id="452"/>
      <w:bookmarkEnd w:id="453"/>
      <w:bookmarkEnd w:id="454"/>
    </w:p>
    <w:p w14:paraId="052FF5BE">
      <w:pPr>
        <w:widowControl w:val="0"/>
        <w:kinsoku/>
        <w:autoSpaceDE/>
        <w:autoSpaceDN/>
        <w:adjustRightInd/>
        <w:snapToGrid/>
        <w:spacing w:line="408" w:lineRule="auto"/>
        <w:ind w:firstLine="4760" w:firstLineChars="17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泉州市启程财务咨询有限公司</w:t>
      </w:r>
    </w:p>
    <w:p w14:paraId="1BF32782">
      <w:pPr>
        <w:widowControl w:val="0"/>
        <w:kinsoku/>
        <w:autoSpaceDE/>
        <w:autoSpaceDN/>
        <w:adjustRightInd/>
        <w:snapToGrid/>
        <w:spacing w:line="408" w:lineRule="auto"/>
        <w:ind w:firstLine="560" w:firstLineChars="200"/>
        <w:jc w:val="both"/>
        <w:textAlignment w:val="auto"/>
        <w:rPr>
          <w:rFonts w:hint="eastAsia" w:ascii="仿宋" w:hAnsi="仿宋" w:eastAsia="仿宋" w:cs="仿宋"/>
          <w:snapToGrid/>
          <w:kern w:val="2"/>
          <w:sz w:val="28"/>
          <w:szCs w:val="28"/>
          <w:lang w:eastAsia="zh-CN"/>
        </w:rPr>
        <w:sectPr>
          <w:footerReference r:id="rId4" w:type="default"/>
          <w:pgSz w:w="11906" w:h="16839"/>
          <w:pgMar w:top="1304" w:right="1417" w:bottom="1417" w:left="1417" w:header="0" w:footer="794" w:gutter="0"/>
          <w:pgNumType w:start="1"/>
          <w:cols w:space="720" w:num="1"/>
          <w:docGrid w:linePitch="286" w:charSpace="0"/>
        </w:sectPr>
      </w:pPr>
      <w:r>
        <w:rPr>
          <w:rFonts w:hint="eastAsia" w:ascii="仿宋" w:hAnsi="仿宋" w:eastAsia="仿宋" w:cs="仿宋"/>
          <w:snapToGrid/>
          <w:kern w:val="2"/>
          <w:sz w:val="28"/>
          <w:szCs w:val="28"/>
          <w:lang w:eastAsia="zh-CN"/>
        </w:rPr>
        <w:t xml:space="preserve">                                  </w:t>
      </w:r>
      <w:r>
        <w:rPr>
          <w:rFonts w:hint="eastAsia" w:ascii="仿宋" w:hAnsi="仿宋" w:eastAsia="仿宋" w:cs="仿宋"/>
          <w:snapToGrid/>
          <w:kern w:val="2"/>
          <w:sz w:val="28"/>
          <w:szCs w:val="28"/>
          <w:lang w:val="en-US" w:eastAsia="zh-CN"/>
        </w:rPr>
        <w:t xml:space="preserve"> </w:t>
      </w:r>
      <w:r>
        <w:rPr>
          <w:rFonts w:hint="eastAsia" w:ascii="仿宋" w:hAnsi="仿宋" w:eastAsia="仿宋" w:cs="仿宋"/>
          <w:snapToGrid/>
          <w:kern w:val="2"/>
          <w:sz w:val="28"/>
          <w:szCs w:val="28"/>
          <w:lang w:eastAsia="zh-CN"/>
        </w:rPr>
        <w:t xml:space="preserve"> 2025年7月29日</w:t>
      </w:r>
    </w:p>
    <w:p w14:paraId="5A3F6384">
      <w:pPr>
        <w:pStyle w:val="34"/>
        <w:widowControl w:val="0"/>
        <w:overflowPunct w:val="0"/>
        <w:snapToGrid/>
        <w:spacing w:line="360" w:lineRule="auto"/>
        <w:rPr>
          <w:rFonts w:ascii="Times New Roman" w:eastAsia="宋体"/>
          <w:color w:val="auto"/>
          <w:sz w:val="28"/>
          <w:lang w:eastAsia="zh-CN"/>
        </w:rPr>
      </w:pPr>
    </w:p>
    <w:p w14:paraId="4CD9AF1F">
      <w:pPr>
        <w:widowControl w:val="0"/>
        <w:overflowPunct w:val="0"/>
        <w:snapToGrid/>
        <w:spacing w:line="360" w:lineRule="auto"/>
        <w:jc w:val="center"/>
        <w:rPr>
          <w:rFonts w:hint="eastAsia" w:ascii="仿宋" w:hAnsi="仿宋" w:eastAsia="仿宋" w:cs="仿宋"/>
          <w:color w:val="auto"/>
          <w:sz w:val="28"/>
          <w:szCs w:val="28"/>
          <w:lang w:eastAsia="zh-CN"/>
        </w:rPr>
      </w:pPr>
      <w:bookmarkStart w:id="455" w:name="bookmark66"/>
      <w:bookmarkEnd w:id="455"/>
      <w:bookmarkStart w:id="456" w:name="_Toc30208"/>
      <w:bookmarkStart w:id="457" w:name="_Toc19037"/>
      <w:bookmarkStart w:id="458" w:name="_Toc3591"/>
      <w:bookmarkStart w:id="459" w:name="_Toc5235"/>
      <w:bookmarkStart w:id="460" w:name="_Toc19605"/>
      <w:bookmarkStart w:id="461" w:name="_Toc29206"/>
      <w:r>
        <w:rPr>
          <w:rFonts w:ascii="仿宋" w:hAnsi="仿宋" w:eastAsia="仿宋" w:cs="仿宋"/>
          <w:color w:val="auto"/>
          <w:spacing w:val="-1"/>
          <w:sz w:val="24"/>
          <w:szCs w:val="24"/>
          <w:lang w:eastAsia="zh-CN"/>
          <w14:textOutline w14:w="5105" w14:cap="sq" w14:cmpd="sng" w14:algn="ctr">
            <w14:solidFill>
              <w14:srgbClr w14:val="000000"/>
            </w14:solidFill>
            <w14:prstDash w14:val="solid"/>
            <w14:bevel/>
          </w14:textOutline>
        </w:rPr>
        <w:t>附件</w:t>
      </w:r>
      <w:r>
        <w:rPr>
          <w:rFonts w:hint="eastAsia" w:ascii="仿宋" w:hAnsi="仿宋" w:eastAsia="仿宋" w:cs="仿宋"/>
          <w:color w:val="auto"/>
          <w:spacing w:val="-1"/>
          <w:sz w:val="24"/>
          <w:szCs w:val="24"/>
          <w:lang w:eastAsia="zh-CN"/>
          <w14:textOutline w14:w="5105" w14:cap="sq" w14:cmpd="sng" w14:algn="ctr">
            <w14:solidFill>
              <w14:srgbClr w14:val="000000"/>
            </w14:solidFill>
            <w14:prstDash w14:val="solid"/>
            <w14:bevel/>
          </w14:textOutline>
        </w:rPr>
        <w:t>1  2024年度石狮市退役军人事务局</w:t>
      </w:r>
      <w:r>
        <w:rPr>
          <w:rFonts w:ascii="仿宋" w:hAnsi="仿宋" w:eastAsia="仿宋" w:cs="仿宋"/>
          <w:color w:val="auto"/>
          <w:spacing w:val="-1"/>
          <w:sz w:val="24"/>
          <w:szCs w:val="24"/>
          <w:lang w:eastAsia="zh-CN"/>
          <w14:textOutline w14:w="5105" w14:cap="sq" w14:cmpd="sng" w14:algn="ctr">
            <w14:solidFill>
              <w14:srgbClr w14:val="000000"/>
            </w14:solidFill>
            <w14:prstDash w14:val="solid"/>
            <w14:bevel/>
          </w14:textOutline>
        </w:rPr>
        <w:t>部门整体支出绩效评价</w:t>
      </w:r>
      <w:r>
        <w:rPr>
          <w:rFonts w:ascii="仿宋" w:hAnsi="仿宋" w:eastAsia="仿宋" w:cs="仿宋"/>
          <w:color w:val="auto"/>
          <w:spacing w:val="-2"/>
          <w:sz w:val="24"/>
          <w:szCs w:val="24"/>
          <w:lang w:eastAsia="zh-CN"/>
          <w14:textOutline w14:w="5105" w14:cap="sq" w14:cmpd="sng" w14:algn="ctr">
            <w14:solidFill>
              <w14:srgbClr w14:val="000000"/>
            </w14:solidFill>
            <w14:prstDash w14:val="solid"/>
            <w14:bevel/>
          </w14:textOutline>
        </w:rPr>
        <w:t>得分情况表</w:t>
      </w:r>
      <w:bookmarkEnd w:id="456"/>
      <w:bookmarkEnd w:id="457"/>
      <w:bookmarkEnd w:id="458"/>
      <w:bookmarkEnd w:id="459"/>
      <w:bookmarkEnd w:id="460"/>
      <w:bookmarkEnd w:id="461"/>
    </w:p>
    <w:tbl>
      <w:tblPr>
        <w:tblStyle w:val="89"/>
        <w:tblW w:w="15617" w:type="dxa"/>
        <w:tblInd w:w="0" w:type="dxa"/>
        <w:tblLayout w:type="fixed"/>
        <w:tblCellMar>
          <w:top w:w="0" w:type="dxa"/>
          <w:left w:w="108" w:type="dxa"/>
          <w:bottom w:w="0" w:type="dxa"/>
          <w:right w:w="108" w:type="dxa"/>
        </w:tblCellMar>
      </w:tblPr>
      <w:tblGrid>
        <w:gridCol w:w="1386"/>
        <w:gridCol w:w="1124"/>
        <w:gridCol w:w="1480"/>
        <w:gridCol w:w="5120"/>
        <w:gridCol w:w="760"/>
        <w:gridCol w:w="760"/>
        <w:gridCol w:w="4987"/>
      </w:tblGrid>
      <w:tr w14:paraId="6B8883B7">
        <w:tblPrEx>
          <w:tblCellMar>
            <w:top w:w="0" w:type="dxa"/>
            <w:left w:w="108" w:type="dxa"/>
            <w:bottom w:w="0" w:type="dxa"/>
            <w:right w:w="108" w:type="dxa"/>
          </w:tblCellMar>
        </w:tblPrEx>
        <w:trPr>
          <w:trHeight w:val="680" w:hRule="atLeast"/>
        </w:trPr>
        <w:tc>
          <w:tcPr>
            <w:tcW w:w="1386" w:type="dxa"/>
            <w:tcBorders>
              <w:top w:val="single" w:color="000000" w:sz="4" w:space="0"/>
              <w:left w:val="single" w:color="000000" w:sz="4" w:space="0"/>
              <w:bottom w:val="single" w:color="000000" w:sz="4" w:space="0"/>
              <w:right w:val="single" w:color="000000" w:sz="4" w:space="0"/>
            </w:tcBorders>
            <w:noWrap/>
            <w:vAlign w:val="center"/>
          </w:tcPr>
          <w:p w14:paraId="56200EE1">
            <w:pPr>
              <w:jc w:val="center"/>
              <w:textAlignment w:val="center"/>
              <w:rPr>
                <w:rFonts w:hint="eastAsia" w:ascii="仿宋" w:hAnsi="仿宋" w:eastAsia="仿宋" w:cs="仿宋"/>
                <w:b/>
                <w:bCs/>
              </w:rPr>
            </w:pPr>
            <w:r>
              <w:rPr>
                <w:rFonts w:hint="eastAsia" w:ascii="仿宋" w:hAnsi="仿宋" w:eastAsia="仿宋" w:cs="仿宋"/>
                <w:b/>
                <w:bCs/>
                <w:lang w:eastAsia="zh-CN" w:bidi="ar"/>
              </w:rPr>
              <w:t>一级指标</w:t>
            </w:r>
          </w:p>
        </w:tc>
        <w:tc>
          <w:tcPr>
            <w:tcW w:w="1124" w:type="dxa"/>
            <w:tcBorders>
              <w:top w:val="single" w:color="000000" w:sz="4" w:space="0"/>
              <w:left w:val="single" w:color="000000" w:sz="4" w:space="0"/>
              <w:bottom w:val="single" w:color="000000" w:sz="4" w:space="0"/>
              <w:right w:val="single" w:color="000000" w:sz="4" w:space="0"/>
            </w:tcBorders>
            <w:vAlign w:val="center"/>
          </w:tcPr>
          <w:p w14:paraId="26E7A6AE">
            <w:pPr>
              <w:jc w:val="center"/>
              <w:textAlignment w:val="center"/>
              <w:rPr>
                <w:rFonts w:hint="eastAsia" w:ascii="仿宋" w:hAnsi="仿宋" w:eastAsia="仿宋" w:cs="仿宋"/>
                <w:b/>
                <w:bCs/>
              </w:rPr>
            </w:pPr>
            <w:r>
              <w:rPr>
                <w:rFonts w:hint="eastAsia" w:ascii="仿宋" w:hAnsi="仿宋" w:eastAsia="仿宋" w:cs="仿宋"/>
                <w:b/>
                <w:bCs/>
                <w:lang w:eastAsia="zh-CN" w:bidi="ar"/>
              </w:rPr>
              <w:t>二级指标</w:t>
            </w:r>
          </w:p>
        </w:tc>
        <w:tc>
          <w:tcPr>
            <w:tcW w:w="1480" w:type="dxa"/>
            <w:tcBorders>
              <w:top w:val="single" w:color="000000" w:sz="4" w:space="0"/>
              <w:left w:val="single" w:color="000000" w:sz="4" w:space="0"/>
              <w:bottom w:val="single" w:color="000000" w:sz="4" w:space="0"/>
              <w:right w:val="single" w:color="000000" w:sz="4" w:space="0"/>
            </w:tcBorders>
            <w:vAlign w:val="center"/>
          </w:tcPr>
          <w:p w14:paraId="1FF22BFE">
            <w:pPr>
              <w:jc w:val="center"/>
              <w:textAlignment w:val="center"/>
              <w:rPr>
                <w:rFonts w:hint="eastAsia" w:ascii="仿宋" w:hAnsi="仿宋" w:eastAsia="仿宋" w:cs="仿宋"/>
                <w:b/>
                <w:bCs/>
              </w:rPr>
            </w:pPr>
            <w:r>
              <w:rPr>
                <w:rFonts w:hint="eastAsia" w:ascii="仿宋" w:hAnsi="仿宋" w:eastAsia="仿宋" w:cs="仿宋"/>
                <w:b/>
                <w:bCs/>
                <w:lang w:eastAsia="zh-CN" w:bidi="ar"/>
              </w:rPr>
              <w:t>三级指标</w:t>
            </w:r>
          </w:p>
        </w:tc>
        <w:tc>
          <w:tcPr>
            <w:tcW w:w="5120" w:type="dxa"/>
            <w:tcBorders>
              <w:top w:val="single" w:color="000000" w:sz="4" w:space="0"/>
              <w:left w:val="single" w:color="000000" w:sz="4" w:space="0"/>
              <w:bottom w:val="single" w:color="000000" w:sz="4" w:space="0"/>
              <w:right w:val="single" w:color="000000" w:sz="4" w:space="0"/>
            </w:tcBorders>
            <w:vAlign w:val="center"/>
          </w:tcPr>
          <w:p w14:paraId="288E6D64">
            <w:pPr>
              <w:jc w:val="center"/>
              <w:textAlignment w:val="center"/>
              <w:rPr>
                <w:rFonts w:hint="eastAsia" w:ascii="仿宋" w:hAnsi="仿宋" w:eastAsia="仿宋" w:cs="仿宋"/>
                <w:b/>
                <w:bCs/>
              </w:rPr>
            </w:pPr>
            <w:r>
              <w:rPr>
                <w:rFonts w:hint="eastAsia" w:ascii="仿宋" w:hAnsi="仿宋" w:eastAsia="仿宋" w:cs="仿宋"/>
                <w:b/>
                <w:bCs/>
                <w:lang w:eastAsia="zh-CN" w:bidi="ar"/>
              </w:rPr>
              <w:t>评价标准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B075F0E">
            <w:pPr>
              <w:jc w:val="center"/>
              <w:textAlignment w:val="center"/>
              <w:rPr>
                <w:rFonts w:hint="eastAsia" w:ascii="仿宋" w:hAnsi="仿宋" w:eastAsia="仿宋" w:cs="仿宋"/>
                <w:b/>
                <w:bCs/>
              </w:rPr>
            </w:pPr>
            <w:r>
              <w:rPr>
                <w:rFonts w:hint="eastAsia" w:ascii="仿宋" w:hAnsi="仿宋" w:eastAsia="仿宋" w:cs="仿宋"/>
                <w:b/>
                <w:bCs/>
                <w:lang w:eastAsia="zh-CN" w:bidi="ar"/>
              </w:rPr>
              <w:t>分值</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4D69219">
            <w:pPr>
              <w:jc w:val="center"/>
              <w:textAlignment w:val="center"/>
              <w:rPr>
                <w:rFonts w:hint="eastAsia" w:ascii="仿宋" w:hAnsi="仿宋" w:eastAsia="仿宋" w:cs="仿宋"/>
                <w:b/>
                <w:bCs/>
              </w:rPr>
            </w:pPr>
            <w:r>
              <w:rPr>
                <w:rFonts w:hint="eastAsia" w:ascii="仿宋" w:hAnsi="仿宋" w:eastAsia="仿宋" w:cs="仿宋"/>
                <w:b/>
                <w:bCs/>
                <w:lang w:eastAsia="zh-CN" w:bidi="ar"/>
              </w:rPr>
              <w:t>得分</w:t>
            </w:r>
          </w:p>
        </w:tc>
        <w:tc>
          <w:tcPr>
            <w:tcW w:w="4987" w:type="dxa"/>
            <w:tcBorders>
              <w:top w:val="single" w:color="000000" w:sz="4" w:space="0"/>
              <w:left w:val="single" w:color="000000" w:sz="4" w:space="0"/>
              <w:bottom w:val="single" w:color="000000" w:sz="4" w:space="0"/>
              <w:right w:val="single" w:color="000000" w:sz="4" w:space="0"/>
            </w:tcBorders>
            <w:vAlign w:val="center"/>
          </w:tcPr>
          <w:p w14:paraId="16AFA639">
            <w:pPr>
              <w:jc w:val="center"/>
              <w:textAlignment w:val="center"/>
              <w:rPr>
                <w:rFonts w:hint="eastAsia" w:ascii="仿宋" w:hAnsi="仿宋" w:eastAsia="仿宋" w:cs="仿宋"/>
                <w:b/>
                <w:bCs/>
              </w:rPr>
            </w:pPr>
            <w:r>
              <w:rPr>
                <w:rFonts w:hint="eastAsia" w:ascii="仿宋" w:hAnsi="仿宋" w:eastAsia="仿宋" w:cs="仿宋"/>
                <w:b/>
                <w:bCs/>
                <w:lang w:eastAsia="zh-CN" w:bidi="ar"/>
              </w:rPr>
              <w:t>评分依据</w:t>
            </w:r>
          </w:p>
        </w:tc>
      </w:tr>
      <w:tr w14:paraId="350329E4">
        <w:tblPrEx>
          <w:tblCellMar>
            <w:top w:w="0" w:type="dxa"/>
            <w:left w:w="108" w:type="dxa"/>
            <w:bottom w:w="0" w:type="dxa"/>
            <w:right w:w="108" w:type="dxa"/>
          </w:tblCellMar>
        </w:tblPrEx>
        <w:trPr>
          <w:trHeight w:val="2200" w:hRule="atLeast"/>
        </w:trPr>
        <w:tc>
          <w:tcPr>
            <w:tcW w:w="1386" w:type="dxa"/>
            <w:vMerge w:val="restart"/>
            <w:tcBorders>
              <w:top w:val="single" w:color="000000" w:sz="4" w:space="0"/>
              <w:left w:val="single" w:color="000000" w:sz="4" w:space="0"/>
              <w:bottom w:val="single" w:color="000000" w:sz="4" w:space="0"/>
              <w:right w:val="single" w:color="000000" w:sz="4" w:space="0"/>
            </w:tcBorders>
            <w:noWrap/>
            <w:vAlign w:val="center"/>
          </w:tcPr>
          <w:p w14:paraId="6F31E75B">
            <w:pPr>
              <w:jc w:val="center"/>
              <w:textAlignment w:val="center"/>
              <w:rPr>
                <w:rFonts w:hint="eastAsia" w:ascii="仿宋" w:hAnsi="仿宋" w:eastAsia="仿宋" w:cs="仿宋"/>
              </w:rPr>
            </w:pPr>
            <w:r>
              <w:rPr>
                <w:rFonts w:hint="eastAsia" w:ascii="仿宋" w:hAnsi="仿宋" w:eastAsia="仿宋" w:cs="仿宋"/>
                <w:lang w:eastAsia="zh-CN" w:bidi="ar"/>
              </w:rPr>
              <w:t>投入</w:t>
            </w:r>
            <w:r>
              <w:rPr>
                <w:rFonts w:hint="eastAsia" w:ascii="仿宋" w:hAnsi="仿宋" w:eastAsia="仿宋" w:cs="仿宋"/>
                <w:lang w:eastAsia="zh-CN" w:bidi="ar"/>
              </w:rPr>
              <w:br w:type="textWrapping"/>
            </w:r>
            <w:r>
              <w:rPr>
                <w:rFonts w:hint="eastAsia" w:ascii="仿宋" w:hAnsi="仿宋" w:eastAsia="仿宋" w:cs="仿宋"/>
                <w:lang w:eastAsia="zh-CN" w:bidi="ar"/>
              </w:rPr>
              <w:t>（10分）</w:t>
            </w:r>
          </w:p>
        </w:tc>
        <w:tc>
          <w:tcPr>
            <w:tcW w:w="1124" w:type="dxa"/>
            <w:vMerge w:val="restart"/>
            <w:tcBorders>
              <w:top w:val="single" w:color="000000" w:sz="4" w:space="0"/>
              <w:left w:val="single" w:color="000000" w:sz="4" w:space="0"/>
              <w:bottom w:val="single" w:color="000000" w:sz="4" w:space="0"/>
              <w:right w:val="single" w:color="000000" w:sz="4" w:space="0"/>
            </w:tcBorders>
            <w:vAlign w:val="center"/>
          </w:tcPr>
          <w:p w14:paraId="68859334">
            <w:pPr>
              <w:jc w:val="center"/>
              <w:textAlignment w:val="center"/>
              <w:rPr>
                <w:rFonts w:hint="eastAsia" w:ascii="仿宋" w:hAnsi="仿宋" w:eastAsia="仿宋" w:cs="仿宋"/>
              </w:rPr>
            </w:pPr>
            <w:r>
              <w:rPr>
                <w:rFonts w:hint="eastAsia" w:ascii="仿宋" w:hAnsi="仿宋" w:eastAsia="仿宋" w:cs="仿宋"/>
                <w:lang w:eastAsia="zh-CN" w:bidi="ar"/>
              </w:rPr>
              <w:t>目标设定（4分）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676D298D">
            <w:pPr>
              <w:jc w:val="center"/>
              <w:textAlignment w:val="center"/>
              <w:rPr>
                <w:rFonts w:hint="eastAsia" w:ascii="仿宋" w:hAnsi="仿宋" w:eastAsia="仿宋" w:cs="仿宋"/>
              </w:rPr>
            </w:pPr>
            <w:r>
              <w:rPr>
                <w:rFonts w:hint="eastAsia" w:ascii="仿宋" w:hAnsi="仿宋" w:eastAsia="仿宋" w:cs="仿宋"/>
                <w:lang w:eastAsia="zh-CN" w:bidi="ar"/>
              </w:rPr>
              <w:t>绩效目标合理性</w:t>
            </w:r>
          </w:p>
        </w:tc>
        <w:tc>
          <w:tcPr>
            <w:tcW w:w="5120" w:type="dxa"/>
            <w:tcBorders>
              <w:top w:val="single" w:color="000000" w:sz="4" w:space="0"/>
              <w:left w:val="single" w:color="000000" w:sz="4" w:space="0"/>
              <w:bottom w:val="single" w:color="000000" w:sz="4" w:space="0"/>
              <w:right w:val="single" w:color="000000" w:sz="4" w:space="0"/>
            </w:tcBorders>
            <w:vAlign w:val="center"/>
          </w:tcPr>
          <w:p w14:paraId="61DFE322">
            <w:pPr>
              <w:textAlignment w:val="center"/>
              <w:rPr>
                <w:rFonts w:hint="eastAsia" w:ascii="仿宋" w:hAnsi="仿宋" w:eastAsia="仿宋" w:cs="仿宋"/>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①是否符合国家法律法规；</w:t>
            </w:r>
            <w:r>
              <w:rPr>
                <w:rFonts w:hint="eastAsia" w:ascii="仿宋" w:hAnsi="仿宋" w:eastAsia="仿宋" w:cs="仿宋"/>
                <w:lang w:eastAsia="zh-CN" w:bidi="ar"/>
              </w:rPr>
              <w:br w:type="textWrapping"/>
            </w:r>
            <w:r>
              <w:rPr>
                <w:rFonts w:hint="eastAsia" w:ascii="仿宋" w:hAnsi="仿宋" w:eastAsia="仿宋" w:cs="仿宋"/>
                <w:lang w:eastAsia="zh-CN" w:bidi="ar"/>
              </w:rPr>
              <w:t>②是否符合国民经济和社会发展总体规划；</w:t>
            </w:r>
            <w:r>
              <w:rPr>
                <w:rFonts w:hint="eastAsia" w:ascii="仿宋" w:hAnsi="仿宋" w:eastAsia="仿宋" w:cs="仿宋"/>
                <w:lang w:eastAsia="zh-CN" w:bidi="ar"/>
              </w:rPr>
              <w:br w:type="textWrapping"/>
            </w:r>
            <w:r>
              <w:rPr>
                <w:rFonts w:hint="eastAsia" w:ascii="仿宋" w:hAnsi="仿宋" w:eastAsia="仿宋" w:cs="仿宋"/>
                <w:lang w:eastAsia="zh-CN" w:bidi="ar"/>
              </w:rPr>
              <w:t>③是否符合部门“三定”方案确定的职责；</w:t>
            </w:r>
            <w:r>
              <w:rPr>
                <w:rFonts w:hint="eastAsia" w:ascii="仿宋" w:hAnsi="仿宋" w:eastAsia="仿宋" w:cs="仿宋"/>
                <w:lang w:eastAsia="zh-CN" w:bidi="ar"/>
              </w:rPr>
              <w:br w:type="textWrapping"/>
            </w:r>
            <w:r>
              <w:rPr>
                <w:rFonts w:hint="eastAsia" w:ascii="仿宋" w:hAnsi="仿宋" w:eastAsia="仿宋" w:cs="仿宋"/>
                <w:lang w:eastAsia="zh-CN" w:bidi="ar"/>
              </w:rPr>
              <w:t>④是否符合部门制定的中长期实施规划或年度工作计划。</w:t>
            </w:r>
            <w:r>
              <w:rPr>
                <w:rFonts w:hint="eastAsia" w:ascii="仿宋" w:hAnsi="仿宋" w:eastAsia="仿宋" w:cs="仿宋"/>
                <w:lang w:eastAsia="zh-CN" w:bidi="ar"/>
              </w:rPr>
              <w:br w:type="textWrapping"/>
            </w:r>
            <w:r>
              <w:rPr>
                <w:rFonts w:hint="eastAsia" w:ascii="仿宋" w:hAnsi="仿宋" w:eastAsia="仿宋" w:cs="仿宋"/>
                <w:lang w:eastAsia="zh-CN" w:bidi="ar"/>
              </w:rPr>
              <w:t>一项不符扣0.5分。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519722E">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C3E3EF5">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1B01F43B">
            <w:pPr>
              <w:textAlignment w:val="center"/>
              <w:rPr>
                <w:rFonts w:hint="eastAsia" w:ascii="仿宋" w:hAnsi="仿宋" w:eastAsia="仿宋" w:cs="仿宋"/>
                <w:lang w:eastAsia="zh-CN"/>
              </w:rPr>
            </w:pPr>
            <w:r>
              <w:rPr>
                <w:rFonts w:hint="eastAsia" w:ascii="仿宋" w:hAnsi="仿宋" w:eastAsia="仿宋" w:cs="仿宋"/>
                <w:lang w:eastAsia="zh-CN" w:bidi="ar"/>
              </w:rPr>
              <w:t>石狮市退役军人事务局按照工作职能制定了年度目标任务，整体支出绩效目标与部门年度的任务数相对应，年度总体目标基本符合国家法律法规、国民经济和社会发展总体规划、部门“三定”方案确定的职责和部门中长期规划，根据评分标准，本项得分2分。</w:t>
            </w:r>
          </w:p>
        </w:tc>
      </w:tr>
      <w:tr w14:paraId="20F18FE0">
        <w:tblPrEx>
          <w:tblCellMar>
            <w:top w:w="0" w:type="dxa"/>
            <w:left w:w="108" w:type="dxa"/>
            <w:bottom w:w="0" w:type="dxa"/>
            <w:right w:w="108" w:type="dxa"/>
          </w:tblCellMar>
        </w:tblPrEx>
        <w:trPr>
          <w:trHeight w:val="276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556ADAFB">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7F5FB023">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4F53092">
            <w:pPr>
              <w:jc w:val="center"/>
              <w:textAlignment w:val="center"/>
              <w:rPr>
                <w:rFonts w:hint="eastAsia" w:ascii="仿宋" w:hAnsi="仿宋" w:eastAsia="仿宋" w:cs="仿宋"/>
              </w:rPr>
            </w:pPr>
            <w:r>
              <w:rPr>
                <w:rFonts w:hint="eastAsia" w:ascii="仿宋" w:hAnsi="仿宋" w:eastAsia="仿宋" w:cs="仿宋"/>
                <w:lang w:eastAsia="zh-CN" w:bidi="ar"/>
              </w:rPr>
              <w:t>绩效目标明确性</w:t>
            </w:r>
          </w:p>
        </w:tc>
        <w:tc>
          <w:tcPr>
            <w:tcW w:w="5120" w:type="dxa"/>
            <w:tcBorders>
              <w:top w:val="single" w:color="000000" w:sz="4" w:space="0"/>
              <w:left w:val="single" w:color="000000" w:sz="4" w:space="0"/>
              <w:bottom w:val="single" w:color="000000" w:sz="4" w:space="0"/>
              <w:right w:val="single" w:color="000000" w:sz="4" w:space="0"/>
            </w:tcBorders>
            <w:vAlign w:val="center"/>
          </w:tcPr>
          <w:p w14:paraId="1D54FC46">
            <w:pPr>
              <w:textAlignment w:val="center"/>
              <w:rPr>
                <w:rFonts w:hint="eastAsia" w:ascii="仿宋" w:hAnsi="仿宋" w:eastAsia="仿宋" w:cs="仿宋"/>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①是否将部门整体的绩效目标细化分解为具体的工作任务；</w:t>
            </w:r>
            <w:r>
              <w:rPr>
                <w:rFonts w:hint="eastAsia" w:ascii="仿宋" w:hAnsi="仿宋" w:eastAsia="仿宋" w:cs="仿宋"/>
                <w:lang w:eastAsia="zh-CN" w:bidi="ar"/>
              </w:rPr>
              <w:br w:type="textWrapping"/>
            </w:r>
            <w:r>
              <w:rPr>
                <w:rFonts w:hint="eastAsia" w:ascii="仿宋" w:hAnsi="仿宋" w:eastAsia="仿宋" w:cs="仿宋"/>
                <w:lang w:eastAsia="zh-CN" w:bidi="ar"/>
              </w:rPr>
              <w:t>②是否通过清晰、可衡量的指标予以体现；</w:t>
            </w:r>
            <w:r>
              <w:rPr>
                <w:rFonts w:hint="eastAsia" w:ascii="仿宋" w:hAnsi="仿宋" w:eastAsia="仿宋" w:cs="仿宋"/>
                <w:lang w:eastAsia="zh-CN" w:bidi="ar"/>
              </w:rPr>
              <w:br w:type="textWrapping"/>
            </w:r>
            <w:r>
              <w:rPr>
                <w:rFonts w:hint="eastAsia" w:ascii="仿宋" w:hAnsi="仿宋" w:eastAsia="仿宋" w:cs="仿宋"/>
                <w:lang w:eastAsia="zh-CN" w:bidi="ar"/>
              </w:rPr>
              <w:t>③是否与部门年度的任务数或计划数相对应；</w:t>
            </w:r>
            <w:r>
              <w:rPr>
                <w:rFonts w:hint="eastAsia" w:ascii="仿宋" w:hAnsi="仿宋" w:eastAsia="仿宋" w:cs="仿宋"/>
                <w:lang w:eastAsia="zh-CN" w:bidi="ar"/>
              </w:rPr>
              <w:br w:type="textWrapping"/>
            </w:r>
            <w:r>
              <w:rPr>
                <w:rFonts w:hint="eastAsia" w:ascii="仿宋" w:hAnsi="仿宋" w:eastAsia="仿宋" w:cs="仿宋"/>
                <w:lang w:eastAsia="zh-CN" w:bidi="ar"/>
              </w:rPr>
              <w:t>④是否以本年度部门预算资金相匹配。</w:t>
            </w:r>
            <w:r>
              <w:rPr>
                <w:rFonts w:hint="eastAsia" w:ascii="仿宋" w:hAnsi="仿宋" w:eastAsia="仿宋" w:cs="仿宋"/>
                <w:lang w:eastAsia="zh-CN" w:bidi="ar"/>
              </w:rPr>
              <w:br w:type="textWrapping"/>
            </w:r>
            <w:r>
              <w:rPr>
                <w:rFonts w:hint="eastAsia" w:ascii="仿宋" w:hAnsi="仿宋" w:eastAsia="仿宋" w:cs="仿宋"/>
                <w:lang w:eastAsia="zh-CN" w:bidi="ar"/>
              </w:rPr>
              <w:t>一项不符扣0.5分。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05EDBD9">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2250C8B">
            <w:pPr>
              <w:jc w:val="center"/>
              <w:textAlignment w:val="center"/>
              <w:rPr>
                <w:rFonts w:hint="eastAsia" w:ascii="仿宋" w:hAnsi="仿宋" w:eastAsia="仿宋" w:cs="仿宋"/>
              </w:rPr>
            </w:pPr>
            <w:r>
              <w:rPr>
                <w:rFonts w:hint="eastAsia" w:ascii="仿宋" w:hAnsi="仿宋" w:eastAsia="仿宋" w:cs="仿宋"/>
                <w:lang w:eastAsia="zh-CN" w:bidi="ar"/>
              </w:rPr>
              <w:t>1.5</w:t>
            </w:r>
          </w:p>
        </w:tc>
        <w:tc>
          <w:tcPr>
            <w:tcW w:w="4987" w:type="dxa"/>
            <w:tcBorders>
              <w:top w:val="single" w:color="000000" w:sz="4" w:space="0"/>
              <w:left w:val="single" w:color="000000" w:sz="4" w:space="0"/>
              <w:bottom w:val="single" w:color="000000" w:sz="4" w:space="0"/>
              <w:right w:val="single" w:color="000000" w:sz="4" w:space="0"/>
            </w:tcBorders>
            <w:vAlign w:val="center"/>
          </w:tcPr>
          <w:p w14:paraId="525EFBE0">
            <w:pPr>
              <w:textAlignment w:val="center"/>
              <w:rPr>
                <w:rFonts w:hint="eastAsia" w:ascii="仿宋" w:hAnsi="仿宋" w:eastAsia="仿宋" w:cs="仿宋"/>
              </w:rPr>
            </w:pPr>
            <w:r>
              <w:rPr>
                <w:rFonts w:hint="eastAsia" w:ascii="仿宋" w:hAnsi="仿宋" w:eastAsia="仿宋" w:cs="仿宋"/>
                <w:lang w:eastAsia="zh-CN" w:bidi="ar"/>
              </w:rPr>
              <w:t>根据石狮市退役军人事务局2024年度的部门整体支出的绩效指标细化分解为具体的工作任务，但部门预算资金相匹配。申请资金与拨付资金存在差距，导致目标值与实际完成值存在偏差问题。如，双拥支前工作经费情况（万元），目标值228，完成值52。退役军人事务工作及退役军人服务中心专项经费（含党建）目标值254万元，完成值46.5万元。制订单位预算时申请的资金数量与本级财政预算拨付的资金数量出入比较大，导致完成比例低。此项扣0.5分，该指标得1.5分。</w:t>
            </w:r>
          </w:p>
        </w:tc>
      </w:tr>
      <w:tr w14:paraId="6C8C8BD1">
        <w:tblPrEx>
          <w:tblCellMar>
            <w:top w:w="0" w:type="dxa"/>
            <w:left w:w="108" w:type="dxa"/>
            <w:bottom w:w="0" w:type="dxa"/>
            <w:right w:w="108" w:type="dxa"/>
          </w:tblCellMar>
        </w:tblPrEx>
        <w:trPr>
          <w:trHeight w:val="2592"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6E29537F">
            <w:pPr>
              <w:jc w:val="center"/>
              <w:rPr>
                <w:rFonts w:hint="eastAsia" w:ascii="仿宋" w:hAnsi="仿宋" w:eastAsia="仿宋" w:cs="仿宋"/>
              </w:rPr>
            </w:pPr>
          </w:p>
        </w:tc>
        <w:tc>
          <w:tcPr>
            <w:tcW w:w="1124" w:type="dxa"/>
            <w:vMerge w:val="restart"/>
            <w:tcBorders>
              <w:top w:val="single" w:color="000000" w:sz="4" w:space="0"/>
              <w:left w:val="single" w:color="000000" w:sz="4" w:space="0"/>
              <w:bottom w:val="single" w:color="000000" w:sz="4" w:space="0"/>
              <w:right w:val="single" w:color="000000" w:sz="4" w:space="0"/>
            </w:tcBorders>
            <w:vAlign w:val="center"/>
          </w:tcPr>
          <w:p w14:paraId="42752825">
            <w:pPr>
              <w:jc w:val="center"/>
              <w:textAlignment w:val="center"/>
              <w:rPr>
                <w:rFonts w:hint="eastAsia" w:ascii="仿宋" w:hAnsi="仿宋" w:eastAsia="仿宋" w:cs="仿宋"/>
              </w:rPr>
            </w:pPr>
            <w:r>
              <w:rPr>
                <w:rFonts w:hint="eastAsia" w:ascii="仿宋" w:hAnsi="仿宋" w:eastAsia="仿宋" w:cs="仿宋"/>
                <w:lang w:eastAsia="zh-CN" w:bidi="ar"/>
              </w:rPr>
              <w:t>预算配置（6分）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2391FAC5">
            <w:pPr>
              <w:jc w:val="center"/>
              <w:textAlignment w:val="center"/>
              <w:rPr>
                <w:rFonts w:hint="eastAsia" w:ascii="仿宋" w:hAnsi="仿宋" w:eastAsia="仿宋" w:cs="仿宋"/>
              </w:rPr>
            </w:pPr>
            <w:r>
              <w:rPr>
                <w:rFonts w:hint="eastAsia" w:ascii="仿宋" w:hAnsi="仿宋" w:eastAsia="仿宋" w:cs="仿宋"/>
                <w:lang w:eastAsia="zh-CN" w:bidi="ar"/>
              </w:rPr>
              <w:t>在职人员控制率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324E1D8D">
            <w:pPr>
              <w:textAlignment w:val="center"/>
              <w:rPr>
                <w:rFonts w:hint="eastAsia" w:ascii="仿宋" w:hAnsi="仿宋" w:eastAsia="仿宋" w:cs="仿宋"/>
                <w:lang w:eastAsia="zh-CN"/>
              </w:rPr>
            </w:pPr>
            <w:r>
              <w:rPr>
                <w:rFonts w:hint="eastAsia" w:ascii="仿宋" w:hAnsi="仿宋" w:eastAsia="仿宋" w:cs="仿宋"/>
                <w:lang w:eastAsia="zh-CN" w:bidi="ar"/>
              </w:rPr>
              <w:t>评价要点：部门（单位）本年度实际在职人员数与编制数的比率，用以反映和评价部门（单位）对人员成本的控制程度。在职人员控制率=（在职人员数/编制数）×100%。</w:t>
            </w:r>
            <w:r>
              <w:rPr>
                <w:rFonts w:hint="eastAsia" w:ascii="仿宋" w:hAnsi="仿宋" w:eastAsia="仿宋" w:cs="仿宋"/>
                <w:lang w:eastAsia="zh-CN" w:bidi="ar"/>
              </w:rPr>
              <w:br w:type="textWrapping"/>
            </w: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①在职人员控制率≤100%，得满分；</w:t>
            </w:r>
            <w:r>
              <w:rPr>
                <w:rFonts w:hint="eastAsia" w:ascii="仿宋" w:hAnsi="仿宋" w:eastAsia="仿宋" w:cs="仿宋"/>
                <w:lang w:eastAsia="zh-CN" w:bidi="ar"/>
              </w:rPr>
              <w:br w:type="textWrapping"/>
            </w:r>
            <w:r>
              <w:rPr>
                <w:rFonts w:hint="eastAsia" w:ascii="仿宋" w:hAnsi="仿宋" w:eastAsia="仿宋" w:cs="仿宋"/>
                <w:lang w:eastAsia="zh-CN" w:bidi="ar"/>
              </w:rPr>
              <w:t>②在职人员控制率≧115%，得0分；</w:t>
            </w:r>
            <w:r>
              <w:rPr>
                <w:rFonts w:hint="eastAsia" w:ascii="仿宋" w:hAnsi="仿宋" w:eastAsia="仿宋" w:cs="仿宋"/>
                <w:lang w:eastAsia="zh-CN" w:bidi="ar"/>
              </w:rPr>
              <w:br w:type="textWrapping"/>
            </w:r>
            <w:r>
              <w:rPr>
                <w:rFonts w:hint="eastAsia" w:ascii="仿宋" w:hAnsi="仿宋" w:eastAsia="仿宋" w:cs="仿宋"/>
                <w:lang w:eastAsia="zh-CN" w:bidi="ar"/>
              </w:rPr>
              <w:t>③100%＜在职人员控制率＜115%之间，得分=（115%－某部门在职人员控制率）/15%×指标分值。</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9D076B9">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D678281">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17066CE7">
            <w:pPr>
              <w:textAlignment w:val="center"/>
              <w:rPr>
                <w:rFonts w:hint="eastAsia" w:ascii="仿宋" w:hAnsi="仿宋" w:eastAsia="仿宋" w:cs="仿宋"/>
              </w:rPr>
            </w:pPr>
            <w:r>
              <w:rPr>
                <w:rFonts w:hint="eastAsia" w:ascii="仿宋" w:hAnsi="仿宋" w:eastAsia="仿宋" w:cs="仿宋"/>
                <w:lang w:eastAsia="zh-CN" w:bidi="ar"/>
              </w:rPr>
              <w:t>石狮市退役军人事务局2024年的编制数为12人，实际在职人员数也为12人，控制率为100%。在职人员控制率=（12/12）×100%=100%。根据评分标准，该指标得2分。</w:t>
            </w:r>
          </w:p>
        </w:tc>
      </w:tr>
      <w:tr w14:paraId="284FCF58">
        <w:tblPrEx>
          <w:tblCellMar>
            <w:top w:w="0" w:type="dxa"/>
            <w:left w:w="108" w:type="dxa"/>
            <w:bottom w:w="0" w:type="dxa"/>
            <w:right w:w="108" w:type="dxa"/>
          </w:tblCellMar>
        </w:tblPrEx>
        <w:trPr>
          <w:trHeight w:val="2016"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66DCD014">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4027728C">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4462322F">
            <w:pPr>
              <w:jc w:val="center"/>
              <w:textAlignment w:val="center"/>
              <w:rPr>
                <w:rFonts w:hint="eastAsia" w:ascii="仿宋" w:hAnsi="仿宋" w:eastAsia="仿宋" w:cs="仿宋"/>
              </w:rPr>
            </w:pPr>
            <w:r>
              <w:rPr>
                <w:rFonts w:hint="eastAsia" w:ascii="仿宋" w:hAnsi="仿宋" w:eastAsia="仿宋" w:cs="仿宋"/>
                <w:lang w:eastAsia="zh-CN" w:bidi="ar"/>
              </w:rPr>
              <w:t>“三公”经费变动率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062C204D">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“三公”经费变动率=[（本年度“三公”经费总额-上年度“三公”经费总额）/上年度“三公”经费总额]×100%。</w:t>
            </w:r>
            <w:r>
              <w:rPr>
                <w:rFonts w:hint="eastAsia" w:ascii="仿宋" w:hAnsi="仿宋" w:eastAsia="仿宋" w:cs="仿宋"/>
                <w:lang w:eastAsia="zh-CN" w:bidi="ar"/>
              </w:rPr>
              <w:br w:type="textWrapping"/>
            </w: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①变动率≤0%得满分；</w:t>
            </w:r>
            <w:r>
              <w:rPr>
                <w:rFonts w:hint="eastAsia" w:ascii="仿宋" w:hAnsi="仿宋" w:eastAsia="仿宋" w:cs="仿宋"/>
                <w:lang w:eastAsia="zh-CN" w:bidi="ar"/>
              </w:rPr>
              <w:br w:type="textWrapping"/>
            </w:r>
            <w:r>
              <w:rPr>
                <w:rFonts w:hint="eastAsia" w:ascii="仿宋" w:hAnsi="仿宋" w:eastAsia="仿宋" w:cs="仿宋"/>
                <w:lang w:eastAsia="zh-CN" w:bidi="ar"/>
              </w:rPr>
              <w:t>②变动率每超过10个百分点扣1分，扣完为止。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5DFDAAD">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7D4FB3C">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20B70537">
            <w:pPr>
              <w:textAlignment w:val="center"/>
              <w:rPr>
                <w:rFonts w:hint="eastAsia" w:ascii="仿宋" w:hAnsi="仿宋" w:eastAsia="仿宋" w:cs="仿宋"/>
              </w:rPr>
            </w:pPr>
            <w:r>
              <w:rPr>
                <w:rFonts w:hint="eastAsia" w:ascii="仿宋" w:hAnsi="仿宋" w:eastAsia="仿宋" w:cs="仿宋"/>
                <w:lang w:eastAsia="zh-CN" w:bidi="ar"/>
              </w:rPr>
              <w:t>石狮市退役军人事务局2024年“三公”经费预算数为3.5万元，2023年“三公”经费预算数为3.3万元，“三公”经费变动率为（3.5-3.3）/3.3×100%=6%，“三公”经费预算控制得当，符合财务管理要求。根据评分标准，该指标得2分。</w:t>
            </w:r>
          </w:p>
        </w:tc>
      </w:tr>
      <w:tr w14:paraId="385E2D3C">
        <w:tblPrEx>
          <w:tblCellMar>
            <w:top w:w="0" w:type="dxa"/>
            <w:left w:w="108" w:type="dxa"/>
            <w:bottom w:w="0" w:type="dxa"/>
            <w:right w:w="108" w:type="dxa"/>
          </w:tblCellMar>
        </w:tblPrEx>
        <w:trPr>
          <w:trHeight w:val="184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18D23DEF">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549EC0EE">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695C52C2">
            <w:pPr>
              <w:jc w:val="center"/>
              <w:textAlignment w:val="center"/>
              <w:rPr>
                <w:rFonts w:hint="eastAsia" w:ascii="仿宋" w:hAnsi="仿宋" w:eastAsia="仿宋" w:cs="仿宋"/>
              </w:rPr>
            </w:pPr>
            <w:r>
              <w:rPr>
                <w:rFonts w:hint="eastAsia" w:ascii="仿宋" w:hAnsi="仿宋" w:eastAsia="仿宋" w:cs="仿宋"/>
                <w:lang w:eastAsia="zh-CN" w:bidi="ar"/>
              </w:rPr>
              <w:t>结转结余变动率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15DFD6B0">
            <w:pPr>
              <w:textAlignment w:val="center"/>
              <w:rPr>
                <w:rFonts w:hint="eastAsia" w:ascii="仿宋" w:hAnsi="仿宋" w:eastAsia="仿宋" w:cs="仿宋"/>
                <w:lang w:eastAsia="zh-CN"/>
              </w:rPr>
            </w:pPr>
            <w:r>
              <w:rPr>
                <w:rFonts w:hint="eastAsia" w:ascii="仿宋" w:hAnsi="仿宋" w:eastAsia="仿宋" w:cs="仿宋"/>
                <w:lang w:eastAsia="zh-CN" w:bidi="ar"/>
              </w:rPr>
              <w:t>结转结余变动率=[（本年度累计结转结余资金总额-上年度累计结转结余资金总额）/上年度累计结转结余资金总额]×100%。</w:t>
            </w:r>
            <w:r>
              <w:rPr>
                <w:rFonts w:hint="eastAsia" w:ascii="仿宋" w:hAnsi="仿宋" w:eastAsia="仿宋" w:cs="仿宋"/>
                <w:lang w:eastAsia="zh-CN" w:bidi="ar"/>
              </w:rPr>
              <w:br w:type="textWrapping"/>
            </w:r>
            <w:r>
              <w:rPr>
                <w:rFonts w:hint="eastAsia" w:ascii="仿宋" w:hAnsi="仿宋" w:eastAsia="仿宋" w:cs="仿宋"/>
                <w:lang w:eastAsia="zh-CN" w:bidi="ar"/>
              </w:rPr>
              <w:t>①结转结余变动率＜0，得满分；</w:t>
            </w:r>
            <w:r>
              <w:rPr>
                <w:rFonts w:hint="eastAsia" w:ascii="仿宋" w:hAnsi="仿宋" w:eastAsia="仿宋" w:cs="仿宋"/>
                <w:lang w:eastAsia="zh-CN" w:bidi="ar"/>
              </w:rPr>
              <w:br w:type="textWrapping"/>
            </w:r>
            <w:r>
              <w:rPr>
                <w:rFonts w:hint="eastAsia" w:ascii="仿宋" w:hAnsi="仿宋" w:eastAsia="仿宋" w:cs="仿宋"/>
                <w:lang w:eastAsia="zh-CN" w:bidi="ar"/>
              </w:rPr>
              <w:t>②结转结余变动率≧0，不得分。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73BDB3B">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E56303D">
            <w:pPr>
              <w:jc w:val="center"/>
              <w:textAlignment w:val="center"/>
              <w:rPr>
                <w:rFonts w:hint="eastAsia" w:ascii="仿宋" w:hAnsi="仿宋" w:eastAsia="仿宋" w:cs="仿宋"/>
              </w:rPr>
            </w:pPr>
            <w:r>
              <w:rPr>
                <w:rFonts w:hint="eastAsia" w:ascii="仿宋" w:hAnsi="仿宋" w:eastAsia="仿宋" w:cs="仿宋"/>
                <w:lang w:eastAsia="zh-CN" w:bidi="ar"/>
              </w:rPr>
              <w:t>0</w:t>
            </w:r>
          </w:p>
        </w:tc>
        <w:tc>
          <w:tcPr>
            <w:tcW w:w="4987" w:type="dxa"/>
            <w:tcBorders>
              <w:top w:val="single" w:color="000000" w:sz="4" w:space="0"/>
              <w:left w:val="single" w:color="000000" w:sz="4" w:space="0"/>
              <w:bottom w:val="single" w:color="000000" w:sz="4" w:space="0"/>
              <w:right w:val="single" w:color="000000" w:sz="4" w:space="0"/>
            </w:tcBorders>
            <w:vAlign w:val="center"/>
          </w:tcPr>
          <w:p w14:paraId="2B856AC7">
            <w:pPr>
              <w:textAlignment w:val="center"/>
              <w:rPr>
                <w:rFonts w:hint="eastAsia" w:ascii="仿宋" w:hAnsi="仿宋" w:eastAsia="仿宋" w:cs="仿宋"/>
              </w:rPr>
            </w:pPr>
            <w:r>
              <w:rPr>
                <w:rFonts w:hint="eastAsia" w:ascii="仿宋" w:hAnsi="仿宋" w:eastAsia="仿宋" w:cs="仿宋"/>
                <w:lang w:eastAsia="zh-CN" w:bidi="ar"/>
              </w:rPr>
              <w:t>根据石狮市退役军人事务局2024年部门资金结余情况表，2023结转结余资金总额为1.2651万元，2024年结转结余资金总额1.4412万元。结转结余变动率=（1.4412-1.2651）/1.2651=14%。反映出资金管理需进一步加强，以确保资金使用的有效性。根据评分标准，本项得0分。</w:t>
            </w:r>
          </w:p>
        </w:tc>
      </w:tr>
      <w:tr w14:paraId="5EF60282">
        <w:tblPrEx>
          <w:tblCellMar>
            <w:top w:w="0" w:type="dxa"/>
            <w:left w:w="108" w:type="dxa"/>
            <w:bottom w:w="0" w:type="dxa"/>
            <w:right w:w="108" w:type="dxa"/>
          </w:tblCellMar>
        </w:tblPrEx>
        <w:trPr>
          <w:trHeight w:val="1152" w:hRule="atLeast"/>
        </w:trPr>
        <w:tc>
          <w:tcPr>
            <w:tcW w:w="1386" w:type="dxa"/>
            <w:vMerge w:val="restart"/>
            <w:tcBorders>
              <w:top w:val="single" w:color="000000" w:sz="4" w:space="0"/>
              <w:left w:val="single" w:color="000000" w:sz="4" w:space="0"/>
              <w:bottom w:val="single" w:color="000000" w:sz="4" w:space="0"/>
              <w:right w:val="single" w:color="000000" w:sz="4" w:space="0"/>
            </w:tcBorders>
            <w:noWrap/>
            <w:vAlign w:val="center"/>
          </w:tcPr>
          <w:p w14:paraId="0FFA2194">
            <w:pPr>
              <w:jc w:val="center"/>
              <w:textAlignment w:val="center"/>
              <w:rPr>
                <w:rFonts w:hint="eastAsia" w:ascii="仿宋" w:hAnsi="仿宋" w:eastAsia="仿宋" w:cs="仿宋"/>
              </w:rPr>
            </w:pPr>
            <w:r>
              <w:rPr>
                <w:rFonts w:hint="eastAsia" w:ascii="仿宋" w:hAnsi="仿宋" w:eastAsia="仿宋" w:cs="仿宋"/>
                <w:lang w:eastAsia="zh-CN" w:bidi="ar"/>
              </w:rPr>
              <w:t>过程</w:t>
            </w:r>
            <w:r>
              <w:rPr>
                <w:rFonts w:hint="eastAsia" w:ascii="仿宋" w:hAnsi="仿宋" w:eastAsia="仿宋" w:cs="仿宋"/>
                <w:lang w:eastAsia="zh-CN" w:bidi="ar"/>
              </w:rPr>
              <w:br w:type="textWrapping"/>
            </w:r>
            <w:r>
              <w:rPr>
                <w:rFonts w:hint="eastAsia" w:ascii="仿宋" w:hAnsi="仿宋" w:eastAsia="仿宋" w:cs="仿宋"/>
                <w:lang w:eastAsia="zh-CN" w:bidi="ar"/>
              </w:rPr>
              <w:t>（24分）</w:t>
            </w:r>
          </w:p>
        </w:tc>
        <w:tc>
          <w:tcPr>
            <w:tcW w:w="1124" w:type="dxa"/>
            <w:vMerge w:val="restart"/>
            <w:tcBorders>
              <w:top w:val="single" w:color="000000" w:sz="4" w:space="0"/>
              <w:left w:val="single" w:color="000000" w:sz="4" w:space="0"/>
              <w:bottom w:val="single" w:color="000000" w:sz="4" w:space="0"/>
              <w:right w:val="single" w:color="000000" w:sz="4" w:space="0"/>
            </w:tcBorders>
            <w:vAlign w:val="center"/>
          </w:tcPr>
          <w:p w14:paraId="09E6E8E3">
            <w:pPr>
              <w:jc w:val="center"/>
              <w:textAlignment w:val="center"/>
              <w:rPr>
                <w:rFonts w:hint="eastAsia" w:ascii="仿宋" w:hAnsi="仿宋" w:eastAsia="仿宋" w:cs="仿宋"/>
              </w:rPr>
            </w:pPr>
            <w:r>
              <w:rPr>
                <w:rFonts w:hint="eastAsia" w:ascii="仿宋" w:hAnsi="仿宋" w:eastAsia="仿宋" w:cs="仿宋"/>
                <w:lang w:eastAsia="zh-CN" w:bidi="ar"/>
              </w:rPr>
              <w:t>预算执行</w:t>
            </w:r>
            <w:r>
              <w:rPr>
                <w:rFonts w:hint="eastAsia" w:ascii="仿宋" w:hAnsi="仿宋" w:eastAsia="仿宋" w:cs="仿宋"/>
                <w:lang w:eastAsia="zh-CN" w:bidi="ar"/>
              </w:rPr>
              <w:br w:type="textWrapping"/>
            </w:r>
            <w:r>
              <w:rPr>
                <w:rFonts w:hint="eastAsia" w:ascii="仿宋" w:hAnsi="仿宋" w:eastAsia="仿宋" w:cs="仿宋"/>
                <w:lang w:eastAsia="zh-CN" w:bidi="ar"/>
              </w:rPr>
              <w:t>（10分）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7A80EFD4">
            <w:pPr>
              <w:jc w:val="center"/>
              <w:textAlignment w:val="center"/>
              <w:rPr>
                <w:rFonts w:hint="eastAsia" w:ascii="仿宋" w:hAnsi="仿宋" w:eastAsia="仿宋" w:cs="仿宋"/>
              </w:rPr>
            </w:pPr>
            <w:r>
              <w:rPr>
                <w:rFonts w:hint="eastAsia" w:ascii="仿宋" w:hAnsi="仿宋" w:eastAsia="仿宋" w:cs="仿宋"/>
                <w:lang w:eastAsia="zh-CN" w:bidi="ar"/>
              </w:rPr>
              <w:t>预算执行率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3F7D8E07">
            <w:pPr>
              <w:textAlignment w:val="center"/>
              <w:rPr>
                <w:rFonts w:hint="eastAsia" w:ascii="仿宋" w:hAnsi="仿宋" w:eastAsia="仿宋" w:cs="仿宋"/>
                <w:lang w:eastAsia="zh-CN"/>
              </w:rPr>
            </w:pPr>
            <w:r>
              <w:rPr>
                <w:rFonts w:hint="eastAsia" w:ascii="仿宋" w:hAnsi="仿宋" w:eastAsia="仿宋" w:cs="仿宋"/>
                <w:lang w:eastAsia="zh-CN" w:bidi="ar"/>
              </w:rPr>
              <w:t>评价要点：预算执行率=（全年支出执行数/全年预算数）×100%。</w:t>
            </w:r>
            <w:r>
              <w:rPr>
                <w:rFonts w:hint="eastAsia" w:ascii="仿宋" w:hAnsi="仿宋" w:eastAsia="仿宋" w:cs="仿宋"/>
                <w:lang w:eastAsia="zh-CN" w:bidi="ar"/>
              </w:rPr>
              <w:br w:type="textWrapping"/>
            </w:r>
            <w:r>
              <w:rPr>
                <w:rFonts w:hint="eastAsia" w:ascii="仿宋" w:hAnsi="仿宋" w:eastAsia="仿宋" w:cs="仿宋"/>
                <w:lang w:eastAsia="zh-CN" w:bidi="ar"/>
              </w:rPr>
              <w:t>预算执行率≧95%，得2分；每降低1个百分点扣0.1分，扣完为止。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EBE7FAE">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D350794">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7670C301">
            <w:pPr>
              <w:textAlignment w:val="center"/>
              <w:rPr>
                <w:rFonts w:hint="eastAsia" w:ascii="仿宋" w:hAnsi="仿宋" w:eastAsia="仿宋" w:cs="仿宋"/>
              </w:rPr>
            </w:pPr>
            <w:r>
              <w:rPr>
                <w:rFonts w:hint="eastAsia" w:ascii="仿宋" w:hAnsi="仿宋" w:eastAsia="仿宋" w:cs="仿宋"/>
                <w:lang w:eastAsia="zh-CN" w:bidi="ar"/>
              </w:rPr>
              <w:t>石狮市退役军人事务局2024年度支出完成数与支出预算数的比较，2024年度全年预算数4749.66万元，全年支出执行数为4677.95万元，预算执行率=（全年支出执行数/全年预算数）×100%。（4677.95/4749.66）×100%=98%，根据评分标准，本项得2分。</w:t>
            </w:r>
          </w:p>
        </w:tc>
      </w:tr>
      <w:tr w14:paraId="765111A8">
        <w:tblPrEx>
          <w:tblCellMar>
            <w:top w:w="0" w:type="dxa"/>
            <w:left w:w="108" w:type="dxa"/>
            <w:bottom w:w="0" w:type="dxa"/>
            <w:right w:w="108" w:type="dxa"/>
          </w:tblCellMar>
        </w:tblPrEx>
        <w:trPr>
          <w:trHeight w:val="446"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1ECB2CE4">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7385DD60">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718A8EB4">
            <w:pPr>
              <w:jc w:val="center"/>
              <w:textAlignment w:val="center"/>
              <w:rPr>
                <w:rFonts w:hint="eastAsia" w:ascii="仿宋" w:hAnsi="仿宋" w:eastAsia="仿宋" w:cs="仿宋"/>
              </w:rPr>
            </w:pPr>
            <w:r>
              <w:rPr>
                <w:rFonts w:hint="eastAsia" w:ascii="仿宋" w:hAnsi="仿宋" w:eastAsia="仿宋" w:cs="仿宋"/>
                <w:lang w:eastAsia="zh-CN" w:bidi="ar"/>
              </w:rPr>
              <w:t>预算调整率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6B917FB5">
            <w:pPr>
              <w:textAlignment w:val="center"/>
              <w:rPr>
                <w:rFonts w:hint="eastAsia" w:ascii="仿宋" w:hAnsi="仿宋" w:eastAsia="仿宋" w:cs="仿宋"/>
                <w:lang w:eastAsia="zh-CN"/>
              </w:rPr>
            </w:pPr>
            <w:r>
              <w:rPr>
                <w:rFonts w:hint="eastAsia" w:ascii="仿宋" w:hAnsi="仿宋" w:eastAsia="仿宋" w:cs="仿宋"/>
                <w:lang w:eastAsia="zh-CN" w:bidi="ar"/>
              </w:rPr>
              <w:t>评价要点：部门本年度支出预算调整数与支出预算数的比率，用以反映和评价单位预算的调整程度。支出预算调整率=（支出预算调整数/支出预算数）×100%。</w:t>
            </w:r>
            <w:r>
              <w:rPr>
                <w:rFonts w:hint="eastAsia" w:ascii="仿宋" w:hAnsi="仿宋" w:eastAsia="仿宋" w:cs="仿宋"/>
                <w:lang w:eastAsia="zh-CN" w:bidi="ar"/>
              </w:rPr>
              <w:br w:type="textWrapping"/>
            </w:r>
            <w:r>
              <w:rPr>
                <w:rFonts w:hint="eastAsia" w:ascii="仿宋" w:hAnsi="仿宋" w:eastAsia="仿宋" w:cs="仿宋"/>
                <w:lang w:eastAsia="zh-CN" w:bidi="ar"/>
              </w:rPr>
              <w:t>①预算调整率=0，得2分；</w:t>
            </w:r>
            <w:r>
              <w:rPr>
                <w:rFonts w:hint="eastAsia" w:ascii="仿宋" w:hAnsi="仿宋" w:eastAsia="仿宋" w:cs="仿宋"/>
                <w:lang w:eastAsia="zh-CN" w:bidi="ar"/>
              </w:rPr>
              <w:br w:type="textWrapping"/>
            </w:r>
            <w:r>
              <w:rPr>
                <w:rFonts w:hint="eastAsia" w:ascii="仿宋" w:hAnsi="仿宋" w:eastAsia="仿宋" w:cs="仿宋"/>
                <w:lang w:eastAsia="zh-CN" w:bidi="ar"/>
              </w:rPr>
              <w:t>②调整率≧10%，得0分；</w:t>
            </w:r>
            <w:r>
              <w:rPr>
                <w:rFonts w:hint="eastAsia" w:ascii="仿宋" w:hAnsi="仿宋" w:eastAsia="仿宋" w:cs="仿宋"/>
                <w:lang w:eastAsia="zh-CN" w:bidi="ar"/>
              </w:rPr>
              <w:br w:type="textWrapping"/>
            </w:r>
            <w:r>
              <w:rPr>
                <w:rFonts w:hint="eastAsia" w:ascii="仿宋" w:hAnsi="仿宋" w:eastAsia="仿宋" w:cs="仿宋"/>
                <w:lang w:eastAsia="zh-CN" w:bidi="ar"/>
              </w:rPr>
              <w:t>③0＜预算调整率＜10%，得分=（10%-预算调整率）/10%×该指标分值。</w:t>
            </w:r>
          </w:p>
        </w:tc>
        <w:tc>
          <w:tcPr>
            <w:tcW w:w="760" w:type="dxa"/>
            <w:tcBorders>
              <w:top w:val="single" w:color="000000" w:sz="4" w:space="0"/>
              <w:left w:val="single" w:color="000000" w:sz="4" w:space="0"/>
              <w:bottom w:val="single" w:color="000000" w:sz="4" w:space="0"/>
              <w:right w:val="single" w:color="000000" w:sz="4" w:space="0"/>
            </w:tcBorders>
            <w:vAlign w:val="center"/>
          </w:tcPr>
          <w:p w14:paraId="47DD2762">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vAlign w:val="center"/>
          </w:tcPr>
          <w:p w14:paraId="0A3CB259">
            <w:pPr>
              <w:jc w:val="center"/>
              <w:textAlignment w:val="center"/>
              <w:rPr>
                <w:rFonts w:hint="eastAsia" w:ascii="仿宋" w:hAnsi="仿宋" w:eastAsia="仿宋" w:cs="仿宋"/>
              </w:rPr>
            </w:pPr>
            <w:r>
              <w:rPr>
                <w:rFonts w:hint="eastAsia" w:ascii="仿宋" w:hAnsi="仿宋" w:eastAsia="仿宋" w:cs="仿宋"/>
                <w:lang w:eastAsia="zh-CN" w:bidi="ar"/>
              </w:rPr>
              <w:t>0</w:t>
            </w:r>
          </w:p>
        </w:tc>
        <w:tc>
          <w:tcPr>
            <w:tcW w:w="4987" w:type="dxa"/>
            <w:tcBorders>
              <w:top w:val="single" w:color="000000" w:sz="4" w:space="0"/>
              <w:left w:val="single" w:color="000000" w:sz="4" w:space="0"/>
              <w:bottom w:val="single" w:color="000000" w:sz="4" w:space="0"/>
              <w:right w:val="single" w:color="000000" w:sz="4" w:space="0"/>
            </w:tcBorders>
            <w:vAlign w:val="center"/>
          </w:tcPr>
          <w:p w14:paraId="5592A858">
            <w:pPr>
              <w:textAlignment w:val="center"/>
              <w:rPr>
                <w:rFonts w:hint="eastAsia" w:ascii="仿宋" w:hAnsi="仿宋" w:eastAsia="仿宋" w:cs="仿宋"/>
                <w:lang w:eastAsia="zh-CN"/>
              </w:rPr>
            </w:pPr>
            <w:r>
              <w:rPr>
                <w:rFonts w:hint="eastAsia" w:ascii="仿宋" w:hAnsi="仿宋" w:eastAsia="仿宋" w:cs="仿宋"/>
                <w:lang w:eastAsia="zh-CN" w:bidi="ar"/>
              </w:rPr>
              <w:t>石狮市退役军人事务局2024年初预算为4110.17万元，2024年度全年预算数4677.95万元，调整支出4677.95-4110.17=567.18万元，支出预算调整率为567.18/4677.95×100%=12.14%。由于石狮市退役军人事务局统筹资金使用力度大，单位年初预算无法具体反映本单位的年度开支事项，出现短缺时进行年中追加，根据评分标准，调整率≧10%，得0分。</w:t>
            </w:r>
          </w:p>
        </w:tc>
      </w:tr>
      <w:tr w14:paraId="04B455CE">
        <w:tblPrEx>
          <w:tblCellMar>
            <w:top w:w="0" w:type="dxa"/>
            <w:left w:w="108" w:type="dxa"/>
            <w:bottom w:w="0" w:type="dxa"/>
            <w:right w:w="108" w:type="dxa"/>
          </w:tblCellMar>
        </w:tblPrEx>
        <w:trPr>
          <w:trHeight w:val="2016"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1F1F4422">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0D8587A0">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56B0AC3D">
            <w:pPr>
              <w:jc w:val="center"/>
              <w:textAlignment w:val="center"/>
              <w:rPr>
                <w:rFonts w:hint="eastAsia" w:ascii="仿宋" w:hAnsi="仿宋" w:eastAsia="仿宋" w:cs="仿宋"/>
              </w:rPr>
            </w:pPr>
            <w:r>
              <w:rPr>
                <w:rFonts w:hint="eastAsia" w:ascii="仿宋" w:hAnsi="仿宋" w:eastAsia="仿宋" w:cs="仿宋"/>
                <w:lang w:eastAsia="zh-CN" w:bidi="ar"/>
              </w:rPr>
              <w:t>结转结余率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52CC72F5">
            <w:pPr>
              <w:textAlignment w:val="center"/>
              <w:rPr>
                <w:rFonts w:hint="eastAsia" w:ascii="仿宋" w:hAnsi="仿宋" w:eastAsia="仿宋" w:cs="仿宋"/>
                <w:lang w:eastAsia="zh-CN"/>
              </w:rPr>
            </w:pPr>
            <w:r>
              <w:rPr>
                <w:rFonts w:hint="eastAsia" w:ascii="仿宋" w:hAnsi="仿宋" w:eastAsia="仿宋" w:cs="仿宋"/>
                <w:lang w:eastAsia="zh-CN" w:bidi="ar"/>
              </w:rPr>
              <w:t>评价要点：部门本年度结转结余总额与支出预算数的比率，反映和评价单位对本年度结转结余资金的实际控制程度。结转结余率=结转结余总额/支出预算数×100%。</w:t>
            </w:r>
            <w:r>
              <w:rPr>
                <w:rFonts w:hint="eastAsia" w:ascii="仿宋" w:hAnsi="仿宋" w:eastAsia="仿宋" w:cs="仿宋"/>
                <w:lang w:eastAsia="zh-CN" w:bidi="ar"/>
              </w:rPr>
              <w:br w:type="textWrapping"/>
            </w:r>
            <w:r>
              <w:rPr>
                <w:rFonts w:hint="eastAsia" w:ascii="仿宋" w:hAnsi="仿宋" w:eastAsia="仿宋" w:cs="仿宋"/>
                <w:lang w:eastAsia="zh-CN" w:bidi="ar"/>
              </w:rPr>
              <w:t>①结转结余率=0，得2分；</w:t>
            </w:r>
            <w:r>
              <w:rPr>
                <w:rFonts w:hint="eastAsia" w:ascii="仿宋" w:hAnsi="仿宋" w:eastAsia="仿宋" w:cs="仿宋"/>
                <w:lang w:eastAsia="zh-CN" w:bidi="ar"/>
              </w:rPr>
              <w:br w:type="textWrapping"/>
            </w:r>
            <w:r>
              <w:rPr>
                <w:rFonts w:hint="eastAsia" w:ascii="仿宋" w:hAnsi="仿宋" w:eastAsia="仿宋" w:cs="仿宋"/>
                <w:lang w:eastAsia="zh-CN" w:bidi="ar"/>
              </w:rPr>
              <w:t>②结转结余率≧50%，得0分；</w:t>
            </w:r>
            <w:r>
              <w:rPr>
                <w:rFonts w:hint="eastAsia" w:ascii="仿宋" w:hAnsi="仿宋" w:eastAsia="仿宋" w:cs="仿宋"/>
                <w:lang w:eastAsia="zh-CN" w:bidi="ar"/>
              </w:rPr>
              <w:br w:type="textWrapping"/>
            </w:r>
            <w:r>
              <w:rPr>
                <w:rFonts w:hint="eastAsia" w:ascii="仿宋" w:hAnsi="仿宋" w:eastAsia="仿宋" w:cs="仿宋"/>
                <w:lang w:eastAsia="zh-CN" w:bidi="ar"/>
              </w:rPr>
              <w:t>③0%＜结转结余率＜50%，得分=（50%-结转结余率）/50%×该指标分值。</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862EFD5">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6977527">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0B762A8B">
            <w:pPr>
              <w:textAlignment w:val="center"/>
              <w:rPr>
                <w:rFonts w:hint="eastAsia" w:ascii="仿宋" w:hAnsi="仿宋" w:eastAsia="仿宋" w:cs="仿宋"/>
                <w:lang w:eastAsia="zh-CN"/>
              </w:rPr>
            </w:pPr>
            <w:r>
              <w:rPr>
                <w:rFonts w:hint="eastAsia" w:ascii="仿宋" w:hAnsi="仿宋" w:eastAsia="仿宋" w:cs="仿宋"/>
                <w:lang w:eastAsia="zh-CN"/>
              </w:rPr>
              <w:t>石狮市退役军人事务局2024年结转结余资金总额1.4412万元，4677.94万元，结转结余率=（1.4412/4677.94）*100%=0.03%。根据评价指标，结转结余率接近为0，本项得2分。</w:t>
            </w:r>
          </w:p>
          <w:p w14:paraId="4F4AD403">
            <w:pPr>
              <w:textAlignment w:val="center"/>
              <w:rPr>
                <w:rFonts w:hint="eastAsia" w:ascii="仿宋" w:hAnsi="仿宋" w:eastAsia="仿宋" w:cs="仿宋"/>
                <w:lang w:eastAsia="zh-CN"/>
              </w:rPr>
            </w:pPr>
          </w:p>
        </w:tc>
      </w:tr>
      <w:tr w14:paraId="2C1492B5">
        <w:tblPrEx>
          <w:tblCellMar>
            <w:top w:w="0" w:type="dxa"/>
            <w:left w:w="108" w:type="dxa"/>
            <w:bottom w:w="0" w:type="dxa"/>
            <w:right w:w="108" w:type="dxa"/>
          </w:tblCellMar>
        </w:tblPrEx>
        <w:trPr>
          <w:trHeight w:val="1728"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154C63BB">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2E9AB0A3">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7F771D6D">
            <w:pPr>
              <w:jc w:val="center"/>
              <w:textAlignment w:val="center"/>
              <w:rPr>
                <w:rFonts w:hint="eastAsia" w:ascii="仿宋" w:hAnsi="仿宋" w:eastAsia="仿宋" w:cs="仿宋"/>
              </w:rPr>
            </w:pPr>
            <w:r>
              <w:rPr>
                <w:rFonts w:hint="eastAsia" w:ascii="仿宋" w:hAnsi="仿宋" w:eastAsia="仿宋" w:cs="仿宋"/>
                <w:lang w:eastAsia="zh-CN" w:bidi="ar"/>
              </w:rPr>
              <w:t>公用经费控制率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17B0D1FD">
            <w:pPr>
              <w:textAlignment w:val="center"/>
              <w:rPr>
                <w:rFonts w:hint="eastAsia" w:ascii="仿宋" w:hAnsi="仿宋" w:eastAsia="仿宋" w:cs="仿宋"/>
                <w:lang w:eastAsia="zh-CN"/>
              </w:rPr>
            </w:pPr>
            <w:r>
              <w:rPr>
                <w:rFonts w:hint="eastAsia" w:ascii="仿宋" w:hAnsi="仿宋" w:eastAsia="仿宋" w:cs="仿宋"/>
                <w:lang w:eastAsia="zh-CN" w:bidi="ar"/>
              </w:rPr>
              <w:t>评价要点：公用经费控制率=（实际支出公用经费总额/预算安排公用经费总额）×100%。</w:t>
            </w:r>
            <w:r>
              <w:rPr>
                <w:rFonts w:hint="eastAsia" w:ascii="仿宋" w:hAnsi="仿宋" w:eastAsia="仿宋" w:cs="仿宋"/>
                <w:lang w:eastAsia="zh-CN" w:bidi="ar"/>
              </w:rPr>
              <w:br w:type="textWrapping"/>
            </w:r>
            <w:r>
              <w:rPr>
                <w:rFonts w:hint="eastAsia" w:ascii="仿宋" w:hAnsi="仿宋" w:eastAsia="仿宋" w:cs="仿宋"/>
                <w:lang w:eastAsia="zh-CN" w:bidi="ar"/>
              </w:rPr>
              <w:t>①公用经费控制率≦100%，得2分；</w:t>
            </w:r>
            <w:r>
              <w:rPr>
                <w:rFonts w:hint="eastAsia" w:ascii="仿宋" w:hAnsi="仿宋" w:eastAsia="仿宋" w:cs="仿宋"/>
                <w:lang w:eastAsia="zh-CN" w:bidi="ar"/>
              </w:rPr>
              <w:br w:type="textWrapping"/>
            </w:r>
            <w:r>
              <w:rPr>
                <w:rFonts w:hint="eastAsia" w:ascii="仿宋" w:hAnsi="仿宋" w:eastAsia="仿宋" w:cs="仿宋"/>
                <w:lang w:eastAsia="zh-CN" w:bidi="ar"/>
              </w:rPr>
              <w:t>②公用经费控制率≧105%，得0分；</w:t>
            </w:r>
            <w:r>
              <w:rPr>
                <w:rFonts w:hint="eastAsia" w:ascii="仿宋" w:hAnsi="仿宋" w:eastAsia="仿宋" w:cs="仿宋"/>
                <w:lang w:eastAsia="zh-CN" w:bidi="ar"/>
              </w:rPr>
              <w:br w:type="textWrapping"/>
            </w:r>
            <w:r>
              <w:rPr>
                <w:rFonts w:hint="eastAsia" w:ascii="仿宋" w:hAnsi="仿宋" w:eastAsia="仿宋" w:cs="仿宋"/>
                <w:lang w:eastAsia="zh-CN" w:bidi="ar"/>
              </w:rPr>
              <w:t>③100%＜公用经费控制率&lt;105%，得分=（105%-公用经费控制率）/5%××该指标分值。</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574A642">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71B1988">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05AF2B16">
            <w:pPr>
              <w:textAlignment w:val="center"/>
              <w:rPr>
                <w:rFonts w:hint="eastAsia" w:ascii="仿宋" w:hAnsi="仿宋" w:eastAsia="仿宋" w:cs="仿宋"/>
                <w:lang w:eastAsia="zh-CN"/>
              </w:rPr>
            </w:pPr>
            <w:r>
              <w:rPr>
                <w:rFonts w:hint="eastAsia" w:ascii="仿宋" w:hAnsi="仿宋" w:eastAsia="仿宋" w:cs="仿宋"/>
                <w:lang w:eastAsia="zh-CN" w:bidi="ar"/>
              </w:rPr>
              <w:t>石狮市退役军人事务局2024年公用经费预算安排数为20.48万元，实际支出18.71万元，公用经费控制率=(18.71/20.48)*100%=91.34%，根据评分标准，此项得2分。</w:t>
            </w:r>
          </w:p>
        </w:tc>
      </w:tr>
      <w:tr w14:paraId="3B76BFA2">
        <w:tblPrEx>
          <w:tblCellMar>
            <w:top w:w="0" w:type="dxa"/>
            <w:left w:w="108" w:type="dxa"/>
            <w:bottom w:w="0" w:type="dxa"/>
            <w:right w:w="108" w:type="dxa"/>
          </w:tblCellMar>
        </w:tblPrEx>
        <w:trPr>
          <w:trHeight w:val="2304"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2C4CE792">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1D5CA043">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057CE41D">
            <w:pPr>
              <w:jc w:val="center"/>
              <w:textAlignment w:val="center"/>
              <w:rPr>
                <w:rFonts w:hint="eastAsia" w:ascii="仿宋" w:hAnsi="仿宋" w:eastAsia="仿宋" w:cs="仿宋"/>
              </w:rPr>
            </w:pPr>
            <w:r>
              <w:rPr>
                <w:rFonts w:hint="eastAsia" w:ascii="仿宋" w:hAnsi="仿宋" w:eastAsia="仿宋" w:cs="仿宋"/>
                <w:lang w:eastAsia="zh-CN" w:bidi="ar"/>
              </w:rPr>
              <w:t>人员经费控制率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2347E1BC">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用于衡量人员经费与支出预算数的比率，反映和评价部门（单位）对本年度人员经费的实际执行情况。</w:t>
            </w:r>
            <w:r>
              <w:rPr>
                <w:rFonts w:hint="eastAsia" w:ascii="仿宋" w:hAnsi="仿宋" w:eastAsia="仿宋" w:cs="仿宋"/>
                <w:lang w:eastAsia="zh-CN" w:bidi="ar"/>
              </w:rPr>
              <w:br w:type="textWrapping"/>
            </w:r>
            <w:r>
              <w:rPr>
                <w:rFonts w:hint="eastAsia" w:ascii="仿宋" w:hAnsi="仿宋" w:eastAsia="仿宋" w:cs="仿宋"/>
                <w:lang w:eastAsia="zh-CN" w:bidi="ar"/>
              </w:rPr>
              <w:t>人员经费控制率=（实际人员经费执行总额/预算安排人员经费总额）×100%。</w:t>
            </w:r>
            <w:r>
              <w:rPr>
                <w:rFonts w:hint="eastAsia" w:ascii="仿宋" w:hAnsi="仿宋" w:eastAsia="仿宋" w:cs="仿宋"/>
                <w:lang w:eastAsia="zh-CN" w:bidi="ar"/>
              </w:rPr>
              <w:br w:type="textWrapping"/>
            </w:r>
            <w:r>
              <w:rPr>
                <w:rFonts w:hint="eastAsia" w:ascii="仿宋" w:hAnsi="仿宋" w:eastAsia="仿宋" w:cs="仿宋"/>
                <w:lang w:eastAsia="zh-CN" w:bidi="ar"/>
              </w:rPr>
              <w:t>人员经费控制率≤100%，得2分，人员经费控制率&gt;100%且≤120%，得1.5分；人员经费控制率&gt;120%且≤150%，得1分；人员经费控制率&gt;150%，得0分。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7ABC1CA">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33629B7">
            <w:pPr>
              <w:jc w:val="center"/>
              <w:textAlignment w:val="center"/>
              <w:rPr>
                <w:rFonts w:hint="eastAsia" w:ascii="仿宋" w:hAnsi="仿宋" w:eastAsia="仿宋" w:cs="仿宋"/>
              </w:rPr>
            </w:pPr>
            <w:r>
              <w:rPr>
                <w:rFonts w:hint="eastAsia" w:ascii="仿宋" w:hAnsi="仿宋" w:eastAsia="仿宋" w:cs="仿宋"/>
                <w:lang w:eastAsia="zh-CN" w:bidi="ar"/>
              </w:rPr>
              <w:t>1.5</w:t>
            </w:r>
          </w:p>
        </w:tc>
        <w:tc>
          <w:tcPr>
            <w:tcW w:w="4987" w:type="dxa"/>
            <w:tcBorders>
              <w:top w:val="single" w:color="000000" w:sz="4" w:space="0"/>
              <w:left w:val="single" w:color="000000" w:sz="4" w:space="0"/>
              <w:bottom w:val="single" w:color="000000" w:sz="4" w:space="0"/>
              <w:right w:val="single" w:color="000000" w:sz="4" w:space="0"/>
            </w:tcBorders>
            <w:vAlign w:val="center"/>
          </w:tcPr>
          <w:p w14:paraId="3FEB2853">
            <w:pPr>
              <w:textAlignment w:val="center"/>
              <w:rPr>
                <w:rFonts w:hint="eastAsia" w:ascii="仿宋" w:hAnsi="仿宋" w:eastAsia="仿宋" w:cs="仿宋"/>
                <w:lang w:eastAsia="zh-CN"/>
              </w:rPr>
            </w:pPr>
            <w:r>
              <w:rPr>
                <w:rFonts w:hint="eastAsia" w:ascii="仿宋" w:hAnsi="仿宋" w:eastAsia="仿宋" w:cs="仿宋"/>
                <w:lang w:eastAsia="zh-CN" w:bidi="ar"/>
              </w:rPr>
              <w:t>根据石狮市退役军人事务局2024年初预算安排人员经费总额227.7万元，实际支出人员经费总额254.28万元，人员经费控制率=（实际人员经费执行总额/预算安排人员经费总额）×100%=（254.28/227.7）×100%=111.67%，根据评分标准，人员经费控制率&gt;100%且≤120%，得1.5分。</w:t>
            </w:r>
          </w:p>
        </w:tc>
      </w:tr>
      <w:tr w14:paraId="075938B4">
        <w:tblPrEx>
          <w:tblCellMar>
            <w:top w:w="0" w:type="dxa"/>
            <w:left w:w="108" w:type="dxa"/>
            <w:bottom w:w="0" w:type="dxa"/>
            <w:right w:w="108" w:type="dxa"/>
          </w:tblCellMar>
        </w:tblPrEx>
        <w:trPr>
          <w:trHeight w:val="244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55A28EA1">
            <w:pPr>
              <w:jc w:val="center"/>
              <w:rPr>
                <w:rFonts w:hint="eastAsia" w:ascii="仿宋" w:hAnsi="仿宋" w:eastAsia="仿宋" w:cs="仿宋"/>
                <w:lang w:eastAsia="zh-CN"/>
              </w:rPr>
            </w:pPr>
          </w:p>
        </w:tc>
        <w:tc>
          <w:tcPr>
            <w:tcW w:w="1124" w:type="dxa"/>
            <w:vMerge w:val="restart"/>
            <w:tcBorders>
              <w:top w:val="single" w:color="000000" w:sz="4" w:space="0"/>
              <w:left w:val="single" w:color="000000" w:sz="4" w:space="0"/>
              <w:bottom w:val="single" w:color="000000" w:sz="4" w:space="0"/>
              <w:right w:val="single" w:color="000000" w:sz="4" w:space="0"/>
            </w:tcBorders>
            <w:vAlign w:val="center"/>
          </w:tcPr>
          <w:p w14:paraId="58469C17">
            <w:pPr>
              <w:jc w:val="center"/>
              <w:textAlignment w:val="center"/>
              <w:rPr>
                <w:rFonts w:hint="eastAsia" w:ascii="仿宋" w:hAnsi="仿宋" w:eastAsia="仿宋" w:cs="仿宋"/>
              </w:rPr>
            </w:pPr>
            <w:r>
              <w:rPr>
                <w:rFonts w:hint="eastAsia" w:ascii="仿宋" w:hAnsi="仿宋" w:eastAsia="仿宋" w:cs="仿宋"/>
                <w:lang w:eastAsia="zh-CN" w:bidi="ar"/>
              </w:rPr>
              <w:t>预算管理</w:t>
            </w:r>
            <w:r>
              <w:rPr>
                <w:rFonts w:hint="eastAsia" w:ascii="仿宋" w:hAnsi="仿宋" w:eastAsia="仿宋" w:cs="仿宋"/>
                <w:lang w:eastAsia="zh-CN" w:bidi="ar"/>
              </w:rPr>
              <w:br w:type="textWrapping"/>
            </w:r>
            <w:r>
              <w:rPr>
                <w:rFonts w:hint="eastAsia" w:ascii="仿宋" w:hAnsi="仿宋" w:eastAsia="仿宋" w:cs="仿宋"/>
                <w:lang w:eastAsia="zh-CN" w:bidi="ar"/>
              </w:rPr>
              <w:t>（14分）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27DF03E3">
            <w:pPr>
              <w:jc w:val="center"/>
              <w:textAlignment w:val="center"/>
              <w:rPr>
                <w:rFonts w:hint="eastAsia" w:ascii="仿宋" w:hAnsi="仿宋" w:eastAsia="仿宋" w:cs="仿宋"/>
              </w:rPr>
            </w:pPr>
            <w:r>
              <w:rPr>
                <w:rFonts w:hint="eastAsia" w:ascii="仿宋" w:hAnsi="仿宋" w:eastAsia="仿宋" w:cs="仿宋"/>
                <w:lang w:eastAsia="zh-CN" w:bidi="ar"/>
              </w:rPr>
              <w:t>管理制度健全性</w:t>
            </w:r>
          </w:p>
        </w:tc>
        <w:tc>
          <w:tcPr>
            <w:tcW w:w="5120" w:type="dxa"/>
            <w:tcBorders>
              <w:top w:val="single" w:color="000000" w:sz="4" w:space="0"/>
              <w:left w:val="single" w:color="000000" w:sz="4" w:space="0"/>
              <w:bottom w:val="single" w:color="000000" w:sz="4" w:space="0"/>
              <w:right w:val="single" w:color="000000" w:sz="4" w:space="0"/>
            </w:tcBorders>
            <w:vAlign w:val="center"/>
          </w:tcPr>
          <w:p w14:paraId="31A4D3AA">
            <w:pPr>
              <w:textAlignment w:val="center"/>
              <w:rPr>
                <w:rFonts w:hint="eastAsia" w:ascii="仿宋" w:hAnsi="仿宋" w:eastAsia="仿宋" w:cs="仿宋"/>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①是否已制定或具有预算资金管理办法、内部财务管理制度、会计核算制度等管理制度；</w:t>
            </w:r>
            <w:r>
              <w:rPr>
                <w:rFonts w:hint="eastAsia" w:ascii="仿宋" w:hAnsi="仿宋" w:eastAsia="仿宋" w:cs="仿宋"/>
                <w:lang w:eastAsia="zh-CN" w:bidi="ar"/>
              </w:rPr>
              <w:br w:type="textWrapping"/>
            </w:r>
            <w:r>
              <w:rPr>
                <w:rFonts w:hint="eastAsia" w:ascii="仿宋" w:hAnsi="仿宋" w:eastAsia="仿宋" w:cs="仿宋"/>
                <w:lang w:eastAsia="zh-CN" w:bidi="ar"/>
              </w:rPr>
              <w:t>②相关管理制度是否合法、合规、完整；</w:t>
            </w:r>
            <w:r>
              <w:rPr>
                <w:rFonts w:hint="eastAsia" w:ascii="仿宋" w:hAnsi="仿宋" w:eastAsia="仿宋" w:cs="仿宋"/>
                <w:lang w:eastAsia="zh-CN" w:bidi="ar"/>
              </w:rPr>
              <w:br w:type="textWrapping"/>
            </w:r>
            <w:r>
              <w:rPr>
                <w:rFonts w:hint="eastAsia" w:ascii="仿宋" w:hAnsi="仿宋" w:eastAsia="仿宋" w:cs="仿宋"/>
                <w:lang w:eastAsia="zh-CN" w:bidi="ar"/>
              </w:rPr>
              <w:t>③相关管理制度是否得到有效执行。</w:t>
            </w:r>
            <w:r>
              <w:rPr>
                <w:rFonts w:hint="eastAsia" w:ascii="仿宋" w:hAnsi="仿宋" w:eastAsia="仿宋" w:cs="仿宋"/>
                <w:lang w:eastAsia="zh-CN" w:bidi="ar"/>
              </w:rPr>
              <w:br w:type="textWrapping"/>
            </w:r>
            <w:r>
              <w:rPr>
                <w:rFonts w:hint="eastAsia" w:ascii="仿宋" w:hAnsi="仿宋" w:eastAsia="仿宋" w:cs="仿宋"/>
                <w:lang w:eastAsia="zh-CN" w:bidi="ar"/>
              </w:rPr>
              <w:t>一项不符合扣1分。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B58DD14">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B260435">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3C7C4B15">
            <w:pPr>
              <w:textAlignment w:val="center"/>
              <w:rPr>
                <w:rFonts w:hint="eastAsia" w:ascii="仿宋" w:hAnsi="仿宋" w:eastAsia="仿宋" w:cs="仿宋"/>
              </w:rPr>
            </w:pPr>
            <w:r>
              <w:rPr>
                <w:rFonts w:hint="eastAsia" w:ascii="仿宋" w:hAnsi="仿宋" w:eastAsia="仿宋" w:cs="仿宋"/>
                <w:lang w:eastAsia="zh-CN" w:bidi="ar"/>
              </w:rPr>
              <w:t>为加强石狮市退役军人事务局财务管理和会计核算，规范财务行为，降低行政成本，防止国有资产流失，提高资金使用效益、强化财务监督，石狮市退役军人事务局制定了《石狮市退役军人事务局机关财务管理制度》，该制度对石狮市退役军人事务局的预算管理、收支管理、固定资产管理、资金管理、审批管理、会计档案管理等进行了严格规定。根据评分标准，此项得2分。</w:t>
            </w:r>
          </w:p>
        </w:tc>
      </w:tr>
      <w:tr w14:paraId="45A72F89">
        <w:tblPrEx>
          <w:tblCellMar>
            <w:top w:w="0" w:type="dxa"/>
            <w:left w:w="108" w:type="dxa"/>
            <w:bottom w:w="0" w:type="dxa"/>
            <w:right w:w="108" w:type="dxa"/>
          </w:tblCellMar>
        </w:tblPrEx>
        <w:trPr>
          <w:trHeight w:val="346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04E0FD3A">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465F5783">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52AD1454">
            <w:pPr>
              <w:jc w:val="center"/>
              <w:textAlignment w:val="center"/>
              <w:rPr>
                <w:rFonts w:hint="eastAsia" w:ascii="仿宋" w:hAnsi="仿宋" w:eastAsia="仿宋" w:cs="仿宋"/>
              </w:rPr>
            </w:pPr>
            <w:r>
              <w:rPr>
                <w:rFonts w:hint="eastAsia" w:ascii="仿宋" w:hAnsi="仿宋" w:eastAsia="仿宋" w:cs="仿宋"/>
                <w:lang w:eastAsia="zh-CN" w:bidi="ar"/>
              </w:rPr>
              <w:t>政府采购管理合规性</w:t>
            </w:r>
          </w:p>
        </w:tc>
        <w:tc>
          <w:tcPr>
            <w:tcW w:w="5120" w:type="dxa"/>
            <w:tcBorders>
              <w:top w:val="single" w:color="000000" w:sz="4" w:space="0"/>
              <w:left w:val="single" w:color="000000" w:sz="4" w:space="0"/>
              <w:bottom w:val="single" w:color="000000" w:sz="4" w:space="0"/>
              <w:right w:val="single" w:color="000000" w:sz="4" w:space="0"/>
            </w:tcBorders>
            <w:vAlign w:val="center"/>
          </w:tcPr>
          <w:p w14:paraId="54F1CF41">
            <w:pPr>
              <w:textAlignment w:val="center"/>
              <w:rPr>
                <w:rFonts w:hint="eastAsia" w:ascii="仿宋" w:hAnsi="仿宋" w:eastAsia="仿宋" w:cs="仿宋"/>
              </w:rPr>
            </w:pPr>
            <w:r>
              <w:rPr>
                <w:rFonts w:hint="eastAsia" w:ascii="仿宋" w:hAnsi="仿宋" w:eastAsia="仿宋" w:cs="仿宋"/>
                <w:lang w:eastAsia="zh-CN" w:bidi="ar"/>
              </w:rPr>
              <w:t>主要评价部门（单位）本年度政府采购是否执行政府采购相关规定和要求，用以反映和考核部门（单位）政府采购预算执行情况。</w:t>
            </w:r>
            <w:r>
              <w:rPr>
                <w:rFonts w:hint="eastAsia" w:ascii="仿宋" w:hAnsi="仿宋" w:eastAsia="仿宋" w:cs="仿宋"/>
                <w:lang w:eastAsia="zh-CN" w:bidi="ar"/>
              </w:rPr>
              <w:br w:type="textWrapping"/>
            </w: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①是否按照规定编制政府采购预算；</w:t>
            </w:r>
            <w:r>
              <w:rPr>
                <w:rFonts w:hint="eastAsia" w:ascii="仿宋" w:hAnsi="仿宋" w:eastAsia="仿宋" w:cs="仿宋"/>
                <w:lang w:eastAsia="zh-CN" w:bidi="ar"/>
              </w:rPr>
              <w:br w:type="textWrapping"/>
            </w:r>
            <w:r>
              <w:rPr>
                <w:rFonts w:hint="eastAsia" w:ascii="仿宋" w:hAnsi="仿宋" w:eastAsia="仿宋" w:cs="仿宋"/>
                <w:lang w:eastAsia="zh-CN" w:bidi="ar"/>
              </w:rPr>
              <w:t>②是否编制了政府采购计划表，编制是否准确；</w:t>
            </w:r>
            <w:r>
              <w:rPr>
                <w:rFonts w:hint="eastAsia" w:ascii="仿宋" w:hAnsi="仿宋" w:eastAsia="仿宋" w:cs="仿宋"/>
                <w:lang w:eastAsia="zh-CN" w:bidi="ar"/>
              </w:rPr>
              <w:br w:type="textWrapping"/>
            </w:r>
            <w:r>
              <w:rPr>
                <w:rFonts w:hint="eastAsia" w:ascii="仿宋" w:hAnsi="仿宋" w:eastAsia="仿宋" w:cs="仿宋"/>
                <w:lang w:eastAsia="zh-CN" w:bidi="ar"/>
              </w:rPr>
              <w:t>③政府采购预算资金申请是否合规；</w:t>
            </w:r>
            <w:r>
              <w:rPr>
                <w:rFonts w:hint="eastAsia" w:ascii="仿宋" w:hAnsi="仿宋" w:eastAsia="仿宋" w:cs="仿宋"/>
                <w:lang w:eastAsia="zh-CN" w:bidi="ar"/>
              </w:rPr>
              <w:br w:type="textWrapping"/>
            </w:r>
            <w:r>
              <w:rPr>
                <w:rFonts w:hint="eastAsia" w:ascii="仿宋" w:hAnsi="仿宋" w:eastAsia="仿宋" w:cs="仿宋"/>
                <w:lang w:eastAsia="zh-CN" w:bidi="ar"/>
              </w:rPr>
              <w:t>④是否存在政府采购未按规定公开招标、违规采购等违规行为。</w:t>
            </w:r>
            <w:r>
              <w:rPr>
                <w:rFonts w:hint="eastAsia" w:ascii="仿宋" w:hAnsi="仿宋" w:eastAsia="仿宋" w:cs="仿宋"/>
                <w:lang w:eastAsia="zh-CN" w:bidi="ar"/>
              </w:rPr>
              <w:br w:type="textWrapping"/>
            </w:r>
            <w:r>
              <w:rPr>
                <w:rFonts w:hint="eastAsia" w:ascii="仿宋" w:hAnsi="仿宋" w:eastAsia="仿宋" w:cs="仿宋"/>
                <w:lang w:eastAsia="zh-CN" w:bidi="ar"/>
              </w:rPr>
              <w:t>一项不符合扣0.5分。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BA8CA4D">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565D611">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5ED2522B">
            <w:pPr>
              <w:textAlignment w:val="center"/>
              <w:rPr>
                <w:rFonts w:hint="eastAsia" w:ascii="仿宋" w:hAnsi="仿宋" w:eastAsia="仿宋" w:cs="仿宋"/>
                <w:lang w:eastAsia="zh-CN"/>
              </w:rPr>
            </w:pPr>
            <w:r>
              <w:rPr>
                <w:rFonts w:hint="eastAsia" w:ascii="仿宋" w:hAnsi="仿宋" w:eastAsia="仿宋" w:cs="仿宋"/>
                <w:lang w:eastAsia="zh-CN" w:bidi="ar"/>
              </w:rPr>
              <w:t>为加强石狮市退役军人事务局采购活动内部控制管理，规范采购行为，提高资金使用效益，出台了《石狮市退役军人事务局政府采购内部控制制度》，对采购程序、采购行为实施主体、采购审批程序、采购方式等提出了明确的规定。2024年初预算公开，政府采购预算0万元，2024年末决算表《机构运行信息表》2024年度政府采购支出0万元，未发现违规采购等违规行为。按照规定编制政府采购预算，根据评分标准，指标得2分。</w:t>
            </w:r>
          </w:p>
        </w:tc>
      </w:tr>
      <w:tr w14:paraId="17D5857C">
        <w:tblPrEx>
          <w:tblCellMar>
            <w:top w:w="0" w:type="dxa"/>
            <w:left w:w="108" w:type="dxa"/>
            <w:bottom w:w="0" w:type="dxa"/>
            <w:right w:w="108" w:type="dxa"/>
          </w:tblCellMar>
        </w:tblPrEx>
        <w:trPr>
          <w:trHeight w:val="324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39D77489">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199E767A">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6F33DD77">
            <w:pPr>
              <w:jc w:val="center"/>
              <w:textAlignment w:val="center"/>
              <w:rPr>
                <w:rFonts w:hint="eastAsia" w:ascii="仿宋" w:hAnsi="仿宋" w:eastAsia="仿宋" w:cs="仿宋"/>
              </w:rPr>
            </w:pPr>
            <w:r>
              <w:rPr>
                <w:rFonts w:hint="eastAsia" w:ascii="仿宋" w:hAnsi="仿宋" w:eastAsia="仿宋" w:cs="仿宋"/>
                <w:lang w:eastAsia="zh-CN" w:bidi="ar"/>
              </w:rPr>
              <w:t>项目进度管理</w:t>
            </w:r>
          </w:p>
        </w:tc>
        <w:tc>
          <w:tcPr>
            <w:tcW w:w="5120" w:type="dxa"/>
            <w:tcBorders>
              <w:top w:val="single" w:color="000000" w:sz="4" w:space="0"/>
              <w:left w:val="single" w:color="000000" w:sz="4" w:space="0"/>
              <w:bottom w:val="single" w:color="000000" w:sz="4" w:space="0"/>
              <w:right w:val="single" w:color="000000" w:sz="4" w:space="0"/>
            </w:tcBorders>
            <w:vAlign w:val="center"/>
          </w:tcPr>
          <w:p w14:paraId="33C41272">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重点考核项目是否按计划完成结算并及时支付资金，避免因结算滞后导致资金长期滞留。</w:t>
            </w:r>
            <w:r>
              <w:rPr>
                <w:rFonts w:hint="eastAsia" w:ascii="仿宋" w:hAnsi="仿宋" w:eastAsia="仿宋" w:cs="仿宋"/>
                <w:lang w:eastAsia="zh-CN" w:bidi="ar"/>
              </w:rPr>
              <w:br w:type="textWrapping"/>
            </w:r>
            <w:r>
              <w:rPr>
                <w:rFonts w:hint="eastAsia" w:ascii="仿宋" w:hAnsi="仿宋" w:eastAsia="仿宋" w:cs="仿宋"/>
                <w:lang w:eastAsia="zh-CN" w:bidi="ar"/>
              </w:rPr>
              <w:t>①所有项目均按时完成结算，资金全额支付，无跨年度未结算项目得2分；</w:t>
            </w:r>
            <w:r>
              <w:rPr>
                <w:rFonts w:hint="eastAsia" w:ascii="仿宋" w:hAnsi="仿宋" w:eastAsia="仿宋" w:cs="仿宋"/>
                <w:lang w:eastAsia="zh-CN" w:bidi="ar"/>
              </w:rPr>
              <w:br w:type="textWrapping"/>
            </w:r>
            <w:r>
              <w:rPr>
                <w:rFonts w:hint="eastAsia" w:ascii="仿宋" w:hAnsi="仿宋" w:eastAsia="仿宋" w:cs="仿宋"/>
                <w:lang w:eastAsia="zh-CN" w:bidi="ar"/>
              </w:rPr>
              <w:t>②未结算项目≤2项，且无跨年度未结算项目，得1.5分；</w:t>
            </w:r>
            <w:r>
              <w:rPr>
                <w:rFonts w:hint="eastAsia" w:ascii="仿宋" w:hAnsi="仿宋" w:eastAsia="仿宋" w:cs="仿宋"/>
                <w:lang w:eastAsia="zh-CN" w:bidi="ar"/>
              </w:rPr>
              <w:br w:type="textWrapping"/>
            </w:r>
            <w:r>
              <w:rPr>
                <w:rFonts w:hint="eastAsia" w:ascii="仿宋" w:hAnsi="仿宋" w:eastAsia="仿宋" w:cs="仿宋"/>
                <w:lang w:eastAsia="zh-CN" w:bidi="ar"/>
              </w:rPr>
              <w:t>③未决算项目3-5项，或存在1-2项跨年度未结算项目，得1分；</w:t>
            </w:r>
            <w:r>
              <w:rPr>
                <w:rFonts w:hint="eastAsia" w:ascii="仿宋" w:hAnsi="仿宋" w:eastAsia="仿宋" w:cs="仿宋"/>
                <w:lang w:eastAsia="zh-CN" w:bidi="ar"/>
              </w:rPr>
              <w:br w:type="textWrapping"/>
            </w:r>
            <w:r>
              <w:rPr>
                <w:rFonts w:hint="eastAsia" w:ascii="仿宋" w:hAnsi="仿宋" w:eastAsia="仿宋" w:cs="仿宋"/>
                <w:lang w:eastAsia="zh-CN" w:bidi="ar"/>
              </w:rPr>
              <w:t>④未结算项目＞5项，或存在3项及以上跨年度未结算项目得0.5分；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4046EC4">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91A1664">
            <w:pPr>
              <w:jc w:val="center"/>
              <w:textAlignment w:val="center"/>
              <w:rPr>
                <w:rFonts w:hint="eastAsia" w:ascii="仿宋" w:hAnsi="仿宋" w:eastAsia="仿宋" w:cs="仿宋"/>
              </w:rPr>
            </w:pPr>
            <w:r>
              <w:rPr>
                <w:rFonts w:hint="eastAsia" w:ascii="仿宋" w:hAnsi="仿宋" w:eastAsia="仿宋" w:cs="仿宋"/>
                <w:lang w:eastAsia="zh-CN" w:bidi="ar"/>
              </w:rPr>
              <w:t>1</w:t>
            </w:r>
          </w:p>
        </w:tc>
        <w:tc>
          <w:tcPr>
            <w:tcW w:w="4987" w:type="dxa"/>
            <w:tcBorders>
              <w:top w:val="single" w:color="000000" w:sz="4" w:space="0"/>
              <w:left w:val="single" w:color="000000" w:sz="4" w:space="0"/>
              <w:bottom w:val="single" w:color="000000" w:sz="4" w:space="0"/>
              <w:right w:val="single" w:color="000000" w:sz="4" w:space="0"/>
            </w:tcBorders>
            <w:vAlign w:val="center"/>
          </w:tcPr>
          <w:p w14:paraId="38D9D538">
            <w:pPr>
              <w:textAlignment w:val="center"/>
              <w:rPr>
                <w:rFonts w:hint="eastAsia" w:ascii="仿宋" w:hAnsi="仿宋" w:eastAsia="仿宋" w:cs="仿宋"/>
                <w:lang w:eastAsia="zh-CN"/>
              </w:rPr>
            </w:pPr>
            <w:r>
              <w:rPr>
                <w:rFonts w:hint="eastAsia" w:ascii="仿宋" w:hAnsi="仿宋" w:eastAsia="仿宋" w:cs="仿宋"/>
                <w:lang w:eastAsia="zh-CN" w:bidi="ar"/>
              </w:rPr>
              <w:t>经核查，石狮市退役军人事务局2024年其他应付款中存在12项未决算工程，合计金额126.59万元。其中，科技文化拥军项目（浮雕墙和文化广场）1.74万元、科技文化拥军项目（大礼堂）1.17万元、第四篮球场工程项目质保金2.75万元为2022年项目，因未及时决算导致资金滞留超2年。根据评分标准，存在3项跨年度未决算项目，此项扣1分，得分1分。</w:t>
            </w:r>
          </w:p>
        </w:tc>
      </w:tr>
      <w:tr w14:paraId="1E5F2A25">
        <w:tblPrEx>
          <w:tblCellMar>
            <w:top w:w="0" w:type="dxa"/>
            <w:left w:w="108" w:type="dxa"/>
            <w:bottom w:w="0" w:type="dxa"/>
            <w:right w:w="108" w:type="dxa"/>
          </w:tblCellMar>
        </w:tblPrEx>
        <w:trPr>
          <w:trHeight w:val="2277"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756EAC1A">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31CD5B48">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2E339A1F">
            <w:pPr>
              <w:jc w:val="center"/>
              <w:textAlignment w:val="center"/>
              <w:rPr>
                <w:rFonts w:hint="eastAsia" w:ascii="仿宋" w:hAnsi="仿宋" w:eastAsia="仿宋" w:cs="仿宋"/>
              </w:rPr>
            </w:pPr>
            <w:r>
              <w:rPr>
                <w:rFonts w:hint="eastAsia" w:ascii="仿宋" w:hAnsi="仿宋" w:eastAsia="仿宋" w:cs="仿宋"/>
                <w:lang w:eastAsia="zh-CN" w:bidi="ar"/>
              </w:rPr>
              <w:t>预决算信息公开性</w:t>
            </w:r>
          </w:p>
        </w:tc>
        <w:tc>
          <w:tcPr>
            <w:tcW w:w="5120" w:type="dxa"/>
            <w:tcBorders>
              <w:top w:val="single" w:color="000000" w:sz="4" w:space="0"/>
              <w:left w:val="single" w:color="000000" w:sz="4" w:space="0"/>
              <w:bottom w:val="single" w:color="000000" w:sz="4" w:space="0"/>
              <w:right w:val="single" w:color="000000" w:sz="4" w:space="0"/>
            </w:tcBorders>
            <w:vAlign w:val="center"/>
          </w:tcPr>
          <w:p w14:paraId="0CAC5D40">
            <w:pPr>
              <w:textAlignment w:val="center"/>
              <w:rPr>
                <w:rFonts w:hint="eastAsia" w:ascii="仿宋" w:hAnsi="仿宋" w:eastAsia="仿宋" w:cs="仿宋"/>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是否按照政府信息公开有关规定及预决算批复文件中要求的格式、时限公开相关预决算信息，用以反映和评价部门（单位）预决算管理的公开透明情况。</w:t>
            </w:r>
            <w:r>
              <w:rPr>
                <w:rFonts w:hint="eastAsia" w:ascii="仿宋" w:hAnsi="仿宋" w:eastAsia="仿宋" w:cs="仿宋"/>
                <w:lang w:eastAsia="zh-CN" w:bidi="ar"/>
              </w:rPr>
              <w:br w:type="textWrapping"/>
            </w:r>
            <w:r>
              <w:rPr>
                <w:rFonts w:hint="eastAsia" w:ascii="仿宋" w:hAnsi="仿宋" w:eastAsia="仿宋" w:cs="仿宋"/>
                <w:lang w:eastAsia="zh-CN" w:bidi="ar"/>
              </w:rPr>
              <w:t>①是否按要求的格式、时限公开预算；</w:t>
            </w:r>
            <w:r>
              <w:rPr>
                <w:rFonts w:hint="eastAsia" w:ascii="仿宋" w:hAnsi="仿宋" w:eastAsia="仿宋" w:cs="仿宋"/>
                <w:lang w:eastAsia="zh-CN" w:bidi="ar"/>
              </w:rPr>
              <w:br w:type="textWrapping"/>
            </w:r>
            <w:r>
              <w:rPr>
                <w:rFonts w:hint="eastAsia" w:ascii="仿宋" w:hAnsi="仿宋" w:eastAsia="仿宋" w:cs="仿宋"/>
                <w:lang w:eastAsia="zh-CN" w:bidi="ar"/>
              </w:rPr>
              <w:t>②是否按要求的格式、时限公开决算。</w:t>
            </w:r>
            <w:r>
              <w:rPr>
                <w:rFonts w:hint="eastAsia" w:ascii="仿宋" w:hAnsi="仿宋" w:eastAsia="仿宋" w:cs="仿宋"/>
                <w:lang w:eastAsia="zh-CN" w:bidi="ar"/>
              </w:rPr>
              <w:br w:type="textWrapping"/>
            </w:r>
            <w:r>
              <w:rPr>
                <w:rFonts w:hint="eastAsia" w:ascii="仿宋" w:hAnsi="仿宋" w:eastAsia="仿宋" w:cs="仿宋"/>
                <w:lang w:eastAsia="zh-CN" w:bidi="ar"/>
              </w:rPr>
              <w:t>一项不符合扣1分。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B820663">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63BEF43">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5456BB60">
            <w:pPr>
              <w:textAlignment w:val="center"/>
              <w:rPr>
                <w:rFonts w:hint="eastAsia" w:ascii="仿宋" w:hAnsi="仿宋" w:eastAsia="仿宋" w:cs="仿宋"/>
              </w:rPr>
            </w:pPr>
            <w:r>
              <w:rPr>
                <w:rFonts w:hint="eastAsia" w:ascii="仿宋" w:hAnsi="仿宋" w:eastAsia="仿宋" w:cs="仿宋"/>
                <w:lang w:eastAsia="zh-CN" w:bidi="ar"/>
              </w:rPr>
              <w:t>石狮市退役军人事务局严格遵循政府信息公开的相关规定及预算要求的具体格式与时限，于2024年2月在泉州市石狮市人民政府公开网上，全面地公布了其预算信息。该局又在2024年9月及时公开了当年度决算报告，确保了信息的透明度与公众的知情权。依据评分标准，此项得2分。</w:t>
            </w:r>
          </w:p>
        </w:tc>
      </w:tr>
      <w:tr w14:paraId="30C7D0C3">
        <w:tblPrEx>
          <w:tblCellMar>
            <w:top w:w="0" w:type="dxa"/>
            <w:left w:w="108" w:type="dxa"/>
            <w:bottom w:w="0" w:type="dxa"/>
            <w:right w:w="108" w:type="dxa"/>
          </w:tblCellMar>
        </w:tblPrEx>
        <w:trPr>
          <w:trHeight w:val="9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43E07FDE">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16964ADB">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EC279EB">
            <w:pPr>
              <w:jc w:val="center"/>
              <w:textAlignment w:val="center"/>
              <w:rPr>
                <w:rFonts w:hint="eastAsia" w:ascii="仿宋" w:hAnsi="仿宋" w:eastAsia="仿宋" w:cs="仿宋"/>
              </w:rPr>
            </w:pPr>
            <w:r>
              <w:rPr>
                <w:rFonts w:hint="eastAsia" w:ascii="仿宋" w:hAnsi="仿宋" w:eastAsia="仿宋" w:cs="仿宋"/>
                <w:lang w:eastAsia="zh-CN" w:bidi="ar"/>
              </w:rPr>
              <w:t>合同管理规范性</w:t>
            </w:r>
          </w:p>
        </w:tc>
        <w:tc>
          <w:tcPr>
            <w:tcW w:w="5120" w:type="dxa"/>
            <w:tcBorders>
              <w:top w:val="single" w:color="000000" w:sz="4" w:space="0"/>
              <w:left w:val="single" w:color="000000" w:sz="4" w:space="0"/>
              <w:bottom w:val="single" w:color="000000" w:sz="4" w:space="0"/>
              <w:right w:val="single" w:color="000000" w:sz="4" w:space="0"/>
            </w:tcBorders>
            <w:vAlign w:val="center"/>
          </w:tcPr>
          <w:p w14:paraId="25CBF55A">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单位的合同管理是否规范；</w:t>
            </w:r>
            <w:r>
              <w:rPr>
                <w:rFonts w:hint="eastAsia" w:ascii="仿宋" w:hAnsi="仿宋" w:eastAsia="仿宋" w:cs="仿宋"/>
                <w:lang w:eastAsia="zh-CN" w:bidi="ar"/>
              </w:rPr>
              <w:br w:type="textWrapping"/>
            </w:r>
            <w:r>
              <w:rPr>
                <w:rFonts w:hint="eastAsia" w:ascii="仿宋" w:hAnsi="仿宋" w:eastAsia="仿宋" w:cs="仿宋"/>
                <w:lang w:eastAsia="zh-CN" w:bidi="ar"/>
              </w:rPr>
              <w:t>合同内容与权责是否明确；</w:t>
            </w:r>
            <w:r>
              <w:rPr>
                <w:rFonts w:hint="eastAsia" w:ascii="仿宋" w:hAnsi="仿宋" w:eastAsia="仿宋" w:cs="仿宋"/>
                <w:lang w:eastAsia="zh-CN" w:bidi="ar"/>
              </w:rPr>
              <w:br w:type="textWrapping"/>
            </w:r>
            <w:r>
              <w:rPr>
                <w:rFonts w:hint="eastAsia" w:ascii="仿宋" w:hAnsi="仿宋" w:eastAsia="仿宋" w:cs="仿宋"/>
                <w:lang w:eastAsia="zh-CN" w:bidi="ar"/>
              </w:rPr>
              <w:t>双方是否按合同条款履行权利义务。</w:t>
            </w:r>
            <w:r>
              <w:rPr>
                <w:rFonts w:hint="eastAsia" w:ascii="仿宋" w:hAnsi="仿宋" w:eastAsia="仿宋" w:cs="仿宋"/>
                <w:lang w:eastAsia="zh-CN" w:bidi="ar"/>
              </w:rPr>
              <w:br w:type="textWrapping"/>
            </w:r>
            <w:r>
              <w:rPr>
                <w:rFonts w:hint="eastAsia" w:ascii="仿宋" w:hAnsi="仿宋" w:eastAsia="仿宋" w:cs="仿宋"/>
                <w:lang w:eastAsia="zh-CN" w:bidi="ar"/>
              </w:rPr>
              <w:t>一项不符扣1分，扣完为止。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C905464">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80239DF">
            <w:pPr>
              <w:jc w:val="center"/>
              <w:textAlignment w:val="center"/>
              <w:rPr>
                <w:rFonts w:hint="eastAsia" w:ascii="仿宋" w:hAnsi="仿宋" w:eastAsia="仿宋" w:cs="仿宋"/>
              </w:rPr>
            </w:pPr>
            <w:r>
              <w:rPr>
                <w:rFonts w:hint="eastAsia" w:ascii="仿宋" w:hAnsi="仿宋" w:eastAsia="仿宋" w:cs="仿宋"/>
                <w:lang w:eastAsia="zh-CN" w:bidi="ar"/>
              </w:rPr>
              <w:t>1</w:t>
            </w:r>
          </w:p>
        </w:tc>
        <w:tc>
          <w:tcPr>
            <w:tcW w:w="4987" w:type="dxa"/>
            <w:tcBorders>
              <w:top w:val="single" w:color="000000" w:sz="4" w:space="0"/>
              <w:left w:val="single" w:color="000000" w:sz="4" w:space="0"/>
              <w:bottom w:val="single" w:color="000000" w:sz="4" w:space="0"/>
              <w:right w:val="single" w:color="000000" w:sz="4" w:space="0"/>
            </w:tcBorders>
            <w:vAlign w:val="center"/>
          </w:tcPr>
          <w:p w14:paraId="38730D08">
            <w:pPr>
              <w:textAlignment w:val="center"/>
              <w:rPr>
                <w:rFonts w:hint="eastAsia" w:ascii="仿宋" w:hAnsi="仿宋" w:eastAsia="仿宋" w:cs="仿宋"/>
                <w:lang w:eastAsia="zh-CN"/>
              </w:rPr>
            </w:pPr>
            <w:r>
              <w:rPr>
                <w:rFonts w:hint="eastAsia" w:ascii="仿宋" w:hAnsi="仿宋" w:eastAsia="仿宋" w:cs="仿宋"/>
                <w:lang w:eastAsia="zh-CN" w:bidi="ar"/>
              </w:rPr>
              <w:t>经检查合同档案及凭证，发现石狮市退役军人事务局部分合同管理存在不规范问题：2024年8月1日支付石狮顶红装饰有限公司原301办公室修缮费28654元的合同中，验收单的竣工时间与验收时间均为空白，不符合《会计基础工作规范》（财会字〔1996〕19号）第四十八条关于原始凭证内容完整性的要求。根据评分标准，一项不符扣1分，此项得分1分。</w:t>
            </w:r>
          </w:p>
        </w:tc>
      </w:tr>
      <w:tr w14:paraId="08463DD4">
        <w:tblPrEx>
          <w:tblCellMar>
            <w:top w:w="0" w:type="dxa"/>
            <w:left w:w="108" w:type="dxa"/>
            <w:bottom w:w="0" w:type="dxa"/>
            <w:right w:w="108" w:type="dxa"/>
          </w:tblCellMar>
        </w:tblPrEx>
        <w:trPr>
          <w:trHeight w:val="144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7CA08F0B">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369CA0C4">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31D05E23">
            <w:pPr>
              <w:jc w:val="center"/>
              <w:textAlignment w:val="center"/>
              <w:rPr>
                <w:rFonts w:hint="eastAsia" w:ascii="仿宋" w:hAnsi="仿宋" w:eastAsia="仿宋" w:cs="仿宋"/>
              </w:rPr>
            </w:pPr>
            <w:r>
              <w:rPr>
                <w:rFonts w:hint="eastAsia" w:ascii="仿宋" w:hAnsi="仿宋" w:eastAsia="仿宋" w:cs="仿宋"/>
                <w:lang w:eastAsia="zh-CN" w:bidi="ar"/>
              </w:rPr>
              <w:t>资产管理完整性</w:t>
            </w:r>
          </w:p>
        </w:tc>
        <w:tc>
          <w:tcPr>
            <w:tcW w:w="5120" w:type="dxa"/>
            <w:tcBorders>
              <w:top w:val="single" w:color="000000" w:sz="4" w:space="0"/>
              <w:left w:val="single" w:color="000000" w:sz="4" w:space="0"/>
              <w:bottom w:val="single" w:color="000000" w:sz="4" w:space="0"/>
              <w:right w:val="single" w:color="000000" w:sz="4" w:space="0"/>
            </w:tcBorders>
            <w:vAlign w:val="center"/>
          </w:tcPr>
          <w:p w14:paraId="21B843E0">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①单位和下级单位资产管理制度是否健全、完整、合法；</w:t>
            </w:r>
            <w:r>
              <w:rPr>
                <w:rFonts w:hint="eastAsia" w:ascii="仿宋" w:hAnsi="仿宋" w:eastAsia="仿宋" w:cs="仿宋"/>
                <w:lang w:eastAsia="zh-CN" w:bidi="ar"/>
              </w:rPr>
              <w:br w:type="textWrapping"/>
            </w:r>
            <w:r>
              <w:rPr>
                <w:rFonts w:hint="eastAsia" w:ascii="仿宋" w:hAnsi="仿宋" w:eastAsia="仿宋" w:cs="仿宋"/>
                <w:lang w:eastAsia="zh-CN" w:bidi="ar"/>
              </w:rPr>
              <w:t>②资产管理台账和实物是否账实相符；</w:t>
            </w:r>
            <w:r>
              <w:rPr>
                <w:rFonts w:hint="eastAsia" w:ascii="仿宋" w:hAnsi="仿宋" w:eastAsia="仿宋" w:cs="仿宋"/>
                <w:lang w:eastAsia="zh-CN" w:bidi="ar"/>
              </w:rPr>
              <w:br w:type="textWrapping"/>
            </w:r>
            <w:r>
              <w:rPr>
                <w:rFonts w:hint="eastAsia" w:ascii="仿宋" w:hAnsi="仿宋" w:eastAsia="仿宋" w:cs="仿宋"/>
                <w:lang w:eastAsia="zh-CN" w:bidi="ar"/>
              </w:rPr>
              <w:t>一项不符扣1分，扣完为止。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510B614">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D25DE9A">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10D9A2C6">
            <w:pPr>
              <w:textAlignment w:val="center"/>
              <w:rPr>
                <w:rFonts w:hint="eastAsia" w:ascii="仿宋" w:hAnsi="仿宋" w:eastAsia="仿宋" w:cs="仿宋"/>
                <w:lang w:eastAsia="zh-CN"/>
              </w:rPr>
            </w:pPr>
            <w:r>
              <w:rPr>
                <w:rFonts w:hint="eastAsia" w:ascii="仿宋" w:hAnsi="仿宋" w:eastAsia="仿宋" w:cs="仿宋"/>
                <w:lang w:eastAsia="zh-CN" w:bidi="ar"/>
              </w:rPr>
              <w:t>评价小组通过组织现场走访，石狮市退役军人事务局资产保存完整，有专人保管，固定资产日常使用与维护按照《石狮市行政事业单位固定资产日常管理细则》进行了详细规定，资产管理制度较为健全，根据评分标准，本项得2分。</w:t>
            </w:r>
          </w:p>
        </w:tc>
      </w:tr>
      <w:tr w14:paraId="13D66C46">
        <w:tblPrEx>
          <w:tblCellMar>
            <w:top w:w="0" w:type="dxa"/>
            <w:left w:w="108" w:type="dxa"/>
            <w:bottom w:w="0" w:type="dxa"/>
            <w:right w:w="108" w:type="dxa"/>
          </w:tblCellMar>
        </w:tblPrEx>
        <w:trPr>
          <w:trHeight w:val="236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09BEB4D4">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742BCF14">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4FB41698">
            <w:pPr>
              <w:jc w:val="center"/>
              <w:textAlignment w:val="center"/>
              <w:rPr>
                <w:rFonts w:hint="eastAsia" w:ascii="仿宋" w:hAnsi="仿宋" w:eastAsia="仿宋" w:cs="仿宋"/>
              </w:rPr>
            </w:pPr>
            <w:r>
              <w:rPr>
                <w:rFonts w:hint="eastAsia" w:ascii="仿宋" w:hAnsi="仿宋" w:eastAsia="仿宋" w:cs="仿宋"/>
                <w:lang w:eastAsia="zh-CN" w:bidi="ar"/>
              </w:rPr>
              <w:t>绩效自评覆盖率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4AD3A773">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“绩效自评覆盖率”用于部门绩效自评项目金额在部门项目预算资金总额中所占的比例，反映和评价部门对项目绩效自评工作的重视程度。</w:t>
            </w:r>
            <w:r>
              <w:rPr>
                <w:rFonts w:hint="eastAsia" w:ascii="仿宋" w:hAnsi="仿宋" w:eastAsia="仿宋" w:cs="仿宋"/>
                <w:lang w:eastAsia="zh-CN" w:bidi="ar"/>
              </w:rPr>
              <w:br w:type="textWrapping"/>
            </w:r>
            <w:r>
              <w:rPr>
                <w:rFonts w:hint="eastAsia" w:ascii="仿宋" w:hAnsi="仿宋" w:eastAsia="仿宋" w:cs="仿宋"/>
                <w:lang w:eastAsia="zh-CN" w:bidi="ar"/>
              </w:rPr>
              <w:t>绩效自评覆盖率=自评项目支出金额/项目支出总额×100%，指标得分=绩效自评覆盖率/年度资金覆盖率要求×2×100%</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4CBC5A3">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869D669">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5F53259A">
            <w:pPr>
              <w:textAlignment w:val="center"/>
              <w:rPr>
                <w:rFonts w:hint="eastAsia" w:ascii="仿宋" w:hAnsi="仿宋" w:eastAsia="仿宋" w:cs="仿宋"/>
              </w:rPr>
            </w:pPr>
            <w:r>
              <w:rPr>
                <w:rFonts w:hint="eastAsia" w:ascii="仿宋" w:hAnsi="仿宋" w:eastAsia="仿宋" w:cs="仿宋"/>
                <w:lang w:eastAsia="zh-CN" w:bidi="ar"/>
              </w:rPr>
              <w:t>根据石狮市退役军人事务局提供的资料，2024年石狮市退役军人事务局的项目资金全部开展了绩效自评并撰写绩效自评报告。部门绩效自评项目占比率100%。根据评分标准，此项得分2分。</w:t>
            </w:r>
          </w:p>
        </w:tc>
      </w:tr>
      <w:tr w14:paraId="34088C72">
        <w:tblPrEx>
          <w:tblCellMar>
            <w:top w:w="0" w:type="dxa"/>
            <w:left w:w="108" w:type="dxa"/>
            <w:bottom w:w="0" w:type="dxa"/>
            <w:right w:w="108" w:type="dxa"/>
          </w:tblCellMar>
        </w:tblPrEx>
        <w:trPr>
          <w:trHeight w:val="2560" w:hRule="atLeast"/>
        </w:trPr>
        <w:tc>
          <w:tcPr>
            <w:tcW w:w="1386" w:type="dxa"/>
            <w:vMerge w:val="restart"/>
            <w:tcBorders>
              <w:top w:val="single" w:color="000000" w:sz="4" w:space="0"/>
              <w:left w:val="single" w:color="000000" w:sz="4" w:space="0"/>
              <w:bottom w:val="single" w:color="000000" w:sz="4" w:space="0"/>
              <w:right w:val="single" w:color="000000" w:sz="4" w:space="0"/>
            </w:tcBorders>
            <w:noWrap/>
            <w:vAlign w:val="center"/>
          </w:tcPr>
          <w:p w14:paraId="24047F6A">
            <w:pPr>
              <w:jc w:val="center"/>
              <w:textAlignment w:val="center"/>
              <w:rPr>
                <w:rFonts w:hint="eastAsia" w:ascii="仿宋" w:hAnsi="仿宋" w:eastAsia="仿宋" w:cs="仿宋"/>
              </w:rPr>
            </w:pPr>
            <w:r>
              <w:rPr>
                <w:rFonts w:hint="eastAsia" w:ascii="仿宋" w:hAnsi="仿宋" w:eastAsia="仿宋" w:cs="仿宋"/>
                <w:lang w:eastAsia="zh-CN" w:bidi="ar"/>
              </w:rPr>
              <w:t>产出（42分）</w:t>
            </w:r>
          </w:p>
        </w:tc>
        <w:tc>
          <w:tcPr>
            <w:tcW w:w="1124" w:type="dxa"/>
            <w:vMerge w:val="restart"/>
            <w:tcBorders>
              <w:top w:val="single" w:color="000000" w:sz="4" w:space="0"/>
              <w:left w:val="single" w:color="000000" w:sz="4" w:space="0"/>
              <w:bottom w:val="single" w:color="000000" w:sz="4" w:space="0"/>
              <w:right w:val="single" w:color="000000" w:sz="4" w:space="0"/>
            </w:tcBorders>
            <w:vAlign w:val="center"/>
          </w:tcPr>
          <w:p w14:paraId="5B98D202">
            <w:pPr>
              <w:jc w:val="center"/>
              <w:textAlignment w:val="center"/>
              <w:rPr>
                <w:rFonts w:hint="eastAsia" w:ascii="仿宋" w:hAnsi="仿宋" w:eastAsia="仿宋" w:cs="仿宋"/>
              </w:rPr>
            </w:pPr>
            <w:r>
              <w:rPr>
                <w:rFonts w:hint="eastAsia" w:ascii="仿宋" w:hAnsi="仿宋" w:eastAsia="仿宋" w:cs="仿宋"/>
                <w:lang w:eastAsia="zh-CN" w:bidi="ar"/>
              </w:rPr>
              <w:t>产出数量（18分）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10BD8207">
            <w:pPr>
              <w:jc w:val="center"/>
              <w:textAlignment w:val="center"/>
              <w:rPr>
                <w:rFonts w:hint="eastAsia" w:ascii="仿宋" w:hAnsi="仿宋" w:eastAsia="仿宋" w:cs="仿宋"/>
                <w:lang w:eastAsia="zh-CN"/>
              </w:rPr>
            </w:pPr>
            <w:r>
              <w:rPr>
                <w:rFonts w:hint="eastAsia" w:ascii="仿宋" w:hAnsi="仿宋" w:eastAsia="仿宋" w:cs="仿宋"/>
                <w:lang w:eastAsia="zh-CN" w:bidi="ar"/>
              </w:rPr>
              <w:t>义务兵优待金发放人数</w:t>
            </w:r>
          </w:p>
        </w:tc>
        <w:tc>
          <w:tcPr>
            <w:tcW w:w="5120" w:type="dxa"/>
            <w:tcBorders>
              <w:top w:val="single" w:color="000000" w:sz="4" w:space="0"/>
              <w:left w:val="single" w:color="000000" w:sz="4" w:space="0"/>
              <w:bottom w:val="single" w:color="000000" w:sz="4" w:space="0"/>
              <w:right w:val="single" w:color="000000" w:sz="4" w:space="0"/>
            </w:tcBorders>
            <w:vAlign w:val="center"/>
          </w:tcPr>
          <w:p w14:paraId="5131FE37">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主要通过比较完成义务兵优待金发放人数与计划数，用以反映和考核完成义务兵优待金发放人数目标的实现程度。</w:t>
            </w:r>
            <w:r>
              <w:rPr>
                <w:rFonts w:hint="eastAsia" w:ascii="仿宋" w:hAnsi="仿宋" w:eastAsia="仿宋" w:cs="仿宋"/>
                <w:lang w:eastAsia="zh-CN" w:bidi="ar"/>
              </w:rPr>
              <w:br w:type="textWrapping"/>
            </w:r>
            <w:r>
              <w:rPr>
                <w:rFonts w:hint="eastAsia" w:ascii="仿宋" w:hAnsi="仿宋" w:eastAsia="仿宋" w:cs="仿宋"/>
                <w:lang w:eastAsia="zh-CN" w:bidi="ar"/>
              </w:rPr>
              <w:t>义务兵优待金发放人数≥104人（3分）；每少10人扣0.5分（不足10人的，按10人计算），扣完为止。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5F25C40">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DC9B5AD">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7E4B910D">
            <w:pPr>
              <w:textAlignment w:val="center"/>
              <w:rPr>
                <w:rFonts w:hint="eastAsia" w:ascii="仿宋" w:hAnsi="仿宋" w:eastAsia="仿宋" w:cs="仿宋"/>
              </w:rPr>
            </w:pPr>
            <w:r>
              <w:rPr>
                <w:rFonts w:hint="eastAsia" w:ascii="仿宋" w:hAnsi="仿宋" w:eastAsia="仿宋" w:cs="仿宋"/>
                <w:lang w:eastAsia="zh-CN" w:bidi="ar"/>
              </w:rPr>
              <w:t>根据《石狮市退役军人事务局关于发放2024年春季义务兵优待金和大学生入伍一次性奖励金有关事项的通知》（狮退役军人局〔2024〕21号）及《石狮市退役军人事务局关于发放2024年</w:t>
            </w:r>
            <w:r>
              <w:rPr>
                <w:rFonts w:hint="eastAsia" w:ascii="仿宋" w:hAnsi="仿宋" w:eastAsia="仿宋" w:cs="仿宋"/>
                <w:lang w:eastAsia="zh-CN" w:bidi="ar"/>
              </w:rPr>
              <w:br w:type="textWrapping"/>
            </w:r>
            <w:r>
              <w:rPr>
                <w:rFonts w:hint="eastAsia" w:ascii="仿宋" w:hAnsi="仿宋" w:eastAsia="仿宋" w:cs="仿宋"/>
                <w:lang w:eastAsia="zh-CN" w:bidi="ar"/>
              </w:rPr>
              <w:t>秋季义务兵优待金和大学生入伍一次性奖励金有关事项的通知》（狮退役军人局〔2024〕43号），发放对象为2023年入伍的义务兵及大学生（含普通高等院校本科毕业生、专科毕业生、本科在校生和新生、专科在校生和新生）。2024年度共发放198人。本项得分3分。</w:t>
            </w:r>
          </w:p>
        </w:tc>
      </w:tr>
      <w:tr w14:paraId="3C06C836">
        <w:tblPrEx>
          <w:tblCellMar>
            <w:top w:w="0" w:type="dxa"/>
            <w:left w:w="108" w:type="dxa"/>
            <w:bottom w:w="0" w:type="dxa"/>
            <w:right w:w="108" w:type="dxa"/>
          </w:tblCellMar>
        </w:tblPrEx>
        <w:trPr>
          <w:trHeight w:val="180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4700BA78">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01FE6B42">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8657867">
            <w:pPr>
              <w:jc w:val="center"/>
              <w:textAlignment w:val="center"/>
              <w:rPr>
                <w:rFonts w:hint="eastAsia" w:ascii="仿宋" w:hAnsi="仿宋" w:eastAsia="仿宋" w:cs="仿宋"/>
              </w:rPr>
            </w:pPr>
            <w:r>
              <w:rPr>
                <w:rFonts w:hint="eastAsia" w:ascii="仿宋" w:hAnsi="仿宋" w:eastAsia="仿宋" w:cs="仿宋"/>
                <w:lang w:eastAsia="zh-CN" w:bidi="ar"/>
              </w:rPr>
              <w:t>退役士兵补助人数</w:t>
            </w:r>
          </w:p>
        </w:tc>
        <w:tc>
          <w:tcPr>
            <w:tcW w:w="5120" w:type="dxa"/>
            <w:tcBorders>
              <w:top w:val="single" w:color="000000" w:sz="4" w:space="0"/>
              <w:left w:val="single" w:color="000000" w:sz="4" w:space="0"/>
              <w:bottom w:val="single" w:color="000000" w:sz="4" w:space="0"/>
              <w:right w:val="single" w:color="000000" w:sz="4" w:space="0"/>
            </w:tcBorders>
            <w:vAlign w:val="center"/>
          </w:tcPr>
          <w:p w14:paraId="07C8CE75">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主要通过退役士兵补助实际完成人数与计划数比较，用以反映和考核退役士兵补助人数目标的实现程度。退役士兵补助人数≥90人（3分）；每少10人扣0.5分（不足10人的，按10人计算），扣完为止。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DA50A1D">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F81C96E">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31198B6E">
            <w:pPr>
              <w:textAlignment w:val="center"/>
              <w:rPr>
                <w:rFonts w:hint="eastAsia" w:ascii="仿宋" w:hAnsi="仿宋" w:eastAsia="仿宋" w:cs="仿宋"/>
                <w:lang w:eastAsia="zh-CN"/>
              </w:rPr>
            </w:pPr>
            <w:r>
              <w:rPr>
                <w:rFonts w:hint="eastAsia" w:ascii="仿宋" w:hAnsi="仿宋" w:eastAsia="仿宋" w:cs="仿宋"/>
                <w:lang w:eastAsia="zh-CN" w:bidi="ar"/>
              </w:rPr>
              <w:t>根据石狮市退役军人事务局提供资料，2024年度退役士兵补助人数实际98人，根据评分标准，此项得分3分。</w:t>
            </w:r>
          </w:p>
        </w:tc>
      </w:tr>
      <w:tr w14:paraId="0B98063A">
        <w:tblPrEx>
          <w:tblCellMar>
            <w:top w:w="0" w:type="dxa"/>
            <w:left w:w="108" w:type="dxa"/>
            <w:bottom w:w="0" w:type="dxa"/>
            <w:right w:w="108" w:type="dxa"/>
          </w:tblCellMar>
        </w:tblPrEx>
        <w:trPr>
          <w:trHeight w:val="202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6B3BA3DE">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6A0A7D32">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2F71E99E">
            <w:pPr>
              <w:jc w:val="center"/>
              <w:textAlignment w:val="center"/>
              <w:rPr>
                <w:rFonts w:hint="eastAsia" w:ascii="仿宋" w:hAnsi="仿宋" w:eastAsia="仿宋" w:cs="仿宋"/>
                <w:lang w:eastAsia="zh-CN"/>
              </w:rPr>
            </w:pPr>
            <w:r>
              <w:rPr>
                <w:rFonts w:hint="eastAsia" w:ascii="仿宋" w:hAnsi="仿宋" w:eastAsia="仿宋" w:cs="仿宋"/>
                <w:lang w:eastAsia="zh-CN" w:bidi="ar"/>
              </w:rPr>
              <w:t>享受医疗待遇优抚对象人数</w:t>
            </w:r>
          </w:p>
        </w:tc>
        <w:tc>
          <w:tcPr>
            <w:tcW w:w="5120" w:type="dxa"/>
            <w:tcBorders>
              <w:top w:val="single" w:color="000000" w:sz="4" w:space="0"/>
              <w:left w:val="single" w:color="000000" w:sz="4" w:space="0"/>
              <w:bottom w:val="single" w:color="000000" w:sz="4" w:space="0"/>
              <w:right w:val="single" w:color="000000" w:sz="4" w:space="0"/>
            </w:tcBorders>
            <w:vAlign w:val="center"/>
          </w:tcPr>
          <w:p w14:paraId="401C0EF1">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享受医疗待遇优抚对象实际人数与计划数比较，用以反映和考核享受医疗待遇优抚对象人数目标的实现程度。享受医疗待遇优抚对象人数≥262人（3分）；每少10人扣0.5分（不足10人的，按10人计算），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F760467">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D939685">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62024182">
            <w:pPr>
              <w:textAlignment w:val="center"/>
              <w:rPr>
                <w:rFonts w:hint="eastAsia" w:ascii="仿宋" w:hAnsi="仿宋" w:eastAsia="仿宋" w:cs="仿宋"/>
                <w:lang w:eastAsia="zh-CN"/>
              </w:rPr>
            </w:pPr>
            <w:r>
              <w:rPr>
                <w:rFonts w:hint="eastAsia" w:ascii="仿宋" w:hAnsi="仿宋" w:eastAsia="仿宋" w:cs="仿宋"/>
                <w:lang w:eastAsia="zh-CN" w:bidi="ar"/>
              </w:rPr>
              <w:t>根据石狮市退役军人事务局提供资料，2024年度享受医疗待遇优抚对象人数实际262人，根据评分标准，此项得分3分。</w:t>
            </w:r>
          </w:p>
        </w:tc>
      </w:tr>
      <w:tr w14:paraId="43FFA81A">
        <w:tblPrEx>
          <w:tblCellMar>
            <w:top w:w="0" w:type="dxa"/>
            <w:left w:w="108" w:type="dxa"/>
            <w:bottom w:w="0" w:type="dxa"/>
            <w:right w:w="108" w:type="dxa"/>
          </w:tblCellMar>
        </w:tblPrEx>
        <w:trPr>
          <w:trHeight w:val="216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6233850F">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6D846DCF">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0C75847B">
            <w:pPr>
              <w:jc w:val="center"/>
              <w:textAlignment w:val="center"/>
              <w:rPr>
                <w:rFonts w:hint="eastAsia" w:ascii="仿宋" w:hAnsi="仿宋" w:eastAsia="仿宋" w:cs="仿宋"/>
              </w:rPr>
            </w:pPr>
            <w:r>
              <w:rPr>
                <w:rFonts w:hint="eastAsia" w:ascii="仿宋" w:hAnsi="仿宋" w:eastAsia="仿宋" w:cs="仿宋"/>
                <w:lang w:eastAsia="zh-CN" w:bidi="ar"/>
              </w:rPr>
              <w:t>优抚对象人数</w:t>
            </w:r>
          </w:p>
        </w:tc>
        <w:tc>
          <w:tcPr>
            <w:tcW w:w="5120" w:type="dxa"/>
            <w:tcBorders>
              <w:top w:val="single" w:color="000000" w:sz="4" w:space="0"/>
              <w:left w:val="single" w:color="000000" w:sz="4" w:space="0"/>
              <w:bottom w:val="single" w:color="000000" w:sz="4" w:space="0"/>
              <w:right w:val="single" w:color="000000" w:sz="4" w:space="0"/>
            </w:tcBorders>
            <w:vAlign w:val="center"/>
          </w:tcPr>
          <w:p w14:paraId="136813EA">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主要通过比较优抚对象人数完成数与计划数，用以反映和考核优抚对象人数目标的实现程度。</w:t>
            </w:r>
            <w:r>
              <w:rPr>
                <w:rFonts w:hint="eastAsia" w:ascii="仿宋" w:hAnsi="仿宋" w:eastAsia="仿宋" w:cs="仿宋"/>
                <w:lang w:eastAsia="zh-CN" w:bidi="ar"/>
              </w:rPr>
              <w:br w:type="textWrapping"/>
            </w:r>
            <w:r>
              <w:rPr>
                <w:rFonts w:hint="eastAsia" w:ascii="仿宋" w:hAnsi="仿宋" w:eastAsia="仿宋" w:cs="仿宋"/>
                <w:lang w:eastAsia="zh-CN" w:bidi="ar"/>
              </w:rPr>
              <w:t>优抚对象人数≥2232人（3分）；每少10人扣0.5分（不足10人的，按10人计算），扣完为止。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AD0B873">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440CF58">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555F4C51">
            <w:pPr>
              <w:textAlignment w:val="center"/>
              <w:rPr>
                <w:rFonts w:hint="eastAsia" w:ascii="仿宋" w:hAnsi="仿宋" w:eastAsia="仿宋" w:cs="仿宋"/>
              </w:rPr>
            </w:pPr>
            <w:r>
              <w:rPr>
                <w:rFonts w:hint="eastAsia" w:ascii="仿宋" w:hAnsi="仿宋" w:eastAsia="仿宋" w:cs="仿宋"/>
                <w:lang w:eastAsia="zh-CN" w:bidi="ar"/>
              </w:rPr>
              <w:t>根据石狮市退役军人事务局提供的2024年1-12月份优抚对象经费表，抚恤人数为2422人。得分2分。</w:t>
            </w:r>
          </w:p>
        </w:tc>
      </w:tr>
      <w:tr w14:paraId="379C241B">
        <w:tblPrEx>
          <w:tblCellMar>
            <w:top w:w="0" w:type="dxa"/>
            <w:left w:w="108" w:type="dxa"/>
            <w:bottom w:w="0" w:type="dxa"/>
            <w:right w:w="108" w:type="dxa"/>
          </w:tblCellMar>
        </w:tblPrEx>
        <w:trPr>
          <w:trHeight w:val="216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41E0BDC5">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65DCFD9D">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69FA6213">
            <w:pPr>
              <w:jc w:val="center"/>
              <w:textAlignment w:val="center"/>
              <w:rPr>
                <w:rFonts w:hint="eastAsia" w:ascii="仿宋" w:hAnsi="仿宋" w:eastAsia="仿宋" w:cs="仿宋"/>
                <w:lang w:eastAsia="zh-CN"/>
              </w:rPr>
            </w:pPr>
            <w:r>
              <w:rPr>
                <w:rFonts w:hint="eastAsia" w:ascii="仿宋" w:hAnsi="仿宋" w:eastAsia="仿宋" w:cs="仿宋"/>
                <w:lang w:eastAsia="zh-CN" w:bidi="ar"/>
              </w:rPr>
              <w:t>企业退休军转干部人数</w:t>
            </w:r>
          </w:p>
        </w:tc>
        <w:tc>
          <w:tcPr>
            <w:tcW w:w="5120" w:type="dxa"/>
            <w:tcBorders>
              <w:top w:val="single" w:color="000000" w:sz="4" w:space="0"/>
              <w:left w:val="single" w:color="000000" w:sz="4" w:space="0"/>
              <w:bottom w:val="single" w:color="000000" w:sz="4" w:space="0"/>
              <w:right w:val="single" w:color="000000" w:sz="4" w:space="0"/>
            </w:tcBorders>
            <w:vAlign w:val="center"/>
          </w:tcPr>
          <w:p w14:paraId="45915E46">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主要通过比较企业退休军转干部人数完成数与计划数，用以反映和考核企业退休军转干部人数目标的实现程度。企业退休军转干部人数≥32人（3分）；每少10人扣1分（不足10人，按10人计算），扣完为止。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4DA886E">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EB0DE77">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62537AD5">
            <w:pPr>
              <w:textAlignment w:val="center"/>
              <w:rPr>
                <w:rFonts w:hint="eastAsia" w:ascii="仿宋" w:hAnsi="仿宋" w:eastAsia="仿宋" w:cs="仿宋"/>
              </w:rPr>
            </w:pPr>
            <w:r>
              <w:rPr>
                <w:rFonts w:hint="eastAsia" w:ascii="仿宋" w:hAnsi="仿宋" w:eastAsia="仿宋" w:cs="仿宋"/>
                <w:lang w:eastAsia="zh-CN" w:bidi="ar"/>
              </w:rPr>
              <w:t>根据石狮市退役军人事务局提供资料，2024年企业退休军转干部人数属于本级管理17人，省属4人，合计21人，与目标相差9人。此项扣1分，得2分。</w:t>
            </w:r>
          </w:p>
        </w:tc>
      </w:tr>
      <w:tr w14:paraId="1C1546C7">
        <w:tblPrEx>
          <w:tblCellMar>
            <w:top w:w="0" w:type="dxa"/>
            <w:left w:w="108" w:type="dxa"/>
            <w:bottom w:w="0" w:type="dxa"/>
            <w:right w:w="108" w:type="dxa"/>
          </w:tblCellMar>
        </w:tblPrEx>
        <w:trPr>
          <w:trHeight w:val="190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7C21FAC5">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3E9E4509">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58CB52A5">
            <w:pPr>
              <w:jc w:val="center"/>
              <w:textAlignment w:val="center"/>
              <w:rPr>
                <w:rFonts w:hint="eastAsia" w:ascii="仿宋" w:hAnsi="仿宋" w:eastAsia="仿宋" w:cs="仿宋"/>
              </w:rPr>
            </w:pPr>
            <w:r>
              <w:rPr>
                <w:rFonts w:hint="eastAsia" w:ascii="仿宋" w:hAnsi="仿宋" w:eastAsia="仿宋" w:cs="仿宋"/>
                <w:lang w:eastAsia="zh-CN" w:bidi="ar"/>
              </w:rPr>
              <w:t>科技文化拥军项目数</w:t>
            </w:r>
          </w:p>
        </w:tc>
        <w:tc>
          <w:tcPr>
            <w:tcW w:w="5120" w:type="dxa"/>
            <w:tcBorders>
              <w:top w:val="single" w:color="000000" w:sz="4" w:space="0"/>
              <w:left w:val="single" w:color="000000" w:sz="4" w:space="0"/>
              <w:bottom w:val="single" w:color="000000" w:sz="4" w:space="0"/>
              <w:right w:val="single" w:color="000000" w:sz="4" w:space="0"/>
            </w:tcBorders>
            <w:vAlign w:val="center"/>
          </w:tcPr>
          <w:p w14:paraId="0B2E5EC2">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主要通过比较科技文化拥军项目数完成数与计划数，用以反映和考核科技文化拥军项目数量目标的实现程度。科技文化拥军项目数≥9个得3分，每少1个扣1分，扣完为止。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CF5F1A6">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244377C">
            <w:pPr>
              <w:jc w:val="center"/>
              <w:textAlignment w:val="center"/>
              <w:rPr>
                <w:rFonts w:hint="eastAsia" w:ascii="仿宋" w:hAnsi="仿宋" w:eastAsia="仿宋" w:cs="仿宋"/>
              </w:rPr>
            </w:pPr>
            <w:r>
              <w:rPr>
                <w:rFonts w:hint="eastAsia" w:ascii="仿宋" w:hAnsi="仿宋" w:eastAsia="仿宋" w:cs="仿宋"/>
                <w:lang w:eastAsia="zh-CN" w:bidi="ar"/>
              </w:rPr>
              <w:t>0</w:t>
            </w:r>
          </w:p>
        </w:tc>
        <w:tc>
          <w:tcPr>
            <w:tcW w:w="4987" w:type="dxa"/>
            <w:tcBorders>
              <w:top w:val="single" w:color="000000" w:sz="4" w:space="0"/>
              <w:left w:val="single" w:color="000000" w:sz="4" w:space="0"/>
              <w:bottom w:val="single" w:color="000000" w:sz="4" w:space="0"/>
              <w:right w:val="single" w:color="000000" w:sz="4" w:space="0"/>
            </w:tcBorders>
            <w:vAlign w:val="center"/>
          </w:tcPr>
          <w:p w14:paraId="1E116325">
            <w:pPr>
              <w:textAlignment w:val="center"/>
              <w:rPr>
                <w:rFonts w:hint="eastAsia" w:ascii="仿宋" w:hAnsi="仿宋" w:eastAsia="仿宋" w:cs="仿宋"/>
                <w:lang w:eastAsia="zh-CN"/>
              </w:rPr>
            </w:pPr>
            <w:r>
              <w:rPr>
                <w:rFonts w:hint="eastAsia" w:ascii="仿宋" w:hAnsi="仿宋" w:eastAsia="仿宋" w:cs="仿宋"/>
                <w:lang w:eastAsia="zh-CN" w:bidi="ar"/>
              </w:rPr>
              <w:t>根据石狮市退役军人事务局提供的资料，2024年度科技文化拥军项目实际完成数为0个，远未达到计划目标，此项得0分。</w:t>
            </w:r>
          </w:p>
        </w:tc>
      </w:tr>
      <w:tr w14:paraId="0B2E67B4">
        <w:tblPrEx>
          <w:tblCellMar>
            <w:top w:w="0" w:type="dxa"/>
            <w:left w:w="108" w:type="dxa"/>
            <w:bottom w:w="0" w:type="dxa"/>
            <w:right w:w="108" w:type="dxa"/>
          </w:tblCellMar>
        </w:tblPrEx>
        <w:trPr>
          <w:trHeight w:val="224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77490CF1">
            <w:pPr>
              <w:jc w:val="center"/>
              <w:rPr>
                <w:rFonts w:hint="eastAsia" w:ascii="仿宋" w:hAnsi="仿宋" w:eastAsia="仿宋" w:cs="仿宋"/>
                <w:lang w:eastAsia="zh-CN"/>
              </w:rPr>
            </w:pPr>
          </w:p>
        </w:tc>
        <w:tc>
          <w:tcPr>
            <w:tcW w:w="1124" w:type="dxa"/>
            <w:vMerge w:val="restart"/>
            <w:tcBorders>
              <w:top w:val="single" w:color="000000" w:sz="4" w:space="0"/>
              <w:left w:val="single" w:color="000000" w:sz="4" w:space="0"/>
              <w:bottom w:val="single" w:color="000000" w:sz="4" w:space="0"/>
              <w:right w:val="single" w:color="000000" w:sz="4" w:space="0"/>
            </w:tcBorders>
            <w:vAlign w:val="center"/>
          </w:tcPr>
          <w:p w14:paraId="488272C9">
            <w:pPr>
              <w:jc w:val="center"/>
              <w:textAlignment w:val="center"/>
              <w:rPr>
                <w:rFonts w:hint="eastAsia" w:ascii="仿宋" w:hAnsi="仿宋" w:eastAsia="仿宋" w:cs="仿宋"/>
              </w:rPr>
            </w:pPr>
            <w:r>
              <w:rPr>
                <w:rFonts w:hint="eastAsia" w:ascii="仿宋" w:hAnsi="仿宋" w:eastAsia="仿宋" w:cs="仿宋"/>
                <w:lang w:eastAsia="zh-CN" w:bidi="ar"/>
              </w:rPr>
              <w:t>产出质量</w:t>
            </w:r>
            <w:r>
              <w:rPr>
                <w:rFonts w:hint="eastAsia" w:ascii="仿宋" w:hAnsi="仿宋" w:eastAsia="仿宋" w:cs="仿宋"/>
                <w:lang w:eastAsia="zh-CN" w:bidi="ar"/>
              </w:rPr>
              <w:br w:type="textWrapping"/>
            </w:r>
            <w:r>
              <w:rPr>
                <w:rFonts w:hint="eastAsia" w:ascii="仿宋" w:hAnsi="仿宋" w:eastAsia="仿宋" w:cs="仿宋"/>
                <w:lang w:eastAsia="zh-CN" w:bidi="ar"/>
              </w:rPr>
              <w:t>（18分）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4F7A5EF6">
            <w:pPr>
              <w:jc w:val="center"/>
              <w:textAlignment w:val="center"/>
              <w:rPr>
                <w:rFonts w:hint="eastAsia" w:ascii="仿宋" w:hAnsi="仿宋" w:eastAsia="仿宋" w:cs="仿宋"/>
                <w:lang w:eastAsia="zh-CN"/>
              </w:rPr>
            </w:pPr>
            <w:r>
              <w:rPr>
                <w:rFonts w:hint="eastAsia" w:ascii="仿宋" w:hAnsi="仿宋" w:eastAsia="仿宋" w:cs="仿宋"/>
                <w:lang w:eastAsia="zh-CN" w:bidi="ar"/>
              </w:rPr>
              <w:t>纪念烈士讲解员专业队伍建设</w:t>
            </w:r>
          </w:p>
        </w:tc>
        <w:tc>
          <w:tcPr>
            <w:tcW w:w="5120" w:type="dxa"/>
            <w:tcBorders>
              <w:top w:val="single" w:color="000000" w:sz="4" w:space="0"/>
              <w:left w:val="single" w:color="000000" w:sz="4" w:space="0"/>
              <w:bottom w:val="single" w:color="000000" w:sz="4" w:space="0"/>
              <w:right w:val="single" w:color="000000" w:sz="4" w:space="0"/>
            </w:tcBorders>
            <w:vAlign w:val="center"/>
          </w:tcPr>
          <w:p w14:paraId="2499EA52">
            <w:pPr>
              <w:textAlignment w:val="center"/>
              <w:rPr>
                <w:rFonts w:hint="eastAsia" w:ascii="仿宋" w:hAnsi="仿宋" w:eastAsia="仿宋" w:cs="仿宋"/>
                <w:lang w:eastAsia="zh-CN"/>
              </w:rPr>
            </w:pPr>
            <w:r>
              <w:rPr>
                <w:rFonts w:hint="eastAsia" w:ascii="仿宋" w:hAnsi="仿宋" w:eastAsia="仿宋" w:cs="仿宋"/>
                <w:lang w:eastAsia="zh-CN" w:bidi="ar"/>
              </w:rPr>
              <w:t>评价要点：以烈士纪念设施讲解员队伍建设为核心指标，设定四档评分标准：</w:t>
            </w:r>
            <w:r>
              <w:rPr>
                <w:rFonts w:hint="eastAsia" w:ascii="仿宋" w:hAnsi="仿宋" w:eastAsia="仿宋" w:cs="仿宋"/>
                <w:lang w:eastAsia="zh-CN" w:bidi="ar"/>
              </w:rPr>
              <w:br w:type="textWrapping"/>
            </w:r>
            <w:r>
              <w:rPr>
                <w:rFonts w:hint="eastAsia" w:ascii="仿宋" w:hAnsi="仿宋" w:eastAsia="仿宋" w:cs="仿宋"/>
                <w:lang w:eastAsia="zh-CN" w:bidi="ar"/>
              </w:rPr>
              <w:t>①具备专职讲解员且队伍稳定得3分；</w:t>
            </w:r>
            <w:r>
              <w:rPr>
                <w:rFonts w:hint="eastAsia" w:ascii="仿宋" w:hAnsi="仿宋" w:eastAsia="仿宋" w:cs="仿宋"/>
                <w:lang w:eastAsia="zh-CN" w:bidi="ar"/>
              </w:rPr>
              <w:br w:type="textWrapping"/>
            </w:r>
            <w:r>
              <w:rPr>
                <w:rFonts w:hint="eastAsia" w:ascii="仿宋" w:hAnsi="仿宋" w:eastAsia="仿宋" w:cs="仿宋"/>
                <w:lang w:eastAsia="zh-CN" w:bidi="ar"/>
              </w:rPr>
              <w:t>②具备兼职讲解员且队伍较稳定得2分；</w:t>
            </w:r>
            <w:r>
              <w:rPr>
                <w:rFonts w:hint="eastAsia" w:ascii="仿宋" w:hAnsi="仿宋" w:eastAsia="仿宋" w:cs="仿宋"/>
                <w:lang w:eastAsia="zh-CN" w:bidi="ar"/>
              </w:rPr>
              <w:br w:type="textWrapping"/>
            </w:r>
            <w:r>
              <w:rPr>
                <w:rFonts w:hint="eastAsia" w:ascii="仿宋" w:hAnsi="仿宋" w:eastAsia="仿宋" w:cs="仿宋"/>
                <w:lang w:eastAsia="zh-CN" w:bidi="ar"/>
              </w:rPr>
              <w:t>③仅有志愿者讲解员得1分；</w:t>
            </w:r>
            <w:r>
              <w:rPr>
                <w:rFonts w:hint="eastAsia" w:ascii="仿宋" w:hAnsi="仿宋" w:eastAsia="仿宋" w:cs="仿宋"/>
                <w:lang w:eastAsia="zh-CN" w:bidi="ar"/>
              </w:rPr>
              <w:br w:type="textWrapping"/>
            </w:r>
            <w:r>
              <w:rPr>
                <w:rFonts w:hint="eastAsia" w:ascii="仿宋" w:hAnsi="仿宋" w:eastAsia="仿宋" w:cs="仿宋"/>
                <w:lang w:eastAsia="zh-CN" w:bidi="ar"/>
              </w:rPr>
              <w:t>④无讲解员得0分。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FBF154B">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0A0BF5B">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51D9C91E">
            <w:pPr>
              <w:textAlignment w:val="center"/>
              <w:rPr>
                <w:rFonts w:hint="eastAsia" w:ascii="仿宋" w:hAnsi="仿宋" w:eastAsia="仿宋" w:cs="仿宋"/>
                <w:lang w:eastAsia="zh-CN"/>
              </w:rPr>
            </w:pPr>
            <w:r>
              <w:rPr>
                <w:rFonts w:hint="eastAsia" w:ascii="仿宋" w:hAnsi="仿宋" w:eastAsia="仿宋" w:cs="仿宋"/>
                <w:lang w:eastAsia="zh-CN"/>
              </w:rPr>
              <w:t>根据评价组实地走访及石狮市退役军人事务局提供的资料，2024年度石狮市烈士纪念设施讲解员队伍依托学校老师等志愿者开展讲解工作，专业性和稳定性强。根据评分标准，得3分。</w:t>
            </w:r>
          </w:p>
          <w:p w14:paraId="2B05738B">
            <w:pPr>
              <w:textAlignment w:val="center"/>
              <w:rPr>
                <w:rFonts w:hint="eastAsia" w:ascii="仿宋" w:hAnsi="仿宋" w:eastAsia="仿宋" w:cs="仿宋"/>
              </w:rPr>
            </w:pPr>
          </w:p>
        </w:tc>
      </w:tr>
      <w:tr w14:paraId="0C20A041">
        <w:tblPrEx>
          <w:tblCellMar>
            <w:top w:w="0" w:type="dxa"/>
            <w:left w:w="108" w:type="dxa"/>
            <w:bottom w:w="0" w:type="dxa"/>
            <w:right w:w="108" w:type="dxa"/>
          </w:tblCellMar>
        </w:tblPrEx>
        <w:trPr>
          <w:trHeight w:val="170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0E4D0D74">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3D09E34C">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3F61B160">
            <w:pPr>
              <w:jc w:val="center"/>
              <w:textAlignment w:val="center"/>
              <w:rPr>
                <w:rFonts w:hint="eastAsia" w:ascii="仿宋" w:hAnsi="仿宋" w:eastAsia="仿宋" w:cs="仿宋"/>
                <w:lang w:eastAsia="zh-CN"/>
              </w:rPr>
            </w:pPr>
            <w:r>
              <w:rPr>
                <w:rFonts w:hint="eastAsia" w:ascii="仿宋" w:hAnsi="仿宋" w:eastAsia="仿宋" w:cs="仿宋"/>
                <w:lang w:eastAsia="zh-CN" w:bidi="ar"/>
              </w:rPr>
              <w:t>优抚对象补助金发放到位率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21DE96C1">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资金发放到位率主要通过按相关政策标准足额发放补助资金数与应发放补助资金数的对比，考察部门工作开展，落实政策的实现程度。评分标准为到位率100%得3分；每低于10%扣1分，至扣完为止。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34A2CA6">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F9FC187">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2ED06788">
            <w:pPr>
              <w:textAlignment w:val="center"/>
              <w:rPr>
                <w:rFonts w:hint="eastAsia" w:ascii="仿宋" w:hAnsi="仿宋" w:eastAsia="仿宋" w:cs="仿宋"/>
              </w:rPr>
            </w:pPr>
            <w:r>
              <w:rPr>
                <w:rFonts w:hint="eastAsia" w:ascii="仿宋" w:hAnsi="仿宋" w:eastAsia="仿宋" w:cs="仿宋"/>
                <w:lang w:eastAsia="zh-CN" w:bidi="ar"/>
              </w:rPr>
              <w:t>经检查石狮市退役军人事务局的优抚对象补助金相关发放凭证，2024年共发放优抚对象生活补助金1374.5万元，未发现资金未支付现象，资金发放到位率100%。本项得分3分。</w:t>
            </w:r>
          </w:p>
        </w:tc>
      </w:tr>
      <w:tr w14:paraId="6ABA8A2A">
        <w:tblPrEx>
          <w:tblCellMar>
            <w:top w:w="0" w:type="dxa"/>
            <w:left w:w="108" w:type="dxa"/>
            <w:bottom w:w="0" w:type="dxa"/>
            <w:right w:w="108" w:type="dxa"/>
          </w:tblCellMar>
        </w:tblPrEx>
        <w:trPr>
          <w:trHeight w:val="214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5AB09AE7">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44338016">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06C5A29D">
            <w:pPr>
              <w:jc w:val="center"/>
              <w:textAlignment w:val="center"/>
              <w:rPr>
                <w:rFonts w:hint="eastAsia" w:ascii="仿宋" w:hAnsi="仿宋" w:eastAsia="仿宋" w:cs="仿宋"/>
              </w:rPr>
            </w:pPr>
            <w:r>
              <w:rPr>
                <w:rFonts w:hint="eastAsia" w:ascii="仿宋" w:hAnsi="仿宋" w:eastAsia="仿宋" w:cs="仿宋"/>
                <w:lang w:eastAsia="zh-CN" w:bidi="ar"/>
              </w:rPr>
              <w:t>军转干部培训通过率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66FC139C">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军转干部培训通过率≥90%得3分；</w:t>
            </w:r>
            <w:r>
              <w:rPr>
                <w:rFonts w:hint="eastAsia" w:ascii="仿宋" w:hAnsi="仿宋" w:eastAsia="仿宋" w:cs="仿宋"/>
                <w:lang w:eastAsia="zh-CN" w:bidi="ar"/>
              </w:rPr>
              <w:br w:type="textWrapping"/>
            </w:r>
            <w:r>
              <w:rPr>
                <w:rFonts w:hint="eastAsia" w:ascii="仿宋" w:hAnsi="仿宋" w:eastAsia="仿宋" w:cs="仿宋"/>
                <w:lang w:eastAsia="zh-CN" w:bidi="ar"/>
              </w:rPr>
              <w:t>85%≤军转干部培训通过率&lt;90%得2分；</w:t>
            </w:r>
            <w:r>
              <w:rPr>
                <w:rFonts w:hint="eastAsia" w:ascii="仿宋" w:hAnsi="仿宋" w:eastAsia="仿宋" w:cs="仿宋"/>
                <w:lang w:eastAsia="zh-CN" w:bidi="ar"/>
              </w:rPr>
              <w:br w:type="textWrapping"/>
            </w:r>
            <w:r>
              <w:rPr>
                <w:rFonts w:hint="eastAsia" w:ascii="仿宋" w:hAnsi="仿宋" w:eastAsia="仿宋" w:cs="仿宋"/>
                <w:lang w:eastAsia="zh-CN" w:bidi="ar"/>
              </w:rPr>
              <w:t>80%≤军转干部培训通过率&lt;85%得1分；</w:t>
            </w:r>
            <w:r>
              <w:rPr>
                <w:rFonts w:hint="eastAsia" w:ascii="仿宋" w:hAnsi="仿宋" w:eastAsia="仿宋" w:cs="仿宋"/>
                <w:lang w:eastAsia="zh-CN" w:bidi="ar"/>
              </w:rPr>
              <w:br w:type="textWrapping"/>
            </w:r>
            <w:r>
              <w:rPr>
                <w:rFonts w:hint="eastAsia" w:ascii="仿宋" w:hAnsi="仿宋" w:eastAsia="仿宋" w:cs="仿宋"/>
                <w:lang w:eastAsia="zh-CN" w:bidi="ar"/>
              </w:rPr>
              <w:t>军转干部培训通过率&lt;80%得0分。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F8938D0">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E55680A">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2D8537CD">
            <w:pPr>
              <w:textAlignment w:val="center"/>
              <w:rPr>
                <w:rFonts w:hint="eastAsia" w:ascii="仿宋" w:hAnsi="仿宋" w:eastAsia="仿宋" w:cs="仿宋"/>
                <w:lang w:eastAsia="zh-CN"/>
              </w:rPr>
            </w:pPr>
            <w:r>
              <w:rPr>
                <w:rFonts w:hint="eastAsia" w:ascii="仿宋" w:hAnsi="仿宋" w:eastAsia="仿宋" w:cs="仿宋"/>
                <w:lang w:eastAsia="zh-CN" w:bidi="ar"/>
              </w:rPr>
              <w:t>2024年度，石狮市组织2844余名服务保障体系工作人员分11期在海洋职业学院开展培训，邀请福建省内及部分兄弟省市退役军人事务系统资深培训师授课，并严格实施结业考核。经统计，参训人员考试合格率达97.9%，远超90%的满分标准，此项得分3分。</w:t>
            </w:r>
          </w:p>
        </w:tc>
      </w:tr>
      <w:tr w14:paraId="462B703A">
        <w:tblPrEx>
          <w:tblCellMar>
            <w:top w:w="0" w:type="dxa"/>
            <w:left w:w="108" w:type="dxa"/>
            <w:bottom w:w="0" w:type="dxa"/>
            <w:right w:w="108" w:type="dxa"/>
          </w:tblCellMar>
        </w:tblPrEx>
        <w:trPr>
          <w:trHeight w:val="180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11534D2B">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43C43147">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58A355A5">
            <w:pPr>
              <w:jc w:val="center"/>
              <w:textAlignment w:val="center"/>
              <w:rPr>
                <w:rFonts w:hint="eastAsia" w:ascii="仿宋" w:hAnsi="仿宋" w:eastAsia="仿宋" w:cs="仿宋"/>
                <w:lang w:eastAsia="zh-CN"/>
              </w:rPr>
            </w:pPr>
            <w:r>
              <w:rPr>
                <w:rFonts w:hint="eastAsia" w:ascii="仿宋" w:hAnsi="仿宋" w:eastAsia="仿宋" w:cs="仿宋"/>
                <w:lang w:eastAsia="zh-CN" w:bidi="ar"/>
              </w:rPr>
              <w:t>光荣牌台账管理规范性</w:t>
            </w:r>
          </w:p>
        </w:tc>
        <w:tc>
          <w:tcPr>
            <w:tcW w:w="5120" w:type="dxa"/>
            <w:tcBorders>
              <w:top w:val="single" w:color="000000" w:sz="4" w:space="0"/>
              <w:left w:val="single" w:color="000000" w:sz="4" w:space="0"/>
              <w:bottom w:val="single" w:color="000000" w:sz="4" w:space="0"/>
              <w:right w:val="single" w:color="000000" w:sz="4" w:space="0"/>
            </w:tcBorders>
            <w:vAlign w:val="center"/>
          </w:tcPr>
          <w:p w14:paraId="0D198784">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①是否建立光荣牌管理制度；</w:t>
            </w:r>
            <w:r>
              <w:rPr>
                <w:rFonts w:hint="eastAsia" w:ascii="仿宋" w:hAnsi="仿宋" w:eastAsia="仿宋" w:cs="仿宋"/>
                <w:lang w:eastAsia="zh-CN" w:bidi="ar"/>
              </w:rPr>
              <w:br w:type="textWrapping"/>
            </w:r>
            <w:r>
              <w:rPr>
                <w:rFonts w:hint="eastAsia" w:ascii="仿宋" w:hAnsi="仿宋" w:eastAsia="仿宋" w:cs="仿宋"/>
                <w:lang w:eastAsia="zh-CN" w:bidi="ar"/>
              </w:rPr>
              <w:t>②是否具备光荣牌台账；</w:t>
            </w:r>
            <w:r>
              <w:rPr>
                <w:rFonts w:hint="eastAsia" w:ascii="仿宋" w:hAnsi="仿宋" w:eastAsia="仿宋" w:cs="仿宋"/>
                <w:lang w:eastAsia="zh-CN" w:bidi="ar"/>
              </w:rPr>
              <w:br w:type="textWrapping"/>
            </w:r>
            <w:r>
              <w:rPr>
                <w:rFonts w:hint="eastAsia" w:ascii="仿宋" w:hAnsi="仿宋" w:eastAsia="仿宋" w:cs="仿宋"/>
                <w:lang w:eastAsia="zh-CN" w:bidi="ar"/>
              </w:rPr>
              <w:t>③光荣牌台账记录是否规范，内容是否完整。</w:t>
            </w:r>
            <w:r>
              <w:rPr>
                <w:rFonts w:hint="eastAsia" w:ascii="仿宋" w:hAnsi="仿宋" w:eastAsia="仿宋" w:cs="仿宋"/>
                <w:lang w:eastAsia="zh-CN" w:bidi="ar"/>
              </w:rPr>
              <w:br w:type="textWrapping"/>
            </w:r>
            <w:r>
              <w:rPr>
                <w:rFonts w:hint="eastAsia" w:ascii="仿宋" w:hAnsi="仿宋" w:eastAsia="仿宋" w:cs="仿宋"/>
                <w:lang w:eastAsia="zh-CN" w:bidi="ar"/>
              </w:rPr>
              <w:t>一项不符扣1分，扣完为止。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7708E00">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4044E93">
            <w:pPr>
              <w:jc w:val="center"/>
              <w:textAlignment w:val="center"/>
              <w:rPr>
                <w:rFonts w:hint="eastAsia" w:ascii="仿宋" w:hAnsi="仿宋" w:eastAsia="仿宋" w:cs="仿宋"/>
              </w:rPr>
            </w:pPr>
            <w:r>
              <w:rPr>
                <w:rFonts w:hint="eastAsia" w:ascii="仿宋" w:hAnsi="仿宋" w:eastAsia="仿宋" w:cs="仿宋"/>
                <w:lang w:eastAsia="zh-CN" w:bidi="ar"/>
              </w:rPr>
              <w:t>2</w:t>
            </w:r>
          </w:p>
        </w:tc>
        <w:tc>
          <w:tcPr>
            <w:tcW w:w="4987" w:type="dxa"/>
            <w:tcBorders>
              <w:top w:val="single" w:color="000000" w:sz="4" w:space="0"/>
              <w:left w:val="single" w:color="000000" w:sz="4" w:space="0"/>
              <w:bottom w:val="single" w:color="000000" w:sz="4" w:space="0"/>
              <w:right w:val="single" w:color="000000" w:sz="4" w:space="0"/>
            </w:tcBorders>
            <w:vAlign w:val="center"/>
          </w:tcPr>
          <w:p w14:paraId="54471632">
            <w:pPr>
              <w:textAlignment w:val="center"/>
              <w:rPr>
                <w:rFonts w:hint="eastAsia" w:ascii="仿宋" w:hAnsi="仿宋" w:eastAsia="仿宋" w:cs="仿宋"/>
                <w:lang w:eastAsia="zh-CN"/>
              </w:rPr>
            </w:pPr>
            <w:r>
              <w:rPr>
                <w:rFonts w:hint="eastAsia" w:ascii="仿宋" w:hAnsi="仿宋" w:eastAsia="仿宋" w:cs="仿宋"/>
                <w:lang w:eastAsia="zh-CN" w:bidi="ar"/>
              </w:rPr>
              <w:t>根据光荣牌管理设置三项核心指标，经检查，光荣牌台账存在不规范问题，具体表现为被登记光荣牌的身份证信息多处重复、地址张冠李戴，与实际情况不符。根据评分标准，一项不符扣1分，此项扣1分，得分2分。</w:t>
            </w:r>
          </w:p>
        </w:tc>
      </w:tr>
      <w:tr w14:paraId="5C4D29A3">
        <w:tblPrEx>
          <w:tblCellMar>
            <w:top w:w="0" w:type="dxa"/>
            <w:left w:w="108" w:type="dxa"/>
            <w:bottom w:w="0" w:type="dxa"/>
            <w:right w:w="108" w:type="dxa"/>
          </w:tblCellMar>
        </w:tblPrEx>
        <w:trPr>
          <w:trHeight w:val="150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0B7D48C6">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605D9664">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015F5898">
            <w:pPr>
              <w:jc w:val="center"/>
              <w:textAlignment w:val="center"/>
              <w:rPr>
                <w:rFonts w:hint="eastAsia" w:ascii="仿宋" w:hAnsi="仿宋" w:eastAsia="仿宋" w:cs="仿宋"/>
              </w:rPr>
            </w:pPr>
            <w:r>
              <w:rPr>
                <w:rFonts w:hint="eastAsia" w:ascii="仿宋" w:hAnsi="仿宋" w:eastAsia="仿宋" w:cs="仿宋"/>
                <w:lang w:eastAsia="zh-CN" w:bidi="ar"/>
              </w:rPr>
              <w:t>2024年度绩效考评结果</w:t>
            </w:r>
          </w:p>
        </w:tc>
        <w:tc>
          <w:tcPr>
            <w:tcW w:w="5120" w:type="dxa"/>
            <w:tcBorders>
              <w:top w:val="single" w:color="000000" w:sz="4" w:space="0"/>
              <w:left w:val="single" w:color="000000" w:sz="4" w:space="0"/>
              <w:bottom w:val="single" w:color="000000" w:sz="4" w:space="0"/>
              <w:right w:val="single" w:color="000000" w:sz="4" w:space="0"/>
            </w:tcBorders>
            <w:vAlign w:val="center"/>
          </w:tcPr>
          <w:p w14:paraId="41D65FAA">
            <w:pPr>
              <w:textAlignment w:val="center"/>
              <w:rPr>
                <w:rFonts w:hint="eastAsia" w:ascii="仿宋" w:hAnsi="仿宋" w:eastAsia="仿宋" w:cs="仿宋"/>
                <w:lang w:eastAsia="zh-CN"/>
              </w:rPr>
            </w:pPr>
            <w:r>
              <w:rPr>
                <w:rFonts w:hint="eastAsia" w:ascii="仿宋" w:hAnsi="仿宋" w:eastAsia="仿宋" w:cs="仿宋"/>
                <w:lang w:eastAsia="zh-CN" w:bidi="ar"/>
              </w:rPr>
              <w:t>评价要点：按照《2024年度石狮市绩效管理工作方案》（狮委办〔2024〕36号）要求，获得优秀等次得分3分；良好等次得分2分，合格等次得分1分。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820C92F">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CD2FFDD">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45AEC1CA">
            <w:pPr>
              <w:textAlignment w:val="center"/>
              <w:rPr>
                <w:rFonts w:hint="eastAsia" w:ascii="仿宋" w:hAnsi="仿宋" w:eastAsia="仿宋" w:cs="仿宋"/>
                <w:lang w:eastAsia="zh-CN"/>
              </w:rPr>
            </w:pPr>
            <w:r>
              <w:rPr>
                <w:rFonts w:hint="eastAsia" w:ascii="仿宋" w:hAnsi="仿宋" w:eastAsia="仿宋" w:cs="仿宋"/>
                <w:lang w:eastAsia="zh-CN" w:bidi="ar"/>
              </w:rPr>
              <w:t>根据《石狮市机关效能建设领导小组关于2024年度全市绩效考评结果的通报》（狮效〔2025〕1号），石狮市退役军人事务局获得第二系列，即市政府工作部门优秀等次，得分3分。</w:t>
            </w:r>
          </w:p>
        </w:tc>
      </w:tr>
      <w:tr w14:paraId="62401E69">
        <w:tblPrEx>
          <w:tblCellMar>
            <w:top w:w="0" w:type="dxa"/>
            <w:left w:w="108" w:type="dxa"/>
            <w:bottom w:w="0" w:type="dxa"/>
            <w:right w:w="108" w:type="dxa"/>
          </w:tblCellMar>
        </w:tblPrEx>
        <w:trPr>
          <w:trHeight w:val="174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17434874">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0B3F55BF">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7C93E6E">
            <w:pPr>
              <w:jc w:val="center"/>
              <w:textAlignment w:val="center"/>
              <w:rPr>
                <w:rFonts w:hint="eastAsia" w:ascii="仿宋" w:hAnsi="仿宋" w:eastAsia="仿宋" w:cs="仿宋"/>
              </w:rPr>
            </w:pPr>
            <w:r>
              <w:rPr>
                <w:rFonts w:hint="eastAsia" w:ascii="仿宋" w:hAnsi="仿宋" w:eastAsia="仿宋" w:cs="仿宋"/>
                <w:lang w:eastAsia="zh-CN" w:bidi="ar"/>
              </w:rPr>
              <w:t>退役士兵安置率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1E6CC4B9">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主要通过年度退役士兵安置数与应安置数的对比，完成退役士兵安置的实现程度。安置率100%得3分；每低于10%扣1分，直至扣完为止。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DC3C0FA">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9CF1381">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482C3027">
            <w:pPr>
              <w:textAlignment w:val="center"/>
              <w:rPr>
                <w:rFonts w:hint="eastAsia" w:ascii="仿宋" w:hAnsi="仿宋" w:eastAsia="仿宋" w:cs="仿宋"/>
              </w:rPr>
            </w:pPr>
            <w:r>
              <w:rPr>
                <w:rFonts w:hint="eastAsia" w:ascii="仿宋" w:hAnsi="仿宋" w:eastAsia="仿宋" w:cs="仿宋"/>
                <w:lang w:eastAsia="zh-CN" w:bidi="ar"/>
              </w:rPr>
              <w:t>因项目单位明确安置名单不方便提供，经现场查阅，2024年以来，接收军队转业干部6名，接收符合政府安排工作退役士兵12名。转业军官100%安置进公务员（含参公）队伍，符合政府安排工作退役士兵100%安置进事业单位和国有企业的要求。本项得分3分。</w:t>
            </w:r>
          </w:p>
        </w:tc>
      </w:tr>
      <w:tr w14:paraId="545BA142">
        <w:tblPrEx>
          <w:tblCellMar>
            <w:top w:w="0" w:type="dxa"/>
            <w:left w:w="108" w:type="dxa"/>
            <w:bottom w:w="0" w:type="dxa"/>
            <w:right w:w="108" w:type="dxa"/>
          </w:tblCellMar>
        </w:tblPrEx>
        <w:trPr>
          <w:trHeight w:val="377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50DB7E9B">
            <w:pPr>
              <w:jc w:val="center"/>
              <w:rPr>
                <w:rFonts w:hint="eastAsia" w:ascii="仿宋" w:hAnsi="仿宋" w:eastAsia="仿宋" w:cs="仿宋"/>
              </w:rPr>
            </w:pPr>
          </w:p>
        </w:tc>
        <w:tc>
          <w:tcPr>
            <w:tcW w:w="1124" w:type="dxa"/>
            <w:tcBorders>
              <w:top w:val="single" w:color="000000" w:sz="4" w:space="0"/>
              <w:left w:val="single" w:color="000000" w:sz="4" w:space="0"/>
              <w:bottom w:val="single" w:color="000000" w:sz="4" w:space="0"/>
              <w:right w:val="single" w:color="000000" w:sz="4" w:space="0"/>
            </w:tcBorders>
            <w:vAlign w:val="center"/>
          </w:tcPr>
          <w:p w14:paraId="0F94DFB2">
            <w:pPr>
              <w:jc w:val="center"/>
              <w:textAlignment w:val="center"/>
              <w:rPr>
                <w:rFonts w:hint="eastAsia" w:ascii="仿宋" w:hAnsi="仿宋" w:eastAsia="仿宋" w:cs="仿宋"/>
              </w:rPr>
            </w:pPr>
            <w:r>
              <w:rPr>
                <w:rFonts w:hint="eastAsia" w:ascii="仿宋" w:hAnsi="仿宋" w:eastAsia="仿宋" w:cs="仿宋"/>
                <w:lang w:eastAsia="zh-CN" w:bidi="ar"/>
              </w:rPr>
              <w:t>产出时效</w:t>
            </w:r>
            <w:r>
              <w:rPr>
                <w:rFonts w:hint="eastAsia" w:ascii="仿宋" w:hAnsi="仿宋" w:eastAsia="仿宋" w:cs="仿宋"/>
                <w:lang w:eastAsia="zh-CN" w:bidi="ar"/>
              </w:rPr>
              <w:br w:type="textWrapping"/>
            </w:r>
            <w:r>
              <w:rPr>
                <w:rFonts w:hint="eastAsia" w:ascii="仿宋" w:hAnsi="仿宋" w:eastAsia="仿宋" w:cs="仿宋"/>
                <w:lang w:eastAsia="zh-CN" w:bidi="ar"/>
              </w:rPr>
              <w:t>（3分）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5D566BE8">
            <w:pPr>
              <w:jc w:val="center"/>
              <w:textAlignment w:val="center"/>
              <w:rPr>
                <w:rFonts w:hint="eastAsia" w:ascii="仿宋" w:hAnsi="仿宋" w:eastAsia="仿宋" w:cs="仿宋"/>
              </w:rPr>
            </w:pPr>
            <w:r>
              <w:rPr>
                <w:rFonts w:hint="eastAsia" w:ascii="仿宋" w:hAnsi="仿宋" w:eastAsia="仿宋" w:cs="仿宋"/>
                <w:lang w:eastAsia="zh-CN" w:bidi="ar"/>
              </w:rPr>
              <w:t>专项资金支付及时率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57767E9E">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在一年的考核周期内，专项资金的支付及时率。支付及时率 =（实际及时支付的资金总额÷应支付的资金总额）× 100%</w:t>
            </w:r>
            <w:r>
              <w:rPr>
                <w:rFonts w:hint="eastAsia" w:ascii="仿宋" w:hAnsi="仿宋" w:eastAsia="仿宋" w:cs="仿宋"/>
                <w:lang w:eastAsia="zh-CN" w:bidi="ar"/>
              </w:rPr>
              <w:br w:type="textWrapping"/>
            </w:r>
            <w:r>
              <w:rPr>
                <w:rFonts w:hint="eastAsia" w:ascii="仿宋" w:hAnsi="仿宋" w:eastAsia="仿宋" w:cs="仿宋"/>
                <w:lang w:eastAsia="zh-CN" w:bidi="ar"/>
              </w:rPr>
              <w:t>其中，实际及时支付的资金总额指在规定时间内完成支付的资金数额；应支付的资金总额指根据项目合同和进度安排，在该考核周期内需要支付的资金总额。</w:t>
            </w:r>
            <w:r>
              <w:rPr>
                <w:rFonts w:hint="eastAsia" w:ascii="仿宋" w:hAnsi="仿宋" w:eastAsia="仿宋" w:cs="仿宋"/>
                <w:lang w:eastAsia="zh-CN" w:bidi="ar"/>
              </w:rPr>
              <w:br w:type="textWrapping"/>
            </w:r>
            <w:r>
              <w:rPr>
                <w:rFonts w:hint="eastAsia" w:ascii="仿宋" w:hAnsi="仿宋" w:eastAsia="仿宋" w:cs="仿宋"/>
                <w:lang w:eastAsia="zh-CN" w:bidi="ar"/>
              </w:rPr>
              <w:t>支付及时率100%（3分）；</w:t>
            </w:r>
            <w:r>
              <w:rPr>
                <w:rFonts w:hint="eastAsia" w:ascii="仿宋" w:hAnsi="仿宋" w:eastAsia="仿宋" w:cs="仿宋"/>
                <w:lang w:eastAsia="zh-CN" w:bidi="ar"/>
              </w:rPr>
              <w:br w:type="textWrapping"/>
            </w:r>
            <w:r>
              <w:rPr>
                <w:rFonts w:hint="eastAsia" w:ascii="仿宋" w:hAnsi="仿宋" w:eastAsia="仿宋" w:cs="仿宋"/>
                <w:lang w:eastAsia="zh-CN" w:bidi="ar"/>
              </w:rPr>
              <w:t>90%≤支付及时率&lt;100%（2分）；</w:t>
            </w:r>
            <w:r>
              <w:rPr>
                <w:rFonts w:hint="eastAsia" w:ascii="仿宋" w:hAnsi="仿宋" w:eastAsia="仿宋" w:cs="仿宋"/>
                <w:lang w:eastAsia="zh-CN" w:bidi="ar"/>
              </w:rPr>
              <w:br w:type="textWrapping"/>
            </w:r>
            <w:r>
              <w:rPr>
                <w:rFonts w:hint="eastAsia" w:ascii="仿宋" w:hAnsi="仿宋" w:eastAsia="仿宋" w:cs="仿宋"/>
                <w:lang w:eastAsia="zh-CN" w:bidi="ar"/>
              </w:rPr>
              <w:t>80%≤支付及时率&lt;90%（1分）；</w:t>
            </w:r>
            <w:r>
              <w:rPr>
                <w:rFonts w:hint="eastAsia" w:ascii="仿宋" w:hAnsi="仿宋" w:eastAsia="仿宋" w:cs="仿宋"/>
                <w:lang w:eastAsia="zh-CN" w:bidi="ar"/>
              </w:rPr>
              <w:br w:type="textWrapping"/>
            </w:r>
            <w:r>
              <w:rPr>
                <w:rFonts w:hint="eastAsia" w:ascii="仿宋" w:hAnsi="仿宋" w:eastAsia="仿宋" w:cs="仿宋"/>
                <w:lang w:eastAsia="zh-CN" w:bidi="ar"/>
              </w:rPr>
              <w:t>支付及时率&lt;70%（0分）。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7E45D58">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EDDF308">
            <w:pPr>
              <w:jc w:val="center"/>
              <w:textAlignment w:val="center"/>
              <w:rPr>
                <w:rFonts w:hint="eastAsia" w:ascii="仿宋" w:hAnsi="仿宋" w:eastAsia="仿宋" w:cs="仿宋"/>
              </w:rPr>
            </w:pPr>
            <w:r>
              <w:rPr>
                <w:rFonts w:hint="eastAsia" w:ascii="仿宋" w:hAnsi="仿宋" w:eastAsia="仿宋" w:cs="仿宋"/>
                <w:lang w:eastAsia="zh-CN" w:bidi="ar"/>
              </w:rPr>
              <w:t>1</w:t>
            </w:r>
          </w:p>
        </w:tc>
        <w:tc>
          <w:tcPr>
            <w:tcW w:w="4987" w:type="dxa"/>
            <w:tcBorders>
              <w:top w:val="single" w:color="000000" w:sz="4" w:space="0"/>
              <w:left w:val="single" w:color="000000" w:sz="4" w:space="0"/>
              <w:bottom w:val="single" w:color="000000" w:sz="4" w:space="0"/>
              <w:right w:val="single" w:color="000000" w:sz="4" w:space="0"/>
            </w:tcBorders>
            <w:vAlign w:val="center"/>
          </w:tcPr>
          <w:p w14:paraId="73C12955">
            <w:pPr>
              <w:textAlignment w:val="center"/>
              <w:rPr>
                <w:rFonts w:hint="eastAsia" w:ascii="仿宋" w:hAnsi="仿宋" w:eastAsia="仿宋" w:cs="仿宋"/>
                <w:lang w:eastAsia="zh-CN"/>
              </w:rPr>
            </w:pPr>
            <w:r>
              <w:rPr>
                <w:rFonts w:hint="eastAsia" w:ascii="仿宋" w:hAnsi="仿宋" w:eastAsia="仿宋" w:cs="仿宋"/>
                <w:lang w:eastAsia="zh-CN" w:bidi="ar"/>
              </w:rPr>
              <w:t>截至2024年12月，石狮市退役军人事务局存在多笔专项资金支付及时率低的问题，具体涉及：无军籍退休人员省级补助4.32万元（全额未支付）、退役军人服务中心（站）市级补助经费3万元（因2024年未做资产预算，采购空调款项全额未支付）、优抚对象医疗补助34.42万元（因重点对象医疗报销规定未出台，未支付25.69万元）、拥军优属65万元（全额未支付）。由于多项专项资金使用率低，根据考核标准，此项扣2分，得分1分。</w:t>
            </w:r>
          </w:p>
        </w:tc>
      </w:tr>
      <w:tr w14:paraId="0CD1D521">
        <w:tblPrEx>
          <w:tblCellMar>
            <w:top w:w="0" w:type="dxa"/>
            <w:left w:w="108" w:type="dxa"/>
            <w:bottom w:w="0" w:type="dxa"/>
            <w:right w:w="108" w:type="dxa"/>
          </w:tblCellMar>
        </w:tblPrEx>
        <w:trPr>
          <w:trHeight w:val="1620" w:hRule="atLeast"/>
        </w:trPr>
        <w:tc>
          <w:tcPr>
            <w:tcW w:w="1386" w:type="dxa"/>
            <w:vMerge w:val="continue"/>
            <w:tcBorders>
              <w:top w:val="single" w:color="000000" w:sz="4" w:space="0"/>
              <w:left w:val="single" w:color="000000" w:sz="4" w:space="0"/>
              <w:bottom w:val="single" w:color="000000" w:sz="4" w:space="0"/>
              <w:right w:val="single" w:color="000000" w:sz="4" w:space="0"/>
            </w:tcBorders>
            <w:noWrap/>
            <w:vAlign w:val="center"/>
          </w:tcPr>
          <w:p w14:paraId="5A4632B9">
            <w:pPr>
              <w:jc w:val="center"/>
              <w:rPr>
                <w:rFonts w:hint="eastAsia" w:ascii="仿宋" w:hAnsi="仿宋" w:eastAsia="仿宋" w:cs="仿宋"/>
                <w:lang w:eastAsia="zh-CN"/>
              </w:rPr>
            </w:pPr>
          </w:p>
        </w:tc>
        <w:tc>
          <w:tcPr>
            <w:tcW w:w="1124" w:type="dxa"/>
            <w:tcBorders>
              <w:top w:val="single" w:color="000000" w:sz="4" w:space="0"/>
              <w:left w:val="single" w:color="000000" w:sz="4" w:space="0"/>
              <w:bottom w:val="single" w:color="000000" w:sz="4" w:space="0"/>
              <w:right w:val="single" w:color="000000" w:sz="4" w:space="0"/>
            </w:tcBorders>
            <w:vAlign w:val="center"/>
          </w:tcPr>
          <w:p w14:paraId="5214C390">
            <w:pPr>
              <w:jc w:val="center"/>
              <w:textAlignment w:val="center"/>
              <w:rPr>
                <w:rFonts w:hint="eastAsia" w:ascii="仿宋" w:hAnsi="仿宋" w:eastAsia="仿宋" w:cs="仿宋"/>
              </w:rPr>
            </w:pPr>
            <w:r>
              <w:rPr>
                <w:rFonts w:hint="eastAsia" w:ascii="仿宋" w:hAnsi="仿宋" w:eastAsia="仿宋" w:cs="仿宋"/>
                <w:lang w:eastAsia="zh-CN" w:bidi="ar"/>
              </w:rPr>
              <w:t>产出成本</w:t>
            </w:r>
            <w:r>
              <w:rPr>
                <w:rFonts w:hint="eastAsia" w:ascii="仿宋" w:hAnsi="仿宋" w:eastAsia="仿宋" w:cs="仿宋"/>
                <w:lang w:eastAsia="zh-CN" w:bidi="ar"/>
              </w:rPr>
              <w:br w:type="textWrapping"/>
            </w:r>
            <w:r>
              <w:rPr>
                <w:rFonts w:hint="eastAsia" w:ascii="仿宋" w:hAnsi="仿宋" w:eastAsia="仿宋" w:cs="仿宋"/>
                <w:lang w:eastAsia="zh-CN" w:bidi="ar"/>
              </w:rPr>
              <w:t>（3分）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019F5BC9">
            <w:pPr>
              <w:jc w:val="center"/>
              <w:textAlignment w:val="center"/>
              <w:rPr>
                <w:rFonts w:hint="eastAsia" w:ascii="仿宋" w:hAnsi="仿宋" w:eastAsia="仿宋" w:cs="仿宋"/>
              </w:rPr>
            </w:pPr>
            <w:r>
              <w:rPr>
                <w:rFonts w:hint="eastAsia" w:ascii="仿宋" w:hAnsi="仿宋" w:eastAsia="仿宋" w:cs="仿宋"/>
                <w:lang w:eastAsia="zh-CN" w:bidi="ar"/>
              </w:rPr>
              <w:t>成本控制率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5990D3C8">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成本控制率=截至年末累计支出数/概算或当年度预算×100%。</w:t>
            </w:r>
            <w:r>
              <w:rPr>
                <w:rFonts w:hint="eastAsia" w:ascii="仿宋" w:hAnsi="仿宋" w:eastAsia="仿宋" w:cs="仿宋"/>
                <w:lang w:eastAsia="zh-CN" w:bidi="ar"/>
              </w:rPr>
              <w:br w:type="textWrapping"/>
            </w:r>
            <w:r>
              <w:rPr>
                <w:rFonts w:hint="eastAsia" w:ascii="仿宋" w:hAnsi="仿宋" w:eastAsia="仿宋" w:cs="仿宋"/>
                <w:lang w:eastAsia="zh-CN" w:bidi="ar"/>
              </w:rPr>
              <w:t>成本控制率≦100得满分，每超10%扣1分，扣完为止。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4198E7A">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37BB611">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3C045230">
            <w:pPr>
              <w:textAlignment w:val="center"/>
              <w:rPr>
                <w:rFonts w:hint="eastAsia" w:ascii="仿宋" w:hAnsi="仿宋" w:eastAsia="仿宋" w:cs="仿宋"/>
                <w:lang w:eastAsia="zh-CN"/>
              </w:rPr>
            </w:pPr>
            <w:r>
              <w:rPr>
                <w:rFonts w:hint="eastAsia" w:ascii="仿宋" w:hAnsi="仿宋" w:eastAsia="仿宋" w:cs="仿宋"/>
                <w:lang w:eastAsia="zh-CN" w:bidi="ar"/>
              </w:rPr>
              <w:t>石狮市退役军人事务局提供的2024年决算报表的收入支出决算总表，成本控制率=截至年末累计支出数/概算或当年度预算×100%=（4677.95/4749.66）×100%=98%，根据评分标准，本项得分3分。</w:t>
            </w:r>
          </w:p>
        </w:tc>
      </w:tr>
      <w:tr w14:paraId="45302D9D">
        <w:tblPrEx>
          <w:tblCellMar>
            <w:top w:w="0" w:type="dxa"/>
            <w:left w:w="108" w:type="dxa"/>
            <w:bottom w:w="0" w:type="dxa"/>
            <w:right w:w="108" w:type="dxa"/>
          </w:tblCellMar>
        </w:tblPrEx>
        <w:trPr>
          <w:trHeight w:val="2920" w:hRule="atLeast"/>
        </w:trPr>
        <w:tc>
          <w:tcPr>
            <w:tcW w:w="1386" w:type="dxa"/>
            <w:vMerge w:val="restart"/>
            <w:tcBorders>
              <w:top w:val="single" w:color="000000" w:sz="4" w:space="0"/>
              <w:left w:val="single" w:color="000000" w:sz="4" w:space="0"/>
              <w:bottom w:val="single" w:color="000000" w:sz="4" w:space="0"/>
              <w:right w:val="single" w:color="000000" w:sz="4" w:space="0"/>
            </w:tcBorders>
            <w:vAlign w:val="center"/>
          </w:tcPr>
          <w:p w14:paraId="68EA16B9">
            <w:pPr>
              <w:jc w:val="center"/>
              <w:textAlignment w:val="center"/>
              <w:rPr>
                <w:rFonts w:hint="eastAsia" w:ascii="仿宋" w:hAnsi="仿宋" w:eastAsia="仿宋" w:cs="仿宋"/>
              </w:rPr>
            </w:pPr>
            <w:r>
              <w:rPr>
                <w:rFonts w:hint="eastAsia" w:ascii="仿宋" w:hAnsi="仿宋" w:eastAsia="仿宋" w:cs="仿宋"/>
                <w:lang w:eastAsia="zh-CN" w:bidi="ar"/>
              </w:rPr>
              <w:t>效益</w:t>
            </w:r>
            <w:r>
              <w:rPr>
                <w:rFonts w:hint="eastAsia" w:ascii="仿宋" w:hAnsi="仿宋" w:eastAsia="仿宋" w:cs="仿宋"/>
                <w:lang w:eastAsia="zh-CN" w:bidi="ar"/>
              </w:rPr>
              <w:br w:type="textWrapping"/>
            </w:r>
            <w:r>
              <w:rPr>
                <w:rFonts w:hint="eastAsia" w:ascii="仿宋" w:hAnsi="仿宋" w:eastAsia="仿宋" w:cs="仿宋"/>
                <w:lang w:eastAsia="zh-CN" w:bidi="ar"/>
              </w:rPr>
              <w:t>（24分）</w:t>
            </w:r>
          </w:p>
        </w:tc>
        <w:tc>
          <w:tcPr>
            <w:tcW w:w="1124" w:type="dxa"/>
            <w:vMerge w:val="restart"/>
            <w:tcBorders>
              <w:top w:val="single" w:color="000000" w:sz="4" w:space="0"/>
              <w:left w:val="single" w:color="000000" w:sz="4" w:space="0"/>
              <w:bottom w:val="nil"/>
              <w:right w:val="single" w:color="000000" w:sz="4" w:space="0"/>
            </w:tcBorders>
            <w:vAlign w:val="center"/>
          </w:tcPr>
          <w:p w14:paraId="777698D6">
            <w:pPr>
              <w:jc w:val="center"/>
              <w:textAlignment w:val="center"/>
              <w:rPr>
                <w:rFonts w:hint="eastAsia" w:ascii="仿宋" w:hAnsi="仿宋" w:eastAsia="仿宋" w:cs="仿宋"/>
              </w:rPr>
            </w:pPr>
            <w:r>
              <w:rPr>
                <w:rFonts w:hint="eastAsia" w:ascii="仿宋" w:hAnsi="仿宋" w:eastAsia="仿宋" w:cs="仿宋"/>
                <w:lang w:eastAsia="zh-CN" w:bidi="ar"/>
              </w:rPr>
              <w:t>社会效益</w:t>
            </w:r>
            <w:r>
              <w:rPr>
                <w:rFonts w:hint="eastAsia" w:ascii="仿宋" w:hAnsi="仿宋" w:eastAsia="仿宋" w:cs="仿宋"/>
                <w:lang w:eastAsia="zh-CN" w:bidi="ar"/>
              </w:rPr>
              <w:br w:type="textWrapping"/>
            </w:r>
            <w:r>
              <w:rPr>
                <w:rFonts w:hint="eastAsia" w:ascii="仿宋" w:hAnsi="仿宋" w:eastAsia="仿宋" w:cs="仿宋"/>
                <w:lang w:eastAsia="zh-CN" w:bidi="ar"/>
              </w:rPr>
              <w:t>（12分）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1BD23D95">
            <w:pPr>
              <w:jc w:val="center"/>
              <w:textAlignment w:val="center"/>
              <w:rPr>
                <w:rFonts w:hint="eastAsia" w:ascii="仿宋" w:hAnsi="仿宋" w:eastAsia="仿宋" w:cs="仿宋"/>
              </w:rPr>
            </w:pPr>
            <w:r>
              <w:rPr>
                <w:rFonts w:hint="eastAsia" w:ascii="仿宋" w:hAnsi="仿宋" w:eastAsia="仿宋" w:cs="仿宋"/>
                <w:lang w:eastAsia="zh-CN" w:bidi="ar"/>
              </w:rPr>
              <w:t>双拥标识标语建设</w:t>
            </w:r>
          </w:p>
        </w:tc>
        <w:tc>
          <w:tcPr>
            <w:tcW w:w="5120" w:type="dxa"/>
            <w:tcBorders>
              <w:top w:val="single" w:color="000000" w:sz="4" w:space="0"/>
              <w:left w:val="single" w:color="000000" w:sz="4" w:space="0"/>
              <w:bottom w:val="single" w:color="000000" w:sz="4" w:space="0"/>
              <w:right w:val="single" w:color="000000" w:sz="4" w:space="0"/>
            </w:tcBorders>
            <w:vAlign w:val="center"/>
          </w:tcPr>
          <w:p w14:paraId="6B915012">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①永久性双拥标识：是否在城市主干道、公园、广场等显著区域设置永久性双拥标识，且设计规范、维护良好。</w:t>
            </w:r>
            <w:r>
              <w:rPr>
                <w:rFonts w:hint="eastAsia" w:ascii="仿宋" w:hAnsi="仿宋" w:eastAsia="仿宋" w:cs="仿宋"/>
                <w:lang w:eastAsia="zh-CN" w:bidi="ar"/>
              </w:rPr>
              <w:br w:type="textWrapping"/>
            </w:r>
            <w:r>
              <w:rPr>
                <w:rFonts w:hint="eastAsia" w:ascii="仿宋" w:hAnsi="仿宋" w:eastAsia="仿宋" w:cs="仿宋"/>
                <w:lang w:eastAsia="zh-CN" w:bidi="ar"/>
              </w:rPr>
              <w:t>②临时标语更换频率：临时标语是否按季度或重大节点及时更新；</w:t>
            </w:r>
            <w:r>
              <w:rPr>
                <w:rFonts w:hint="eastAsia" w:ascii="仿宋" w:hAnsi="仿宋" w:eastAsia="仿宋" w:cs="仿宋"/>
                <w:lang w:eastAsia="zh-CN" w:bidi="ar"/>
              </w:rPr>
              <w:br w:type="textWrapping"/>
            </w:r>
            <w:r>
              <w:rPr>
                <w:rFonts w:hint="eastAsia" w:ascii="仿宋" w:hAnsi="仿宋" w:eastAsia="仿宋" w:cs="仿宋"/>
                <w:lang w:eastAsia="zh-CN" w:bidi="ar"/>
              </w:rPr>
              <w:t>③内容时效性：标语内容是否与最新政策、活动相符，无过时或错误信息。</w:t>
            </w:r>
            <w:r>
              <w:rPr>
                <w:rFonts w:hint="eastAsia" w:ascii="仿宋" w:hAnsi="仿宋" w:eastAsia="仿宋" w:cs="仿宋"/>
                <w:lang w:eastAsia="zh-CN" w:bidi="ar"/>
              </w:rPr>
              <w:br w:type="textWrapping"/>
            </w:r>
            <w:r>
              <w:rPr>
                <w:rFonts w:hint="eastAsia" w:ascii="仿宋" w:hAnsi="仿宋" w:eastAsia="仿宋" w:cs="仿宋"/>
                <w:lang w:eastAsia="zh-CN" w:bidi="ar"/>
              </w:rPr>
              <w:t>每项达标得1分，未达标按问题严重程度扣0.5分，总分3分，扣完为止</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0B9C5AA">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1E0DFCD">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1AF69B89">
            <w:pPr>
              <w:textAlignment w:val="center"/>
              <w:rPr>
                <w:rFonts w:hint="eastAsia" w:ascii="仿宋" w:hAnsi="仿宋" w:eastAsia="仿宋" w:cs="仿宋"/>
                <w:lang w:eastAsia="zh-CN"/>
              </w:rPr>
            </w:pPr>
            <w:r>
              <w:rPr>
                <w:rFonts w:hint="eastAsia" w:ascii="仿宋" w:hAnsi="仿宋" w:eastAsia="仿宋" w:cs="仿宋"/>
                <w:lang w:eastAsia="zh-CN"/>
              </w:rPr>
              <w:t>经实地检查，德惠广场、石光中学等地与店家合作设置了显著区域设置永久性双拥标识，且设计规范、维护良好。日常通过反馈检查进行更换，未发现标语内容过时或错误问题，根据评分标准，此项得分3分。</w:t>
            </w:r>
          </w:p>
          <w:p w14:paraId="01B98501">
            <w:pPr>
              <w:textAlignment w:val="center"/>
              <w:rPr>
                <w:rFonts w:hint="eastAsia" w:ascii="仿宋" w:hAnsi="仿宋" w:eastAsia="仿宋" w:cs="仿宋"/>
                <w:lang w:eastAsia="zh-CN"/>
              </w:rPr>
            </w:pPr>
          </w:p>
        </w:tc>
      </w:tr>
      <w:tr w14:paraId="563C44A4">
        <w:tblPrEx>
          <w:tblCellMar>
            <w:top w:w="0" w:type="dxa"/>
            <w:left w:w="108" w:type="dxa"/>
            <w:bottom w:w="0" w:type="dxa"/>
            <w:right w:w="108" w:type="dxa"/>
          </w:tblCellMar>
        </w:tblPrEx>
        <w:trPr>
          <w:trHeight w:val="90" w:hRule="atLeast"/>
        </w:trPr>
        <w:tc>
          <w:tcPr>
            <w:tcW w:w="1386" w:type="dxa"/>
            <w:vMerge w:val="continue"/>
            <w:tcBorders>
              <w:top w:val="single" w:color="000000" w:sz="4" w:space="0"/>
              <w:left w:val="single" w:color="000000" w:sz="4" w:space="0"/>
              <w:bottom w:val="single" w:color="000000" w:sz="4" w:space="0"/>
              <w:right w:val="single" w:color="000000" w:sz="4" w:space="0"/>
            </w:tcBorders>
            <w:vAlign w:val="center"/>
          </w:tcPr>
          <w:p w14:paraId="6452A6FE">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nil"/>
              <w:right w:val="single" w:color="000000" w:sz="4" w:space="0"/>
            </w:tcBorders>
            <w:vAlign w:val="center"/>
          </w:tcPr>
          <w:p w14:paraId="51DD4FA4">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noWrap/>
            <w:vAlign w:val="center"/>
          </w:tcPr>
          <w:p w14:paraId="3245199A">
            <w:pPr>
              <w:jc w:val="center"/>
              <w:textAlignment w:val="center"/>
              <w:rPr>
                <w:rFonts w:hint="eastAsia" w:ascii="仿宋" w:hAnsi="仿宋" w:eastAsia="仿宋" w:cs="仿宋"/>
                <w:lang w:eastAsia="zh-CN"/>
              </w:rPr>
            </w:pPr>
            <w:r>
              <w:rPr>
                <w:rFonts w:hint="eastAsia" w:ascii="仿宋" w:hAnsi="仿宋" w:eastAsia="仿宋" w:cs="仿宋"/>
                <w:lang w:eastAsia="zh-CN" w:bidi="ar"/>
              </w:rPr>
              <w:t>对优抚对象生活改善效果</w:t>
            </w:r>
          </w:p>
        </w:tc>
        <w:tc>
          <w:tcPr>
            <w:tcW w:w="5120" w:type="dxa"/>
            <w:tcBorders>
              <w:top w:val="single" w:color="000000" w:sz="4" w:space="0"/>
              <w:left w:val="single" w:color="000000" w:sz="4" w:space="0"/>
              <w:bottom w:val="single" w:color="000000" w:sz="4" w:space="0"/>
              <w:right w:val="single" w:color="000000" w:sz="4" w:space="0"/>
            </w:tcBorders>
            <w:vAlign w:val="center"/>
          </w:tcPr>
          <w:p w14:paraId="1FF3E650">
            <w:pPr>
              <w:textAlignment w:val="center"/>
              <w:rPr>
                <w:rFonts w:hint="eastAsia" w:ascii="仿宋" w:hAnsi="仿宋" w:eastAsia="仿宋" w:cs="仿宋"/>
                <w:lang w:eastAsia="zh-CN" w:bidi="ar"/>
              </w:rPr>
            </w:pPr>
            <w:r>
              <w:rPr>
                <w:rFonts w:hint="eastAsia" w:ascii="仿宋" w:hAnsi="仿宋" w:eastAsia="仿宋" w:cs="仿宋"/>
                <w:lang w:eastAsia="zh-CN" w:bidi="ar"/>
              </w:rPr>
              <w:t>评价要点：评估补助资金的发放对优抚对象生活质量的提升程度。</w:t>
            </w:r>
          </w:p>
          <w:p w14:paraId="6AD75BD5">
            <w:pPr>
              <w:textAlignment w:val="center"/>
              <w:rPr>
                <w:rFonts w:hint="eastAsia" w:ascii="仿宋" w:hAnsi="仿宋" w:eastAsia="仿宋" w:cs="仿宋"/>
                <w:lang w:eastAsia="zh-CN" w:bidi="ar"/>
              </w:rPr>
            </w:pPr>
            <w:r>
              <w:rPr>
                <w:rFonts w:hint="eastAsia" w:ascii="仿宋" w:hAnsi="仿宋" w:eastAsia="仿宋" w:cs="仿宋"/>
                <w:lang w:eastAsia="zh-CN" w:bidi="ar"/>
              </w:rPr>
              <w:t>①补助资金的发放显著改善了优抚对象的生活状况。能够满足他们的基本生活需求，如食品、住房、医疗等方面的支出得到保障；在精神生活上，优抚对象的心理状态更加积极乐观，参与社会活动的积极性明显提高，得3分</w:t>
            </w:r>
          </w:p>
          <w:p w14:paraId="62EAF33D">
            <w:pPr>
              <w:textAlignment w:val="center"/>
              <w:rPr>
                <w:rFonts w:hint="eastAsia" w:ascii="仿宋" w:hAnsi="仿宋" w:eastAsia="仿宋" w:cs="仿宋"/>
                <w:lang w:eastAsia="zh-CN" w:bidi="ar"/>
              </w:rPr>
            </w:pPr>
            <w:r>
              <w:rPr>
                <w:rFonts w:hint="eastAsia" w:ascii="仿宋" w:hAnsi="仿宋" w:eastAsia="仿宋" w:cs="仿宋"/>
                <w:lang w:eastAsia="zh-CN" w:bidi="ar"/>
              </w:rPr>
              <w:t>②补助资金对优抚对象的生活有一定的改善作用。基本能够满足他们的部分生活需求，但仍存在一定困难。得2分。</w:t>
            </w:r>
          </w:p>
          <w:p w14:paraId="6A82448C">
            <w:pPr>
              <w:textAlignment w:val="center"/>
              <w:rPr>
                <w:rFonts w:hint="eastAsia" w:ascii="仿宋" w:hAnsi="仿宋" w:eastAsia="仿宋" w:cs="仿宋"/>
                <w:lang w:eastAsia="zh-CN" w:bidi="ar"/>
              </w:rPr>
            </w:pPr>
            <w:r>
              <w:rPr>
                <w:rFonts w:hint="eastAsia" w:ascii="仿宋" w:hAnsi="仿宋" w:eastAsia="仿宋" w:cs="仿宋"/>
                <w:lang w:eastAsia="zh-CN" w:bidi="ar"/>
              </w:rPr>
              <w:t>③补助资金的发放对优抚对象生活的改善效果不明显。只能勉强维持他们的基本生存，无法满足一些必要的生活需求，得1分。</w:t>
            </w:r>
          </w:p>
          <w:p w14:paraId="228CA373">
            <w:pPr>
              <w:textAlignment w:val="center"/>
              <w:rPr>
                <w:rFonts w:hint="eastAsia" w:ascii="仿宋" w:hAnsi="仿宋" w:eastAsia="仿宋" w:cs="仿宋"/>
                <w:lang w:eastAsia="zh-CN"/>
              </w:rPr>
            </w:pPr>
            <w:r>
              <w:rPr>
                <w:rFonts w:hint="eastAsia" w:ascii="仿宋" w:hAnsi="仿宋" w:eastAsia="仿宋" w:cs="仿宋"/>
                <w:lang w:eastAsia="zh-CN" w:bidi="ar"/>
              </w:rPr>
              <w:t>④补助资金的发放对优抚对象的生活几乎没有起到改善作用，得0分。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8673E89">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BD6B361">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76AC977B">
            <w:pPr>
              <w:textAlignment w:val="center"/>
              <w:rPr>
                <w:rFonts w:hint="eastAsia" w:ascii="仿宋" w:hAnsi="仿宋" w:eastAsia="仿宋" w:cs="仿宋"/>
                <w:lang w:eastAsia="zh-CN"/>
              </w:rPr>
            </w:pPr>
            <w:r>
              <w:rPr>
                <w:rFonts w:hint="eastAsia" w:ascii="仿宋" w:hAnsi="仿宋" w:eastAsia="仿宋" w:cs="仿宋"/>
                <w:lang w:eastAsia="zh-CN" w:bidi="ar"/>
              </w:rPr>
              <w:t>石狮市退役军人事务局聚焦优抚对象、义务兵家属及60周岁以上农村籍退役士兵等群体，累计发放各类补助金、优待金、体检费等共计2370.17万元。资金分配严格遵循“精准保障、差异扶持”原则，针对生活困难优抚对象主动提高补助标准，重点覆盖食品、住房、医疗等基本生活需求；同步实施就业培训与创业扶持计划，通过技能提升与资源对接助力优抚对象增加收入、改善生活条件。此项工作因资金覆盖全面、需求响应及时、扶持措施有效，此项得分3分。</w:t>
            </w:r>
          </w:p>
        </w:tc>
      </w:tr>
      <w:tr w14:paraId="3A0E466A">
        <w:tblPrEx>
          <w:tblCellMar>
            <w:top w:w="0" w:type="dxa"/>
            <w:left w:w="108" w:type="dxa"/>
            <w:bottom w:w="0" w:type="dxa"/>
            <w:right w:w="108" w:type="dxa"/>
          </w:tblCellMar>
        </w:tblPrEx>
        <w:trPr>
          <w:trHeight w:val="90" w:hRule="atLeast"/>
        </w:trPr>
        <w:tc>
          <w:tcPr>
            <w:tcW w:w="1386" w:type="dxa"/>
            <w:vMerge w:val="continue"/>
            <w:tcBorders>
              <w:top w:val="single" w:color="000000" w:sz="4" w:space="0"/>
              <w:left w:val="single" w:color="000000" w:sz="4" w:space="0"/>
              <w:bottom w:val="single" w:color="000000" w:sz="4" w:space="0"/>
              <w:right w:val="single" w:color="000000" w:sz="4" w:space="0"/>
            </w:tcBorders>
            <w:vAlign w:val="center"/>
          </w:tcPr>
          <w:p w14:paraId="61222443">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nil"/>
              <w:right w:val="single" w:color="000000" w:sz="4" w:space="0"/>
            </w:tcBorders>
            <w:vAlign w:val="center"/>
          </w:tcPr>
          <w:p w14:paraId="75D612A0">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309580BB">
            <w:pPr>
              <w:jc w:val="center"/>
              <w:textAlignment w:val="center"/>
              <w:rPr>
                <w:rFonts w:hint="eastAsia" w:ascii="仿宋" w:hAnsi="仿宋" w:eastAsia="仿宋" w:cs="仿宋"/>
                <w:lang w:eastAsia="zh-CN"/>
              </w:rPr>
            </w:pPr>
            <w:r>
              <w:rPr>
                <w:rFonts w:hint="eastAsia" w:ascii="仿宋" w:hAnsi="仿宋" w:eastAsia="仿宋" w:cs="仿宋"/>
                <w:lang w:eastAsia="zh-CN" w:bidi="ar"/>
              </w:rPr>
              <w:t>困难退役士兵总体稳定覆盖率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72786278">
            <w:pPr>
              <w:textAlignment w:val="center"/>
              <w:rPr>
                <w:rFonts w:hint="eastAsia" w:ascii="仿宋" w:hAnsi="仿宋" w:eastAsia="仿宋" w:cs="仿宋"/>
                <w:lang w:eastAsia="zh-CN"/>
              </w:rPr>
            </w:pPr>
            <w:r>
              <w:rPr>
                <w:rFonts w:hint="eastAsia" w:ascii="仿宋" w:hAnsi="仿宋" w:eastAsia="仿宋" w:cs="仿宋"/>
                <w:lang w:eastAsia="zh-CN" w:bidi="ar"/>
              </w:rPr>
              <w:t>评价要点：通过政策帮扶、就业支持等综合措施，确保辖区内困难退役士兵群体中保持生活、心理和社会关系总体稳定的人员占比，反映帮扶措施对群体稳定性的实际覆盖效果。</w:t>
            </w:r>
            <w:r>
              <w:rPr>
                <w:rFonts w:hint="eastAsia" w:ascii="仿宋" w:hAnsi="仿宋" w:eastAsia="仿宋" w:cs="仿宋"/>
                <w:lang w:eastAsia="zh-CN" w:bidi="ar"/>
              </w:rPr>
              <w:br w:type="textWrapping"/>
            </w:r>
            <w:r>
              <w:rPr>
                <w:rFonts w:hint="eastAsia" w:ascii="仿宋" w:hAnsi="仿宋" w:eastAsia="仿宋" w:cs="仿宋"/>
                <w:lang w:eastAsia="zh-CN" w:bidi="ar"/>
              </w:rPr>
              <w:t>计算公式：稳定覆盖率 =（当年稳定状态困难退役士兵人数 / 登记在册困难退役士兵总人数）×100%</w:t>
            </w:r>
            <w:r>
              <w:rPr>
                <w:rFonts w:hint="eastAsia" w:ascii="仿宋" w:hAnsi="仿宋" w:eastAsia="仿宋" w:cs="仿宋"/>
                <w:lang w:eastAsia="zh-CN" w:bidi="ar"/>
              </w:rPr>
              <w:br w:type="textWrapping"/>
            </w:r>
            <w:r>
              <w:rPr>
                <w:rFonts w:hint="eastAsia" w:ascii="仿宋" w:hAnsi="仿宋" w:eastAsia="仿宋" w:cs="仿宋"/>
                <w:lang w:eastAsia="zh-CN" w:bidi="ar"/>
              </w:rPr>
              <w:t>①稳定覆盖率 ≥95%，且无重大群体性不稳定事件（得3分）；</w:t>
            </w:r>
            <w:r>
              <w:rPr>
                <w:rFonts w:hint="eastAsia" w:ascii="仿宋" w:hAnsi="仿宋" w:eastAsia="仿宋" w:cs="仿宋"/>
                <w:lang w:eastAsia="zh-CN" w:bidi="ar"/>
              </w:rPr>
              <w:br w:type="textWrapping"/>
            </w:r>
            <w:r>
              <w:rPr>
                <w:rFonts w:hint="eastAsia" w:ascii="仿宋" w:hAnsi="仿宋" w:eastAsia="仿宋" w:cs="仿宋"/>
                <w:lang w:eastAsia="zh-CN" w:bidi="ar"/>
              </w:rPr>
              <w:t>②稳定覆盖率 85%～94%，或发生1起一般性不稳定事件但及时化解（得2分）；</w:t>
            </w:r>
            <w:r>
              <w:rPr>
                <w:rFonts w:hint="eastAsia" w:ascii="仿宋" w:hAnsi="仿宋" w:eastAsia="仿宋" w:cs="仿宋"/>
                <w:lang w:eastAsia="zh-CN" w:bidi="ar"/>
              </w:rPr>
              <w:br w:type="textWrapping"/>
            </w:r>
            <w:r>
              <w:rPr>
                <w:rFonts w:hint="eastAsia" w:ascii="仿宋" w:hAnsi="仿宋" w:eastAsia="仿宋" w:cs="仿宋"/>
                <w:lang w:eastAsia="zh-CN" w:bidi="ar"/>
              </w:rPr>
              <w:t>③稳定覆盖率 70%～84%，或发生2起一般性不稳定事件（得1分）；</w:t>
            </w:r>
            <w:r>
              <w:rPr>
                <w:rFonts w:hint="eastAsia" w:ascii="仿宋" w:hAnsi="仿宋" w:eastAsia="仿宋" w:cs="仿宋"/>
                <w:lang w:eastAsia="zh-CN" w:bidi="ar"/>
              </w:rPr>
              <w:br w:type="textWrapping"/>
            </w:r>
            <w:r>
              <w:rPr>
                <w:rFonts w:hint="eastAsia" w:ascii="仿宋" w:hAnsi="仿宋" w:eastAsia="仿宋" w:cs="仿宋"/>
                <w:lang w:eastAsia="zh-CN" w:bidi="ar"/>
              </w:rPr>
              <w:t>④稳定覆盖率 &lt;70%，或发生重大群体性不稳定事件（得0分）。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F667BF3">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9ADD18C">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4C4CD182">
            <w:pPr>
              <w:textAlignment w:val="center"/>
              <w:rPr>
                <w:rFonts w:hint="eastAsia" w:ascii="仿宋" w:hAnsi="仿宋" w:eastAsia="仿宋" w:cs="仿宋"/>
                <w:lang w:eastAsia="zh-CN"/>
              </w:rPr>
            </w:pPr>
            <w:r>
              <w:rPr>
                <w:rFonts w:hint="eastAsia" w:ascii="仿宋" w:hAnsi="仿宋" w:eastAsia="仿宋" w:cs="仿宋"/>
                <w:lang w:eastAsia="zh-CN" w:bidi="ar"/>
              </w:rPr>
              <w:t>退役军人事务部门年度统计数据和社区/基层单位定期走访记录。2024年促进困难退役士兵保持总体稳定覆盖面一是通过定期调研走访，梳理困难退役军人情况，适时掌握全市困难退役军人生活状况，认真研判困难退役军人困难原因，建立困难退役军人帮扶台账，做到“一人一档”，并将信息及时录入系统，使系统运行步入正轨；二是利用市、镇、村三级联动和常态化联系退役军人机制，实时对辖区内困难退役军人进行更新，做到定期摸排，不漏一人；三是开展“网格化+信息化”双化服务，由村“两委”担任网格管理员，适时利用泉州市退役军人信息管理系统小程序进行困难退役军人的摸排调查工作，全面掌握信息并通过小程序及时将困难退役军人的实际情况向市、镇两级进行反馈，以便快速地对困难退役军人进行帮扶工作。2024年帮扶困难退役军人41人次，帮扶资金共计9.25万元；不存在困难退役军人对帮扶资金不知情的情况。稳定覆盖率 ≥95%，且无重大群体性不稳定事件。此项得分3分。</w:t>
            </w:r>
          </w:p>
        </w:tc>
      </w:tr>
      <w:tr w14:paraId="04B5B965">
        <w:tblPrEx>
          <w:tblCellMar>
            <w:top w:w="0" w:type="dxa"/>
            <w:left w:w="108" w:type="dxa"/>
            <w:bottom w:w="0" w:type="dxa"/>
            <w:right w:w="108" w:type="dxa"/>
          </w:tblCellMar>
        </w:tblPrEx>
        <w:trPr>
          <w:trHeight w:val="90" w:hRule="atLeast"/>
        </w:trPr>
        <w:tc>
          <w:tcPr>
            <w:tcW w:w="1386" w:type="dxa"/>
            <w:vMerge w:val="continue"/>
            <w:tcBorders>
              <w:top w:val="single" w:color="000000" w:sz="4" w:space="0"/>
              <w:left w:val="single" w:color="000000" w:sz="4" w:space="0"/>
              <w:bottom w:val="single" w:color="000000" w:sz="4" w:space="0"/>
              <w:right w:val="single" w:color="000000" w:sz="4" w:space="0"/>
            </w:tcBorders>
            <w:vAlign w:val="center"/>
          </w:tcPr>
          <w:p w14:paraId="50B01059">
            <w:pPr>
              <w:jc w:val="center"/>
              <w:rPr>
                <w:rFonts w:hint="eastAsia" w:ascii="仿宋" w:hAnsi="仿宋" w:eastAsia="仿宋" w:cs="仿宋"/>
                <w:lang w:eastAsia="zh-CN"/>
              </w:rPr>
            </w:pPr>
          </w:p>
        </w:tc>
        <w:tc>
          <w:tcPr>
            <w:tcW w:w="1124" w:type="dxa"/>
            <w:vMerge w:val="continue"/>
            <w:tcBorders>
              <w:top w:val="single" w:color="000000" w:sz="4" w:space="0"/>
              <w:left w:val="single" w:color="000000" w:sz="4" w:space="0"/>
              <w:bottom w:val="nil"/>
              <w:right w:val="single" w:color="000000" w:sz="4" w:space="0"/>
            </w:tcBorders>
            <w:vAlign w:val="center"/>
          </w:tcPr>
          <w:p w14:paraId="0D6FF6E2">
            <w:pPr>
              <w:jc w:val="center"/>
              <w:rPr>
                <w:rFonts w:hint="eastAsia" w:ascii="仿宋" w:hAnsi="仿宋" w:eastAsia="仿宋" w:cs="仿宋"/>
                <w:lang w:eastAsia="zh-CN"/>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B5EF9B2">
            <w:pPr>
              <w:jc w:val="center"/>
              <w:textAlignment w:val="center"/>
              <w:rPr>
                <w:rFonts w:hint="eastAsia" w:ascii="仿宋" w:hAnsi="仿宋" w:eastAsia="仿宋" w:cs="仿宋"/>
                <w:lang w:eastAsia="zh-CN"/>
              </w:rPr>
            </w:pPr>
            <w:r>
              <w:rPr>
                <w:rFonts w:hint="eastAsia" w:ascii="仿宋" w:hAnsi="仿宋" w:eastAsia="仿宋" w:cs="仿宋"/>
                <w:lang w:eastAsia="zh-CN" w:bidi="ar"/>
              </w:rPr>
              <w:t>军休干部待遇保障综合落实率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259DE0FB">
            <w:pPr>
              <w:textAlignment w:val="center"/>
              <w:rPr>
                <w:rFonts w:hint="eastAsia" w:ascii="仿宋" w:hAnsi="仿宋" w:eastAsia="仿宋" w:cs="仿宋"/>
                <w:lang w:eastAsia="zh-CN"/>
              </w:rPr>
            </w:pPr>
            <w:r>
              <w:rPr>
                <w:rFonts w:hint="eastAsia" w:ascii="仿宋" w:hAnsi="仿宋" w:eastAsia="仿宋" w:cs="仿宋"/>
                <w:lang w:eastAsia="zh-CN" w:bidi="ar"/>
              </w:rPr>
              <w:t>通过全额发放生活补助、离退休费、体检费等生活待遇，以及落实政治关怀措施，衡量军休干部政治和生活待遇的全面覆盖与精准保障水平。</w:t>
            </w:r>
            <w:r>
              <w:rPr>
                <w:rFonts w:hint="eastAsia" w:ascii="仿宋" w:hAnsi="仿宋" w:eastAsia="仿宋" w:cs="仿宋"/>
                <w:lang w:eastAsia="zh-CN" w:bidi="ar"/>
              </w:rPr>
              <w:br w:type="textWrapping"/>
            </w:r>
            <w:r>
              <w:rPr>
                <w:rFonts w:hint="eastAsia" w:ascii="仿宋" w:hAnsi="仿宋" w:eastAsia="仿宋" w:cs="仿宋"/>
                <w:lang w:eastAsia="zh-CN" w:bidi="ar"/>
              </w:rPr>
              <w:t>①综合落实率 ≥95%，且无漏发、错发情况（得3分）；</w:t>
            </w:r>
            <w:r>
              <w:rPr>
                <w:rFonts w:hint="eastAsia" w:ascii="仿宋" w:hAnsi="仿宋" w:eastAsia="仿宋" w:cs="仿宋"/>
                <w:lang w:eastAsia="zh-CN" w:bidi="ar"/>
              </w:rPr>
              <w:br w:type="textWrapping"/>
            </w:r>
            <w:r>
              <w:rPr>
                <w:rFonts w:hint="eastAsia" w:ascii="仿宋" w:hAnsi="仿宋" w:eastAsia="仿宋" w:cs="仿宋"/>
                <w:lang w:eastAsia="zh-CN" w:bidi="ar"/>
              </w:rPr>
              <w:t>②综合落实率 85%～94%，或存在个别漏发但及时补发（得2分）；</w:t>
            </w:r>
            <w:r>
              <w:rPr>
                <w:rFonts w:hint="eastAsia" w:ascii="仿宋" w:hAnsi="仿宋" w:eastAsia="仿宋" w:cs="仿宋"/>
                <w:lang w:eastAsia="zh-CN" w:bidi="ar"/>
              </w:rPr>
              <w:br w:type="textWrapping"/>
            </w:r>
            <w:r>
              <w:rPr>
                <w:rFonts w:hint="eastAsia" w:ascii="仿宋" w:hAnsi="仿宋" w:eastAsia="仿宋" w:cs="仿宋"/>
                <w:lang w:eastAsia="zh-CN" w:bidi="ar"/>
              </w:rPr>
              <w:t>③综合落实率 70%～84%，或存在多项漏发（得1分）；</w:t>
            </w:r>
            <w:r>
              <w:rPr>
                <w:rFonts w:hint="eastAsia" w:ascii="仿宋" w:hAnsi="仿宋" w:eastAsia="仿宋" w:cs="仿宋"/>
                <w:lang w:eastAsia="zh-CN" w:bidi="ar"/>
              </w:rPr>
              <w:br w:type="textWrapping"/>
            </w:r>
            <w:r>
              <w:rPr>
                <w:rFonts w:hint="eastAsia" w:ascii="仿宋" w:hAnsi="仿宋" w:eastAsia="仿宋" w:cs="仿宋"/>
                <w:lang w:eastAsia="zh-CN" w:bidi="ar"/>
              </w:rPr>
              <w:t>④综合落实率 &lt;70%，或发生群体性投诉（得0分）。</w:t>
            </w:r>
          </w:p>
        </w:tc>
        <w:tc>
          <w:tcPr>
            <w:tcW w:w="760" w:type="dxa"/>
            <w:tcBorders>
              <w:top w:val="single" w:color="000000" w:sz="4" w:space="0"/>
              <w:left w:val="single" w:color="000000" w:sz="4" w:space="0"/>
              <w:bottom w:val="single" w:color="000000" w:sz="4" w:space="0"/>
              <w:right w:val="single" w:color="000000" w:sz="4" w:space="0"/>
            </w:tcBorders>
            <w:vAlign w:val="center"/>
          </w:tcPr>
          <w:p w14:paraId="34CCC351">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vAlign w:val="center"/>
          </w:tcPr>
          <w:p w14:paraId="2E6DD4DE">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468C0557">
            <w:pPr>
              <w:textAlignment w:val="center"/>
              <w:rPr>
                <w:rFonts w:hint="eastAsia" w:ascii="仿宋" w:hAnsi="仿宋" w:eastAsia="仿宋" w:cs="仿宋"/>
              </w:rPr>
            </w:pPr>
            <w:r>
              <w:rPr>
                <w:rFonts w:hint="eastAsia" w:ascii="仿宋" w:hAnsi="仿宋" w:eastAsia="仿宋" w:cs="仿宋"/>
                <w:lang w:eastAsia="zh-CN" w:bidi="ar"/>
              </w:rPr>
              <w:t>落实军休干部政治和生活待遇，累计发放军休干部、军休干部遗孀和无军籍职工各类补助金、离退休费、体检费共计173.5万元，为军休干部订阅报纸、书刊0.32万元。在春节、“八一”、重阳节等重大节日采取入户走访、召开座谈会等形式慰问军休干部共计1.71万元。根据评分标准，此项得分3分。</w:t>
            </w:r>
          </w:p>
        </w:tc>
      </w:tr>
      <w:tr w14:paraId="136B3D77">
        <w:tblPrEx>
          <w:tblCellMar>
            <w:top w:w="0" w:type="dxa"/>
            <w:left w:w="108" w:type="dxa"/>
            <w:bottom w:w="0" w:type="dxa"/>
            <w:right w:w="108" w:type="dxa"/>
          </w:tblCellMar>
        </w:tblPrEx>
        <w:trPr>
          <w:trHeight w:val="2400" w:hRule="atLeast"/>
        </w:trPr>
        <w:tc>
          <w:tcPr>
            <w:tcW w:w="1386" w:type="dxa"/>
            <w:vMerge w:val="continue"/>
            <w:tcBorders>
              <w:top w:val="single" w:color="000000" w:sz="4" w:space="0"/>
              <w:left w:val="single" w:color="000000" w:sz="4" w:space="0"/>
              <w:bottom w:val="single" w:color="000000" w:sz="4" w:space="0"/>
              <w:right w:val="single" w:color="000000" w:sz="4" w:space="0"/>
            </w:tcBorders>
            <w:vAlign w:val="center"/>
          </w:tcPr>
          <w:p w14:paraId="4A96028D">
            <w:pPr>
              <w:jc w:val="center"/>
              <w:rPr>
                <w:rFonts w:hint="eastAsia" w:ascii="仿宋" w:hAnsi="仿宋" w:eastAsia="仿宋" w:cs="仿宋"/>
              </w:rPr>
            </w:pPr>
          </w:p>
        </w:tc>
        <w:tc>
          <w:tcPr>
            <w:tcW w:w="1124" w:type="dxa"/>
            <w:vMerge w:val="restart"/>
            <w:tcBorders>
              <w:top w:val="single" w:color="000000" w:sz="4" w:space="0"/>
              <w:left w:val="single" w:color="000000" w:sz="4" w:space="0"/>
              <w:bottom w:val="single" w:color="000000" w:sz="4" w:space="0"/>
              <w:right w:val="single" w:color="000000" w:sz="4" w:space="0"/>
            </w:tcBorders>
            <w:vAlign w:val="center"/>
          </w:tcPr>
          <w:p w14:paraId="77ECB12A">
            <w:pPr>
              <w:jc w:val="center"/>
              <w:textAlignment w:val="center"/>
              <w:rPr>
                <w:rFonts w:hint="eastAsia" w:ascii="仿宋" w:hAnsi="仿宋" w:eastAsia="仿宋" w:cs="仿宋"/>
              </w:rPr>
            </w:pPr>
            <w:r>
              <w:rPr>
                <w:rFonts w:hint="eastAsia" w:ascii="仿宋" w:hAnsi="仿宋" w:eastAsia="仿宋" w:cs="仿宋"/>
                <w:lang w:eastAsia="zh-CN" w:bidi="ar"/>
              </w:rPr>
              <w:t>经济效益</w:t>
            </w:r>
            <w:r>
              <w:rPr>
                <w:rFonts w:hint="eastAsia" w:ascii="仿宋" w:hAnsi="仿宋" w:eastAsia="仿宋" w:cs="仿宋"/>
                <w:lang w:eastAsia="zh-CN" w:bidi="ar"/>
              </w:rPr>
              <w:br w:type="textWrapping"/>
            </w:r>
            <w:r>
              <w:rPr>
                <w:rFonts w:hint="eastAsia" w:ascii="仿宋" w:hAnsi="仿宋" w:eastAsia="仿宋" w:cs="仿宋"/>
                <w:lang w:eastAsia="zh-CN" w:bidi="ar"/>
              </w:rPr>
              <w:t>（6分）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4E557F35">
            <w:pPr>
              <w:jc w:val="center"/>
              <w:textAlignment w:val="center"/>
              <w:rPr>
                <w:rFonts w:hint="eastAsia" w:ascii="仿宋" w:hAnsi="仿宋" w:eastAsia="仿宋" w:cs="仿宋"/>
                <w:lang w:eastAsia="zh-CN"/>
              </w:rPr>
            </w:pPr>
            <w:r>
              <w:rPr>
                <w:rFonts w:hint="eastAsia" w:ascii="仿宋" w:hAnsi="仿宋" w:eastAsia="仿宋" w:cs="仿宋"/>
                <w:lang w:eastAsia="zh-CN" w:bidi="ar"/>
              </w:rPr>
              <w:t>保障退役军人事务员工作补贴发放</w:t>
            </w:r>
          </w:p>
        </w:tc>
        <w:tc>
          <w:tcPr>
            <w:tcW w:w="5120" w:type="dxa"/>
            <w:tcBorders>
              <w:top w:val="single" w:color="000000" w:sz="4" w:space="0"/>
              <w:left w:val="single" w:color="000000" w:sz="4" w:space="0"/>
              <w:bottom w:val="single" w:color="000000" w:sz="4" w:space="0"/>
              <w:right w:val="single" w:color="000000" w:sz="4" w:space="0"/>
            </w:tcBorders>
            <w:vAlign w:val="center"/>
          </w:tcPr>
          <w:p w14:paraId="40FE0446">
            <w:pPr>
              <w:textAlignment w:val="center"/>
              <w:rPr>
                <w:rFonts w:hint="eastAsia" w:ascii="仿宋" w:hAnsi="仿宋" w:eastAsia="仿宋" w:cs="仿宋"/>
                <w:lang w:eastAsia="zh-CN"/>
              </w:rPr>
            </w:pPr>
            <w:r>
              <w:rPr>
                <w:rFonts w:hint="eastAsia" w:ascii="仿宋" w:hAnsi="仿宋" w:eastAsia="仿宋" w:cs="仿宋"/>
                <w:lang w:eastAsia="zh-CN" w:bidi="ar"/>
              </w:rPr>
              <w:t>通过考核补贴发放的准确性，衡量财政资金在保障退役军人事务员薪酬待遇中的使用效率与规范程度。发放准确率 =（实际正确发放人数 / 应发放人数）×100%。</w:t>
            </w:r>
          </w:p>
        </w:tc>
        <w:tc>
          <w:tcPr>
            <w:tcW w:w="760" w:type="dxa"/>
            <w:tcBorders>
              <w:top w:val="single" w:color="000000" w:sz="4" w:space="0"/>
              <w:left w:val="single" w:color="000000" w:sz="4" w:space="0"/>
              <w:bottom w:val="single" w:color="000000" w:sz="4" w:space="0"/>
              <w:right w:val="single" w:color="000000" w:sz="4" w:space="0"/>
            </w:tcBorders>
            <w:vAlign w:val="center"/>
          </w:tcPr>
          <w:p w14:paraId="6BF6BA1C">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vAlign w:val="center"/>
          </w:tcPr>
          <w:p w14:paraId="734EA55A">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2B2A5E2A">
            <w:pPr>
              <w:textAlignment w:val="center"/>
              <w:rPr>
                <w:rFonts w:hint="eastAsia" w:ascii="仿宋" w:hAnsi="仿宋" w:eastAsia="仿宋" w:cs="仿宋"/>
              </w:rPr>
            </w:pPr>
            <w:r>
              <w:rPr>
                <w:rFonts w:hint="eastAsia" w:ascii="仿宋" w:hAnsi="仿宋" w:eastAsia="仿宋" w:cs="仿宋"/>
                <w:lang w:eastAsia="zh-CN" w:bidi="ar"/>
              </w:rPr>
              <w:t>评价组基于财政补贴发放记录、银行转账凭证及事务员签字台账等数据，结合预算文件与决算报告，2024年度石狮市明确了退役军人事务员适用范围、管理机制及薪酬待遇，起草了《新职业试点工作方案》。该方案经市委退役军人事务工作领导小组会议审议通过后，相关经费纳入财政预算。自2024年3月起，按每人每月350元标准向128名事务员发放补贴，完成政策全流程落地。根据评分标准，此项得分3分。</w:t>
            </w:r>
          </w:p>
        </w:tc>
      </w:tr>
      <w:tr w14:paraId="7C87B7F0">
        <w:tblPrEx>
          <w:tblCellMar>
            <w:top w:w="0" w:type="dxa"/>
            <w:left w:w="108" w:type="dxa"/>
            <w:bottom w:w="0" w:type="dxa"/>
            <w:right w:w="108" w:type="dxa"/>
          </w:tblCellMar>
        </w:tblPrEx>
        <w:trPr>
          <w:trHeight w:val="4096" w:hRule="atLeast"/>
        </w:trPr>
        <w:tc>
          <w:tcPr>
            <w:tcW w:w="1386" w:type="dxa"/>
            <w:vMerge w:val="continue"/>
            <w:tcBorders>
              <w:top w:val="single" w:color="000000" w:sz="4" w:space="0"/>
              <w:left w:val="single" w:color="000000" w:sz="4" w:space="0"/>
              <w:bottom w:val="single" w:color="000000" w:sz="4" w:space="0"/>
              <w:right w:val="single" w:color="000000" w:sz="4" w:space="0"/>
            </w:tcBorders>
            <w:vAlign w:val="center"/>
          </w:tcPr>
          <w:p w14:paraId="1421A74B">
            <w:pPr>
              <w:jc w:val="center"/>
              <w:rPr>
                <w:rFonts w:hint="eastAsia" w:ascii="仿宋" w:hAnsi="仿宋" w:eastAsia="仿宋" w:cs="仿宋"/>
              </w:rPr>
            </w:pPr>
          </w:p>
        </w:tc>
        <w:tc>
          <w:tcPr>
            <w:tcW w:w="1124" w:type="dxa"/>
            <w:vMerge w:val="continue"/>
            <w:tcBorders>
              <w:top w:val="single" w:color="000000" w:sz="4" w:space="0"/>
              <w:left w:val="single" w:color="000000" w:sz="4" w:space="0"/>
              <w:bottom w:val="single" w:color="000000" w:sz="4" w:space="0"/>
              <w:right w:val="single" w:color="000000" w:sz="4" w:space="0"/>
            </w:tcBorders>
            <w:vAlign w:val="center"/>
          </w:tcPr>
          <w:p w14:paraId="6A1BB066">
            <w:pPr>
              <w:jc w:val="center"/>
              <w:rPr>
                <w:rFonts w:hint="eastAsia" w:ascii="仿宋" w:hAnsi="仿宋" w:eastAsia="仿宋" w:cs="仿宋"/>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434B362F">
            <w:pPr>
              <w:jc w:val="center"/>
              <w:textAlignment w:val="center"/>
              <w:rPr>
                <w:rFonts w:hint="eastAsia" w:ascii="仿宋" w:hAnsi="仿宋" w:eastAsia="仿宋" w:cs="仿宋"/>
                <w:lang w:eastAsia="zh-CN"/>
              </w:rPr>
            </w:pPr>
            <w:r>
              <w:rPr>
                <w:rFonts w:hint="eastAsia" w:ascii="仿宋" w:hAnsi="仿宋" w:eastAsia="仿宋" w:cs="仿宋"/>
                <w:lang w:eastAsia="zh-CN" w:bidi="ar"/>
              </w:rPr>
              <w:t>优抚对象医疗补助资金执行与政策保障效率</w:t>
            </w:r>
          </w:p>
        </w:tc>
        <w:tc>
          <w:tcPr>
            <w:tcW w:w="5120" w:type="dxa"/>
            <w:tcBorders>
              <w:top w:val="single" w:color="000000" w:sz="4" w:space="0"/>
              <w:left w:val="single" w:color="000000" w:sz="4" w:space="0"/>
              <w:bottom w:val="single" w:color="000000" w:sz="4" w:space="0"/>
              <w:right w:val="single" w:color="000000" w:sz="4" w:space="0"/>
            </w:tcBorders>
            <w:vAlign w:val="center"/>
          </w:tcPr>
          <w:p w14:paraId="376A8FF4">
            <w:pPr>
              <w:textAlignment w:val="center"/>
              <w:rPr>
                <w:rFonts w:hint="eastAsia" w:ascii="仿宋" w:hAnsi="仿宋" w:eastAsia="仿宋" w:cs="仿宋"/>
                <w:lang w:eastAsia="zh-CN"/>
              </w:rPr>
            </w:pPr>
            <w:r>
              <w:rPr>
                <w:rFonts w:hint="eastAsia" w:ascii="仿宋" w:hAnsi="仿宋" w:eastAsia="仿宋" w:cs="仿宋"/>
                <w:lang w:eastAsia="zh-CN" w:bidi="ar"/>
              </w:rPr>
              <w:t>通过考核医疗补助资金的预算执行率、支付及时性及配套政策出台情况，衡量财政资金在优抚对象医疗保障中的使用效率与制度保障水平。计算公式：预算执行率 =（实际支付金额 / 预算金额）×100%</w:t>
            </w:r>
            <w:r>
              <w:rPr>
                <w:rFonts w:hint="eastAsia" w:ascii="仿宋" w:hAnsi="仿宋" w:eastAsia="仿宋" w:cs="仿宋"/>
                <w:lang w:eastAsia="zh-CN" w:bidi="ar"/>
              </w:rPr>
              <w:br w:type="textWrapping"/>
            </w:r>
            <w:r>
              <w:rPr>
                <w:rFonts w:hint="eastAsia" w:ascii="仿宋" w:hAnsi="仿宋" w:eastAsia="仿宋" w:cs="仿宋"/>
                <w:lang w:eastAsia="zh-CN" w:bidi="ar"/>
              </w:rPr>
              <w:t>政策覆盖率 =（已出台报销规定重点对象人数 / 应享受医疗补助重点对象人数）×100%</w:t>
            </w:r>
            <w:r>
              <w:rPr>
                <w:rFonts w:hint="eastAsia" w:ascii="仿宋" w:hAnsi="仿宋" w:eastAsia="仿宋" w:cs="仿宋"/>
                <w:lang w:eastAsia="zh-CN" w:bidi="ar"/>
              </w:rPr>
              <w:br w:type="textWrapping"/>
            </w:r>
            <w:r>
              <w:rPr>
                <w:rFonts w:hint="eastAsia" w:ascii="仿宋" w:hAnsi="仿宋" w:eastAsia="仿宋" w:cs="仿宋"/>
                <w:lang w:eastAsia="zh-CN" w:bidi="ar"/>
              </w:rPr>
              <w:t>评分标准：</w:t>
            </w:r>
            <w:r>
              <w:rPr>
                <w:rFonts w:hint="eastAsia" w:ascii="仿宋" w:hAnsi="仿宋" w:eastAsia="仿宋" w:cs="仿宋"/>
                <w:lang w:eastAsia="zh-CN" w:bidi="ar"/>
              </w:rPr>
              <w:br w:type="textWrapping"/>
            </w:r>
            <w:r>
              <w:rPr>
                <w:rFonts w:hint="eastAsia" w:ascii="仿宋" w:hAnsi="仿宋" w:eastAsia="仿宋" w:cs="仿宋"/>
                <w:lang w:eastAsia="zh-CN" w:bidi="ar"/>
              </w:rPr>
              <w:t>①预算执行率≥95%，且政策覆盖率100%（得3分）；</w:t>
            </w:r>
            <w:r>
              <w:rPr>
                <w:rFonts w:hint="eastAsia" w:ascii="仿宋" w:hAnsi="仿宋" w:eastAsia="仿宋" w:cs="仿宋"/>
                <w:lang w:eastAsia="zh-CN" w:bidi="ar"/>
              </w:rPr>
              <w:br w:type="textWrapping"/>
            </w:r>
            <w:r>
              <w:rPr>
                <w:rFonts w:hint="eastAsia" w:ascii="仿宋" w:hAnsi="仿宋" w:eastAsia="仿宋" w:cs="仿宋"/>
                <w:lang w:eastAsia="zh-CN" w:bidi="ar"/>
              </w:rPr>
              <w:t>②预算执行率80%～94%，或政策覆盖率80%～99%（得2分）；</w:t>
            </w:r>
            <w:r>
              <w:rPr>
                <w:rFonts w:hint="eastAsia" w:ascii="仿宋" w:hAnsi="仿宋" w:eastAsia="仿宋" w:cs="仿宋"/>
                <w:lang w:eastAsia="zh-CN" w:bidi="ar"/>
              </w:rPr>
              <w:br w:type="textWrapping"/>
            </w:r>
            <w:r>
              <w:rPr>
                <w:rFonts w:hint="eastAsia" w:ascii="仿宋" w:hAnsi="仿宋" w:eastAsia="仿宋" w:cs="仿宋"/>
                <w:lang w:eastAsia="zh-CN" w:bidi="ar"/>
              </w:rPr>
              <w:t>预算执行率50%～79%，或政策覆盖率50%～79%，或政策未出台但执行率≥50%（得1分）；</w:t>
            </w:r>
            <w:r>
              <w:rPr>
                <w:rFonts w:hint="eastAsia" w:ascii="仿宋" w:hAnsi="仿宋" w:eastAsia="仿宋" w:cs="仿宋"/>
                <w:lang w:eastAsia="zh-CN" w:bidi="ar"/>
              </w:rPr>
              <w:br w:type="textWrapping"/>
            </w:r>
            <w:r>
              <w:rPr>
                <w:rFonts w:hint="eastAsia" w:ascii="仿宋" w:hAnsi="仿宋" w:eastAsia="仿宋" w:cs="仿宋"/>
                <w:lang w:eastAsia="zh-CN" w:bidi="ar"/>
              </w:rPr>
              <w:t>④预算执行率&lt;50%，或政策覆盖率&lt;50%，或政策未出台且执行率&lt;50%（得0分）。</w:t>
            </w:r>
          </w:p>
        </w:tc>
        <w:tc>
          <w:tcPr>
            <w:tcW w:w="760" w:type="dxa"/>
            <w:tcBorders>
              <w:top w:val="single" w:color="000000" w:sz="4" w:space="0"/>
              <w:left w:val="single" w:color="000000" w:sz="4" w:space="0"/>
              <w:bottom w:val="single" w:color="000000" w:sz="4" w:space="0"/>
              <w:right w:val="single" w:color="000000" w:sz="4" w:space="0"/>
            </w:tcBorders>
            <w:vAlign w:val="center"/>
          </w:tcPr>
          <w:p w14:paraId="0E21462E">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vAlign w:val="center"/>
          </w:tcPr>
          <w:p w14:paraId="2D8E1194">
            <w:pPr>
              <w:jc w:val="center"/>
              <w:textAlignment w:val="center"/>
              <w:rPr>
                <w:rFonts w:hint="eastAsia" w:ascii="仿宋" w:hAnsi="仿宋" w:eastAsia="仿宋" w:cs="仿宋"/>
              </w:rPr>
            </w:pPr>
            <w:r>
              <w:rPr>
                <w:rFonts w:hint="eastAsia" w:ascii="仿宋" w:hAnsi="仿宋" w:eastAsia="仿宋" w:cs="仿宋"/>
                <w:lang w:eastAsia="zh-CN" w:bidi="ar"/>
              </w:rPr>
              <w:t>1</w:t>
            </w:r>
          </w:p>
        </w:tc>
        <w:tc>
          <w:tcPr>
            <w:tcW w:w="4987" w:type="dxa"/>
            <w:tcBorders>
              <w:top w:val="single" w:color="000000" w:sz="4" w:space="0"/>
              <w:left w:val="single" w:color="000000" w:sz="4" w:space="0"/>
              <w:bottom w:val="single" w:color="000000" w:sz="4" w:space="0"/>
              <w:right w:val="single" w:color="000000" w:sz="4" w:space="0"/>
            </w:tcBorders>
            <w:vAlign w:val="center"/>
          </w:tcPr>
          <w:p w14:paraId="3E451D74">
            <w:pPr>
              <w:textAlignment w:val="center"/>
              <w:rPr>
                <w:rFonts w:hint="eastAsia" w:ascii="仿宋" w:hAnsi="仿宋" w:eastAsia="仿宋" w:cs="仿宋"/>
                <w:lang w:eastAsia="zh-CN"/>
              </w:rPr>
            </w:pPr>
            <w:r>
              <w:rPr>
                <w:rFonts w:hint="eastAsia" w:ascii="仿宋" w:hAnsi="仿宋" w:eastAsia="仿宋" w:cs="仿宋"/>
                <w:lang w:eastAsia="zh-CN" w:bidi="ar"/>
              </w:rPr>
              <w:t>2024年优抚对象医疗补助经费执行情况如下：因重点对象医疗报销规定尚未出台，导致上级下达的医疗经费未能按计划完成。本年度预算安排医疗补助资金34.42万元，实际仅支付8.73万元，剩余25.69万元未拨付，预算执行率仅约25.36%；同时，由于报销政策缺失，重点优抚对象医疗补助政策覆盖率实际为0%。根据考核标准，预算执行率低于50%对应得0分，政策未出台额外扣2分，最终因执行率未达50%最低保障规则，此项得分1分。</w:t>
            </w:r>
          </w:p>
        </w:tc>
      </w:tr>
      <w:tr w14:paraId="6726805D">
        <w:tblPrEx>
          <w:tblCellMar>
            <w:top w:w="0" w:type="dxa"/>
            <w:left w:w="108" w:type="dxa"/>
            <w:bottom w:w="0" w:type="dxa"/>
            <w:right w:w="108" w:type="dxa"/>
          </w:tblCellMar>
        </w:tblPrEx>
        <w:trPr>
          <w:trHeight w:val="2867" w:hRule="atLeast"/>
        </w:trPr>
        <w:tc>
          <w:tcPr>
            <w:tcW w:w="1386" w:type="dxa"/>
            <w:vMerge w:val="continue"/>
            <w:tcBorders>
              <w:top w:val="single" w:color="000000" w:sz="4" w:space="0"/>
              <w:left w:val="single" w:color="000000" w:sz="4" w:space="0"/>
              <w:bottom w:val="single" w:color="000000" w:sz="4" w:space="0"/>
              <w:right w:val="single" w:color="000000" w:sz="4" w:space="0"/>
            </w:tcBorders>
            <w:vAlign w:val="center"/>
          </w:tcPr>
          <w:p w14:paraId="7DA8795B">
            <w:pPr>
              <w:jc w:val="center"/>
              <w:rPr>
                <w:rFonts w:hint="eastAsia" w:ascii="仿宋" w:hAnsi="仿宋" w:eastAsia="仿宋" w:cs="仿宋"/>
                <w:lang w:eastAsia="zh-CN"/>
              </w:rPr>
            </w:pPr>
          </w:p>
        </w:tc>
        <w:tc>
          <w:tcPr>
            <w:tcW w:w="1124" w:type="dxa"/>
            <w:tcBorders>
              <w:top w:val="single" w:color="000000" w:sz="4" w:space="0"/>
              <w:left w:val="single" w:color="000000" w:sz="4" w:space="0"/>
              <w:bottom w:val="single" w:color="000000" w:sz="4" w:space="0"/>
              <w:right w:val="single" w:color="000000" w:sz="4" w:space="0"/>
            </w:tcBorders>
            <w:vAlign w:val="center"/>
          </w:tcPr>
          <w:p w14:paraId="43448BF9">
            <w:pPr>
              <w:jc w:val="center"/>
              <w:textAlignment w:val="center"/>
              <w:rPr>
                <w:rFonts w:hint="eastAsia" w:ascii="仿宋" w:hAnsi="仿宋" w:eastAsia="仿宋" w:cs="仿宋"/>
                <w:lang w:eastAsia="zh-CN"/>
              </w:rPr>
            </w:pPr>
            <w:r>
              <w:rPr>
                <w:rFonts w:hint="eastAsia" w:ascii="仿宋" w:hAnsi="仿宋" w:eastAsia="仿宋" w:cs="仿宋"/>
                <w:lang w:eastAsia="zh-CN" w:bidi="ar"/>
              </w:rPr>
              <w:t>可持续发展效益（3分）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37BAA94C">
            <w:pPr>
              <w:jc w:val="center"/>
              <w:textAlignment w:val="center"/>
              <w:rPr>
                <w:rFonts w:hint="eastAsia" w:ascii="仿宋" w:hAnsi="仿宋" w:eastAsia="仿宋" w:cs="仿宋"/>
                <w:lang w:eastAsia="zh-CN"/>
              </w:rPr>
            </w:pPr>
            <w:r>
              <w:rPr>
                <w:rFonts w:hint="eastAsia" w:ascii="仿宋" w:hAnsi="仿宋" w:eastAsia="仿宋" w:cs="仿宋"/>
                <w:lang w:eastAsia="zh-CN" w:bidi="ar"/>
              </w:rPr>
              <w:t>自主择业军转干部长效稳定保障指数</w:t>
            </w:r>
          </w:p>
        </w:tc>
        <w:tc>
          <w:tcPr>
            <w:tcW w:w="5120" w:type="dxa"/>
            <w:tcBorders>
              <w:top w:val="single" w:color="000000" w:sz="4" w:space="0"/>
              <w:left w:val="single" w:color="000000" w:sz="4" w:space="0"/>
              <w:bottom w:val="single" w:color="000000" w:sz="4" w:space="0"/>
              <w:right w:val="single" w:color="000000" w:sz="4" w:space="0"/>
            </w:tcBorders>
            <w:vAlign w:val="center"/>
          </w:tcPr>
          <w:p w14:paraId="0EFD9A49">
            <w:pPr>
              <w:textAlignment w:val="center"/>
              <w:rPr>
                <w:rFonts w:hint="eastAsia" w:ascii="仿宋" w:hAnsi="仿宋" w:eastAsia="仿宋" w:cs="仿宋"/>
                <w:lang w:eastAsia="zh-CN"/>
              </w:rPr>
            </w:pPr>
            <w:r>
              <w:rPr>
                <w:rFonts w:hint="eastAsia" w:ascii="仿宋" w:hAnsi="仿宋" w:eastAsia="仿宋" w:cs="仿宋"/>
                <w:lang w:eastAsia="zh-CN" w:bidi="ar"/>
              </w:rPr>
              <w:t>通过构建政策支持、资金保障、就业促进等长效机制，衡量自主择业军转干部生活保障可持续的综合状态。</w:t>
            </w:r>
            <w:r>
              <w:rPr>
                <w:rFonts w:hint="eastAsia" w:ascii="仿宋" w:hAnsi="仿宋" w:eastAsia="仿宋" w:cs="仿宋"/>
                <w:lang w:eastAsia="zh-CN" w:bidi="ar"/>
              </w:rPr>
              <w:br w:type="textWrapping"/>
            </w:r>
            <w:r>
              <w:rPr>
                <w:rFonts w:hint="eastAsia" w:ascii="仿宋" w:hAnsi="仿宋" w:eastAsia="仿宋" w:cs="仿宋"/>
                <w:lang w:eastAsia="zh-CN" w:bidi="ar"/>
              </w:rPr>
              <w:t>评价标准：是否按期完成发放补助金、组织培训、举办招聘会等事项，衡量自主择业军转干部在就业稳定率以上每少一项扣1分。</w:t>
            </w:r>
          </w:p>
        </w:tc>
        <w:tc>
          <w:tcPr>
            <w:tcW w:w="760" w:type="dxa"/>
            <w:tcBorders>
              <w:top w:val="single" w:color="000000" w:sz="4" w:space="0"/>
              <w:left w:val="single" w:color="000000" w:sz="4" w:space="0"/>
              <w:bottom w:val="single" w:color="000000" w:sz="4" w:space="0"/>
              <w:right w:val="single" w:color="000000" w:sz="4" w:space="0"/>
            </w:tcBorders>
            <w:vAlign w:val="center"/>
          </w:tcPr>
          <w:p w14:paraId="3214958C">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vAlign w:val="center"/>
          </w:tcPr>
          <w:p w14:paraId="5AB9EA15">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295619BF">
            <w:pPr>
              <w:textAlignment w:val="center"/>
              <w:rPr>
                <w:rFonts w:hint="eastAsia" w:ascii="仿宋" w:hAnsi="仿宋" w:eastAsia="仿宋" w:cs="仿宋"/>
                <w:lang w:eastAsia="zh-CN"/>
              </w:rPr>
            </w:pPr>
            <w:r>
              <w:rPr>
                <w:rFonts w:hint="eastAsia" w:ascii="仿宋" w:hAnsi="仿宋" w:eastAsia="仿宋" w:cs="仿宋"/>
                <w:lang w:eastAsia="zh-CN" w:bidi="ar"/>
              </w:rPr>
              <w:t>2024年，围绕自主择业军转干部稳定保障开展多项工作：为自主择业及企业退休军转干部发放补助金、体检费及医疗保险费用共计50.08万元；接收自主就业退役士兵98名，发放一次性地方经济补助金913.31万元；组织46名退役军人参加线下适应性培训班，同步推动98名退役士兵完成线上培训，累计举办3场退役军人线下招聘会，协调213家企业提供3100个就业岗位，促成70人初步达成就业意向。根据评分标准，此项工作因政策覆盖全面、资金保障到位、就业促进成效显著，得分3分。</w:t>
            </w:r>
          </w:p>
        </w:tc>
      </w:tr>
      <w:tr w14:paraId="3253164E">
        <w:tblPrEx>
          <w:tblCellMar>
            <w:top w:w="0" w:type="dxa"/>
            <w:left w:w="108" w:type="dxa"/>
            <w:bottom w:w="0" w:type="dxa"/>
            <w:right w:w="108" w:type="dxa"/>
          </w:tblCellMar>
        </w:tblPrEx>
        <w:trPr>
          <w:trHeight w:val="2016" w:hRule="atLeast"/>
        </w:trPr>
        <w:tc>
          <w:tcPr>
            <w:tcW w:w="1386" w:type="dxa"/>
            <w:vMerge w:val="continue"/>
            <w:tcBorders>
              <w:top w:val="single" w:color="000000" w:sz="4" w:space="0"/>
              <w:left w:val="single" w:color="000000" w:sz="4" w:space="0"/>
              <w:bottom w:val="single" w:color="000000" w:sz="4" w:space="0"/>
              <w:right w:val="single" w:color="000000" w:sz="4" w:space="0"/>
            </w:tcBorders>
            <w:vAlign w:val="center"/>
          </w:tcPr>
          <w:p w14:paraId="4B1750AB">
            <w:pPr>
              <w:jc w:val="center"/>
              <w:rPr>
                <w:rFonts w:hint="eastAsia" w:ascii="仿宋" w:hAnsi="仿宋" w:eastAsia="仿宋" w:cs="仿宋"/>
                <w:lang w:eastAsia="zh-CN"/>
              </w:rPr>
            </w:pPr>
          </w:p>
        </w:tc>
        <w:tc>
          <w:tcPr>
            <w:tcW w:w="1124" w:type="dxa"/>
            <w:tcBorders>
              <w:top w:val="single" w:color="000000" w:sz="4" w:space="0"/>
              <w:left w:val="single" w:color="000000" w:sz="4" w:space="0"/>
              <w:bottom w:val="single" w:color="000000" w:sz="4" w:space="0"/>
              <w:right w:val="single" w:color="000000" w:sz="4" w:space="0"/>
            </w:tcBorders>
            <w:vAlign w:val="center"/>
          </w:tcPr>
          <w:p w14:paraId="587E84A4">
            <w:pPr>
              <w:jc w:val="center"/>
              <w:textAlignment w:val="center"/>
              <w:rPr>
                <w:rFonts w:hint="eastAsia" w:ascii="仿宋" w:hAnsi="仿宋" w:eastAsia="仿宋" w:cs="仿宋"/>
              </w:rPr>
            </w:pPr>
            <w:r>
              <w:rPr>
                <w:rFonts w:hint="eastAsia" w:ascii="仿宋" w:hAnsi="仿宋" w:eastAsia="仿宋" w:cs="仿宋"/>
                <w:lang w:eastAsia="zh-CN" w:bidi="ar"/>
              </w:rPr>
              <w:t>满意度（3分）</w:t>
            </w:r>
          </w:p>
        </w:tc>
        <w:tc>
          <w:tcPr>
            <w:tcW w:w="1480" w:type="dxa"/>
            <w:tcBorders>
              <w:top w:val="single" w:color="000000" w:sz="4" w:space="0"/>
              <w:left w:val="single" w:color="000000" w:sz="4" w:space="0"/>
              <w:bottom w:val="single" w:color="000000" w:sz="4" w:space="0"/>
              <w:right w:val="single" w:color="000000" w:sz="4" w:space="0"/>
            </w:tcBorders>
            <w:vAlign w:val="center"/>
          </w:tcPr>
          <w:p w14:paraId="08B35D3A">
            <w:pPr>
              <w:jc w:val="center"/>
              <w:textAlignment w:val="center"/>
              <w:rPr>
                <w:rFonts w:hint="eastAsia" w:ascii="仿宋" w:hAnsi="仿宋" w:eastAsia="仿宋" w:cs="仿宋"/>
              </w:rPr>
            </w:pPr>
            <w:r>
              <w:rPr>
                <w:rFonts w:hint="eastAsia" w:ascii="仿宋" w:hAnsi="仿宋" w:eastAsia="仿宋" w:cs="仿宋"/>
                <w:lang w:eastAsia="zh-CN" w:bidi="ar"/>
              </w:rPr>
              <w:t>公众满意度</w:t>
            </w:r>
          </w:p>
        </w:tc>
        <w:tc>
          <w:tcPr>
            <w:tcW w:w="5120" w:type="dxa"/>
            <w:tcBorders>
              <w:top w:val="single" w:color="000000" w:sz="4" w:space="0"/>
              <w:left w:val="single" w:color="000000" w:sz="4" w:space="0"/>
              <w:bottom w:val="single" w:color="000000" w:sz="4" w:space="0"/>
              <w:right w:val="single" w:color="000000" w:sz="4" w:space="0"/>
            </w:tcBorders>
            <w:vAlign w:val="center"/>
          </w:tcPr>
          <w:p w14:paraId="640C1EC9">
            <w:pPr>
              <w:textAlignment w:val="center"/>
              <w:rPr>
                <w:rFonts w:hint="eastAsia" w:ascii="仿宋" w:hAnsi="仿宋" w:eastAsia="仿宋" w:cs="仿宋"/>
                <w:lang w:eastAsia="zh-CN"/>
              </w:rPr>
            </w:pPr>
            <w:r>
              <w:rPr>
                <w:rFonts w:hint="eastAsia" w:ascii="仿宋" w:hAnsi="仿宋" w:eastAsia="仿宋" w:cs="仿宋"/>
                <w:lang w:eastAsia="zh-CN" w:bidi="ar"/>
              </w:rPr>
              <w:t>评价要点：</w:t>
            </w:r>
            <w:r>
              <w:rPr>
                <w:rFonts w:hint="eastAsia" w:ascii="仿宋" w:hAnsi="仿宋" w:eastAsia="仿宋" w:cs="仿宋"/>
                <w:lang w:eastAsia="zh-CN" w:bidi="ar"/>
              </w:rPr>
              <w:br w:type="textWrapping"/>
            </w:r>
            <w:r>
              <w:rPr>
                <w:rFonts w:hint="eastAsia" w:ascii="仿宋" w:hAnsi="仿宋" w:eastAsia="仿宋" w:cs="仿宋"/>
                <w:lang w:eastAsia="zh-CN" w:bidi="ar"/>
              </w:rPr>
              <w:t>考核社会公众对部门履职效果的满意程度。社会公众对部门履职效果的满意程度。</w:t>
            </w:r>
            <w:r>
              <w:rPr>
                <w:rFonts w:hint="eastAsia" w:ascii="仿宋" w:hAnsi="仿宋" w:eastAsia="仿宋" w:cs="仿宋"/>
                <w:lang w:eastAsia="zh-CN" w:bidi="ar"/>
              </w:rPr>
              <w:br w:type="textWrapping"/>
            </w:r>
            <w:r>
              <w:rPr>
                <w:rFonts w:hint="eastAsia" w:ascii="仿宋" w:hAnsi="仿宋" w:eastAsia="仿宋" w:cs="仿宋"/>
                <w:lang w:eastAsia="zh-CN" w:bidi="ar"/>
              </w:rPr>
              <w:t>①90%≤满意度＜100%，得3分；</w:t>
            </w:r>
            <w:r>
              <w:rPr>
                <w:rFonts w:hint="eastAsia" w:ascii="仿宋" w:hAnsi="仿宋" w:eastAsia="仿宋" w:cs="仿宋"/>
                <w:lang w:eastAsia="zh-CN" w:bidi="ar"/>
              </w:rPr>
              <w:br w:type="textWrapping"/>
            </w:r>
            <w:r>
              <w:rPr>
                <w:rFonts w:hint="eastAsia" w:ascii="仿宋" w:hAnsi="仿宋" w:eastAsia="仿宋" w:cs="仿宋"/>
                <w:lang w:eastAsia="zh-CN" w:bidi="ar"/>
              </w:rPr>
              <w:t>②85%≤满意度＜90%，得2分；</w:t>
            </w:r>
            <w:r>
              <w:rPr>
                <w:rFonts w:hint="eastAsia" w:ascii="仿宋" w:hAnsi="仿宋" w:eastAsia="仿宋" w:cs="仿宋"/>
                <w:lang w:eastAsia="zh-CN" w:bidi="ar"/>
              </w:rPr>
              <w:br w:type="textWrapping"/>
            </w:r>
            <w:r>
              <w:rPr>
                <w:rFonts w:hint="eastAsia" w:ascii="仿宋" w:hAnsi="仿宋" w:eastAsia="仿宋" w:cs="仿宋"/>
                <w:lang w:eastAsia="zh-CN" w:bidi="ar"/>
              </w:rPr>
              <w:t>③80%≤满意度＜85%得1分；</w:t>
            </w:r>
            <w:r>
              <w:rPr>
                <w:rFonts w:hint="eastAsia" w:ascii="仿宋" w:hAnsi="仿宋" w:eastAsia="仿宋" w:cs="仿宋"/>
                <w:lang w:eastAsia="zh-CN" w:bidi="ar"/>
              </w:rPr>
              <w:br w:type="textWrapping"/>
            </w:r>
            <w:r>
              <w:rPr>
                <w:rFonts w:hint="eastAsia" w:ascii="仿宋" w:hAnsi="仿宋" w:eastAsia="仿宋" w:cs="仿宋"/>
                <w:lang w:eastAsia="zh-CN" w:bidi="ar"/>
              </w:rPr>
              <w:t>④满意度低于80%，不得分。</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005DF02">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C492F56">
            <w:pPr>
              <w:jc w:val="center"/>
              <w:textAlignment w:val="center"/>
              <w:rPr>
                <w:rFonts w:hint="eastAsia" w:ascii="仿宋" w:hAnsi="仿宋" w:eastAsia="仿宋" w:cs="仿宋"/>
              </w:rPr>
            </w:pPr>
            <w:r>
              <w:rPr>
                <w:rFonts w:hint="eastAsia" w:ascii="仿宋" w:hAnsi="仿宋" w:eastAsia="仿宋" w:cs="仿宋"/>
                <w:lang w:eastAsia="zh-CN" w:bidi="ar"/>
              </w:rPr>
              <w:t>3</w:t>
            </w:r>
          </w:p>
        </w:tc>
        <w:tc>
          <w:tcPr>
            <w:tcW w:w="4987" w:type="dxa"/>
            <w:tcBorders>
              <w:top w:val="single" w:color="000000" w:sz="4" w:space="0"/>
              <w:left w:val="single" w:color="000000" w:sz="4" w:space="0"/>
              <w:bottom w:val="single" w:color="000000" w:sz="4" w:space="0"/>
              <w:right w:val="single" w:color="000000" w:sz="4" w:space="0"/>
            </w:tcBorders>
            <w:vAlign w:val="center"/>
          </w:tcPr>
          <w:p w14:paraId="5EA9C763">
            <w:pPr>
              <w:textAlignment w:val="center"/>
              <w:rPr>
                <w:rFonts w:hint="eastAsia" w:ascii="仿宋" w:hAnsi="仿宋" w:eastAsia="仿宋" w:cs="仿宋"/>
                <w:lang w:eastAsia="zh-CN"/>
              </w:rPr>
            </w:pPr>
            <w:r>
              <w:rPr>
                <w:rFonts w:hint="eastAsia" w:ascii="仿宋" w:hAnsi="仿宋" w:eastAsia="仿宋" w:cs="仿宋"/>
                <w:lang w:eastAsia="zh-CN" w:bidi="ar"/>
              </w:rPr>
              <w:t>绩效评价工作小组通过发放问卷调查表开展评估，共发放100份问卷，回收有效问卷98份（问卷模板详见附件一）。经统计，群众满意度平均值为93%，此项得分3分。</w:t>
            </w:r>
          </w:p>
        </w:tc>
      </w:tr>
      <w:tr w14:paraId="74FB5860">
        <w:tblPrEx>
          <w:tblCellMar>
            <w:top w:w="0" w:type="dxa"/>
            <w:left w:w="108" w:type="dxa"/>
            <w:bottom w:w="0" w:type="dxa"/>
            <w:right w:w="108" w:type="dxa"/>
          </w:tblCellMar>
        </w:tblPrEx>
        <w:trPr>
          <w:trHeight w:val="840" w:hRule="atLeast"/>
        </w:trPr>
        <w:tc>
          <w:tcPr>
            <w:tcW w:w="9110" w:type="dxa"/>
            <w:gridSpan w:val="4"/>
            <w:tcBorders>
              <w:top w:val="single" w:color="000000" w:sz="4" w:space="0"/>
              <w:left w:val="single" w:color="000000" w:sz="4" w:space="0"/>
              <w:bottom w:val="single" w:color="000000" w:sz="4" w:space="0"/>
              <w:right w:val="single" w:color="000000" w:sz="4" w:space="0"/>
            </w:tcBorders>
            <w:noWrap/>
            <w:vAlign w:val="center"/>
          </w:tcPr>
          <w:p w14:paraId="388B730C">
            <w:pPr>
              <w:jc w:val="center"/>
              <w:textAlignment w:val="center"/>
              <w:rPr>
                <w:rFonts w:hint="eastAsia" w:ascii="仿宋" w:hAnsi="仿宋" w:eastAsia="仿宋" w:cs="仿宋"/>
              </w:rPr>
            </w:pPr>
            <w:r>
              <w:rPr>
                <w:rFonts w:hint="eastAsia" w:ascii="仿宋" w:hAnsi="仿宋" w:eastAsia="仿宋" w:cs="仿宋"/>
                <w:lang w:eastAsia="zh-CN" w:bidi="ar"/>
              </w:rPr>
              <w:t>合计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8C95C7D">
            <w:pPr>
              <w:jc w:val="center"/>
              <w:textAlignment w:val="center"/>
              <w:rPr>
                <w:rFonts w:hint="eastAsia" w:ascii="仿宋" w:hAnsi="仿宋" w:eastAsia="仿宋" w:cs="仿宋"/>
              </w:rPr>
            </w:pPr>
            <w:r>
              <w:rPr>
                <w:rFonts w:hint="eastAsia" w:ascii="仿宋" w:hAnsi="仿宋" w:eastAsia="仿宋" w:cs="仿宋"/>
                <w:lang w:eastAsia="zh-CN" w:bidi="ar"/>
              </w:rPr>
              <w:t>100</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FEE0C0A">
            <w:pPr>
              <w:jc w:val="center"/>
              <w:textAlignment w:val="center"/>
              <w:rPr>
                <w:rFonts w:hint="eastAsia" w:ascii="仿宋" w:hAnsi="仿宋" w:eastAsia="仿宋" w:cs="仿宋"/>
              </w:rPr>
            </w:pPr>
            <w:r>
              <w:rPr>
                <w:rFonts w:hint="eastAsia" w:ascii="仿宋" w:hAnsi="仿宋" w:eastAsia="仿宋" w:cs="仿宋"/>
                <w:lang w:eastAsia="zh-CN" w:bidi="ar"/>
              </w:rPr>
              <w:t>84</w:t>
            </w:r>
          </w:p>
        </w:tc>
        <w:tc>
          <w:tcPr>
            <w:tcW w:w="4987" w:type="dxa"/>
            <w:tcBorders>
              <w:top w:val="single" w:color="000000" w:sz="4" w:space="0"/>
              <w:left w:val="single" w:color="000000" w:sz="4" w:space="0"/>
              <w:bottom w:val="single" w:color="000000" w:sz="4" w:space="0"/>
              <w:right w:val="single" w:color="000000" w:sz="4" w:space="0"/>
            </w:tcBorders>
            <w:vAlign w:val="center"/>
          </w:tcPr>
          <w:p w14:paraId="2A50B34D">
            <w:pPr>
              <w:rPr>
                <w:rFonts w:hint="eastAsia" w:ascii="仿宋" w:hAnsi="仿宋" w:eastAsia="仿宋" w:cs="仿宋"/>
              </w:rPr>
            </w:pPr>
          </w:p>
        </w:tc>
      </w:tr>
    </w:tbl>
    <w:p w14:paraId="697A5F0C">
      <w:pPr>
        <w:widowControl w:val="0"/>
        <w:overflowPunct w:val="0"/>
        <w:snapToGrid/>
        <w:spacing w:line="360" w:lineRule="auto"/>
        <w:ind w:firstLine="560" w:firstLineChars="200"/>
        <w:rPr>
          <w:rFonts w:ascii="Times New Roman" w:eastAsia="宋体"/>
          <w:color w:val="auto"/>
          <w:sz w:val="28"/>
          <w:lang w:eastAsia="zh-CN"/>
        </w:rPr>
        <w:sectPr>
          <w:pgSz w:w="16839" w:h="11906"/>
          <w:pgMar w:top="708" w:right="892" w:bottom="1151" w:left="891" w:header="0" w:footer="987" w:gutter="0"/>
          <w:cols w:space="720" w:num="1"/>
        </w:sectPr>
      </w:pPr>
    </w:p>
    <w:p w14:paraId="169D3916">
      <w:pPr>
        <w:widowControl w:val="0"/>
        <w:overflowPunct w:val="0"/>
        <w:snapToGrid/>
        <w:spacing w:line="360" w:lineRule="auto"/>
        <w:jc w:val="both"/>
        <w:rPr>
          <w:rFonts w:hint="eastAsia" w:ascii="仿宋" w:hAnsi="仿宋" w:eastAsia="仿宋" w:cs="仿宋"/>
          <w:color w:val="auto"/>
          <w:spacing w:val="-1"/>
          <w:sz w:val="24"/>
          <w:szCs w:val="24"/>
          <w:lang w:eastAsia="zh-CN"/>
          <w14:textOutline w14:w="5105" w14:cap="sq" w14:cmpd="sng" w14:algn="ctr">
            <w14:solidFill>
              <w14:srgbClr w14:val="000000"/>
            </w14:solidFill>
            <w14:prstDash w14:val="solid"/>
            <w14:bevel/>
          </w14:textOutline>
        </w:rPr>
      </w:pPr>
      <w:bookmarkStart w:id="462" w:name="bookmark67"/>
      <w:bookmarkEnd w:id="462"/>
      <w:bookmarkStart w:id="463" w:name="_Toc24661"/>
    </w:p>
    <w:p w14:paraId="28A3BFC9">
      <w:pPr>
        <w:snapToGrid/>
        <w:spacing w:line="408" w:lineRule="auto"/>
        <w:jc w:val="center"/>
        <w:rPr>
          <w:rFonts w:hint="eastAsia" w:ascii="仿宋" w:hAnsi="仿宋" w:eastAsia="仿宋" w:cs="仿宋"/>
          <w:color w:val="auto"/>
          <w:spacing w:val="-2"/>
          <w:sz w:val="28"/>
          <w:szCs w:val="28"/>
          <w:lang w:eastAsia="zh-CN"/>
          <w14:textOutline w14:w="5105" w14:cap="sq" w14:cmpd="sng" w14:algn="ctr">
            <w14:solidFill>
              <w14:srgbClr w14:val="000000"/>
            </w14:solidFill>
            <w14:prstDash w14:val="solid"/>
            <w14:bevel/>
          </w14:textOutline>
        </w:rPr>
      </w:pPr>
      <w:bookmarkStart w:id="464" w:name="_Toc30121"/>
      <w:bookmarkStart w:id="465" w:name="_Toc10197"/>
      <w:bookmarkStart w:id="466" w:name="_Toc11572"/>
      <w:bookmarkStart w:id="467" w:name="_Toc2325"/>
      <w:r>
        <w:rPr>
          <w:rFonts w:ascii="仿宋" w:hAnsi="仿宋" w:eastAsia="仿宋" w:cs="仿宋"/>
          <w:color w:val="auto"/>
          <w:spacing w:val="-1"/>
          <w:sz w:val="28"/>
          <w:szCs w:val="28"/>
          <w:lang w:eastAsia="zh-CN"/>
          <w14:textOutline w14:w="5105" w14:cap="sq" w14:cmpd="sng" w14:algn="ctr">
            <w14:solidFill>
              <w14:srgbClr w14:val="000000"/>
            </w14:solidFill>
            <w14:prstDash w14:val="solid"/>
            <w14:bevel/>
          </w14:textOutline>
        </w:rPr>
        <w:t>附件</w:t>
      </w:r>
      <w:r>
        <w:rPr>
          <w:rFonts w:hint="eastAsia" w:ascii="仿宋" w:hAnsi="仿宋" w:eastAsia="仿宋" w:cs="仿宋"/>
          <w:color w:val="auto"/>
          <w:spacing w:val="-1"/>
          <w:sz w:val="28"/>
          <w:szCs w:val="28"/>
          <w:lang w:eastAsia="zh-CN"/>
          <w14:textOutline w14:w="5105" w14:cap="sq" w14:cmpd="sng" w14:algn="ctr">
            <w14:solidFill>
              <w14:srgbClr w14:val="000000"/>
            </w14:solidFill>
            <w14:prstDash w14:val="solid"/>
            <w14:bevel/>
          </w14:textOutline>
        </w:rPr>
        <w:t>2  2024年度石狮市退役军人事务局</w:t>
      </w:r>
      <w:r>
        <w:rPr>
          <w:rFonts w:ascii="仿宋" w:hAnsi="仿宋" w:eastAsia="仿宋" w:cs="仿宋"/>
          <w:color w:val="auto"/>
          <w:spacing w:val="-1"/>
          <w:sz w:val="28"/>
          <w:szCs w:val="28"/>
          <w:lang w:eastAsia="zh-CN"/>
          <w14:textOutline w14:w="5105" w14:cap="sq" w14:cmpd="sng" w14:algn="ctr">
            <w14:solidFill>
              <w14:srgbClr w14:val="000000"/>
            </w14:solidFill>
            <w14:prstDash w14:val="solid"/>
            <w14:bevel/>
          </w14:textOutline>
        </w:rPr>
        <w:t>部门整体支出满意度调</w:t>
      </w:r>
      <w:r>
        <w:rPr>
          <w:rFonts w:ascii="仿宋" w:hAnsi="仿宋" w:eastAsia="仿宋" w:cs="仿宋"/>
          <w:color w:val="auto"/>
          <w:spacing w:val="-2"/>
          <w:sz w:val="28"/>
          <w:szCs w:val="28"/>
          <w:lang w:eastAsia="zh-CN"/>
          <w14:textOutline w14:w="5105" w14:cap="sq" w14:cmpd="sng" w14:algn="ctr">
            <w14:solidFill>
              <w14:srgbClr w14:val="000000"/>
            </w14:solidFill>
            <w14:prstDash w14:val="solid"/>
            <w14:bevel/>
          </w14:textOutline>
        </w:rPr>
        <w:t>查问卷</w:t>
      </w:r>
      <w:bookmarkEnd w:id="463"/>
      <w:bookmarkEnd w:id="464"/>
      <w:bookmarkEnd w:id="465"/>
      <w:bookmarkEnd w:id="466"/>
      <w:bookmarkEnd w:id="467"/>
    </w:p>
    <w:p w14:paraId="2D013DBD">
      <w:pPr>
        <w:snapToGrid/>
        <w:spacing w:line="408" w:lineRule="auto"/>
        <w:jc w:val="center"/>
        <w:rPr>
          <w:rFonts w:hint="eastAsia" w:ascii="仿宋" w:hAnsi="仿宋" w:eastAsia="仿宋" w:cs="仿宋"/>
          <w:b/>
          <w:bCs/>
          <w:color w:val="auto"/>
          <w:spacing w:val="-2"/>
          <w:sz w:val="24"/>
          <w:szCs w:val="24"/>
          <w:lang w:eastAsia="zh-CN"/>
          <w14:textOutline w14:w="5105" w14:cap="sq" w14:cmpd="sng" w14:algn="ctr">
            <w14:solidFill>
              <w14:srgbClr w14:val="000000"/>
            </w14:solidFill>
            <w14:prstDash w14:val="solid"/>
            <w14:bevel/>
          </w14:textOutline>
        </w:rPr>
      </w:pPr>
    </w:p>
    <w:p w14:paraId="23AA4C96">
      <w:pPr>
        <w:snapToGrid/>
        <w:spacing w:line="408" w:lineRule="auto"/>
        <w:rPr>
          <w:rFonts w:hint="eastAsia" w:ascii="仿宋" w:hAnsi="仿宋" w:eastAsia="仿宋" w:cs="仿宋"/>
          <w:color w:val="auto"/>
          <w:spacing w:val="4"/>
          <w:sz w:val="28"/>
          <w:szCs w:val="32"/>
          <w:lang w:eastAsia="zh-CN"/>
        </w:rPr>
      </w:pPr>
      <w:r>
        <w:rPr>
          <w:rFonts w:hint="eastAsia" w:ascii="仿宋" w:hAnsi="仿宋" w:eastAsia="仿宋" w:cs="仿宋"/>
          <w:color w:val="auto"/>
          <w:spacing w:val="4"/>
          <w:sz w:val="28"/>
          <w:szCs w:val="32"/>
          <w:lang w:eastAsia="zh-CN"/>
        </w:rPr>
        <w:t>尊敬的填表人：</w:t>
      </w:r>
    </w:p>
    <w:p w14:paraId="5748D08F">
      <w:pPr>
        <w:snapToGrid/>
        <w:spacing w:line="408" w:lineRule="auto"/>
        <w:ind w:firstLine="576" w:firstLineChars="200"/>
        <w:rPr>
          <w:rFonts w:hint="eastAsia" w:ascii="仿宋" w:hAnsi="仿宋" w:eastAsia="仿宋" w:cs="仿宋"/>
          <w:color w:val="auto"/>
          <w:spacing w:val="4"/>
          <w:sz w:val="28"/>
          <w:szCs w:val="32"/>
          <w:lang w:eastAsia="zh-CN"/>
        </w:rPr>
      </w:pPr>
      <w:r>
        <w:rPr>
          <w:rFonts w:hint="eastAsia" w:ascii="仿宋" w:hAnsi="仿宋" w:eastAsia="仿宋" w:cs="仿宋"/>
          <w:color w:val="auto"/>
          <w:spacing w:val="4"/>
          <w:sz w:val="28"/>
          <w:szCs w:val="32"/>
          <w:lang w:eastAsia="zh-CN"/>
        </w:rPr>
        <w:t>我们接受石狮市财政局委托，现对石狮市退役军人事务局部门整体支出进行绩效评价。为了充分了解该单位整体支出的产出效益，现需进行该项目满意度调查，敬请配合，不胜感谢！</w:t>
      </w:r>
    </w:p>
    <w:p w14:paraId="1F75F563">
      <w:pPr>
        <w:snapToGrid/>
        <w:spacing w:line="408" w:lineRule="auto"/>
        <w:ind w:firstLine="576" w:firstLineChars="200"/>
        <w:rPr>
          <w:rFonts w:hint="eastAsia" w:ascii="仿宋" w:hAnsi="仿宋" w:eastAsia="仿宋" w:cs="仿宋"/>
          <w:color w:val="auto"/>
          <w:spacing w:val="4"/>
          <w:sz w:val="28"/>
          <w:szCs w:val="32"/>
          <w:lang w:eastAsia="zh-CN"/>
        </w:rPr>
      </w:pPr>
      <w:r>
        <w:rPr>
          <w:rFonts w:hint="eastAsia" w:ascii="仿宋" w:hAnsi="仿宋" w:eastAsia="仿宋" w:cs="仿宋"/>
          <w:color w:val="auto"/>
          <w:spacing w:val="4"/>
          <w:sz w:val="28"/>
          <w:szCs w:val="32"/>
          <w:lang w:eastAsia="zh-CN"/>
        </w:rPr>
        <w:t>此致！</w:t>
      </w:r>
    </w:p>
    <w:p w14:paraId="0B539EF9">
      <w:pPr>
        <w:snapToGrid/>
        <w:spacing w:line="360" w:lineRule="auto"/>
        <w:ind w:firstLine="280" w:firstLineChars="100"/>
        <w:rPr>
          <w:rFonts w:hint="eastAsia" w:ascii="仿宋" w:hAnsi="仿宋" w:eastAsia="仿宋" w:cs="仿宋"/>
          <w:color w:val="auto"/>
          <w:sz w:val="28"/>
          <w:szCs w:val="32"/>
          <w:lang w:eastAsia="zh-CN"/>
        </w:rPr>
      </w:pPr>
      <w:r>
        <w:rPr>
          <w:rFonts w:hint="eastAsia" w:ascii="仿宋" w:hAnsi="仿宋" w:eastAsia="仿宋" w:cs="仿宋"/>
          <w:color w:val="auto"/>
          <w:sz w:val="28"/>
          <w:szCs w:val="32"/>
          <w:lang w:eastAsia="zh-CN"/>
        </w:rPr>
        <w:t>请在所选答案的序号上划“√”，或将答案填写在相应的横线上。</w:t>
      </w:r>
    </w:p>
    <w:p w14:paraId="22067F4A">
      <w:pPr>
        <w:snapToGrid/>
        <w:spacing w:line="360" w:lineRule="auto"/>
        <w:rPr>
          <w:rFonts w:hint="eastAsia" w:ascii="仿宋" w:hAnsi="仿宋" w:eastAsia="仿宋" w:cs="仿宋"/>
          <w:color w:val="auto"/>
          <w:sz w:val="28"/>
          <w:szCs w:val="32"/>
          <w:lang w:eastAsia="zh-CN"/>
        </w:rPr>
      </w:pPr>
    </w:p>
    <w:p w14:paraId="6E4E02A3">
      <w:pPr>
        <w:snapToGrid/>
        <w:spacing w:line="360" w:lineRule="auto"/>
        <w:rPr>
          <w:rFonts w:hint="eastAsia" w:ascii="仿宋" w:hAnsi="仿宋" w:eastAsia="仿宋" w:cs="仿宋"/>
          <w:color w:val="auto"/>
          <w:sz w:val="28"/>
          <w:szCs w:val="32"/>
          <w:lang w:eastAsia="zh-CN"/>
        </w:rPr>
      </w:pPr>
    </w:p>
    <w:p w14:paraId="41C80F5E">
      <w:pPr>
        <w:snapToGrid/>
        <w:spacing w:line="360" w:lineRule="auto"/>
        <w:ind w:firstLine="5184" w:firstLineChars="1800"/>
        <w:rPr>
          <w:rFonts w:hint="eastAsia" w:ascii="仿宋" w:hAnsi="仿宋" w:eastAsia="仿宋" w:cs="仿宋"/>
          <w:color w:val="auto"/>
          <w:spacing w:val="4"/>
          <w:sz w:val="28"/>
          <w:szCs w:val="32"/>
          <w:lang w:eastAsia="zh-CN"/>
        </w:rPr>
      </w:pPr>
      <w:r>
        <w:rPr>
          <w:rFonts w:hint="eastAsia" w:ascii="仿宋" w:hAnsi="仿宋" w:eastAsia="仿宋" w:cs="仿宋"/>
          <w:color w:val="auto"/>
          <w:spacing w:val="4"/>
          <w:sz w:val="28"/>
          <w:szCs w:val="32"/>
          <w:lang w:eastAsia="zh-CN"/>
        </w:rPr>
        <w:t>泉州市启程财务咨询有限公司</w:t>
      </w:r>
    </w:p>
    <w:p w14:paraId="33024F35">
      <w:pPr>
        <w:widowControl w:val="0"/>
        <w:overflowPunct w:val="0"/>
        <w:snapToGrid/>
        <w:spacing w:line="360" w:lineRule="auto"/>
        <w:ind w:firstLine="576" w:firstLineChars="200"/>
        <w:jc w:val="center"/>
        <w:rPr>
          <w:rFonts w:hint="eastAsia" w:ascii="仿宋" w:hAnsi="仿宋" w:eastAsia="仿宋" w:cs="仿宋"/>
          <w:color w:val="auto"/>
          <w:spacing w:val="4"/>
          <w:sz w:val="28"/>
          <w:szCs w:val="32"/>
          <w:lang w:eastAsia="zh-CN"/>
        </w:rPr>
      </w:pPr>
      <w:r>
        <w:rPr>
          <w:rFonts w:hint="eastAsia" w:ascii="仿宋" w:hAnsi="仿宋" w:eastAsia="仿宋" w:cs="仿宋"/>
          <w:color w:val="auto"/>
          <w:spacing w:val="4"/>
          <w:sz w:val="28"/>
          <w:szCs w:val="32"/>
          <w:lang w:eastAsia="zh-CN"/>
        </w:rPr>
        <w:t xml:space="preserve">                          </w:t>
      </w:r>
      <w:r>
        <w:rPr>
          <w:rFonts w:hint="eastAsia" w:ascii="仿宋" w:hAnsi="仿宋" w:eastAsia="仿宋" w:cs="仿宋"/>
          <w:color w:val="auto"/>
          <w:spacing w:val="4"/>
          <w:sz w:val="28"/>
          <w:szCs w:val="32"/>
        </w:rPr>
        <w:t>年</w:t>
      </w:r>
      <w:r>
        <w:rPr>
          <w:rFonts w:hint="eastAsia" w:ascii="仿宋" w:hAnsi="仿宋" w:eastAsia="仿宋" w:cs="仿宋"/>
          <w:color w:val="auto"/>
          <w:spacing w:val="4"/>
          <w:sz w:val="28"/>
          <w:szCs w:val="32"/>
          <w:lang w:eastAsia="zh-CN"/>
        </w:rPr>
        <w:t xml:space="preserve">  </w:t>
      </w:r>
      <w:r>
        <w:rPr>
          <w:rFonts w:hint="eastAsia" w:ascii="仿宋" w:hAnsi="仿宋" w:eastAsia="仿宋" w:cs="仿宋"/>
          <w:color w:val="auto"/>
          <w:spacing w:val="4"/>
          <w:sz w:val="28"/>
          <w:szCs w:val="32"/>
        </w:rPr>
        <w:t>月</w:t>
      </w:r>
      <w:r>
        <w:rPr>
          <w:rFonts w:hint="eastAsia" w:ascii="仿宋" w:hAnsi="仿宋" w:eastAsia="仿宋" w:cs="仿宋"/>
          <w:color w:val="auto"/>
          <w:spacing w:val="4"/>
          <w:sz w:val="28"/>
          <w:szCs w:val="32"/>
          <w:lang w:eastAsia="zh-CN"/>
        </w:rPr>
        <w:t xml:space="preserve">  </w:t>
      </w:r>
      <w:r>
        <w:rPr>
          <w:rFonts w:hint="eastAsia" w:ascii="仿宋" w:hAnsi="仿宋" w:eastAsia="仿宋" w:cs="仿宋"/>
          <w:color w:val="auto"/>
          <w:spacing w:val="4"/>
          <w:sz w:val="28"/>
          <w:szCs w:val="32"/>
        </w:rPr>
        <w:t>日</w:t>
      </w:r>
      <w:r>
        <w:rPr>
          <w:rFonts w:hint="eastAsia" w:ascii="仿宋" w:hAnsi="仿宋" w:eastAsia="仿宋" w:cs="仿宋"/>
          <w:color w:val="auto"/>
          <w:spacing w:val="4"/>
          <w:sz w:val="28"/>
          <w:szCs w:val="32"/>
          <w:lang w:eastAsia="zh-CN"/>
        </w:rPr>
        <w:t xml:space="preserve"> </w:t>
      </w:r>
    </w:p>
    <w:p w14:paraId="7AA577B9">
      <w:pPr>
        <w:widowControl w:val="0"/>
        <w:overflowPunct w:val="0"/>
        <w:snapToGrid/>
        <w:spacing w:line="360" w:lineRule="auto"/>
        <w:ind w:firstLine="576" w:firstLineChars="200"/>
        <w:rPr>
          <w:rFonts w:hint="eastAsia" w:ascii="仿宋" w:hAnsi="仿宋" w:eastAsia="仿宋" w:cs="仿宋"/>
          <w:color w:val="auto"/>
          <w:spacing w:val="4"/>
          <w:sz w:val="28"/>
          <w:szCs w:val="32"/>
          <w:lang w:eastAsia="zh-CN"/>
        </w:rPr>
        <w:sectPr>
          <w:pgSz w:w="11906" w:h="16839"/>
          <w:pgMar w:top="722" w:right="966" w:bottom="1152" w:left="1593" w:header="0" w:footer="987" w:gutter="0"/>
          <w:cols w:space="720" w:num="1"/>
        </w:sectPr>
      </w:pPr>
    </w:p>
    <w:tbl>
      <w:tblPr>
        <w:tblStyle w:val="492"/>
        <w:tblW w:w="481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84" w:type="dxa"/>
          <w:bottom w:w="0" w:type="dxa"/>
          <w:right w:w="84" w:type="dxa"/>
        </w:tblCellMar>
      </w:tblPr>
      <w:tblGrid>
        <w:gridCol w:w="562"/>
        <w:gridCol w:w="6199"/>
        <w:gridCol w:w="865"/>
        <w:gridCol w:w="759"/>
        <w:gridCol w:w="599"/>
      </w:tblGrid>
      <w:tr w14:paraId="2FEFA1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tblHeader/>
          <w:jc w:val="center"/>
        </w:trPr>
        <w:tc>
          <w:tcPr>
            <w:tcW w:w="313" w:type="pct"/>
            <w:tcBorders>
              <w:tl2br w:val="nil"/>
              <w:tr2bl w:val="nil"/>
            </w:tcBorders>
            <w:vAlign w:val="center"/>
          </w:tcPr>
          <w:p w14:paraId="38EEDB62">
            <w:pPr>
              <w:spacing w:line="408" w:lineRule="auto"/>
              <w:jc w:val="center"/>
              <w:rPr>
                <w:rFonts w:hint="eastAsia" w:ascii="仿宋" w:hAnsi="仿宋" w:eastAsia="仿宋" w:cs="仿宋"/>
                <w:b/>
                <w:bCs/>
                <w:sz w:val="18"/>
              </w:rPr>
            </w:pPr>
            <w:bookmarkStart w:id="468" w:name="bookmark69"/>
            <w:bookmarkEnd w:id="468"/>
          </w:p>
          <w:p w14:paraId="3E631D16">
            <w:pPr>
              <w:spacing w:line="408" w:lineRule="auto"/>
              <w:jc w:val="center"/>
              <w:rPr>
                <w:rFonts w:hint="eastAsia" w:ascii="仿宋" w:hAnsi="仿宋" w:eastAsia="仿宋" w:cs="仿宋"/>
                <w:b/>
                <w:bCs/>
                <w:spacing w:val="4"/>
                <w:sz w:val="18"/>
              </w:rPr>
            </w:pPr>
            <w:r>
              <w:rPr>
                <w:rFonts w:hint="eastAsia" w:ascii="仿宋" w:hAnsi="仿宋" w:eastAsia="仿宋" w:cs="仿宋"/>
                <w:b/>
                <w:bCs/>
                <w:sz w:val="18"/>
              </w:rPr>
              <w:t>序号</w:t>
            </w:r>
          </w:p>
        </w:tc>
        <w:tc>
          <w:tcPr>
            <w:tcW w:w="3447" w:type="pct"/>
            <w:tcBorders>
              <w:tl2br w:val="nil"/>
              <w:tr2bl w:val="nil"/>
            </w:tcBorders>
            <w:vAlign w:val="center"/>
          </w:tcPr>
          <w:p w14:paraId="7B5FB0B3">
            <w:pPr>
              <w:spacing w:line="408" w:lineRule="auto"/>
              <w:jc w:val="center"/>
              <w:rPr>
                <w:rFonts w:hint="eastAsia" w:ascii="仿宋" w:hAnsi="仿宋" w:eastAsia="仿宋" w:cs="仿宋"/>
                <w:b/>
                <w:bCs/>
                <w:sz w:val="18"/>
              </w:rPr>
            </w:pPr>
          </w:p>
          <w:p w14:paraId="210ACFD2">
            <w:pPr>
              <w:spacing w:line="408" w:lineRule="auto"/>
              <w:jc w:val="center"/>
              <w:rPr>
                <w:rFonts w:hint="eastAsia" w:ascii="仿宋" w:hAnsi="仿宋" w:eastAsia="仿宋" w:cs="仿宋"/>
                <w:b/>
                <w:bCs/>
                <w:spacing w:val="4"/>
                <w:sz w:val="18"/>
              </w:rPr>
            </w:pPr>
            <w:r>
              <w:rPr>
                <w:rFonts w:hint="eastAsia" w:ascii="仿宋" w:hAnsi="仿宋" w:eastAsia="仿宋" w:cs="仿宋"/>
                <w:b/>
                <w:bCs/>
                <w:sz w:val="18"/>
              </w:rPr>
              <w:t>调查项目</w:t>
            </w:r>
          </w:p>
        </w:tc>
        <w:tc>
          <w:tcPr>
            <w:tcW w:w="481" w:type="pct"/>
            <w:tcBorders>
              <w:tl2br w:val="nil"/>
              <w:tr2bl w:val="nil"/>
            </w:tcBorders>
            <w:vAlign w:val="center"/>
          </w:tcPr>
          <w:p w14:paraId="36D36A74">
            <w:pPr>
              <w:spacing w:line="408" w:lineRule="auto"/>
              <w:jc w:val="center"/>
              <w:rPr>
                <w:rFonts w:hint="eastAsia" w:ascii="仿宋" w:hAnsi="仿宋" w:eastAsia="仿宋" w:cs="仿宋"/>
                <w:b/>
                <w:bCs/>
                <w:sz w:val="18"/>
              </w:rPr>
            </w:pPr>
          </w:p>
          <w:p w14:paraId="67A7C2B3">
            <w:pPr>
              <w:spacing w:line="408" w:lineRule="auto"/>
              <w:jc w:val="center"/>
              <w:rPr>
                <w:rFonts w:hint="eastAsia" w:ascii="仿宋" w:hAnsi="仿宋" w:eastAsia="仿宋" w:cs="仿宋"/>
                <w:b/>
                <w:bCs/>
                <w:spacing w:val="4"/>
                <w:sz w:val="18"/>
              </w:rPr>
            </w:pPr>
            <w:r>
              <w:rPr>
                <w:rFonts w:hint="eastAsia" w:ascii="仿宋" w:hAnsi="仿宋" w:eastAsia="仿宋" w:cs="仿宋"/>
                <w:b/>
                <w:bCs/>
                <w:sz w:val="18"/>
              </w:rPr>
              <w:t>分数</w:t>
            </w:r>
          </w:p>
        </w:tc>
        <w:tc>
          <w:tcPr>
            <w:tcW w:w="422" w:type="pct"/>
            <w:tcBorders>
              <w:tl2br w:val="nil"/>
              <w:tr2bl w:val="nil"/>
            </w:tcBorders>
            <w:vAlign w:val="center"/>
          </w:tcPr>
          <w:p w14:paraId="29E52FB6">
            <w:pPr>
              <w:spacing w:line="408" w:lineRule="auto"/>
              <w:jc w:val="center"/>
              <w:rPr>
                <w:rFonts w:hint="eastAsia" w:ascii="仿宋" w:hAnsi="仿宋" w:eastAsia="仿宋" w:cs="仿宋"/>
                <w:b/>
                <w:bCs/>
                <w:sz w:val="18"/>
              </w:rPr>
            </w:pPr>
          </w:p>
          <w:p w14:paraId="5864150F">
            <w:pPr>
              <w:spacing w:line="408" w:lineRule="auto"/>
              <w:jc w:val="center"/>
              <w:rPr>
                <w:rFonts w:hint="eastAsia" w:ascii="仿宋" w:hAnsi="仿宋" w:eastAsia="仿宋" w:cs="仿宋"/>
                <w:b/>
                <w:bCs/>
                <w:spacing w:val="4"/>
                <w:sz w:val="18"/>
              </w:rPr>
            </w:pPr>
            <w:r>
              <w:rPr>
                <w:rFonts w:hint="eastAsia" w:ascii="仿宋" w:hAnsi="仿宋" w:eastAsia="仿宋" w:cs="仿宋"/>
                <w:b/>
                <w:bCs/>
                <w:sz w:val="18"/>
              </w:rPr>
              <w:t>得分</w:t>
            </w:r>
          </w:p>
        </w:tc>
        <w:tc>
          <w:tcPr>
            <w:tcW w:w="333" w:type="pct"/>
            <w:tcBorders>
              <w:tl2br w:val="nil"/>
              <w:tr2bl w:val="nil"/>
            </w:tcBorders>
            <w:vAlign w:val="center"/>
          </w:tcPr>
          <w:p w14:paraId="1288C648">
            <w:pPr>
              <w:spacing w:line="408" w:lineRule="auto"/>
              <w:jc w:val="center"/>
              <w:rPr>
                <w:rFonts w:hint="eastAsia" w:ascii="仿宋" w:hAnsi="仿宋" w:eastAsia="仿宋" w:cs="仿宋"/>
                <w:b/>
                <w:bCs/>
                <w:sz w:val="18"/>
              </w:rPr>
            </w:pPr>
          </w:p>
          <w:p w14:paraId="242B65DD">
            <w:pPr>
              <w:spacing w:line="408" w:lineRule="auto"/>
              <w:jc w:val="center"/>
              <w:rPr>
                <w:rFonts w:hint="eastAsia" w:ascii="仿宋" w:hAnsi="仿宋" w:eastAsia="仿宋" w:cs="仿宋"/>
                <w:b/>
                <w:bCs/>
                <w:spacing w:val="4"/>
                <w:sz w:val="18"/>
              </w:rPr>
            </w:pPr>
            <w:r>
              <w:rPr>
                <w:rFonts w:hint="eastAsia" w:ascii="仿宋" w:hAnsi="仿宋" w:eastAsia="仿宋" w:cs="仿宋"/>
                <w:b/>
                <w:bCs/>
                <w:sz w:val="18"/>
              </w:rPr>
              <w:t>备注</w:t>
            </w:r>
          </w:p>
        </w:tc>
      </w:tr>
      <w:tr w14:paraId="419672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jc w:val="center"/>
        </w:trPr>
        <w:tc>
          <w:tcPr>
            <w:tcW w:w="313" w:type="pct"/>
            <w:tcBorders>
              <w:tl2br w:val="nil"/>
              <w:tr2bl w:val="nil"/>
            </w:tcBorders>
            <w:vAlign w:val="center"/>
          </w:tcPr>
          <w:p w14:paraId="1712CF7E">
            <w:pPr>
              <w:spacing w:line="408" w:lineRule="auto"/>
              <w:ind w:left="195"/>
              <w:jc w:val="both"/>
              <w:rPr>
                <w:rFonts w:hint="eastAsia" w:ascii="仿宋" w:hAnsi="仿宋" w:eastAsia="仿宋" w:cs="仿宋"/>
                <w:spacing w:val="4"/>
                <w:sz w:val="18"/>
              </w:rPr>
            </w:pPr>
            <w:r>
              <w:rPr>
                <w:rFonts w:hint="eastAsia" w:ascii="仿宋" w:hAnsi="仿宋" w:eastAsia="仿宋" w:cs="仿宋"/>
                <w:spacing w:val="4"/>
                <w:sz w:val="18"/>
              </w:rPr>
              <w:t>1</w:t>
            </w:r>
          </w:p>
          <w:p w14:paraId="47AEC627">
            <w:pPr>
              <w:pStyle w:val="55"/>
              <w:spacing w:line="408" w:lineRule="auto"/>
              <w:jc w:val="both"/>
              <w:rPr>
                <w:rFonts w:hint="eastAsia" w:ascii="仿宋" w:hAnsi="仿宋" w:eastAsia="仿宋" w:cs="仿宋"/>
                <w:spacing w:val="4"/>
                <w:szCs w:val="24"/>
              </w:rPr>
            </w:pPr>
          </w:p>
        </w:tc>
        <w:tc>
          <w:tcPr>
            <w:tcW w:w="3447" w:type="pct"/>
            <w:tcBorders>
              <w:tl2br w:val="nil"/>
              <w:tr2bl w:val="nil"/>
            </w:tcBorders>
            <w:vAlign w:val="center"/>
          </w:tcPr>
          <w:p w14:paraId="16F4948C">
            <w:pPr>
              <w:spacing w:line="408" w:lineRule="auto"/>
              <w:ind w:left="90" w:right="58"/>
              <w:rPr>
                <w:rFonts w:hint="eastAsia" w:ascii="仿宋" w:hAnsi="仿宋" w:eastAsia="仿宋"/>
                <w:sz w:val="18"/>
                <w:szCs w:val="22"/>
                <w:lang w:eastAsia="zh-CN"/>
              </w:rPr>
            </w:pPr>
            <w:r>
              <w:rPr>
                <w:rFonts w:hint="eastAsia" w:ascii="仿宋" w:hAnsi="仿宋" w:eastAsia="仿宋" w:cs="仿宋"/>
                <w:spacing w:val="4"/>
                <w:sz w:val="18"/>
                <w:lang w:eastAsia="zh-CN"/>
              </w:rPr>
              <w:t>您认为石狮市退役军人事务局项目质量如何？</w:t>
            </w:r>
          </w:p>
          <w:p w14:paraId="3FF37230">
            <w:pPr>
              <w:spacing w:line="408" w:lineRule="auto"/>
              <w:ind w:left="90" w:right="58"/>
              <w:rPr>
                <w:rFonts w:hint="eastAsia" w:ascii="仿宋" w:hAnsi="仿宋" w:eastAsia="仿宋" w:cs="仿宋"/>
                <w:spacing w:val="4"/>
                <w:sz w:val="18"/>
                <w:lang w:eastAsia="zh-CN"/>
              </w:rPr>
            </w:pPr>
            <w:r>
              <w:rPr>
                <w:rFonts w:hint="eastAsia" w:ascii="仿宋" w:hAnsi="仿宋" w:eastAsia="仿宋" w:cs="仿宋"/>
                <w:spacing w:val="4"/>
                <w:sz w:val="18"/>
                <w:lang w:eastAsia="zh-CN"/>
              </w:rPr>
              <w:t>（质量好10分；较好6～9分；一般1～5分；不好0分）</w:t>
            </w:r>
          </w:p>
        </w:tc>
        <w:tc>
          <w:tcPr>
            <w:tcW w:w="481" w:type="pct"/>
            <w:tcBorders>
              <w:tl2br w:val="nil"/>
              <w:tr2bl w:val="nil"/>
            </w:tcBorders>
            <w:vAlign w:val="center"/>
          </w:tcPr>
          <w:p w14:paraId="79705F2B">
            <w:pPr>
              <w:spacing w:line="408" w:lineRule="auto"/>
              <w:ind w:left="267"/>
              <w:jc w:val="both"/>
              <w:rPr>
                <w:rFonts w:hint="eastAsia" w:ascii="仿宋" w:hAnsi="仿宋" w:eastAsia="仿宋" w:cs="仿宋"/>
                <w:spacing w:val="4"/>
                <w:sz w:val="18"/>
              </w:rPr>
            </w:pPr>
            <w:r>
              <w:rPr>
                <w:rFonts w:hint="eastAsia" w:ascii="仿宋" w:hAnsi="仿宋" w:eastAsia="仿宋" w:cs="仿宋"/>
                <w:spacing w:val="4"/>
                <w:sz w:val="18"/>
              </w:rPr>
              <w:t>10</w:t>
            </w:r>
          </w:p>
        </w:tc>
        <w:tc>
          <w:tcPr>
            <w:tcW w:w="422" w:type="pct"/>
            <w:tcBorders>
              <w:tl2br w:val="nil"/>
              <w:tr2bl w:val="nil"/>
            </w:tcBorders>
            <w:vAlign w:val="center"/>
          </w:tcPr>
          <w:p w14:paraId="66FFFC9D">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058B06F4">
            <w:pPr>
              <w:spacing w:line="408" w:lineRule="auto"/>
              <w:jc w:val="center"/>
              <w:rPr>
                <w:rFonts w:hint="eastAsia" w:ascii="仿宋" w:hAnsi="仿宋" w:eastAsia="仿宋" w:cs="仿宋"/>
                <w:spacing w:val="4"/>
                <w:sz w:val="18"/>
              </w:rPr>
            </w:pPr>
          </w:p>
        </w:tc>
      </w:tr>
      <w:tr w14:paraId="5402F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jc w:val="center"/>
        </w:trPr>
        <w:tc>
          <w:tcPr>
            <w:tcW w:w="313" w:type="pct"/>
            <w:tcBorders>
              <w:tl2br w:val="nil"/>
              <w:tr2bl w:val="nil"/>
            </w:tcBorders>
            <w:vAlign w:val="center"/>
          </w:tcPr>
          <w:p w14:paraId="43A1DAB3">
            <w:pPr>
              <w:spacing w:line="408" w:lineRule="auto"/>
              <w:ind w:left="195"/>
              <w:jc w:val="both"/>
              <w:rPr>
                <w:rFonts w:hint="eastAsia" w:ascii="仿宋" w:hAnsi="仿宋" w:eastAsia="仿宋" w:cs="仿宋"/>
                <w:spacing w:val="4"/>
                <w:sz w:val="18"/>
              </w:rPr>
            </w:pPr>
            <w:r>
              <w:rPr>
                <w:rFonts w:hint="eastAsia" w:ascii="仿宋" w:hAnsi="仿宋" w:eastAsia="仿宋" w:cs="仿宋"/>
                <w:spacing w:val="4"/>
                <w:sz w:val="18"/>
              </w:rPr>
              <w:t>2</w:t>
            </w:r>
          </w:p>
          <w:p w14:paraId="334FE28A">
            <w:pPr>
              <w:pStyle w:val="55"/>
              <w:spacing w:line="408" w:lineRule="auto"/>
              <w:jc w:val="both"/>
              <w:rPr>
                <w:rFonts w:hint="eastAsia" w:ascii="仿宋" w:hAnsi="仿宋" w:eastAsia="仿宋" w:cs="仿宋"/>
                <w:spacing w:val="4"/>
                <w:szCs w:val="24"/>
              </w:rPr>
            </w:pPr>
          </w:p>
        </w:tc>
        <w:tc>
          <w:tcPr>
            <w:tcW w:w="3447" w:type="pct"/>
            <w:tcBorders>
              <w:tl2br w:val="nil"/>
              <w:tr2bl w:val="nil"/>
            </w:tcBorders>
            <w:vAlign w:val="center"/>
          </w:tcPr>
          <w:p w14:paraId="1AB295FC">
            <w:pPr>
              <w:spacing w:line="408" w:lineRule="auto"/>
              <w:ind w:left="90" w:right="91"/>
              <w:rPr>
                <w:rFonts w:hint="eastAsia" w:ascii="仿宋" w:hAnsi="仿宋" w:eastAsia="仿宋" w:cs="仿宋"/>
                <w:spacing w:val="4"/>
                <w:sz w:val="18"/>
                <w:lang w:eastAsia="zh-CN"/>
              </w:rPr>
            </w:pPr>
            <w:r>
              <w:rPr>
                <w:rFonts w:hint="eastAsia" w:ascii="仿宋" w:hAnsi="仿宋" w:eastAsia="仿宋" w:cs="仿宋"/>
                <w:spacing w:val="4"/>
                <w:sz w:val="18"/>
                <w:lang w:eastAsia="zh-CN"/>
              </w:rPr>
              <w:t>您认为石狮市退役军人事务局整体项目的经济效益如何？</w:t>
            </w:r>
          </w:p>
          <w:p w14:paraId="5030B3D2">
            <w:pPr>
              <w:spacing w:line="408" w:lineRule="auto"/>
              <w:ind w:left="90" w:right="91"/>
              <w:rPr>
                <w:rFonts w:hint="eastAsia" w:ascii="仿宋" w:hAnsi="仿宋" w:eastAsia="仿宋" w:cs="仿宋"/>
                <w:spacing w:val="4"/>
                <w:sz w:val="18"/>
                <w:lang w:eastAsia="zh-CN"/>
              </w:rPr>
            </w:pPr>
            <w:r>
              <w:rPr>
                <w:rFonts w:hint="eastAsia" w:ascii="仿宋" w:hAnsi="仿宋" w:eastAsia="仿宋" w:cs="仿宋"/>
                <w:spacing w:val="4"/>
                <w:sz w:val="18"/>
                <w:lang w:eastAsia="zh-CN"/>
              </w:rPr>
              <w:t>（效益明显10分；较明显6～9分；一般1～5分；效果不明显0分）</w:t>
            </w:r>
          </w:p>
        </w:tc>
        <w:tc>
          <w:tcPr>
            <w:tcW w:w="481" w:type="pct"/>
            <w:tcBorders>
              <w:tl2br w:val="nil"/>
              <w:tr2bl w:val="nil"/>
            </w:tcBorders>
            <w:vAlign w:val="center"/>
          </w:tcPr>
          <w:p w14:paraId="776F5FDE">
            <w:pPr>
              <w:spacing w:line="408" w:lineRule="auto"/>
              <w:ind w:left="267"/>
              <w:jc w:val="both"/>
              <w:rPr>
                <w:rFonts w:hint="eastAsia" w:ascii="仿宋" w:hAnsi="仿宋" w:eastAsia="仿宋" w:cs="仿宋"/>
                <w:spacing w:val="4"/>
                <w:sz w:val="18"/>
              </w:rPr>
            </w:pPr>
            <w:r>
              <w:rPr>
                <w:rFonts w:hint="eastAsia" w:ascii="仿宋" w:hAnsi="仿宋" w:eastAsia="仿宋" w:cs="仿宋"/>
                <w:spacing w:val="4"/>
                <w:sz w:val="18"/>
              </w:rPr>
              <w:t>10</w:t>
            </w:r>
          </w:p>
        </w:tc>
        <w:tc>
          <w:tcPr>
            <w:tcW w:w="422" w:type="pct"/>
            <w:tcBorders>
              <w:tl2br w:val="nil"/>
              <w:tr2bl w:val="nil"/>
            </w:tcBorders>
            <w:vAlign w:val="center"/>
          </w:tcPr>
          <w:p w14:paraId="06BDCD06">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3A6F1EF2">
            <w:pPr>
              <w:spacing w:line="408" w:lineRule="auto"/>
              <w:jc w:val="center"/>
              <w:rPr>
                <w:rFonts w:hint="eastAsia" w:ascii="仿宋" w:hAnsi="仿宋" w:eastAsia="仿宋" w:cs="仿宋"/>
                <w:spacing w:val="4"/>
                <w:sz w:val="18"/>
              </w:rPr>
            </w:pPr>
          </w:p>
        </w:tc>
      </w:tr>
      <w:tr w14:paraId="25819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jc w:val="center"/>
        </w:trPr>
        <w:tc>
          <w:tcPr>
            <w:tcW w:w="313" w:type="pct"/>
            <w:tcBorders>
              <w:tl2br w:val="nil"/>
              <w:tr2bl w:val="nil"/>
            </w:tcBorders>
            <w:vAlign w:val="center"/>
          </w:tcPr>
          <w:p w14:paraId="104410DA">
            <w:pPr>
              <w:spacing w:line="408" w:lineRule="auto"/>
              <w:jc w:val="both"/>
              <w:rPr>
                <w:rFonts w:hint="eastAsia" w:ascii="仿宋" w:hAnsi="仿宋" w:eastAsia="仿宋" w:cs="仿宋"/>
                <w:spacing w:val="4"/>
                <w:sz w:val="18"/>
              </w:rPr>
            </w:pPr>
          </w:p>
          <w:p w14:paraId="1E473A23">
            <w:pPr>
              <w:spacing w:line="408" w:lineRule="auto"/>
              <w:ind w:left="195"/>
              <w:jc w:val="both"/>
              <w:rPr>
                <w:rFonts w:hint="eastAsia" w:ascii="仿宋" w:hAnsi="仿宋" w:eastAsia="仿宋" w:cs="仿宋"/>
                <w:spacing w:val="4"/>
                <w:sz w:val="18"/>
              </w:rPr>
            </w:pPr>
            <w:r>
              <w:rPr>
                <w:rFonts w:hint="eastAsia" w:ascii="仿宋" w:hAnsi="仿宋" w:eastAsia="仿宋" w:cs="仿宋"/>
                <w:spacing w:val="4"/>
                <w:sz w:val="18"/>
              </w:rPr>
              <w:t>3</w:t>
            </w:r>
          </w:p>
          <w:p w14:paraId="2D8E1A5F">
            <w:pPr>
              <w:pStyle w:val="55"/>
              <w:spacing w:line="408" w:lineRule="auto"/>
              <w:jc w:val="both"/>
              <w:rPr>
                <w:rFonts w:hint="eastAsia" w:ascii="仿宋" w:hAnsi="仿宋" w:eastAsia="仿宋" w:cs="仿宋"/>
                <w:spacing w:val="4"/>
                <w:szCs w:val="24"/>
              </w:rPr>
            </w:pPr>
          </w:p>
        </w:tc>
        <w:tc>
          <w:tcPr>
            <w:tcW w:w="3447" w:type="pct"/>
            <w:tcBorders>
              <w:tl2br w:val="nil"/>
              <w:tr2bl w:val="nil"/>
            </w:tcBorders>
            <w:vAlign w:val="center"/>
          </w:tcPr>
          <w:p w14:paraId="3F967731">
            <w:pPr>
              <w:spacing w:line="408" w:lineRule="auto"/>
              <w:ind w:left="90"/>
              <w:rPr>
                <w:rFonts w:hint="eastAsia" w:ascii="仿宋" w:hAnsi="仿宋" w:eastAsia="仿宋" w:cs="仿宋"/>
                <w:spacing w:val="4"/>
                <w:sz w:val="18"/>
                <w:lang w:eastAsia="zh-CN"/>
              </w:rPr>
            </w:pPr>
            <w:r>
              <w:rPr>
                <w:rFonts w:hint="eastAsia" w:ascii="仿宋" w:hAnsi="仿宋" w:eastAsia="仿宋" w:cs="仿宋"/>
                <w:spacing w:val="4"/>
                <w:sz w:val="18"/>
                <w:lang w:eastAsia="zh-CN"/>
              </w:rPr>
              <w:t>您认为石狮市退役军人事务局整体项目可持续发展情况如何？</w:t>
            </w:r>
          </w:p>
          <w:p w14:paraId="0A6773FD">
            <w:pPr>
              <w:spacing w:line="408" w:lineRule="auto"/>
              <w:ind w:left="90"/>
              <w:rPr>
                <w:rFonts w:hint="eastAsia" w:ascii="仿宋" w:hAnsi="仿宋" w:eastAsia="仿宋" w:cs="仿宋"/>
                <w:spacing w:val="4"/>
                <w:sz w:val="18"/>
                <w:lang w:eastAsia="zh-CN"/>
              </w:rPr>
            </w:pPr>
            <w:r>
              <w:rPr>
                <w:rFonts w:hint="eastAsia" w:ascii="仿宋" w:hAnsi="仿宋" w:eastAsia="仿宋" w:cs="仿宋"/>
                <w:spacing w:val="4"/>
                <w:sz w:val="18"/>
                <w:lang w:eastAsia="zh-CN"/>
              </w:rPr>
              <w:t>（持续发展效果明显10分；较明显6～9分；一般1～5分；效果不明显0分）</w:t>
            </w:r>
          </w:p>
        </w:tc>
        <w:tc>
          <w:tcPr>
            <w:tcW w:w="481" w:type="pct"/>
            <w:tcBorders>
              <w:tl2br w:val="nil"/>
              <w:tr2bl w:val="nil"/>
            </w:tcBorders>
            <w:vAlign w:val="center"/>
          </w:tcPr>
          <w:p w14:paraId="3DD95494">
            <w:pPr>
              <w:spacing w:line="408" w:lineRule="auto"/>
              <w:ind w:left="267"/>
              <w:jc w:val="center"/>
              <w:rPr>
                <w:rFonts w:hint="eastAsia" w:ascii="仿宋" w:hAnsi="仿宋" w:eastAsia="仿宋" w:cs="仿宋"/>
                <w:spacing w:val="4"/>
                <w:sz w:val="18"/>
                <w:lang w:eastAsia="zh-CN"/>
              </w:rPr>
            </w:pPr>
          </w:p>
          <w:p w14:paraId="558E76EC">
            <w:pPr>
              <w:spacing w:line="408" w:lineRule="auto"/>
              <w:ind w:left="267"/>
              <w:jc w:val="both"/>
              <w:rPr>
                <w:rFonts w:hint="eastAsia" w:ascii="仿宋" w:hAnsi="仿宋" w:eastAsia="仿宋" w:cs="仿宋"/>
                <w:spacing w:val="4"/>
                <w:sz w:val="18"/>
              </w:rPr>
            </w:pPr>
            <w:r>
              <w:rPr>
                <w:rFonts w:hint="eastAsia" w:ascii="仿宋" w:hAnsi="仿宋" w:eastAsia="仿宋" w:cs="仿宋"/>
                <w:spacing w:val="4"/>
                <w:sz w:val="18"/>
              </w:rPr>
              <w:t>10</w:t>
            </w:r>
          </w:p>
        </w:tc>
        <w:tc>
          <w:tcPr>
            <w:tcW w:w="422" w:type="pct"/>
            <w:tcBorders>
              <w:tl2br w:val="nil"/>
              <w:tr2bl w:val="nil"/>
            </w:tcBorders>
            <w:vAlign w:val="center"/>
          </w:tcPr>
          <w:p w14:paraId="55752EAC">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0B8C6EC1">
            <w:pPr>
              <w:spacing w:line="408" w:lineRule="auto"/>
              <w:jc w:val="center"/>
              <w:rPr>
                <w:rFonts w:hint="eastAsia" w:ascii="仿宋" w:hAnsi="仿宋" w:eastAsia="仿宋" w:cs="仿宋"/>
                <w:spacing w:val="4"/>
                <w:sz w:val="18"/>
              </w:rPr>
            </w:pPr>
          </w:p>
        </w:tc>
      </w:tr>
      <w:tr w14:paraId="550A8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jc w:val="center"/>
        </w:trPr>
        <w:tc>
          <w:tcPr>
            <w:tcW w:w="313" w:type="pct"/>
            <w:tcBorders>
              <w:tl2br w:val="nil"/>
              <w:tr2bl w:val="nil"/>
            </w:tcBorders>
            <w:vAlign w:val="center"/>
          </w:tcPr>
          <w:p w14:paraId="77577365">
            <w:pPr>
              <w:spacing w:line="408" w:lineRule="auto"/>
              <w:ind w:left="195"/>
              <w:jc w:val="both"/>
              <w:rPr>
                <w:rFonts w:hint="eastAsia" w:ascii="仿宋" w:hAnsi="仿宋" w:eastAsia="仿宋" w:cs="仿宋"/>
                <w:spacing w:val="4"/>
                <w:sz w:val="18"/>
              </w:rPr>
            </w:pPr>
            <w:r>
              <w:rPr>
                <w:rFonts w:hint="eastAsia" w:ascii="仿宋" w:hAnsi="仿宋" w:eastAsia="仿宋" w:cs="仿宋"/>
                <w:spacing w:val="4"/>
                <w:sz w:val="18"/>
              </w:rPr>
              <w:t>4</w:t>
            </w:r>
          </w:p>
          <w:p w14:paraId="70F2E552">
            <w:pPr>
              <w:pStyle w:val="55"/>
              <w:spacing w:line="408" w:lineRule="auto"/>
              <w:jc w:val="both"/>
              <w:rPr>
                <w:rFonts w:hint="eastAsia" w:ascii="仿宋" w:hAnsi="仿宋" w:eastAsia="仿宋" w:cs="仿宋"/>
                <w:spacing w:val="4"/>
                <w:szCs w:val="24"/>
              </w:rPr>
            </w:pPr>
          </w:p>
        </w:tc>
        <w:tc>
          <w:tcPr>
            <w:tcW w:w="3447" w:type="pct"/>
            <w:tcBorders>
              <w:tl2br w:val="nil"/>
              <w:tr2bl w:val="nil"/>
            </w:tcBorders>
            <w:vAlign w:val="center"/>
          </w:tcPr>
          <w:p w14:paraId="31546FE7">
            <w:pPr>
              <w:spacing w:line="408" w:lineRule="auto"/>
              <w:ind w:left="90" w:right="254"/>
              <w:rPr>
                <w:rFonts w:hint="eastAsia" w:ascii="仿宋" w:hAnsi="仿宋" w:eastAsia="仿宋" w:cs="仿宋"/>
                <w:spacing w:val="4"/>
                <w:sz w:val="18"/>
                <w:lang w:eastAsia="zh-CN"/>
              </w:rPr>
            </w:pPr>
            <w:r>
              <w:rPr>
                <w:rFonts w:hint="eastAsia" w:ascii="仿宋" w:hAnsi="仿宋" w:eastAsia="仿宋" w:cs="仿宋"/>
                <w:spacing w:val="4"/>
                <w:sz w:val="18"/>
                <w:lang w:eastAsia="zh-CN"/>
              </w:rPr>
              <w:t>您认为石狮市退役军人事务局工作执行效率如何？</w:t>
            </w:r>
          </w:p>
          <w:p w14:paraId="0F55C72A">
            <w:pPr>
              <w:spacing w:line="408" w:lineRule="auto"/>
              <w:ind w:left="90" w:right="254"/>
              <w:rPr>
                <w:rFonts w:hint="eastAsia" w:ascii="仿宋" w:hAnsi="仿宋" w:eastAsia="仿宋" w:cs="仿宋"/>
                <w:spacing w:val="4"/>
                <w:sz w:val="18"/>
                <w:lang w:eastAsia="zh-CN"/>
              </w:rPr>
            </w:pPr>
            <w:r>
              <w:rPr>
                <w:rFonts w:hint="eastAsia" w:ascii="仿宋" w:hAnsi="仿宋" w:eastAsia="仿宋" w:cs="仿宋"/>
                <w:spacing w:val="4"/>
                <w:sz w:val="18"/>
                <w:lang w:eastAsia="zh-CN"/>
              </w:rPr>
              <w:t>（好10分；较好6～9分；一般1～5分；不好0分）</w:t>
            </w:r>
          </w:p>
        </w:tc>
        <w:tc>
          <w:tcPr>
            <w:tcW w:w="481" w:type="pct"/>
            <w:tcBorders>
              <w:tl2br w:val="nil"/>
              <w:tr2bl w:val="nil"/>
            </w:tcBorders>
            <w:vAlign w:val="center"/>
          </w:tcPr>
          <w:p w14:paraId="68C64C5B">
            <w:pPr>
              <w:spacing w:line="408" w:lineRule="auto"/>
              <w:ind w:left="267"/>
              <w:jc w:val="both"/>
              <w:rPr>
                <w:rFonts w:hint="eastAsia" w:ascii="仿宋" w:hAnsi="仿宋" w:eastAsia="仿宋" w:cs="仿宋"/>
                <w:spacing w:val="4"/>
                <w:sz w:val="18"/>
              </w:rPr>
            </w:pPr>
            <w:r>
              <w:rPr>
                <w:rFonts w:hint="eastAsia" w:ascii="仿宋" w:hAnsi="仿宋" w:eastAsia="仿宋" w:cs="仿宋"/>
                <w:spacing w:val="4"/>
                <w:sz w:val="18"/>
              </w:rPr>
              <w:t>10</w:t>
            </w:r>
          </w:p>
        </w:tc>
        <w:tc>
          <w:tcPr>
            <w:tcW w:w="422" w:type="pct"/>
            <w:tcBorders>
              <w:tl2br w:val="nil"/>
              <w:tr2bl w:val="nil"/>
            </w:tcBorders>
            <w:vAlign w:val="center"/>
          </w:tcPr>
          <w:p w14:paraId="1A6C1E72">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40D8B7A8">
            <w:pPr>
              <w:spacing w:line="408" w:lineRule="auto"/>
              <w:jc w:val="center"/>
              <w:rPr>
                <w:rFonts w:hint="eastAsia" w:ascii="仿宋" w:hAnsi="仿宋" w:eastAsia="仿宋" w:cs="仿宋"/>
                <w:spacing w:val="4"/>
                <w:sz w:val="18"/>
              </w:rPr>
            </w:pPr>
          </w:p>
        </w:tc>
      </w:tr>
      <w:tr w14:paraId="594FD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jc w:val="center"/>
        </w:trPr>
        <w:tc>
          <w:tcPr>
            <w:tcW w:w="313" w:type="pct"/>
            <w:tcBorders>
              <w:tl2br w:val="nil"/>
              <w:tr2bl w:val="nil"/>
            </w:tcBorders>
            <w:vAlign w:val="center"/>
          </w:tcPr>
          <w:p w14:paraId="0F5E971A">
            <w:pPr>
              <w:spacing w:line="408" w:lineRule="auto"/>
              <w:ind w:left="195"/>
              <w:jc w:val="both"/>
              <w:rPr>
                <w:rFonts w:hint="eastAsia" w:ascii="仿宋" w:hAnsi="仿宋" w:eastAsia="仿宋" w:cs="仿宋"/>
                <w:spacing w:val="4"/>
                <w:sz w:val="18"/>
              </w:rPr>
            </w:pPr>
            <w:r>
              <w:rPr>
                <w:rFonts w:hint="eastAsia" w:ascii="仿宋" w:hAnsi="仿宋" w:eastAsia="仿宋" w:cs="仿宋"/>
                <w:spacing w:val="4"/>
                <w:sz w:val="18"/>
              </w:rPr>
              <w:t>5</w:t>
            </w:r>
          </w:p>
          <w:p w14:paraId="3AD76DC7">
            <w:pPr>
              <w:pStyle w:val="55"/>
              <w:spacing w:line="408" w:lineRule="auto"/>
              <w:jc w:val="both"/>
              <w:rPr>
                <w:rFonts w:hint="eastAsia" w:ascii="仿宋" w:hAnsi="仿宋" w:eastAsia="仿宋" w:cs="仿宋"/>
                <w:spacing w:val="4"/>
                <w:szCs w:val="24"/>
              </w:rPr>
            </w:pPr>
          </w:p>
        </w:tc>
        <w:tc>
          <w:tcPr>
            <w:tcW w:w="3447" w:type="pct"/>
            <w:tcBorders>
              <w:tl2br w:val="nil"/>
              <w:tr2bl w:val="nil"/>
            </w:tcBorders>
            <w:vAlign w:val="center"/>
          </w:tcPr>
          <w:p w14:paraId="759B4102">
            <w:pPr>
              <w:spacing w:line="408" w:lineRule="auto"/>
              <w:ind w:left="90" w:right="288"/>
              <w:rPr>
                <w:rFonts w:hint="eastAsia" w:ascii="仿宋" w:hAnsi="仿宋" w:eastAsia="仿宋"/>
                <w:sz w:val="18"/>
                <w:szCs w:val="22"/>
                <w:lang w:eastAsia="zh-CN"/>
              </w:rPr>
            </w:pPr>
            <w:r>
              <w:rPr>
                <w:rFonts w:hint="eastAsia" w:ascii="仿宋" w:hAnsi="仿宋" w:eastAsia="仿宋" w:cs="仿宋"/>
                <w:spacing w:val="4"/>
                <w:sz w:val="18"/>
                <w:lang w:eastAsia="zh-CN"/>
              </w:rPr>
              <w:t>您对石狮市退役军人事务局工作职能是否了解？</w:t>
            </w:r>
          </w:p>
          <w:p w14:paraId="6019E222">
            <w:pPr>
              <w:spacing w:line="408" w:lineRule="auto"/>
              <w:ind w:left="90" w:right="288"/>
              <w:rPr>
                <w:rFonts w:hint="eastAsia" w:ascii="仿宋" w:hAnsi="仿宋" w:eastAsia="仿宋" w:cs="仿宋"/>
                <w:spacing w:val="4"/>
                <w:sz w:val="18"/>
              </w:rPr>
            </w:pPr>
            <w:r>
              <w:rPr>
                <w:rFonts w:hint="eastAsia" w:ascii="仿宋" w:hAnsi="仿宋" w:eastAsia="仿宋" w:cs="仿宋"/>
                <w:spacing w:val="4"/>
                <w:sz w:val="18"/>
                <w:lang w:eastAsia="zh-CN"/>
              </w:rPr>
              <w:t>（</w:t>
            </w:r>
            <w:r>
              <w:rPr>
                <w:rFonts w:hint="eastAsia" w:ascii="仿宋" w:hAnsi="仿宋" w:eastAsia="仿宋" w:cs="仿宋"/>
                <w:spacing w:val="4"/>
                <w:sz w:val="18"/>
              </w:rPr>
              <w:t>非常了解10分</w:t>
            </w:r>
            <w:r>
              <w:rPr>
                <w:rFonts w:hint="eastAsia" w:ascii="仿宋" w:hAnsi="仿宋" w:eastAsia="仿宋" w:cs="仿宋"/>
                <w:spacing w:val="4"/>
                <w:sz w:val="18"/>
                <w:lang w:eastAsia="zh-CN"/>
              </w:rPr>
              <w:t>；</w:t>
            </w:r>
            <w:r>
              <w:rPr>
                <w:rFonts w:hint="eastAsia" w:ascii="仿宋" w:hAnsi="仿宋" w:eastAsia="仿宋" w:cs="仿宋"/>
                <w:spacing w:val="4"/>
                <w:sz w:val="18"/>
              </w:rPr>
              <w:t>了解6</w:t>
            </w:r>
            <w:r>
              <w:rPr>
                <w:rFonts w:hint="eastAsia" w:ascii="仿宋" w:hAnsi="仿宋" w:eastAsia="仿宋" w:cs="仿宋"/>
                <w:spacing w:val="4"/>
                <w:sz w:val="18"/>
                <w:lang w:eastAsia="zh-CN"/>
              </w:rPr>
              <w:t>～</w:t>
            </w:r>
            <w:r>
              <w:rPr>
                <w:rFonts w:hint="eastAsia" w:ascii="仿宋" w:hAnsi="仿宋" w:eastAsia="仿宋" w:cs="仿宋"/>
                <w:spacing w:val="4"/>
                <w:sz w:val="18"/>
              </w:rPr>
              <w:t>9分</w:t>
            </w:r>
            <w:r>
              <w:rPr>
                <w:rFonts w:hint="eastAsia" w:ascii="仿宋" w:hAnsi="仿宋" w:eastAsia="仿宋" w:cs="仿宋"/>
                <w:spacing w:val="4"/>
                <w:sz w:val="18"/>
                <w:lang w:eastAsia="zh-CN"/>
              </w:rPr>
              <w:t>；</w:t>
            </w:r>
            <w:r>
              <w:rPr>
                <w:rFonts w:hint="eastAsia" w:ascii="仿宋" w:hAnsi="仿宋" w:eastAsia="仿宋" w:cs="仿宋"/>
                <w:spacing w:val="4"/>
                <w:sz w:val="18"/>
              </w:rPr>
              <w:t>一般1</w:t>
            </w:r>
            <w:r>
              <w:rPr>
                <w:rFonts w:hint="eastAsia" w:ascii="仿宋" w:hAnsi="仿宋" w:eastAsia="仿宋" w:cs="仿宋"/>
                <w:spacing w:val="4"/>
                <w:sz w:val="18"/>
                <w:lang w:eastAsia="zh-CN"/>
              </w:rPr>
              <w:t>～</w:t>
            </w:r>
            <w:r>
              <w:rPr>
                <w:rFonts w:hint="eastAsia" w:ascii="仿宋" w:hAnsi="仿宋" w:eastAsia="仿宋" w:cs="仿宋"/>
                <w:spacing w:val="4"/>
                <w:sz w:val="18"/>
              </w:rPr>
              <w:t>5分</w:t>
            </w:r>
            <w:r>
              <w:rPr>
                <w:rFonts w:hint="eastAsia" w:ascii="仿宋" w:hAnsi="仿宋" w:eastAsia="仿宋" w:cs="仿宋"/>
                <w:spacing w:val="4"/>
                <w:sz w:val="18"/>
                <w:lang w:eastAsia="zh-CN"/>
              </w:rPr>
              <w:t>；</w:t>
            </w:r>
            <w:r>
              <w:rPr>
                <w:rFonts w:hint="eastAsia" w:ascii="仿宋" w:hAnsi="仿宋" w:eastAsia="仿宋" w:cs="仿宋"/>
                <w:spacing w:val="4"/>
                <w:sz w:val="18"/>
              </w:rPr>
              <w:t>不了解0分</w:t>
            </w:r>
            <w:r>
              <w:rPr>
                <w:rFonts w:hint="eastAsia" w:ascii="仿宋" w:hAnsi="仿宋" w:eastAsia="仿宋" w:cs="仿宋"/>
                <w:spacing w:val="4"/>
                <w:sz w:val="18"/>
                <w:lang w:eastAsia="zh-CN"/>
              </w:rPr>
              <w:t>）</w:t>
            </w:r>
          </w:p>
        </w:tc>
        <w:tc>
          <w:tcPr>
            <w:tcW w:w="481" w:type="pct"/>
            <w:tcBorders>
              <w:tl2br w:val="nil"/>
              <w:tr2bl w:val="nil"/>
            </w:tcBorders>
            <w:vAlign w:val="center"/>
          </w:tcPr>
          <w:p w14:paraId="5C052EA8">
            <w:pPr>
              <w:spacing w:line="408" w:lineRule="auto"/>
              <w:ind w:left="267"/>
              <w:jc w:val="both"/>
              <w:rPr>
                <w:rFonts w:hint="eastAsia" w:ascii="仿宋" w:hAnsi="仿宋" w:eastAsia="仿宋" w:cs="仿宋"/>
                <w:spacing w:val="4"/>
                <w:sz w:val="18"/>
              </w:rPr>
            </w:pPr>
            <w:r>
              <w:rPr>
                <w:rFonts w:hint="eastAsia" w:ascii="仿宋" w:hAnsi="仿宋" w:eastAsia="仿宋" w:cs="仿宋"/>
                <w:spacing w:val="4"/>
                <w:sz w:val="18"/>
              </w:rPr>
              <w:t>10</w:t>
            </w:r>
          </w:p>
        </w:tc>
        <w:tc>
          <w:tcPr>
            <w:tcW w:w="422" w:type="pct"/>
            <w:tcBorders>
              <w:tl2br w:val="nil"/>
              <w:tr2bl w:val="nil"/>
            </w:tcBorders>
            <w:vAlign w:val="center"/>
          </w:tcPr>
          <w:p w14:paraId="4DDBC9FB">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03E0920E">
            <w:pPr>
              <w:spacing w:line="408" w:lineRule="auto"/>
              <w:jc w:val="center"/>
              <w:rPr>
                <w:rFonts w:hint="eastAsia" w:ascii="仿宋" w:hAnsi="仿宋" w:eastAsia="仿宋" w:cs="仿宋"/>
                <w:spacing w:val="4"/>
                <w:sz w:val="18"/>
              </w:rPr>
            </w:pPr>
          </w:p>
        </w:tc>
      </w:tr>
      <w:tr w14:paraId="7F6A8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jc w:val="center"/>
        </w:trPr>
        <w:tc>
          <w:tcPr>
            <w:tcW w:w="313" w:type="pct"/>
            <w:tcBorders>
              <w:tl2br w:val="nil"/>
              <w:tr2bl w:val="nil"/>
            </w:tcBorders>
            <w:vAlign w:val="center"/>
          </w:tcPr>
          <w:p w14:paraId="67FDF770">
            <w:pPr>
              <w:spacing w:line="408" w:lineRule="auto"/>
              <w:jc w:val="both"/>
              <w:rPr>
                <w:rFonts w:hint="eastAsia" w:ascii="仿宋" w:hAnsi="仿宋" w:eastAsia="仿宋" w:cs="仿宋"/>
                <w:spacing w:val="4"/>
                <w:sz w:val="18"/>
              </w:rPr>
            </w:pPr>
          </w:p>
          <w:p w14:paraId="150A7355">
            <w:pPr>
              <w:spacing w:line="408" w:lineRule="auto"/>
              <w:ind w:left="195"/>
              <w:jc w:val="both"/>
              <w:rPr>
                <w:rFonts w:hint="eastAsia" w:ascii="仿宋" w:hAnsi="仿宋" w:eastAsia="仿宋" w:cs="仿宋"/>
                <w:spacing w:val="4"/>
                <w:sz w:val="18"/>
              </w:rPr>
            </w:pPr>
            <w:r>
              <w:rPr>
                <w:rFonts w:hint="eastAsia" w:ascii="仿宋" w:hAnsi="仿宋" w:eastAsia="仿宋" w:cs="仿宋"/>
                <w:spacing w:val="4"/>
                <w:sz w:val="18"/>
              </w:rPr>
              <w:t>6</w:t>
            </w:r>
          </w:p>
          <w:p w14:paraId="4CF75015">
            <w:pPr>
              <w:pStyle w:val="55"/>
              <w:spacing w:line="408" w:lineRule="auto"/>
              <w:jc w:val="both"/>
              <w:rPr>
                <w:rFonts w:hint="eastAsia" w:ascii="仿宋" w:hAnsi="仿宋" w:eastAsia="仿宋" w:cs="仿宋"/>
                <w:spacing w:val="4"/>
                <w:szCs w:val="24"/>
              </w:rPr>
            </w:pPr>
          </w:p>
        </w:tc>
        <w:tc>
          <w:tcPr>
            <w:tcW w:w="3447" w:type="pct"/>
            <w:tcBorders>
              <w:tl2br w:val="nil"/>
              <w:tr2bl w:val="nil"/>
            </w:tcBorders>
            <w:vAlign w:val="center"/>
          </w:tcPr>
          <w:p w14:paraId="46C8050E">
            <w:pPr>
              <w:spacing w:line="408" w:lineRule="auto"/>
              <w:ind w:left="90" w:right="288"/>
              <w:rPr>
                <w:rFonts w:hint="eastAsia" w:ascii="仿宋" w:hAnsi="仿宋" w:eastAsia="仿宋" w:cs="仿宋"/>
                <w:spacing w:val="4"/>
                <w:sz w:val="18"/>
                <w:lang w:eastAsia="zh-CN"/>
              </w:rPr>
            </w:pPr>
            <w:r>
              <w:rPr>
                <w:rFonts w:hint="eastAsia" w:ascii="仿宋" w:hAnsi="仿宋" w:eastAsia="仿宋" w:cs="仿宋"/>
                <w:spacing w:val="4"/>
                <w:sz w:val="18"/>
                <w:lang w:eastAsia="zh-CN"/>
              </w:rPr>
              <w:t>您认为石狮市退役军人事务局可持续性效益如何？</w:t>
            </w:r>
          </w:p>
          <w:p w14:paraId="0276B23F">
            <w:pPr>
              <w:spacing w:line="408" w:lineRule="auto"/>
              <w:ind w:left="90" w:right="288"/>
              <w:rPr>
                <w:rFonts w:hint="eastAsia" w:ascii="仿宋" w:hAnsi="仿宋" w:eastAsia="仿宋" w:cs="仿宋"/>
                <w:spacing w:val="4"/>
                <w:sz w:val="18"/>
                <w:lang w:eastAsia="zh-CN"/>
              </w:rPr>
            </w:pPr>
            <w:r>
              <w:rPr>
                <w:rFonts w:hint="eastAsia" w:ascii="仿宋" w:hAnsi="仿宋" w:eastAsia="仿宋" w:cs="仿宋"/>
                <w:spacing w:val="4"/>
                <w:sz w:val="18"/>
                <w:lang w:eastAsia="zh-CN"/>
              </w:rPr>
              <w:t>（好10分；较好6～9分；一般1～5分；不好0分）</w:t>
            </w:r>
          </w:p>
        </w:tc>
        <w:tc>
          <w:tcPr>
            <w:tcW w:w="481" w:type="pct"/>
            <w:tcBorders>
              <w:tl2br w:val="nil"/>
              <w:tr2bl w:val="nil"/>
            </w:tcBorders>
            <w:vAlign w:val="center"/>
          </w:tcPr>
          <w:p w14:paraId="1EA0CB4B">
            <w:pPr>
              <w:spacing w:line="408" w:lineRule="auto"/>
              <w:ind w:left="267"/>
              <w:jc w:val="both"/>
              <w:rPr>
                <w:rFonts w:hint="eastAsia" w:ascii="仿宋" w:hAnsi="仿宋" w:eastAsia="仿宋" w:cs="仿宋"/>
                <w:spacing w:val="4"/>
                <w:sz w:val="18"/>
              </w:rPr>
            </w:pPr>
            <w:r>
              <w:rPr>
                <w:rFonts w:hint="eastAsia" w:ascii="仿宋" w:hAnsi="仿宋" w:eastAsia="仿宋" w:cs="仿宋"/>
                <w:spacing w:val="4"/>
                <w:sz w:val="18"/>
              </w:rPr>
              <w:t>10</w:t>
            </w:r>
          </w:p>
        </w:tc>
        <w:tc>
          <w:tcPr>
            <w:tcW w:w="422" w:type="pct"/>
            <w:tcBorders>
              <w:tl2br w:val="nil"/>
              <w:tr2bl w:val="nil"/>
            </w:tcBorders>
            <w:vAlign w:val="center"/>
          </w:tcPr>
          <w:p w14:paraId="19A3BCC4">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398D5E61">
            <w:pPr>
              <w:spacing w:line="408" w:lineRule="auto"/>
              <w:jc w:val="center"/>
              <w:rPr>
                <w:rFonts w:hint="eastAsia" w:ascii="仿宋" w:hAnsi="仿宋" w:eastAsia="仿宋" w:cs="仿宋"/>
                <w:spacing w:val="4"/>
                <w:sz w:val="18"/>
              </w:rPr>
            </w:pPr>
          </w:p>
        </w:tc>
      </w:tr>
      <w:tr w14:paraId="75FC6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jc w:val="center"/>
        </w:trPr>
        <w:tc>
          <w:tcPr>
            <w:tcW w:w="313" w:type="pct"/>
            <w:tcBorders>
              <w:tl2br w:val="nil"/>
              <w:tr2bl w:val="nil"/>
            </w:tcBorders>
            <w:vAlign w:val="center"/>
          </w:tcPr>
          <w:p w14:paraId="3572B1EE">
            <w:pPr>
              <w:spacing w:line="408" w:lineRule="auto"/>
              <w:ind w:left="195"/>
              <w:jc w:val="both"/>
              <w:rPr>
                <w:rFonts w:hint="eastAsia" w:ascii="仿宋" w:hAnsi="仿宋" w:eastAsia="仿宋" w:cs="仿宋"/>
                <w:spacing w:val="4"/>
                <w:sz w:val="18"/>
              </w:rPr>
            </w:pPr>
            <w:r>
              <w:rPr>
                <w:rFonts w:hint="eastAsia" w:ascii="仿宋" w:hAnsi="仿宋" w:eastAsia="仿宋" w:cs="仿宋"/>
                <w:spacing w:val="4"/>
                <w:sz w:val="18"/>
              </w:rPr>
              <w:t>7</w:t>
            </w:r>
          </w:p>
          <w:p w14:paraId="0C20C444">
            <w:pPr>
              <w:pStyle w:val="55"/>
              <w:spacing w:line="408" w:lineRule="auto"/>
              <w:jc w:val="both"/>
              <w:rPr>
                <w:rFonts w:hint="eastAsia" w:ascii="仿宋" w:hAnsi="仿宋" w:eastAsia="仿宋" w:cs="仿宋"/>
                <w:spacing w:val="4"/>
                <w:szCs w:val="24"/>
              </w:rPr>
            </w:pPr>
          </w:p>
        </w:tc>
        <w:tc>
          <w:tcPr>
            <w:tcW w:w="3447" w:type="pct"/>
            <w:tcBorders>
              <w:tl2br w:val="nil"/>
              <w:tr2bl w:val="nil"/>
            </w:tcBorders>
            <w:vAlign w:val="center"/>
          </w:tcPr>
          <w:p w14:paraId="60161F25">
            <w:pPr>
              <w:spacing w:line="408" w:lineRule="auto"/>
              <w:ind w:left="90"/>
              <w:rPr>
                <w:rFonts w:hint="eastAsia" w:ascii="仿宋" w:hAnsi="仿宋" w:eastAsia="仿宋"/>
                <w:sz w:val="18"/>
                <w:szCs w:val="22"/>
                <w:lang w:eastAsia="zh-CN"/>
              </w:rPr>
            </w:pPr>
            <w:r>
              <w:rPr>
                <w:rFonts w:hint="eastAsia" w:ascii="仿宋" w:hAnsi="仿宋" w:eastAsia="仿宋" w:cs="仿宋"/>
                <w:spacing w:val="4"/>
                <w:sz w:val="18"/>
                <w:lang w:eastAsia="zh-CN"/>
              </w:rPr>
              <w:t>您认为石狮市退役军人事务局办事效率如何？</w:t>
            </w:r>
          </w:p>
          <w:p w14:paraId="4BB5C25B">
            <w:pPr>
              <w:spacing w:line="408" w:lineRule="auto"/>
              <w:ind w:left="90"/>
              <w:rPr>
                <w:rFonts w:hint="eastAsia" w:ascii="仿宋" w:hAnsi="仿宋" w:eastAsia="仿宋" w:cs="仿宋"/>
                <w:spacing w:val="4"/>
                <w:sz w:val="18"/>
              </w:rPr>
            </w:pPr>
            <w:r>
              <w:rPr>
                <w:rFonts w:hint="eastAsia" w:ascii="仿宋" w:hAnsi="仿宋" w:eastAsia="仿宋" w:cs="仿宋"/>
                <w:spacing w:val="4"/>
                <w:sz w:val="18"/>
                <w:lang w:eastAsia="zh-CN"/>
              </w:rPr>
              <w:t>（</w:t>
            </w:r>
            <w:r>
              <w:rPr>
                <w:rFonts w:hint="eastAsia" w:ascii="仿宋" w:hAnsi="仿宋" w:eastAsia="仿宋" w:cs="仿宋"/>
                <w:spacing w:val="4"/>
                <w:sz w:val="18"/>
              </w:rPr>
              <w:t>优10分，良8</w:t>
            </w:r>
            <w:r>
              <w:rPr>
                <w:rFonts w:hint="eastAsia" w:ascii="仿宋" w:hAnsi="仿宋" w:eastAsia="仿宋" w:cs="仿宋"/>
                <w:spacing w:val="4"/>
                <w:sz w:val="18"/>
                <w:lang w:eastAsia="zh-CN"/>
              </w:rPr>
              <w:t>～</w:t>
            </w:r>
            <w:r>
              <w:rPr>
                <w:rFonts w:hint="eastAsia" w:ascii="仿宋" w:hAnsi="仿宋" w:eastAsia="仿宋" w:cs="仿宋"/>
                <w:spacing w:val="4"/>
                <w:sz w:val="18"/>
              </w:rPr>
              <w:t>9分，合格1</w:t>
            </w:r>
            <w:r>
              <w:rPr>
                <w:rFonts w:hint="eastAsia" w:ascii="仿宋" w:hAnsi="仿宋" w:eastAsia="仿宋" w:cs="仿宋"/>
                <w:spacing w:val="4"/>
                <w:sz w:val="18"/>
                <w:lang w:eastAsia="zh-CN"/>
              </w:rPr>
              <w:t>～</w:t>
            </w:r>
            <w:r>
              <w:rPr>
                <w:rFonts w:hint="eastAsia" w:ascii="仿宋" w:hAnsi="仿宋" w:eastAsia="仿宋" w:cs="仿宋"/>
                <w:spacing w:val="4"/>
                <w:sz w:val="18"/>
              </w:rPr>
              <w:t>7分，差0分</w:t>
            </w:r>
            <w:r>
              <w:rPr>
                <w:rFonts w:hint="eastAsia" w:ascii="仿宋" w:hAnsi="仿宋" w:eastAsia="仿宋" w:cs="仿宋"/>
                <w:spacing w:val="4"/>
                <w:sz w:val="18"/>
                <w:lang w:eastAsia="zh-CN"/>
              </w:rPr>
              <w:t>）</w:t>
            </w:r>
          </w:p>
        </w:tc>
        <w:tc>
          <w:tcPr>
            <w:tcW w:w="481" w:type="pct"/>
            <w:tcBorders>
              <w:tl2br w:val="nil"/>
              <w:tr2bl w:val="nil"/>
            </w:tcBorders>
            <w:vAlign w:val="center"/>
          </w:tcPr>
          <w:p w14:paraId="16EDF6D3">
            <w:pPr>
              <w:spacing w:line="408" w:lineRule="auto"/>
              <w:ind w:left="267"/>
              <w:jc w:val="both"/>
              <w:rPr>
                <w:rFonts w:hint="eastAsia" w:ascii="仿宋" w:hAnsi="仿宋" w:eastAsia="仿宋" w:cs="仿宋"/>
                <w:spacing w:val="4"/>
                <w:sz w:val="18"/>
              </w:rPr>
            </w:pPr>
            <w:r>
              <w:rPr>
                <w:rFonts w:hint="eastAsia" w:ascii="仿宋" w:hAnsi="仿宋" w:eastAsia="仿宋" w:cs="仿宋"/>
                <w:spacing w:val="4"/>
                <w:sz w:val="18"/>
              </w:rPr>
              <w:t>10</w:t>
            </w:r>
          </w:p>
        </w:tc>
        <w:tc>
          <w:tcPr>
            <w:tcW w:w="422" w:type="pct"/>
            <w:tcBorders>
              <w:tl2br w:val="nil"/>
              <w:tr2bl w:val="nil"/>
            </w:tcBorders>
            <w:vAlign w:val="center"/>
          </w:tcPr>
          <w:p w14:paraId="4222C75B">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4B46CB92">
            <w:pPr>
              <w:spacing w:line="408" w:lineRule="auto"/>
              <w:jc w:val="center"/>
              <w:rPr>
                <w:rFonts w:hint="eastAsia" w:ascii="仿宋" w:hAnsi="仿宋" w:eastAsia="仿宋" w:cs="仿宋"/>
                <w:spacing w:val="4"/>
                <w:sz w:val="18"/>
              </w:rPr>
            </w:pPr>
          </w:p>
        </w:tc>
      </w:tr>
      <w:tr w14:paraId="192BB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jc w:val="center"/>
        </w:trPr>
        <w:tc>
          <w:tcPr>
            <w:tcW w:w="313" w:type="pct"/>
            <w:tcBorders>
              <w:tl2br w:val="nil"/>
              <w:tr2bl w:val="nil"/>
            </w:tcBorders>
            <w:vAlign w:val="center"/>
          </w:tcPr>
          <w:p w14:paraId="7010931A">
            <w:pPr>
              <w:spacing w:line="408" w:lineRule="auto"/>
              <w:jc w:val="both"/>
              <w:rPr>
                <w:rFonts w:hint="eastAsia" w:ascii="仿宋" w:hAnsi="仿宋" w:eastAsia="仿宋" w:cs="仿宋"/>
                <w:spacing w:val="4"/>
                <w:sz w:val="18"/>
              </w:rPr>
            </w:pPr>
          </w:p>
          <w:p w14:paraId="46E82D2D">
            <w:pPr>
              <w:spacing w:line="408" w:lineRule="auto"/>
              <w:ind w:left="195"/>
              <w:jc w:val="both"/>
              <w:rPr>
                <w:rFonts w:hint="eastAsia" w:ascii="仿宋" w:hAnsi="仿宋" w:eastAsia="仿宋" w:cs="仿宋"/>
                <w:spacing w:val="4"/>
                <w:sz w:val="18"/>
              </w:rPr>
            </w:pPr>
            <w:r>
              <w:rPr>
                <w:rFonts w:hint="eastAsia" w:ascii="仿宋" w:hAnsi="仿宋" w:eastAsia="仿宋" w:cs="仿宋"/>
                <w:spacing w:val="4"/>
                <w:sz w:val="18"/>
              </w:rPr>
              <w:t>8</w:t>
            </w:r>
          </w:p>
          <w:p w14:paraId="541A045E">
            <w:pPr>
              <w:pStyle w:val="55"/>
              <w:spacing w:line="408" w:lineRule="auto"/>
              <w:jc w:val="both"/>
              <w:rPr>
                <w:rFonts w:hint="eastAsia" w:ascii="仿宋" w:hAnsi="仿宋" w:eastAsia="仿宋" w:cs="仿宋"/>
                <w:spacing w:val="4"/>
                <w:szCs w:val="24"/>
              </w:rPr>
            </w:pPr>
          </w:p>
        </w:tc>
        <w:tc>
          <w:tcPr>
            <w:tcW w:w="3447" w:type="pct"/>
            <w:tcBorders>
              <w:tl2br w:val="nil"/>
              <w:tr2bl w:val="nil"/>
            </w:tcBorders>
            <w:vAlign w:val="center"/>
          </w:tcPr>
          <w:p w14:paraId="05266F01">
            <w:pPr>
              <w:spacing w:line="408" w:lineRule="auto"/>
              <w:ind w:left="90"/>
              <w:rPr>
                <w:rFonts w:hint="eastAsia" w:ascii="仿宋" w:hAnsi="仿宋" w:eastAsia="仿宋" w:cs="仿宋"/>
                <w:spacing w:val="4"/>
                <w:sz w:val="18"/>
                <w:lang w:eastAsia="zh-CN"/>
              </w:rPr>
            </w:pPr>
            <w:r>
              <w:rPr>
                <w:rFonts w:hint="eastAsia" w:ascii="仿宋" w:hAnsi="仿宋" w:eastAsia="仿宋" w:cs="仿宋"/>
                <w:spacing w:val="4"/>
                <w:sz w:val="18"/>
                <w:lang w:eastAsia="zh-CN"/>
              </w:rPr>
              <w:t>您认为石狮市退役军人事务局工作是否存在不足之处？</w:t>
            </w:r>
          </w:p>
          <w:p w14:paraId="2E7D3F93">
            <w:pPr>
              <w:spacing w:line="408" w:lineRule="auto"/>
              <w:ind w:left="90"/>
              <w:rPr>
                <w:rFonts w:hint="eastAsia" w:ascii="仿宋" w:hAnsi="仿宋" w:eastAsia="仿宋" w:cs="仿宋"/>
                <w:spacing w:val="4"/>
                <w:sz w:val="18"/>
                <w:lang w:eastAsia="zh-CN"/>
              </w:rPr>
            </w:pPr>
            <w:r>
              <w:rPr>
                <w:rFonts w:hint="eastAsia" w:ascii="仿宋" w:hAnsi="仿宋" w:eastAsia="仿宋" w:cs="仿宋"/>
                <w:spacing w:val="4"/>
                <w:sz w:val="18"/>
                <w:lang w:eastAsia="zh-CN"/>
              </w:rPr>
              <w:t>（存在3项及以上0分，存在12项1～9分，不存在10分）</w:t>
            </w:r>
          </w:p>
        </w:tc>
        <w:tc>
          <w:tcPr>
            <w:tcW w:w="481" w:type="pct"/>
            <w:tcBorders>
              <w:tl2br w:val="nil"/>
              <w:tr2bl w:val="nil"/>
            </w:tcBorders>
            <w:vAlign w:val="center"/>
          </w:tcPr>
          <w:p w14:paraId="15FCA573">
            <w:pPr>
              <w:spacing w:line="408" w:lineRule="auto"/>
              <w:ind w:left="267"/>
              <w:jc w:val="center"/>
              <w:rPr>
                <w:rFonts w:hint="eastAsia" w:ascii="仿宋" w:hAnsi="仿宋" w:eastAsia="仿宋" w:cs="仿宋"/>
                <w:spacing w:val="4"/>
                <w:sz w:val="18"/>
                <w:lang w:eastAsia="zh-CN"/>
              </w:rPr>
            </w:pPr>
          </w:p>
          <w:p w14:paraId="1863E55A">
            <w:pPr>
              <w:spacing w:line="408" w:lineRule="auto"/>
              <w:ind w:left="267"/>
              <w:jc w:val="both"/>
              <w:rPr>
                <w:rFonts w:hint="eastAsia" w:ascii="仿宋" w:hAnsi="仿宋" w:eastAsia="仿宋" w:cs="仿宋"/>
                <w:spacing w:val="4"/>
                <w:sz w:val="18"/>
              </w:rPr>
            </w:pPr>
            <w:r>
              <w:rPr>
                <w:rFonts w:hint="eastAsia" w:ascii="仿宋" w:hAnsi="仿宋" w:eastAsia="仿宋" w:cs="仿宋"/>
                <w:spacing w:val="4"/>
                <w:sz w:val="18"/>
              </w:rPr>
              <w:t>10</w:t>
            </w:r>
          </w:p>
        </w:tc>
        <w:tc>
          <w:tcPr>
            <w:tcW w:w="422" w:type="pct"/>
            <w:tcBorders>
              <w:tl2br w:val="nil"/>
              <w:tr2bl w:val="nil"/>
            </w:tcBorders>
            <w:vAlign w:val="center"/>
          </w:tcPr>
          <w:p w14:paraId="4B62667E">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1902BD7A">
            <w:pPr>
              <w:spacing w:line="408" w:lineRule="auto"/>
              <w:ind w:left="109"/>
              <w:jc w:val="center"/>
              <w:rPr>
                <w:rFonts w:hint="eastAsia" w:ascii="仿宋" w:hAnsi="仿宋" w:eastAsia="仿宋" w:cs="仿宋"/>
                <w:spacing w:val="4"/>
                <w:sz w:val="18"/>
              </w:rPr>
            </w:pPr>
          </w:p>
        </w:tc>
      </w:tr>
      <w:tr w14:paraId="2E47F3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jc w:val="center"/>
        </w:trPr>
        <w:tc>
          <w:tcPr>
            <w:tcW w:w="313" w:type="pct"/>
            <w:tcBorders>
              <w:tl2br w:val="nil"/>
              <w:tr2bl w:val="nil"/>
            </w:tcBorders>
            <w:vAlign w:val="center"/>
          </w:tcPr>
          <w:p w14:paraId="3C71BFDB">
            <w:pPr>
              <w:spacing w:line="408" w:lineRule="auto"/>
              <w:ind w:left="195"/>
              <w:jc w:val="both"/>
              <w:rPr>
                <w:rFonts w:hint="eastAsia" w:ascii="仿宋" w:hAnsi="仿宋" w:eastAsia="仿宋" w:cs="仿宋"/>
                <w:spacing w:val="4"/>
                <w:sz w:val="18"/>
              </w:rPr>
            </w:pPr>
            <w:r>
              <w:rPr>
                <w:rFonts w:hint="eastAsia" w:ascii="仿宋" w:hAnsi="仿宋" w:eastAsia="仿宋" w:cs="仿宋"/>
                <w:spacing w:val="4"/>
                <w:sz w:val="18"/>
              </w:rPr>
              <w:t>9</w:t>
            </w:r>
          </w:p>
          <w:p w14:paraId="72DA12D1">
            <w:pPr>
              <w:pStyle w:val="55"/>
              <w:spacing w:line="408" w:lineRule="auto"/>
              <w:jc w:val="both"/>
              <w:rPr>
                <w:rFonts w:hint="eastAsia" w:ascii="仿宋" w:hAnsi="仿宋" w:eastAsia="仿宋" w:cs="仿宋"/>
                <w:spacing w:val="4"/>
                <w:szCs w:val="24"/>
              </w:rPr>
            </w:pPr>
          </w:p>
        </w:tc>
        <w:tc>
          <w:tcPr>
            <w:tcW w:w="3447" w:type="pct"/>
            <w:tcBorders>
              <w:tl2br w:val="nil"/>
              <w:tr2bl w:val="nil"/>
            </w:tcBorders>
            <w:vAlign w:val="center"/>
          </w:tcPr>
          <w:p w14:paraId="3310C919">
            <w:pPr>
              <w:spacing w:line="408" w:lineRule="auto"/>
              <w:ind w:left="90"/>
              <w:rPr>
                <w:rFonts w:hint="eastAsia" w:ascii="仿宋" w:hAnsi="仿宋" w:eastAsia="仿宋" w:cs="仿宋"/>
                <w:spacing w:val="4"/>
                <w:sz w:val="18"/>
                <w:lang w:eastAsia="zh-CN"/>
              </w:rPr>
            </w:pPr>
            <w:r>
              <w:rPr>
                <w:rFonts w:hint="eastAsia" w:ascii="仿宋" w:hAnsi="仿宋" w:eastAsia="仿宋" w:cs="仿宋"/>
                <w:spacing w:val="4"/>
                <w:sz w:val="18"/>
                <w:lang w:eastAsia="zh-CN"/>
              </w:rPr>
              <w:t>您认为石狮市退役军人事务局工作产生社会效益如何？</w:t>
            </w:r>
          </w:p>
          <w:p w14:paraId="25FF9096">
            <w:pPr>
              <w:spacing w:line="408" w:lineRule="auto"/>
              <w:ind w:left="90"/>
              <w:rPr>
                <w:rFonts w:hint="eastAsia" w:ascii="仿宋" w:hAnsi="仿宋" w:eastAsia="仿宋" w:cs="仿宋"/>
                <w:spacing w:val="4"/>
                <w:sz w:val="18"/>
                <w:lang w:eastAsia="zh-CN"/>
              </w:rPr>
            </w:pPr>
            <w:r>
              <w:rPr>
                <w:rFonts w:hint="eastAsia" w:ascii="仿宋" w:hAnsi="仿宋" w:eastAsia="仿宋" w:cs="仿宋"/>
                <w:spacing w:val="4"/>
                <w:sz w:val="18"/>
                <w:lang w:eastAsia="zh-CN"/>
              </w:rPr>
              <w:t>（效果显著10分，较显著6～9分，一般1～5分，效果不明显0分）</w:t>
            </w:r>
          </w:p>
        </w:tc>
        <w:tc>
          <w:tcPr>
            <w:tcW w:w="481" w:type="pct"/>
            <w:tcBorders>
              <w:tl2br w:val="nil"/>
              <w:tr2bl w:val="nil"/>
            </w:tcBorders>
            <w:vAlign w:val="center"/>
          </w:tcPr>
          <w:p w14:paraId="585A8F6D">
            <w:pPr>
              <w:spacing w:line="408" w:lineRule="auto"/>
              <w:ind w:left="267"/>
              <w:jc w:val="center"/>
              <w:rPr>
                <w:rFonts w:hint="eastAsia" w:ascii="仿宋" w:hAnsi="仿宋" w:eastAsia="仿宋" w:cs="仿宋"/>
                <w:spacing w:val="4"/>
                <w:sz w:val="18"/>
                <w:lang w:eastAsia="zh-CN"/>
              </w:rPr>
            </w:pPr>
          </w:p>
          <w:p w14:paraId="253D26A2">
            <w:pPr>
              <w:spacing w:line="408" w:lineRule="auto"/>
              <w:ind w:left="267"/>
              <w:jc w:val="both"/>
              <w:rPr>
                <w:rFonts w:hint="eastAsia" w:ascii="仿宋" w:hAnsi="仿宋" w:eastAsia="仿宋" w:cs="仿宋"/>
                <w:spacing w:val="4"/>
                <w:sz w:val="18"/>
              </w:rPr>
            </w:pPr>
            <w:r>
              <w:rPr>
                <w:rFonts w:hint="eastAsia" w:ascii="仿宋" w:hAnsi="仿宋" w:eastAsia="仿宋" w:cs="仿宋"/>
                <w:spacing w:val="4"/>
                <w:sz w:val="18"/>
              </w:rPr>
              <w:t>10</w:t>
            </w:r>
          </w:p>
        </w:tc>
        <w:tc>
          <w:tcPr>
            <w:tcW w:w="422" w:type="pct"/>
            <w:tcBorders>
              <w:tl2br w:val="nil"/>
              <w:tr2bl w:val="nil"/>
            </w:tcBorders>
            <w:vAlign w:val="center"/>
          </w:tcPr>
          <w:p w14:paraId="35FFED1E">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363870B0">
            <w:pPr>
              <w:spacing w:line="408" w:lineRule="auto"/>
              <w:jc w:val="center"/>
              <w:rPr>
                <w:rFonts w:hint="eastAsia" w:ascii="仿宋" w:hAnsi="仿宋" w:eastAsia="仿宋" w:cs="仿宋"/>
                <w:spacing w:val="4"/>
                <w:sz w:val="18"/>
              </w:rPr>
            </w:pPr>
          </w:p>
        </w:tc>
      </w:tr>
      <w:tr w14:paraId="2C297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trHeight w:val="863" w:hRule="atLeast"/>
          <w:jc w:val="center"/>
        </w:trPr>
        <w:tc>
          <w:tcPr>
            <w:tcW w:w="313" w:type="pct"/>
            <w:tcBorders>
              <w:tl2br w:val="nil"/>
              <w:tr2bl w:val="nil"/>
            </w:tcBorders>
            <w:vAlign w:val="center"/>
          </w:tcPr>
          <w:p w14:paraId="194798CD">
            <w:pPr>
              <w:spacing w:line="408" w:lineRule="auto"/>
              <w:ind w:left="134"/>
              <w:jc w:val="both"/>
              <w:rPr>
                <w:rFonts w:hint="eastAsia" w:ascii="仿宋" w:hAnsi="仿宋" w:eastAsia="仿宋" w:cs="仿宋"/>
                <w:spacing w:val="4"/>
                <w:sz w:val="18"/>
              </w:rPr>
            </w:pPr>
            <w:r>
              <w:rPr>
                <w:rFonts w:hint="eastAsia" w:ascii="仿宋" w:hAnsi="仿宋" w:eastAsia="仿宋" w:cs="仿宋"/>
                <w:spacing w:val="4"/>
                <w:sz w:val="18"/>
              </w:rPr>
              <w:t>10</w:t>
            </w:r>
          </w:p>
          <w:p w14:paraId="6ABDB973">
            <w:pPr>
              <w:pStyle w:val="55"/>
              <w:spacing w:line="408" w:lineRule="auto"/>
              <w:jc w:val="both"/>
              <w:rPr>
                <w:rFonts w:hint="eastAsia" w:ascii="仿宋" w:hAnsi="仿宋" w:eastAsia="仿宋" w:cs="仿宋"/>
                <w:spacing w:val="4"/>
                <w:szCs w:val="24"/>
              </w:rPr>
            </w:pPr>
          </w:p>
        </w:tc>
        <w:tc>
          <w:tcPr>
            <w:tcW w:w="3447" w:type="pct"/>
            <w:tcBorders>
              <w:tl2br w:val="nil"/>
              <w:tr2bl w:val="nil"/>
            </w:tcBorders>
            <w:vAlign w:val="center"/>
          </w:tcPr>
          <w:p w14:paraId="0B806DD6">
            <w:pPr>
              <w:spacing w:line="408" w:lineRule="auto"/>
              <w:ind w:left="90"/>
              <w:rPr>
                <w:rFonts w:hint="eastAsia" w:ascii="仿宋" w:hAnsi="仿宋" w:eastAsia="仿宋"/>
                <w:sz w:val="18"/>
                <w:szCs w:val="22"/>
                <w:lang w:eastAsia="zh-CN"/>
              </w:rPr>
            </w:pPr>
            <w:r>
              <w:rPr>
                <w:rFonts w:hint="eastAsia" w:ascii="仿宋" w:hAnsi="仿宋" w:eastAsia="仿宋" w:cs="仿宋"/>
                <w:spacing w:val="4"/>
                <w:sz w:val="18"/>
                <w:lang w:eastAsia="zh-CN"/>
              </w:rPr>
              <w:t>您对石狮市退役军人事务局开展工作是否满意？</w:t>
            </w:r>
          </w:p>
          <w:p w14:paraId="59026449">
            <w:pPr>
              <w:spacing w:line="408" w:lineRule="auto"/>
              <w:ind w:left="90"/>
              <w:rPr>
                <w:rFonts w:hint="eastAsia" w:ascii="仿宋" w:hAnsi="仿宋" w:eastAsia="仿宋" w:cs="仿宋"/>
                <w:spacing w:val="4"/>
                <w:sz w:val="18"/>
                <w:lang w:eastAsia="zh-CN"/>
              </w:rPr>
            </w:pPr>
            <w:r>
              <w:rPr>
                <w:rFonts w:hint="eastAsia" w:ascii="仿宋" w:hAnsi="仿宋" w:eastAsia="仿宋" w:cs="仿宋"/>
                <w:spacing w:val="4"/>
                <w:sz w:val="18"/>
                <w:lang w:eastAsia="zh-CN"/>
              </w:rPr>
              <w:t>（很满意10分，满意7～9分，一般1～6分，不满意0分）</w:t>
            </w:r>
          </w:p>
        </w:tc>
        <w:tc>
          <w:tcPr>
            <w:tcW w:w="481" w:type="pct"/>
            <w:tcBorders>
              <w:tl2br w:val="nil"/>
              <w:tr2bl w:val="nil"/>
            </w:tcBorders>
            <w:vAlign w:val="center"/>
          </w:tcPr>
          <w:p w14:paraId="4BCE318A">
            <w:pPr>
              <w:spacing w:line="408" w:lineRule="auto"/>
              <w:ind w:left="267"/>
              <w:jc w:val="center"/>
              <w:rPr>
                <w:rFonts w:hint="eastAsia" w:ascii="仿宋" w:hAnsi="仿宋" w:eastAsia="仿宋" w:cs="仿宋"/>
                <w:spacing w:val="4"/>
                <w:sz w:val="18"/>
                <w:lang w:eastAsia="zh-CN"/>
              </w:rPr>
            </w:pPr>
          </w:p>
          <w:p w14:paraId="404F5FFD">
            <w:pPr>
              <w:spacing w:line="408" w:lineRule="auto"/>
              <w:ind w:left="267"/>
              <w:jc w:val="both"/>
              <w:rPr>
                <w:rFonts w:hint="eastAsia" w:ascii="仿宋" w:hAnsi="仿宋" w:eastAsia="仿宋" w:cs="仿宋"/>
                <w:spacing w:val="4"/>
                <w:sz w:val="18"/>
              </w:rPr>
            </w:pPr>
            <w:r>
              <w:rPr>
                <w:rFonts w:hint="eastAsia" w:ascii="仿宋" w:hAnsi="仿宋" w:eastAsia="仿宋" w:cs="仿宋"/>
                <w:spacing w:val="4"/>
                <w:sz w:val="18"/>
              </w:rPr>
              <w:t>10</w:t>
            </w:r>
          </w:p>
        </w:tc>
        <w:tc>
          <w:tcPr>
            <w:tcW w:w="422" w:type="pct"/>
            <w:tcBorders>
              <w:tl2br w:val="nil"/>
              <w:tr2bl w:val="nil"/>
            </w:tcBorders>
            <w:vAlign w:val="center"/>
          </w:tcPr>
          <w:p w14:paraId="4022331E">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7B0FE74D">
            <w:pPr>
              <w:spacing w:line="408" w:lineRule="auto"/>
              <w:jc w:val="center"/>
              <w:rPr>
                <w:rFonts w:hint="eastAsia" w:ascii="仿宋" w:hAnsi="仿宋" w:eastAsia="仿宋" w:cs="仿宋"/>
                <w:spacing w:val="4"/>
                <w:sz w:val="18"/>
              </w:rPr>
            </w:pPr>
          </w:p>
        </w:tc>
      </w:tr>
      <w:tr w14:paraId="052B1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4" w:type="dxa"/>
            <w:bottom w:w="0" w:type="dxa"/>
            <w:right w:w="84" w:type="dxa"/>
          </w:tblCellMar>
        </w:tblPrEx>
        <w:trPr>
          <w:cantSplit/>
          <w:trHeight w:val="489" w:hRule="atLeast"/>
          <w:jc w:val="center"/>
        </w:trPr>
        <w:tc>
          <w:tcPr>
            <w:tcW w:w="3761" w:type="pct"/>
            <w:gridSpan w:val="2"/>
            <w:tcBorders>
              <w:tl2br w:val="nil"/>
              <w:tr2bl w:val="nil"/>
            </w:tcBorders>
            <w:vAlign w:val="center"/>
          </w:tcPr>
          <w:p w14:paraId="4E44884D">
            <w:pPr>
              <w:spacing w:line="408" w:lineRule="auto"/>
              <w:ind w:left="267"/>
              <w:jc w:val="center"/>
              <w:rPr>
                <w:rFonts w:hint="eastAsia" w:ascii="仿宋" w:hAnsi="仿宋" w:eastAsia="仿宋" w:cs="仿宋"/>
                <w:spacing w:val="4"/>
                <w:sz w:val="18"/>
              </w:rPr>
            </w:pPr>
            <w:r>
              <w:rPr>
                <w:rFonts w:hint="eastAsia" w:ascii="仿宋" w:hAnsi="仿宋" w:eastAsia="仿宋" w:cs="仿宋"/>
                <w:spacing w:val="4"/>
                <w:sz w:val="18"/>
              </w:rPr>
              <w:t>合计</w:t>
            </w:r>
          </w:p>
        </w:tc>
        <w:tc>
          <w:tcPr>
            <w:tcW w:w="481" w:type="pct"/>
            <w:tcBorders>
              <w:tl2br w:val="nil"/>
              <w:tr2bl w:val="nil"/>
            </w:tcBorders>
            <w:vAlign w:val="center"/>
          </w:tcPr>
          <w:p w14:paraId="362DC6A4">
            <w:pPr>
              <w:spacing w:line="408" w:lineRule="auto"/>
              <w:jc w:val="center"/>
              <w:rPr>
                <w:rFonts w:hint="eastAsia" w:ascii="仿宋" w:hAnsi="仿宋" w:eastAsia="仿宋" w:cs="仿宋"/>
                <w:spacing w:val="4"/>
                <w:sz w:val="18"/>
              </w:rPr>
            </w:pPr>
            <w:r>
              <w:rPr>
                <w:rFonts w:hint="eastAsia" w:ascii="仿宋" w:hAnsi="仿宋" w:eastAsia="仿宋" w:cs="仿宋"/>
                <w:spacing w:val="4"/>
                <w:sz w:val="18"/>
              </w:rPr>
              <w:t>100</w:t>
            </w:r>
          </w:p>
        </w:tc>
        <w:tc>
          <w:tcPr>
            <w:tcW w:w="422" w:type="pct"/>
            <w:tcBorders>
              <w:tl2br w:val="nil"/>
              <w:tr2bl w:val="nil"/>
            </w:tcBorders>
            <w:vAlign w:val="center"/>
          </w:tcPr>
          <w:p w14:paraId="152A6529">
            <w:pPr>
              <w:spacing w:line="408" w:lineRule="auto"/>
              <w:jc w:val="center"/>
              <w:rPr>
                <w:rFonts w:hint="eastAsia" w:ascii="仿宋" w:hAnsi="仿宋" w:eastAsia="仿宋" w:cs="仿宋"/>
                <w:spacing w:val="4"/>
                <w:sz w:val="18"/>
              </w:rPr>
            </w:pPr>
          </w:p>
        </w:tc>
        <w:tc>
          <w:tcPr>
            <w:tcW w:w="333" w:type="pct"/>
            <w:tcBorders>
              <w:tl2br w:val="nil"/>
              <w:tr2bl w:val="nil"/>
            </w:tcBorders>
            <w:vAlign w:val="center"/>
          </w:tcPr>
          <w:p w14:paraId="167798BC">
            <w:pPr>
              <w:spacing w:line="408" w:lineRule="auto"/>
              <w:jc w:val="center"/>
              <w:rPr>
                <w:rFonts w:hint="eastAsia" w:ascii="仿宋" w:hAnsi="仿宋" w:eastAsia="仿宋" w:cs="仿宋"/>
                <w:spacing w:val="4"/>
                <w:sz w:val="18"/>
              </w:rPr>
            </w:pPr>
          </w:p>
        </w:tc>
      </w:tr>
    </w:tbl>
    <w:p w14:paraId="615E570C">
      <w:pPr>
        <w:widowControl w:val="0"/>
        <w:overflowPunct w:val="0"/>
        <w:snapToGrid/>
        <w:rPr>
          <w:rFonts w:eastAsia="宋体"/>
          <w:lang w:eastAsia="zh-CN"/>
        </w:rPr>
      </w:pPr>
      <w:r>
        <w:fldChar w:fldCharType="begin"/>
      </w:r>
      <w:r>
        <w:instrText xml:space="preserve"> HYPERLINK \l "bookmark72" </w:instrText>
      </w:r>
      <w:r>
        <w:fldChar w:fldCharType="separate"/>
      </w:r>
      <w:r>
        <w:fldChar w:fldCharType="end"/>
      </w:r>
      <w:bookmarkStart w:id="469" w:name="_Toc5295"/>
      <w:bookmarkStart w:id="470" w:name="_Toc10129"/>
    </w:p>
    <w:p w14:paraId="7B3E5C05">
      <w:pPr>
        <w:widowControl w:val="0"/>
        <w:overflowPunct w:val="0"/>
        <w:snapToGrid/>
        <w:rPr>
          <w:rFonts w:eastAsia="宋体"/>
          <w:lang w:eastAsia="zh-CN"/>
        </w:rPr>
      </w:pPr>
    </w:p>
    <w:p w14:paraId="225D24E7">
      <w:pPr>
        <w:widowControl w:val="0"/>
        <w:overflowPunct w:val="0"/>
        <w:snapToGrid/>
        <w:rPr>
          <w:rFonts w:eastAsia="宋体"/>
          <w:lang w:eastAsia="zh-CN"/>
        </w:rPr>
      </w:pPr>
    </w:p>
    <w:p w14:paraId="6A5D79C6">
      <w:pPr>
        <w:widowControl w:val="0"/>
        <w:overflowPunct w:val="0"/>
        <w:snapToGrid/>
        <w:rPr>
          <w:rFonts w:eastAsia="宋体"/>
          <w:lang w:eastAsia="zh-CN"/>
        </w:rPr>
      </w:pPr>
    </w:p>
    <w:p w14:paraId="1F158230">
      <w:pPr>
        <w:widowControl w:val="0"/>
        <w:overflowPunct w:val="0"/>
        <w:snapToGrid/>
        <w:rPr>
          <w:rFonts w:eastAsia="宋体"/>
          <w:lang w:eastAsia="zh-CN"/>
        </w:rPr>
      </w:pPr>
    </w:p>
    <w:p w14:paraId="17303C70">
      <w:pPr>
        <w:widowControl w:val="0"/>
        <w:overflowPunct w:val="0"/>
        <w:snapToGrid/>
      </w:pPr>
    </w:p>
    <w:p w14:paraId="308B55BA">
      <w:pPr>
        <w:widowControl w:val="0"/>
        <w:overflowPunct w:val="0"/>
        <w:snapToGrid/>
      </w:pPr>
    </w:p>
    <w:p w14:paraId="6C648D85">
      <w:pPr>
        <w:widowControl w:val="0"/>
        <w:overflowPunct w:val="0"/>
        <w:snapToGrid/>
      </w:pPr>
    </w:p>
    <w:p w14:paraId="6896160F">
      <w:pPr>
        <w:widowControl w:val="0"/>
        <w:overflowPunct w:val="0"/>
        <w:snapToGrid/>
      </w:pPr>
    </w:p>
    <w:p w14:paraId="60D92945">
      <w:pPr>
        <w:widowControl w:val="0"/>
        <w:overflowPunct w:val="0"/>
        <w:snapToGrid/>
      </w:pPr>
    </w:p>
    <w:p w14:paraId="06112485">
      <w:pPr>
        <w:widowControl w:val="0"/>
        <w:overflowPunct w:val="0"/>
        <w:snapToGrid/>
      </w:pPr>
    </w:p>
    <w:p w14:paraId="5AB2BDBC">
      <w:pPr>
        <w:widowControl w:val="0"/>
        <w:overflowPunct w:val="0"/>
        <w:snapToGrid/>
      </w:pPr>
    </w:p>
    <w:p w14:paraId="1625B0B6">
      <w:pPr>
        <w:widowControl w:val="0"/>
        <w:overflowPunct w:val="0"/>
        <w:snapToGrid/>
      </w:pPr>
    </w:p>
    <w:p w14:paraId="3EF900AC">
      <w:pPr>
        <w:widowControl w:val="0"/>
        <w:overflowPunct w:val="0"/>
        <w:snapToGrid/>
      </w:pPr>
    </w:p>
    <w:p w14:paraId="719B960E">
      <w:pPr>
        <w:widowControl w:val="0"/>
        <w:overflowPunct w:val="0"/>
        <w:snapToGrid/>
        <w:rPr>
          <w:rFonts w:ascii="Times New Roman" w:eastAsia="宋体"/>
          <w:b/>
          <w:bCs/>
          <w:color w:val="auto"/>
          <w:sz w:val="28"/>
          <w:lang w:eastAsia="zh-CN"/>
        </w:rPr>
      </w:pPr>
      <w:r>
        <w:fldChar w:fldCharType="begin"/>
      </w:r>
      <w:r>
        <w:instrText xml:space="preserve"> HYPERLINK \l "bookmark72" </w:instrText>
      </w:r>
      <w:r>
        <w:fldChar w:fldCharType="separate"/>
      </w:r>
      <w:r>
        <w:rPr>
          <w:rFonts w:hint="eastAsia" w:ascii="仿宋" w:hAnsi="仿宋" w:eastAsia="仿宋" w:cs="仿宋"/>
          <w:color w:val="auto"/>
          <w:spacing w:val="-1"/>
          <w:lang w:eastAsia="zh-CN"/>
          <w14:textOutline w14:w="5105" w14:cap="sq" w14:cmpd="sng" w14:algn="ctr">
            <w14:solidFill>
              <w14:srgbClr w14:val="000000"/>
            </w14:solidFill>
            <w14:prstDash w14:val="solid"/>
            <w14:bevel/>
          </w14:textOutline>
        </w:rPr>
        <w:t>附件3  现场调研照片</w:t>
      </w:r>
      <w:r>
        <w:rPr>
          <w:rFonts w:hint="eastAsia" w:ascii="仿宋" w:hAnsi="仿宋" w:eastAsia="仿宋" w:cs="仿宋"/>
          <w:color w:val="auto"/>
          <w:spacing w:val="-1"/>
          <w:lang w:eastAsia="zh-CN"/>
          <w14:textOutline w14:w="5105" w14:cap="sq" w14:cmpd="sng" w14:algn="ctr">
            <w14:solidFill>
              <w14:srgbClr w14:val="000000"/>
            </w14:solidFill>
            <w14:prstDash w14:val="solid"/>
            <w14:bevel/>
          </w14:textOutline>
        </w:rPr>
        <w:fldChar w:fldCharType="end"/>
      </w:r>
      <w:bookmarkEnd w:id="469"/>
      <w:bookmarkEnd w:id="470"/>
    </w:p>
    <w:p w14:paraId="78D8938A">
      <w:pPr>
        <w:widowControl w:val="0"/>
        <w:overflowPunct w:val="0"/>
        <w:snapToGrid/>
        <w:rPr>
          <w:rFonts w:ascii="Times New Roman" w:eastAsia="宋体"/>
          <w:b/>
          <w:bCs/>
          <w:color w:val="auto"/>
          <w:sz w:val="28"/>
          <w:lang w:eastAsia="zh-CN"/>
        </w:rPr>
      </w:pPr>
      <w:r>
        <w:rPr>
          <w:rFonts w:ascii="Times New Roman" w:eastAsia="宋体"/>
          <w:b/>
          <w:bCs/>
          <w:color w:val="auto"/>
          <w:sz w:val="28"/>
          <w:lang w:eastAsia="zh-CN"/>
        </w:rPr>
        <w:drawing>
          <wp:anchor distT="0" distB="0" distL="114300" distR="114300" simplePos="0" relativeHeight="251663360" behindDoc="0" locked="0" layoutInCell="1" allowOverlap="1">
            <wp:simplePos x="0" y="0"/>
            <wp:positionH relativeFrom="column">
              <wp:posOffset>2941955</wp:posOffset>
            </wp:positionH>
            <wp:positionV relativeFrom="paragraph">
              <wp:posOffset>5638800</wp:posOffset>
            </wp:positionV>
            <wp:extent cx="2879725" cy="2160270"/>
            <wp:effectExtent l="0" t="0" r="635" b="3810"/>
            <wp:wrapSquare wrapText="bothSides"/>
            <wp:docPr id="8" name="图片 8" descr="微信图片_20250728004624_119"/>
            <wp:cNvGraphicFramePr/>
            <a:graphic xmlns:a="http://schemas.openxmlformats.org/drawingml/2006/main">
              <a:graphicData uri="http://schemas.openxmlformats.org/drawingml/2006/picture">
                <pic:pic xmlns:pic="http://schemas.openxmlformats.org/drawingml/2006/picture">
                  <pic:nvPicPr>
                    <pic:cNvPr id="8" name="图片 8" descr="微信图片_20250728004624_119"/>
                    <pic:cNvPicPr/>
                  </pic:nvPicPr>
                  <pic:blipFill>
                    <a:blip r:embed="rId6"/>
                    <a:stretch>
                      <a:fillRect/>
                    </a:stretch>
                  </pic:blipFill>
                  <pic:spPr>
                    <a:xfrm>
                      <a:off x="0" y="0"/>
                      <a:ext cx="2879725" cy="2160270"/>
                    </a:xfrm>
                    <a:prstGeom prst="rect">
                      <a:avLst/>
                    </a:prstGeom>
                  </pic:spPr>
                </pic:pic>
              </a:graphicData>
            </a:graphic>
          </wp:anchor>
        </w:drawing>
      </w:r>
      <w:r>
        <w:rPr>
          <w:rFonts w:ascii="Times New Roman" w:eastAsia="宋体"/>
          <w:b/>
          <w:bCs/>
          <w:color w:val="auto"/>
          <w:sz w:val="28"/>
          <w:lang w:eastAsia="zh-CN"/>
        </w:rPr>
        <w:drawing>
          <wp:anchor distT="0" distB="0" distL="114300" distR="114300" simplePos="0" relativeHeight="251660288" behindDoc="0" locked="0" layoutInCell="1" allowOverlap="1">
            <wp:simplePos x="0" y="0"/>
            <wp:positionH relativeFrom="column">
              <wp:posOffset>-559435</wp:posOffset>
            </wp:positionH>
            <wp:positionV relativeFrom="paragraph">
              <wp:posOffset>5638800</wp:posOffset>
            </wp:positionV>
            <wp:extent cx="3058160" cy="2160270"/>
            <wp:effectExtent l="0" t="0" r="5080" b="3810"/>
            <wp:wrapSquare wrapText="bothSides"/>
            <wp:docPr id="4" name="图片 4" descr="微信图片_20250728004352_108"/>
            <wp:cNvGraphicFramePr/>
            <a:graphic xmlns:a="http://schemas.openxmlformats.org/drawingml/2006/main">
              <a:graphicData uri="http://schemas.openxmlformats.org/drawingml/2006/picture">
                <pic:pic xmlns:pic="http://schemas.openxmlformats.org/drawingml/2006/picture">
                  <pic:nvPicPr>
                    <pic:cNvPr id="4" name="图片 4" descr="微信图片_20250728004352_108"/>
                    <pic:cNvPicPr/>
                  </pic:nvPicPr>
                  <pic:blipFill>
                    <a:blip r:embed="rId7"/>
                    <a:stretch>
                      <a:fillRect/>
                    </a:stretch>
                  </pic:blipFill>
                  <pic:spPr>
                    <a:xfrm>
                      <a:off x="0" y="0"/>
                      <a:ext cx="3058160" cy="2160270"/>
                    </a:xfrm>
                    <a:prstGeom prst="rect">
                      <a:avLst/>
                    </a:prstGeom>
                  </pic:spPr>
                </pic:pic>
              </a:graphicData>
            </a:graphic>
          </wp:anchor>
        </w:drawing>
      </w:r>
      <w:r>
        <w:rPr>
          <w:rFonts w:ascii="Times New Roman" w:eastAsia="宋体"/>
          <w:b/>
          <w:bCs/>
          <w:color w:val="auto"/>
          <w:sz w:val="28"/>
          <w:lang w:eastAsia="zh-CN"/>
        </w:rPr>
        <w:drawing>
          <wp:anchor distT="0" distB="0" distL="114300" distR="114300" simplePos="0" relativeHeight="251661312" behindDoc="0" locked="0" layoutInCell="1" allowOverlap="1">
            <wp:simplePos x="0" y="0"/>
            <wp:positionH relativeFrom="column">
              <wp:posOffset>2941955</wp:posOffset>
            </wp:positionH>
            <wp:positionV relativeFrom="paragraph">
              <wp:posOffset>2802255</wp:posOffset>
            </wp:positionV>
            <wp:extent cx="2879725" cy="2160270"/>
            <wp:effectExtent l="0" t="0" r="635" b="3810"/>
            <wp:wrapSquare wrapText="bothSides"/>
            <wp:docPr id="6" name="图片 6" descr="微信图片_20250728004352_113"/>
            <wp:cNvGraphicFramePr/>
            <a:graphic xmlns:a="http://schemas.openxmlformats.org/drawingml/2006/main">
              <a:graphicData uri="http://schemas.openxmlformats.org/drawingml/2006/picture">
                <pic:pic xmlns:pic="http://schemas.openxmlformats.org/drawingml/2006/picture">
                  <pic:nvPicPr>
                    <pic:cNvPr id="6" name="图片 6" descr="微信图片_20250728004352_113"/>
                    <pic:cNvPicPr/>
                  </pic:nvPicPr>
                  <pic:blipFill>
                    <a:blip r:embed="rId8"/>
                    <a:stretch>
                      <a:fillRect/>
                    </a:stretch>
                  </pic:blipFill>
                  <pic:spPr>
                    <a:xfrm>
                      <a:off x="0" y="0"/>
                      <a:ext cx="2879725" cy="2160270"/>
                    </a:xfrm>
                    <a:prstGeom prst="rect">
                      <a:avLst/>
                    </a:prstGeom>
                  </pic:spPr>
                </pic:pic>
              </a:graphicData>
            </a:graphic>
          </wp:anchor>
        </w:drawing>
      </w:r>
      <w:r>
        <w:rPr>
          <w:rFonts w:ascii="Times New Roman" w:eastAsia="宋体"/>
          <w:b/>
          <w:bCs/>
          <w:color w:val="auto"/>
          <w:sz w:val="28"/>
          <w:lang w:eastAsia="zh-CN"/>
        </w:rPr>
        <w:drawing>
          <wp:anchor distT="0" distB="0" distL="114300" distR="114300" simplePos="0" relativeHeight="251659264" behindDoc="0" locked="0" layoutInCell="1" allowOverlap="1">
            <wp:simplePos x="0" y="0"/>
            <wp:positionH relativeFrom="column">
              <wp:posOffset>-381000</wp:posOffset>
            </wp:positionH>
            <wp:positionV relativeFrom="paragraph">
              <wp:posOffset>2802255</wp:posOffset>
            </wp:positionV>
            <wp:extent cx="2879725" cy="2160270"/>
            <wp:effectExtent l="0" t="0" r="635" b="3810"/>
            <wp:wrapSquare wrapText="bothSides"/>
            <wp:docPr id="1" name="图片 1" descr="微信图片_20250728004624_120"/>
            <wp:cNvGraphicFramePr/>
            <a:graphic xmlns:a="http://schemas.openxmlformats.org/drawingml/2006/main">
              <a:graphicData uri="http://schemas.openxmlformats.org/drawingml/2006/picture">
                <pic:pic xmlns:pic="http://schemas.openxmlformats.org/drawingml/2006/picture">
                  <pic:nvPicPr>
                    <pic:cNvPr id="1" name="图片 1" descr="微信图片_20250728004624_120"/>
                    <pic:cNvPicPr/>
                  </pic:nvPicPr>
                  <pic:blipFill>
                    <a:blip r:embed="rId9"/>
                    <a:stretch>
                      <a:fillRect/>
                    </a:stretch>
                  </pic:blipFill>
                  <pic:spPr>
                    <a:xfrm>
                      <a:off x="0" y="0"/>
                      <a:ext cx="2879725" cy="2160270"/>
                    </a:xfrm>
                    <a:prstGeom prst="rect">
                      <a:avLst/>
                    </a:prstGeom>
                  </pic:spPr>
                </pic:pic>
              </a:graphicData>
            </a:graphic>
          </wp:anchor>
        </w:drawing>
      </w:r>
      <w:r>
        <w:rPr>
          <w:rFonts w:ascii="Times New Roman" w:eastAsia="宋体"/>
          <w:b/>
          <w:bCs/>
          <w:color w:val="auto"/>
          <w:sz w:val="28"/>
          <w:lang w:eastAsia="zh-CN"/>
        </w:rPr>
        <w:drawing>
          <wp:anchor distT="0" distB="0" distL="114300" distR="114300" simplePos="0" relativeHeight="251664384" behindDoc="0" locked="0" layoutInCell="1" allowOverlap="1">
            <wp:simplePos x="0" y="0"/>
            <wp:positionH relativeFrom="column">
              <wp:posOffset>2941955</wp:posOffset>
            </wp:positionH>
            <wp:positionV relativeFrom="paragraph">
              <wp:posOffset>218440</wp:posOffset>
            </wp:positionV>
            <wp:extent cx="2879725" cy="2160270"/>
            <wp:effectExtent l="0" t="0" r="635" b="3810"/>
            <wp:wrapSquare wrapText="bothSides"/>
            <wp:docPr id="5" name="图片 5" descr="微信图片_20250728004352_109"/>
            <wp:cNvGraphicFramePr/>
            <a:graphic xmlns:a="http://schemas.openxmlformats.org/drawingml/2006/main">
              <a:graphicData uri="http://schemas.openxmlformats.org/drawingml/2006/picture">
                <pic:pic xmlns:pic="http://schemas.openxmlformats.org/drawingml/2006/picture">
                  <pic:nvPicPr>
                    <pic:cNvPr id="5" name="图片 5" descr="微信图片_20250728004352_109"/>
                    <pic:cNvPicPr/>
                  </pic:nvPicPr>
                  <pic:blipFill>
                    <a:blip r:embed="rId10"/>
                    <a:stretch>
                      <a:fillRect/>
                    </a:stretch>
                  </pic:blipFill>
                  <pic:spPr>
                    <a:xfrm>
                      <a:off x="0" y="0"/>
                      <a:ext cx="2879725" cy="2160270"/>
                    </a:xfrm>
                    <a:prstGeom prst="rect">
                      <a:avLst/>
                    </a:prstGeom>
                  </pic:spPr>
                </pic:pic>
              </a:graphicData>
            </a:graphic>
          </wp:anchor>
        </w:drawing>
      </w:r>
      <w:r>
        <w:rPr>
          <w:rFonts w:ascii="Times New Roman" w:eastAsia="宋体"/>
          <w:b/>
          <w:bCs/>
          <w:color w:val="auto"/>
          <w:sz w:val="28"/>
          <w:lang w:eastAsia="zh-CN"/>
        </w:rPr>
        <w:drawing>
          <wp:anchor distT="0" distB="0" distL="114300" distR="114300" simplePos="0" relativeHeight="251662336" behindDoc="0" locked="0" layoutInCell="1" allowOverlap="1">
            <wp:simplePos x="0" y="0"/>
            <wp:positionH relativeFrom="column">
              <wp:posOffset>-381000</wp:posOffset>
            </wp:positionH>
            <wp:positionV relativeFrom="paragraph">
              <wp:posOffset>218440</wp:posOffset>
            </wp:positionV>
            <wp:extent cx="2879725" cy="2160270"/>
            <wp:effectExtent l="0" t="0" r="635" b="3810"/>
            <wp:wrapSquare wrapText="bothSides"/>
            <wp:docPr id="7" name="图片 7" descr="6764af5b193a4da4dbe638f18899aa3"/>
            <wp:cNvGraphicFramePr/>
            <a:graphic xmlns:a="http://schemas.openxmlformats.org/drawingml/2006/main">
              <a:graphicData uri="http://schemas.openxmlformats.org/drawingml/2006/picture">
                <pic:pic xmlns:pic="http://schemas.openxmlformats.org/drawingml/2006/picture">
                  <pic:nvPicPr>
                    <pic:cNvPr id="7" name="图片 7" descr="6764af5b193a4da4dbe638f18899aa3"/>
                    <pic:cNvPicPr/>
                  </pic:nvPicPr>
                  <pic:blipFill>
                    <a:blip r:embed="rId11"/>
                    <a:stretch>
                      <a:fillRect/>
                    </a:stretch>
                  </pic:blipFill>
                  <pic:spPr>
                    <a:xfrm>
                      <a:off x="0" y="0"/>
                      <a:ext cx="2879725" cy="2160270"/>
                    </a:xfrm>
                    <a:prstGeom prst="rect">
                      <a:avLst/>
                    </a:prstGeom>
                  </pic:spPr>
                </pic:pic>
              </a:graphicData>
            </a:graphic>
          </wp:anchor>
        </w:drawing>
      </w:r>
    </w:p>
    <w:sectPr>
      <w:pgSz w:w="11906" w:h="16839"/>
      <w:pgMar w:top="1304" w:right="966" w:bottom="1304" w:left="1785" w:header="0" w:footer="98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ppleSystemUIFont">
    <w:altName w:val="Cambria"/>
    <w:panose1 w:val="00000000000000000000"/>
    <w:charset w:val="00"/>
    <w:family w:val="roman"/>
    <w:pitch w:val="default"/>
    <w:sig w:usb0="00000000" w:usb1="00000000" w:usb2="00000000" w:usb3="00000000" w:csb0="00000000" w:csb1="00000000"/>
  </w:font>
  <w:font w:name="UICTFontTextStyleBody">
    <w:altName w:val="Cambria"/>
    <w:panose1 w:val="00000000000000000000"/>
    <w:charset w:val="00"/>
    <w:family w:val="roman"/>
    <w:pitch w:val="default"/>
    <w:sig w:usb0="00000000" w:usb1="00000000" w:usb2="00000000" w:usb3="00000000" w:csb0="00000000" w:csb1="00000000"/>
  </w:font>
  <w:font w:name="UICTFontTextStyleEmphasizedBody">
    <w:altName w:val="Cambria"/>
    <w:panose1 w:val="00000000000000000000"/>
    <w:charset w:val="00"/>
    <w:family w:val="roman"/>
    <w:pitch w:val="default"/>
    <w:sig w:usb0="00000000" w:usb1="00000000" w:usb2="00000000" w:usb3="00000000" w:csb0="00000000"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81103">
    <w:pPr>
      <w:pStyle w:val="57"/>
    </w:pPr>
  </w:p>
  <w:p w14:paraId="1741A95C">
    <w:pPr>
      <w:pStyle w:val="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FD388">
    <w:pPr>
      <w:pStyle w:val="5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1998"/>
                          </w:sdtPr>
                          <w:sdtContent>
                            <w:p w14:paraId="25B23441">
                              <w:pPr>
                                <w:pStyle w:val="57"/>
                                <w:jc w:val="center"/>
                              </w:pPr>
                              <w:r>
                                <w:fldChar w:fldCharType="begin"/>
                              </w:r>
                              <w:r>
                                <w:instrText xml:space="preserve">PAGE   \* MERGEFORMAT</w:instrText>
                              </w:r>
                              <w:r>
                                <w:fldChar w:fldCharType="separate"/>
                              </w:r>
                              <w:r>
                                <w:rPr>
                                  <w:lang w:val="zh-CN" w:eastAsia="zh-CN"/>
                                </w:rPr>
                                <w:t>2</w:t>
                              </w:r>
                              <w:r>
                                <w:fldChar w:fldCharType="end"/>
                              </w:r>
                            </w:p>
                          </w:sdtContent>
                        </w:sdt>
                        <w:p w14:paraId="408B7934"/>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sdt>
                    <w:sdtPr>
                      <w:id w:val="147471998"/>
                    </w:sdtPr>
                    <w:sdtContent>
                      <w:p w14:paraId="25B23441">
                        <w:pPr>
                          <w:pStyle w:val="57"/>
                          <w:jc w:val="center"/>
                        </w:pPr>
                        <w:r>
                          <w:fldChar w:fldCharType="begin"/>
                        </w:r>
                        <w:r>
                          <w:instrText xml:space="preserve">PAGE   \* MERGEFORMAT</w:instrText>
                        </w:r>
                        <w:r>
                          <w:fldChar w:fldCharType="separate"/>
                        </w:r>
                        <w:r>
                          <w:rPr>
                            <w:lang w:val="zh-CN" w:eastAsia="zh-CN"/>
                          </w:rPr>
                          <w:t>2</w:t>
                        </w:r>
                        <w:r>
                          <w:fldChar w:fldCharType="end"/>
                        </w:r>
                      </w:p>
                    </w:sdtContent>
                  </w:sdt>
                  <w:p w14:paraId="408B7934"/>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0DF7FA"/>
    <w:multiLevelType w:val="singleLevel"/>
    <w:tmpl w:val="C40DF7FA"/>
    <w:lvl w:ilvl="0" w:tentative="0">
      <w:start w:val="7"/>
      <w:numFmt w:val="decimal"/>
      <w:suff w:val="nothing"/>
      <w:lvlText w:val="（%1）"/>
      <w:lvlJc w:val="left"/>
    </w:lvl>
  </w:abstractNum>
  <w:abstractNum w:abstractNumId="1">
    <w:nsid w:val="CF7963C4"/>
    <w:multiLevelType w:val="singleLevel"/>
    <w:tmpl w:val="CF7963C4"/>
    <w:lvl w:ilvl="0" w:tentative="0">
      <w:start w:val="2"/>
      <w:numFmt w:val="decimal"/>
      <w:suff w:val="nothing"/>
      <w:lvlText w:val="（%1）"/>
      <w:lvlJc w:val="left"/>
    </w:lvl>
  </w:abstractNum>
  <w:abstractNum w:abstractNumId="2">
    <w:nsid w:val="DE71729B"/>
    <w:multiLevelType w:val="singleLevel"/>
    <w:tmpl w:val="DE71729B"/>
    <w:lvl w:ilvl="0" w:tentative="0">
      <w:start w:val="2"/>
      <w:numFmt w:val="decimal"/>
      <w:suff w:val="nothing"/>
      <w:lvlText w:val="（%1）"/>
      <w:lvlJc w:val="left"/>
    </w:lvl>
  </w:abstractNum>
  <w:abstractNum w:abstractNumId="3">
    <w:nsid w:val="FFFFFF7C"/>
    <w:multiLevelType w:val="singleLevel"/>
    <w:tmpl w:val="FFFFFF7C"/>
    <w:lvl w:ilvl="0" w:tentative="0">
      <w:start w:val="1"/>
      <w:numFmt w:val="decimal"/>
      <w:pStyle w:val="66"/>
      <w:lvlText w:val="%1."/>
      <w:lvlJc w:val="left"/>
      <w:pPr>
        <w:tabs>
          <w:tab w:val="left" w:pos="2040"/>
        </w:tabs>
        <w:ind w:left="2040" w:leftChars="800" w:hanging="360" w:hangingChars="200"/>
      </w:pPr>
    </w:lvl>
  </w:abstractNum>
  <w:abstractNum w:abstractNumId="4">
    <w:nsid w:val="FFFFFF7D"/>
    <w:multiLevelType w:val="singleLevel"/>
    <w:tmpl w:val="FFFFFF7D"/>
    <w:lvl w:ilvl="0" w:tentative="0">
      <w:start w:val="1"/>
      <w:numFmt w:val="decimal"/>
      <w:pStyle w:val="48"/>
      <w:lvlText w:val="%1."/>
      <w:lvlJc w:val="left"/>
      <w:pPr>
        <w:tabs>
          <w:tab w:val="left" w:pos="1620"/>
        </w:tabs>
        <w:ind w:left="1620" w:leftChars="600" w:hanging="360" w:hangingChars="200"/>
      </w:pPr>
    </w:lvl>
  </w:abstractNum>
  <w:abstractNum w:abstractNumId="5">
    <w:nsid w:val="FFFFFF7E"/>
    <w:multiLevelType w:val="singleLevel"/>
    <w:tmpl w:val="FFFFFF7E"/>
    <w:lvl w:ilvl="0" w:tentative="0">
      <w:start w:val="1"/>
      <w:numFmt w:val="decimal"/>
      <w:pStyle w:val="37"/>
      <w:lvlText w:val="%1."/>
      <w:lvlJc w:val="left"/>
      <w:pPr>
        <w:tabs>
          <w:tab w:val="left" w:pos="1200"/>
        </w:tabs>
        <w:ind w:left="1200" w:leftChars="400" w:hanging="360" w:hangingChars="200"/>
      </w:pPr>
    </w:lvl>
  </w:abstractNum>
  <w:abstractNum w:abstractNumId="6">
    <w:nsid w:val="FFFFFF7F"/>
    <w:multiLevelType w:val="singleLevel"/>
    <w:tmpl w:val="FFFFFF7F"/>
    <w:lvl w:ilvl="0" w:tentative="0">
      <w:start w:val="1"/>
      <w:numFmt w:val="decimal"/>
      <w:pStyle w:val="14"/>
      <w:lvlText w:val="%1."/>
      <w:lvlJc w:val="left"/>
      <w:pPr>
        <w:tabs>
          <w:tab w:val="left" w:pos="780"/>
        </w:tabs>
        <w:ind w:left="780" w:leftChars="200" w:hanging="360" w:hangingChars="200"/>
      </w:pPr>
    </w:lvl>
  </w:abstractNum>
  <w:abstractNum w:abstractNumId="7">
    <w:nsid w:val="FFFFFF80"/>
    <w:multiLevelType w:val="singleLevel"/>
    <w:tmpl w:val="FFFFFF80"/>
    <w:lvl w:ilvl="0" w:tentative="0">
      <w:start w:val="1"/>
      <w:numFmt w:val="bullet"/>
      <w:pStyle w:val="47"/>
      <w:lvlText w:val=""/>
      <w:lvlJc w:val="left"/>
      <w:pPr>
        <w:tabs>
          <w:tab w:val="left" w:pos="2040"/>
        </w:tabs>
        <w:ind w:left="2040" w:leftChars="800" w:hanging="360" w:hangingChars="200"/>
      </w:pPr>
      <w:rPr>
        <w:rFonts w:hint="default" w:ascii="Wingdings" w:hAnsi="Wingdings"/>
      </w:rPr>
    </w:lvl>
  </w:abstractNum>
  <w:abstractNum w:abstractNumId="8">
    <w:nsid w:val="FFFFFF81"/>
    <w:multiLevelType w:val="singleLevel"/>
    <w:tmpl w:val="FFFFFF81"/>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9">
    <w:nsid w:val="FFFFFF82"/>
    <w:multiLevelType w:val="singleLevel"/>
    <w:tmpl w:val="FFFFFF82"/>
    <w:lvl w:ilvl="0" w:tentative="0">
      <w:start w:val="1"/>
      <w:numFmt w:val="bullet"/>
      <w:pStyle w:val="33"/>
      <w:lvlText w:val=""/>
      <w:lvlJc w:val="left"/>
      <w:pPr>
        <w:tabs>
          <w:tab w:val="left" w:pos="1200"/>
        </w:tabs>
        <w:ind w:left="1200" w:leftChars="400" w:hanging="360" w:hangingChars="200"/>
      </w:pPr>
      <w:rPr>
        <w:rFonts w:hint="default" w:ascii="Wingdings" w:hAnsi="Wingdings"/>
      </w:rPr>
    </w:lvl>
  </w:abstractNum>
  <w:abstractNum w:abstractNumId="10">
    <w:nsid w:val="FFFFFF83"/>
    <w:multiLevelType w:val="singleLevel"/>
    <w:tmpl w:val="FFFFFF83"/>
    <w:lvl w:ilvl="0" w:tentative="0">
      <w:start w:val="1"/>
      <w:numFmt w:val="bullet"/>
      <w:pStyle w:val="41"/>
      <w:lvlText w:val=""/>
      <w:lvlJc w:val="left"/>
      <w:pPr>
        <w:tabs>
          <w:tab w:val="left" w:pos="780"/>
        </w:tabs>
        <w:ind w:left="780" w:leftChars="200" w:hanging="360" w:hangingChars="200"/>
      </w:pPr>
      <w:rPr>
        <w:rFonts w:hint="default" w:ascii="Wingdings" w:hAnsi="Wingdings"/>
      </w:rPr>
    </w:lvl>
  </w:abstractNum>
  <w:abstractNum w:abstractNumId="11">
    <w:nsid w:val="FFFFFF88"/>
    <w:multiLevelType w:val="singleLevel"/>
    <w:tmpl w:val="FFFFFF88"/>
    <w:lvl w:ilvl="0" w:tentative="0">
      <w:start w:val="1"/>
      <w:numFmt w:val="decimal"/>
      <w:pStyle w:val="20"/>
      <w:lvlText w:val="%1."/>
      <w:lvlJc w:val="left"/>
      <w:pPr>
        <w:tabs>
          <w:tab w:val="left" w:pos="360"/>
        </w:tabs>
        <w:ind w:left="360" w:hanging="360" w:hangingChars="200"/>
      </w:pPr>
    </w:lvl>
  </w:abstractNum>
  <w:abstractNum w:abstractNumId="12">
    <w:nsid w:val="FFFFFF89"/>
    <w:multiLevelType w:val="singleLevel"/>
    <w:tmpl w:val="FFFFFF89"/>
    <w:lvl w:ilvl="0" w:tentative="0">
      <w:start w:val="1"/>
      <w:numFmt w:val="bullet"/>
      <w:pStyle w:val="24"/>
      <w:lvlText w:val=""/>
      <w:lvlJc w:val="left"/>
      <w:pPr>
        <w:tabs>
          <w:tab w:val="left" w:pos="360"/>
        </w:tabs>
        <w:ind w:left="360" w:hanging="360" w:hangingChars="200"/>
      </w:pPr>
      <w:rPr>
        <w:rFonts w:hint="default" w:ascii="Wingdings" w:hAnsi="Wingdings"/>
      </w:rPr>
    </w:lvl>
  </w:abstractNum>
  <w:abstractNum w:abstractNumId="13">
    <w:nsid w:val="0084C9C3"/>
    <w:multiLevelType w:val="singleLevel"/>
    <w:tmpl w:val="0084C9C3"/>
    <w:lvl w:ilvl="0" w:tentative="0">
      <w:start w:val="9"/>
      <w:numFmt w:val="chineseCounting"/>
      <w:suff w:val="nothing"/>
      <w:lvlText w:val="%1、"/>
      <w:lvlJc w:val="left"/>
      <w:rPr>
        <w:rFonts w:hint="eastAsia"/>
      </w:rPr>
    </w:lvl>
  </w:abstractNum>
  <w:abstractNum w:abstractNumId="14">
    <w:nsid w:val="04E97B3C"/>
    <w:multiLevelType w:val="singleLevel"/>
    <w:tmpl w:val="04E97B3C"/>
    <w:lvl w:ilvl="0" w:tentative="0">
      <w:start w:val="1"/>
      <w:numFmt w:val="chineseCounting"/>
      <w:suff w:val="nothing"/>
      <w:lvlText w:val="（%1）"/>
      <w:lvlJc w:val="left"/>
      <w:rPr>
        <w:rFonts w:hint="eastAsia"/>
      </w:rPr>
    </w:lvl>
  </w:abstractNum>
  <w:abstractNum w:abstractNumId="15">
    <w:nsid w:val="11246496"/>
    <w:multiLevelType w:val="singleLevel"/>
    <w:tmpl w:val="11246496"/>
    <w:lvl w:ilvl="0" w:tentative="0">
      <w:start w:val="2"/>
      <w:numFmt w:val="decimal"/>
      <w:suff w:val="nothing"/>
      <w:lvlText w:val="（%1）"/>
      <w:lvlJc w:val="left"/>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1"/>
  </w:num>
  <w:num w:numId="12">
    <w:abstractNumId w:val="0"/>
  </w:num>
  <w:num w:numId="13">
    <w:abstractNumId w:val="15"/>
  </w:num>
  <w:num w:numId="14">
    <w:abstractNumId w:val="2"/>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TBmMTQzYjhmZDZlY2ViY2QzNWMzZDBjYzNkNDNkNDcifQ=="/>
    <w:docVar w:name="KSO_WPS_MARK_KEY" w:val="c5fe0de4-6065-45a9-aaed-0a98bf3ad792"/>
  </w:docVars>
  <w:rsids>
    <w:rsidRoot w:val="008947DC"/>
    <w:rsid w:val="000034E5"/>
    <w:rsid w:val="00007E59"/>
    <w:rsid w:val="0003162D"/>
    <w:rsid w:val="00071144"/>
    <w:rsid w:val="00076B82"/>
    <w:rsid w:val="00090BBD"/>
    <w:rsid w:val="000A690F"/>
    <w:rsid w:val="000D647C"/>
    <w:rsid w:val="00107734"/>
    <w:rsid w:val="001079C5"/>
    <w:rsid w:val="00146175"/>
    <w:rsid w:val="00147468"/>
    <w:rsid w:val="0016029B"/>
    <w:rsid w:val="001C0F39"/>
    <w:rsid w:val="001C5F51"/>
    <w:rsid w:val="001C65A1"/>
    <w:rsid w:val="001F0F81"/>
    <w:rsid w:val="001F3E1D"/>
    <w:rsid w:val="00203013"/>
    <w:rsid w:val="002321EF"/>
    <w:rsid w:val="0024017D"/>
    <w:rsid w:val="00243515"/>
    <w:rsid w:val="00277F15"/>
    <w:rsid w:val="00282FB2"/>
    <w:rsid w:val="002837AB"/>
    <w:rsid w:val="002A7D5E"/>
    <w:rsid w:val="002C2AFB"/>
    <w:rsid w:val="002D3475"/>
    <w:rsid w:val="00302D7F"/>
    <w:rsid w:val="00343856"/>
    <w:rsid w:val="00361553"/>
    <w:rsid w:val="003D52B6"/>
    <w:rsid w:val="003E0536"/>
    <w:rsid w:val="0043177B"/>
    <w:rsid w:val="00435E09"/>
    <w:rsid w:val="004402F1"/>
    <w:rsid w:val="00485160"/>
    <w:rsid w:val="004865FE"/>
    <w:rsid w:val="004A1402"/>
    <w:rsid w:val="004D1153"/>
    <w:rsid w:val="00505AFB"/>
    <w:rsid w:val="0051569F"/>
    <w:rsid w:val="00536C62"/>
    <w:rsid w:val="005519BA"/>
    <w:rsid w:val="00577179"/>
    <w:rsid w:val="00580630"/>
    <w:rsid w:val="005B03A8"/>
    <w:rsid w:val="005C5AAC"/>
    <w:rsid w:val="005D5844"/>
    <w:rsid w:val="006457DB"/>
    <w:rsid w:val="006634AE"/>
    <w:rsid w:val="00672C1B"/>
    <w:rsid w:val="00680074"/>
    <w:rsid w:val="00684DFA"/>
    <w:rsid w:val="006A0FC5"/>
    <w:rsid w:val="006F1AC3"/>
    <w:rsid w:val="006F3F64"/>
    <w:rsid w:val="00735095"/>
    <w:rsid w:val="007538C1"/>
    <w:rsid w:val="00766A44"/>
    <w:rsid w:val="00770C6F"/>
    <w:rsid w:val="007C147C"/>
    <w:rsid w:val="00810A3E"/>
    <w:rsid w:val="008204BD"/>
    <w:rsid w:val="008246CC"/>
    <w:rsid w:val="008500DC"/>
    <w:rsid w:val="008947DC"/>
    <w:rsid w:val="008C2C2C"/>
    <w:rsid w:val="008C78F3"/>
    <w:rsid w:val="008F56B2"/>
    <w:rsid w:val="009154CF"/>
    <w:rsid w:val="00945EED"/>
    <w:rsid w:val="0095081C"/>
    <w:rsid w:val="009B5230"/>
    <w:rsid w:val="009C5CA5"/>
    <w:rsid w:val="00A25182"/>
    <w:rsid w:val="00A41875"/>
    <w:rsid w:val="00A425B4"/>
    <w:rsid w:val="00A70049"/>
    <w:rsid w:val="00A752EC"/>
    <w:rsid w:val="00A82DCE"/>
    <w:rsid w:val="00AE0C34"/>
    <w:rsid w:val="00B20415"/>
    <w:rsid w:val="00BA2E15"/>
    <w:rsid w:val="00BB472B"/>
    <w:rsid w:val="00C02DEE"/>
    <w:rsid w:val="00C2586F"/>
    <w:rsid w:val="00C26802"/>
    <w:rsid w:val="00C56997"/>
    <w:rsid w:val="00C865BF"/>
    <w:rsid w:val="00CF038E"/>
    <w:rsid w:val="00CF084A"/>
    <w:rsid w:val="00CF1BB7"/>
    <w:rsid w:val="00D179A4"/>
    <w:rsid w:val="00D30FB1"/>
    <w:rsid w:val="00E318CA"/>
    <w:rsid w:val="00E3351E"/>
    <w:rsid w:val="00E66D4B"/>
    <w:rsid w:val="00E843B0"/>
    <w:rsid w:val="00EC7EE1"/>
    <w:rsid w:val="00ED134F"/>
    <w:rsid w:val="00EF29D2"/>
    <w:rsid w:val="00F21F73"/>
    <w:rsid w:val="00F62D39"/>
    <w:rsid w:val="00F66A93"/>
    <w:rsid w:val="00F72729"/>
    <w:rsid w:val="00FB1DDA"/>
    <w:rsid w:val="00FC1EFE"/>
    <w:rsid w:val="00FC41DF"/>
    <w:rsid w:val="02C31095"/>
    <w:rsid w:val="02D36DFE"/>
    <w:rsid w:val="030376E3"/>
    <w:rsid w:val="03221C10"/>
    <w:rsid w:val="033034D9"/>
    <w:rsid w:val="03C230FA"/>
    <w:rsid w:val="03EA2651"/>
    <w:rsid w:val="05A01219"/>
    <w:rsid w:val="05E11832"/>
    <w:rsid w:val="07866B35"/>
    <w:rsid w:val="07944DAE"/>
    <w:rsid w:val="07FF4B94"/>
    <w:rsid w:val="08C711B3"/>
    <w:rsid w:val="0B9E269F"/>
    <w:rsid w:val="0C9509E4"/>
    <w:rsid w:val="0D735465"/>
    <w:rsid w:val="0D984ECC"/>
    <w:rsid w:val="0E5B4877"/>
    <w:rsid w:val="0FEB77CE"/>
    <w:rsid w:val="10AD486E"/>
    <w:rsid w:val="10D73F5D"/>
    <w:rsid w:val="119F5EEB"/>
    <w:rsid w:val="12C16C73"/>
    <w:rsid w:val="130F539E"/>
    <w:rsid w:val="13BB7B66"/>
    <w:rsid w:val="13CD0C35"/>
    <w:rsid w:val="145E6E6F"/>
    <w:rsid w:val="14C50C9C"/>
    <w:rsid w:val="15396F94"/>
    <w:rsid w:val="16414353"/>
    <w:rsid w:val="169F551D"/>
    <w:rsid w:val="16A82624"/>
    <w:rsid w:val="16E548EB"/>
    <w:rsid w:val="16E63943"/>
    <w:rsid w:val="17255A22"/>
    <w:rsid w:val="176E561B"/>
    <w:rsid w:val="19DC5BAD"/>
    <w:rsid w:val="1A116732"/>
    <w:rsid w:val="1A2975D8"/>
    <w:rsid w:val="1ABA0B77"/>
    <w:rsid w:val="1B4E306E"/>
    <w:rsid w:val="1DB47B00"/>
    <w:rsid w:val="1E2A6014"/>
    <w:rsid w:val="1E90231B"/>
    <w:rsid w:val="20BB73F7"/>
    <w:rsid w:val="21110DC5"/>
    <w:rsid w:val="212E1977"/>
    <w:rsid w:val="21D07A77"/>
    <w:rsid w:val="21F030D1"/>
    <w:rsid w:val="22162B37"/>
    <w:rsid w:val="227635D6"/>
    <w:rsid w:val="235F48DA"/>
    <w:rsid w:val="243279D1"/>
    <w:rsid w:val="26A57B72"/>
    <w:rsid w:val="26ED5E31"/>
    <w:rsid w:val="27C208F2"/>
    <w:rsid w:val="287700A8"/>
    <w:rsid w:val="28F419DB"/>
    <w:rsid w:val="2A047719"/>
    <w:rsid w:val="2A9071FF"/>
    <w:rsid w:val="2AE5579D"/>
    <w:rsid w:val="2B0D6AA1"/>
    <w:rsid w:val="2B147E30"/>
    <w:rsid w:val="2D0839C4"/>
    <w:rsid w:val="2E271C28"/>
    <w:rsid w:val="2E736BEE"/>
    <w:rsid w:val="2F1F2286"/>
    <w:rsid w:val="2F4078CC"/>
    <w:rsid w:val="30380CB9"/>
    <w:rsid w:val="303F2378"/>
    <w:rsid w:val="30DF67EA"/>
    <w:rsid w:val="31F6028F"/>
    <w:rsid w:val="33F46A50"/>
    <w:rsid w:val="34961783"/>
    <w:rsid w:val="35213875"/>
    <w:rsid w:val="362624D0"/>
    <w:rsid w:val="36323860"/>
    <w:rsid w:val="36E20DE2"/>
    <w:rsid w:val="36EE3C2B"/>
    <w:rsid w:val="37002AF6"/>
    <w:rsid w:val="38207E14"/>
    <w:rsid w:val="38390ED6"/>
    <w:rsid w:val="38AC5B4C"/>
    <w:rsid w:val="39F16E23"/>
    <w:rsid w:val="3AAB2A2E"/>
    <w:rsid w:val="3AE3337B"/>
    <w:rsid w:val="3B392F9B"/>
    <w:rsid w:val="3BF75330"/>
    <w:rsid w:val="3C3F1F3C"/>
    <w:rsid w:val="3ED25BE0"/>
    <w:rsid w:val="3F055D23"/>
    <w:rsid w:val="3FEA7570"/>
    <w:rsid w:val="40DB5220"/>
    <w:rsid w:val="41C13BB8"/>
    <w:rsid w:val="41FF4F3E"/>
    <w:rsid w:val="449726B9"/>
    <w:rsid w:val="45343151"/>
    <w:rsid w:val="455F7AA2"/>
    <w:rsid w:val="45796DB6"/>
    <w:rsid w:val="45BD5019"/>
    <w:rsid w:val="46160AA8"/>
    <w:rsid w:val="46A460B4"/>
    <w:rsid w:val="46FD7572"/>
    <w:rsid w:val="47555600"/>
    <w:rsid w:val="47FB7F56"/>
    <w:rsid w:val="485A1120"/>
    <w:rsid w:val="4A266DE0"/>
    <w:rsid w:val="4B307F16"/>
    <w:rsid w:val="4B7A4E6B"/>
    <w:rsid w:val="4B931058"/>
    <w:rsid w:val="4F642884"/>
    <w:rsid w:val="4F6E54B1"/>
    <w:rsid w:val="51905BB3"/>
    <w:rsid w:val="51B82A14"/>
    <w:rsid w:val="53EB7A04"/>
    <w:rsid w:val="54574766"/>
    <w:rsid w:val="557D01FC"/>
    <w:rsid w:val="56881689"/>
    <w:rsid w:val="575F11EB"/>
    <w:rsid w:val="57776ECD"/>
    <w:rsid w:val="584A6390"/>
    <w:rsid w:val="5866766D"/>
    <w:rsid w:val="58AC2BA6"/>
    <w:rsid w:val="58DD0FB2"/>
    <w:rsid w:val="59246D29"/>
    <w:rsid w:val="59F82547"/>
    <w:rsid w:val="5A361CF4"/>
    <w:rsid w:val="5A7A11AE"/>
    <w:rsid w:val="5AC10B8B"/>
    <w:rsid w:val="5B1038C0"/>
    <w:rsid w:val="5D0F1F99"/>
    <w:rsid w:val="5DD3758F"/>
    <w:rsid w:val="5E0A0A9B"/>
    <w:rsid w:val="5EBF6A6A"/>
    <w:rsid w:val="5FA82319"/>
    <w:rsid w:val="5FE86BBA"/>
    <w:rsid w:val="60F15F42"/>
    <w:rsid w:val="627E54C7"/>
    <w:rsid w:val="63862972"/>
    <w:rsid w:val="63BC2837"/>
    <w:rsid w:val="63CE4319"/>
    <w:rsid w:val="656E190F"/>
    <w:rsid w:val="65F36A2B"/>
    <w:rsid w:val="67D57A24"/>
    <w:rsid w:val="68DD65A0"/>
    <w:rsid w:val="69D16911"/>
    <w:rsid w:val="6A8335A5"/>
    <w:rsid w:val="6B0B5576"/>
    <w:rsid w:val="6CFF6571"/>
    <w:rsid w:val="6D6C0E2A"/>
    <w:rsid w:val="6DBC51E2"/>
    <w:rsid w:val="6F502086"/>
    <w:rsid w:val="6FE86762"/>
    <w:rsid w:val="70001CFE"/>
    <w:rsid w:val="70FA5C0B"/>
    <w:rsid w:val="72007D93"/>
    <w:rsid w:val="72A66B8C"/>
    <w:rsid w:val="72E476B5"/>
    <w:rsid w:val="73723EEA"/>
    <w:rsid w:val="742F4960"/>
    <w:rsid w:val="764A53DC"/>
    <w:rsid w:val="778C4B7B"/>
    <w:rsid w:val="77B7440F"/>
    <w:rsid w:val="785F0E88"/>
    <w:rsid w:val="7A4639FC"/>
    <w:rsid w:val="7A7430CC"/>
    <w:rsid w:val="7AC04563"/>
    <w:rsid w:val="7BF81ADB"/>
    <w:rsid w:val="7C705B15"/>
    <w:rsid w:val="7D225061"/>
    <w:rsid w:val="7D2B4D28"/>
    <w:rsid w:val="7D48064E"/>
    <w:rsid w:val="7DD272EC"/>
    <w:rsid w:val="7E243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name="Body Text"/>
    <w:lsdException w:qFormat="1"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iPriority="0" w:name="Table Simple 1"/>
    <w:lsdException w:qFormat="1" w:uiPriority="0" w:name="Table Simple 2"/>
    <w:lsdException w:qFormat="1" w:uiPriority="0" w:name="Table Simple 3"/>
    <w:lsdException w:qFormat="1" w:uiPriority="0" w:name="Table Classic 1"/>
    <w:lsdException w:qFormat="1" w:uiPriority="0" w:name="Table Classic 2"/>
    <w:lsdException w:qFormat="1" w:uiPriority="0" w:name="Table Classic 3"/>
    <w:lsdException w:qFormat="1" w:uiPriority="0" w:name="Table Classic 4"/>
    <w:lsdException w:qFormat="1" w:uiPriority="0" w:name="Table Colorful 1"/>
    <w:lsdException w:qFormat="1" w:uiPriority="0" w:name="Table Colorful 2"/>
    <w:lsdException w:qFormat="1" w:uiPriority="0" w:name="Table Colorful 3"/>
    <w:lsdException w:qFormat="1" w:uiPriority="0" w:name="Table Columns 1"/>
    <w:lsdException w:qFormat="1" w:uiPriority="0" w:name="Table Columns 2"/>
    <w:lsdException w:qFormat="1" w:uiPriority="0" w:name="Table Columns 3"/>
    <w:lsdException w:qFormat="1" w:uiPriority="0" w:name="Table Columns 4"/>
    <w:lsdException w:qFormat="1" w:uiPriority="0" w:name="Table Columns 5"/>
    <w:lsdException w:qFormat="1" w:uiPriority="0" w:name="Table Grid 1"/>
    <w:lsdException w:qFormat="1" w:uiPriority="0" w:name="Table Grid 2"/>
    <w:lsdException w:qFormat="1" w:uiPriority="0" w:name="Table Grid 3"/>
    <w:lsdException w:qFormat="1" w:uiPriority="0" w:name="Table Grid 4"/>
    <w:lsdException w:qFormat="1" w:uiPriority="0" w:name="Table Grid 5"/>
    <w:lsdException w:qFormat="1" w:uiPriority="0" w:name="Table Grid 6"/>
    <w:lsdException w:qFormat="1" w:uiPriority="0" w:name="Table Grid 7"/>
    <w:lsdException w:qFormat="1" w:uiPriority="0" w:name="Table Grid 8"/>
    <w:lsdException w:qFormat="1" w:uiPriority="0" w:name="Table List 1"/>
    <w:lsdException w:qFormat="1" w:uiPriority="0" w:name="Table List 2"/>
    <w:lsdException w:qFormat="1" w:uiPriority="0" w:name="Table List 3"/>
    <w:lsdException w:qFormat="1" w:uiPriority="0" w:name="Table List 4"/>
    <w:lsdException w:qFormat="1" w:uiPriority="0" w:name="Table List 5"/>
    <w:lsdException w:qFormat="1" w:uiPriority="0" w:name="Table List 6"/>
    <w:lsdException w:qFormat="1" w:uiPriority="0" w:name="Table List 7"/>
    <w:lsdException w:qFormat="1" w:uiPriority="0" w:name="Table List 8"/>
    <w:lsdException w:qFormat="1" w:uiPriority="0" w:name="Table 3D effects 1"/>
    <w:lsdException w:qFormat="1" w:uiPriority="0" w:name="Table 3D effects 2"/>
    <w:lsdException w:qFormat="1" w:uiPriority="0" w:name="Table 3D effects 3"/>
    <w:lsdException w:qFormat="1" w:uiPriority="0" w:name="Table Contemporary"/>
    <w:lsdException w:qFormat="1" w:uiPriority="0" w:name="Table Elegant"/>
    <w:lsdException w:qFormat="1" w:uiPriority="0" w:name="Table Professional"/>
    <w:lsdException w:qFormat="1" w:uiPriority="0" w:name="Table Subtle 1"/>
    <w:lsdException w:qFormat="1" w:uiPriority="0" w:name="Table Subtle 2"/>
    <w:lsdException w:qFormat="1" w:uiPriority="0" w:name="Table Web 1"/>
    <w:lsdException w:qFormat="1" w:uiPriority="0" w:name="Table Web 2"/>
    <w:lsdException w:qFormat="1" w:uiPriority="0" w:name="Table Web 3"/>
    <w:lsdException w:qFormat="1" w:unhideWhenUsed="0" w:uiPriority="0" w:semiHidden="0" w:name="Balloon Text"/>
    <w:lsdException w:qFormat="1" w:unhideWhenUsed="0" w:uiPriority="0" w:semiHidden="0" w:name="Table Grid"/>
    <w:lsdException w:qFormat="1" w:uiPriority="0" w:semiHidden="0" w:name="Table Theme"/>
    <w:lsdException w:qFormat="1" w:uiPriority="99" w:name="Placeholder Text"/>
    <w:lsdException w:qFormat="1" w:uiPriority="99"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99" w:name="List Paragraph"/>
    <w:lsdException w:qFormat="1" w:uiPriority="99" w:name="Quote"/>
    <w:lsdException w:qFormat="1" w:uiPriority="99"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outlineLvl w:val="1"/>
    </w:pPr>
    <w:rPr>
      <w:rFonts w:eastAsia="黑体"/>
      <w:b/>
      <w:sz w:val="32"/>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paragraph" w:styleId="6">
    <w:name w:val="heading 4"/>
    <w:basedOn w:val="1"/>
    <w:next w:val="1"/>
    <w:unhideWhenUsed/>
    <w:qFormat/>
    <w:uiPriority w:val="0"/>
    <w:pPr>
      <w:keepNext/>
      <w:keepLines/>
      <w:spacing w:before="280" w:after="290" w:line="372" w:lineRule="auto"/>
      <w:outlineLvl w:val="3"/>
    </w:pPr>
    <w:rPr>
      <w:rFonts w:eastAsia="黑体"/>
      <w:b/>
      <w:sz w:val="28"/>
    </w:rPr>
  </w:style>
  <w:style w:type="paragraph" w:styleId="7">
    <w:name w:val="heading 5"/>
    <w:basedOn w:val="1"/>
    <w:next w:val="1"/>
    <w:link w:val="663"/>
    <w:semiHidden/>
    <w:unhideWhenUsed/>
    <w:qFormat/>
    <w:uiPriority w:val="0"/>
    <w:pPr>
      <w:keepNext/>
      <w:keepLines/>
      <w:spacing w:before="280" w:after="290" w:line="376" w:lineRule="auto"/>
      <w:outlineLvl w:val="4"/>
    </w:pPr>
    <w:rPr>
      <w:b/>
      <w:bCs/>
      <w:sz w:val="28"/>
      <w:szCs w:val="28"/>
    </w:rPr>
  </w:style>
  <w:style w:type="paragraph" w:styleId="8">
    <w:name w:val="heading 6"/>
    <w:basedOn w:val="1"/>
    <w:next w:val="1"/>
    <w:link w:val="664"/>
    <w:semiHidden/>
    <w:unhideWhenUsed/>
    <w:qFormat/>
    <w:uiPriority w:val="0"/>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65"/>
    <w:semiHidden/>
    <w:unhideWhenUsed/>
    <w:qFormat/>
    <w:uiPriority w:val="0"/>
    <w:pPr>
      <w:keepNext/>
      <w:keepLines/>
      <w:spacing w:before="240" w:after="64" w:line="320" w:lineRule="auto"/>
      <w:outlineLvl w:val="6"/>
    </w:pPr>
    <w:rPr>
      <w:b/>
      <w:bCs/>
      <w:sz w:val="24"/>
      <w:szCs w:val="24"/>
    </w:rPr>
  </w:style>
  <w:style w:type="paragraph" w:styleId="10">
    <w:name w:val="heading 8"/>
    <w:basedOn w:val="1"/>
    <w:next w:val="1"/>
    <w:link w:val="666"/>
    <w:semiHidden/>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7"/>
    <w:semiHidden/>
    <w:unhideWhenUsed/>
    <w:qFormat/>
    <w:uiPriority w:val="0"/>
    <w:pPr>
      <w:keepNext/>
      <w:keepLines/>
      <w:spacing w:before="240" w:after="64" w:line="320" w:lineRule="auto"/>
      <w:outlineLvl w:val="8"/>
    </w:pPr>
    <w:rPr>
      <w:rFonts w:asciiTheme="majorHAnsi" w:hAnsiTheme="majorHAnsi" w:eastAsiaTheme="majorEastAsia" w:cstheme="majorBidi"/>
    </w:rPr>
  </w:style>
  <w:style w:type="character" w:default="1" w:styleId="31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673"/>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textAlignment w:val="baseline"/>
    </w:pPr>
    <w:rPr>
      <w:rFonts w:ascii="Courier New" w:hAnsi="Courier New" w:eastAsia="宋体" w:cs="Courier New"/>
      <w:snapToGrid w:val="0"/>
      <w:color w:val="000000"/>
      <w:sz w:val="24"/>
      <w:szCs w:val="24"/>
      <w:lang w:val="en-US" w:eastAsia="en-US" w:bidi="ar-SA"/>
    </w:rPr>
  </w:style>
  <w:style w:type="paragraph" w:styleId="12">
    <w:name w:val="List 3"/>
    <w:basedOn w:val="1"/>
    <w:qFormat/>
    <w:uiPriority w:val="0"/>
    <w:pPr>
      <w:ind w:left="100" w:leftChars="400" w:hanging="200" w:hangingChars="200"/>
      <w:contextualSpacing/>
    </w:pPr>
  </w:style>
  <w:style w:type="paragraph" w:styleId="13">
    <w:name w:val="toc 7"/>
    <w:basedOn w:val="1"/>
    <w:next w:val="1"/>
    <w:qFormat/>
    <w:uiPriority w:val="39"/>
    <w:pPr>
      <w:ind w:left="2520" w:leftChars="1200"/>
    </w:pPr>
  </w:style>
  <w:style w:type="paragraph" w:styleId="14">
    <w:name w:val="List Number 2"/>
    <w:basedOn w:val="1"/>
    <w:qFormat/>
    <w:uiPriority w:val="0"/>
    <w:pPr>
      <w:numPr>
        <w:ilvl w:val="0"/>
        <w:numId w:val="1"/>
      </w:numPr>
      <w:contextualSpacing/>
    </w:pPr>
  </w:style>
  <w:style w:type="paragraph" w:styleId="15">
    <w:name w:val="table of authorities"/>
    <w:basedOn w:val="1"/>
    <w:next w:val="1"/>
    <w:qFormat/>
    <w:uiPriority w:val="0"/>
    <w:pPr>
      <w:ind w:left="420" w:leftChars="200"/>
    </w:pPr>
  </w:style>
  <w:style w:type="paragraph" w:styleId="16">
    <w:name w:val="Note Heading"/>
    <w:basedOn w:val="1"/>
    <w:next w:val="1"/>
    <w:link w:val="1288"/>
    <w:qFormat/>
    <w:uiPriority w:val="0"/>
    <w:pPr>
      <w:jc w:val="center"/>
    </w:pPr>
  </w:style>
  <w:style w:type="paragraph" w:styleId="17">
    <w:name w:val="List Bullet 4"/>
    <w:basedOn w:val="1"/>
    <w:qFormat/>
    <w:uiPriority w:val="0"/>
    <w:pPr>
      <w:numPr>
        <w:ilvl w:val="0"/>
        <w:numId w:val="2"/>
      </w:numPr>
      <w:contextualSpacing/>
    </w:pPr>
  </w:style>
  <w:style w:type="paragraph" w:styleId="18">
    <w:name w:val="index 8"/>
    <w:basedOn w:val="1"/>
    <w:next w:val="1"/>
    <w:qFormat/>
    <w:uiPriority w:val="0"/>
    <w:pPr>
      <w:ind w:left="1400" w:leftChars="1400"/>
    </w:pPr>
  </w:style>
  <w:style w:type="paragraph" w:styleId="19">
    <w:name w:val="E-mail Signature"/>
    <w:basedOn w:val="1"/>
    <w:link w:val="671"/>
    <w:qFormat/>
    <w:uiPriority w:val="0"/>
  </w:style>
  <w:style w:type="paragraph" w:styleId="20">
    <w:name w:val="List Number"/>
    <w:basedOn w:val="1"/>
    <w:qFormat/>
    <w:uiPriority w:val="0"/>
    <w:pPr>
      <w:numPr>
        <w:ilvl w:val="0"/>
        <w:numId w:val="3"/>
      </w:numPr>
      <w:contextualSpacing/>
    </w:pPr>
  </w:style>
  <w:style w:type="paragraph" w:styleId="21">
    <w:name w:val="Normal Indent"/>
    <w:basedOn w:val="1"/>
    <w:qFormat/>
    <w:uiPriority w:val="0"/>
    <w:pPr>
      <w:ind w:firstLine="420" w:firstLineChars="200"/>
    </w:pPr>
  </w:style>
  <w:style w:type="paragraph" w:styleId="22">
    <w:name w:val="caption"/>
    <w:basedOn w:val="1"/>
    <w:next w:val="1"/>
    <w:semiHidden/>
    <w:unhideWhenUsed/>
    <w:qFormat/>
    <w:uiPriority w:val="0"/>
    <w:rPr>
      <w:rFonts w:eastAsia="黑体" w:asciiTheme="majorHAnsi" w:hAnsiTheme="majorHAnsi" w:cstheme="majorBidi"/>
      <w:sz w:val="20"/>
      <w:szCs w:val="20"/>
    </w:rPr>
  </w:style>
  <w:style w:type="paragraph" w:styleId="23">
    <w:name w:val="index 5"/>
    <w:next w:val="1"/>
    <w:unhideWhenUsed/>
    <w:qFormat/>
    <w:uiPriority w:val="0"/>
    <w:pPr>
      <w:widowControl w:val="0"/>
      <w:ind w:left="1680"/>
    </w:pPr>
    <w:rPr>
      <w:rFonts w:ascii="宋体" w:hAnsi="Times New Roman" w:eastAsia="宋体" w:cs="Times New Roman"/>
      <w:kern w:val="2"/>
      <w:sz w:val="24"/>
      <w:szCs w:val="21"/>
      <w:lang w:val="en-US" w:eastAsia="zh-CN" w:bidi="ar-SA"/>
    </w:rPr>
  </w:style>
  <w:style w:type="paragraph" w:styleId="24">
    <w:name w:val="List Bullet"/>
    <w:basedOn w:val="1"/>
    <w:qFormat/>
    <w:uiPriority w:val="0"/>
    <w:pPr>
      <w:numPr>
        <w:ilvl w:val="0"/>
        <w:numId w:val="4"/>
      </w:numPr>
      <w:contextualSpacing/>
    </w:pPr>
  </w:style>
  <w:style w:type="paragraph" w:styleId="25">
    <w:name w:val="envelope address"/>
    <w:basedOn w:val="1"/>
    <w:qFormat/>
    <w:uiPriority w:val="0"/>
    <w:pPr>
      <w:framePr w:w="7920" w:h="1980" w:hRule="exact" w:hSpace="180" w:wrap="auto" w:vAnchor="margin" w:hAnchor="page" w:xAlign="center" w:yAlign="bottom"/>
      <w:ind w:left="100" w:leftChars="1400"/>
    </w:pPr>
    <w:rPr>
      <w:rFonts w:asciiTheme="majorHAnsi" w:hAnsiTheme="majorHAnsi" w:eastAsiaTheme="majorEastAsia" w:cstheme="majorBidi"/>
      <w:sz w:val="24"/>
      <w:szCs w:val="24"/>
    </w:rPr>
  </w:style>
  <w:style w:type="paragraph" w:styleId="26">
    <w:name w:val="Document Map"/>
    <w:basedOn w:val="1"/>
    <w:link w:val="1243"/>
    <w:qFormat/>
    <w:uiPriority w:val="0"/>
    <w:rPr>
      <w:rFonts w:ascii="Microsoft YaHei UI" w:eastAsia="Microsoft YaHei UI"/>
      <w:sz w:val="18"/>
      <w:szCs w:val="18"/>
    </w:rPr>
  </w:style>
  <w:style w:type="paragraph" w:styleId="27">
    <w:name w:val="toa heading"/>
    <w:basedOn w:val="1"/>
    <w:next w:val="1"/>
    <w:qFormat/>
    <w:uiPriority w:val="0"/>
    <w:pPr>
      <w:spacing w:before="120"/>
    </w:pPr>
    <w:rPr>
      <w:rFonts w:asciiTheme="majorHAnsi" w:hAnsiTheme="majorHAnsi" w:eastAsiaTheme="majorEastAsia" w:cstheme="majorBidi"/>
      <w:sz w:val="24"/>
      <w:szCs w:val="24"/>
    </w:rPr>
  </w:style>
  <w:style w:type="paragraph" w:styleId="28">
    <w:name w:val="annotation text"/>
    <w:basedOn w:val="1"/>
    <w:link w:val="643"/>
    <w:qFormat/>
    <w:uiPriority w:val="0"/>
  </w:style>
  <w:style w:type="paragraph" w:styleId="29">
    <w:name w:val="index 6"/>
    <w:basedOn w:val="1"/>
    <w:next w:val="1"/>
    <w:qFormat/>
    <w:uiPriority w:val="0"/>
    <w:pPr>
      <w:ind w:left="1000" w:leftChars="1000"/>
    </w:pPr>
  </w:style>
  <w:style w:type="paragraph" w:styleId="30">
    <w:name w:val="Salutation"/>
    <w:basedOn w:val="1"/>
    <w:next w:val="1"/>
    <w:link w:val="670"/>
    <w:qFormat/>
    <w:uiPriority w:val="0"/>
  </w:style>
  <w:style w:type="paragraph" w:styleId="31">
    <w:name w:val="Body Text 3"/>
    <w:basedOn w:val="1"/>
    <w:link w:val="1279"/>
    <w:qFormat/>
    <w:uiPriority w:val="0"/>
    <w:pPr>
      <w:spacing w:after="120"/>
    </w:pPr>
    <w:rPr>
      <w:sz w:val="16"/>
      <w:szCs w:val="16"/>
    </w:rPr>
  </w:style>
  <w:style w:type="paragraph" w:styleId="32">
    <w:name w:val="Closing"/>
    <w:basedOn w:val="1"/>
    <w:link w:val="675"/>
    <w:qFormat/>
    <w:uiPriority w:val="0"/>
    <w:pPr>
      <w:ind w:left="100" w:leftChars="2100"/>
    </w:pPr>
  </w:style>
  <w:style w:type="paragraph" w:styleId="33">
    <w:name w:val="List Bullet 3"/>
    <w:basedOn w:val="1"/>
    <w:qFormat/>
    <w:uiPriority w:val="0"/>
    <w:pPr>
      <w:numPr>
        <w:ilvl w:val="0"/>
        <w:numId w:val="5"/>
      </w:numPr>
      <w:contextualSpacing/>
    </w:pPr>
  </w:style>
  <w:style w:type="paragraph" w:styleId="34">
    <w:name w:val="Body Text"/>
    <w:basedOn w:val="1"/>
    <w:link w:val="1280"/>
    <w:semiHidden/>
    <w:qFormat/>
    <w:uiPriority w:val="0"/>
  </w:style>
  <w:style w:type="paragraph" w:styleId="35">
    <w:name w:val="Body Text Indent"/>
    <w:basedOn w:val="1"/>
    <w:next w:val="36"/>
    <w:link w:val="1282"/>
    <w:unhideWhenUsed/>
    <w:qFormat/>
    <w:uiPriority w:val="99"/>
    <w:pPr>
      <w:spacing w:after="120"/>
      <w:ind w:left="420" w:leftChars="200"/>
    </w:pPr>
  </w:style>
  <w:style w:type="paragraph" w:styleId="3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37">
    <w:name w:val="List Number 3"/>
    <w:basedOn w:val="1"/>
    <w:qFormat/>
    <w:uiPriority w:val="0"/>
    <w:pPr>
      <w:numPr>
        <w:ilvl w:val="0"/>
        <w:numId w:val="6"/>
      </w:numPr>
      <w:contextualSpacing/>
    </w:pPr>
  </w:style>
  <w:style w:type="paragraph" w:styleId="38">
    <w:name w:val="List 2"/>
    <w:basedOn w:val="1"/>
    <w:qFormat/>
    <w:uiPriority w:val="0"/>
    <w:pPr>
      <w:ind w:left="100" w:leftChars="200" w:hanging="200" w:hangingChars="200"/>
      <w:contextualSpacing/>
    </w:pPr>
  </w:style>
  <w:style w:type="paragraph" w:styleId="39">
    <w:name w:val="List Continue"/>
    <w:basedOn w:val="1"/>
    <w:qFormat/>
    <w:uiPriority w:val="0"/>
    <w:pPr>
      <w:spacing w:after="120"/>
      <w:ind w:left="420" w:leftChars="200"/>
      <w:contextualSpacing/>
    </w:pPr>
  </w:style>
  <w:style w:type="paragraph" w:styleId="40">
    <w:name w:val="Block Text"/>
    <w:basedOn w:val="1"/>
    <w:qFormat/>
    <w:uiPriority w:val="0"/>
    <w:pPr>
      <w:spacing w:after="120"/>
      <w:ind w:left="1440" w:leftChars="700" w:right="1440" w:rightChars="700"/>
    </w:pPr>
  </w:style>
  <w:style w:type="paragraph" w:styleId="41">
    <w:name w:val="List Bullet 2"/>
    <w:basedOn w:val="1"/>
    <w:qFormat/>
    <w:uiPriority w:val="0"/>
    <w:pPr>
      <w:numPr>
        <w:ilvl w:val="0"/>
        <w:numId w:val="7"/>
      </w:numPr>
      <w:contextualSpacing/>
    </w:pPr>
  </w:style>
  <w:style w:type="paragraph" w:styleId="42">
    <w:name w:val="HTML Address"/>
    <w:basedOn w:val="1"/>
    <w:link w:val="647"/>
    <w:qFormat/>
    <w:uiPriority w:val="0"/>
    <w:rPr>
      <w:i/>
      <w:iCs/>
    </w:rPr>
  </w:style>
  <w:style w:type="paragraph" w:styleId="43">
    <w:name w:val="index 4"/>
    <w:basedOn w:val="1"/>
    <w:next w:val="1"/>
    <w:qFormat/>
    <w:uiPriority w:val="0"/>
    <w:pPr>
      <w:ind w:left="600" w:leftChars="600"/>
    </w:pPr>
  </w:style>
  <w:style w:type="paragraph" w:styleId="44">
    <w:name w:val="toc 5"/>
    <w:basedOn w:val="1"/>
    <w:next w:val="1"/>
    <w:qFormat/>
    <w:uiPriority w:val="39"/>
    <w:pPr>
      <w:ind w:left="1680" w:leftChars="800"/>
    </w:pPr>
  </w:style>
  <w:style w:type="paragraph" w:styleId="45">
    <w:name w:val="toc 3"/>
    <w:basedOn w:val="1"/>
    <w:next w:val="1"/>
    <w:qFormat/>
    <w:uiPriority w:val="39"/>
    <w:pPr>
      <w:ind w:left="840" w:leftChars="400"/>
    </w:pPr>
  </w:style>
  <w:style w:type="paragraph" w:styleId="46">
    <w:name w:val="Plain Text"/>
    <w:basedOn w:val="1"/>
    <w:qFormat/>
    <w:uiPriority w:val="0"/>
    <w:pPr>
      <w:spacing w:before="100" w:beforeAutospacing="1" w:after="100" w:afterAutospacing="1"/>
    </w:pPr>
    <w:rPr>
      <w:rFonts w:ascii="宋体" w:hAnsi="宋体" w:cs="宋体"/>
      <w:sz w:val="24"/>
    </w:rPr>
  </w:style>
  <w:style w:type="paragraph" w:styleId="47">
    <w:name w:val="List Bullet 5"/>
    <w:basedOn w:val="1"/>
    <w:qFormat/>
    <w:uiPriority w:val="0"/>
    <w:pPr>
      <w:numPr>
        <w:ilvl w:val="0"/>
        <w:numId w:val="8"/>
      </w:numPr>
      <w:contextualSpacing/>
    </w:pPr>
  </w:style>
  <w:style w:type="paragraph" w:styleId="48">
    <w:name w:val="List Number 4"/>
    <w:basedOn w:val="1"/>
    <w:qFormat/>
    <w:uiPriority w:val="0"/>
    <w:pPr>
      <w:numPr>
        <w:ilvl w:val="0"/>
        <w:numId w:val="9"/>
      </w:numPr>
      <w:contextualSpacing/>
    </w:pPr>
  </w:style>
  <w:style w:type="paragraph" w:styleId="49">
    <w:name w:val="toc 8"/>
    <w:basedOn w:val="1"/>
    <w:next w:val="1"/>
    <w:qFormat/>
    <w:uiPriority w:val="39"/>
    <w:pPr>
      <w:ind w:left="2940" w:leftChars="1400"/>
    </w:pPr>
  </w:style>
  <w:style w:type="paragraph" w:styleId="50">
    <w:name w:val="index 3"/>
    <w:basedOn w:val="1"/>
    <w:next w:val="1"/>
    <w:qFormat/>
    <w:uiPriority w:val="0"/>
    <w:pPr>
      <w:ind w:left="400" w:leftChars="400"/>
    </w:pPr>
  </w:style>
  <w:style w:type="paragraph" w:styleId="51">
    <w:name w:val="Date"/>
    <w:basedOn w:val="1"/>
    <w:next w:val="1"/>
    <w:link w:val="1008"/>
    <w:qFormat/>
    <w:uiPriority w:val="0"/>
    <w:pPr>
      <w:ind w:left="100" w:leftChars="2500"/>
    </w:pPr>
  </w:style>
  <w:style w:type="paragraph" w:styleId="52">
    <w:name w:val="Body Text Indent 2"/>
    <w:basedOn w:val="1"/>
    <w:link w:val="1284"/>
    <w:qFormat/>
    <w:uiPriority w:val="0"/>
    <w:pPr>
      <w:spacing w:after="120" w:line="480" w:lineRule="auto"/>
      <w:ind w:left="420" w:leftChars="200"/>
    </w:pPr>
  </w:style>
  <w:style w:type="paragraph" w:styleId="53">
    <w:name w:val="endnote text"/>
    <w:basedOn w:val="1"/>
    <w:link w:val="1241"/>
    <w:qFormat/>
    <w:uiPriority w:val="0"/>
  </w:style>
  <w:style w:type="paragraph" w:styleId="54">
    <w:name w:val="List Continue 5"/>
    <w:basedOn w:val="1"/>
    <w:qFormat/>
    <w:uiPriority w:val="0"/>
    <w:pPr>
      <w:spacing w:after="120"/>
      <w:ind w:left="2100" w:leftChars="1000"/>
      <w:contextualSpacing/>
    </w:pPr>
  </w:style>
  <w:style w:type="paragraph" w:styleId="55">
    <w:name w:val="Balloon Text"/>
    <w:basedOn w:val="1"/>
    <w:next w:val="56"/>
    <w:qFormat/>
    <w:uiPriority w:val="0"/>
    <w:rPr>
      <w:sz w:val="18"/>
      <w:szCs w:val="18"/>
    </w:rPr>
  </w:style>
  <w:style w:type="paragraph" w:customStyle="1" w:styleId="56">
    <w:name w:val="正文缩进311"/>
    <w:next w:val="1"/>
    <w:qFormat/>
    <w:uiPriority w:val="0"/>
    <w:pPr>
      <w:wordWrap w:val="0"/>
      <w:ind w:left="3400"/>
      <w:jc w:val="both"/>
    </w:pPr>
    <w:rPr>
      <w:rFonts w:ascii="Calibri" w:hAnsi="Calibri" w:eastAsia="宋体" w:cs="Times New Roman"/>
      <w:sz w:val="21"/>
      <w:szCs w:val="22"/>
      <w:lang w:val="en-US" w:eastAsia="zh-CN" w:bidi="ar-SA"/>
    </w:rPr>
  </w:style>
  <w:style w:type="paragraph" w:styleId="57">
    <w:name w:val="footer"/>
    <w:basedOn w:val="1"/>
    <w:link w:val="645"/>
    <w:qFormat/>
    <w:uiPriority w:val="99"/>
    <w:pPr>
      <w:tabs>
        <w:tab w:val="center" w:pos="4153"/>
        <w:tab w:val="right" w:pos="8306"/>
      </w:tabs>
    </w:pPr>
    <w:rPr>
      <w:sz w:val="18"/>
      <w:szCs w:val="18"/>
    </w:rPr>
  </w:style>
  <w:style w:type="paragraph" w:styleId="58">
    <w:name w:val="envelope return"/>
    <w:basedOn w:val="1"/>
    <w:qFormat/>
    <w:uiPriority w:val="0"/>
    <w:rPr>
      <w:rFonts w:asciiTheme="majorHAnsi" w:hAnsiTheme="majorHAnsi" w:eastAsiaTheme="majorEastAsia" w:cstheme="majorBidi"/>
    </w:rPr>
  </w:style>
  <w:style w:type="paragraph" w:styleId="59">
    <w:name w:val="Signature"/>
    <w:basedOn w:val="1"/>
    <w:link w:val="706"/>
    <w:qFormat/>
    <w:uiPriority w:val="0"/>
    <w:pPr>
      <w:ind w:left="100" w:leftChars="2100"/>
    </w:pPr>
  </w:style>
  <w:style w:type="paragraph" w:styleId="60">
    <w:name w:val="toc 1"/>
    <w:basedOn w:val="1"/>
    <w:next w:val="1"/>
    <w:qFormat/>
    <w:uiPriority w:val="39"/>
    <w:rPr>
      <w:rFonts w:ascii="黑体" w:hAnsi="黑体" w:eastAsia="黑体" w:cs="黑体"/>
      <w:spacing w:val="4"/>
      <w:szCs w:val="44"/>
      <w:lang w:eastAsia="zh-CN"/>
    </w:rPr>
  </w:style>
  <w:style w:type="paragraph" w:styleId="61">
    <w:name w:val="List Continue 4"/>
    <w:basedOn w:val="1"/>
    <w:qFormat/>
    <w:uiPriority w:val="0"/>
    <w:pPr>
      <w:spacing w:after="120"/>
      <w:ind w:left="1680" w:leftChars="800"/>
      <w:contextualSpacing/>
    </w:pPr>
  </w:style>
  <w:style w:type="paragraph" w:styleId="62">
    <w:name w:val="toc 4"/>
    <w:basedOn w:val="1"/>
    <w:next w:val="1"/>
    <w:qFormat/>
    <w:uiPriority w:val="39"/>
    <w:pPr>
      <w:ind w:left="1260" w:leftChars="600"/>
    </w:pPr>
  </w:style>
  <w:style w:type="paragraph" w:styleId="63">
    <w:name w:val="index heading"/>
    <w:basedOn w:val="1"/>
    <w:next w:val="64"/>
    <w:qFormat/>
    <w:uiPriority w:val="0"/>
    <w:rPr>
      <w:rFonts w:asciiTheme="majorHAnsi" w:hAnsiTheme="majorHAnsi" w:eastAsiaTheme="majorEastAsia" w:cstheme="majorBidi"/>
      <w:b/>
      <w:bCs/>
    </w:rPr>
  </w:style>
  <w:style w:type="paragraph" w:styleId="64">
    <w:name w:val="index 1"/>
    <w:basedOn w:val="1"/>
    <w:next w:val="1"/>
    <w:qFormat/>
    <w:uiPriority w:val="0"/>
  </w:style>
  <w:style w:type="paragraph" w:styleId="65">
    <w:name w:val="Subtitle"/>
    <w:basedOn w:val="1"/>
    <w:next w:val="1"/>
    <w:link w:val="672"/>
    <w:qFormat/>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66">
    <w:name w:val="List Number 5"/>
    <w:basedOn w:val="1"/>
    <w:qFormat/>
    <w:uiPriority w:val="0"/>
    <w:pPr>
      <w:numPr>
        <w:ilvl w:val="0"/>
        <w:numId w:val="10"/>
      </w:numPr>
      <w:contextualSpacing/>
    </w:pPr>
  </w:style>
  <w:style w:type="paragraph" w:styleId="67">
    <w:name w:val="List"/>
    <w:basedOn w:val="1"/>
    <w:qFormat/>
    <w:uiPriority w:val="0"/>
    <w:pPr>
      <w:ind w:left="200" w:hanging="200" w:hangingChars="200"/>
      <w:contextualSpacing/>
    </w:pPr>
  </w:style>
  <w:style w:type="paragraph" w:styleId="68">
    <w:name w:val="footnote text"/>
    <w:basedOn w:val="1"/>
    <w:link w:val="674"/>
    <w:qFormat/>
    <w:uiPriority w:val="0"/>
    <w:rPr>
      <w:sz w:val="18"/>
      <w:szCs w:val="18"/>
    </w:rPr>
  </w:style>
  <w:style w:type="paragraph" w:styleId="69">
    <w:name w:val="toc 6"/>
    <w:basedOn w:val="1"/>
    <w:next w:val="1"/>
    <w:qFormat/>
    <w:uiPriority w:val="39"/>
    <w:pPr>
      <w:ind w:left="2100" w:leftChars="1000"/>
    </w:pPr>
  </w:style>
  <w:style w:type="paragraph" w:styleId="70">
    <w:name w:val="List 5"/>
    <w:basedOn w:val="1"/>
    <w:qFormat/>
    <w:uiPriority w:val="0"/>
    <w:pPr>
      <w:ind w:left="100" w:leftChars="800" w:hanging="200" w:hangingChars="200"/>
      <w:contextualSpacing/>
    </w:pPr>
  </w:style>
  <w:style w:type="paragraph" w:styleId="71">
    <w:name w:val="Body Text Indent 3"/>
    <w:basedOn w:val="1"/>
    <w:link w:val="1285"/>
    <w:qFormat/>
    <w:uiPriority w:val="0"/>
    <w:pPr>
      <w:spacing w:after="120"/>
      <w:ind w:left="420" w:leftChars="200"/>
    </w:pPr>
    <w:rPr>
      <w:sz w:val="16"/>
      <w:szCs w:val="16"/>
    </w:rPr>
  </w:style>
  <w:style w:type="paragraph" w:styleId="72">
    <w:name w:val="index 7"/>
    <w:basedOn w:val="1"/>
    <w:next w:val="1"/>
    <w:qFormat/>
    <w:uiPriority w:val="0"/>
    <w:pPr>
      <w:ind w:left="1200" w:leftChars="1200"/>
    </w:pPr>
  </w:style>
  <w:style w:type="paragraph" w:styleId="73">
    <w:name w:val="index 9"/>
    <w:basedOn w:val="1"/>
    <w:next w:val="1"/>
    <w:qFormat/>
    <w:uiPriority w:val="0"/>
    <w:pPr>
      <w:ind w:left="1600" w:leftChars="1600"/>
    </w:pPr>
  </w:style>
  <w:style w:type="paragraph" w:styleId="74">
    <w:name w:val="table of figures"/>
    <w:basedOn w:val="1"/>
    <w:next w:val="1"/>
    <w:qFormat/>
    <w:uiPriority w:val="0"/>
    <w:pPr>
      <w:ind w:left="200" w:leftChars="200" w:hanging="200" w:hangingChars="200"/>
    </w:pPr>
  </w:style>
  <w:style w:type="paragraph" w:styleId="75">
    <w:name w:val="toc 2"/>
    <w:basedOn w:val="1"/>
    <w:next w:val="1"/>
    <w:qFormat/>
    <w:uiPriority w:val="39"/>
    <w:pPr>
      <w:ind w:left="420" w:leftChars="200"/>
    </w:pPr>
  </w:style>
  <w:style w:type="paragraph" w:styleId="76">
    <w:name w:val="toc 9"/>
    <w:basedOn w:val="1"/>
    <w:next w:val="1"/>
    <w:qFormat/>
    <w:uiPriority w:val="39"/>
    <w:pPr>
      <w:ind w:left="3360" w:leftChars="1600"/>
    </w:pPr>
  </w:style>
  <w:style w:type="paragraph" w:styleId="77">
    <w:name w:val="Body Text 2"/>
    <w:basedOn w:val="1"/>
    <w:link w:val="1278"/>
    <w:qFormat/>
    <w:uiPriority w:val="0"/>
    <w:pPr>
      <w:spacing w:after="120" w:line="480" w:lineRule="auto"/>
    </w:pPr>
  </w:style>
  <w:style w:type="paragraph" w:styleId="78">
    <w:name w:val="List 4"/>
    <w:basedOn w:val="1"/>
    <w:qFormat/>
    <w:uiPriority w:val="0"/>
    <w:pPr>
      <w:ind w:left="100" w:leftChars="600" w:hanging="200" w:hangingChars="200"/>
      <w:contextualSpacing/>
    </w:pPr>
  </w:style>
  <w:style w:type="paragraph" w:styleId="79">
    <w:name w:val="List Continue 2"/>
    <w:basedOn w:val="1"/>
    <w:qFormat/>
    <w:uiPriority w:val="0"/>
    <w:pPr>
      <w:spacing w:after="120"/>
      <w:ind w:left="840" w:leftChars="400"/>
      <w:contextualSpacing/>
    </w:pPr>
  </w:style>
  <w:style w:type="paragraph" w:styleId="80">
    <w:name w:val="Message Header"/>
    <w:basedOn w:val="1"/>
    <w:link w:val="1262"/>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81">
    <w:name w:val="HTML Preformatted"/>
    <w:basedOn w:val="1"/>
    <w:link w:val="648"/>
    <w:qFormat/>
    <w:uiPriority w:val="0"/>
    <w:rPr>
      <w:rFonts w:ascii="Courier New" w:hAnsi="Courier New" w:cs="Courier New"/>
      <w:sz w:val="20"/>
      <w:szCs w:val="20"/>
    </w:rPr>
  </w:style>
  <w:style w:type="paragraph" w:styleId="82">
    <w:name w:val="Normal (Web)"/>
    <w:basedOn w:val="1"/>
    <w:qFormat/>
    <w:uiPriority w:val="0"/>
    <w:pPr>
      <w:spacing w:beforeAutospacing="1" w:afterAutospacing="1"/>
    </w:pPr>
    <w:rPr>
      <w:rFonts w:cs="Times New Roman"/>
      <w:sz w:val="24"/>
      <w:lang w:eastAsia="zh-CN"/>
    </w:rPr>
  </w:style>
  <w:style w:type="paragraph" w:styleId="83">
    <w:name w:val="List Continue 3"/>
    <w:basedOn w:val="1"/>
    <w:qFormat/>
    <w:uiPriority w:val="0"/>
    <w:pPr>
      <w:spacing w:after="120"/>
      <w:ind w:left="1260" w:leftChars="600"/>
      <w:contextualSpacing/>
    </w:pPr>
  </w:style>
  <w:style w:type="paragraph" w:styleId="84">
    <w:name w:val="index 2"/>
    <w:basedOn w:val="1"/>
    <w:next w:val="1"/>
    <w:qFormat/>
    <w:uiPriority w:val="0"/>
    <w:pPr>
      <w:ind w:left="200" w:leftChars="200"/>
    </w:pPr>
  </w:style>
  <w:style w:type="paragraph" w:styleId="85">
    <w:name w:val="Title"/>
    <w:basedOn w:val="1"/>
    <w:next w:val="1"/>
    <w:link w:val="662"/>
    <w:qFormat/>
    <w:uiPriority w:val="0"/>
    <w:pPr>
      <w:spacing w:before="240" w:after="60"/>
      <w:jc w:val="center"/>
      <w:outlineLvl w:val="0"/>
    </w:pPr>
    <w:rPr>
      <w:rFonts w:asciiTheme="majorHAnsi" w:hAnsiTheme="majorHAnsi" w:eastAsiaTheme="majorEastAsia" w:cstheme="majorBidi"/>
      <w:b/>
      <w:bCs/>
      <w:sz w:val="32"/>
      <w:szCs w:val="32"/>
    </w:rPr>
  </w:style>
  <w:style w:type="paragraph" w:styleId="86">
    <w:name w:val="annotation subject"/>
    <w:basedOn w:val="28"/>
    <w:next w:val="28"/>
    <w:link w:val="644"/>
    <w:qFormat/>
    <w:uiPriority w:val="0"/>
    <w:rPr>
      <w:b/>
      <w:bCs/>
    </w:rPr>
  </w:style>
  <w:style w:type="paragraph" w:styleId="87">
    <w:name w:val="Body Text First Indent"/>
    <w:basedOn w:val="34"/>
    <w:link w:val="1281"/>
    <w:qFormat/>
    <w:uiPriority w:val="0"/>
    <w:pPr>
      <w:spacing w:after="120"/>
      <w:ind w:firstLine="420" w:firstLineChars="100"/>
    </w:pPr>
  </w:style>
  <w:style w:type="paragraph" w:styleId="88">
    <w:name w:val="Body Text First Indent 2"/>
    <w:basedOn w:val="35"/>
    <w:link w:val="1283"/>
    <w:qFormat/>
    <w:uiPriority w:val="0"/>
    <w:pPr>
      <w:ind w:firstLine="420" w:firstLineChars="200"/>
    </w:pPr>
  </w:style>
  <w:style w:type="table" w:styleId="90">
    <w:name w:val="Table Grid"/>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unhideWhenUsed/>
    <w:qFormat/>
    <w:uiPriority w:val="0"/>
    <w:pPr>
      <w:kinsoku w:val="0"/>
      <w:autoSpaceDE w:val="0"/>
      <w:autoSpaceDN w:val="0"/>
      <w:adjustRightInd w:val="0"/>
      <w:snapToGri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semiHidden/>
    <w:unhideWhenUsed/>
    <w:qFormat/>
    <w:uiPriority w:val="0"/>
    <w:pPr>
      <w:kinsoku w:val="0"/>
      <w:autoSpaceDE w:val="0"/>
      <w:autoSpaceDN w:val="0"/>
      <w:adjustRightInd w:val="0"/>
      <w:snapToGrid w:val="0"/>
      <w:textAlignment w:val="baseline"/>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3">
    <w:name w:val="Table Colorful 2"/>
    <w:basedOn w:val="89"/>
    <w:semiHidden/>
    <w:unhideWhenUsed/>
    <w:qFormat/>
    <w:uiPriority w:val="0"/>
    <w:pPr>
      <w:kinsoku w:val="0"/>
      <w:autoSpaceDE w:val="0"/>
      <w:autoSpaceDN w:val="0"/>
      <w:adjustRightInd w:val="0"/>
      <w:snapToGrid w:val="0"/>
      <w:textAlignment w:val="baseline"/>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4">
    <w:name w:val="Table Colorful 3"/>
    <w:basedOn w:val="89"/>
    <w:semiHidden/>
    <w:unhideWhenUsed/>
    <w:qFormat/>
    <w:uiPriority w:val="0"/>
    <w:pPr>
      <w:kinsoku w:val="0"/>
      <w:autoSpaceDE w:val="0"/>
      <w:autoSpaceDN w:val="0"/>
      <w:adjustRightInd w:val="0"/>
      <w:snapToGrid w:val="0"/>
      <w:textAlignment w:val="baseline"/>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5">
    <w:name w:val="Table Elegant"/>
    <w:basedOn w:val="89"/>
    <w:semiHidden/>
    <w:unhideWhenUsed/>
    <w:qFormat/>
    <w:uiPriority w:val="0"/>
    <w:pPr>
      <w:kinsoku w:val="0"/>
      <w:autoSpaceDE w:val="0"/>
      <w:autoSpaceDN w:val="0"/>
      <w:adjustRightInd w:val="0"/>
      <w:snapToGrid w:val="0"/>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6">
    <w:name w:val="Table Classic 1"/>
    <w:basedOn w:val="89"/>
    <w:semiHidden/>
    <w:unhideWhenUsed/>
    <w:qFormat/>
    <w:uiPriority w:val="0"/>
    <w:pPr>
      <w:kinsoku w:val="0"/>
      <w:autoSpaceDE w:val="0"/>
      <w:autoSpaceDN w:val="0"/>
      <w:adjustRightInd w:val="0"/>
      <w:snapToGrid w:val="0"/>
      <w:textAlignment w:val="baseline"/>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7">
    <w:name w:val="Table Classic 2"/>
    <w:basedOn w:val="89"/>
    <w:semiHidden/>
    <w:unhideWhenUsed/>
    <w:qFormat/>
    <w:uiPriority w:val="0"/>
    <w:pPr>
      <w:kinsoku w:val="0"/>
      <w:autoSpaceDE w:val="0"/>
      <w:autoSpaceDN w:val="0"/>
      <w:adjustRightInd w:val="0"/>
      <w:snapToGrid w:val="0"/>
      <w:textAlignment w:val="baseline"/>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8">
    <w:name w:val="Table Classic 3"/>
    <w:basedOn w:val="89"/>
    <w:semiHidden/>
    <w:unhideWhenUsed/>
    <w:qFormat/>
    <w:uiPriority w:val="0"/>
    <w:pPr>
      <w:kinsoku w:val="0"/>
      <w:autoSpaceDE w:val="0"/>
      <w:autoSpaceDN w:val="0"/>
      <w:adjustRightInd w:val="0"/>
      <w:snapToGrid w:val="0"/>
      <w:textAlignment w:val="baseline"/>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9">
    <w:name w:val="Table Classic 4"/>
    <w:basedOn w:val="89"/>
    <w:semiHidden/>
    <w:unhideWhenUsed/>
    <w:qFormat/>
    <w:uiPriority w:val="0"/>
    <w:pPr>
      <w:kinsoku w:val="0"/>
      <w:autoSpaceDE w:val="0"/>
      <w:autoSpaceDN w:val="0"/>
      <w:adjustRightInd w:val="0"/>
      <w:snapToGrid w:val="0"/>
      <w:textAlignment w:val="baseline"/>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0">
    <w:name w:val="Table Simple 1"/>
    <w:basedOn w:val="89"/>
    <w:semiHidden/>
    <w:unhideWhenUsed/>
    <w:qFormat/>
    <w:uiPriority w:val="0"/>
    <w:pPr>
      <w:kinsoku w:val="0"/>
      <w:autoSpaceDE w:val="0"/>
      <w:autoSpaceDN w:val="0"/>
      <w:adjustRightInd w:val="0"/>
      <w:snapToGrid w:val="0"/>
      <w:textAlignment w:val="baseline"/>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1">
    <w:name w:val="Table Simple 2"/>
    <w:basedOn w:val="89"/>
    <w:semiHidden/>
    <w:unhideWhenUsed/>
    <w:qFormat/>
    <w:uiPriority w:val="0"/>
    <w:pPr>
      <w:kinsoku w:val="0"/>
      <w:autoSpaceDE w:val="0"/>
      <w:autoSpaceDN w:val="0"/>
      <w:adjustRightInd w:val="0"/>
      <w:snapToGrid w:val="0"/>
      <w:textAlignment w:val="baseline"/>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2">
    <w:name w:val="Table Simple 3"/>
    <w:basedOn w:val="89"/>
    <w:semiHidden/>
    <w:unhideWhenUsed/>
    <w:qFormat/>
    <w:uiPriority w:val="0"/>
    <w:pPr>
      <w:kinsoku w:val="0"/>
      <w:autoSpaceDE w:val="0"/>
      <w:autoSpaceDN w:val="0"/>
      <w:adjustRightInd w:val="0"/>
      <w:snapToGrid w:val="0"/>
      <w:textAlignment w:val="baseline"/>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3">
    <w:name w:val="Table Subtle 1"/>
    <w:basedOn w:val="89"/>
    <w:semiHidden/>
    <w:unhideWhenUsed/>
    <w:qFormat/>
    <w:uiPriority w:val="0"/>
    <w:pPr>
      <w:kinsoku w:val="0"/>
      <w:autoSpaceDE w:val="0"/>
      <w:autoSpaceDN w:val="0"/>
      <w:adjustRightInd w:val="0"/>
      <w:snapToGrid w:val="0"/>
      <w:textAlignment w:val="baseline"/>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Subtle 2"/>
    <w:basedOn w:val="89"/>
    <w:semiHidden/>
    <w:unhideWhenUsed/>
    <w:qFormat/>
    <w:uiPriority w:val="0"/>
    <w:pPr>
      <w:kinsoku w:val="0"/>
      <w:autoSpaceDE w:val="0"/>
      <w:autoSpaceDN w:val="0"/>
      <w:adjustRightInd w:val="0"/>
      <w:snapToGrid w:val="0"/>
      <w:textAlignment w:val="baseline"/>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3D effects 1"/>
    <w:basedOn w:val="89"/>
    <w:semiHidden/>
    <w:unhideWhenUsed/>
    <w:qFormat/>
    <w:uiPriority w:val="0"/>
    <w:pPr>
      <w:kinsoku w:val="0"/>
      <w:autoSpaceDE w:val="0"/>
      <w:autoSpaceDN w:val="0"/>
      <w:adjustRightInd w:val="0"/>
      <w:snapToGrid w:val="0"/>
      <w:textAlignment w:val="baseline"/>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6">
    <w:name w:val="Table 3D effects 2"/>
    <w:basedOn w:val="89"/>
    <w:semiHidden/>
    <w:unhideWhenUsed/>
    <w:qFormat/>
    <w:uiPriority w:val="0"/>
    <w:pPr>
      <w:kinsoku w:val="0"/>
      <w:autoSpaceDE w:val="0"/>
      <w:autoSpaceDN w:val="0"/>
      <w:adjustRightInd w:val="0"/>
      <w:snapToGrid w:val="0"/>
      <w:textAlignment w:val="baseline"/>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3D effects 3"/>
    <w:basedOn w:val="89"/>
    <w:semiHidden/>
    <w:unhideWhenUsed/>
    <w:qFormat/>
    <w:uiPriority w:val="0"/>
    <w:pPr>
      <w:kinsoku w:val="0"/>
      <w:autoSpaceDE w:val="0"/>
      <w:autoSpaceDN w:val="0"/>
      <w:adjustRightInd w:val="0"/>
      <w:snapToGrid w:val="0"/>
      <w:textAlignment w:val="baseline"/>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8">
    <w:name w:val="Table List 1"/>
    <w:basedOn w:val="89"/>
    <w:semiHidden/>
    <w:unhideWhenUsed/>
    <w:qFormat/>
    <w:uiPriority w:val="0"/>
    <w:pPr>
      <w:kinsoku w:val="0"/>
      <w:autoSpaceDE w:val="0"/>
      <w:autoSpaceDN w:val="0"/>
      <w:adjustRightInd w:val="0"/>
      <w:snapToGrid w:val="0"/>
      <w:textAlignment w:val="baseline"/>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2"/>
    <w:basedOn w:val="89"/>
    <w:semiHidden/>
    <w:unhideWhenUsed/>
    <w:qFormat/>
    <w:uiPriority w:val="0"/>
    <w:pPr>
      <w:kinsoku w:val="0"/>
      <w:autoSpaceDE w:val="0"/>
      <w:autoSpaceDN w:val="0"/>
      <w:adjustRightInd w:val="0"/>
      <w:snapToGrid w:val="0"/>
      <w:textAlignment w:val="baseline"/>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10">
    <w:name w:val="Table List 3"/>
    <w:basedOn w:val="89"/>
    <w:semiHidden/>
    <w:unhideWhenUsed/>
    <w:qFormat/>
    <w:uiPriority w:val="0"/>
    <w:pPr>
      <w:kinsoku w:val="0"/>
      <w:autoSpaceDE w:val="0"/>
      <w:autoSpaceDN w:val="0"/>
      <w:adjustRightInd w:val="0"/>
      <w:snapToGrid w:val="0"/>
      <w:textAlignment w:val="baseline"/>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1">
    <w:name w:val="Table List 4"/>
    <w:basedOn w:val="89"/>
    <w:semiHidden/>
    <w:unhideWhenUsed/>
    <w:qFormat/>
    <w:uiPriority w:val="0"/>
    <w:pPr>
      <w:kinsoku w:val="0"/>
      <w:autoSpaceDE w:val="0"/>
      <w:autoSpaceDN w:val="0"/>
      <w:adjustRightInd w:val="0"/>
      <w:snapToGrid w:val="0"/>
      <w:textAlignment w:val="baseline"/>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2">
    <w:name w:val="Table List 5"/>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3">
    <w:name w:val="Table List 6"/>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4">
    <w:name w:val="Table List 7"/>
    <w:basedOn w:val="89"/>
    <w:semiHidden/>
    <w:unhideWhenUsed/>
    <w:qFormat/>
    <w:uiPriority w:val="0"/>
    <w:pPr>
      <w:kinsoku w:val="0"/>
      <w:autoSpaceDE w:val="0"/>
      <w:autoSpaceDN w:val="0"/>
      <w:adjustRightInd w:val="0"/>
      <w:snapToGrid w:val="0"/>
      <w:textAlignment w:val="baseline"/>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5">
    <w:name w:val="Table List 8"/>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6">
    <w:name w:val="Table Contemporary"/>
    <w:basedOn w:val="89"/>
    <w:semiHidden/>
    <w:unhideWhenUsed/>
    <w:qFormat/>
    <w:uiPriority w:val="0"/>
    <w:pPr>
      <w:kinsoku w:val="0"/>
      <w:autoSpaceDE w:val="0"/>
      <w:autoSpaceDN w:val="0"/>
      <w:adjustRightInd w:val="0"/>
      <w:snapToGrid w:val="0"/>
      <w:textAlignment w:val="baseline"/>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7">
    <w:name w:val="Table Columns 1"/>
    <w:basedOn w:val="89"/>
    <w:semiHidden/>
    <w:unhideWhenUsed/>
    <w:qFormat/>
    <w:uiPriority w:val="0"/>
    <w:pPr>
      <w:kinsoku w:val="0"/>
      <w:autoSpaceDE w:val="0"/>
      <w:autoSpaceDN w:val="0"/>
      <w:adjustRightInd w:val="0"/>
      <w:snapToGri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2"/>
    <w:basedOn w:val="89"/>
    <w:semiHidden/>
    <w:unhideWhenUsed/>
    <w:qFormat/>
    <w:uiPriority w:val="0"/>
    <w:pPr>
      <w:kinsoku w:val="0"/>
      <w:autoSpaceDE w:val="0"/>
      <w:autoSpaceDN w:val="0"/>
      <w:adjustRightInd w:val="0"/>
      <w:snapToGrid w:val="0"/>
      <w:textAlignment w:val="baseline"/>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9">
    <w:name w:val="Table Columns 3"/>
    <w:basedOn w:val="89"/>
    <w:semiHidden/>
    <w:unhideWhenUsed/>
    <w:qFormat/>
    <w:uiPriority w:val="0"/>
    <w:pPr>
      <w:kinsoku w:val="0"/>
      <w:autoSpaceDE w:val="0"/>
      <w:autoSpaceDN w:val="0"/>
      <w:adjustRightInd w:val="0"/>
      <w:snapToGrid w:val="0"/>
      <w:textAlignment w:val="baseline"/>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20">
    <w:name w:val="Table Columns 4"/>
    <w:basedOn w:val="89"/>
    <w:semiHidden/>
    <w:unhideWhenUsed/>
    <w:qFormat/>
    <w:uiPriority w:val="0"/>
    <w:pPr>
      <w:kinsoku w:val="0"/>
      <w:autoSpaceDE w:val="0"/>
      <w:autoSpaceDN w:val="0"/>
      <w:adjustRightInd w:val="0"/>
      <w:snapToGrid w:val="0"/>
      <w:textAlignment w:val="baseline"/>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1">
    <w:name w:val="Table Columns 5"/>
    <w:basedOn w:val="89"/>
    <w:semiHidden/>
    <w:unhideWhenUsed/>
    <w:qFormat/>
    <w:uiPriority w:val="0"/>
    <w:pPr>
      <w:kinsoku w:val="0"/>
      <w:autoSpaceDE w:val="0"/>
      <w:autoSpaceDN w:val="0"/>
      <w:adjustRightInd w:val="0"/>
      <w:snapToGrid w:val="0"/>
      <w:textAlignment w:val="baseline"/>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2">
    <w:name w:val="Table Grid 1"/>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2"/>
    <w:basedOn w:val="89"/>
    <w:semiHidden/>
    <w:unhideWhenUsed/>
    <w:qFormat/>
    <w:uiPriority w:val="0"/>
    <w:pPr>
      <w:kinsoku w:val="0"/>
      <w:autoSpaceDE w:val="0"/>
      <w:autoSpaceDN w:val="0"/>
      <w:adjustRightInd w:val="0"/>
      <w:snapToGrid w:val="0"/>
      <w:textAlignment w:val="baseline"/>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4">
    <w:name w:val="Table Grid 3"/>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5">
    <w:name w:val="Table Grid 4"/>
    <w:basedOn w:val="89"/>
    <w:semiHidden/>
    <w:unhideWhenUsed/>
    <w:qFormat/>
    <w:uiPriority w:val="0"/>
    <w:pPr>
      <w:kinsoku w:val="0"/>
      <w:autoSpaceDE w:val="0"/>
      <w:autoSpaceDN w:val="0"/>
      <w:adjustRightInd w:val="0"/>
      <w:snapToGrid w:val="0"/>
      <w:textAlignment w:val="baseline"/>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6">
    <w:name w:val="Table Grid 5"/>
    <w:basedOn w:val="89"/>
    <w:semiHidden/>
    <w:unhideWhenUsed/>
    <w:qFormat/>
    <w:uiPriority w:val="0"/>
    <w:pPr>
      <w:kinsoku w:val="0"/>
      <w:autoSpaceDE w:val="0"/>
      <w:autoSpaceDN w:val="0"/>
      <w:adjustRightInd w:val="0"/>
      <w:snapToGrid w:val="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6"/>
    <w:basedOn w:val="89"/>
    <w:semiHidden/>
    <w:unhideWhenUsed/>
    <w:qFormat/>
    <w:uiPriority w:val="0"/>
    <w:pPr>
      <w:kinsoku w:val="0"/>
      <w:autoSpaceDE w:val="0"/>
      <w:autoSpaceDN w:val="0"/>
      <w:adjustRightInd w:val="0"/>
      <w:snapToGrid w:val="0"/>
      <w:textAlignment w:val="baseline"/>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7"/>
    <w:basedOn w:val="89"/>
    <w:semiHidden/>
    <w:unhideWhenUsed/>
    <w:qFormat/>
    <w:uiPriority w:val="0"/>
    <w:pPr>
      <w:kinsoku w:val="0"/>
      <w:autoSpaceDE w:val="0"/>
      <w:autoSpaceDN w:val="0"/>
      <w:adjustRightInd w:val="0"/>
      <w:snapToGrid w:val="0"/>
      <w:textAlignment w:val="baseline"/>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9">
    <w:name w:val="Table Grid 8"/>
    <w:basedOn w:val="89"/>
    <w:semiHidden/>
    <w:unhideWhenUsed/>
    <w:qFormat/>
    <w:uiPriority w:val="0"/>
    <w:pPr>
      <w:kinsoku w:val="0"/>
      <w:autoSpaceDE w:val="0"/>
      <w:autoSpaceDN w:val="0"/>
      <w:adjustRightInd w:val="0"/>
      <w:snapToGrid w:val="0"/>
      <w:textAlignment w:val="baseline"/>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0">
    <w:name w:val="Table Web 1"/>
    <w:basedOn w:val="89"/>
    <w:semiHidden/>
    <w:unhideWhenUsed/>
    <w:qFormat/>
    <w:uiPriority w:val="0"/>
    <w:pPr>
      <w:kinsoku w:val="0"/>
      <w:autoSpaceDE w:val="0"/>
      <w:autoSpaceDN w:val="0"/>
      <w:adjustRightInd w:val="0"/>
      <w:snapToGrid w:val="0"/>
      <w:textAlignment w:val="baseline"/>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2"/>
    <w:basedOn w:val="89"/>
    <w:semiHidden/>
    <w:unhideWhenUsed/>
    <w:qFormat/>
    <w:uiPriority w:val="0"/>
    <w:pPr>
      <w:kinsoku w:val="0"/>
      <w:autoSpaceDE w:val="0"/>
      <w:autoSpaceDN w:val="0"/>
      <w:adjustRightInd w:val="0"/>
      <w:snapToGrid w:val="0"/>
      <w:textAlignment w:val="baseline"/>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Web 3"/>
    <w:basedOn w:val="89"/>
    <w:semiHidden/>
    <w:unhideWhenUsed/>
    <w:qFormat/>
    <w:uiPriority w:val="0"/>
    <w:pPr>
      <w:kinsoku w:val="0"/>
      <w:autoSpaceDE w:val="0"/>
      <w:autoSpaceDN w:val="0"/>
      <w:adjustRightInd w:val="0"/>
      <w:snapToGrid w:val="0"/>
      <w:textAlignment w:val="baseline"/>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3">
    <w:name w:val="Table Professional"/>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4">
    <w:name w:val="Light Shading"/>
    <w:basedOn w:val="89"/>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5">
    <w:name w:val="Light Shading Accent 1"/>
    <w:basedOn w:val="89"/>
    <w:semiHidden/>
    <w:unhideWhenUsed/>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6">
    <w:name w:val="Light Shading Accent 2"/>
    <w:basedOn w:val="89"/>
    <w:semiHidden/>
    <w:unhideWhenUsed/>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137">
    <w:name w:val="Light Shading Accent 3"/>
    <w:basedOn w:val="89"/>
    <w:semiHidden/>
    <w:unhideWhenUsed/>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38">
    <w:name w:val="Light Shading Accent 4"/>
    <w:basedOn w:val="89"/>
    <w:semiHidden/>
    <w:unhideWhenUsed/>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39">
    <w:name w:val="Light Shading Accent 5"/>
    <w:basedOn w:val="89"/>
    <w:semiHidden/>
    <w:unhideWhenUsed/>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140">
    <w:name w:val="Light Shading Accent 6"/>
    <w:basedOn w:val="89"/>
    <w:semiHidden/>
    <w:unhideWhenUsed/>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141">
    <w:name w:val="Light List"/>
    <w:basedOn w:val="89"/>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2">
    <w:name w:val="Light List Accent 1"/>
    <w:basedOn w:val="89"/>
    <w:semiHidden/>
    <w:unhideWhenUsed/>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43">
    <w:name w:val="Light List Accent 2"/>
    <w:basedOn w:val="89"/>
    <w:semiHidden/>
    <w:unhideWhenUsed/>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44">
    <w:name w:val="Light List Accent 3"/>
    <w:basedOn w:val="89"/>
    <w:semiHidden/>
    <w:unhideWhenUsed/>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45">
    <w:name w:val="Light List Accent 4"/>
    <w:basedOn w:val="89"/>
    <w:semiHidden/>
    <w:unhideWhenUsed/>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46">
    <w:name w:val="Light List Accent 5"/>
    <w:basedOn w:val="89"/>
    <w:semiHidden/>
    <w:unhideWhenUsed/>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47">
    <w:name w:val="Light List Accent 6"/>
    <w:basedOn w:val="89"/>
    <w:semiHidden/>
    <w:unhideWhenUsed/>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48">
    <w:name w:val="Light Grid"/>
    <w:basedOn w:val="89"/>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9">
    <w:name w:val="Light Grid Accent 1"/>
    <w:basedOn w:val="89"/>
    <w:semiHidden/>
    <w:unhideWhenUsed/>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50">
    <w:name w:val="Light Grid Accent 2"/>
    <w:basedOn w:val="89"/>
    <w:semiHidden/>
    <w:unhideWhenUsed/>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51">
    <w:name w:val="Light Grid Accent 3"/>
    <w:basedOn w:val="89"/>
    <w:semiHidden/>
    <w:unhideWhenUsed/>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52">
    <w:name w:val="Light Grid Accent 4"/>
    <w:basedOn w:val="89"/>
    <w:semiHidden/>
    <w:unhideWhenUsed/>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53">
    <w:name w:val="Light Grid Accent 5"/>
    <w:basedOn w:val="89"/>
    <w:semiHidden/>
    <w:unhideWhenUsed/>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54">
    <w:name w:val="Light Grid Accent 6"/>
    <w:basedOn w:val="89"/>
    <w:semiHidden/>
    <w:unhideWhenUsed/>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55">
    <w:name w:val="Medium Shading 1"/>
    <w:basedOn w:val="89"/>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6">
    <w:name w:val="Medium Shading 1 Accent 1"/>
    <w:basedOn w:val="89"/>
    <w:semiHidden/>
    <w:unhideWhenUsed/>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57">
    <w:name w:val="Medium Shading 1 Accent 2"/>
    <w:basedOn w:val="89"/>
    <w:semiHidden/>
    <w:unhideWhenUsed/>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58">
    <w:name w:val="Medium Shading 1 Accent 3"/>
    <w:basedOn w:val="89"/>
    <w:semiHidden/>
    <w:unhideWhenUsed/>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59">
    <w:name w:val="Medium Shading 1 Accent 4"/>
    <w:basedOn w:val="89"/>
    <w:semiHidden/>
    <w:unhideWhenUsed/>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60">
    <w:name w:val="Medium Shading 1 Accent 5"/>
    <w:basedOn w:val="89"/>
    <w:semiHidden/>
    <w:unhideWhenUsed/>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61">
    <w:name w:val="Medium Shading 1 Accent 6"/>
    <w:basedOn w:val="89"/>
    <w:semiHidden/>
    <w:unhideWhenUsed/>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62">
    <w:name w:val="Medium Shading 2"/>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1"/>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2"/>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3"/>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4"/>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5"/>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Shading 2 Accent 6"/>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9">
    <w:name w:val="Medium List 1"/>
    <w:basedOn w:val="89"/>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70">
    <w:name w:val="Medium List 1 Accent 1"/>
    <w:basedOn w:val="89"/>
    <w:semiHidden/>
    <w:unhideWhenUsed/>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71">
    <w:name w:val="Medium List 1 Accent 2"/>
    <w:basedOn w:val="89"/>
    <w:semiHidden/>
    <w:unhideWhenUsed/>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72">
    <w:name w:val="Medium List 1 Accent 3"/>
    <w:basedOn w:val="89"/>
    <w:semiHidden/>
    <w:unhideWhenUsed/>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73">
    <w:name w:val="Medium List 1 Accent 4"/>
    <w:basedOn w:val="89"/>
    <w:semiHidden/>
    <w:unhideWhenUsed/>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74">
    <w:name w:val="Medium List 1 Accent 5"/>
    <w:basedOn w:val="89"/>
    <w:semiHidden/>
    <w:unhideWhenUsed/>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75">
    <w:name w:val="Medium List 1 Accent 6"/>
    <w:basedOn w:val="89"/>
    <w:semiHidden/>
    <w:unhideWhenUsed/>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76">
    <w:name w:val="Medium List 2"/>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1"/>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2"/>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3"/>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4"/>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5"/>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List 2 Accent 6"/>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3">
    <w:name w:val="Medium Grid 1"/>
    <w:basedOn w:val="89"/>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4">
    <w:name w:val="Medium Grid 1 Accent 1"/>
    <w:basedOn w:val="89"/>
    <w:semiHidden/>
    <w:unhideWhenUsed/>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5">
    <w:name w:val="Medium Grid 1 Accent 2"/>
    <w:basedOn w:val="89"/>
    <w:semiHidden/>
    <w:unhideWhenUsed/>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6">
    <w:name w:val="Medium Grid 1 Accent 3"/>
    <w:basedOn w:val="89"/>
    <w:semiHidden/>
    <w:unhideWhenUsed/>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7">
    <w:name w:val="Medium Grid 1 Accent 4"/>
    <w:basedOn w:val="89"/>
    <w:semiHidden/>
    <w:unhideWhenUsed/>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8">
    <w:name w:val="Medium Grid 1 Accent 5"/>
    <w:basedOn w:val="89"/>
    <w:semiHidden/>
    <w:unhideWhenUsed/>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9">
    <w:name w:val="Medium Grid 1 Accent 6"/>
    <w:basedOn w:val="89"/>
    <w:semiHidden/>
    <w:unhideWhenUsed/>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90">
    <w:name w:val="Medium Grid 2"/>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1">
    <w:name w:val="Medium Grid 2 Accent 1"/>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92">
    <w:name w:val="Medium Grid 2 Accent 2"/>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93">
    <w:name w:val="Medium Grid 2 Accent 3"/>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94">
    <w:name w:val="Medium Grid 2 Accent 4"/>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95">
    <w:name w:val="Medium Grid 2 Accent 5"/>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96">
    <w:name w:val="Medium Grid 2 Accent 6"/>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97">
    <w:name w:val="Medium Grid 3"/>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8">
    <w:name w:val="Medium Grid 3 Accent 1"/>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99">
    <w:name w:val="Medium Grid 3 Accent 2"/>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200">
    <w:name w:val="Medium Grid 3 Accent 3"/>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201">
    <w:name w:val="Medium Grid 3 Accent 4"/>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202">
    <w:name w:val="Medium Grid 3 Accent 5"/>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203">
    <w:name w:val="Medium Grid 3 Accent 6"/>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204">
    <w:name w:val="Dark List"/>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5">
    <w:name w:val="Dark List Accent 1"/>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206">
    <w:name w:val="Dark List Accent 2"/>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207">
    <w:name w:val="Dark List Accent 3"/>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208">
    <w:name w:val="Dark List Accent 4"/>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209">
    <w:name w:val="Dark List Accent 5"/>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210">
    <w:name w:val="Dark List Accent 6"/>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211">
    <w:name w:val="Colorful Shading"/>
    <w:basedOn w:val="89"/>
    <w:semiHidden/>
    <w:unhideWhenUsed/>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1"/>
    <w:basedOn w:val="89"/>
    <w:semiHidden/>
    <w:unhideWhenUsed/>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2"/>
    <w:basedOn w:val="89"/>
    <w:semiHidden/>
    <w:unhideWhenUsed/>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4">
    <w:name w:val="Colorful Shading Accent 3"/>
    <w:basedOn w:val="89"/>
    <w:semiHidden/>
    <w:unhideWhenUsed/>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215">
    <w:name w:val="Colorful Shading Accent 4"/>
    <w:basedOn w:val="89"/>
    <w:semiHidden/>
    <w:unhideWhenUsed/>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5"/>
    <w:basedOn w:val="89"/>
    <w:semiHidden/>
    <w:unhideWhenUsed/>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Shading Accent 6"/>
    <w:basedOn w:val="89"/>
    <w:semiHidden/>
    <w:unhideWhenUsed/>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8">
    <w:name w:val="Colorful List"/>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9">
    <w:name w:val="Colorful List Accent 1"/>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20">
    <w:name w:val="Colorful List Accent 2"/>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221">
    <w:name w:val="Colorful List Accent 3"/>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22">
    <w:name w:val="Colorful List Accent 4"/>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223">
    <w:name w:val="Colorful List Accent 5"/>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224">
    <w:name w:val="Colorful List Accent 6"/>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225">
    <w:name w:val="Colorful Grid"/>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6">
    <w:name w:val="Colorful Grid Accent 1"/>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227">
    <w:name w:val="Colorful Grid Accent 2"/>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8">
    <w:name w:val="Colorful Grid Accent 3"/>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29">
    <w:name w:val="Colorful Grid Accent 4"/>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30">
    <w:name w:val="Colorful Grid Accent 5"/>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31">
    <w:name w:val="Colorful Grid Accent 6"/>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232">
    <w:name w:val="正文 CharProp"/>
    <w:qFormat/>
    <w:uiPriority w:val="0"/>
    <w:rPr>
      <w:rFonts w:ascii="Arial" w:hAnsi="Arial" w:eastAsia="Arial" w:cs="Arial"/>
      <w:snapToGrid w:val="0"/>
      <w:color w:val="000000"/>
      <w:sz w:val="21"/>
      <w:szCs w:val="21"/>
      <w:lang w:val="en-US" w:eastAsia="en-US" w:bidi="ar-SA"/>
    </w:rPr>
  </w:style>
  <w:style w:type="character" w:customStyle="1" w:styleId="233">
    <w:name w:val="标题 1 CharProp"/>
    <w:qFormat/>
    <w:uiPriority w:val="0"/>
    <w:rPr>
      <w:b/>
      <w:kern w:val="44"/>
      <w:sz w:val="44"/>
    </w:rPr>
  </w:style>
  <w:style w:type="character" w:customStyle="1" w:styleId="234">
    <w:name w:val="标题 2 CharProp"/>
    <w:qFormat/>
    <w:uiPriority w:val="0"/>
    <w:rPr>
      <w:rFonts w:eastAsia="黑体"/>
      <w:b/>
      <w:sz w:val="32"/>
    </w:rPr>
  </w:style>
  <w:style w:type="character" w:customStyle="1" w:styleId="235">
    <w:name w:val="标题 3 CharProp"/>
    <w:qFormat/>
    <w:uiPriority w:val="0"/>
    <w:rPr>
      <w:b/>
      <w:sz w:val="32"/>
    </w:rPr>
  </w:style>
  <w:style w:type="character" w:customStyle="1" w:styleId="236">
    <w:name w:val="标题 4 CharProp"/>
    <w:qFormat/>
    <w:uiPriority w:val="0"/>
    <w:rPr>
      <w:rFonts w:eastAsia="黑体"/>
      <w:b/>
      <w:sz w:val="28"/>
    </w:rPr>
  </w:style>
  <w:style w:type="character" w:customStyle="1" w:styleId="237">
    <w:name w:val="标题 5 CharProp"/>
    <w:qFormat/>
    <w:uiPriority w:val="0"/>
    <w:rPr>
      <w:b/>
      <w:bCs/>
      <w:sz w:val="28"/>
      <w:szCs w:val="28"/>
    </w:rPr>
  </w:style>
  <w:style w:type="character" w:customStyle="1" w:styleId="238">
    <w:name w:val="标题 6 CharProp"/>
    <w:qFormat/>
    <w:uiPriority w:val="0"/>
    <w:rPr>
      <w:rFonts w:asciiTheme="majorHAnsi" w:hAnsiTheme="majorHAnsi" w:eastAsiaTheme="majorEastAsia" w:cstheme="majorBidi"/>
      <w:b/>
      <w:bCs/>
      <w:sz w:val="24"/>
      <w:szCs w:val="24"/>
    </w:rPr>
  </w:style>
  <w:style w:type="character" w:customStyle="1" w:styleId="239">
    <w:name w:val="标题 7 CharProp"/>
    <w:qFormat/>
    <w:uiPriority w:val="0"/>
    <w:rPr>
      <w:b/>
      <w:bCs/>
      <w:sz w:val="24"/>
      <w:szCs w:val="24"/>
    </w:rPr>
  </w:style>
  <w:style w:type="character" w:customStyle="1" w:styleId="240">
    <w:name w:val="标题 8 CharProp"/>
    <w:qFormat/>
    <w:uiPriority w:val="0"/>
    <w:rPr>
      <w:rFonts w:asciiTheme="majorHAnsi" w:hAnsiTheme="majorHAnsi" w:eastAsiaTheme="majorEastAsia" w:cstheme="majorBidi"/>
      <w:sz w:val="24"/>
      <w:szCs w:val="24"/>
    </w:rPr>
  </w:style>
  <w:style w:type="character" w:customStyle="1" w:styleId="241">
    <w:name w:val="标题 9 CharProp"/>
    <w:qFormat/>
    <w:uiPriority w:val="0"/>
    <w:rPr>
      <w:rFonts w:asciiTheme="majorHAnsi" w:hAnsiTheme="majorHAnsi" w:eastAsiaTheme="majorEastAsia" w:cstheme="majorBidi"/>
    </w:rPr>
  </w:style>
  <w:style w:type="character" w:customStyle="1" w:styleId="242">
    <w:name w:val="列表 3 CharProp"/>
    <w:qFormat/>
    <w:uiPriority w:val="0"/>
  </w:style>
  <w:style w:type="character" w:customStyle="1" w:styleId="243">
    <w:name w:val="批注主题 CharProp"/>
    <w:qFormat/>
    <w:uiPriority w:val="0"/>
    <w:rPr>
      <w:b/>
      <w:bCs/>
    </w:rPr>
  </w:style>
  <w:style w:type="character" w:customStyle="1" w:styleId="244">
    <w:name w:val="目录 7 CharProp"/>
    <w:qFormat/>
    <w:uiPriority w:val="0"/>
  </w:style>
  <w:style w:type="character" w:customStyle="1" w:styleId="245">
    <w:name w:val="正文首行缩进 CharProp"/>
    <w:qFormat/>
    <w:uiPriority w:val="0"/>
  </w:style>
  <w:style w:type="character" w:customStyle="1" w:styleId="246">
    <w:name w:val="列表编号 2 CharProp"/>
    <w:qFormat/>
    <w:uiPriority w:val="0"/>
  </w:style>
  <w:style w:type="character" w:customStyle="1" w:styleId="247">
    <w:name w:val="引文目录 CharProp"/>
    <w:qFormat/>
    <w:uiPriority w:val="0"/>
  </w:style>
  <w:style w:type="character" w:customStyle="1" w:styleId="248">
    <w:name w:val="宏文本 CharProp"/>
    <w:qFormat/>
    <w:uiPriority w:val="0"/>
    <w:rPr>
      <w:rFonts w:ascii="Courier New" w:hAnsi="Courier New" w:eastAsia="宋体" w:cs="Courier New"/>
      <w:snapToGrid w:val="0"/>
      <w:color w:val="000000"/>
      <w:sz w:val="24"/>
      <w:szCs w:val="24"/>
      <w:lang w:val="en-US" w:eastAsia="en-US" w:bidi="ar-SA"/>
    </w:rPr>
  </w:style>
  <w:style w:type="character" w:customStyle="1" w:styleId="249">
    <w:name w:val="注释标题 CharProp"/>
    <w:qFormat/>
    <w:uiPriority w:val="0"/>
  </w:style>
  <w:style w:type="character" w:customStyle="1" w:styleId="250">
    <w:name w:val="列表项目符号 4 CharProp"/>
    <w:qFormat/>
    <w:uiPriority w:val="0"/>
  </w:style>
  <w:style w:type="character" w:customStyle="1" w:styleId="251">
    <w:name w:val="索引 8 CharProp"/>
    <w:qFormat/>
    <w:uiPriority w:val="0"/>
  </w:style>
  <w:style w:type="character" w:customStyle="1" w:styleId="252">
    <w:name w:val="电子邮件签名 CharProp"/>
    <w:qFormat/>
    <w:uiPriority w:val="0"/>
  </w:style>
  <w:style w:type="character" w:customStyle="1" w:styleId="253">
    <w:name w:val="列表编号 CharProp"/>
    <w:qFormat/>
    <w:uiPriority w:val="0"/>
  </w:style>
  <w:style w:type="character" w:customStyle="1" w:styleId="254">
    <w:name w:val="正文缩进 CharProp"/>
    <w:qFormat/>
    <w:uiPriority w:val="0"/>
  </w:style>
  <w:style w:type="character" w:customStyle="1" w:styleId="255">
    <w:name w:val="题注 CharProp"/>
    <w:qFormat/>
    <w:uiPriority w:val="0"/>
    <w:rPr>
      <w:rFonts w:eastAsia="黑体" w:asciiTheme="majorHAnsi" w:hAnsiTheme="majorHAnsi" w:cstheme="majorBidi"/>
      <w:sz w:val="20"/>
      <w:szCs w:val="20"/>
    </w:rPr>
  </w:style>
  <w:style w:type="character" w:customStyle="1" w:styleId="256">
    <w:name w:val="索引 5 CharProp"/>
    <w:qFormat/>
    <w:uiPriority w:val="0"/>
    <w:rPr>
      <w:rFonts w:ascii="宋体" w:hAnsi="Times New Roman" w:eastAsia="宋体" w:cs="Times New Roman"/>
      <w:kern w:val="2"/>
      <w:sz w:val="24"/>
      <w:szCs w:val="21"/>
      <w:lang w:val="en-US" w:eastAsia="zh-CN" w:bidi="ar-SA"/>
    </w:rPr>
  </w:style>
  <w:style w:type="character" w:customStyle="1" w:styleId="257">
    <w:name w:val="列表项目符号 CharProp"/>
    <w:qFormat/>
    <w:uiPriority w:val="0"/>
  </w:style>
  <w:style w:type="character" w:customStyle="1" w:styleId="258">
    <w:name w:val="收信人地址 CharProp"/>
    <w:qFormat/>
    <w:uiPriority w:val="0"/>
    <w:rPr>
      <w:rFonts w:asciiTheme="majorHAnsi" w:hAnsiTheme="majorHAnsi" w:eastAsiaTheme="majorEastAsia" w:cstheme="majorBidi"/>
      <w:sz w:val="24"/>
      <w:szCs w:val="24"/>
    </w:rPr>
  </w:style>
  <w:style w:type="character" w:customStyle="1" w:styleId="259">
    <w:name w:val="文档结构图 CharProp"/>
    <w:qFormat/>
    <w:uiPriority w:val="0"/>
    <w:rPr>
      <w:rFonts w:ascii="Microsoft YaHei UI" w:eastAsia="Microsoft YaHei UI"/>
      <w:sz w:val="18"/>
      <w:szCs w:val="18"/>
    </w:rPr>
  </w:style>
  <w:style w:type="character" w:customStyle="1" w:styleId="260">
    <w:name w:val="引文目录标题 CharProp"/>
    <w:qFormat/>
    <w:uiPriority w:val="0"/>
    <w:rPr>
      <w:rFonts w:asciiTheme="majorHAnsi" w:hAnsiTheme="majorHAnsi" w:eastAsiaTheme="majorEastAsia" w:cstheme="majorBidi"/>
      <w:sz w:val="24"/>
      <w:szCs w:val="24"/>
    </w:rPr>
  </w:style>
  <w:style w:type="character" w:customStyle="1" w:styleId="261">
    <w:name w:val="批注文字 CharProp"/>
    <w:qFormat/>
    <w:uiPriority w:val="0"/>
  </w:style>
  <w:style w:type="character" w:customStyle="1" w:styleId="262">
    <w:name w:val="索引 6 CharProp"/>
    <w:qFormat/>
    <w:uiPriority w:val="0"/>
  </w:style>
  <w:style w:type="character" w:customStyle="1" w:styleId="263">
    <w:name w:val="称呼 CharProp"/>
    <w:qFormat/>
    <w:uiPriority w:val="0"/>
  </w:style>
  <w:style w:type="character" w:customStyle="1" w:styleId="264">
    <w:name w:val="正文文本 3 CharProp"/>
    <w:qFormat/>
    <w:uiPriority w:val="0"/>
    <w:rPr>
      <w:sz w:val="16"/>
      <w:szCs w:val="16"/>
    </w:rPr>
  </w:style>
  <w:style w:type="character" w:customStyle="1" w:styleId="265">
    <w:name w:val="结束语 CharProp"/>
    <w:qFormat/>
    <w:uiPriority w:val="0"/>
  </w:style>
  <w:style w:type="character" w:customStyle="1" w:styleId="266">
    <w:name w:val="列表项目符号 3 CharProp"/>
    <w:qFormat/>
    <w:uiPriority w:val="0"/>
  </w:style>
  <w:style w:type="character" w:customStyle="1" w:styleId="267">
    <w:name w:val="正文文本 CharProp"/>
    <w:qFormat/>
    <w:uiPriority w:val="0"/>
  </w:style>
  <w:style w:type="character" w:customStyle="1" w:styleId="268">
    <w:name w:val="正文文本缩进 CharProp"/>
    <w:qFormat/>
    <w:uiPriority w:val="99"/>
  </w:style>
  <w:style w:type="character" w:customStyle="1" w:styleId="269">
    <w:name w:val="列表编号 3 CharProp"/>
    <w:qFormat/>
    <w:uiPriority w:val="0"/>
  </w:style>
  <w:style w:type="character" w:customStyle="1" w:styleId="270">
    <w:name w:val="列表 2 CharProp"/>
    <w:qFormat/>
    <w:uiPriority w:val="0"/>
  </w:style>
  <w:style w:type="character" w:customStyle="1" w:styleId="271">
    <w:name w:val="列表接续 CharProp"/>
    <w:qFormat/>
    <w:uiPriority w:val="0"/>
  </w:style>
  <w:style w:type="character" w:customStyle="1" w:styleId="272">
    <w:name w:val="文本块 CharProp"/>
    <w:qFormat/>
    <w:uiPriority w:val="0"/>
  </w:style>
  <w:style w:type="character" w:customStyle="1" w:styleId="273">
    <w:name w:val="列表项目符号 2 CharProp"/>
    <w:qFormat/>
    <w:uiPriority w:val="0"/>
  </w:style>
  <w:style w:type="character" w:customStyle="1" w:styleId="274">
    <w:name w:val="HTML 地址 CharProp"/>
    <w:qFormat/>
    <w:uiPriority w:val="0"/>
    <w:rPr>
      <w:i/>
      <w:iCs/>
    </w:rPr>
  </w:style>
  <w:style w:type="character" w:customStyle="1" w:styleId="275">
    <w:name w:val="索引 4 CharProp"/>
    <w:qFormat/>
    <w:uiPriority w:val="0"/>
  </w:style>
  <w:style w:type="character" w:customStyle="1" w:styleId="276">
    <w:name w:val="目录 5 CharProp"/>
    <w:qFormat/>
    <w:uiPriority w:val="0"/>
  </w:style>
  <w:style w:type="character" w:customStyle="1" w:styleId="277">
    <w:name w:val="目录 3 CharProp"/>
    <w:qFormat/>
    <w:uiPriority w:val="39"/>
  </w:style>
  <w:style w:type="character" w:customStyle="1" w:styleId="278">
    <w:name w:val="纯文本 CharProp"/>
    <w:qFormat/>
    <w:uiPriority w:val="0"/>
    <w:rPr>
      <w:rFonts w:ascii="宋体" w:hAnsi="宋体" w:cs="宋体"/>
      <w:sz w:val="24"/>
    </w:rPr>
  </w:style>
  <w:style w:type="character" w:customStyle="1" w:styleId="279">
    <w:name w:val="列表项目符号 5 CharProp"/>
    <w:qFormat/>
    <w:uiPriority w:val="0"/>
  </w:style>
  <w:style w:type="character" w:customStyle="1" w:styleId="280">
    <w:name w:val="列表编号 4 CharProp"/>
    <w:qFormat/>
    <w:uiPriority w:val="0"/>
  </w:style>
  <w:style w:type="character" w:customStyle="1" w:styleId="281">
    <w:name w:val="目录 8 CharProp"/>
    <w:qFormat/>
    <w:uiPriority w:val="0"/>
  </w:style>
  <w:style w:type="character" w:customStyle="1" w:styleId="282">
    <w:name w:val="索引 3 CharProp"/>
    <w:qFormat/>
    <w:uiPriority w:val="0"/>
  </w:style>
  <w:style w:type="character" w:customStyle="1" w:styleId="283">
    <w:name w:val="日期 CharProp"/>
    <w:qFormat/>
    <w:uiPriority w:val="0"/>
  </w:style>
  <w:style w:type="character" w:customStyle="1" w:styleId="284">
    <w:name w:val="正文文本缩进 2 CharProp"/>
    <w:qFormat/>
    <w:uiPriority w:val="0"/>
  </w:style>
  <w:style w:type="character" w:customStyle="1" w:styleId="285">
    <w:name w:val="尾注文本 CharProp"/>
    <w:qFormat/>
    <w:uiPriority w:val="0"/>
  </w:style>
  <w:style w:type="character" w:customStyle="1" w:styleId="286">
    <w:name w:val="列表接续 5 CharProp"/>
    <w:qFormat/>
    <w:uiPriority w:val="0"/>
  </w:style>
  <w:style w:type="character" w:customStyle="1" w:styleId="287">
    <w:name w:val="批注框文本 CharProp"/>
    <w:qFormat/>
    <w:uiPriority w:val="0"/>
    <w:rPr>
      <w:sz w:val="18"/>
      <w:szCs w:val="18"/>
    </w:rPr>
  </w:style>
  <w:style w:type="character" w:customStyle="1" w:styleId="288">
    <w:name w:val="页脚 CharProp"/>
    <w:qFormat/>
    <w:uiPriority w:val="99"/>
    <w:rPr>
      <w:sz w:val="18"/>
      <w:szCs w:val="18"/>
    </w:rPr>
  </w:style>
  <w:style w:type="character" w:customStyle="1" w:styleId="289">
    <w:name w:val="寄信人地址 CharProp"/>
    <w:qFormat/>
    <w:uiPriority w:val="0"/>
    <w:rPr>
      <w:rFonts w:asciiTheme="majorHAnsi" w:hAnsiTheme="majorHAnsi" w:eastAsiaTheme="majorEastAsia" w:cstheme="majorBidi"/>
    </w:rPr>
  </w:style>
  <w:style w:type="character" w:customStyle="1" w:styleId="290">
    <w:name w:val="正文首行缩进 2 CharProp"/>
    <w:qFormat/>
    <w:uiPriority w:val="0"/>
  </w:style>
  <w:style w:type="character" w:customStyle="1" w:styleId="291">
    <w:name w:val="页眉 CharProp"/>
    <w:qFormat/>
    <w:uiPriority w:val="0"/>
    <w:rPr>
      <w:sz w:val="18"/>
    </w:rPr>
  </w:style>
  <w:style w:type="character" w:customStyle="1" w:styleId="292">
    <w:name w:val="签名 CharProp"/>
    <w:qFormat/>
    <w:uiPriority w:val="0"/>
  </w:style>
  <w:style w:type="character" w:customStyle="1" w:styleId="293">
    <w:name w:val="目录 1 CharProp"/>
    <w:qFormat/>
    <w:uiPriority w:val="39"/>
    <w:rPr>
      <w:rFonts w:ascii="黑体" w:hAnsi="黑体" w:eastAsia="黑体" w:cs="黑体"/>
      <w:spacing w:val="4"/>
      <w:szCs w:val="44"/>
      <w:lang w:eastAsia="zh-CN"/>
    </w:rPr>
  </w:style>
  <w:style w:type="character" w:customStyle="1" w:styleId="294">
    <w:name w:val="列表接续 4 CharProp"/>
    <w:qFormat/>
    <w:uiPriority w:val="0"/>
  </w:style>
  <w:style w:type="character" w:customStyle="1" w:styleId="295">
    <w:name w:val="目录 4 CharProp"/>
    <w:qFormat/>
    <w:uiPriority w:val="0"/>
  </w:style>
  <w:style w:type="character" w:customStyle="1" w:styleId="296">
    <w:name w:val="索引标题 CharProp"/>
    <w:qFormat/>
    <w:uiPriority w:val="0"/>
    <w:rPr>
      <w:rFonts w:asciiTheme="majorHAnsi" w:hAnsiTheme="majorHAnsi" w:eastAsiaTheme="majorEastAsia" w:cstheme="majorBidi"/>
      <w:b/>
      <w:bCs/>
    </w:rPr>
  </w:style>
  <w:style w:type="character" w:customStyle="1" w:styleId="297">
    <w:name w:val="副标题 CharProp"/>
    <w:qFormat/>
    <w:uiPriority w:val="0"/>
    <w:rPr>
      <w:rFonts w:asciiTheme="minorHAnsi" w:hAnsiTheme="minorHAnsi" w:eastAsiaTheme="minorEastAsia" w:cstheme="minorBidi"/>
      <w:b/>
      <w:bCs/>
      <w:kern w:val="28"/>
      <w:sz w:val="32"/>
      <w:szCs w:val="32"/>
    </w:rPr>
  </w:style>
  <w:style w:type="character" w:customStyle="1" w:styleId="298">
    <w:name w:val="列表编号 5 CharProp"/>
    <w:qFormat/>
    <w:uiPriority w:val="0"/>
  </w:style>
  <w:style w:type="character" w:customStyle="1" w:styleId="299">
    <w:name w:val="列表 CharProp"/>
    <w:qFormat/>
    <w:uiPriority w:val="0"/>
  </w:style>
  <w:style w:type="character" w:customStyle="1" w:styleId="300">
    <w:name w:val="脚注文本 CharProp"/>
    <w:qFormat/>
    <w:uiPriority w:val="0"/>
    <w:rPr>
      <w:sz w:val="18"/>
      <w:szCs w:val="18"/>
    </w:rPr>
  </w:style>
  <w:style w:type="character" w:customStyle="1" w:styleId="301">
    <w:name w:val="目录 6 CharProp"/>
    <w:qFormat/>
    <w:uiPriority w:val="0"/>
  </w:style>
  <w:style w:type="character" w:customStyle="1" w:styleId="302">
    <w:name w:val="列表 5 CharProp"/>
    <w:qFormat/>
    <w:uiPriority w:val="0"/>
  </w:style>
  <w:style w:type="character" w:customStyle="1" w:styleId="303">
    <w:name w:val="正文文本缩进 3 CharProp"/>
    <w:qFormat/>
    <w:uiPriority w:val="0"/>
    <w:rPr>
      <w:sz w:val="16"/>
      <w:szCs w:val="16"/>
    </w:rPr>
  </w:style>
  <w:style w:type="character" w:customStyle="1" w:styleId="304">
    <w:name w:val="索引 7 CharProp"/>
    <w:qFormat/>
    <w:uiPriority w:val="0"/>
  </w:style>
  <w:style w:type="character" w:customStyle="1" w:styleId="305">
    <w:name w:val="索引 9 CharProp"/>
    <w:qFormat/>
    <w:uiPriority w:val="0"/>
  </w:style>
  <w:style w:type="character" w:customStyle="1" w:styleId="306">
    <w:name w:val="图表目录 CharProp"/>
    <w:qFormat/>
    <w:uiPriority w:val="0"/>
  </w:style>
  <w:style w:type="character" w:customStyle="1" w:styleId="307">
    <w:name w:val="目录 2 CharProp"/>
    <w:qFormat/>
    <w:uiPriority w:val="39"/>
  </w:style>
  <w:style w:type="character" w:customStyle="1" w:styleId="308">
    <w:name w:val="目录 9 CharProp"/>
    <w:qFormat/>
    <w:uiPriority w:val="0"/>
  </w:style>
  <w:style w:type="character" w:customStyle="1" w:styleId="309">
    <w:name w:val="正文文本 2 CharProp"/>
    <w:qFormat/>
    <w:uiPriority w:val="0"/>
  </w:style>
  <w:style w:type="character" w:customStyle="1" w:styleId="310">
    <w:name w:val="列表 4 CharProp"/>
    <w:qFormat/>
    <w:uiPriority w:val="0"/>
  </w:style>
  <w:style w:type="character" w:customStyle="1" w:styleId="311">
    <w:name w:val="列表接续 2 CharProp"/>
    <w:qFormat/>
    <w:uiPriority w:val="0"/>
  </w:style>
  <w:style w:type="character" w:customStyle="1" w:styleId="312">
    <w:name w:val="信息标题 CharProp"/>
    <w:qFormat/>
    <w:uiPriority w:val="0"/>
    <w:rPr>
      <w:rFonts w:asciiTheme="majorHAnsi" w:hAnsiTheme="majorHAnsi" w:eastAsiaTheme="majorEastAsia" w:cstheme="majorBidi"/>
      <w:sz w:val="24"/>
      <w:szCs w:val="24"/>
    </w:rPr>
  </w:style>
  <w:style w:type="character" w:customStyle="1" w:styleId="313">
    <w:name w:val="HTML 预设格式 CharProp"/>
    <w:qFormat/>
    <w:uiPriority w:val="0"/>
    <w:rPr>
      <w:rFonts w:ascii="Courier New" w:hAnsi="Courier New" w:cs="Courier New"/>
      <w:sz w:val="20"/>
      <w:szCs w:val="20"/>
    </w:rPr>
  </w:style>
  <w:style w:type="character" w:customStyle="1" w:styleId="314">
    <w:name w:val="普通(网站) CharProp"/>
    <w:qFormat/>
    <w:uiPriority w:val="0"/>
    <w:rPr>
      <w:rFonts w:cs="Times New Roman"/>
      <w:sz w:val="24"/>
      <w:lang w:eastAsia="zh-CN"/>
    </w:rPr>
  </w:style>
  <w:style w:type="character" w:customStyle="1" w:styleId="315">
    <w:name w:val="列表接续 3 CharProp"/>
    <w:qFormat/>
    <w:uiPriority w:val="0"/>
  </w:style>
  <w:style w:type="character" w:customStyle="1" w:styleId="316">
    <w:name w:val="索引 1 CharProp"/>
    <w:qFormat/>
    <w:uiPriority w:val="0"/>
  </w:style>
  <w:style w:type="character" w:customStyle="1" w:styleId="317">
    <w:name w:val="索引 2 CharProp"/>
    <w:qFormat/>
    <w:uiPriority w:val="0"/>
  </w:style>
  <w:style w:type="character" w:customStyle="1" w:styleId="318">
    <w:name w:val="标题 CharProp"/>
    <w:qFormat/>
    <w:uiPriority w:val="0"/>
    <w:rPr>
      <w:rFonts w:asciiTheme="majorHAnsi" w:hAnsiTheme="majorHAnsi" w:eastAsiaTheme="majorEastAsia" w:cstheme="majorBidi"/>
      <w:b/>
      <w:bCs/>
      <w:sz w:val="32"/>
      <w:szCs w:val="32"/>
    </w:rPr>
  </w:style>
  <w:style w:type="character" w:customStyle="1" w:styleId="320">
    <w:name w:val="普通表格 CharProp"/>
    <w:qFormat/>
    <w:uiPriority w:val="0"/>
  </w:style>
  <w:style w:type="character" w:customStyle="1" w:styleId="321">
    <w:name w:val="网格型 CharProp"/>
    <w:qFormat/>
    <w:uiPriority w:val="0"/>
  </w:style>
  <w:style w:type="character" w:customStyle="1" w:styleId="322">
    <w:name w:val="表格主题 CharProp"/>
    <w:qFormat/>
    <w:uiPriority w:val="0"/>
  </w:style>
  <w:style w:type="character" w:customStyle="1" w:styleId="323">
    <w:name w:val="彩色型 1 CharProp"/>
    <w:qFormat/>
    <w:uiPriority w:val="0"/>
    <w:rPr>
      <w:color w:val="FFFFFF"/>
    </w:rPr>
  </w:style>
  <w:style w:type="character" w:customStyle="1" w:styleId="324">
    <w:name w:val="彩色型 2 CharProp"/>
    <w:qFormat/>
    <w:uiPriority w:val="0"/>
  </w:style>
  <w:style w:type="character" w:customStyle="1" w:styleId="325">
    <w:name w:val="彩色型 3 CharProp"/>
    <w:qFormat/>
    <w:uiPriority w:val="0"/>
  </w:style>
  <w:style w:type="character" w:customStyle="1" w:styleId="326">
    <w:name w:val="典雅型 CharProp"/>
    <w:qFormat/>
    <w:uiPriority w:val="0"/>
  </w:style>
  <w:style w:type="character" w:customStyle="1" w:styleId="327">
    <w:name w:val="古典型 1 CharProp"/>
    <w:qFormat/>
    <w:uiPriority w:val="0"/>
  </w:style>
  <w:style w:type="character" w:customStyle="1" w:styleId="328">
    <w:name w:val="古典型 2 CharProp"/>
    <w:qFormat/>
    <w:uiPriority w:val="0"/>
  </w:style>
  <w:style w:type="character" w:customStyle="1" w:styleId="329">
    <w:name w:val="古典型 3 CharProp"/>
    <w:qFormat/>
    <w:uiPriority w:val="0"/>
    <w:rPr>
      <w:color w:val="000080"/>
    </w:rPr>
  </w:style>
  <w:style w:type="character" w:customStyle="1" w:styleId="330">
    <w:name w:val="古典型 4 CharProp"/>
    <w:qFormat/>
    <w:uiPriority w:val="0"/>
  </w:style>
  <w:style w:type="character" w:customStyle="1" w:styleId="331">
    <w:name w:val="简明型 1 CharProp"/>
    <w:qFormat/>
    <w:uiPriority w:val="0"/>
  </w:style>
  <w:style w:type="character" w:customStyle="1" w:styleId="332">
    <w:name w:val="简明型 2 CharProp"/>
    <w:qFormat/>
    <w:uiPriority w:val="0"/>
  </w:style>
  <w:style w:type="character" w:customStyle="1" w:styleId="333">
    <w:name w:val="简明型 3 CharProp"/>
    <w:qFormat/>
    <w:uiPriority w:val="0"/>
  </w:style>
  <w:style w:type="character" w:customStyle="1" w:styleId="334">
    <w:name w:val="精巧型 1 CharProp"/>
    <w:qFormat/>
    <w:uiPriority w:val="0"/>
  </w:style>
  <w:style w:type="character" w:customStyle="1" w:styleId="335">
    <w:name w:val="精巧型 2 CharProp"/>
    <w:qFormat/>
    <w:uiPriority w:val="0"/>
  </w:style>
  <w:style w:type="character" w:customStyle="1" w:styleId="336">
    <w:name w:val="立体型 1 CharProp"/>
    <w:qFormat/>
    <w:uiPriority w:val="0"/>
  </w:style>
  <w:style w:type="character" w:customStyle="1" w:styleId="337">
    <w:name w:val="立体型 2 CharProp"/>
    <w:qFormat/>
    <w:uiPriority w:val="0"/>
  </w:style>
  <w:style w:type="character" w:customStyle="1" w:styleId="338">
    <w:name w:val="立体型 3 CharProp"/>
    <w:qFormat/>
    <w:uiPriority w:val="0"/>
  </w:style>
  <w:style w:type="character" w:customStyle="1" w:styleId="339">
    <w:name w:val="列表型 1 CharProp"/>
    <w:qFormat/>
    <w:uiPriority w:val="0"/>
  </w:style>
  <w:style w:type="character" w:customStyle="1" w:styleId="340">
    <w:name w:val="列表型 2 CharProp"/>
    <w:qFormat/>
    <w:uiPriority w:val="0"/>
  </w:style>
  <w:style w:type="character" w:customStyle="1" w:styleId="341">
    <w:name w:val="列表型 3 CharProp"/>
    <w:qFormat/>
    <w:uiPriority w:val="0"/>
  </w:style>
  <w:style w:type="character" w:customStyle="1" w:styleId="342">
    <w:name w:val="列表型 4 CharProp"/>
    <w:qFormat/>
    <w:uiPriority w:val="0"/>
  </w:style>
  <w:style w:type="character" w:customStyle="1" w:styleId="343">
    <w:name w:val="列表型 5 CharProp"/>
    <w:qFormat/>
    <w:uiPriority w:val="0"/>
  </w:style>
  <w:style w:type="character" w:customStyle="1" w:styleId="344">
    <w:name w:val="列表型 6 CharProp"/>
    <w:qFormat/>
    <w:uiPriority w:val="0"/>
  </w:style>
  <w:style w:type="character" w:customStyle="1" w:styleId="345">
    <w:name w:val="列表型 7 CharProp"/>
    <w:qFormat/>
    <w:uiPriority w:val="0"/>
  </w:style>
  <w:style w:type="character" w:customStyle="1" w:styleId="346">
    <w:name w:val="列表型 8 CharProp"/>
    <w:qFormat/>
    <w:uiPriority w:val="0"/>
  </w:style>
  <w:style w:type="character" w:customStyle="1" w:styleId="347">
    <w:name w:val="流行型 CharProp"/>
    <w:qFormat/>
    <w:uiPriority w:val="0"/>
  </w:style>
  <w:style w:type="character" w:customStyle="1" w:styleId="348">
    <w:name w:val="竖列型 1 CharProp"/>
    <w:qFormat/>
    <w:uiPriority w:val="0"/>
    <w:rPr>
      <w:b/>
      <w:bCs/>
    </w:rPr>
  </w:style>
  <w:style w:type="character" w:customStyle="1" w:styleId="349">
    <w:name w:val="竖列型 2 CharProp"/>
    <w:qFormat/>
    <w:uiPriority w:val="0"/>
    <w:rPr>
      <w:b/>
      <w:bCs/>
    </w:rPr>
  </w:style>
  <w:style w:type="character" w:customStyle="1" w:styleId="350">
    <w:name w:val="竖列型 3 CharProp"/>
    <w:qFormat/>
    <w:uiPriority w:val="0"/>
    <w:rPr>
      <w:b/>
      <w:bCs/>
    </w:rPr>
  </w:style>
  <w:style w:type="character" w:customStyle="1" w:styleId="351">
    <w:name w:val="竖列型 4 CharProp"/>
    <w:qFormat/>
    <w:uiPriority w:val="0"/>
  </w:style>
  <w:style w:type="character" w:customStyle="1" w:styleId="352">
    <w:name w:val="竖列型 5 CharProp"/>
    <w:qFormat/>
    <w:uiPriority w:val="0"/>
  </w:style>
  <w:style w:type="character" w:customStyle="1" w:styleId="353">
    <w:name w:val="网格型 1 CharProp"/>
    <w:qFormat/>
    <w:uiPriority w:val="0"/>
  </w:style>
  <w:style w:type="character" w:customStyle="1" w:styleId="354">
    <w:name w:val="网格型 2 CharProp"/>
    <w:qFormat/>
    <w:uiPriority w:val="0"/>
  </w:style>
  <w:style w:type="character" w:customStyle="1" w:styleId="355">
    <w:name w:val="网格型 3 CharProp"/>
    <w:qFormat/>
    <w:uiPriority w:val="0"/>
  </w:style>
  <w:style w:type="character" w:customStyle="1" w:styleId="356">
    <w:name w:val="网格型 4 CharProp"/>
    <w:qFormat/>
    <w:uiPriority w:val="0"/>
  </w:style>
  <w:style w:type="character" w:customStyle="1" w:styleId="357">
    <w:name w:val="网格型 5 CharProp"/>
    <w:qFormat/>
    <w:uiPriority w:val="0"/>
  </w:style>
  <w:style w:type="character" w:customStyle="1" w:styleId="358">
    <w:name w:val="网格型 6 CharProp"/>
    <w:qFormat/>
    <w:uiPriority w:val="0"/>
  </w:style>
  <w:style w:type="character" w:customStyle="1" w:styleId="359">
    <w:name w:val="网格型 7 CharProp"/>
    <w:qFormat/>
    <w:uiPriority w:val="0"/>
    <w:rPr>
      <w:b/>
      <w:bCs/>
    </w:rPr>
  </w:style>
  <w:style w:type="character" w:customStyle="1" w:styleId="360">
    <w:name w:val="网格型 8 CharProp"/>
    <w:qFormat/>
    <w:uiPriority w:val="0"/>
  </w:style>
  <w:style w:type="character" w:customStyle="1" w:styleId="361">
    <w:name w:val="网页型 1 CharProp"/>
    <w:qFormat/>
    <w:uiPriority w:val="0"/>
  </w:style>
  <w:style w:type="character" w:customStyle="1" w:styleId="362">
    <w:name w:val="网页型 2 CharProp"/>
    <w:qFormat/>
    <w:uiPriority w:val="0"/>
  </w:style>
  <w:style w:type="character" w:customStyle="1" w:styleId="363">
    <w:name w:val="网页型 3 CharProp"/>
    <w:qFormat/>
    <w:uiPriority w:val="0"/>
  </w:style>
  <w:style w:type="character" w:customStyle="1" w:styleId="364">
    <w:name w:val="专业型 CharProp"/>
    <w:qFormat/>
    <w:uiPriority w:val="0"/>
  </w:style>
  <w:style w:type="character" w:customStyle="1" w:styleId="365">
    <w:name w:val="浅色底纹 CharProp"/>
    <w:qFormat/>
    <w:uiPriority w:val="60"/>
    <w:rPr>
      <w:color w:val="000000" w:themeColor="text1" w:themeShade="BF"/>
    </w:rPr>
  </w:style>
  <w:style w:type="character" w:customStyle="1" w:styleId="366">
    <w:name w:val="浅色底纹 - 强调文字颜色 1 CharProp"/>
    <w:qFormat/>
    <w:uiPriority w:val="60"/>
    <w:rPr>
      <w:color w:val="376092" w:themeColor="accent1" w:themeShade="BF"/>
    </w:rPr>
  </w:style>
  <w:style w:type="character" w:customStyle="1" w:styleId="367">
    <w:name w:val="浅色底纹 - 强调文字颜色 2 CharProp"/>
    <w:qFormat/>
    <w:uiPriority w:val="60"/>
    <w:rPr>
      <w:color w:val="953735" w:themeColor="accent2" w:themeShade="BF"/>
    </w:rPr>
  </w:style>
  <w:style w:type="character" w:customStyle="1" w:styleId="368">
    <w:name w:val="浅色底纹 - 强调文字颜色 3 CharProp"/>
    <w:qFormat/>
    <w:uiPriority w:val="60"/>
    <w:rPr>
      <w:color w:val="77933C" w:themeColor="accent3" w:themeShade="BF"/>
    </w:rPr>
  </w:style>
  <w:style w:type="character" w:customStyle="1" w:styleId="369">
    <w:name w:val="浅色底纹 - 强调文字颜色 4 CharProp"/>
    <w:qFormat/>
    <w:uiPriority w:val="60"/>
    <w:rPr>
      <w:color w:val="604A7B" w:themeColor="accent4" w:themeShade="BF"/>
    </w:rPr>
  </w:style>
  <w:style w:type="character" w:customStyle="1" w:styleId="370">
    <w:name w:val="浅色底纹 - 强调文字颜色 5 CharProp"/>
    <w:qFormat/>
    <w:uiPriority w:val="60"/>
    <w:rPr>
      <w:color w:val="31859C" w:themeColor="accent5" w:themeShade="BF"/>
    </w:rPr>
  </w:style>
  <w:style w:type="character" w:customStyle="1" w:styleId="371">
    <w:name w:val="浅色底纹 - 强调文字颜色 6 CharProp"/>
    <w:qFormat/>
    <w:uiPriority w:val="60"/>
    <w:rPr>
      <w:color w:val="E46C0A" w:themeColor="accent6" w:themeShade="BF"/>
    </w:rPr>
  </w:style>
  <w:style w:type="character" w:customStyle="1" w:styleId="372">
    <w:name w:val="浅色列表 CharProp"/>
    <w:qFormat/>
    <w:uiPriority w:val="61"/>
  </w:style>
  <w:style w:type="character" w:customStyle="1" w:styleId="373">
    <w:name w:val="浅色列表 - 强调文字颜色 1 CharProp"/>
    <w:qFormat/>
    <w:uiPriority w:val="61"/>
  </w:style>
  <w:style w:type="character" w:customStyle="1" w:styleId="374">
    <w:name w:val="浅色列表 - 强调文字颜色 2 CharProp"/>
    <w:qFormat/>
    <w:uiPriority w:val="61"/>
  </w:style>
  <w:style w:type="character" w:customStyle="1" w:styleId="375">
    <w:name w:val="浅色列表 - 强调文字颜色 3 CharProp"/>
    <w:qFormat/>
    <w:uiPriority w:val="61"/>
  </w:style>
  <w:style w:type="character" w:customStyle="1" w:styleId="376">
    <w:name w:val="浅色列表 - 强调文字颜色 4 CharProp"/>
    <w:qFormat/>
    <w:uiPriority w:val="61"/>
  </w:style>
  <w:style w:type="character" w:customStyle="1" w:styleId="377">
    <w:name w:val="浅色列表 - 强调文字颜色 5 CharProp"/>
    <w:qFormat/>
    <w:uiPriority w:val="61"/>
  </w:style>
  <w:style w:type="character" w:customStyle="1" w:styleId="378">
    <w:name w:val="浅色列表 - 强调文字颜色 6 CharProp"/>
    <w:qFormat/>
    <w:uiPriority w:val="61"/>
  </w:style>
  <w:style w:type="character" w:customStyle="1" w:styleId="379">
    <w:name w:val="浅色网格 CharProp"/>
    <w:qFormat/>
    <w:uiPriority w:val="62"/>
  </w:style>
  <w:style w:type="character" w:customStyle="1" w:styleId="380">
    <w:name w:val="浅色网格 - 强调文字颜色 1 CharProp"/>
    <w:qFormat/>
    <w:uiPriority w:val="62"/>
  </w:style>
  <w:style w:type="character" w:customStyle="1" w:styleId="381">
    <w:name w:val="浅色网格 - 强调文字颜色 2 CharProp"/>
    <w:qFormat/>
    <w:uiPriority w:val="62"/>
  </w:style>
  <w:style w:type="character" w:customStyle="1" w:styleId="382">
    <w:name w:val="浅色网格 - 强调文字颜色 3 CharProp"/>
    <w:qFormat/>
    <w:uiPriority w:val="62"/>
  </w:style>
  <w:style w:type="character" w:customStyle="1" w:styleId="383">
    <w:name w:val="浅色网格 - 强调文字颜色 4 CharProp"/>
    <w:qFormat/>
    <w:uiPriority w:val="62"/>
  </w:style>
  <w:style w:type="character" w:customStyle="1" w:styleId="384">
    <w:name w:val="浅色网格 - 强调文字颜色 5 CharProp"/>
    <w:qFormat/>
    <w:uiPriority w:val="62"/>
  </w:style>
  <w:style w:type="character" w:customStyle="1" w:styleId="385">
    <w:name w:val="浅色网格 - 强调文字颜色 6 CharProp"/>
    <w:qFormat/>
    <w:uiPriority w:val="62"/>
  </w:style>
  <w:style w:type="character" w:customStyle="1" w:styleId="386">
    <w:name w:val="中等深浅底纹 1 CharProp"/>
    <w:qFormat/>
    <w:uiPriority w:val="63"/>
  </w:style>
  <w:style w:type="character" w:customStyle="1" w:styleId="387">
    <w:name w:val="中等深浅底纹 1 - 强调文字颜色 1 CharProp"/>
    <w:qFormat/>
    <w:uiPriority w:val="63"/>
  </w:style>
  <w:style w:type="character" w:customStyle="1" w:styleId="388">
    <w:name w:val="中等深浅底纹 1 - 强调文字颜色 2 CharProp"/>
    <w:qFormat/>
    <w:uiPriority w:val="63"/>
  </w:style>
  <w:style w:type="character" w:customStyle="1" w:styleId="389">
    <w:name w:val="中等深浅底纹 1 - 强调文字颜色 3 CharProp"/>
    <w:qFormat/>
    <w:uiPriority w:val="63"/>
  </w:style>
  <w:style w:type="character" w:customStyle="1" w:styleId="390">
    <w:name w:val="中等深浅底纹 1 - 强调文字颜色 4 CharProp"/>
    <w:qFormat/>
    <w:uiPriority w:val="63"/>
  </w:style>
  <w:style w:type="character" w:customStyle="1" w:styleId="391">
    <w:name w:val="中等深浅底纹 1 - 强调文字颜色 5 CharProp"/>
    <w:qFormat/>
    <w:uiPriority w:val="63"/>
  </w:style>
  <w:style w:type="character" w:customStyle="1" w:styleId="392">
    <w:name w:val="中等深浅底纹 1 - 强调文字颜色 6 CharProp"/>
    <w:qFormat/>
    <w:uiPriority w:val="63"/>
  </w:style>
  <w:style w:type="character" w:customStyle="1" w:styleId="393">
    <w:name w:val="中等深浅底纹 2 CharProp"/>
    <w:qFormat/>
    <w:uiPriority w:val="64"/>
  </w:style>
  <w:style w:type="character" w:customStyle="1" w:styleId="394">
    <w:name w:val="中等深浅底纹 2 - 强调文字颜色 1 CharProp"/>
    <w:qFormat/>
    <w:uiPriority w:val="64"/>
  </w:style>
  <w:style w:type="character" w:customStyle="1" w:styleId="395">
    <w:name w:val="中等深浅底纹 2 - 强调文字颜色 2 CharProp"/>
    <w:qFormat/>
    <w:uiPriority w:val="64"/>
  </w:style>
  <w:style w:type="character" w:customStyle="1" w:styleId="396">
    <w:name w:val="中等深浅底纹 2 - 强调文字颜色 3 CharProp"/>
    <w:qFormat/>
    <w:uiPriority w:val="64"/>
  </w:style>
  <w:style w:type="character" w:customStyle="1" w:styleId="397">
    <w:name w:val="中等深浅底纹 2 - 强调文字颜色 4 CharProp"/>
    <w:qFormat/>
    <w:uiPriority w:val="64"/>
  </w:style>
  <w:style w:type="character" w:customStyle="1" w:styleId="398">
    <w:name w:val="中等深浅底纹 2 - 强调文字颜色 5 CharProp"/>
    <w:qFormat/>
    <w:uiPriority w:val="64"/>
  </w:style>
  <w:style w:type="character" w:customStyle="1" w:styleId="399">
    <w:name w:val="中等深浅底纹 2 - 强调文字颜色 6 CharProp"/>
    <w:qFormat/>
    <w:uiPriority w:val="64"/>
  </w:style>
  <w:style w:type="character" w:customStyle="1" w:styleId="400">
    <w:name w:val="中等深浅列表 1 CharProp"/>
    <w:qFormat/>
    <w:uiPriority w:val="65"/>
    <w:rPr>
      <w:color w:val="000000" w:themeColor="text1"/>
      <w14:textFill>
        <w14:solidFill>
          <w14:schemeClr w14:val="tx1"/>
        </w14:solidFill>
      </w14:textFill>
    </w:rPr>
  </w:style>
  <w:style w:type="character" w:customStyle="1" w:styleId="401">
    <w:name w:val="中等深浅列表 1 - 强调文字颜色 1 CharProp"/>
    <w:qFormat/>
    <w:uiPriority w:val="65"/>
    <w:rPr>
      <w:color w:val="000000" w:themeColor="text1"/>
      <w14:textFill>
        <w14:solidFill>
          <w14:schemeClr w14:val="tx1"/>
        </w14:solidFill>
      </w14:textFill>
    </w:rPr>
  </w:style>
  <w:style w:type="character" w:customStyle="1" w:styleId="402">
    <w:name w:val="中等深浅列表 1 - 强调文字颜色 2 CharProp"/>
    <w:qFormat/>
    <w:uiPriority w:val="65"/>
    <w:rPr>
      <w:color w:val="000000" w:themeColor="text1"/>
      <w14:textFill>
        <w14:solidFill>
          <w14:schemeClr w14:val="tx1"/>
        </w14:solidFill>
      </w14:textFill>
    </w:rPr>
  </w:style>
  <w:style w:type="character" w:customStyle="1" w:styleId="403">
    <w:name w:val="中等深浅列表 1 - 强调文字颜色 3 CharProp"/>
    <w:qFormat/>
    <w:uiPriority w:val="65"/>
    <w:rPr>
      <w:color w:val="000000" w:themeColor="text1"/>
      <w14:textFill>
        <w14:solidFill>
          <w14:schemeClr w14:val="tx1"/>
        </w14:solidFill>
      </w14:textFill>
    </w:rPr>
  </w:style>
  <w:style w:type="character" w:customStyle="1" w:styleId="404">
    <w:name w:val="中等深浅列表 1 - 强调文字颜色 4 CharProp"/>
    <w:qFormat/>
    <w:uiPriority w:val="65"/>
    <w:rPr>
      <w:color w:val="000000" w:themeColor="text1"/>
      <w14:textFill>
        <w14:solidFill>
          <w14:schemeClr w14:val="tx1"/>
        </w14:solidFill>
      </w14:textFill>
    </w:rPr>
  </w:style>
  <w:style w:type="character" w:customStyle="1" w:styleId="405">
    <w:name w:val="中等深浅列表 1 - 强调文字颜色 5 CharProp"/>
    <w:qFormat/>
    <w:uiPriority w:val="65"/>
    <w:rPr>
      <w:color w:val="000000" w:themeColor="text1"/>
      <w14:textFill>
        <w14:solidFill>
          <w14:schemeClr w14:val="tx1"/>
        </w14:solidFill>
      </w14:textFill>
    </w:rPr>
  </w:style>
  <w:style w:type="character" w:customStyle="1" w:styleId="406">
    <w:name w:val="中等深浅列表 1 - 强调文字颜色 6 CharProp"/>
    <w:qFormat/>
    <w:uiPriority w:val="65"/>
    <w:rPr>
      <w:color w:val="000000" w:themeColor="text1"/>
      <w14:textFill>
        <w14:solidFill>
          <w14:schemeClr w14:val="tx1"/>
        </w14:solidFill>
      </w14:textFill>
    </w:rPr>
  </w:style>
  <w:style w:type="character" w:customStyle="1" w:styleId="407">
    <w:name w:val="中等深浅列表 2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08">
    <w:name w:val="中等深浅列表 2 - 强调文字颜色 1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09">
    <w:name w:val="中等深浅列表 2 - 强调文字颜色 2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10">
    <w:name w:val="中等深浅列表 2 - 强调文字颜色 3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11">
    <w:name w:val="中等深浅列表 2 - 强调文字颜色 4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12">
    <w:name w:val="中等深浅列表 2 - 强调文字颜色 5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13">
    <w:name w:val="中等深浅列表 2 - 强调文字颜色 6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14">
    <w:name w:val="中等深浅网格 1 CharProp"/>
    <w:qFormat/>
    <w:uiPriority w:val="67"/>
  </w:style>
  <w:style w:type="character" w:customStyle="1" w:styleId="415">
    <w:name w:val="中等深浅网格 1 - 强调文字颜色 1 CharProp"/>
    <w:qFormat/>
    <w:uiPriority w:val="67"/>
  </w:style>
  <w:style w:type="character" w:customStyle="1" w:styleId="416">
    <w:name w:val="中等深浅网格 1 - 强调文字颜色 2 CharProp"/>
    <w:qFormat/>
    <w:uiPriority w:val="67"/>
  </w:style>
  <w:style w:type="character" w:customStyle="1" w:styleId="417">
    <w:name w:val="中等深浅网格 1 - 强调文字颜色 3 CharProp"/>
    <w:qFormat/>
    <w:uiPriority w:val="67"/>
  </w:style>
  <w:style w:type="character" w:customStyle="1" w:styleId="418">
    <w:name w:val="中等深浅网格 1 - 强调文字颜色 4 CharProp"/>
    <w:qFormat/>
    <w:uiPriority w:val="67"/>
  </w:style>
  <w:style w:type="character" w:customStyle="1" w:styleId="419">
    <w:name w:val="中等深浅网格 1 - 强调文字颜色 5 CharProp"/>
    <w:qFormat/>
    <w:uiPriority w:val="67"/>
  </w:style>
  <w:style w:type="character" w:customStyle="1" w:styleId="420">
    <w:name w:val="中等深浅网格 1 - 强调文字颜色 6 CharProp"/>
    <w:qFormat/>
    <w:uiPriority w:val="67"/>
  </w:style>
  <w:style w:type="character" w:customStyle="1" w:styleId="421">
    <w:name w:val="中等深浅网格 2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2">
    <w:name w:val="中等深浅网格 2 - 强调文字颜色 1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3">
    <w:name w:val="中等深浅网格 2 - 强调文字颜色 2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4">
    <w:name w:val="中等深浅网格 2 - 强调文字颜色 3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5">
    <w:name w:val="中等深浅网格 2 - 强调文字颜色 4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6">
    <w:name w:val="中等深浅网格 2 - 强调文字颜色 5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7">
    <w:name w:val="中等深浅网格 2 - 强调文字颜色 6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8">
    <w:name w:val="中等深浅网格 3 CharProp"/>
    <w:qFormat/>
    <w:uiPriority w:val="69"/>
  </w:style>
  <w:style w:type="character" w:customStyle="1" w:styleId="429">
    <w:name w:val="中等深浅网格 3 - 强调文字颜色 1 CharProp"/>
    <w:qFormat/>
    <w:uiPriority w:val="69"/>
  </w:style>
  <w:style w:type="character" w:customStyle="1" w:styleId="430">
    <w:name w:val="中等深浅网格 3 - 强调文字颜色 2 CharProp"/>
    <w:qFormat/>
    <w:uiPriority w:val="69"/>
  </w:style>
  <w:style w:type="character" w:customStyle="1" w:styleId="431">
    <w:name w:val="中等深浅网格 3 - 强调文字颜色 3 CharProp"/>
    <w:qFormat/>
    <w:uiPriority w:val="69"/>
  </w:style>
  <w:style w:type="character" w:customStyle="1" w:styleId="432">
    <w:name w:val="中等深浅网格 3 - 强调文字颜色 4 CharProp"/>
    <w:qFormat/>
    <w:uiPriority w:val="69"/>
  </w:style>
  <w:style w:type="character" w:customStyle="1" w:styleId="433">
    <w:name w:val="中等深浅网格 3 - 强调文字颜色 5 CharProp"/>
    <w:qFormat/>
    <w:uiPriority w:val="69"/>
  </w:style>
  <w:style w:type="character" w:customStyle="1" w:styleId="434">
    <w:name w:val="中等深浅网格 3 - 强调文字颜色 6 CharProp"/>
    <w:qFormat/>
    <w:uiPriority w:val="69"/>
  </w:style>
  <w:style w:type="character" w:customStyle="1" w:styleId="435">
    <w:name w:val="深色列表 CharProp"/>
    <w:qFormat/>
    <w:uiPriority w:val="70"/>
    <w:rPr>
      <w:color w:val="FFFFFF" w:themeColor="background1"/>
      <w14:textFill>
        <w14:solidFill>
          <w14:schemeClr w14:val="bg1"/>
        </w14:solidFill>
      </w14:textFill>
    </w:rPr>
  </w:style>
  <w:style w:type="character" w:customStyle="1" w:styleId="436">
    <w:name w:val="深色列表 - 强调文字颜色 1 CharProp"/>
    <w:qFormat/>
    <w:uiPriority w:val="70"/>
    <w:rPr>
      <w:color w:val="FFFFFF" w:themeColor="background1"/>
      <w14:textFill>
        <w14:solidFill>
          <w14:schemeClr w14:val="bg1"/>
        </w14:solidFill>
      </w14:textFill>
    </w:rPr>
  </w:style>
  <w:style w:type="character" w:customStyle="1" w:styleId="437">
    <w:name w:val="深色列表 - 强调文字颜色 2 CharProp"/>
    <w:qFormat/>
    <w:uiPriority w:val="70"/>
    <w:rPr>
      <w:color w:val="FFFFFF" w:themeColor="background1"/>
      <w14:textFill>
        <w14:solidFill>
          <w14:schemeClr w14:val="bg1"/>
        </w14:solidFill>
      </w14:textFill>
    </w:rPr>
  </w:style>
  <w:style w:type="character" w:customStyle="1" w:styleId="438">
    <w:name w:val="深色列表 - 强调文字颜色 3 CharProp"/>
    <w:qFormat/>
    <w:uiPriority w:val="70"/>
    <w:rPr>
      <w:color w:val="FFFFFF" w:themeColor="background1"/>
      <w14:textFill>
        <w14:solidFill>
          <w14:schemeClr w14:val="bg1"/>
        </w14:solidFill>
      </w14:textFill>
    </w:rPr>
  </w:style>
  <w:style w:type="character" w:customStyle="1" w:styleId="439">
    <w:name w:val="深色列表 - 强调文字颜色 4 CharProp"/>
    <w:qFormat/>
    <w:uiPriority w:val="70"/>
    <w:rPr>
      <w:color w:val="FFFFFF" w:themeColor="background1"/>
      <w14:textFill>
        <w14:solidFill>
          <w14:schemeClr w14:val="bg1"/>
        </w14:solidFill>
      </w14:textFill>
    </w:rPr>
  </w:style>
  <w:style w:type="character" w:customStyle="1" w:styleId="440">
    <w:name w:val="深色列表 - 强调文字颜色 5 CharProp"/>
    <w:qFormat/>
    <w:uiPriority w:val="70"/>
    <w:rPr>
      <w:color w:val="FFFFFF" w:themeColor="background1"/>
      <w14:textFill>
        <w14:solidFill>
          <w14:schemeClr w14:val="bg1"/>
        </w14:solidFill>
      </w14:textFill>
    </w:rPr>
  </w:style>
  <w:style w:type="character" w:customStyle="1" w:styleId="441">
    <w:name w:val="深色列表 - 强调文字颜色 6 CharProp"/>
    <w:qFormat/>
    <w:uiPriority w:val="70"/>
    <w:rPr>
      <w:color w:val="FFFFFF" w:themeColor="background1"/>
      <w14:textFill>
        <w14:solidFill>
          <w14:schemeClr w14:val="bg1"/>
        </w14:solidFill>
      </w14:textFill>
    </w:rPr>
  </w:style>
  <w:style w:type="character" w:customStyle="1" w:styleId="442">
    <w:name w:val="彩色底纹 CharProp"/>
    <w:qFormat/>
    <w:uiPriority w:val="71"/>
    <w:rPr>
      <w:color w:val="000000" w:themeColor="text1"/>
      <w14:textFill>
        <w14:solidFill>
          <w14:schemeClr w14:val="tx1"/>
        </w14:solidFill>
      </w14:textFill>
    </w:rPr>
  </w:style>
  <w:style w:type="character" w:customStyle="1" w:styleId="443">
    <w:name w:val="彩色底纹 - 强调文字颜色 1 CharProp"/>
    <w:qFormat/>
    <w:uiPriority w:val="71"/>
    <w:rPr>
      <w:color w:val="000000" w:themeColor="text1"/>
      <w14:textFill>
        <w14:solidFill>
          <w14:schemeClr w14:val="tx1"/>
        </w14:solidFill>
      </w14:textFill>
    </w:rPr>
  </w:style>
  <w:style w:type="character" w:customStyle="1" w:styleId="444">
    <w:name w:val="彩色底纹 - 强调文字颜色 2 CharProp"/>
    <w:qFormat/>
    <w:uiPriority w:val="71"/>
    <w:rPr>
      <w:color w:val="000000" w:themeColor="text1"/>
      <w14:textFill>
        <w14:solidFill>
          <w14:schemeClr w14:val="tx1"/>
        </w14:solidFill>
      </w14:textFill>
    </w:rPr>
  </w:style>
  <w:style w:type="character" w:customStyle="1" w:styleId="445">
    <w:name w:val="彩色底纹 - 强调文字颜色 3 CharProp"/>
    <w:qFormat/>
    <w:uiPriority w:val="71"/>
    <w:rPr>
      <w:color w:val="000000" w:themeColor="text1"/>
      <w14:textFill>
        <w14:solidFill>
          <w14:schemeClr w14:val="tx1"/>
        </w14:solidFill>
      </w14:textFill>
    </w:rPr>
  </w:style>
  <w:style w:type="character" w:customStyle="1" w:styleId="446">
    <w:name w:val="彩色底纹 - 强调文字颜色 4 CharProp"/>
    <w:qFormat/>
    <w:uiPriority w:val="71"/>
    <w:rPr>
      <w:color w:val="000000" w:themeColor="text1"/>
      <w14:textFill>
        <w14:solidFill>
          <w14:schemeClr w14:val="tx1"/>
        </w14:solidFill>
      </w14:textFill>
    </w:rPr>
  </w:style>
  <w:style w:type="character" w:customStyle="1" w:styleId="447">
    <w:name w:val="彩色底纹 - 强调文字颜色 5 CharProp"/>
    <w:qFormat/>
    <w:uiPriority w:val="71"/>
    <w:rPr>
      <w:color w:val="000000" w:themeColor="text1"/>
      <w14:textFill>
        <w14:solidFill>
          <w14:schemeClr w14:val="tx1"/>
        </w14:solidFill>
      </w14:textFill>
    </w:rPr>
  </w:style>
  <w:style w:type="character" w:customStyle="1" w:styleId="448">
    <w:name w:val="彩色底纹 - 强调文字颜色 6 CharProp"/>
    <w:qFormat/>
    <w:uiPriority w:val="71"/>
    <w:rPr>
      <w:color w:val="000000" w:themeColor="text1"/>
      <w14:textFill>
        <w14:solidFill>
          <w14:schemeClr w14:val="tx1"/>
        </w14:solidFill>
      </w14:textFill>
    </w:rPr>
  </w:style>
  <w:style w:type="character" w:customStyle="1" w:styleId="449">
    <w:name w:val="彩色列表 CharProp"/>
    <w:qFormat/>
    <w:uiPriority w:val="72"/>
    <w:rPr>
      <w:color w:val="000000" w:themeColor="text1"/>
      <w14:textFill>
        <w14:solidFill>
          <w14:schemeClr w14:val="tx1"/>
        </w14:solidFill>
      </w14:textFill>
    </w:rPr>
  </w:style>
  <w:style w:type="character" w:customStyle="1" w:styleId="450">
    <w:name w:val="彩色列表 - 强调文字颜色 1 CharProp"/>
    <w:qFormat/>
    <w:uiPriority w:val="72"/>
    <w:rPr>
      <w:color w:val="000000" w:themeColor="text1"/>
      <w14:textFill>
        <w14:solidFill>
          <w14:schemeClr w14:val="tx1"/>
        </w14:solidFill>
      </w14:textFill>
    </w:rPr>
  </w:style>
  <w:style w:type="character" w:customStyle="1" w:styleId="451">
    <w:name w:val="彩色列表 - 强调文字颜色 2 CharProp"/>
    <w:qFormat/>
    <w:uiPriority w:val="72"/>
    <w:rPr>
      <w:color w:val="000000" w:themeColor="text1"/>
      <w14:textFill>
        <w14:solidFill>
          <w14:schemeClr w14:val="tx1"/>
        </w14:solidFill>
      </w14:textFill>
    </w:rPr>
  </w:style>
  <w:style w:type="character" w:customStyle="1" w:styleId="452">
    <w:name w:val="彩色列表 - 强调文字颜色 3 CharProp"/>
    <w:qFormat/>
    <w:uiPriority w:val="72"/>
    <w:rPr>
      <w:color w:val="000000" w:themeColor="text1"/>
      <w14:textFill>
        <w14:solidFill>
          <w14:schemeClr w14:val="tx1"/>
        </w14:solidFill>
      </w14:textFill>
    </w:rPr>
  </w:style>
  <w:style w:type="character" w:customStyle="1" w:styleId="453">
    <w:name w:val="彩色列表 - 强调文字颜色 4 CharProp"/>
    <w:qFormat/>
    <w:uiPriority w:val="72"/>
    <w:rPr>
      <w:color w:val="000000" w:themeColor="text1"/>
      <w14:textFill>
        <w14:solidFill>
          <w14:schemeClr w14:val="tx1"/>
        </w14:solidFill>
      </w14:textFill>
    </w:rPr>
  </w:style>
  <w:style w:type="character" w:customStyle="1" w:styleId="454">
    <w:name w:val="彩色列表 - 强调文字颜色 5 CharProp"/>
    <w:qFormat/>
    <w:uiPriority w:val="72"/>
    <w:rPr>
      <w:color w:val="000000" w:themeColor="text1"/>
      <w14:textFill>
        <w14:solidFill>
          <w14:schemeClr w14:val="tx1"/>
        </w14:solidFill>
      </w14:textFill>
    </w:rPr>
  </w:style>
  <w:style w:type="character" w:customStyle="1" w:styleId="455">
    <w:name w:val="彩色列表 - 强调文字颜色 6 CharProp"/>
    <w:qFormat/>
    <w:uiPriority w:val="72"/>
    <w:rPr>
      <w:color w:val="000000" w:themeColor="text1"/>
      <w14:textFill>
        <w14:solidFill>
          <w14:schemeClr w14:val="tx1"/>
        </w14:solidFill>
      </w14:textFill>
    </w:rPr>
  </w:style>
  <w:style w:type="character" w:customStyle="1" w:styleId="456">
    <w:name w:val="彩色网格 CharProp"/>
    <w:qFormat/>
    <w:uiPriority w:val="73"/>
    <w:rPr>
      <w:color w:val="000000" w:themeColor="text1"/>
      <w14:textFill>
        <w14:solidFill>
          <w14:schemeClr w14:val="tx1"/>
        </w14:solidFill>
      </w14:textFill>
    </w:rPr>
  </w:style>
  <w:style w:type="character" w:customStyle="1" w:styleId="457">
    <w:name w:val="彩色网格 - 强调文字颜色 1 CharProp"/>
    <w:qFormat/>
    <w:uiPriority w:val="73"/>
    <w:rPr>
      <w:color w:val="000000" w:themeColor="text1"/>
      <w14:textFill>
        <w14:solidFill>
          <w14:schemeClr w14:val="tx1"/>
        </w14:solidFill>
      </w14:textFill>
    </w:rPr>
  </w:style>
  <w:style w:type="character" w:customStyle="1" w:styleId="458">
    <w:name w:val="彩色网格 - 强调文字颜色 2 CharProp"/>
    <w:qFormat/>
    <w:uiPriority w:val="73"/>
    <w:rPr>
      <w:color w:val="000000" w:themeColor="text1"/>
      <w14:textFill>
        <w14:solidFill>
          <w14:schemeClr w14:val="tx1"/>
        </w14:solidFill>
      </w14:textFill>
    </w:rPr>
  </w:style>
  <w:style w:type="character" w:customStyle="1" w:styleId="459">
    <w:name w:val="彩色网格 - 强调文字颜色 3 CharProp"/>
    <w:qFormat/>
    <w:uiPriority w:val="73"/>
    <w:rPr>
      <w:color w:val="000000" w:themeColor="text1"/>
      <w14:textFill>
        <w14:solidFill>
          <w14:schemeClr w14:val="tx1"/>
        </w14:solidFill>
      </w14:textFill>
    </w:rPr>
  </w:style>
  <w:style w:type="character" w:customStyle="1" w:styleId="460">
    <w:name w:val="彩色网格 - 强调文字颜色 4 CharProp"/>
    <w:qFormat/>
    <w:uiPriority w:val="73"/>
    <w:rPr>
      <w:color w:val="000000" w:themeColor="text1"/>
      <w14:textFill>
        <w14:solidFill>
          <w14:schemeClr w14:val="tx1"/>
        </w14:solidFill>
      </w14:textFill>
    </w:rPr>
  </w:style>
  <w:style w:type="character" w:customStyle="1" w:styleId="461">
    <w:name w:val="彩色网格 - 强调文字颜色 5 CharProp"/>
    <w:qFormat/>
    <w:uiPriority w:val="73"/>
    <w:rPr>
      <w:color w:val="000000" w:themeColor="text1"/>
      <w14:textFill>
        <w14:solidFill>
          <w14:schemeClr w14:val="tx1"/>
        </w14:solidFill>
      </w14:textFill>
    </w:rPr>
  </w:style>
  <w:style w:type="character" w:customStyle="1" w:styleId="462">
    <w:name w:val="彩色网格 - 强调文字颜色 6 CharProp"/>
    <w:qFormat/>
    <w:uiPriority w:val="73"/>
    <w:rPr>
      <w:color w:val="000000" w:themeColor="text1"/>
      <w14:textFill>
        <w14:solidFill>
          <w14:schemeClr w14:val="tx1"/>
        </w14:solidFill>
      </w14:textFill>
    </w:rPr>
  </w:style>
  <w:style w:type="character" w:styleId="463">
    <w:name w:val="Strong"/>
    <w:basedOn w:val="319"/>
    <w:qFormat/>
    <w:uiPriority w:val="0"/>
    <w:rPr>
      <w:b/>
    </w:rPr>
  </w:style>
  <w:style w:type="character" w:styleId="464">
    <w:name w:val="endnote reference"/>
    <w:basedOn w:val="319"/>
    <w:qFormat/>
    <w:uiPriority w:val="0"/>
    <w:rPr>
      <w:vertAlign w:val="superscript"/>
    </w:rPr>
  </w:style>
  <w:style w:type="character" w:styleId="465">
    <w:name w:val="page number"/>
    <w:basedOn w:val="319"/>
    <w:qFormat/>
    <w:uiPriority w:val="0"/>
  </w:style>
  <w:style w:type="character" w:styleId="466">
    <w:name w:val="FollowedHyperlink"/>
    <w:basedOn w:val="319"/>
    <w:qFormat/>
    <w:uiPriority w:val="0"/>
    <w:rPr>
      <w:color w:val="800080" w:themeColor="followedHyperlink"/>
      <w:u w:val="single"/>
      <w14:textFill>
        <w14:solidFill>
          <w14:schemeClr w14:val="folHlink"/>
        </w14:solidFill>
      </w14:textFill>
    </w:rPr>
  </w:style>
  <w:style w:type="character" w:styleId="467">
    <w:name w:val="Emphasis"/>
    <w:basedOn w:val="319"/>
    <w:qFormat/>
    <w:uiPriority w:val="0"/>
    <w:rPr>
      <w:i/>
      <w:iCs/>
    </w:rPr>
  </w:style>
  <w:style w:type="character" w:styleId="468">
    <w:name w:val="line number"/>
    <w:basedOn w:val="319"/>
    <w:qFormat/>
    <w:uiPriority w:val="0"/>
  </w:style>
  <w:style w:type="character" w:styleId="469">
    <w:name w:val="HTML Definition"/>
    <w:basedOn w:val="319"/>
    <w:qFormat/>
    <w:uiPriority w:val="0"/>
    <w:rPr>
      <w:i/>
      <w:iCs/>
    </w:rPr>
  </w:style>
  <w:style w:type="character" w:styleId="470">
    <w:name w:val="HTML Typewriter"/>
    <w:basedOn w:val="319"/>
    <w:qFormat/>
    <w:uiPriority w:val="0"/>
    <w:rPr>
      <w:rFonts w:ascii="Courier New" w:hAnsi="Courier New" w:cs="Courier New"/>
      <w:sz w:val="20"/>
      <w:szCs w:val="20"/>
    </w:rPr>
  </w:style>
  <w:style w:type="character" w:styleId="471">
    <w:name w:val="HTML Acronym"/>
    <w:basedOn w:val="319"/>
    <w:qFormat/>
    <w:uiPriority w:val="0"/>
  </w:style>
  <w:style w:type="character" w:styleId="472">
    <w:name w:val="HTML Variable"/>
    <w:basedOn w:val="319"/>
    <w:qFormat/>
    <w:uiPriority w:val="0"/>
    <w:rPr>
      <w:i/>
      <w:iCs/>
    </w:rPr>
  </w:style>
  <w:style w:type="character" w:styleId="473">
    <w:name w:val="Hyperlink"/>
    <w:basedOn w:val="319"/>
    <w:qFormat/>
    <w:uiPriority w:val="99"/>
    <w:rPr>
      <w:color w:val="0000FF" w:themeColor="hyperlink"/>
      <w:u w:val="single"/>
      <w14:textFill>
        <w14:solidFill>
          <w14:schemeClr w14:val="hlink"/>
        </w14:solidFill>
      </w14:textFill>
    </w:rPr>
  </w:style>
  <w:style w:type="character" w:styleId="474">
    <w:name w:val="HTML Code"/>
    <w:basedOn w:val="319"/>
    <w:qFormat/>
    <w:uiPriority w:val="0"/>
    <w:rPr>
      <w:rFonts w:ascii="Courier New" w:hAnsi="Courier New" w:cs="Courier New"/>
      <w:sz w:val="20"/>
      <w:szCs w:val="20"/>
    </w:rPr>
  </w:style>
  <w:style w:type="character" w:styleId="475">
    <w:name w:val="annotation reference"/>
    <w:basedOn w:val="319"/>
    <w:qFormat/>
    <w:uiPriority w:val="0"/>
    <w:rPr>
      <w:sz w:val="21"/>
      <w:szCs w:val="21"/>
    </w:rPr>
  </w:style>
  <w:style w:type="character" w:styleId="476">
    <w:name w:val="HTML Cite"/>
    <w:basedOn w:val="319"/>
    <w:qFormat/>
    <w:uiPriority w:val="0"/>
    <w:rPr>
      <w:i/>
      <w:iCs/>
    </w:rPr>
  </w:style>
  <w:style w:type="character" w:styleId="477">
    <w:name w:val="footnote reference"/>
    <w:basedOn w:val="319"/>
    <w:qFormat/>
    <w:uiPriority w:val="0"/>
    <w:rPr>
      <w:vertAlign w:val="superscript"/>
    </w:rPr>
  </w:style>
  <w:style w:type="character" w:styleId="478">
    <w:name w:val="HTML Keyboard"/>
    <w:basedOn w:val="319"/>
    <w:qFormat/>
    <w:uiPriority w:val="0"/>
    <w:rPr>
      <w:rFonts w:ascii="Courier New" w:hAnsi="Courier New" w:cs="Courier New"/>
      <w:sz w:val="20"/>
      <w:szCs w:val="20"/>
    </w:rPr>
  </w:style>
  <w:style w:type="character" w:styleId="479">
    <w:name w:val="HTML Sample"/>
    <w:basedOn w:val="319"/>
    <w:qFormat/>
    <w:uiPriority w:val="0"/>
    <w:rPr>
      <w:rFonts w:ascii="Courier New" w:hAnsi="Courier New" w:cs="Courier New"/>
    </w:rPr>
  </w:style>
  <w:style w:type="character" w:customStyle="1" w:styleId="480">
    <w:name w:val="正文缩进311 CharProp11"/>
    <w:uiPriority w:val="0"/>
    <w:rPr>
      <w:rFonts w:ascii="Calibri" w:hAnsi="Calibri" w:eastAsia="宋体" w:cs="Times New Roman"/>
      <w:sz w:val="21"/>
      <w:szCs w:val="22"/>
      <w:lang w:val="en-US" w:eastAsia="zh-CN" w:bidi="ar-SA"/>
    </w:rPr>
  </w:style>
  <w:style w:type="character" w:customStyle="1" w:styleId="481">
    <w:name w:val="正文缩进311 CharProp10"/>
    <w:uiPriority w:val="0"/>
    <w:rPr>
      <w:rFonts w:ascii="Calibri" w:hAnsi="Calibri" w:eastAsia="宋体" w:cs="Times New Roman"/>
      <w:sz w:val="21"/>
      <w:szCs w:val="22"/>
      <w:lang w:val="en-US" w:eastAsia="zh-CN" w:bidi="ar-SA"/>
    </w:rPr>
  </w:style>
  <w:style w:type="character" w:customStyle="1" w:styleId="482">
    <w:name w:val="正文缩进311 CharProp9"/>
    <w:qFormat/>
    <w:uiPriority w:val="0"/>
    <w:rPr>
      <w:rFonts w:ascii="Calibri" w:hAnsi="Calibri" w:eastAsia="宋体" w:cs="Times New Roman"/>
      <w:sz w:val="21"/>
      <w:szCs w:val="22"/>
      <w:lang w:val="en-US" w:eastAsia="zh-CN" w:bidi="ar-SA"/>
    </w:rPr>
  </w:style>
  <w:style w:type="character" w:customStyle="1" w:styleId="483">
    <w:name w:val="正文缩进311 CharProp8"/>
    <w:qFormat/>
    <w:uiPriority w:val="0"/>
    <w:rPr>
      <w:rFonts w:ascii="Calibri" w:hAnsi="Calibri" w:eastAsia="宋体" w:cs="Times New Roman"/>
      <w:sz w:val="21"/>
      <w:szCs w:val="22"/>
      <w:lang w:val="en-US" w:eastAsia="zh-CN" w:bidi="ar-SA"/>
    </w:rPr>
  </w:style>
  <w:style w:type="character" w:customStyle="1" w:styleId="484">
    <w:name w:val="正文缩进311 CharProp7"/>
    <w:qFormat/>
    <w:uiPriority w:val="0"/>
    <w:rPr>
      <w:rFonts w:ascii="Calibri" w:hAnsi="Calibri" w:eastAsia="宋体" w:cs="Times New Roman"/>
      <w:sz w:val="21"/>
      <w:szCs w:val="22"/>
      <w:lang w:val="en-US" w:eastAsia="zh-CN" w:bidi="ar-SA"/>
    </w:rPr>
  </w:style>
  <w:style w:type="character" w:customStyle="1" w:styleId="485">
    <w:name w:val="正文缩进311 CharProp6"/>
    <w:qFormat/>
    <w:uiPriority w:val="0"/>
    <w:rPr>
      <w:rFonts w:ascii="Calibri" w:hAnsi="Calibri" w:eastAsia="宋体" w:cs="Times New Roman"/>
      <w:sz w:val="21"/>
      <w:szCs w:val="22"/>
      <w:lang w:val="en-US" w:eastAsia="zh-CN" w:bidi="ar-SA"/>
    </w:rPr>
  </w:style>
  <w:style w:type="character" w:customStyle="1" w:styleId="486">
    <w:name w:val="正文缩进311 CharProp5"/>
    <w:qFormat/>
    <w:uiPriority w:val="0"/>
    <w:rPr>
      <w:rFonts w:ascii="Calibri" w:hAnsi="Calibri" w:eastAsia="宋体" w:cs="Times New Roman"/>
      <w:sz w:val="21"/>
      <w:szCs w:val="22"/>
      <w:lang w:val="en-US" w:eastAsia="zh-CN" w:bidi="ar-SA"/>
    </w:rPr>
  </w:style>
  <w:style w:type="character" w:customStyle="1" w:styleId="487">
    <w:name w:val="正文缩进311 CharProp4"/>
    <w:qFormat/>
    <w:uiPriority w:val="0"/>
    <w:rPr>
      <w:rFonts w:ascii="Calibri" w:hAnsi="Calibri" w:eastAsia="宋体" w:cs="Times New Roman"/>
      <w:sz w:val="21"/>
      <w:szCs w:val="22"/>
      <w:lang w:val="en-US" w:eastAsia="zh-CN" w:bidi="ar-SA"/>
    </w:rPr>
  </w:style>
  <w:style w:type="character" w:customStyle="1" w:styleId="488">
    <w:name w:val="正文缩进311 CharProp3"/>
    <w:qFormat/>
    <w:uiPriority w:val="0"/>
    <w:rPr>
      <w:rFonts w:ascii="Calibri" w:hAnsi="Calibri" w:eastAsia="宋体" w:cs="Times New Roman"/>
      <w:sz w:val="21"/>
      <w:szCs w:val="22"/>
      <w:lang w:val="en-US" w:eastAsia="zh-CN" w:bidi="ar-SA"/>
    </w:rPr>
  </w:style>
  <w:style w:type="character" w:customStyle="1" w:styleId="489">
    <w:name w:val="正文缩进311 CharProp2"/>
    <w:qFormat/>
    <w:uiPriority w:val="0"/>
    <w:rPr>
      <w:rFonts w:ascii="Calibri" w:hAnsi="Calibri" w:eastAsia="宋体" w:cs="Times New Roman"/>
      <w:sz w:val="21"/>
      <w:szCs w:val="22"/>
      <w:lang w:val="en-US" w:eastAsia="zh-CN" w:bidi="ar-SA"/>
    </w:rPr>
  </w:style>
  <w:style w:type="character" w:customStyle="1" w:styleId="490">
    <w:name w:val="正文缩进311 CharProp1"/>
    <w:qFormat/>
    <w:uiPriority w:val="0"/>
    <w:rPr>
      <w:rFonts w:ascii="Calibri" w:hAnsi="Calibri" w:eastAsia="宋体" w:cs="Times New Roman"/>
      <w:sz w:val="21"/>
      <w:szCs w:val="22"/>
      <w:lang w:val="en-US" w:eastAsia="zh-CN" w:bidi="ar-SA"/>
    </w:rPr>
  </w:style>
  <w:style w:type="character" w:customStyle="1" w:styleId="491">
    <w:name w:val="正文缩进311 CharProp"/>
    <w:qFormat/>
    <w:uiPriority w:val="0"/>
    <w:rPr>
      <w:rFonts w:ascii="Calibri" w:hAnsi="Calibri" w:eastAsia="宋体" w:cs="Times New Roman"/>
      <w:sz w:val="21"/>
      <w:szCs w:val="22"/>
      <w:lang w:val="en-US" w:eastAsia="zh-CN" w:bidi="ar-SA"/>
    </w:rPr>
  </w:style>
  <w:style w:type="table" w:customStyle="1" w:styleId="492">
    <w:name w:val="Table Normal"/>
    <w:semiHidden/>
    <w:unhideWhenUsed/>
    <w:qFormat/>
    <w:uiPriority w:val="0"/>
    <w:tblPr>
      <w:tblCellMar>
        <w:top w:w="0" w:type="dxa"/>
        <w:left w:w="0" w:type="dxa"/>
        <w:bottom w:w="0" w:type="dxa"/>
        <w:right w:w="0" w:type="dxa"/>
      </w:tblCellMar>
    </w:tblPr>
  </w:style>
  <w:style w:type="paragraph" w:customStyle="1" w:styleId="493">
    <w:name w:val="Table Text"/>
    <w:basedOn w:val="1"/>
    <w:semiHidden/>
    <w:qFormat/>
    <w:uiPriority w:val="0"/>
    <w:rPr>
      <w:rFonts w:ascii="仿宋" w:hAnsi="仿宋" w:eastAsia="仿宋" w:cs="仿宋"/>
      <w:sz w:val="22"/>
      <w:szCs w:val="22"/>
    </w:rPr>
  </w:style>
  <w:style w:type="character" w:customStyle="1" w:styleId="494">
    <w:name w:val="Table Text CharProp11"/>
    <w:uiPriority w:val="0"/>
    <w:rPr>
      <w:rFonts w:ascii="仿宋" w:hAnsi="仿宋" w:eastAsia="仿宋" w:cs="仿宋"/>
      <w:sz w:val="22"/>
      <w:szCs w:val="22"/>
    </w:rPr>
  </w:style>
  <w:style w:type="character" w:customStyle="1" w:styleId="495">
    <w:name w:val="Table Text CharProp10"/>
    <w:uiPriority w:val="0"/>
    <w:rPr>
      <w:rFonts w:ascii="仿宋" w:hAnsi="仿宋" w:eastAsia="仿宋" w:cs="仿宋"/>
      <w:sz w:val="22"/>
      <w:szCs w:val="22"/>
    </w:rPr>
  </w:style>
  <w:style w:type="character" w:customStyle="1" w:styleId="496">
    <w:name w:val="Table Text CharProp9"/>
    <w:uiPriority w:val="0"/>
    <w:rPr>
      <w:rFonts w:ascii="仿宋" w:hAnsi="仿宋" w:eastAsia="仿宋" w:cs="仿宋"/>
      <w:sz w:val="22"/>
      <w:szCs w:val="22"/>
    </w:rPr>
  </w:style>
  <w:style w:type="character" w:customStyle="1" w:styleId="497">
    <w:name w:val="Table Text CharProp8"/>
    <w:uiPriority w:val="0"/>
    <w:rPr>
      <w:rFonts w:ascii="仿宋" w:hAnsi="仿宋" w:eastAsia="仿宋" w:cs="仿宋"/>
      <w:sz w:val="22"/>
      <w:szCs w:val="22"/>
    </w:rPr>
  </w:style>
  <w:style w:type="character" w:customStyle="1" w:styleId="498">
    <w:name w:val="Table Text CharProp7"/>
    <w:uiPriority w:val="0"/>
    <w:rPr>
      <w:rFonts w:ascii="仿宋" w:hAnsi="仿宋" w:eastAsia="仿宋" w:cs="仿宋"/>
      <w:sz w:val="22"/>
      <w:szCs w:val="22"/>
    </w:rPr>
  </w:style>
  <w:style w:type="character" w:customStyle="1" w:styleId="499">
    <w:name w:val="Table Text CharProp6"/>
    <w:uiPriority w:val="0"/>
    <w:rPr>
      <w:rFonts w:ascii="仿宋" w:hAnsi="仿宋" w:eastAsia="仿宋" w:cs="仿宋"/>
      <w:sz w:val="22"/>
      <w:szCs w:val="22"/>
    </w:rPr>
  </w:style>
  <w:style w:type="character" w:customStyle="1" w:styleId="500">
    <w:name w:val="Table Text CharProp5"/>
    <w:uiPriority w:val="0"/>
    <w:rPr>
      <w:rFonts w:ascii="仿宋" w:hAnsi="仿宋" w:eastAsia="仿宋" w:cs="仿宋"/>
      <w:sz w:val="22"/>
      <w:szCs w:val="22"/>
    </w:rPr>
  </w:style>
  <w:style w:type="character" w:customStyle="1" w:styleId="501">
    <w:name w:val="Table Text CharProp4"/>
    <w:qFormat/>
    <w:uiPriority w:val="0"/>
    <w:rPr>
      <w:rFonts w:ascii="仿宋" w:hAnsi="仿宋" w:eastAsia="仿宋" w:cs="仿宋"/>
      <w:sz w:val="22"/>
      <w:szCs w:val="22"/>
    </w:rPr>
  </w:style>
  <w:style w:type="character" w:customStyle="1" w:styleId="502">
    <w:name w:val="Table Text CharProp3"/>
    <w:qFormat/>
    <w:uiPriority w:val="0"/>
    <w:rPr>
      <w:rFonts w:ascii="仿宋" w:hAnsi="仿宋" w:eastAsia="仿宋" w:cs="仿宋"/>
      <w:sz w:val="22"/>
      <w:szCs w:val="22"/>
    </w:rPr>
  </w:style>
  <w:style w:type="character" w:customStyle="1" w:styleId="503">
    <w:name w:val="Table Text CharProp2"/>
    <w:qFormat/>
    <w:uiPriority w:val="0"/>
    <w:rPr>
      <w:rFonts w:ascii="仿宋" w:hAnsi="仿宋" w:eastAsia="仿宋" w:cs="仿宋"/>
      <w:sz w:val="22"/>
      <w:szCs w:val="22"/>
    </w:rPr>
  </w:style>
  <w:style w:type="character" w:customStyle="1" w:styleId="504">
    <w:name w:val="Table Text CharProp1"/>
    <w:qFormat/>
    <w:uiPriority w:val="0"/>
    <w:rPr>
      <w:rFonts w:ascii="仿宋" w:hAnsi="仿宋" w:eastAsia="仿宋" w:cs="仿宋"/>
      <w:sz w:val="22"/>
      <w:szCs w:val="22"/>
    </w:rPr>
  </w:style>
  <w:style w:type="character" w:customStyle="1" w:styleId="505">
    <w:name w:val="Table Text CharProp"/>
    <w:qFormat/>
    <w:uiPriority w:val="0"/>
    <w:rPr>
      <w:rFonts w:ascii="仿宋" w:hAnsi="仿宋" w:eastAsia="仿宋" w:cs="仿宋"/>
      <w:sz w:val="22"/>
      <w:szCs w:val="22"/>
    </w:rPr>
  </w:style>
  <w:style w:type="paragraph" w:customStyle="1" w:styleId="506">
    <w:name w:val="正文文本首行缩进 21"/>
    <w:basedOn w:val="507"/>
    <w:qFormat/>
    <w:uiPriority w:val="0"/>
    <w:pPr>
      <w:ind w:firstLine="420"/>
    </w:pPr>
  </w:style>
  <w:style w:type="paragraph" w:customStyle="1" w:styleId="507">
    <w:name w:val="正文文本缩进1"/>
    <w:basedOn w:val="1"/>
    <w:qFormat/>
    <w:uiPriority w:val="0"/>
    <w:pPr>
      <w:spacing w:line="520" w:lineRule="exact"/>
      <w:ind w:firstLine="640" w:firstLineChars="200"/>
    </w:pPr>
    <w:rPr>
      <w:rFonts w:ascii="仿宋_GB2312" w:eastAsia="仿宋_GB2312"/>
      <w:sz w:val="32"/>
    </w:rPr>
  </w:style>
  <w:style w:type="character" w:customStyle="1" w:styleId="508">
    <w:name w:val="正文文本首行缩进 21 CharProp11"/>
    <w:uiPriority w:val="0"/>
  </w:style>
  <w:style w:type="character" w:customStyle="1" w:styleId="509">
    <w:name w:val="正文文本缩进1 CharProp11"/>
    <w:qFormat/>
    <w:uiPriority w:val="0"/>
    <w:rPr>
      <w:rFonts w:ascii="仿宋_GB2312" w:eastAsia="仿宋_GB2312"/>
      <w:sz w:val="32"/>
    </w:rPr>
  </w:style>
  <w:style w:type="character" w:customStyle="1" w:styleId="510">
    <w:name w:val="正文文本首行缩进 21 CharProp10"/>
    <w:qFormat/>
    <w:uiPriority w:val="0"/>
  </w:style>
  <w:style w:type="character" w:customStyle="1" w:styleId="511">
    <w:name w:val="正文文本缩进1 CharProp10"/>
    <w:uiPriority w:val="0"/>
    <w:rPr>
      <w:rFonts w:ascii="仿宋_GB2312" w:eastAsia="仿宋_GB2312"/>
      <w:sz w:val="32"/>
    </w:rPr>
  </w:style>
  <w:style w:type="character" w:customStyle="1" w:styleId="512">
    <w:name w:val="正文文本首行缩进 21 CharProp9"/>
    <w:uiPriority w:val="0"/>
  </w:style>
  <w:style w:type="character" w:customStyle="1" w:styleId="513">
    <w:name w:val="正文文本缩进1 CharProp9"/>
    <w:qFormat/>
    <w:uiPriority w:val="0"/>
    <w:rPr>
      <w:rFonts w:ascii="仿宋_GB2312" w:eastAsia="仿宋_GB2312"/>
      <w:sz w:val="32"/>
    </w:rPr>
  </w:style>
  <w:style w:type="character" w:customStyle="1" w:styleId="514">
    <w:name w:val="正文文本首行缩进 21 CharProp8"/>
    <w:uiPriority w:val="0"/>
  </w:style>
  <w:style w:type="character" w:customStyle="1" w:styleId="515">
    <w:name w:val="正文文本缩进1 CharProp8"/>
    <w:qFormat/>
    <w:uiPriority w:val="0"/>
    <w:rPr>
      <w:rFonts w:ascii="仿宋_GB2312" w:eastAsia="仿宋_GB2312"/>
      <w:sz w:val="32"/>
    </w:rPr>
  </w:style>
  <w:style w:type="character" w:customStyle="1" w:styleId="516">
    <w:name w:val="正文文本首行缩进 21 CharProp7"/>
    <w:qFormat/>
    <w:uiPriority w:val="0"/>
  </w:style>
  <w:style w:type="character" w:customStyle="1" w:styleId="517">
    <w:name w:val="正文文本缩进1 CharProp7"/>
    <w:qFormat/>
    <w:uiPriority w:val="0"/>
    <w:rPr>
      <w:rFonts w:ascii="仿宋_GB2312" w:eastAsia="仿宋_GB2312"/>
      <w:sz w:val="32"/>
    </w:rPr>
  </w:style>
  <w:style w:type="character" w:customStyle="1" w:styleId="518">
    <w:name w:val="正文文本首行缩进 21 CharProp6"/>
    <w:qFormat/>
    <w:uiPriority w:val="0"/>
  </w:style>
  <w:style w:type="character" w:customStyle="1" w:styleId="519">
    <w:name w:val="正文文本缩进1 CharProp6"/>
    <w:qFormat/>
    <w:uiPriority w:val="0"/>
    <w:rPr>
      <w:rFonts w:ascii="仿宋_GB2312" w:eastAsia="仿宋_GB2312"/>
      <w:sz w:val="32"/>
    </w:rPr>
  </w:style>
  <w:style w:type="character" w:customStyle="1" w:styleId="520">
    <w:name w:val="正文文本首行缩进 21 CharProp5"/>
    <w:uiPriority w:val="0"/>
  </w:style>
  <w:style w:type="character" w:customStyle="1" w:styleId="521">
    <w:name w:val="正文文本缩进1 CharProp5"/>
    <w:uiPriority w:val="0"/>
    <w:rPr>
      <w:rFonts w:ascii="仿宋_GB2312" w:eastAsia="仿宋_GB2312"/>
      <w:sz w:val="32"/>
    </w:rPr>
  </w:style>
  <w:style w:type="character" w:customStyle="1" w:styleId="522">
    <w:name w:val="正文文本首行缩进 21 CharProp4"/>
    <w:qFormat/>
    <w:uiPriority w:val="0"/>
  </w:style>
  <w:style w:type="character" w:customStyle="1" w:styleId="523">
    <w:name w:val="正文文本缩进1 CharProp4"/>
    <w:qFormat/>
    <w:uiPriority w:val="0"/>
    <w:rPr>
      <w:rFonts w:ascii="仿宋_GB2312" w:eastAsia="仿宋_GB2312"/>
      <w:sz w:val="32"/>
    </w:rPr>
  </w:style>
  <w:style w:type="character" w:customStyle="1" w:styleId="524">
    <w:name w:val="正文文本首行缩进 21 CharProp3"/>
    <w:qFormat/>
    <w:uiPriority w:val="0"/>
  </w:style>
  <w:style w:type="character" w:customStyle="1" w:styleId="525">
    <w:name w:val="正文文本缩进1 CharProp3"/>
    <w:qFormat/>
    <w:uiPriority w:val="0"/>
    <w:rPr>
      <w:rFonts w:ascii="仿宋_GB2312" w:eastAsia="仿宋_GB2312"/>
      <w:sz w:val="32"/>
    </w:rPr>
  </w:style>
  <w:style w:type="character" w:customStyle="1" w:styleId="526">
    <w:name w:val="正文文本首行缩进 21 CharProp2"/>
    <w:qFormat/>
    <w:uiPriority w:val="0"/>
  </w:style>
  <w:style w:type="character" w:customStyle="1" w:styleId="527">
    <w:name w:val="正文文本缩进1 CharProp2"/>
    <w:qFormat/>
    <w:uiPriority w:val="0"/>
    <w:rPr>
      <w:rFonts w:ascii="仿宋_GB2312" w:eastAsia="仿宋_GB2312"/>
      <w:sz w:val="32"/>
    </w:rPr>
  </w:style>
  <w:style w:type="character" w:customStyle="1" w:styleId="528">
    <w:name w:val="正文文本首行缩进 21 CharProp1"/>
    <w:qFormat/>
    <w:uiPriority w:val="0"/>
  </w:style>
  <w:style w:type="character" w:customStyle="1" w:styleId="529">
    <w:name w:val="正文文本缩进1 CharProp1"/>
    <w:qFormat/>
    <w:uiPriority w:val="0"/>
    <w:rPr>
      <w:rFonts w:ascii="仿宋_GB2312" w:eastAsia="仿宋_GB2312"/>
      <w:sz w:val="32"/>
    </w:rPr>
  </w:style>
  <w:style w:type="character" w:customStyle="1" w:styleId="530">
    <w:name w:val="正文文本首行缩进 21 CharProp"/>
    <w:qFormat/>
    <w:uiPriority w:val="0"/>
  </w:style>
  <w:style w:type="character" w:customStyle="1" w:styleId="531">
    <w:name w:val="正文文本缩进1 CharProp"/>
    <w:qFormat/>
    <w:uiPriority w:val="0"/>
    <w:rPr>
      <w:rFonts w:ascii="仿宋_GB2312" w:eastAsia="仿宋_GB2312"/>
      <w:sz w:val="32"/>
    </w:rPr>
  </w:style>
  <w:style w:type="character" w:customStyle="1" w:styleId="532">
    <w:name w:val="font21"/>
    <w:basedOn w:val="319"/>
    <w:qFormat/>
    <w:uiPriority w:val="0"/>
    <w:rPr>
      <w:rFonts w:hint="eastAsia" w:ascii="仿宋" w:hAnsi="仿宋" w:eastAsia="仿宋" w:cs="仿宋"/>
      <w:color w:val="000000"/>
      <w:sz w:val="22"/>
      <w:szCs w:val="22"/>
      <w:u w:val="none"/>
    </w:rPr>
  </w:style>
  <w:style w:type="character" w:customStyle="1" w:styleId="533">
    <w:name w:val="font11"/>
    <w:basedOn w:val="319"/>
    <w:qFormat/>
    <w:uiPriority w:val="0"/>
    <w:rPr>
      <w:rFonts w:hint="default" w:ascii="Calibri" w:hAnsi="Calibri" w:cs="Calibri"/>
      <w:color w:val="000000"/>
      <w:sz w:val="22"/>
      <w:szCs w:val="22"/>
      <w:u w:val="none"/>
    </w:rPr>
  </w:style>
  <w:style w:type="character" w:customStyle="1" w:styleId="534">
    <w:name w:val="font31"/>
    <w:basedOn w:val="319"/>
    <w:qFormat/>
    <w:uiPriority w:val="0"/>
    <w:rPr>
      <w:rFonts w:hint="eastAsia" w:ascii="宋体" w:hAnsi="宋体" w:eastAsia="宋体" w:cs="宋体"/>
      <w:color w:val="000000"/>
      <w:sz w:val="22"/>
      <w:szCs w:val="22"/>
      <w:u w:val="none"/>
    </w:rPr>
  </w:style>
  <w:style w:type="character" w:customStyle="1" w:styleId="535">
    <w:name w:val="font01"/>
    <w:basedOn w:val="319"/>
    <w:qFormat/>
    <w:uiPriority w:val="0"/>
    <w:rPr>
      <w:rFonts w:hint="eastAsia" w:ascii="宋体" w:hAnsi="宋体" w:eastAsia="宋体" w:cs="宋体"/>
      <w:color w:val="000000"/>
      <w:sz w:val="22"/>
      <w:szCs w:val="22"/>
      <w:u w:val="none"/>
    </w:rPr>
  </w:style>
  <w:style w:type="character" w:customStyle="1" w:styleId="536">
    <w:name w:val="font41"/>
    <w:basedOn w:val="319"/>
    <w:qFormat/>
    <w:uiPriority w:val="0"/>
    <w:rPr>
      <w:rFonts w:hint="eastAsia" w:ascii="宋体" w:hAnsi="宋体" w:eastAsia="宋体" w:cs="宋体"/>
      <w:color w:val="FF0000"/>
      <w:sz w:val="22"/>
      <w:szCs w:val="22"/>
      <w:u w:val="none"/>
    </w:rPr>
  </w:style>
  <w:style w:type="paragraph" w:customStyle="1" w:styleId="537">
    <w:name w:val="Default"/>
    <w:basedOn w:val="538"/>
    <w:unhideWhenUsed/>
    <w:qFormat/>
    <w:uiPriority w:val="99"/>
    <w:pPr>
      <w:widowControl w:val="0"/>
      <w:adjustRightInd w:val="0"/>
    </w:pPr>
    <w:rPr>
      <w:rFonts w:hint="eastAsia" w:ascii="方正仿宋_GBK" w:hAnsi="方正仿宋_GBK" w:eastAsia="方正仿宋_GBK" w:cs="Times New Roman"/>
      <w:sz w:val="24"/>
      <w:szCs w:val="22"/>
      <w:lang w:eastAsia="zh-CN"/>
    </w:rPr>
  </w:style>
  <w:style w:type="paragraph" w:customStyle="1" w:styleId="538">
    <w:name w:val="纯文本1"/>
    <w:basedOn w:val="1"/>
    <w:next w:val="46"/>
    <w:qFormat/>
    <w:uiPriority w:val="0"/>
    <w:pPr>
      <w:adjustRightInd/>
      <w:snapToGrid/>
    </w:pPr>
    <w:rPr>
      <w:rFonts w:ascii="宋体" w:eastAsia="宋体" w:cs="黑体"/>
    </w:rPr>
  </w:style>
  <w:style w:type="character" w:customStyle="1" w:styleId="539">
    <w:name w:val="Default CharProp11"/>
    <w:qFormat/>
    <w:uiPriority w:val="99"/>
    <w:rPr>
      <w:rFonts w:hint="eastAsia" w:ascii="方正仿宋_GBK" w:hAnsi="方正仿宋_GBK" w:eastAsia="方正仿宋_GBK" w:cs="Times New Roman"/>
      <w:sz w:val="24"/>
      <w:szCs w:val="22"/>
      <w:lang w:eastAsia="zh-CN"/>
    </w:rPr>
  </w:style>
  <w:style w:type="character" w:customStyle="1" w:styleId="540">
    <w:name w:val="纯文本1 CharProp11"/>
    <w:uiPriority w:val="0"/>
    <w:rPr>
      <w:rFonts w:ascii="宋体" w:eastAsia="宋体" w:cs="黑体"/>
    </w:rPr>
  </w:style>
  <w:style w:type="character" w:customStyle="1" w:styleId="541">
    <w:name w:val="Default CharProp10"/>
    <w:qFormat/>
    <w:uiPriority w:val="99"/>
    <w:rPr>
      <w:rFonts w:hint="eastAsia" w:ascii="方正仿宋_GBK" w:hAnsi="方正仿宋_GBK" w:eastAsia="方正仿宋_GBK" w:cs="Times New Roman"/>
      <w:sz w:val="24"/>
      <w:szCs w:val="22"/>
      <w:lang w:eastAsia="zh-CN"/>
    </w:rPr>
  </w:style>
  <w:style w:type="character" w:customStyle="1" w:styleId="542">
    <w:name w:val="纯文本1 CharProp10"/>
    <w:qFormat/>
    <w:uiPriority w:val="0"/>
    <w:rPr>
      <w:rFonts w:ascii="宋体" w:eastAsia="宋体" w:cs="黑体"/>
    </w:rPr>
  </w:style>
  <w:style w:type="character" w:customStyle="1" w:styleId="543">
    <w:name w:val="Default CharProp9"/>
    <w:uiPriority w:val="99"/>
    <w:rPr>
      <w:rFonts w:hint="eastAsia" w:ascii="方正仿宋_GBK" w:hAnsi="方正仿宋_GBK" w:eastAsia="方正仿宋_GBK" w:cs="Times New Roman"/>
      <w:sz w:val="24"/>
      <w:szCs w:val="22"/>
      <w:lang w:eastAsia="zh-CN"/>
    </w:rPr>
  </w:style>
  <w:style w:type="character" w:customStyle="1" w:styleId="544">
    <w:name w:val="纯文本1 CharProp9"/>
    <w:uiPriority w:val="0"/>
    <w:rPr>
      <w:rFonts w:ascii="宋体" w:eastAsia="宋体" w:cs="黑体"/>
    </w:rPr>
  </w:style>
  <w:style w:type="character" w:customStyle="1" w:styleId="545">
    <w:name w:val="Default CharProp8"/>
    <w:uiPriority w:val="99"/>
    <w:rPr>
      <w:rFonts w:hint="eastAsia" w:ascii="方正仿宋_GBK" w:hAnsi="方正仿宋_GBK" w:eastAsia="方正仿宋_GBK" w:cs="Times New Roman"/>
      <w:sz w:val="24"/>
      <w:szCs w:val="22"/>
      <w:lang w:eastAsia="zh-CN"/>
    </w:rPr>
  </w:style>
  <w:style w:type="character" w:customStyle="1" w:styleId="546">
    <w:name w:val="纯文本1 CharProp8"/>
    <w:qFormat/>
    <w:uiPriority w:val="0"/>
    <w:rPr>
      <w:rFonts w:ascii="宋体" w:eastAsia="宋体" w:cs="黑体"/>
    </w:rPr>
  </w:style>
  <w:style w:type="character" w:customStyle="1" w:styleId="547">
    <w:name w:val="Default CharProp7"/>
    <w:qFormat/>
    <w:uiPriority w:val="99"/>
    <w:rPr>
      <w:rFonts w:hint="eastAsia" w:ascii="方正仿宋_GBK" w:hAnsi="方正仿宋_GBK" w:eastAsia="方正仿宋_GBK" w:cs="Times New Roman"/>
      <w:sz w:val="24"/>
      <w:szCs w:val="22"/>
      <w:lang w:eastAsia="zh-CN"/>
    </w:rPr>
  </w:style>
  <w:style w:type="character" w:customStyle="1" w:styleId="548">
    <w:name w:val="纯文本1 CharProp7"/>
    <w:qFormat/>
    <w:uiPriority w:val="0"/>
    <w:rPr>
      <w:rFonts w:ascii="宋体" w:eastAsia="宋体" w:cs="黑体"/>
    </w:rPr>
  </w:style>
  <w:style w:type="character" w:customStyle="1" w:styleId="549">
    <w:name w:val="Default CharProp6"/>
    <w:qFormat/>
    <w:uiPriority w:val="99"/>
    <w:rPr>
      <w:rFonts w:hint="eastAsia" w:ascii="方正仿宋_GBK" w:hAnsi="方正仿宋_GBK" w:eastAsia="方正仿宋_GBK" w:cs="Times New Roman"/>
      <w:sz w:val="24"/>
      <w:szCs w:val="22"/>
      <w:lang w:eastAsia="zh-CN"/>
    </w:rPr>
  </w:style>
  <w:style w:type="character" w:customStyle="1" w:styleId="550">
    <w:name w:val="纯文本1 CharProp6"/>
    <w:qFormat/>
    <w:uiPriority w:val="0"/>
    <w:rPr>
      <w:rFonts w:ascii="宋体" w:eastAsia="宋体" w:cs="黑体"/>
    </w:rPr>
  </w:style>
  <w:style w:type="character" w:customStyle="1" w:styleId="551">
    <w:name w:val="Default CharProp5"/>
    <w:qFormat/>
    <w:uiPriority w:val="99"/>
    <w:rPr>
      <w:rFonts w:hint="eastAsia" w:ascii="方正仿宋_GBK" w:hAnsi="方正仿宋_GBK" w:eastAsia="方正仿宋_GBK" w:cs="Times New Roman"/>
      <w:sz w:val="24"/>
      <w:szCs w:val="22"/>
      <w:lang w:eastAsia="zh-CN"/>
    </w:rPr>
  </w:style>
  <w:style w:type="character" w:customStyle="1" w:styleId="552">
    <w:name w:val="纯文本1 CharProp5"/>
    <w:qFormat/>
    <w:uiPriority w:val="0"/>
    <w:rPr>
      <w:rFonts w:ascii="宋体" w:eastAsia="宋体" w:cs="黑体"/>
    </w:rPr>
  </w:style>
  <w:style w:type="character" w:customStyle="1" w:styleId="553">
    <w:name w:val="Default CharProp4"/>
    <w:qFormat/>
    <w:uiPriority w:val="99"/>
    <w:rPr>
      <w:rFonts w:hint="eastAsia" w:ascii="方正仿宋_GBK" w:hAnsi="方正仿宋_GBK" w:eastAsia="方正仿宋_GBK" w:cs="Times New Roman"/>
      <w:sz w:val="24"/>
      <w:szCs w:val="22"/>
      <w:lang w:eastAsia="zh-CN"/>
    </w:rPr>
  </w:style>
  <w:style w:type="character" w:customStyle="1" w:styleId="554">
    <w:name w:val="纯文本1 CharProp4"/>
    <w:qFormat/>
    <w:uiPriority w:val="0"/>
    <w:rPr>
      <w:rFonts w:ascii="宋体" w:eastAsia="宋体" w:cs="黑体"/>
    </w:rPr>
  </w:style>
  <w:style w:type="character" w:customStyle="1" w:styleId="555">
    <w:name w:val="Default CharProp3"/>
    <w:qFormat/>
    <w:uiPriority w:val="99"/>
    <w:rPr>
      <w:rFonts w:hint="eastAsia" w:ascii="方正仿宋_GBK" w:hAnsi="方正仿宋_GBK" w:eastAsia="方正仿宋_GBK" w:cs="Times New Roman"/>
      <w:sz w:val="24"/>
      <w:szCs w:val="22"/>
      <w:lang w:eastAsia="zh-CN"/>
    </w:rPr>
  </w:style>
  <w:style w:type="character" w:customStyle="1" w:styleId="556">
    <w:name w:val="纯文本1 CharProp3"/>
    <w:qFormat/>
    <w:uiPriority w:val="0"/>
    <w:rPr>
      <w:rFonts w:ascii="宋体" w:eastAsia="宋体" w:cs="黑体"/>
    </w:rPr>
  </w:style>
  <w:style w:type="character" w:customStyle="1" w:styleId="557">
    <w:name w:val="Default CharProp2"/>
    <w:qFormat/>
    <w:uiPriority w:val="99"/>
    <w:rPr>
      <w:rFonts w:hint="eastAsia" w:ascii="方正仿宋_GBK" w:hAnsi="方正仿宋_GBK" w:eastAsia="方正仿宋_GBK" w:cs="Times New Roman"/>
      <w:sz w:val="24"/>
      <w:szCs w:val="22"/>
      <w:lang w:eastAsia="zh-CN"/>
    </w:rPr>
  </w:style>
  <w:style w:type="character" w:customStyle="1" w:styleId="558">
    <w:name w:val="纯文本1 CharProp2"/>
    <w:qFormat/>
    <w:uiPriority w:val="0"/>
    <w:rPr>
      <w:rFonts w:ascii="宋体" w:eastAsia="宋体" w:cs="黑体"/>
    </w:rPr>
  </w:style>
  <w:style w:type="character" w:customStyle="1" w:styleId="559">
    <w:name w:val="Default CharProp1"/>
    <w:qFormat/>
    <w:uiPriority w:val="99"/>
    <w:rPr>
      <w:rFonts w:hint="eastAsia" w:ascii="方正仿宋_GBK" w:hAnsi="方正仿宋_GBK" w:eastAsia="方正仿宋_GBK" w:cs="Times New Roman"/>
      <w:sz w:val="24"/>
      <w:szCs w:val="22"/>
      <w:lang w:eastAsia="zh-CN"/>
    </w:rPr>
  </w:style>
  <w:style w:type="character" w:customStyle="1" w:styleId="560">
    <w:name w:val="纯文本1 CharProp1"/>
    <w:qFormat/>
    <w:uiPriority w:val="0"/>
    <w:rPr>
      <w:rFonts w:ascii="宋体" w:eastAsia="宋体" w:cs="黑体"/>
    </w:rPr>
  </w:style>
  <w:style w:type="character" w:customStyle="1" w:styleId="561">
    <w:name w:val="Default CharProp"/>
    <w:qFormat/>
    <w:uiPriority w:val="99"/>
    <w:rPr>
      <w:rFonts w:hint="eastAsia" w:ascii="方正仿宋_GBK" w:hAnsi="方正仿宋_GBK" w:eastAsia="方正仿宋_GBK" w:cs="Times New Roman"/>
      <w:sz w:val="24"/>
      <w:szCs w:val="22"/>
      <w:lang w:eastAsia="zh-CN"/>
    </w:rPr>
  </w:style>
  <w:style w:type="character" w:customStyle="1" w:styleId="562">
    <w:name w:val="纯文本1 CharProp"/>
    <w:qFormat/>
    <w:uiPriority w:val="0"/>
    <w:rPr>
      <w:rFonts w:ascii="宋体" w:eastAsia="宋体" w:cs="黑体"/>
    </w:rPr>
  </w:style>
  <w:style w:type="paragraph" w:customStyle="1" w:styleId="563">
    <w:name w:val="p2"/>
    <w:basedOn w:val="1"/>
    <w:qFormat/>
    <w:uiPriority w:val="0"/>
    <w:rPr>
      <w:rFonts w:ascii=".AppleSystemUIFont" w:hAnsi=".AppleSystemUIFont" w:eastAsia="宋体" w:cs="宋体"/>
      <w:sz w:val="29"/>
      <w:szCs w:val="29"/>
    </w:rPr>
  </w:style>
  <w:style w:type="character" w:customStyle="1" w:styleId="564">
    <w:name w:val="p2 CharProp11"/>
    <w:qFormat/>
    <w:uiPriority w:val="0"/>
    <w:rPr>
      <w:rFonts w:ascii=".AppleSystemUIFont" w:hAnsi=".AppleSystemUIFont" w:eastAsia="宋体" w:cs="宋体"/>
      <w:sz w:val="29"/>
      <w:szCs w:val="29"/>
    </w:rPr>
  </w:style>
  <w:style w:type="character" w:customStyle="1" w:styleId="565">
    <w:name w:val="p2 CharProp10"/>
    <w:qFormat/>
    <w:uiPriority w:val="0"/>
    <w:rPr>
      <w:rFonts w:ascii=".AppleSystemUIFont" w:hAnsi=".AppleSystemUIFont" w:eastAsia="宋体" w:cs="宋体"/>
      <w:sz w:val="29"/>
      <w:szCs w:val="29"/>
    </w:rPr>
  </w:style>
  <w:style w:type="character" w:customStyle="1" w:styleId="566">
    <w:name w:val="p2 CharProp9"/>
    <w:qFormat/>
    <w:uiPriority w:val="0"/>
    <w:rPr>
      <w:rFonts w:ascii=".AppleSystemUIFont" w:hAnsi=".AppleSystemUIFont" w:eastAsia="宋体" w:cs="宋体"/>
      <w:sz w:val="29"/>
      <w:szCs w:val="29"/>
    </w:rPr>
  </w:style>
  <w:style w:type="character" w:customStyle="1" w:styleId="567">
    <w:name w:val="p2 CharProp8"/>
    <w:qFormat/>
    <w:uiPriority w:val="0"/>
    <w:rPr>
      <w:rFonts w:ascii=".AppleSystemUIFont" w:hAnsi=".AppleSystemUIFont" w:eastAsia="宋体" w:cs="宋体"/>
      <w:sz w:val="29"/>
      <w:szCs w:val="29"/>
    </w:rPr>
  </w:style>
  <w:style w:type="character" w:customStyle="1" w:styleId="568">
    <w:name w:val="p2 CharProp7"/>
    <w:qFormat/>
    <w:uiPriority w:val="0"/>
    <w:rPr>
      <w:rFonts w:ascii=".AppleSystemUIFont" w:hAnsi=".AppleSystemUIFont" w:eastAsia="宋体" w:cs="宋体"/>
      <w:sz w:val="29"/>
      <w:szCs w:val="29"/>
    </w:rPr>
  </w:style>
  <w:style w:type="character" w:customStyle="1" w:styleId="569">
    <w:name w:val="p2 CharProp6"/>
    <w:qFormat/>
    <w:uiPriority w:val="0"/>
    <w:rPr>
      <w:rFonts w:ascii=".AppleSystemUIFont" w:hAnsi=".AppleSystemUIFont" w:eastAsia="宋体" w:cs="宋体"/>
      <w:sz w:val="29"/>
      <w:szCs w:val="29"/>
    </w:rPr>
  </w:style>
  <w:style w:type="character" w:customStyle="1" w:styleId="570">
    <w:name w:val="p2 CharProp5"/>
    <w:qFormat/>
    <w:uiPriority w:val="0"/>
    <w:rPr>
      <w:rFonts w:ascii=".AppleSystemUIFont" w:hAnsi=".AppleSystemUIFont" w:eastAsia="宋体" w:cs="宋体"/>
      <w:sz w:val="29"/>
      <w:szCs w:val="29"/>
    </w:rPr>
  </w:style>
  <w:style w:type="character" w:customStyle="1" w:styleId="571">
    <w:name w:val="p2 CharProp4"/>
    <w:qFormat/>
    <w:uiPriority w:val="0"/>
    <w:rPr>
      <w:rFonts w:ascii=".AppleSystemUIFont" w:hAnsi=".AppleSystemUIFont" w:eastAsia="宋体" w:cs="宋体"/>
      <w:sz w:val="29"/>
      <w:szCs w:val="29"/>
    </w:rPr>
  </w:style>
  <w:style w:type="character" w:customStyle="1" w:styleId="572">
    <w:name w:val="p2 CharProp3"/>
    <w:qFormat/>
    <w:uiPriority w:val="0"/>
    <w:rPr>
      <w:rFonts w:ascii=".AppleSystemUIFont" w:hAnsi=".AppleSystemUIFont" w:eastAsia="宋体" w:cs="宋体"/>
      <w:sz w:val="29"/>
      <w:szCs w:val="29"/>
    </w:rPr>
  </w:style>
  <w:style w:type="character" w:customStyle="1" w:styleId="573">
    <w:name w:val="p2 CharProp2"/>
    <w:qFormat/>
    <w:uiPriority w:val="0"/>
    <w:rPr>
      <w:rFonts w:ascii=".AppleSystemUIFont" w:hAnsi=".AppleSystemUIFont" w:eastAsia="宋体" w:cs="宋体"/>
      <w:sz w:val="29"/>
      <w:szCs w:val="29"/>
    </w:rPr>
  </w:style>
  <w:style w:type="character" w:customStyle="1" w:styleId="574">
    <w:name w:val="p2 CharProp1"/>
    <w:qFormat/>
    <w:uiPriority w:val="0"/>
    <w:rPr>
      <w:rFonts w:ascii=".AppleSystemUIFont" w:hAnsi=".AppleSystemUIFont" w:eastAsia="宋体" w:cs="宋体"/>
      <w:sz w:val="29"/>
      <w:szCs w:val="29"/>
    </w:rPr>
  </w:style>
  <w:style w:type="character" w:customStyle="1" w:styleId="575">
    <w:name w:val="p2 CharProp"/>
    <w:qFormat/>
    <w:uiPriority w:val="0"/>
    <w:rPr>
      <w:rFonts w:ascii=".AppleSystemUIFont" w:hAnsi=".AppleSystemUIFont" w:eastAsia="宋体" w:cs="宋体"/>
      <w:sz w:val="29"/>
      <w:szCs w:val="29"/>
    </w:rPr>
  </w:style>
  <w:style w:type="character" w:customStyle="1" w:styleId="576">
    <w:name w:val="s2"/>
    <w:basedOn w:val="319"/>
    <w:qFormat/>
    <w:uiPriority w:val="0"/>
    <w:rPr>
      <w:rFonts w:hint="default" w:ascii="UICTFontTextStyleBody" w:hAnsi="UICTFontTextStyleBody"/>
      <w:sz w:val="29"/>
      <w:szCs w:val="29"/>
    </w:rPr>
  </w:style>
  <w:style w:type="character" w:customStyle="1" w:styleId="577">
    <w:name w:val="s3"/>
    <w:basedOn w:val="319"/>
    <w:qFormat/>
    <w:uiPriority w:val="0"/>
    <w:rPr>
      <w:rFonts w:hint="default" w:ascii="UICTFontTextStyleEmphasizedBody" w:hAnsi="UICTFontTextStyleEmphasizedBody"/>
      <w:b/>
      <w:bCs/>
      <w:sz w:val="29"/>
      <w:szCs w:val="29"/>
    </w:rPr>
  </w:style>
  <w:style w:type="paragraph" w:customStyle="1" w:styleId="578">
    <w:name w:val="p3"/>
    <w:basedOn w:val="1"/>
    <w:qFormat/>
    <w:uiPriority w:val="0"/>
    <w:rPr>
      <w:rFonts w:ascii=".AppleSystemUIFont" w:hAnsi=".AppleSystemUIFont" w:eastAsia="宋体" w:cs="宋体"/>
      <w:sz w:val="29"/>
      <w:szCs w:val="29"/>
    </w:rPr>
  </w:style>
  <w:style w:type="character" w:customStyle="1" w:styleId="579">
    <w:name w:val="p3 CharProp11"/>
    <w:qFormat/>
    <w:uiPriority w:val="0"/>
    <w:rPr>
      <w:rFonts w:ascii=".AppleSystemUIFont" w:hAnsi=".AppleSystemUIFont" w:eastAsia="宋体" w:cs="宋体"/>
      <w:sz w:val="29"/>
      <w:szCs w:val="29"/>
    </w:rPr>
  </w:style>
  <w:style w:type="character" w:customStyle="1" w:styleId="580">
    <w:name w:val="p3 CharProp10"/>
    <w:qFormat/>
    <w:uiPriority w:val="0"/>
    <w:rPr>
      <w:rFonts w:ascii=".AppleSystemUIFont" w:hAnsi=".AppleSystemUIFont" w:eastAsia="宋体" w:cs="宋体"/>
      <w:sz w:val="29"/>
      <w:szCs w:val="29"/>
    </w:rPr>
  </w:style>
  <w:style w:type="character" w:customStyle="1" w:styleId="581">
    <w:name w:val="p3 CharProp9"/>
    <w:qFormat/>
    <w:uiPriority w:val="0"/>
    <w:rPr>
      <w:rFonts w:ascii=".AppleSystemUIFont" w:hAnsi=".AppleSystemUIFont" w:eastAsia="宋体" w:cs="宋体"/>
      <w:sz w:val="29"/>
      <w:szCs w:val="29"/>
    </w:rPr>
  </w:style>
  <w:style w:type="character" w:customStyle="1" w:styleId="582">
    <w:name w:val="p3 CharProp8"/>
    <w:qFormat/>
    <w:uiPriority w:val="0"/>
    <w:rPr>
      <w:rFonts w:ascii=".AppleSystemUIFont" w:hAnsi=".AppleSystemUIFont" w:eastAsia="宋体" w:cs="宋体"/>
      <w:sz w:val="29"/>
      <w:szCs w:val="29"/>
    </w:rPr>
  </w:style>
  <w:style w:type="character" w:customStyle="1" w:styleId="583">
    <w:name w:val="p3 CharProp7"/>
    <w:qFormat/>
    <w:uiPriority w:val="0"/>
    <w:rPr>
      <w:rFonts w:ascii=".AppleSystemUIFont" w:hAnsi=".AppleSystemUIFont" w:eastAsia="宋体" w:cs="宋体"/>
      <w:sz w:val="29"/>
      <w:szCs w:val="29"/>
    </w:rPr>
  </w:style>
  <w:style w:type="character" w:customStyle="1" w:styleId="584">
    <w:name w:val="p3 CharProp6"/>
    <w:qFormat/>
    <w:uiPriority w:val="0"/>
    <w:rPr>
      <w:rFonts w:ascii=".AppleSystemUIFont" w:hAnsi=".AppleSystemUIFont" w:eastAsia="宋体" w:cs="宋体"/>
      <w:sz w:val="29"/>
      <w:szCs w:val="29"/>
    </w:rPr>
  </w:style>
  <w:style w:type="character" w:customStyle="1" w:styleId="585">
    <w:name w:val="p3 CharProp5"/>
    <w:qFormat/>
    <w:uiPriority w:val="0"/>
    <w:rPr>
      <w:rFonts w:ascii=".AppleSystemUIFont" w:hAnsi=".AppleSystemUIFont" w:eastAsia="宋体" w:cs="宋体"/>
      <w:sz w:val="29"/>
      <w:szCs w:val="29"/>
    </w:rPr>
  </w:style>
  <w:style w:type="character" w:customStyle="1" w:styleId="586">
    <w:name w:val="p3 CharProp4"/>
    <w:qFormat/>
    <w:uiPriority w:val="0"/>
    <w:rPr>
      <w:rFonts w:ascii=".AppleSystemUIFont" w:hAnsi=".AppleSystemUIFont" w:eastAsia="宋体" w:cs="宋体"/>
      <w:sz w:val="29"/>
      <w:szCs w:val="29"/>
    </w:rPr>
  </w:style>
  <w:style w:type="character" w:customStyle="1" w:styleId="587">
    <w:name w:val="p3 CharProp3"/>
    <w:qFormat/>
    <w:uiPriority w:val="0"/>
    <w:rPr>
      <w:rFonts w:ascii=".AppleSystemUIFont" w:hAnsi=".AppleSystemUIFont" w:eastAsia="宋体" w:cs="宋体"/>
      <w:sz w:val="29"/>
      <w:szCs w:val="29"/>
    </w:rPr>
  </w:style>
  <w:style w:type="character" w:customStyle="1" w:styleId="588">
    <w:name w:val="p3 CharProp2"/>
    <w:qFormat/>
    <w:uiPriority w:val="0"/>
    <w:rPr>
      <w:rFonts w:ascii=".AppleSystemUIFont" w:hAnsi=".AppleSystemUIFont" w:eastAsia="宋体" w:cs="宋体"/>
      <w:sz w:val="29"/>
      <w:szCs w:val="29"/>
    </w:rPr>
  </w:style>
  <w:style w:type="character" w:customStyle="1" w:styleId="589">
    <w:name w:val="p3 CharProp1"/>
    <w:qFormat/>
    <w:uiPriority w:val="0"/>
    <w:rPr>
      <w:rFonts w:ascii=".AppleSystemUIFont" w:hAnsi=".AppleSystemUIFont" w:eastAsia="宋体" w:cs="宋体"/>
      <w:sz w:val="29"/>
      <w:szCs w:val="29"/>
    </w:rPr>
  </w:style>
  <w:style w:type="character" w:customStyle="1" w:styleId="590">
    <w:name w:val="p3 CharProp"/>
    <w:qFormat/>
    <w:uiPriority w:val="0"/>
    <w:rPr>
      <w:rFonts w:ascii=".AppleSystemUIFont" w:hAnsi=".AppleSystemUIFont" w:eastAsia="宋体" w:cs="宋体"/>
      <w:sz w:val="29"/>
      <w:szCs w:val="29"/>
    </w:rPr>
  </w:style>
  <w:style w:type="paragraph" w:customStyle="1" w:styleId="591">
    <w:name w:val="li2"/>
    <w:basedOn w:val="1"/>
    <w:qFormat/>
    <w:uiPriority w:val="0"/>
    <w:rPr>
      <w:rFonts w:ascii=".AppleSystemUIFont" w:hAnsi=".AppleSystemUIFont" w:eastAsia="宋体" w:cs="宋体"/>
      <w:sz w:val="29"/>
      <w:szCs w:val="29"/>
    </w:rPr>
  </w:style>
  <w:style w:type="character" w:customStyle="1" w:styleId="592">
    <w:name w:val="li2 CharProp11"/>
    <w:qFormat/>
    <w:uiPriority w:val="0"/>
    <w:rPr>
      <w:rFonts w:ascii=".AppleSystemUIFont" w:hAnsi=".AppleSystemUIFont" w:eastAsia="宋体" w:cs="宋体"/>
      <w:sz w:val="29"/>
      <w:szCs w:val="29"/>
    </w:rPr>
  </w:style>
  <w:style w:type="character" w:customStyle="1" w:styleId="593">
    <w:name w:val="li2 CharProp10"/>
    <w:qFormat/>
    <w:uiPriority w:val="0"/>
    <w:rPr>
      <w:rFonts w:ascii=".AppleSystemUIFont" w:hAnsi=".AppleSystemUIFont" w:eastAsia="宋体" w:cs="宋体"/>
      <w:sz w:val="29"/>
      <w:szCs w:val="29"/>
    </w:rPr>
  </w:style>
  <w:style w:type="character" w:customStyle="1" w:styleId="594">
    <w:name w:val="li2 CharProp9"/>
    <w:qFormat/>
    <w:uiPriority w:val="0"/>
    <w:rPr>
      <w:rFonts w:ascii=".AppleSystemUIFont" w:hAnsi=".AppleSystemUIFont" w:eastAsia="宋体" w:cs="宋体"/>
      <w:sz w:val="29"/>
      <w:szCs w:val="29"/>
    </w:rPr>
  </w:style>
  <w:style w:type="character" w:customStyle="1" w:styleId="595">
    <w:name w:val="li2 CharProp8"/>
    <w:qFormat/>
    <w:uiPriority w:val="0"/>
    <w:rPr>
      <w:rFonts w:ascii=".AppleSystemUIFont" w:hAnsi=".AppleSystemUIFont" w:eastAsia="宋体" w:cs="宋体"/>
      <w:sz w:val="29"/>
      <w:szCs w:val="29"/>
    </w:rPr>
  </w:style>
  <w:style w:type="character" w:customStyle="1" w:styleId="596">
    <w:name w:val="li2 CharProp7"/>
    <w:qFormat/>
    <w:uiPriority w:val="0"/>
    <w:rPr>
      <w:rFonts w:ascii=".AppleSystemUIFont" w:hAnsi=".AppleSystemUIFont" w:eastAsia="宋体" w:cs="宋体"/>
      <w:sz w:val="29"/>
      <w:szCs w:val="29"/>
    </w:rPr>
  </w:style>
  <w:style w:type="character" w:customStyle="1" w:styleId="597">
    <w:name w:val="li2 CharProp6"/>
    <w:qFormat/>
    <w:uiPriority w:val="0"/>
    <w:rPr>
      <w:rFonts w:ascii=".AppleSystemUIFont" w:hAnsi=".AppleSystemUIFont" w:eastAsia="宋体" w:cs="宋体"/>
      <w:sz w:val="29"/>
      <w:szCs w:val="29"/>
    </w:rPr>
  </w:style>
  <w:style w:type="character" w:customStyle="1" w:styleId="598">
    <w:name w:val="li2 CharProp5"/>
    <w:qFormat/>
    <w:uiPriority w:val="0"/>
    <w:rPr>
      <w:rFonts w:ascii=".AppleSystemUIFont" w:hAnsi=".AppleSystemUIFont" w:eastAsia="宋体" w:cs="宋体"/>
      <w:sz w:val="29"/>
      <w:szCs w:val="29"/>
    </w:rPr>
  </w:style>
  <w:style w:type="character" w:customStyle="1" w:styleId="599">
    <w:name w:val="li2 CharProp4"/>
    <w:qFormat/>
    <w:uiPriority w:val="0"/>
    <w:rPr>
      <w:rFonts w:ascii=".AppleSystemUIFont" w:hAnsi=".AppleSystemUIFont" w:eastAsia="宋体" w:cs="宋体"/>
      <w:sz w:val="29"/>
      <w:szCs w:val="29"/>
    </w:rPr>
  </w:style>
  <w:style w:type="character" w:customStyle="1" w:styleId="600">
    <w:name w:val="li2 CharProp3"/>
    <w:qFormat/>
    <w:uiPriority w:val="0"/>
    <w:rPr>
      <w:rFonts w:ascii=".AppleSystemUIFont" w:hAnsi=".AppleSystemUIFont" w:eastAsia="宋体" w:cs="宋体"/>
      <w:sz w:val="29"/>
      <w:szCs w:val="29"/>
    </w:rPr>
  </w:style>
  <w:style w:type="character" w:customStyle="1" w:styleId="601">
    <w:name w:val="li2 CharProp2"/>
    <w:qFormat/>
    <w:uiPriority w:val="0"/>
    <w:rPr>
      <w:rFonts w:ascii=".AppleSystemUIFont" w:hAnsi=".AppleSystemUIFont" w:eastAsia="宋体" w:cs="宋体"/>
      <w:sz w:val="29"/>
      <w:szCs w:val="29"/>
    </w:rPr>
  </w:style>
  <w:style w:type="character" w:customStyle="1" w:styleId="602">
    <w:name w:val="li2 CharProp1"/>
    <w:qFormat/>
    <w:uiPriority w:val="0"/>
    <w:rPr>
      <w:rFonts w:ascii=".AppleSystemUIFont" w:hAnsi=".AppleSystemUIFont" w:eastAsia="宋体" w:cs="宋体"/>
      <w:sz w:val="29"/>
      <w:szCs w:val="29"/>
    </w:rPr>
  </w:style>
  <w:style w:type="character" w:customStyle="1" w:styleId="603">
    <w:name w:val="li2 CharProp"/>
    <w:qFormat/>
    <w:uiPriority w:val="0"/>
    <w:rPr>
      <w:rFonts w:ascii=".AppleSystemUIFont" w:hAnsi=".AppleSystemUIFont" w:eastAsia="宋体" w:cs="宋体"/>
      <w:sz w:val="29"/>
      <w:szCs w:val="29"/>
    </w:rPr>
  </w:style>
  <w:style w:type="paragraph" w:customStyle="1" w:styleId="604">
    <w:name w:val="WPSOffice手动目录 1"/>
    <w:qFormat/>
    <w:uiPriority w:val="0"/>
    <w:rPr>
      <w:rFonts w:ascii="Times New Roman" w:hAnsi="Times New Roman" w:eastAsia="宋体" w:cs="Times New Roman"/>
      <w:lang w:val="en-US" w:eastAsia="zh-CN" w:bidi="ar-SA"/>
    </w:rPr>
  </w:style>
  <w:style w:type="character" w:customStyle="1" w:styleId="605">
    <w:name w:val="WPSOffice手动目录 1 CharProp11"/>
    <w:qFormat/>
    <w:uiPriority w:val="0"/>
    <w:rPr>
      <w:rFonts w:ascii="Times New Roman" w:hAnsi="Times New Roman" w:eastAsia="宋体" w:cs="Times New Roman"/>
      <w:lang w:val="en-US" w:eastAsia="zh-CN" w:bidi="ar-SA"/>
    </w:rPr>
  </w:style>
  <w:style w:type="character" w:customStyle="1" w:styleId="606">
    <w:name w:val="WPSOffice手动目录 1 CharProp10"/>
    <w:qFormat/>
    <w:uiPriority w:val="0"/>
    <w:rPr>
      <w:rFonts w:ascii="Times New Roman" w:hAnsi="Times New Roman" w:eastAsia="宋体" w:cs="Times New Roman"/>
      <w:lang w:val="en-US" w:eastAsia="zh-CN" w:bidi="ar-SA"/>
    </w:rPr>
  </w:style>
  <w:style w:type="character" w:customStyle="1" w:styleId="607">
    <w:name w:val="WPSOffice手动目录 1 CharProp9"/>
    <w:qFormat/>
    <w:uiPriority w:val="0"/>
    <w:rPr>
      <w:rFonts w:ascii="Times New Roman" w:hAnsi="Times New Roman" w:eastAsia="宋体" w:cs="Times New Roman"/>
      <w:lang w:val="en-US" w:eastAsia="zh-CN" w:bidi="ar-SA"/>
    </w:rPr>
  </w:style>
  <w:style w:type="character" w:customStyle="1" w:styleId="608">
    <w:name w:val="WPSOffice手动目录 1 CharProp8"/>
    <w:uiPriority w:val="0"/>
    <w:rPr>
      <w:rFonts w:ascii="Times New Roman" w:hAnsi="Times New Roman" w:eastAsia="宋体" w:cs="Times New Roman"/>
      <w:lang w:val="en-US" w:eastAsia="zh-CN" w:bidi="ar-SA"/>
    </w:rPr>
  </w:style>
  <w:style w:type="character" w:customStyle="1" w:styleId="609">
    <w:name w:val="WPSOffice手动目录 1 CharProp7"/>
    <w:qFormat/>
    <w:uiPriority w:val="0"/>
    <w:rPr>
      <w:rFonts w:ascii="Times New Roman" w:hAnsi="Times New Roman" w:eastAsia="宋体" w:cs="Times New Roman"/>
      <w:lang w:val="en-US" w:eastAsia="zh-CN" w:bidi="ar-SA"/>
    </w:rPr>
  </w:style>
  <w:style w:type="character" w:customStyle="1" w:styleId="610">
    <w:name w:val="WPSOffice手动目录 1 CharProp6"/>
    <w:qFormat/>
    <w:uiPriority w:val="0"/>
    <w:rPr>
      <w:rFonts w:ascii="Times New Roman" w:hAnsi="Times New Roman" w:eastAsia="宋体" w:cs="Times New Roman"/>
      <w:lang w:val="en-US" w:eastAsia="zh-CN" w:bidi="ar-SA"/>
    </w:rPr>
  </w:style>
  <w:style w:type="character" w:customStyle="1" w:styleId="611">
    <w:name w:val="WPSOffice手动目录 1 CharProp5"/>
    <w:qFormat/>
    <w:uiPriority w:val="0"/>
    <w:rPr>
      <w:rFonts w:ascii="Times New Roman" w:hAnsi="Times New Roman" w:eastAsia="宋体" w:cs="Times New Roman"/>
      <w:lang w:val="en-US" w:eastAsia="zh-CN" w:bidi="ar-SA"/>
    </w:rPr>
  </w:style>
  <w:style w:type="character" w:customStyle="1" w:styleId="612">
    <w:name w:val="WPSOffice手动目录 1 CharProp4"/>
    <w:qFormat/>
    <w:uiPriority w:val="0"/>
    <w:rPr>
      <w:rFonts w:ascii="Times New Roman" w:hAnsi="Times New Roman" w:eastAsia="宋体" w:cs="Times New Roman"/>
      <w:lang w:val="en-US" w:eastAsia="zh-CN" w:bidi="ar-SA"/>
    </w:rPr>
  </w:style>
  <w:style w:type="character" w:customStyle="1" w:styleId="613">
    <w:name w:val="WPSOffice手动目录 1 CharProp3"/>
    <w:qFormat/>
    <w:uiPriority w:val="0"/>
    <w:rPr>
      <w:rFonts w:ascii="Times New Roman" w:hAnsi="Times New Roman" w:eastAsia="宋体" w:cs="Times New Roman"/>
      <w:lang w:val="en-US" w:eastAsia="zh-CN" w:bidi="ar-SA"/>
    </w:rPr>
  </w:style>
  <w:style w:type="character" w:customStyle="1" w:styleId="614">
    <w:name w:val="WPSOffice手动目录 1 CharProp2"/>
    <w:qFormat/>
    <w:uiPriority w:val="0"/>
    <w:rPr>
      <w:rFonts w:ascii="Times New Roman" w:hAnsi="Times New Roman" w:eastAsia="宋体" w:cs="Times New Roman"/>
      <w:lang w:val="en-US" w:eastAsia="zh-CN" w:bidi="ar-SA"/>
    </w:rPr>
  </w:style>
  <w:style w:type="character" w:customStyle="1" w:styleId="615">
    <w:name w:val="WPSOffice手动目录 1 CharProp1"/>
    <w:qFormat/>
    <w:uiPriority w:val="0"/>
    <w:rPr>
      <w:rFonts w:ascii="Times New Roman" w:hAnsi="Times New Roman" w:eastAsia="宋体" w:cs="Times New Roman"/>
      <w:lang w:val="en-US" w:eastAsia="zh-CN" w:bidi="ar-SA"/>
    </w:rPr>
  </w:style>
  <w:style w:type="character" w:customStyle="1" w:styleId="616">
    <w:name w:val="WPSOffice手动目录 1 CharProp"/>
    <w:qFormat/>
    <w:uiPriority w:val="0"/>
    <w:rPr>
      <w:rFonts w:ascii="Times New Roman" w:hAnsi="Times New Roman" w:eastAsia="宋体" w:cs="Times New Roman"/>
      <w:lang w:val="en-US" w:eastAsia="zh-CN" w:bidi="ar-SA"/>
    </w:rPr>
  </w:style>
  <w:style w:type="paragraph" w:customStyle="1" w:styleId="617">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618">
    <w:name w:val="WPSOffice手动目录 2 CharProp11"/>
    <w:qFormat/>
    <w:uiPriority w:val="0"/>
    <w:rPr>
      <w:rFonts w:ascii="Times New Roman" w:hAnsi="Times New Roman" w:eastAsia="宋体" w:cs="Times New Roman"/>
      <w:lang w:val="en-US" w:eastAsia="zh-CN" w:bidi="ar-SA"/>
    </w:rPr>
  </w:style>
  <w:style w:type="character" w:customStyle="1" w:styleId="619">
    <w:name w:val="WPSOffice手动目录 2 CharProp10"/>
    <w:qFormat/>
    <w:uiPriority w:val="0"/>
    <w:rPr>
      <w:rFonts w:ascii="Times New Roman" w:hAnsi="Times New Roman" w:eastAsia="宋体" w:cs="Times New Roman"/>
      <w:lang w:val="en-US" w:eastAsia="zh-CN" w:bidi="ar-SA"/>
    </w:rPr>
  </w:style>
  <w:style w:type="character" w:customStyle="1" w:styleId="620">
    <w:name w:val="WPSOffice手动目录 2 CharProp9"/>
    <w:qFormat/>
    <w:uiPriority w:val="0"/>
    <w:rPr>
      <w:rFonts w:ascii="Times New Roman" w:hAnsi="Times New Roman" w:eastAsia="宋体" w:cs="Times New Roman"/>
      <w:lang w:val="en-US" w:eastAsia="zh-CN" w:bidi="ar-SA"/>
    </w:rPr>
  </w:style>
  <w:style w:type="character" w:customStyle="1" w:styleId="621">
    <w:name w:val="WPSOffice手动目录 2 CharProp8"/>
    <w:qFormat/>
    <w:uiPriority w:val="0"/>
    <w:rPr>
      <w:rFonts w:ascii="Times New Roman" w:hAnsi="Times New Roman" w:eastAsia="宋体" w:cs="Times New Roman"/>
      <w:lang w:val="en-US" w:eastAsia="zh-CN" w:bidi="ar-SA"/>
    </w:rPr>
  </w:style>
  <w:style w:type="character" w:customStyle="1" w:styleId="622">
    <w:name w:val="WPSOffice手动目录 2 CharProp7"/>
    <w:qFormat/>
    <w:uiPriority w:val="0"/>
    <w:rPr>
      <w:rFonts w:ascii="Times New Roman" w:hAnsi="Times New Roman" w:eastAsia="宋体" w:cs="Times New Roman"/>
      <w:lang w:val="en-US" w:eastAsia="zh-CN" w:bidi="ar-SA"/>
    </w:rPr>
  </w:style>
  <w:style w:type="character" w:customStyle="1" w:styleId="623">
    <w:name w:val="WPSOffice手动目录 2 CharProp6"/>
    <w:uiPriority w:val="0"/>
    <w:rPr>
      <w:rFonts w:ascii="Times New Roman" w:hAnsi="Times New Roman" w:eastAsia="宋体" w:cs="Times New Roman"/>
      <w:lang w:val="en-US" w:eastAsia="zh-CN" w:bidi="ar-SA"/>
    </w:rPr>
  </w:style>
  <w:style w:type="character" w:customStyle="1" w:styleId="624">
    <w:name w:val="WPSOffice手动目录 2 CharProp5"/>
    <w:qFormat/>
    <w:uiPriority w:val="0"/>
    <w:rPr>
      <w:rFonts w:ascii="Times New Roman" w:hAnsi="Times New Roman" w:eastAsia="宋体" w:cs="Times New Roman"/>
      <w:lang w:val="en-US" w:eastAsia="zh-CN" w:bidi="ar-SA"/>
    </w:rPr>
  </w:style>
  <w:style w:type="character" w:customStyle="1" w:styleId="625">
    <w:name w:val="WPSOffice手动目录 2 CharProp4"/>
    <w:qFormat/>
    <w:uiPriority w:val="0"/>
    <w:rPr>
      <w:rFonts w:ascii="Times New Roman" w:hAnsi="Times New Roman" w:eastAsia="宋体" w:cs="Times New Roman"/>
      <w:lang w:val="en-US" w:eastAsia="zh-CN" w:bidi="ar-SA"/>
    </w:rPr>
  </w:style>
  <w:style w:type="character" w:customStyle="1" w:styleId="626">
    <w:name w:val="WPSOffice手动目录 2 CharProp3"/>
    <w:qFormat/>
    <w:uiPriority w:val="0"/>
    <w:rPr>
      <w:rFonts w:ascii="Times New Roman" w:hAnsi="Times New Roman" w:eastAsia="宋体" w:cs="Times New Roman"/>
      <w:lang w:val="en-US" w:eastAsia="zh-CN" w:bidi="ar-SA"/>
    </w:rPr>
  </w:style>
  <w:style w:type="character" w:customStyle="1" w:styleId="627">
    <w:name w:val="WPSOffice手动目录 2 CharProp2"/>
    <w:qFormat/>
    <w:uiPriority w:val="0"/>
    <w:rPr>
      <w:rFonts w:ascii="Times New Roman" w:hAnsi="Times New Roman" w:eastAsia="宋体" w:cs="Times New Roman"/>
      <w:lang w:val="en-US" w:eastAsia="zh-CN" w:bidi="ar-SA"/>
    </w:rPr>
  </w:style>
  <w:style w:type="character" w:customStyle="1" w:styleId="628">
    <w:name w:val="WPSOffice手动目录 2 CharProp1"/>
    <w:qFormat/>
    <w:uiPriority w:val="0"/>
    <w:rPr>
      <w:rFonts w:ascii="Times New Roman" w:hAnsi="Times New Roman" w:eastAsia="宋体" w:cs="Times New Roman"/>
      <w:lang w:val="en-US" w:eastAsia="zh-CN" w:bidi="ar-SA"/>
    </w:rPr>
  </w:style>
  <w:style w:type="character" w:customStyle="1" w:styleId="629">
    <w:name w:val="WPSOffice手动目录 2 CharProp"/>
    <w:qFormat/>
    <w:uiPriority w:val="0"/>
    <w:rPr>
      <w:rFonts w:ascii="Times New Roman" w:hAnsi="Times New Roman" w:eastAsia="宋体" w:cs="Times New Roman"/>
      <w:lang w:val="en-US" w:eastAsia="zh-CN" w:bidi="ar-SA"/>
    </w:rPr>
  </w:style>
  <w:style w:type="paragraph" w:customStyle="1" w:styleId="630">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631">
    <w:name w:val="WPSOffice手动目录 3 CharProp11"/>
    <w:qFormat/>
    <w:uiPriority w:val="0"/>
    <w:rPr>
      <w:rFonts w:ascii="Times New Roman" w:hAnsi="Times New Roman" w:eastAsia="宋体" w:cs="Times New Roman"/>
      <w:lang w:val="en-US" w:eastAsia="zh-CN" w:bidi="ar-SA"/>
    </w:rPr>
  </w:style>
  <w:style w:type="character" w:customStyle="1" w:styleId="632">
    <w:name w:val="WPSOffice手动目录 3 CharProp10"/>
    <w:qFormat/>
    <w:uiPriority w:val="0"/>
    <w:rPr>
      <w:rFonts w:ascii="Times New Roman" w:hAnsi="Times New Roman" w:eastAsia="宋体" w:cs="Times New Roman"/>
      <w:lang w:val="en-US" w:eastAsia="zh-CN" w:bidi="ar-SA"/>
    </w:rPr>
  </w:style>
  <w:style w:type="character" w:customStyle="1" w:styleId="633">
    <w:name w:val="WPSOffice手动目录 3 CharProp9"/>
    <w:qFormat/>
    <w:uiPriority w:val="0"/>
    <w:rPr>
      <w:rFonts w:ascii="Times New Roman" w:hAnsi="Times New Roman" w:eastAsia="宋体" w:cs="Times New Roman"/>
      <w:lang w:val="en-US" w:eastAsia="zh-CN" w:bidi="ar-SA"/>
    </w:rPr>
  </w:style>
  <w:style w:type="character" w:customStyle="1" w:styleId="634">
    <w:name w:val="WPSOffice手动目录 3 CharProp8"/>
    <w:qFormat/>
    <w:uiPriority w:val="0"/>
    <w:rPr>
      <w:rFonts w:ascii="Times New Roman" w:hAnsi="Times New Roman" w:eastAsia="宋体" w:cs="Times New Roman"/>
      <w:lang w:val="en-US" w:eastAsia="zh-CN" w:bidi="ar-SA"/>
    </w:rPr>
  </w:style>
  <w:style w:type="character" w:customStyle="1" w:styleId="635">
    <w:name w:val="WPSOffice手动目录 3 CharProp7"/>
    <w:qFormat/>
    <w:uiPriority w:val="0"/>
    <w:rPr>
      <w:rFonts w:ascii="Times New Roman" w:hAnsi="Times New Roman" w:eastAsia="宋体" w:cs="Times New Roman"/>
      <w:lang w:val="en-US" w:eastAsia="zh-CN" w:bidi="ar-SA"/>
    </w:rPr>
  </w:style>
  <w:style w:type="character" w:customStyle="1" w:styleId="636">
    <w:name w:val="WPSOffice手动目录 3 CharProp6"/>
    <w:qFormat/>
    <w:uiPriority w:val="0"/>
    <w:rPr>
      <w:rFonts w:ascii="Times New Roman" w:hAnsi="Times New Roman" w:eastAsia="宋体" w:cs="Times New Roman"/>
      <w:lang w:val="en-US" w:eastAsia="zh-CN" w:bidi="ar-SA"/>
    </w:rPr>
  </w:style>
  <w:style w:type="character" w:customStyle="1" w:styleId="637">
    <w:name w:val="WPSOffice手动目录 3 CharProp5"/>
    <w:qFormat/>
    <w:uiPriority w:val="0"/>
    <w:rPr>
      <w:rFonts w:ascii="Times New Roman" w:hAnsi="Times New Roman" w:eastAsia="宋体" w:cs="Times New Roman"/>
      <w:lang w:val="en-US" w:eastAsia="zh-CN" w:bidi="ar-SA"/>
    </w:rPr>
  </w:style>
  <w:style w:type="character" w:customStyle="1" w:styleId="638">
    <w:name w:val="WPSOffice手动目录 3 CharProp4"/>
    <w:qFormat/>
    <w:uiPriority w:val="0"/>
    <w:rPr>
      <w:rFonts w:ascii="Times New Roman" w:hAnsi="Times New Roman" w:eastAsia="宋体" w:cs="Times New Roman"/>
      <w:lang w:val="en-US" w:eastAsia="zh-CN" w:bidi="ar-SA"/>
    </w:rPr>
  </w:style>
  <w:style w:type="character" w:customStyle="1" w:styleId="639">
    <w:name w:val="WPSOffice手动目录 3 CharProp3"/>
    <w:qFormat/>
    <w:uiPriority w:val="0"/>
    <w:rPr>
      <w:rFonts w:ascii="Times New Roman" w:hAnsi="Times New Roman" w:eastAsia="宋体" w:cs="Times New Roman"/>
      <w:lang w:val="en-US" w:eastAsia="zh-CN" w:bidi="ar-SA"/>
    </w:rPr>
  </w:style>
  <w:style w:type="character" w:customStyle="1" w:styleId="640">
    <w:name w:val="WPSOffice手动目录 3 CharProp2"/>
    <w:qFormat/>
    <w:uiPriority w:val="0"/>
    <w:rPr>
      <w:rFonts w:ascii="Times New Roman" w:hAnsi="Times New Roman" w:eastAsia="宋体" w:cs="Times New Roman"/>
      <w:lang w:val="en-US" w:eastAsia="zh-CN" w:bidi="ar-SA"/>
    </w:rPr>
  </w:style>
  <w:style w:type="character" w:customStyle="1" w:styleId="641">
    <w:name w:val="WPSOffice手动目录 3 CharProp1"/>
    <w:qFormat/>
    <w:uiPriority w:val="0"/>
    <w:rPr>
      <w:rFonts w:ascii="Times New Roman" w:hAnsi="Times New Roman" w:eastAsia="宋体" w:cs="Times New Roman"/>
      <w:lang w:val="en-US" w:eastAsia="zh-CN" w:bidi="ar-SA"/>
    </w:rPr>
  </w:style>
  <w:style w:type="character" w:customStyle="1" w:styleId="642">
    <w:name w:val="WPSOffice手动目录 3 CharProp"/>
    <w:qFormat/>
    <w:uiPriority w:val="0"/>
    <w:rPr>
      <w:rFonts w:ascii="Times New Roman" w:hAnsi="Times New Roman" w:eastAsia="宋体" w:cs="Times New Roman"/>
      <w:lang w:val="en-US" w:eastAsia="zh-CN" w:bidi="ar-SA"/>
    </w:rPr>
  </w:style>
  <w:style w:type="character" w:customStyle="1" w:styleId="643">
    <w:name w:val="批注文字 字符"/>
    <w:basedOn w:val="319"/>
    <w:link w:val="28"/>
    <w:qFormat/>
    <w:uiPriority w:val="0"/>
    <w:rPr>
      <w:rFonts w:ascii="Arial" w:hAnsi="Arial" w:eastAsia="Arial" w:cs="Arial"/>
      <w:snapToGrid w:val="0"/>
      <w:color w:val="000000"/>
      <w:sz w:val="21"/>
      <w:szCs w:val="21"/>
      <w:lang w:eastAsia="en-US"/>
    </w:rPr>
  </w:style>
  <w:style w:type="character" w:customStyle="1" w:styleId="644">
    <w:name w:val="批注主题 字符"/>
    <w:basedOn w:val="643"/>
    <w:link w:val="86"/>
    <w:qFormat/>
    <w:uiPriority w:val="0"/>
    <w:rPr>
      <w:rFonts w:ascii="Arial" w:hAnsi="Arial" w:eastAsia="Arial" w:cs="Arial"/>
      <w:b/>
      <w:bCs/>
      <w:snapToGrid w:val="0"/>
      <w:color w:val="000000"/>
      <w:sz w:val="21"/>
      <w:szCs w:val="21"/>
      <w:lang w:eastAsia="en-US"/>
    </w:rPr>
  </w:style>
  <w:style w:type="character" w:customStyle="1" w:styleId="645">
    <w:name w:val="页脚 字符"/>
    <w:basedOn w:val="319"/>
    <w:link w:val="57"/>
    <w:qFormat/>
    <w:uiPriority w:val="99"/>
    <w:rPr>
      <w:rFonts w:ascii="Arial" w:hAnsi="Arial" w:eastAsia="Arial" w:cs="Arial"/>
      <w:snapToGrid w:val="0"/>
      <w:color w:val="000000"/>
      <w:sz w:val="18"/>
      <w:szCs w:val="18"/>
      <w:lang w:eastAsia="en-US"/>
    </w:rPr>
  </w:style>
  <w:style w:type="character" w:customStyle="1" w:styleId="646">
    <w:name w:val="@他1"/>
    <w:basedOn w:val="319"/>
    <w:semiHidden/>
    <w:unhideWhenUsed/>
    <w:qFormat/>
    <w:uiPriority w:val="99"/>
    <w:rPr>
      <w:color w:val="2B579A"/>
      <w:shd w:val="clear" w:color="auto" w:fill="E1DFDD"/>
    </w:rPr>
  </w:style>
  <w:style w:type="character" w:customStyle="1" w:styleId="647">
    <w:name w:val="HTML 地址 字符"/>
    <w:basedOn w:val="319"/>
    <w:link w:val="42"/>
    <w:qFormat/>
    <w:uiPriority w:val="0"/>
    <w:rPr>
      <w:rFonts w:ascii="Arial" w:hAnsi="Arial" w:eastAsia="Arial" w:cs="Arial"/>
      <w:i/>
      <w:iCs/>
      <w:snapToGrid w:val="0"/>
      <w:color w:val="000000"/>
      <w:sz w:val="21"/>
      <w:szCs w:val="21"/>
      <w:lang w:eastAsia="en-US"/>
    </w:rPr>
  </w:style>
  <w:style w:type="character" w:customStyle="1" w:styleId="648">
    <w:name w:val="HTML 预设格式 字符"/>
    <w:basedOn w:val="319"/>
    <w:link w:val="81"/>
    <w:qFormat/>
    <w:uiPriority w:val="0"/>
    <w:rPr>
      <w:rFonts w:ascii="Courier New" w:hAnsi="Courier New" w:eastAsia="Arial" w:cs="Courier New"/>
      <w:snapToGrid w:val="0"/>
      <w:color w:val="000000"/>
      <w:lang w:eastAsia="en-US"/>
    </w:rPr>
  </w:style>
  <w:style w:type="paragraph" w:customStyle="1" w:styleId="649">
    <w:name w:val="TOC 标题1"/>
    <w:basedOn w:val="3"/>
    <w:next w:val="1"/>
    <w:semiHidden/>
    <w:unhideWhenUsed/>
    <w:qFormat/>
    <w:uiPriority w:val="39"/>
    <w:pPr>
      <w:spacing w:line="578" w:lineRule="auto"/>
      <w:outlineLvl w:val="9"/>
    </w:pPr>
    <w:rPr>
      <w:bCs/>
      <w:szCs w:val="44"/>
    </w:rPr>
  </w:style>
  <w:style w:type="character" w:customStyle="1" w:styleId="650">
    <w:name w:val="TOC Heading CharProp11"/>
    <w:qFormat/>
    <w:uiPriority w:val="39"/>
    <w:rPr>
      <w:bCs/>
      <w:szCs w:val="44"/>
    </w:rPr>
  </w:style>
  <w:style w:type="character" w:customStyle="1" w:styleId="651">
    <w:name w:val="TOC Heading CharProp10"/>
    <w:qFormat/>
    <w:uiPriority w:val="39"/>
    <w:rPr>
      <w:bCs/>
      <w:szCs w:val="44"/>
    </w:rPr>
  </w:style>
  <w:style w:type="character" w:customStyle="1" w:styleId="652">
    <w:name w:val="TOC Heading CharProp9"/>
    <w:qFormat/>
    <w:uiPriority w:val="39"/>
    <w:rPr>
      <w:bCs/>
      <w:szCs w:val="44"/>
    </w:rPr>
  </w:style>
  <w:style w:type="character" w:customStyle="1" w:styleId="653">
    <w:name w:val="TOC Heading CharProp8"/>
    <w:qFormat/>
    <w:uiPriority w:val="39"/>
    <w:rPr>
      <w:bCs/>
      <w:szCs w:val="44"/>
    </w:rPr>
  </w:style>
  <w:style w:type="character" w:customStyle="1" w:styleId="654">
    <w:name w:val="TOC Heading CharProp7"/>
    <w:qFormat/>
    <w:uiPriority w:val="39"/>
    <w:rPr>
      <w:bCs/>
      <w:szCs w:val="44"/>
    </w:rPr>
  </w:style>
  <w:style w:type="character" w:customStyle="1" w:styleId="655">
    <w:name w:val="TOC Heading CharProp6"/>
    <w:qFormat/>
    <w:uiPriority w:val="39"/>
    <w:rPr>
      <w:bCs/>
      <w:szCs w:val="44"/>
    </w:rPr>
  </w:style>
  <w:style w:type="character" w:customStyle="1" w:styleId="656">
    <w:name w:val="TOC Heading CharProp5"/>
    <w:qFormat/>
    <w:uiPriority w:val="39"/>
    <w:rPr>
      <w:bCs/>
      <w:szCs w:val="44"/>
    </w:rPr>
  </w:style>
  <w:style w:type="character" w:customStyle="1" w:styleId="657">
    <w:name w:val="TOC Heading CharProp4"/>
    <w:qFormat/>
    <w:uiPriority w:val="39"/>
    <w:rPr>
      <w:bCs/>
      <w:szCs w:val="44"/>
    </w:rPr>
  </w:style>
  <w:style w:type="character" w:customStyle="1" w:styleId="658">
    <w:name w:val="TOC Heading CharProp3"/>
    <w:qFormat/>
    <w:uiPriority w:val="39"/>
    <w:rPr>
      <w:bCs/>
      <w:szCs w:val="44"/>
    </w:rPr>
  </w:style>
  <w:style w:type="character" w:customStyle="1" w:styleId="659">
    <w:name w:val="TOC Heading CharProp2"/>
    <w:qFormat/>
    <w:uiPriority w:val="39"/>
    <w:rPr>
      <w:bCs/>
      <w:szCs w:val="44"/>
    </w:rPr>
  </w:style>
  <w:style w:type="character" w:customStyle="1" w:styleId="660">
    <w:name w:val="TOC Heading CharProp1"/>
    <w:qFormat/>
    <w:uiPriority w:val="39"/>
    <w:rPr>
      <w:bCs/>
      <w:szCs w:val="44"/>
    </w:rPr>
  </w:style>
  <w:style w:type="character" w:customStyle="1" w:styleId="661">
    <w:name w:val="TOC Heading CharProp"/>
    <w:qFormat/>
    <w:uiPriority w:val="39"/>
    <w:rPr>
      <w:bCs/>
      <w:szCs w:val="44"/>
    </w:rPr>
  </w:style>
  <w:style w:type="character" w:customStyle="1" w:styleId="662">
    <w:name w:val="标题 字符"/>
    <w:basedOn w:val="319"/>
    <w:link w:val="85"/>
    <w:qFormat/>
    <w:uiPriority w:val="0"/>
    <w:rPr>
      <w:rFonts w:asciiTheme="majorHAnsi" w:hAnsiTheme="majorHAnsi" w:eastAsiaTheme="majorEastAsia" w:cstheme="majorBidi"/>
      <w:b/>
      <w:bCs/>
      <w:snapToGrid w:val="0"/>
      <w:color w:val="000000"/>
      <w:sz w:val="32"/>
      <w:szCs w:val="32"/>
      <w:lang w:eastAsia="en-US"/>
    </w:rPr>
  </w:style>
  <w:style w:type="character" w:customStyle="1" w:styleId="663">
    <w:name w:val="标题 5 字符"/>
    <w:basedOn w:val="319"/>
    <w:link w:val="7"/>
    <w:semiHidden/>
    <w:qFormat/>
    <w:uiPriority w:val="0"/>
    <w:rPr>
      <w:rFonts w:ascii="Arial" w:hAnsi="Arial" w:eastAsia="Arial" w:cs="Arial"/>
      <w:b/>
      <w:bCs/>
      <w:snapToGrid w:val="0"/>
      <w:color w:val="000000"/>
      <w:sz w:val="28"/>
      <w:szCs w:val="28"/>
      <w:lang w:eastAsia="en-US"/>
    </w:rPr>
  </w:style>
  <w:style w:type="character" w:customStyle="1" w:styleId="664">
    <w:name w:val="标题 6 字符"/>
    <w:basedOn w:val="319"/>
    <w:link w:val="8"/>
    <w:semiHidden/>
    <w:qFormat/>
    <w:uiPriority w:val="0"/>
    <w:rPr>
      <w:rFonts w:asciiTheme="majorHAnsi" w:hAnsiTheme="majorHAnsi" w:eastAsiaTheme="majorEastAsia" w:cstheme="majorBidi"/>
      <w:b/>
      <w:bCs/>
      <w:snapToGrid w:val="0"/>
      <w:color w:val="000000"/>
      <w:sz w:val="24"/>
      <w:szCs w:val="24"/>
      <w:lang w:eastAsia="en-US"/>
    </w:rPr>
  </w:style>
  <w:style w:type="character" w:customStyle="1" w:styleId="665">
    <w:name w:val="标题 7 字符"/>
    <w:basedOn w:val="319"/>
    <w:link w:val="9"/>
    <w:semiHidden/>
    <w:qFormat/>
    <w:uiPriority w:val="0"/>
    <w:rPr>
      <w:rFonts w:ascii="Arial" w:hAnsi="Arial" w:eastAsia="Arial" w:cs="Arial"/>
      <w:b/>
      <w:bCs/>
      <w:snapToGrid w:val="0"/>
      <w:color w:val="000000"/>
      <w:sz w:val="24"/>
      <w:szCs w:val="24"/>
      <w:lang w:eastAsia="en-US"/>
    </w:rPr>
  </w:style>
  <w:style w:type="character" w:customStyle="1" w:styleId="666">
    <w:name w:val="标题 8 字符"/>
    <w:basedOn w:val="319"/>
    <w:link w:val="10"/>
    <w:semiHidden/>
    <w:qFormat/>
    <w:uiPriority w:val="0"/>
    <w:rPr>
      <w:rFonts w:asciiTheme="majorHAnsi" w:hAnsiTheme="majorHAnsi" w:eastAsiaTheme="majorEastAsia" w:cstheme="majorBidi"/>
      <w:snapToGrid w:val="0"/>
      <w:color w:val="000000"/>
      <w:sz w:val="24"/>
      <w:szCs w:val="24"/>
      <w:lang w:eastAsia="en-US"/>
    </w:rPr>
  </w:style>
  <w:style w:type="character" w:customStyle="1" w:styleId="667">
    <w:name w:val="标题 9 字符"/>
    <w:basedOn w:val="319"/>
    <w:link w:val="11"/>
    <w:semiHidden/>
    <w:qFormat/>
    <w:uiPriority w:val="0"/>
    <w:rPr>
      <w:rFonts w:asciiTheme="majorHAnsi" w:hAnsiTheme="majorHAnsi" w:eastAsiaTheme="majorEastAsia" w:cstheme="majorBidi"/>
      <w:snapToGrid w:val="0"/>
      <w:color w:val="000000"/>
      <w:sz w:val="21"/>
      <w:szCs w:val="21"/>
      <w:lang w:eastAsia="en-US"/>
    </w:rPr>
  </w:style>
  <w:style w:type="character" w:customStyle="1" w:styleId="668">
    <w:name w:val="不明显参考1"/>
    <w:basedOn w:val="31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669">
    <w:name w:val="不明显强调1"/>
    <w:basedOn w:val="319"/>
    <w:qFormat/>
    <w:uiPriority w:val="19"/>
    <w:rPr>
      <w:i/>
      <w:iCs/>
      <w:color w:val="404040" w:themeColor="text1" w:themeTint="BF"/>
      <w14:textFill>
        <w14:solidFill>
          <w14:schemeClr w14:val="tx1">
            <w14:lumMod w14:val="75000"/>
            <w14:lumOff w14:val="25000"/>
          </w14:schemeClr>
        </w14:solidFill>
      </w14:textFill>
    </w:rPr>
  </w:style>
  <w:style w:type="character" w:customStyle="1" w:styleId="670">
    <w:name w:val="称呼 字符"/>
    <w:basedOn w:val="319"/>
    <w:link w:val="30"/>
    <w:qFormat/>
    <w:uiPriority w:val="0"/>
    <w:rPr>
      <w:rFonts w:ascii="Arial" w:hAnsi="Arial" w:eastAsia="Arial" w:cs="Arial"/>
      <w:snapToGrid w:val="0"/>
      <w:color w:val="000000"/>
      <w:sz w:val="21"/>
      <w:szCs w:val="21"/>
      <w:lang w:eastAsia="en-US"/>
    </w:rPr>
  </w:style>
  <w:style w:type="character" w:customStyle="1" w:styleId="671">
    <w:name w:val="电子邮件签名 字符"/>
    <w:basedOn w:val="319"/>
    <w:link w:val="19"/>
    <w:qFormat/>
    <w:uiPriority w:val="0"/>
    <w:rPr>
      <w:rFonts w:ascii="Arial" w:hAnsi="Arial" w:eastAsia="Arial" w:cs="Arial"/>
      <w:snapToGrid w:val="0"/>
      <w:color w:val="000000"/>
      <w:sz w:val="21"/>
      <w:szCs w:val="21"/>
      <w:lang w:eastAsia="en-US"/>
    </w:rPr>
  </w:style>
  <w:style w:type="character" w:customStyle="1" w:styleId="672">
    <w:name w:val="副标题 字符"/>
    <w:basedOn w:val="319"/>
    <w:link w:val="65"/>
    <w:qFormat/>
    <w:uiPriority w:val="0"/>
    <w:rPr>
      <w:rFonts w:asciiTheme="minorHAnsi" w:hAnsiTheme="minorHAnsi" w:eastAsiaTheme="minorEastAsia" w:cstheme="minorBidi"/>
      <w:b/>
      <w:bCs/>
      <w:snapToGrid w:val="0"/>
      <w:color w:val="000000"/>
      <w:kern w:val="28"/>
      <w:sz w:val="32"/>
      <w:szCs w:val="32"/>
      <w:lang w:eastAsia="en-US"/>
    </w:rPr>
  </w:style>
  <w:style w:type="character" w:customStyle="1" w:styleId="673">
    <w:name w:val="宏文本 字符"/>
    <w:basedOn w:val="319"/>
    <w:link w:val="2"/>
    <w:qFormat/>
    <w:uiPriority w:val="0"/>
    <w:rPr>
      <w:rFonts w:ascii="Courier New" w:hAnsi="Courier New" w:cs="Courier New"/>
      <w:snapToGrid w:val="0"/>
      <w:color w:val="000000"/>
      <w:sz w:val="24"/>
      <w:szCs w:val="24"/>
      <w:lang w:eastAsia="en-US"/>
    </w:rPr>
  </w:style>
  <w:style w:type="character" w:customStyle="1" w:styleId="674">
    <w:name w:val="脚注文本 字符"/>
    <w:basedOn w:val="319"/>
    <w:link w:val="68"/>
    <w:qFormat/>
    <w:uiPriority w:val="0"/>
    <w:rPr>
      <w:rFonts w:ascii="Arial" w:hAnsi="Arial" w:eastAsia="Arial" w:cs="Arial"/>
      <w:snapToGrid w:val="0"/>
      <w:color w:val="000000"/>
      <w:sz w:val="18"/>
      <w:szCs w:val="18"/>
      <w:lang w:eastAsia="en-US"/>
    </w:rPr>
  </w:style>
  <w:style w:type="character" w:customStyle="1" w:styleId="675">
    <w:name w:val="结束语 字符"/>
    <w:basedOn w:val="319"/>
    <w:link w:val="32"/>
    <w:qFormat/>
    <w:uiPriority w:val="0"/>
    <w:rPr>
      <w:rFonts w:ascii="Arial" w:hAnsi="Arial" w:eastAsia="Arial" w:cs="Arial"/>
      <w:snapToGrid w:val="0"/>
      <w:color w:val="000000"/>
      <w:sz w:val="21"/>
      <w:szCs w:val="21"/>
      <w:lang w:eastAsia="en-US"/>
    </w:rPr>
  </w:style>
  <w:style w:type="character" w:customStyle="1" w:styleId="676">
    <w:name w:val="井号标签1"/>
    <w:basedOn w:val="319"/>
    <w:semiHidden/>
    <w:unhideWhenUsed/>
    <w:qFormat/>
    <w:uiPriority w:val="99"/>
    <w:rPr>
      <w:color w:val="2B579A"/>
      <w:shd w:val="clear" w:color="auto" w:fill="E1DFDD"/>
    </w:rPr>
  </w:style>
  <w:style w:type="paragraph" w:styleId="677">
    <w:name w:val="List Paragraph"/>
    <w:basedOn w:val="1"/>
    <w:semiHidden/>
    <w:unhideWhenUsed/>
    <w:qFormat/>
    <w:uiPriority w:val="99"/>
    <w:pPr>
      <w:ind w:firstLine="420" w:firstLineChars="200"/>
    </w:pPr>
  </w:style>
  <w:style w:type="character" w:customStyle="1" w:styleId="678">
    <w:name w:val="List Paragraph CharProp11"/>
    <w:qFormat/>
    <w:uiPriority w:val="99"/>
  </w:style>
  <w:style w:type="character" w:customStyle="1" w:styleId="679">
    <w:name w:val="List Paragraph CharProp10"/>
    <w:qFormat/>
    <w:uiPriority w:val="99"/>
  </w:style>
  <w:style w:type="character" w:customStyle="1" w:styleId="680">
    <w:name w:val="List Paragraph CharProp9"/>
    <w:qFormat/>
    <w:uiPriority w:val="99"/>
  </w:style>
  <w:style w:type="character" w:customStyle="1" w:styleId="681">
    <w:name w:val="List Paragraph CharProp8"/>
    <w:qFormat/>
    <w:uiPriority w:val="99"/>
  </w:style>
  <w:style w:type="character" w:customStyle="1" w:styleId="682">
    <w:name w:val="List Paragraph CharProp7"/>
    <w:qFormat/>
    <w:uiPriority w:val="99"/>
  </w:style>
  <w:style w:type="character" w:customStyle="1" w:styleId="683">
    <w:name w:val="List Paragraph CharProp6"/>
    <w:qFormat/>
    <w:uiPriority w:val="99"/>
  </w:style>
  <w:style w:type="character" w:customStyle="1" w:styleId="684">
    <w:name w:val="List Paragraph CharProp5"/>
    <w:qFormat/>
    <w:uiPriority w:val="99"/>
  </w:style>
  <w:style w:type="character" w:customStyle="1" w:styleId="685">
    <w:name w:val="List Paragraph CharProp4"/>
    <w:qFormat/>
    <w:uiPriority w:val="99"/>
  </w:style>
  <w:style w:type="character" w:customStyle="1" w:styleId="686">
    <w:name w:val="List Paragraph CharProp3"/>
    <w:qFormat/>
    <w:uiPriority w:val="99"/>
  </w:style>
  <w:style w:type="character" w:customStyle="1" w:styleId="687">
    <w:name w:val="List Paragraph CharProp2"/>
    <w:uiPriority w:val="99"/>
  </w:style>
  <w:style w:type="character" w:customStyle="1" w:styleId="688">
    <w:name w:val="List Paragraph CharProp1"/>
    <w:qFormat/>
    <w:uiPriority w:val="99"/>
  </w:style>
  <w:style w:type="character" w:customStyle="1" w:styleId="689">
    <w:name w:val="List Paragraph CharProp"/>
    <w:qFormat/>
    <w:uiPriority w:val="99"/>
  </w:style>
  <w:style w:type="character" w:customStyle="1" w:styleId="690">
    <w:name w:val="明显参考1"/>
    <w:basedOn w:val="319"/>
    <w:qFormat/>
    <w:uiPriority w:val="32"/>
    <w:rPr>
      <w:b/>
      <w:bCs/>
      <w:smallCaps/>
      <w:color w:val="4F81BD" w:themeColor="accent1"/>
      <w:spacing w:val="5"/>
      <w14:textFill>
        <w14:solidFill>
          <w14:schemeClr w14:val="accent1"/>
        </w14:solidFill>
      </w14:textFill>
    </w:rPr>
  </w:style>
  <w:style w:type="character" w:customStyle="1" w:styleId="691">
    <w:name w:val="明显强调1"/>
    <w:basedOn w:val="319"/>
    <w:qFormat/>
    <w:uiPriority w:val="21"/>
    <w:rPr>
      <w:i/>
      <w:iCs/>
      <w:color w:val="4F81BD" w:themeColor="accent1"/>
      <w14:textFill>
        <w14:solidFill>
          <w14:schemeClr w14:val="accent1"/>
        </w14:solidFill>
      </w14:textFill>
    </w:rPr>
  </w:style>
  <w:style w:type="paragraph" w:styleId="692">
    <w:name w:val="Intense Quote"/>
    <w:basedOn w:val="1"/>
    <w:next w:val="1"/>
    <w:link w:val="705"/>
    <w:semiHidden/>
    <w:unhideWhenUsed/>
    <w:qFormat/>
    <w:uiPriority w:val="99"/>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693">
    <w:name w:val="Intense Quote CharProp11"/>
    <w:uiPriority w:val="99"/>
    <w:rPr>
      <w:i/>
      <w:iCs/>
      <w:color w:val="4F81BD" w:themeColor="accent1"/>
      <w14:textFill>
        <w14:solidFill>
          <w14:schemeClr w14:val="accent1"/>
        </w14:solidFill>
      </w14:textFill>
    </w:rPr>
  </w:style>
  <w:style w:type="character" w:customStyle="1" w:styleId="694">
    <w:name w:val="Intense Quote CharProp10"/>
    <w:qFormat/>
    <w:uiPriority w:val="99"/>
    <w:rPr>
      <w:i/>
      <w:iCs/>
      <w:color w:val="4F81BD" w:themeColor="accent1"/>
      <w14:textFill>
        <w14:solidFill>
          <w14:schemeClr w14:val="accent1"/>
        </w14:solidFill>
      </w14:textFill>
    </w:rPr>
  </w:style>
  <w:style w:type="character" w:customStyle="1" w:styleId="695">
    <w:name w:val="Intense Quote CharProp9"/>
    <w:qFormat/>
    <w:uiPriority w:val="99"/>
    <w:rPr>
      <w:i/>
      <w:iCs/>
      <w:color w:val="4F81BD" w:themeColor="accent1"/>
      <w14:textFill>
        <w14:solidFill>
          <w14:schemeClr w14:val="accent1"/>
        </w14:solidFill>
      </w14:textFill>
    </w:rPr>
  </w:style>
  <w:style w:type="character" w:customStyle="1" w:styleId="696">
    <w:name w:val="Intense Quote CharProp8"/>
    <w:qFormat/>
    <w:uiPriority w:val="99"/>
    <w:rPr>
      <w:i/>
      <w:iCs/>
      <w:color w:val="4F81BD" w:themeColor="accent1"/>
      <w14:textFill>
        <w14:solidFill>
          <w14:schemeClr w14:val="accent1"/>
        </w14:solidFill>
      </w14:textFill>
    </w:rPr>
  </w:style>
  <w:style w:type="character" w:customStyle="1" w:styleId="697">
    <w:name w:val="Intense Quote CharProp7"/>
    <w:qFormat/>
    <w:uiPriority w:val="99"/>
    <w:rPr>
      <w:i/>
      <w:iCs/>
      <w:color w:val="4F81BD" w:themeColor="accent1"/>
      <w14:textFill>
        <w14:solidFill>
          <w14:schemeClr w14:val="accent1"/>
        </w14:solidFill>
      </w14:textFill>
    </w:rPr>
  </w:style>
  <w:style w:type="character" w:customStyle="1" w:styleId="698">
    <w:name w:val="Intense Quote CharProp6"/>
    <w:qFormat/>
    <w:uiPriority w:val="99"/>
    <w:rPr>
      <w:i/>
      <w:iCs/>
      <w:color w:val="4F81BD" w:themeColor="accent1"/>
      <w14:textFill>
        <w14:solidFill>
          <w14:schemeClr w14:val="accent1"/>
        </w14:solidFill>
      </w14:textFill>
    </w:rPr>
  </w:style>
  <w:style w:type="character" w:customStyle="1" w:styleId="699">
    <w:name w:val="Intense Quote CharProp5"/>
    <w:qFormat/>
    <w:uiPriority w:val="99"/>
    <w:rPr>
      <w:i/>
      <w:iCs/>
      <w:color w:val="4F81BD" w:themeColor="accent1"/>
      <w14:textFill>
        <w14:solidFill>
          <w14:schemeClr w14:val="accent1"/>
        </w14:solidFill>
      </w14:textFill>
    </w:rPr>
  </w:style>
  <w:style w:type="character" w:customStyle="1" w:styleId="700">
    <w:name w:val="Intense Quote CharProp4"/>
    <w:uiPriority w:val="99"/>
    <w:rPr>
      <w:i/>
      <w:iCs/>
      <w:color w:val="4F81BD" w:themeColor="accent1"/>
      <w14:textFill>
        <w14:solidFill>
          <w14:schemeClr w14:val="accent1"/>
        </w14:solidFill>
      </w14:textFill>
    </w:rPr>
  </w:style>
  <w:style w:type="character" w:customStyle="1" w:styleId="701">
    <w:name w:val="Intense Quote CharProp3"/>
    <w:qFormat/>
    <w:uiPriority w:val="99"/>
    <w:rPr>
      <w:i/>
      <w:iCs/>
      <w:color w:val="4F81BD" w:themeColor="accent1"/>
      <w14:textFill>
        <w14:solidFill>
          <w14:schemeClr w14:val="accent1"/>
        </w14:solidFill>
      </w14:textFill>
    </w:rPr>
  </w:style>
  <w:style w:type="character" w:customStyle="1" w:styleId="702">
    <w:name w:val="Intense Quote CharProp2"/>
    <w:qFormat/>
    <w:uiPriority w:val="99"/>
    <w:rPr>
      <w:i/>
      <w:iCs/>
      <w:color w:val="4F81BD" w:themeColor="accent1"/>
      <w14:textFill>
        <w14:solidFill>
          <w14:schemeClr w14:val="accent1"/>
        </w14:solidFill>
      </w14:textFill>
    </w:rPr>
  </w:style>
  <w:style w:type="character" w:customStyle="1" w:styleId="703">
    <w:name w:val="Intense Quote CharProp1"/>
    <w:uiPriority w:val="99"/>
    <w:rPr>
      <w:i/>
      <w:iCs/>
      <w:color w:val="4F81BD" w:themeColor="accent1"/>
      <w14:textFill>
        <w14:solidFill>
          <w14:schemeClr w14:val="accent1"/>
        </w14:solidFill>
      </w14:textFill>
    </w:rPr>
  </w:style>
  <w:style w:type="character" w:customStyle="1" w:styleId="704">
    <w:name w:val="Intense Quote CharProp"/>
    <w:uiPriority w:val="99"/>
    <w:rPr>
      <w:i/>
      <w:iCs/>
      <w:color w:val="4F81BD" w:themeColor="accent1"/>
      <w14:textFill>
        <w14:solidFill>
          <w14:schemeClr w14:val="accent1"/>
        </w14:solidFill>
      </w14:textFill>
    </w:rPr>
  </w:style>
  <w:style w:type="character" w:customStyle="1" w:styleId="705">
    <w:name w:val="明显引用 字符"/>
    <w:basedOn w:val="319"/>
    <w:link w:val="692"/>
    <w:semiHidden/>
    <w:qFormat/>
    <w:uiPriority w:val="99"/>
    <w:rPr>
      <w:rFonts w:ascii="Arial" w:hAnsi="Arial" w:eastAsia="Arial" w:cs="Arial"/>
      <w:i/>
      <w:iCs/>
      <w:snapToGrid w:val="0"/>
      <w:color w:val="4F81BD" w:themeColor="accent1"/>
      <w:sz w:val="21"/>
      <w:szCs w:val="21"/>
      <w:lang w:eastAsia="en-US"/>
      <w14:textFill>
        <w14:solidFill>
          <w14:schemeClr w14:val="accent1"/>
        </w14:solidFill>
      </w14:textFill>
    </w:rPr>
  </w:style>
  <w:style w:type="character" w:customStyle="1" w:styleId="706">
    <w:name w:val="签名 字符"/>
    <w:basedOn w:val="319"/>
    <w:link w:val="59"/>
    <w:qFormat/>
    <w:uiPriority w:val="0"/>
    <w:rPr>
      <w:rFonts w:ascii="Arial" w:hAnsi="Arial" w:eastAsia="Arial" w:cs="Arial"/>
      <w:snapToGrid w:val="0"/>
      <w:color w:val="000000"/>
      <w:sz w:val="21"/>
      <w:szCs w:val="21"/>
      <w:lang w:eastAsia="en-US"/>
    </w:rPr>
  </w:style>
  <w:style w:type="table" w:customStyle="1" w:styleId="707">
    <w:name w:val="清单表 1 浅色1"/>
    <w:basedOn w:val="8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708">
    <w:name w:val="清单表 1 浅色 - 着色 11"/>
    <w:basedOn w:val="89"/>
    <w:qFormat/>
    <w:uiPriority w:val="46"/>
    <w:tblStylePr w:type="firstRow">
      <w:rPr>
        <w:b/>
        <w:bCs/>
      </w:rPr>
      <w:tcPr>
        <w:tcBorders>
          <w:bottom w:val="single" w:color="95B3D7" w:themeColor="accent1" w:themeTint="99" w:sz="4" w:space="0"/>
        </w:tcBorders>
      </w:tcPr>
    </w:tblStylePr>
    <w:tblStylePr w:type="lastRow">
      <w:rPr>
        <w:b/>
        <w:bCs/>
      </w:rPr>
      <w:tcPr>
        <w:tcBorders>
          <w:top w:val="single" w:color="95B3D7" w:themeColor="accent1" w:themeTint="99"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709">
    <w:name w:val="清单表 1 浅色 - 着色 21"/>
    <w:basedOn w:val="89"/>
    <w:qFormat/>
    <w:uiPriority w:val="46"/>
    <w:tblStylePr w:type="firstRow">
      <w:rPr>
        <w:b/>
        <w:bCs/>
      </w:rPr>
      <w:tcPr>
        <w:tcBorders>
          <w:bottom w:val="single" w:color="D99594" w:themeColor="accent2" w:themeTint="99" w:sz="4" w:space="0"/>
        </w:tcBorders>
      </w:tcPr>
    </w:tblStylePr>
    <w:tblStylePr w:type="lastRow">
      <w:rPr>
        <w:b/>
        <w:bCs/>
      </w:rPr>
      <w:tcPr>
        <w:tcBorders>
          <w:top w:val="single" w:color="D99594" w:themeColor="accent2" w:themeTint="99"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710">
    <w:name w:val="清单表 1 浅色 - 着色 31"/>
    <w:basedOn w:val="89"/>
    <w:qFormat/>
    <w:uiPriority w:val="46"/>
    <w:tblStylePr w:type="firstRow">
      <w:rPr>
        <w:b/>
        <w:bCs/>
      </w:rPr>
      <w:tcPr>
        <w:tcBorders>
          <w:bottom w:val="single" w:color="C2D69B" w:themeColor="accent3" w:themeTint="99" w:sz="4" w:space="0"/>
        </w:tcBorders>
      </w:tcPr>
    </w:tblStylePr>
    <w:tblStylePr w:type="lastRow">
      <w:rPr>
        <w:b/>
        <w:bCs/>
      </w:rPr>
      <w:tcPr>
        <w:tcBorders>
          <w:top w:val="sing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711">
    <w:name w:val="清单表 1 浅色 - 着色 41"/>
    <w:basedOn w:val="89"/>
    <w:qFormat/>
    <w:uiPriority w:val="46"/>
    <w:tblStylePr w:type="firstRow">
      <w:rPr>
        <w:b/>
        <w:bCs/>
      </w:rPr>
      <w:tcPr>
        <w:tcBorders>
          <w:bottom w:val="single" w:color="B2A1C7" w:themeColor="accent4" w:themeTint="99" w:sz="4" w:space="0"/>
        </w:tcBorders>
      </w:tcPr>
    </w:tblStylePr>
    <w:tblStylePr w:type="lastRow">
      <w:rPr>
        <w:b/>
        <w:bCs/>
      </w:rPr>
      <w:tcPr>
        <w:tcBorders>
          <w:top w:val="single" w:color="B2A1C7" w:themeColor="accent4" w:themeTint="99"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712">
    <w:name w:val="清单表 1 浅色 - 着色 51"/>
    <w:basedOn w:val="89"/>
    <w:qFormat/>
    <w:uiPriority w:val="46"/>
    <w:tblStylePr w:type="firstRow">
      <w:rPr>
        <w:b/>
        <w:bCs/>
      </w:rPr>
      <w:tcPr>
        <w:tcBorders>
          <w:bottom w:val="single" w:color="92CDDC" w:themeColor="accent5" w:themeTint="99" w:sz="4" w:space="0"/>
        </w:tcBorders>
      </w:tcPr>
    </w:tblStylePr>
    <w:tblStylePr w:type="lastRow">
      <w:rPr>
        <w:b/>
        <w:bCs/>
      </w:rPr>
      <w:tcPr>
        <w:tcBorders>
          <w:top w:val="single" w:color="92CDDC" w:themeColor="accent5" w:themeTint="99"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713">
    <w:name w:val="清单表 1 浅色 - 着色 61"/>
    <w:basedOn w:val="89"/>
    <w:qFormat/>
    <w:uiPriority w:val="46"/>
    <w:tblStylePr w:type="firstRow">
      <w:rPr>
        <w:b/>
        <w:bCs/>
      </w:rPr>
      <w:tcPr>
        <w:tcBorders>
          <w:bottom w:val="single" w:color="FABF8F" w:themeColor="accent6" w:themeTint="99" w:sz="4" w:space="0"/>
        </w:tcBorders>
      </w:tcPr>
    </w:tblStylePr>
    <w:tblStylePr w:type="lastRow">
      <w:rPr>
        <w:b/>
        <w:bCs/>
      </w:rPr>
      <w:tcPr>
        <w:tcBorders>
          <w:top w:val="sing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714">
    <w:name w:val="清单表 21"/>
    <w:basedOn w:val="89"/>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715">
    <w:name w:val="清单表 2 - 着色 11"/>
    <w:basedOn w:val="89"/>
    <w:qFormat/>
    <w:uiPriority w:val="47"/>
    <w:tblPr>
      <w:tblBorders>
        <w:top w:val="single" w:color="95B3D7" w:themeColor="accent1" w:themeTint="99" w:sz="4" w:space="0"/>
        <w:bottom w:val="single" w:color="95B3D7" w:themeColor="accent1" w:themeTint="99" w:sz="4" w:space="0"/>
        <w:insideH w:val="single" w:color="95B3D7"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716">
    <w:name w:val="清单表 2 - 着色 21"/>
    <w:basedOn w:val="89"/>
    <w:qFormat/>
    <w:uiPriority w:val="47"/>
    <w:tblPr>
      <w:tblBorders>
        <w:top w:val="single" w:color="D99594" w:themeColor="accent2" w:themeTint="99" w:sz="4" w:space="0"/>
        <w:bottom w:val="single" w:color="D99594" w:themeColor="accent2" w:themeTint="99" w:sz="4" w:space="0"/>
        <w:insideH w:val="single" w:color="D99594"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717">
    <w:name w:val="清单表 2 - 着色 31"/>
    <w:basedOn w:val="89"/>
    <w:qFormat/>
    <w:uiPriority w:val="47"/>
    <w:tblPr>
      <w:tblBorders>
        <w:top w:val="single" w:color="C2D69B" w:themeColor="accent3" w:themeTint="99" w:sz="4" w:space="0"/>
        <w:bottom w:val="single" w:color="C2D69B" w:themeColor="accent3" w:themeTint="99" w:sz="4" w:space="0"/>
        <w:insideH w:val="single" w:color="C2D69B"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718">
    <w:name w:val="清单表 2 - 着色 41"/>
    <w:basedOn w:val="89"/>
    <w:qFormat/>
    <w:uiPriority w:val="47"/>
    <w:tblPr>
      <w:tblBorders>
        <w:top w:val="single" w:color="B2A1C7" w:themeColor="accent4" w:themeTint="99" w:sz="4" w:space="0"/>
        <w:bottom w:val="single" w:color="B2A1C7" w:themeColor="accent4" w:themeTint="99" w:sz="4" w:space="0"/>
        <w:insideH w:val="single" w:color="B2A1C7"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719">
    <w:name w:val="清单表 2 - 着色 51"/>
    <w:basedOn w:val="89"/>
    <w:qFormat/>
    <w:uiPriority w:val="47"/>
    <w:tblPr>
      <w:tblBorders>
        <w:top w:val="single" w:color="92CDDC" w:themeColor="accent5" w:themeTint="99" w:sz="4" w:space="0"/>
        <w:bottom w:val="single" w:color="92CDDC" w:themeColor="accent5" w:themeTint="99" w:sz="4" w:space="0"/>
        <w:insideH w:val="single" w:color="92CDDC"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720">
    <w:name w:val="清单表 2 - 着色 61"/>
    <w:basedOn w:val="89"/>
    <w:qFormat/>
    <w:uiPriority w:val="47"/>
    <w:tblPr>
      <w:tblBorders>
        <w:top w:val="single" w:color="FABF8F" w:themeColor="accent6" w:themeTint="99" w:sz="4" w:space="0"/>
        <w:bottom w:val="single" w:color="FABF8F" w:themeColor="accent6" w:themeTint="99" w:sz="4" w:space="0"/>
        <w:insideH w:val="single" w:color="FABF8F"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721">
    <w:name w:val="清单表 31"/>
    <w:basedOn w:val="89"/>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722">
    <w:name w:val="清单表 3 - 着色 11"/>
    <w:basedOn w:val="89"/>
    <w:qFormat/>
    <w:uiPriority w:val="48"/>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14:textFill>
          <w14:solidFill>
            <w14:schemeClr w14:val="bg1"/>
          </w14:solidFill>
        </w14:textFill>
      </w:rPr>
      <w:tcPr>
        <w:shd w:val="clear" w:color="auto" w:fill="4F81BD" w:themeFill="accent1"/>
      </w:tcPr>
    </w:tblStylePr>
    <w:tblStylePr w:type="lastRow">
      <w:rPr>
        <w:b/>
        <w:bCs/>
      </w:rPr>
      <w:tcPr>
        <w:tcBorders>
          <w:top w:val="double" w:color="4F81BD"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F81BD" w:themeColor="accent1" w:sz="4" w:space="0"/>
          <w:right w:val="single" w:color="4F81BD" w:themeColor="accent1" w:sz="4" w:space="0"/>
        </w:tcBorders>
      </w:tcPr>
    </w:tblStylePr>
    <w:tblStylePr w:type="band1Horz">
      <w:tcPr>
        <w:tcBorders>
          <w:top w:val="single" w:color="4F81BD" w:themeColor="accent1" w:sz="4" w:space="0"/>
          <w:bottom w:val="single" w:color="4F81BD"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F81BD" w:themeColor="accent1" w:sz="4" w:space="0"/>
          <w:left w:val="nil"/>
        </w:tcBorders>
      </w:tcPr>
    </w:tblStylePr>
    <w:tblStylePr w:type="swCell">
      <w:tcPr>
        <w:tcBorders>
          <w:top w:val="double" w:color="4F81BD" w:themeColor="accent1" w:sz="4" w:space="0"/>
          <w:right w:val="nil"/>
        </w:tcBorders>
      </w:tcPr>
    </w:tblStylePr>
  </w:style>
  <w:style w:type="table" w:customStyle="1" w:styleId="723">
    <w:name w:val="清单表 3 - 着色 21"/>
    <w:basedOn w:val="89"/>
    <w:qFormat/>
    <w:uiPriority w:val="48"/>
    <w:tblPr>
      <w:tblBorders>
        <w:top w:val="single" w:color="C0504D" w:themeColor="accent2" w:sz="4" w:space="0"/>
        <w:left w:val="single" w:color="C0504D" w:themeColor="accent2" w:sz="4" w:space="0"/>
        <w:bottom w:val="single" w:color="C0504D" w:themeColor="accent2" w:sz="4" w:space="0"/>
        <w:right w:val="single" w:color="C0504D" w:themeColor="accent2" w:sz="4" w:space="0"/>
      </w:tblBorders>
    </w:tblPr>
    <w:tblStylePr w:type="firstRow">
      <w:rPr>
        <w:b/>
        <w:bCs/>
        <w:color w:val="FFFFFF" w:themeColor="background1"/>
        <w14:textFill>
          <w14:solidFill>
            <w14:schemeClr w14:val="bg1"/>
          </w14:solidFill>
        </w14:textFill>
      </w:rPr>
      <w:tcPr>
        <w:shd w:val="clear" w:color="auto" w:fill="C0504D" w:themeFill="accent2"/>
      </w:tcPr>
    </w:tblStylePr>
    <w:tblStylePr w:type="lastRow">
      <w:rPr>
        <w:b/>
        <w:bCs/>
      </w:rPr>
      <w:tcPr>
        <w:tcBorders>
          <w:top w:val="double" w:color="C0504D"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C0504D" w:themeColor="accent2" w:sz="4" w:space="0"/>
          <w:right w:val="single" w:color="C0504D" w:themeColor="accent2" w:sz="4" w:space="0"/>
        </w:tcBorders>
      </w:tcPr>
    </w:tblStylePr>
    <w:tblStylePr w:type="band1Horz">
      <w:tcPr>
        <w:tcBorders>
          <w:top w:val="single" w:color="C0504D" w:themeColor="accent2" w:sz="4" w:space="0"/>
          <w:bottom w:val="single" w:color="C0504D"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C0504D" w:themeColor="accent2" w:sz="4" w:space="0"/>
          <w:left w:val="nil"/>
        </w:tcBorders>
      </w:tcPr>
    </w:tblStylePr>
    <w:tblStylePr w:type="swCell">
      <w:tcPr>
        <w:tcBorders>
          <w:top w:val="double" w:color="C0504D" w:themeColor="accent2" w:sz="4" w:space="0"/>
          <w:right w:val="nil"/>
        </w:tcBorders>
      </w:tcPr>
    </w:tblStylePr>
  </w:style>
  <w:style w:type="table" w:customStyle="1" w:styleId="724">
    <w:name w:val="清单表 3 - 着色 31"/>
    <w:basedOn w:val="89"/>
    <w:qFormat/>
    <w:uiPriority w:val="48"/>
    <w:tblPr>
      <w:tblBorders>
        <w:top w:val="single" w:color="9BBB59" w:themeColor="accent3" w:sz="4" w:space="0"/>
        <w:left w:val="single" w:color="9BBB59" w:themeColor="accent3" w:sz="4" w:space="0"/>
        <w:bottom w:val="single" w:color="9BBB59" w:themeColor="accent3" w:sz="4" w:space="0"/>
        <w:right w:val="single" w:color="9BBB59" w:themeColor="accent3" w:sz="4" w:space="0"/>
      </w:tblBorders>
    </w:tblPr>
    <w:tblStylePr w:type="firstRow">
      <w:rPr>
        <w:b/>
        <w:bCs/>
        <w:color w:val="FFFFFF" w:themeColor="background1"/>
        <w14:textFill>
          <w14:solidFill>
            <w14:schemeClr w14:val="bg1"/>
          </w14:solidFill>
        </w14:textFill>
      </w:rPr>
      <w:tcPr>
        <w:shd w:val="clear" w:color="auto" w:fill="9BBB59" w:themeFill="accent3"/>
      </w:tcPr>
    </w:tblStylePr>
    <w:tblStylePr w:type="lastRow">
      <w:rPr>
        <w:b/>
        <w:bCs/>
      </w:rPr>
      <w:tcPr>
        <w:tcBorders>
          <w:top w:val="double" w:color="9BBB59"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9BBB59" w:themeColor="accent3" w:sz="4" w:space="0"/>
          <w:right w:val="single" w:color="9BBB59" w:themeColor="accent3" w:sz="4" w:space="0"/>
        </w:tcBorders>
      </w:tcPr>
    </w:tblStylePr>
    <w:tblStylePr w:type="band1Horz">
      <w:tcPr>
        <w:tcBorders>
          <w:top w:val="single" w:color="9BBB59" w:themeColor="accent3" w:sz="4" w:space="0"/>
          <w:bottom w:val="single" w:color="9BBB59"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9BBB59" w:themeColor="accent3" w:sz="4" w:space="0"/>
          <w:left w:val="nil"/>
        </w:tcBorders>
      </w:tcPr>
    </w:tblStylePr>
    <w:tblStylePr w:type="swCell">
      <w:tcPr>
        <w:tcBorders>
          <w:top w:val="double" w:color="9BBB59" w:themeColor="accent3" w:sz="4" w:space="0"/>
          <w:right w:val="nil"/>
        </w:tcBorders>
      </w:tcPr>
    </w:tblStylePr>
  </w:style>
  <w:style w:type="table" w:customStyle="1" w:styleId="725">
    <w:name w:val="清单表 3 - 着色 41"/>
    <w:basedOn w:val="89"/>
    <w:qFormat/>
    <w:uiPriority w:val="48"/>
    <w:tblPr>
      <w:tblBorders>
        <w:top w:val="single" w:color="8064A2" w:themeColor="accent4" w:sz="4" w:space="0"/>
        <w:left w:val="single" w:color="8064A2" w:themeColor="accent4" w:sz="4" w:space="0"/>
        <w:bottom w:val="single" w:color="8064A2" w:themeColor="accent4" w:sz="4" w:space="0"/>
        <w:right w:val="single" w:color="8064A2" w:themeColor="accent4" w:sz="4" w:space="0"/>
      </w:tblBorders>
    </w:tblPr>
    <w:tblStylePr w:type="firstRow">
      <w:rPr>
        <w:b/>
        <w:bCs/>
        <w:color w:val="FFFFFF" w:themeColor="background1"/>
        <w14:textFill>
          <w14:solidFill>
            <w14:schemeClr w14:val="bg1"/>
          </w14:solidFill>
        </w14:textFill>
      </w:rPr>
      <w:tcPr>
        <w:shd w:val="clear" w:color="auto" w:fill="8064A2" w:themeFill="accent4"/>
      </w:tcPr>
    </w:tblStylePr>
    <w:tblStylePr w:type="lastRow">
      <w:rPr>
        <w:b/>
        <w:bCs/>
      </w:rPr>
      <w:tcPr>
        <w:tcBorders>
          <w:top w:val="double" w:color="8064A2"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064A2" w:themeColor="accent4" w:sz="4" w:space="0"/>
          <w:right w:val="single" w:color="8064A2" w:themeColor="accent4" w:sz="4" w:space="0"/>
        </w:tcBorders>
      </w:tcPr>
    </w:tblStylePr>
    <w:tblStylePr w:type="band1Horz">
      <w:tcPr>
        <w:tcBorders>
          <w:top w:val="single" w:color="8064A2" w:themeColor="accent4" w:sz="4" w:space="0"/>
          <w:bottom w:val="single" w:color="8064A2"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064A2" w:themeColor="accent4" w:sz="4" w:space="0"/>
          <w:left w:val="nil"/>
        </w:tcBorders>
      </w:tcPr>
    </w:tblStylePr>
    <w:tblStylePr w:type="swCell">
      <w:tcPr>
        <w:tcBorders>
          <w:top w:val="double" w:color="8064A2" w:themeColor="accent4" w:sz="4" w:space="0"/>
          <w:right w:val="nil"/>
        </w:tcBorders>
      </w:tcPr>
    </w:tblStylePr>
  </w:style>
  <w:style w:type="table" w:customStyle="1" w:styleId="726">
    <w:name w:val="清单表 3 - 着色 51"/>
    <w:basedOn w:val="89"/>
    <w:qFormat/>
    <w:uiPriority w:val="48"/>
    <w:tblPr>
      <w:tblBorders>
        <w:top w:val="single" w:color="4BACC6" w:themeColor="accent5" w:sz="4" w:space="0"/>
        <w:left w:val="single" w:color="4BACC6" w:themeColor="accent5" w:sz="4" w:space="0"/>
        <w:bottom w:val="single" w:color="4BACC6" w:themeColor="accent5" w:sz="4" w:space="0"/>
        <w:right w:val="single" w:color="4BACC6" w:themeColor="accent5" w:sz="4" w:space="0"/>
      </w:tblBorders>
    </w:tblPr>
    <w:tblStylePr w:type="firstRow">
      <w:rPr>
        <w:b/>
        <w:bCs/>
        <w:color w:val="FFFFFF" w:themeColor="background1"/>
        <w14:textFill>
          <w14:solidFill>
            <w14:schemeClr w14:val="bg1"/>
          </w14:solidFill>
        </w14:textFill>
      </w:rPr>
      <w:tcPr>
        <w:shd w:val="clear" w:color="auto" w:fill="4BACC6" w:themeFill="accent5"/>
      </w:tcPr>
    </w:tblStylePr>
    <w:tblStylePr w:type="lastRow">
      <w:rPr>
        <w:b/>
        <w:bCs/>
      </w:rPr>
      <w:tcPr>
        <w:tcBorders>
          <w:top w:val="double" w:color="4BACC6"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BACC6" w:themeColor="accent5" w:sz="4" w:space="0"/>
          <w:right w:val="single" w:color="4BACC6" w:themeColor="accent5" w:sz="4" w:space="0"/>
        </w:tcBorders>
      </w:tcPr>
    </w:tblStylePr>
    <w:tblStylePr w:type="band1Horz">
      <w:tcPr>
        <w:tcBorders>
          <w:top w:val="single" w:color="4BACC6" w:themeColor="accent5" w:sz="4" w:space="0"/>
          <w:bottom w:val="single" w:color="4BACC6"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BACC6" w:themeColor="accent5" w:sz="4" w:space="0"/>
          <w:left w:val="nil"/>
        </w:tcBorders>
      </w:tcPr>
    </w:tblStylePr>
    <w:tblStylePr w:type="swCell">
      <w:tcPr>
        <w:tcBorders>
          <w:top w:val="double" w:color="4BACC6" w:themeColor="accent5" w:sz="4" w:space="0"/>
          <w:right w:val="nil"/>
        </w:tcBorders>
      </w:tcPr>
    </w:tblStylePr>
  </w:style>
  <w:style w:type="table" w:customStyle="1" w:styleId="727">
    <w:name w:val="清单表 3 - 着色 61"/>
    <w:basedOn w:val="89"/>
    <w:qFormat/>
    <w:uiPriority w:val="48"/>
    <w:tblPr>
      <w:tblBorders>
        <w:top w:val="single" w:color="F79646" w:themeColor="accent6" w:sz="4" w:space="0"/>
        <w:left w:val="single" w:color="F79646" w:themeColor="accent6" w:sz="4" w:space="0"/>
        <w:bottom w:val="single" w:color="F79646" w:themeColor="accent6" w:sz="4" w:space="0"/>
        <w:right w:val="single" w:color="F79646" w:themeColor="accent6" w:sz="4" w:space="0"/>
      </w:tblBorders>
    </w:tblPr>
    <w:tblStylePr w:type="firstRow">
      <w:rPr>
        <w:b/>
        <w:bCs/>
        <w:color w:val="FFFFFF" w:themeColor="background1"/>
        <w14:textFill>
          <w14:solidFill>
            <w14:schemeClr w14:val="bg1"/>
          </w14:solidFill>
        </w14:textFill>
      </w:rPr>
      <w:tcPr>
        <w:shd w:val="clear" w:color="auto" w:fill="F79646" w:themeFill="accent6"/>
      </w:tcPr>
    </w:tblStylePr>
    <w:tblStylePr w:type="lastRow">
      <w:rPr>
        <w:b/>
        <w:bCs/>
      </w:rPr>
      <w:tcPr>
        <w:tcBorders>
          <w:top w:val="double" w:color="F79646"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79646" w:themeColor="accent6" w:sz="4" w:space="0"/>
          <w:right w:val="single" w:color="F79646" w:themeColor="accent6" w:sz="4" w:space="0"/>
        </w:tcBorders>
      </w:tcPr>
    </w:tblStylePr>
    <w:tblStylePr w:type="band1Horz">
      <w:tcPr>
        <w:tcBorders>
          <w:top w:val="single" w:color="F79646" w:themeColor="accent6" w:sz="4" w:space="0"/>
          <w:bottom w:val="single" w:color="F79646"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79646" w:themeColor="accent6" w:sz="4" w:space="0"/>
          <w:left w:val="nil"/>
        </w:tcBorders>
      </w:tcPr>
    </w:tblStylePr>
    <w:tblStylePr w:type="swCell">
      <w:tcPr>
        <w:tcBorders>
          <w:top w:val="double" w:color="F79646" w:themeColor="accent6" w:sz="4" w:space="0"/>
          <w:right w:val="nil"/>
        </w:tcBorders>
      </w:tcPr>
    </w:tblStylePr>
  </w:style>
  <w:style w:type="table" w:customStyle="1" w:styleId="728">
    <w:name w:val="清单表 41"/>
    <w:basedOn w:val="89"/>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729">
    <w:name w:val="清单表 4 - 着色 11"/>
    <w:basedOn w:val="89"/>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tcBorders>
        <w:shd w:val="clear" w:color="auto" w:fill="4F81BD" w:themeFill="accent1"/>
      </w:tcPr>
    </w:tblStylePr>
    <w:tblStylePr w:type="lastRow">
      <w:rPr>
        <w:b/>
        <w:bCs/>
      </w:rPr>
      <w:tcPr>
        <w:tcBorders>
          <w:top w:val="double" w:color="95B3D7" w:themeColor="accent1" w:themeTint="99"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730">
    <w:name w:val="清单表 4 - 着色 21"/>
    <w:basedOn w:val="89"/>
    <w:qFormat/>
    <w:uiPriority w:val="49"/>
    <w:tblPr>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tblBorders>
    </w:tblPr>
    <w:tblStylePr w:type="firstRow">
      <w:rPr>
        <w:b/>
        <w:bCs/>
        <w:color w:val="FFFFFF" w:themeColor="background1"/>
        <w14:textFill>
          <w14:solidFill>
            <w14:schemeClr w14:val="bg1"/>
          </w14:solidFill>
        </w14:textFill>
      </w:rPr>
      <w:tcPr>
        <w:tcBorders>
          <w:top w:val="single" w:color="C0504D" w:themeColor="accent2" w:sz="4" w:space="0"/>
          <w:left w:val="single" w:color="C0504D" w:themeColor="accent2" w:sz="4" w:space="0"/>
          <w:bottom w:val="single" w:color="C0504D" w:themeColor="accent2" w:sz="4" w:space="0"/>
          <w:right w:val="single" w:color="C0504D" w:themeColor="accent2" w:sz="4" w:space="0"/>
          <w:insideH w:val="nil"/>
        </w:tcBorders>
        <w:shd w:val="clear" w:color="auto" w:fill="C0504D" w:themeFill="accent2"/>
      </w:tcPr>
    </w:tblStylePr>
    <w:tblStylePr w:type="lastRow">
      <w:rPr>
        <w:b/>
        <w:bCs/>
      </w:rPr>
      <w:tcPr>
        <w:tcBorders>
          <w:top w:val="double" w:color="D99594" w:themeColor="accent2" w:themeTint="99"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731">
    <w:name w:val="清单表 4 - 着色 31"/>
    <w:basedOn w:val="89"/>
    <w:qFormat/>
    <w:uiPriority w:val="49"/>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732">
    <w:name w:val="清单表 4 - 着色 41"/>
    <w:basedOn w:val="89"/>
    <w:qFormat/>
    <w:uiPriority w:val="49"/>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tblBorders>
    </w:tblPr>
    <w:tblStylePr w:type="firstRow">
      <w:rPr>
        <w:b/>
        <w:bCs/>
        <w:color w:val="FFFFFF" w:themeColor="background1"/>
        <w14:textFill>
          <w14:solidFill>
            <w14:schemeClr w14:val="bg1"/>
          </w14:solidFill>
        </w14:textFill>
      </w:r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tcBorders>
        <w:shd w:val="clear" w:color="auto" w:fill="8064A2" w:themeFill="accent4"/>
      </w:tcPr>
    </w:tblStylePr>
    <w:tblStylePr w:type="lastRow">
      <w:rPr>
        <w:b/>
        <w:bCs/>
      </w:rPr>
      <w:tcPr>
        <w:tcBorders>
          <w:top w:val="double" w:color="B2A1C7" w:themeColor="accent4" w:themeTint="99"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733">
    <w:name w:val="清单表 4 - 着色 51"/>
    <w:basedOn w:val="89"/>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tcBorders>
        <w:shd w:val="clear" w:color="auto" w:fill="4BACC6" w:themeFill="accent5"/>
      </w:tcPr>
    </w:tblStylePr>
    <w:tblStylePr w:type="lastRow">
      <w:rPr>
        <w:b/>
        <w:bCs/>
      </w:rPr>
      <w:tcPr>
        <w:tcBorders>
          <w:top w:val="double" w:color="92CDDC" w:themeColor="accent5" w:themeTint="99"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734">
    <w:name w:val="清单表 4 - 着色 61"/>
    <w:basedOn w:val="89"/>
    <w:qFormat/>
    <w:uiPriority w:val="49"/>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tcBorders>
        <w:shd w:val="clear" w:color="auto" w:fill="F79646" w:themeFill="accent6"/>
      </w:tcPr>
    </w:tblStylePr>
    <w:tblStylePr w:type="lastRow">
      <w:rPr>
        <w:b/>
        <w:bCs/>
      </w:rPr>
      <w:tcPr>
        <w:tcBorders>
          <w:top w:val="doub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735">
    <w:name w:val="清单表 5 深色1"/>
    <w:basedOn w:val="89"/>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736">
    <w:name w:val="List Table 5 Dark CharProp11"/>
    <w:qFormat/>
    <w:uiPriority w:val="50"/>
    <w:rPr>
      <w:color w:val="FFFFFF" w:themeColor="background1"/>
      <w14:textFill>
        <w14:solidFill>
          <w14:schemeClr w14:val="bg1"/>
        </w14:solidFill>
      </w14:textFill>
    </w:rPr>
  </w:style>
  <w:style w:type="character" w:customStyle="1" w:styleId="737">
    <w:name w:val="List Table 5 Dark CharProp10"/>
    <w:qFormat/>
    <w:uiPriority w:val="50"/>
    <w:rPr>
      <w:color w:val="FFFFFF" w:themeColor="background1"/>
      <w14:textFill>
        <w14:solidFill>
          <w14:schemeClr w14:val="bg1"/>
        </w14:solidFill>
      </w14:textFill>
    </w:rPr>
  </w:style>
  <w:style w:type="character" w:customStyle="1" w:styleId="738">
    <w:name w:val="List Table 5 Dark CharProp9"/>
    <w:uiPriority w:val="50"/>
    <w:rPr>
      <w:color w:val="FFFFFF" w:themeColor="background1"/>
      <w14:textFill>
        <w14:solidFill>
          <w14:schemeClr w14:val="bg1"/>
        </w14:solidFill>
      </w14:textFill>
    </w:rPr>
  </w:style>
  <w:style w:type="character" w:customStyle="1" w:styleId="739">
    <w:name w:val="List Table 5 Dark CharProp8"/>
    <w:qFormat/>
    <w:uiPriority w:val="50"/>
    <w:rPr>
      <w:color w:val="FFFFFF" w:themeColor="background1"/>
      <w14:textFill>
        <w14:solidFill>
          <w14:schemeClr w14:val="bg1"/>
        </w14:solidFill>
      </w14:textFill>
    </w:rPr>
  </w:style>
  <w:style w:type="character" w:customStyle="1" w:styleId="740">
    <w:name w:val="List Table 5 Dark CharProp7"/>
    <w:qFormat/>
    <w:uiPriority w:val="50"/>
    <w:rPr>
      <w:color w:val="FFFFFF" w:themeColor="background1"/>
      <w14:textFill>
        <w14:solidFill>
          <w14:schemeClr w14:val="bg1"/>
        </w14:solidFill>
      </w14:textFill>
    </w:rPr>
  </w:style>
  <w:style w:type="character" w:customStyle="1" w:styleId="741">
    <w:name w:val="List Table 5 Dark CharProp6"/>
    <w:qFormat/>
    <w:uiPriority w:val="50"/>
    <w:rPr>
      <w:color w:val="FFFFFF" w:themeColor="background1"/>
      <w14:textFill>
        <w14:solidFill>
          <w14:schemeClr w14:val="bg1"/>
        </w14:solidFill>
      </w14:textFill>
    </w:rPr>
  </w:style>
  <w:style w:type="character" w:customStyle="1" w:styleId="742">
    <w:name w:val="List Table 5 Dark CharProp5"/>
    <w:qFormat/>
    <w:uiPriority w:val="50"/>
    <w:rPr>
      <w:color w:val="FFFFFF" w:themeColor="background1"/>
      <w14:textFill>
        <w14:solidFill>
          <w14:schemeClr w14:val="bg1"/>
        </w14:solidFill>
      </w14:textFill>
    </w:rPr>
  </w:style>
  <w:style w:type="character" w:customStyle="1" w:styleId="743">
    <w:name w:val="List Table 5 Dark CharProp4"/>
    <w:qFormat/>
    <w:uiPriority w:val="50"/>
    <w:rPr>
      <w:color w:val="FFFFFF" w:themeColor="background1"/>
      <w14:textFill>
        <w14:solidFill>
          <w14:schemeClr w14:val="bg1"/>
        </w14:solidFill>
      </w14:textFill>
    </w:rPr>
  </w:style>
  <w:style w:type="character" w:customStyle="1" w:styleId="744">
    <w:name w:val="List Table 5 Dark CharProp3"/>
    <w:qFormat/>
    <w:uiPriority w:val="50"/>
    <w:rPr>
      <w:color w:val="FFFFFF" w:themeColor="background1"/>
      <w14:textFill>
        <w14:solidFill>
          <w14:schemeClr w14:val="bg1"/>
        </w14:solidFill>
      </w14:textFill>
    </w:rPr>
  </w:style>
  <w:style w:type="character" w:customStyle="1" w:styleId="745">
    <w:name w:val="List Table 5 Dark CharProp2"/>
    <w:uiPriority w:val="50"/>
    <w:rPr>
      <w:color w:val="FFFFFF" w:themeColor="background1"/>
      <w14:textFill>
        <w14:solidFill>
          <w14:schemeClr w14:val="bg1"/>
        </w14:solidFill>
      </w14:textFill>
    </w:rPr>
  </w:style>
  <w:style w:type="character" w:customStyle="1" w:styleId="746">
    <w:name w:val="List Table 5 Dark CharProp1"/>
    <w:qFormat/>
    <w:uiPriority w:val="50"/>
    <w:rPr>
      <w:color w:val="FFFFFF" w:themeColor="background1"/>
      <w14:textFill>
        <w14:solidFill>
          <w14:schemeClr w14:val="bg1"/>
        </w14:solidFill>
      </w14:textFill>
    </w:rPr>
  </w:style>
  <w:style w:type="character" w:customStyle="1" w:styleId="747">
    <w:name w:val="List Table 5 Dark CharProp"/>
    <w:qFormat/>
    <w:uiPriority w:val="50"/>
    <w:rPr>
      <w:color w:val="FFFFFF" w:themeColor="background1"/>
      <w14:textFill>
        <w14:solidFill>
          <w14:schemeClr w14:val="bg1"/>
        </w14:solidFill>
      </w14:textFill>
    </w:rPr>
  </w:style>
  <w:style w:type="table" w:customStyle="1" w:styleId="748">
    <w:name w:val="清单表 5 深色 - 着色 11"/>
    <w:basedOn w:val="89"/>
    <w:qFormat/>
    <w:uiPriority w:val="50"/>
    <w:rPr>
      <w:color w:val="FFFFFF" w:themeColor="background1"/>
      <w14:textFill>
        <w14:solidFill>
          <w14:schemeClr w14:val="bg1"/>
        </w14:solidFill>
      </w14:textFill>
    </w:rPr>
    <w:tblPr>
      <w:tblBorders>
        <w:top w:val="single" w:color="4F81BD" w:themeColor="accent1" w:sz="24" w:space="0"/>
        <w:left w:val="single" w:color="4F81BD" w:themeColor="accent1" w:sz="24" w:space="0"/>
        <w:bottom w:val="single" w:color="4F81BD" w:themeColor="accent1" w:sz="24" w:space="0"/>
        <w:right w:val="single" w:color="4F81BD" w:themeColor="accent1" w:sz="24" w:space="0"/>
      </w:tblBorders>
    </w:tblPr>
    <w:tcPr>
      <w:shd w:val="clear" w:color="auto" w:fill="4F81BD"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749">
    <w:name w:val="List Table 5 Dark Accent 1 CharProp11"/>
    <w:qFormat/>
    <w:uiPriority w:val="50"/>
    <w:rPr>
      <w:color w:val="FFFFFF" w:themeColor="background1"/>
      <w14:textFill>
        <w14:solidFill>
          <w14:schemeClr w14:val="bg1"/>
        </w14:solidFill>
      </w14:textFill>
    </w:rPr>
  </w:style>
  <w:style w:type="character" w:customStyle="1" w:styleId="750">
    <w:name w:val="List Table 5 Dark Accent 1 CharProp10"/>
    <w:qFormat/>
    <w:uiPriority w:val="50"/>
    <w:rPr>
      <w:color w:val="FFFFFF" w:themeColor="background1"/>
      <w14:textFill>
        <w14:solidFill>
          <w14:schemeClr w14:val="bg1"/>
        </w14:solidFill>
      </w14:textFill>
    </w:rPr>
  </w:style>
  <w:style w:type="character" w:customStyle="1" w:styleId="751">
    <w:name w:val="List Table 5 Dark Accent 1 CharProp9"/>
    <w:qFormat/>
    <w:uiPriority w:val="50"/>
    <w:rPr>
      <w:color w:val="FFFFFF" w:themeColor="background1"/>
      <w14:textFill>
        <w14:solidFill>
          <w14:schemeClr w14:val="bg1"/>
        </w14:solidFill>
      </w14:textFill>
    </w:rPr>
  </w:style>
  <w:style w:type="character" w:customStyle="1" w:styleId="752">
    <w:name w:val="List Table 5 Dark Accent 1 CharProp8"/>
    <w:qFormat/>
    <w:uiPriority w:val="50"/>
    <w:rPr>
      <w:color w:val="FFFFFF" w:themeColor="background1"/>
      <w14:textFill>
        <w14:solidFill>
          <w14:schemeClr w14:val="bg1"/>
        </w14:solidFill>
      </w14:textFill>
    </w:rPr>
  </w:style>
  <w:style w:type="character" w:customStyle="1" w:styleId="753">
    <w:name w:val="List Table 5 Dark Accent 1 CharProp7"/>
    <w:qFormat/>
    <w:uiPriority w:val="50"/>
    <w:rPr>
      <w:color w:val="FFFFFF" w:themeColor="background1"/>
      <w14:textFill>
        <w14:solidFill>
          <w14:schemeClr w14:val="bg1"/>
        </w14:solidFill>
      </w14:textFill>
    </w:rPr>
  </w:style>
  <w:style w:type="character" w:customStyle="1" w:styleId="754">
    <w:name w:val="List Table 5 Dark Accent 1 CharProp6"/>
    <w:qFormat/>
    <w:uiPriority w:val="50"/>
    <w:rPr>
      <w:color w:val="FFFFFF" w:themeColor="background1"/>
      <w14:textFill>
        <w14:solidFill>
          <w14:schemeClr w14:val="bg1"/>
        </w14:solidFill>
      </w14:textFill>
    </w:rPr>
  </w:style>
  <w:style w:type="character" w:customStyle="1" w:styleId="755">
    <w:name w:val="List Table 5 Dark Accent 1 CharProp5"/>
    <w:qFormat/>
    <w:uiPriority w:val="50"/>
    <w:rPr>
      <w:color w:val="FFFFFF" w:themeColor="background1"/>
      <w14:textFill>
        <w14:solidFill>
          <w14:schemeClr w14:val="bg1"/>
        </w14:solidFill>
      </w14:textFill>
    </w:rPr>
  </w:style>
  <w:style w:type="character" w:customStyle="1" w:styleId="756">
    <w:name w:val="List Table 5 Dark Accent 1 CharProp4"/>
    <w:qFormat/>
    <w:uiPriority w:val="50"/>
    <w:rPr>
      <w:color w:val="FFFFFF" w:themeColor="background1"/>
      <w14:textFill>
        <w14:solidFill>
          <w14:schemeClr w14:val="bg1"/>
        </w14:solidFill>
      </w14:textFill>
    </w:rPr>
  </w:style>
  <w:style w:type="character" w:customStyle="1" w:styleId="757">
    <w:name w:val="List Table 5 Dark Accent 1 CharProp3"/>
    <w:qFormat/>
    <w:uiPriority w:val="50"/>
    <w:rPr>
      <w:color w:val="FFFFFF" w:themeColor="background1"/>
      <w14:textFill>
        <w14:solidFill>
          <w14:schemeClr w14:val="bg1"/>
        </w14:solidFill>
      </w14:textFill>
    </w:rPr>
  </w:style>
  <w:style w:type="character" w:customStyle="1" w:styleId="758">
    <w:name w:val="List Table 5 Dark Accent 1 CharProp2"/>
    <w:qFormat/>
    <w:uiPriority w:val="50"/>
    <w:rPr>
      <w:color w:val="FFFFFF" w:themeColor="background1"/>
      <w14:textFill>
        <w14:solidFill>
          <w14:schemeClr w14:val="bg1"/>
        </w14:solidFill>
      </w14:textFill>
    </w:rPr>
  </w:style>
  <w:style w:type="character" w:customStyle="1" w:styleId="759">
    <w:name w:val="List Table 5 Dark Accent 1 CharProp1"/>
    <w:qFormat/>
    <w:uiPriority w:val="50"/>
    <w:rPr>
      <w:color w:val="FFFFFF" w:themeColor="background1"/>
      <w14:textFill>
        <w14:solidFill>
          <w14:schemeClr w14:val="bg1"/>
        </w14:solidFill>
      </w14:textFill>
    </w:rPr>
  </w:style>
  <w:style w:type="character" w:customStyle="1" w:styleId="760">
    <w:name w:val="List Table 5 Dark Accent 1 CharProp"/>
    <w:qFormat/>
    <w:uiPriority w:val="50"/>
    <w:rPr>
      <w:color w:val="FFFFFF" w:themeColor="background1"/>
      <w14:textFill>
        <w14:solidFill>
          <w14:schemeClr w14:val="bg1"/>
        </w14:solidFill>
      </w14:textFill>
    </w:rPr>
  </w:style>
  <w:style w:type="table" w:customStyle="1" w:styleId="761">
    <w:name w:val="清单表 5 深色 - 着色 21"/>
    <w:basedOn w:val="89"/>
    <w:qFormat/>
    <w:uiPriority w:val="50"/>
    <w:rPr>
      <w:color w:val="FFFFFF" w:themeColor="background1"/>
      <w14:textFill>
        <w14:solidFill>
          <w14:schemeClr w14:val="bg1"/>
        </w14:solidFill>
      </w14:textFill>
    </w:rPr>
    <w:tblPr>
      <w:tblBorders>
        <w:top w:val="single" w:color="C0504D" w:themeColor="accent2" w:sz="24" w:space="0"/>
        <w:left w:val="single" w:color="C0504D" w:themeColor="accent2" w:sz="24" w:space="0"/>
        <w:bottom w:val="single" w:color="C0504D" w:themeColor="accent2" w:sz="24" w:space="0"/>
        <w:right w:val="single" w:color="C0504D" w:themeColor="accent2" w:sz="24" w:space="0"/>
      </w:tblBorders>
    </w:tblPr>
    <w:tcPr>
      <w:shd w:val="clear" w:color="auto" w:fill="C0504D"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762">
    <w:name w:val="List Table 5 Dark Accent 2 CharProp11"/>
    <w:qFormat/>
    <w:uiPriority w:val="50"/>
    <w:rPr>
      <w:color w:val="FFFFFF" w:themeColor="background1"/>
      <w14:textFill>
        <w14:solidFill>
          <w14:schemeClr w14:val="bg1"/>
        </w14:solidFill>
      </w14:textFill>
    </w:rPr>
  </w:style>
  <w:style w:type="character" w:customStyle="1" w:styleId="763">
    <w:name w:val="List Table 5 Dark Accent 2 CharProp10"/>
    <w:qFormat/>
    <w:uiPriority w:val="50"/>
    <w:rPr>
      <w:color w:val="FFFFFF" w:themeColor="background1"/>
      <w14:textFill>
        <w14:solidFill>
          <w14:schemeClr w14:val="bg1"/>
        </w14:solidFill>
      </w14:textFill>
    </w:rPr>
  </w:style>
  <w:style w:type="character" w:customStyle="1" w:styleId="764">
    <w:name w:val="List Table 5 Dark Accent 2 CharProp9"/>
    <w:uiPriority w:val="50"/>
    <w:rPr>
      <w:color w:val="FFFFFF" w:themeColor="background1"/>
      <w14:textFill>
        <w14:solidFill>
          <w14:schemeClr w14:val="bg1"/>
        </w14:solidFill>
      </w14:textFill>
    </w:rPr>
  </w:style>
  <w:style w:type="character" w:customStyle="1" w:styleId="765">
    <w:name w:val="List Table 5 Dark Accent 2 CharProp8"/>
    <w:qFormat/>
    <w:uiPriority w:val="50"/>
    <w:rPr>
      <w:color w:val="FFFFFF" w:themeColor="background1"/>
      <w14:textFill>
        <w14:solidFill>
          <w14:schemeClr w14:val="bg1"/>
        </w14:solidFill>
      </w14:textFill>
    </w:rPr>
  </w:style>
  <w:style w:type="character" w:customStyle="1" w:styleId="766">
    <w:name w:val="List Table 5 Dark Accent 2 CharProp7"/>
    <w:qFormat/>
    <w:uiPriority w:val="50"/>
    <w:rPr>
      <w:color w:val="FFFFFF" w:themeColor="background1"/>
      <w14:textFill>
        <w14:solidFill>
          <w14:schemeClr w14:val="bg1"/>
        </w14:solidFill>
      </w14:textFill>
    </w:rPr>
  </w:style>
  <w:style w:type="character" w:customStyle="1" w:styleId="767">
    <w:name w:val="List Table 5 Dark Accent 2 CharProp6"/>
    <w:qFormat/>
    <w:uiPriority w:val="50"/>
    <w:rPr>
      <w:color w:val="FFFFFF" w:themeColor="background1"/>
      <w14:textFill>
        <w14:solidFill>
          <w14:schemeClr w14:val="bg1"/>
        </w14:solidFill>
      </w14:textFill>
    </w:rPr>
  </w:style>
  <w:style w:type="character" w:customStyle="1" w:styleId="768">
    <w:name w:val="List Table 5 Dark Accent 2 CharProp5"/>
    <w:qFormat/>
    <w:uiPriority w:val="50"/>
    <w:rPr>
      <w:color w:val="FFFFFF" w:themeColor="background1"/>
      <w14:textFill>
        <w14:solidFill>
          <w14:schemeClr w14:val="bg1"/>
        </w14:solidFill>
      </w14:textFill>
    </w:rPr>
  </w:style>
  <w:style w:type="character" w:customStyle="1" w:styleId="769">
    <w:name w:val="List Table 5 Dark Accent 2 CharProp4"/>
    <w:qFormat/>
    <w:uiPriority w:val="50"/>
    <w:rPr>
      <w:color w:val="FFFFFF" w:themeColor="background1"/>
      <w14:textFill>
        <w14:solidFill>
          <w14:schemeClr w14:val="bg1"/>
        </w14:solidFill>
      </w14:textFill>
    </w:rPr>
  </w:style>
  <w:style w:type="character" w:customStyle="1" w:styleId="770">
    <w:name w:val="List Table 5 Dark Accent 2 CharProp3"/>
    <w:qFormat/>
    <w:uiPriority w:val="50"/>
    <w:rPr>
      <w:color w:val="FFFFFF" w:themeColor="background1"/>
      <w14:textFill>
        <w14:solidFill>
          <w14:schemeClr w14:val="bg1"/>
        </w14:solidFill>
      </w14:textFill>
    </w:rPr>
  </w:style>
  <w:style w:type="character" w:customStyle="1" w:styleId="771">
    <w:name w:val="List Table 5 Dark Accent 2 CharProp2"/>
    <w:qFormat/>
    <w:uiPriority w:val="50"/>
    <w:rPr>
      <w:color w:val="FFFFFF" w:themeColor="background1"/>
      <w14:textFill>
        <w14:solidFill>
          <w14:schemeClr w14:val="bg1"/>
        </w14:solidFill>
      </w14:textFill>
    </w:rPr>
  </w:style>
  <w:style w:type="character" w:customStyle="1" w:styleId="772">
    <w:name w:val="List Table 5 Dark Accent 2 CharProp1"/>
    <w:qFormat/>
    <w:uiPriority w:val="50"/>
    <w:rPr>
      <w:color w:val="FFFFFF" w:themeColor="background1"/>
      <w14:textFill>
        <w14:solidFill>
          <w14:schemeClr w14:val="bg1"/>
        </w14:solidFill>
      </w14:textFill>
    </w:rPr>
  </w:style>
  <w:style w:type="character" w:customStyle="1" w:styleId="773">
    <w:name w:val="List Table 5 Dark Accent 2 CharProp"/>
    <w:qFormat/>
    <w:uiPriority w:val="50"/>
    <w:rPr>
      <w:color w:val="FFFFFF" w:themeColor="background1"/>
      <w14:textFill>
        <w14:solidFill>
          <w14:schemeClr w14:val="bg1"/>
        </w14:solidFill>
      </w14:textFill>
    </w:rPr>
  </w:style>
  <w:style w:type="table" w:customStyle="1" w:styleId="774">
    <w:name w:val="清单表 5 深色 - 着色 31"/>
    <w:basedOn w:val="89"/>
    <w:qFormat/>
    <w:uiPriority w:val="50"/>
    <w:rPr>
      <w:color w:val="FFFFFF" w:themeColor="background1"/>
      <w14:textFill>
        <w14:solidFill>
          <w14:schemeClr w14:val="bg1"/>
        </w14:solidFill>
      </w14:textFill>
    </w:rPr>
    <w:tblPr>
      <w:tblBorders>
        <w:top w:val="single" w:color="9BBB59" w:themeColor="accent3" w:sz="24" w:space="0"/>
        <w:left w:val="single" w:color="9BBB59" w:themeColor="accent3" w:sz="24" w:space="0"/>
        <w:bottom w:val="single" w:color="9BBB59" w:themeColor="accent3" w:sz="24" w:space="0"/>
        <w:right w:val="single" w:color="9BBB59" w:themeColor="accent3" w:sz="24" w:space="0"/>
      </w:tblBorders>
    </w:tblPr>
    <w:tcPr>
      <w:shd w:val="clear" w:color="auto" w:fill="9BBB59"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775">
    <w:name w:val="List Table 5 Dark Accent 3 CharProp11"/>
    <w:qFormat/>
    <w:uiPriority w:val="50"/>
    <w:rPr>
      <w:color w:val="FFFFFF" w:themeColor="background1"/>
      <w14:textFill>
        <w14:solidFill>
          <w14:schemeClr w14:val="bg1"/>
        </w14:solidFill>
      </w14:textFill>
    </w:rPr>
  </w:style>
  <w:style w:type="character" w:customStyle="1" w:styleId="776">
    <w:name w:val="List Table 5 Dark Accent 3 CharProp10"/>
    <w:qFormat/>
    <w:uiPriority w:val="50"/>
    <w:rPr>
      <w:color w:val="FFFFFF" w:themeColor="background1"/>
      <w14:textFill>
        <w14:solidFill>
          <w14:schemeClr w14:val="bg1"/>
        </w14:solidFill>
      </w14:textFill>
    </w:rPr>
  </w:style>
  <w:style w:type="character" w:customStyle="1" w:styleId="777">
    <w:name w:val="List Table 5 Dark Accent 3 CharProp9"/>
    <w:qFormat/>
    <w:uiPriority w:val="50"/>
    <w:rPr>
      <w:color w:val="FFFFFF" w:themeColor="background1"/>
      <w14:textFill>
        <w14:solidFill>
          <w14:schemeClr w14:val="bg1"/>
        </w14:solidFill>
      </w14:textFill>
    </w:rPr>
  </w:style>
  <w:style w:type="character" w:customStyle="1" w:styleId="778">
    <w:name w:val="List Table 5 Dark Accent 3 CharProp8"/>
    <w:qFormat/>
    <w:uiPriority w:val="50"/>
    <w:rPr>
      <w:color w:val="FFFFFF" w:themeColor="background1"/>
      <w14:textFill>
        <w14:solidFill>
          <w14:schemeClr w14:val="bg1"/>
        </w14:solidFill>
      </w14:textFill>
    </w:rPr>
  </w:style>
  <w:style w:type="character" w:customStyle="1" w:styleId="779">
    <w:name w:val="List Table 5 Dark Accent 3 CharProp7"/>
    <w:qFormat/>
    <w:uiPriority w:val="50"/>
    <w:rPr>
      <w:color w:val="FFFFFF" w:themeColor="background1"/>
      <w14:textFill>
        <w14:solidFill>
          <w14:schemeClr w14:val="bg1"/>
        </w14:solidFill>
      </w14:textFill>
    </w:rPr>
  </w:style>
  <w:style w:type="character" w:customStyle="1" w:styleId="780">
    <w:name w:val="List Table 5 Dark Accent 3 CharProp6"/>
    <w:qFormat/>
    <w:uiPriority w:val="50"/>
    <w:rPr>
      <w:color w:val="FFFFFF" w:themeColor="background1"/>
      <w14:textFill>
        <w14:solidFill>
          <w14:schemeClr w14:val="bg1"/>
        </w14:solidFill>
      </w14:textFill>
    </w:rPr>
  </w:style>
  <w:style w:type="character" w:customStyle="1" w:styleId="781">
    <w:name w:val="List Table 5 Dark Accent 3 CharProp5"/>
    <w:uiPriority w:val="50"/>
    <w:rPr>
      <w:color w:val="FFFFFF" w:themeColor="background1"/>
      <w14:textFill>
        <w14:solidFill>
          <w14:schemeClr w14:val="bg1"/>
        </w14:solidFill>
      </w14:textFill>
    </w:rPr>
  </w:style>
  <w:style w:type="character" w:customStyle="1" w:styleId="782">
    <w:name w:val="List Table 5 Dark Accent 3 CharProp4"/>
    <w:qFormat/>
    <w:uiPriority w:val="50"/>
    <w:rPr>
      <w:color w:val="FFFFFF" w:themeColor="background1"/>
      <w14:textFill>
        <w14:solidFill>
          <w14:schemeClr w14:val="bg1"/>
        </w14:solidFill>
      </w14:textFill>
    </w:rPr>
  </w:style>
  <w:style w:type="character" w:customStyle="1" w:styleId="783">
    <w:name w:val="List Table 5 Dark Accent 3 CharProp3"/>
    <w:qFormat/>
    <w:uiPriority w:val="50"/>
    <w:rPr>
      <w:color w:val="FFFFFF" w:themeColor="background1"/>
      <w14:textFill>
        <w14:solidFill>
          <w14:schemeClr w14:val="bg1"/>
        </w14:solidFill>
      </w14:textFill>
    </w:rPr>
  </w:style>
  <w:style w:type="character" w:customStyle="1" w:styleId="784">
    <w:name w:val="List Table 5 Dark Accent 3 CharProp2"/>
    <w:qFormat/>
    <w:uiPriority w:val="50"/>
    <w:rPr>
      <w:color w:val="FFFFFF" w:themeColor="background1"/>
      <w14:textFill>
        <w14:solidFill>
          <w14:schemeClr w14:val="bg1"/>
        </w14:solidFill>
      </w14:textFill>
    </w:rPr>
  </w:style>
  <w:style w:type="character" w:customStyle="1" w:styleId="785">
    <w:name w:val="List Table 5 Dark Accent 3 CharProp1"/>
    <w:qFormat/>
    <w:uiPriority w:val="50"/>
    <w:rPr>
      <w:color w:val="FFFFFF" w:themeColor="background1"/>
      <w14:textFill>
        <w14:solidFill>
          <w14:schemeClr w14:val="bg1"/>
        </w14:solidFill>
      </w14:textFill>
    </w:rPr>
  </w:style>
  <w:style w:type="character" w:customStyle="1" w:styleId="786">
    <w:name w:val="List Table 5 Dark Accent 3 CharProp"/>
    <w:qFormat/>
    <w:uiPriority w:val="50"/>
    <w:rPr>
      <w:color w:val="FFFFFF" w:themeColor="background1"/>
      <w14:textFill>
        <w14:solidFill>
          <w14:schemeClr w14:val="bg1"/>
        </w14:solidFill>
      </w14:textFill>
    </w:rPr>
  </w:style>
  <w:style w:type="table" w:customStyle="1" w:styleId="787">
    <w:name w:val="清单表 5 深色 - 着色 41"/>
    <w:basedOn w:val="89"/>
    <w:qFormat/>
    <w:uiPriority w:val="50"/>
    <w:rPr>
      <w:color w:val="FFFFFF" w:themeColor="background1"/>
      <w14:textFill>
        <w14:solidFill>
          <w14:schemeClr w14:val="bg1"/>
        </w14:solidFill>
      </w14:textFill>
    </w:rPr>
    <w:tblPr>
      <w:tblBorders>
        <w:top w:val="single" w:color="8064A2" w:themeColor="accent4" w:sz="24" w:space="0"/>
        <w:left w:val="single" w:color="8064A2" w:themeColor="accent4" w:sz="24" w:space="0"/>
        <w:bottom w:val="single" w:color="8064A2" w:themeColor="accent4" w:sz="24" w:space="0"/>
        <w:right w:val="single" w:color="8064A2" w:themeColor="accent4" w:sz="24" w:space="0"/>
      </w:tblBorders>
    </w:tblPr>
    <w:tcPr>
      <w:shd w:val="clear" w:color="auto" w:fill="8064A2"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788">
    <w:name w:val="List Table 5 Dark Accent 4 CharProp11"/>
    <w:qFormat/>
    <w:uiPriority w:val="50"/>
    <w:rPr>
      <w:color w:val="FFFFFF" w:themeColor="background1"/>
      <w14:textFill>
        <w14:solidFill>
          <w14:schemeClr w14:val="bg1"/>
        </w14:solidFill>
      </w14:textFill>
    </w:rPr>
  </w:style>
  <w:style w:type="character" w:customStyle="1" w:styleId="789">
    <w:name w:val="List Table 5 Dark Accent 4 CharProp10"/>
    <w:qFormat/>
    <w:uiPriority w:val="50"/>
    <w:rPr>
      <w:color w:val="FFFFFF" w:themeColor="background1"/>
      <w14:textFill>
        <w14:solidFill>
          <w14:schemeClr w14:val="bg1"/>
        </w14:solidFill>
      </w14:textFill>
    </w:rPr>
  </w:style>
  <w:style w:type="character" w:customStyle="1" w:styleId="790">
    <w:name w:val="List Table 5 Dark Accent 4 CharProp9"/>
    <w:qFormat/>
    <w:uiPriority w:val="50"/>
    <w:rPr>
      <w:color w:val="FFFFFF" w:themeColor="background1"/>
      <w14:textFill>
        <w14:solidFill>
          <w14:schemeClr w14:val="bg1"/>
        </w14:solidFill>
      </w14:textFill>
    </w:rPr>
  </w:style>
  <w:style w:type="character" w:customStyle="1" w:styleId="791">
    <w:name w:val="List Table 5 Dark Accent 4 CharProp8"/>
    <w:qFormat/>
    <w:uiPriority w:val="50"/>
    <w:rPr>
      <w:color w:val="FFFFFF" w:themeColor="background1"/>
      <w14:textFill>
        <w14:solidFill>
          <w14:schemeClr w14:val="bg1"/>
        </w14:solidFill>
      </w14:textFill>
    </w:rPr>
  </w:style>
  <w:style w:type="character" w:customStyle="1" w:styleId="792">
    <w:name w:val="List Table 5 Dark Accent 4 CharProp7"/>
    <w:uiPriority w:val="50"/>
    <w:rPr>
      <w:color w:val="FFFFFF" w:themeColor="background1"/>
      <w14:textFill>
        <w14:solidFill>
          <w14:schemeClr w14:val="bg1"/>
        </w14:solidFill>
      </w14:textFill>
    </w:rPr>
  </w:style>
  <w:style w:type="character" w:customStyle="1" w:styleId="793">
    <w:name w:val="List Table 5 Dark Accent 4 CharProp6"/>
    <w:uiPriority w:val="50"/>
    <w:rPr>
      <w:color w:val="FFFFFF" w:themeColor="background1"/>
      <w14:textFill>
        <w14:solidFill>
          <w14:schemeClr w14:val="bg1"/>
        </w14:solidFill>
      </w14:textFill>
    </w:rPr>
  </w:style>
  <w:style w:type="character" w:customStyle="1" w:styleId="794">
    <w:name w:val="List Table 5 Dark Accent 4 CharProp5"/>
    <w:uiPriority w:val="50"/>
    <w:rPr>
      <w:color w:val="FFFFFF" w:themeColor="background1"/>
      <w14:textFill>
        <w14:solidFill>
          <w14:schemeClr w14:val="bg1"/>
        </w14:solidFill>
      </w14:textFill>
    </w:rPr>
  </w:style>
  <w:style w:type="character" w:customStyle="1" w:styleId="795">
    <w:name w:val="List Table 5 Dark Accent 4 CharProp4"/>
    <w:qFormat/>
    <w:uiPriority w:val="50"/>
    <w:rPr>
      <w:color w:val="FFFFFF" w:themeColor="background1"/>
      <w14:textFill>
        <w14:solidFill>
          <w14:schemeClr w14:val="bg1"/>
        </w14:solidFill>
      </w14:textFill>
    </w:rPr>
  </w:style>
  <w:style w:type="character" w:customStyle="1" w:styleId="796">
    <w:name w:val="List Table 5 Dark Accent 4 CharProp3"/>
    <w:qFormat/>
    <w:uiPriority w:val="50"/>
    <w:rPr>
      <w:color w:val="FFFFFF" w:themeColor="background1"/>
      <w14:textFill>
        <w14:solidFill>
          <w14:schemeClr w14:val="bg1"/>
        </w14:solidFill>
      </w14:textFill>
    </w:rPr>
  </w:style>
  <w:style w:type="character" w:customStyle="1" w:styleId="797">
    <w:name w:val="List Table 5 Dark Accent 4 CharProp2"/>
    <w:qFormat/>
    <w:uiPriority w:val="50"/>
    <w:rPr>
      <w:color w:val="FFFFFF" w:themeColor="background1"/>
      <w14:textFill>
        <w14:solidFill>
          <w14:schemeClr w14:val="bg1"/>
        </w14:solidFill>
      </w14:textFill>
    </w:rPr>
  </w:style>
  <w:style w:type="character" w:customStyle="1" w:styleId="798">
    <w:name w:val="List Table 5 Dark Accent 4 CharProp1"/>
    <w:qFormat/>
    <w:uiPriority w:val="50"/>
    <w:rPr>
      <w:color w:val="FFFFFF" w:themeColor="background1"/>
      <w14:textFill>
        <w14:solidFill>
          <w14:schemeClr w14:val="bg1"/>
        </w14:solidFill>
      </w14:textFill>
    </w:rPr>
  </w:style>
  <w:style w:type="character" w:customStyle="1" w:styleId="799">
    <w:name w:val="List Table 5 Dark Accent 4 CharProp"/>
    <w:qFormat/>
    <w:uiPriority w:val="50"/>
    <w:rPr>
      <w:color w:val="FFFFFF" w:themeColor="background1"/>
      <w14:textFill>
        <w14:solidFill>
          <w14:schemeClr w14:val="bg1"/>
        </w14:solidFill>
      </w14:textFill>
    </w:rPr>
  </w:style>
  <w:style w:type="table" w:customStyle="1" w:styleId="800">
    <w:name w:val="清单表 5 深色 - 着色 51"/>
    <w:basedOn w:val="89"/>
    <w:qFormat/>
    <w:uiPriority w:val="50"/>
    <w:rPr>
      <w:color w:val="FFFFFF" w:themeColor="background1"/>
      <w14:textFill>
        <w14:solidFill>
          <w14:schemeClr w14:val="bg1"/>
        </w14:solidFill>
      </w14:textFill>
    </w:rPr>
    <w:tblPr>
      <w:tblBorders>
        <w:top w:val="single" w:color="4BACC6" w:themeColor="accent5" w:sz="24" w:space="0"/>
        <w:left w:val="single" w:color="4BACC6" w:themeColor="accent5" w:sz="24" w:space="0"/>
        <w:bottom w:val="single" w:color="4BACC6" w:themeColor="accent5" w:sz="24" w:space="0"/>
        <w:right w:val="single" w:color="4BACC6" w:themeColor="accent5" w:sz="24" w:space="0"/>
      </w:tblBorders>
    </w:tblPr>
    <w:tcPr>
      <w:shd w:val="clear" w:color="auto" w:fill="4BACC6"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801">
    <w:name w:val="List Table 5 Dark Accent 5 CharProp11"/>
    <w:qFormat/>
    <w:uiPriority w:val="50"/>
    <w:rPr>
      <w:color w:val="FFFFFF" w:themeColor="background1"/>
      <w14:textFill>
        <w14:solidFill>
          <w14:schemeClr w14:val="bg1"/>
        </w14:solidFill>
      </w14:textFill>
    </w:rPr>
  </w:style>
  <w:style w:type="character" w:customStyle="1" w:styleId="802">
    <w:name w:val="List Table 5 Dark Accent 5 CharProp10"/>
    <w:qFormat/>
    <w:uiPriority w:val="50"/>
    <w:rPr>
      <w:color w:val="FFFFFF" w:themeColor="background1"/>
      <w14:textFill>
        <w14:solidFill>
          <w14:schemeClr w14:val="bg1"/>
        </w14:solidFill>
      </w14:textFill>
    </w:rPr>
  </w:style>
  <w:style w:type="character" w:customStyle="1" w:styleId="803">
    <w:name w:val="List Table 5 Dark Accent 5 CharProp9"/>
    <w:qFormat/>
    <w:uiPriority w:val="50"/>
    <w:rPr>
      <w:color w:val="FFFFFF" w:themeColor="background1"/>
      <w14:textFill>
        <w14:solidFill>
          <w14:schemeClr w14:val="bg1"/>
        </w14:solidFill>
      </w14:textFill>
    </w:rPr>
  </w:style>
  <w:style w:type="character" w:customStyle="1" w:styleId="804">
    <w:name w:val="List Table 5 Dark Accent 5 CharProp8"/>
    <w:qFormat/>
    <w:uiPriority w:val="50"/>
    <w:rPr>
      <w:color w:val="FFFFFF" w:themeColor="background1"/>
      <w14:textFill>
        <w14:solidFill>
          <w14:schemeClr w14:val="bg1"/>
        </w14:solidFill>
      </w14:textFill>
    </w:rPr>
  </w:style>
  <w:style w:type="character" w:customStyle="1" w:styleId="805">
    <w:name w:val="List Table 5 Dark Accent 5 CharProp7"/>
    <w:qFormat/>
    <w:uiPriority w:val="50"/>
    <w:rPr>
      <w:color w:val="FFFFFF" w:themeColor="background1"/>
      <w14:textFill>
        <w14:solidFill>
          <w14:schemeClr w14:val="bg1"/>
        </w14:solidFill>
      </w14:textFill>
    </w:rPr>
  </w:style>
  <w:style w:type="character" w:customStyle="1" w:styleId="806">
    <w:name w:val="List Table 5 Dark Accent 5 CharProp6"/>
    <w:uiPriority w:val="50"/>
    <w:rPr>
      <w:color w:val="FFFFFF" w:themeColor="background1"/>
      <w14:textFill>
        <w14:solidFill>
          <w14:schemeClr w14:val="bg1"/>
        </w14:solidFill>
      </w14:textFill>
    </w:rPr>
  </w:style>
  <w:style w:type="character" w:customStyle="1" w:styleId="807">
    <w:name w:val="List Table 5 Dark Accent 5 CharProp5"/>
    <w:qFormat/>
    <w:uiPriority w:val="50"/>
    <w:rPr>
      <w:color w:val="FFFFFF" w:themeColor="background1"/>
      <w14:textFill>
        <w14:solidFill>
          <w14:schemeClr w14:val="bg1"/>
        </w14:solidFill>
      </w14:textFill>
    </w:rPr>
  </w:style>
  <w:style w:type="character" w:customStyle="1" w:styleId="808">
    <w:name w:val="List Table 5 Dark Accent 5 CharProp4"/>
    <w:qFormat/>
    <w:uiPriority w:val="50"/>
    <w:rPr>
      <w:color w:val="FFFFFF" w:themeColor="background1"/>
      <w14:textFill>
        <w14:solidFill>
          <w14:schemeClr w14:val="bg1"/>
        </w14:solidFill>
      </w14:textFill>
    </w:rPr>
  </w:style>
  <w:style w:type="character" w:customStyle="1" w:styleId="809">
    <w:name w:val="List Table 5 Dark Accent 5 CharProp3"/>
    <w:qFormat/>
    <w:uiPriority w:val="50"/>
    <w:rPr>
      <w:color w:val="FFFFFF" w:themeColor="background1"/>
      <w14:textFill>
        <w14:solidFill>
          <w14:schemeClr w14:val="bg1"/>
        </w14:solidFill>
      </w14:textFill>
    </w:rPr>
  </w:style>
  <w:style w:type="character" w:customStyle="1" w:styleId="810">
    <w:name w:val="List Table 5 Dark Accent 5 CharProp2"/>
    <w:qFormat/>
    <w:uiPriority w:val="50"/>
    <w:rPr>
      <w:color w:val="FFFFFF" w:themeColor="background1"/>
      <w14:textFill>
        <w14:solidFill>
          <w14:schemeClr w14:val="bg1"/>
        </w14:solidFill>
      </w14:textFill>
    </w:rPr>
  </w:style>
  <w:style w:type="character" w:customStyle="1" w:styleId="811">
    <w:name w:val="List Table 5 Dark Accent 5 CharProp1"/>
    <w:qFormat/>
    <w:uiPriority w:val="50"/>
    <w:rPr>
      <w:color w:val="FFFFFF" w:themeColor="background1"/>
      <w14:textFill>
        <w14:solidFill>
          <w14:schemeClr w14:val="bg1"/>
        </w14:solidFill>
      </w14:textFill>
    </w:rPr>
  </w:style>
  <w:style w:type="character" w:customStyle="1" w:styleId="812">
    <w:name w:val="List Table 5 Dark Accent 5 CharProp"/>
    <w:qFormat/>
    <w:uiPriority w:val="50"/>
    <w:rPr>
      <w:color w:val="FFFFFF" w:themeColor="background1"/>
      <w14:textFill>
        <w14:solidFill>
          <w14:schemeClr w14:val="bg1"/>
        </w14:solidFill>
      </w14:textFill>
    </w:rPr>
  </w:style>
  <w:style w:type="table" w:customStyle="1" w:styleId="813">
    <w:name w:val="清单表 5 深色 - 着色 61"/>
    <w:basedOn w:val="89"/>
    <w:qFormat/>
    <w:uiPriority w:val="50"/>
    <w:rPr>
      <w:color w:val="FFFFFF" w:themeColor="background1"/>
      <w14:textFill>
        <w14:solidFill>
          <w14:schemeClr w14:val="bg1"/>
        </w14:solidFill>
      </w14:textFill>
    </w:rPr>
    <w:tblPr>
      <w:tblBorders>
        <w:top w:val="single" w:color="F79646" w:themeColor="accent6" w:sz="24" w:space="0"/>
        <w:left w:val="single" w:color="F79646" w:themeColor="accent6" w:sz="24" w:space="0"/>
        <w:bottom w:val="single" w:color="F79646" w:themeColor="accent6" w:sz="24" w:space="0"/>
        <w:right w:val="single" w:color="F79646" w:themeColor="accent6" w:sz="24" w:space="0"/>
      </w:tblBorders>
    </w:tblPr>
    <w:tcPr>
      <w:shd w:val="clear" w:color="auto" w:fill="F79646"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814">
    <w:name w:val="List Table 5 Dark Accent 6 CharProp11"/>
    <w:uiPriority w:val="50"/>
    <w:rPr>
      <w:color w:val="FFFFFF" w:themeColor="background1"/>
      <w14:textFill>
        <w14:solidFill>
          <w14:schemeClr w14:val="bg1"/>
        </w14:solidFill>
      </w14:textFill>
    </w:rPr>
  </w:style>
  <w:style w:type="character" w:customStyle="1" w:styleId="815">
    <w:name w:val="List Table 5 Dark Accent 6 CharProp10"/>
    <w:qFormat/>
    <w:uiPriority w:val="50"/>
    <w:rPr>
      <w:color w:val="FFFFFF" w:themeColor="background1"/>
      <w14:textFill>
        <w14:solidFill>
          <w14:schemeClr w14:val="bg1"/>
        </w14:solidFill>
      </w14:textFill>
    </w:rPr>
  </w:style>
  <w:style w:type="character" w:customStyle="1" w:styleId="816">
    <w:name w:val="List Table 5 Dark Accent 6 CharProp9"/>
    <w:qFormat/>
    <w:uiPriority w:val="50"/>
    <w:rPr>
      <w:color w:val="FFFFFF" w:themeColor="background1"/>
      <w14:textFill>
        <w14:solidFill>
          <w14:schemeClr w14:val="bg1"/>
        </w14:solidFill>
      </w14:textFill>
    </w:rPr>
  </w:style>
  <w:style w:type="character" w:customStyle="1" w:styleId="817">
    <w:name w:val="List Table 5 Dark Accent 6 CharProp8"/>
    <w:qFormat/>
    <w:uiPriority w:val="50"/>
    <w:rPr>
      <w:color w:val="FFFFFF" w:themeColor="background1"/>
      <w14:textFill>
        <w14:solidFill>
          <w14:schemeClr w14:val="bg1"/>
        </w14:solidFill>
      </w14:textFill>
    </w:rPr>
  </w:style>
  <w:style w:type="character" w:customStyle="1" w:styleId="818">
    <w:name w:val="List Table 5 Dark Accent 6 CharProp7"/>
    <w:qFormat/>
    <w:uiPriority w:val="50"/>
    <w:rPr>
      <w:color w:val="FFFFFF" w:themeColor="background1"/>
      <w14:textFill>
        <w14:solidFill>
          <w14:schemeClr w14:val="bg1"/>
        </w14:solidFill>
      </w14:textFill>
    </w:rPr>
  </w:style>
  <w:style w:type="character" w:customStyle="1" w:styleId="819">
    <w:name w:val="List Table 5 Dark Accent 6 CharProp6"/>
    <w:qFormat/>
    <w:uiPriority w:val="50"/>
    <w:rPr>
      <w:color w:val="FFFFFF" w:themeColor="background1"/>
      <w14:textFill>
        <w14:solidFill>
          <w14:schemeClr w14:val="bg1"/>
        </w14:solidFill>
      </w14:textFill>
    </w:rPr>
  </w:style>
  <w:style w:type="character" w:customStyle="1" w:styleId="820">
    <w:name w:val="List Table 5 Dark Accent 6 CharProp5"/>
    <w:qFormat/>
    <w:uiPriority w:val="50"/>
    <w:rPr>
      <w:color w:val="FFFFFF" w:themeColor="background1"/>
      <w14:textFill>
        <w14:solidFill>
          <w14:schemeClr w14:val="bg1"/>
        </w14:solidFill>
      </w14:textFill>
    </w:rPr>
  </w:style>
  <w:style w:type="character" w:customStyle="1" w:styleId="821">
    <w:name w:val="List Table 5 Dark Accent 6 CharProp4"/>
    <w:qFormat/>
    <w:uiPriority w:val="50"/>
    <w:rPr>
      <w:color w:val="FFFFFF" w:themeColor="background1"/>
      <w14:textFill>
        <w14:solidFill>
          <w14:schemeClr w14:val="bg1"/>
        </w14:solidFill>
      </w14:textFill>
    </w:rPr>
  </w:style>
  <w:style w:type="character" w:customStyle="1" w:styleId="822">
    <w:name w:val="List Table 5 Dark Accent 6 CharProp3"/>
    <w:uiPriority w:val="50"/>
    <w:rPr>
      <w:color w:val="FFFFFF" w:themeColor="background1"/>
      <w14:textFill>
        <w14:solidFill>
          <w14:schemeClr w14:val="bg1"/>
        </w14:solidFill>
      </w14:textFill>
    </w:rPr>
  </w:style>
  <w:style w:type="character" w:customStyle="1" w:styleId="823">
    <w:name w:val="List Table 5 Dark Accent 6 CharProp2"/>
    <w:qFormat/>
    <w:uiPriority w:val="50"/>
    <w:rPr>
      <w:color w:val="FFFFFF" w:themeColor="background1"/>
      <w14:textFill>
        <w14:solidFill>
          <w14:schemeClr w14:val="bg1"/>
        </w14:solidFill>
      </w14:textFill>
    </w:rPr>
  </w:style>
  <w:style w:type="character" w:customStyle="1" w:styleId="824">
    <w:name w:val="List Table 5 Dark Accent 6 CharProp1"/>
    <w:qFormat/>
    <w:uiPriority w:val="50"/>
    <w:rPr>
      <w:color w:val="FFFFFF" w:themeColor="background1"/>
      <w14:textFill>
        <w14:solidFill>
          <w14:schemeClr w14:val="bg1"/>
        </w14:solidFill>
      </w14:textFill>
    </w:rPr>
  </w:style>
  <w:style w:type="character" w:customStyle="1" w:styleId="825">
    <w:name w:val="List Table 5 Dark Accent 6 CharProp"/>
    <w:uiPriority w:val="50"/>
    <w:rPr>
      <w:color w:val="FFFFFF" w:themeColor="background1"/>
      <w14:textFill>
        <w14:solidFill>
          <w14:schemeClr w14:val="bg1"/>
        </w14:solidFill>
      </w14:textFill>
    </w:rPr>
  </w:style>
  <w:style w:type="table" w:customStyle="1" w:styleId="826">
    <w:name w:val="清单表 6 彩色1"/>
    <w:basedOn w:val="8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827">
    <w:name w:val="List Table 6 Colorful CharProp11"/>
    <w:qFormat/>
    <w:uiPriority w:val="51"/>
    <w:rPr>
      <w:color w:val="000000" w:themeColor="text1"/>
      <w14:textFill>
        <w14:solidFill>
          <w14:schemeClr w14:val="tx1"/>
        </w14:solidFill>
      </w14:textFill>
    </w:rPr>
  </w:style>
  <w:style w:type="character" w:customStyle="1" w:styleId="828">
    <w:name w:val="List Table 6 Colorful CharProp10"/>
    <w:qFormat/>
    <w:uiPriority w:val="51"/>
    <w:rPr>
      <w:color w:val="000000" w:themeColor="text1"/>
      <w14:textFill>
        <w14:solidFill>
          <w14:schemeClr w14:val="tx1"/>
        </w14:solidFill>
      </w14:textFill>
    </w:rPr>
  </w:style>
  <w:style w:type="character" w:customStyle="1" w:styleId="829">
    <w:name w:val="List Table 6 Colorful CharProp9"/>
    <w:qFormat/>
    <w:uiPriority w:val="51"/>
    <w:rPr>
      <w:color w:val="000000" w:themeColor="text1"/>
      <w14:textFill>
        <w14:solidFill>
          <w14:schemeClr w14:val="tx1"/>
        </w14:solidFill>
      </w14:textFill>
    </w:rPr>
  </w:style>
  <w:style w:type="character" w:customStyle="1" w:styleId="830">
    <w:name w:val="List Table 6 Colorful CharProp8"/>
    <w:qFormat/>
    <w:uiPriority w:val="51"/>
    <w:rPr>
      <w:color w:val="000000" w:themeColor="text1"/>
      <w14:textFill>
        <w14:solidFill>
          <w14:schemeClr w14:val="tx1"/>
        </w14:solidFill>
      </w14:textFill>
    </w:rPr>
  </w:style>
  <w:style w:type="character" w:customStyle="1" w:styleId="831">
    <w:name w:val="List Table 6 Colorful CharProp7"/>
    <w:qFormat/>
    <w:uiPriority w:val="51"/>
    <w:rPr>
      <w:color w:val="000000" w:themeColor="text1"/>
      <w14:textFill>
        <w14:solidFill>
          <w14:schemeClr w14:val="tx1"/>
        </w14:solidFill>
      </w14:textFill>
    </w:rPr>
  </w:style>
  <w:style w:type="character" w:customStyle="1" w:styleId="832">
    <w:name w:val="List Table 6 Colorful CharProp6"/>
    <w:qFormat/>
    <w:uiPriority w:val="51"/>
    <w:rPr>
      <w:color w:val="000000" w:themeColor="text1"/>
      <w14:textFill>
        <w14:solidFill>
          <w14:schemeClr w14:val="tx1"/>
        </w14:solidFill>
      </w14:textFill>
    </w:rPr>
  </w:style>
  <w:style w:type="character" w:customStyle="1" w:styleId="833">
    <w:name w:val="List Table 6 Colorful CharProp5"/>
    <w:qFormat/>
    <w:uiPriority w:val="51"/>
    <w:rPr>
      <w:color w:val="000000" w:themeColor="text1"/>
      <w14:textFill>
        <w14:solidFill>
          <w14:schemeClr w14:val="tx1"/>
        </w14:solidFill>
      </w14:textFill>
    </w:rPr>
  </w:style>
  <w:style w:type="character" w:customStyle="1" w:styleId="834">
    <w:name w:val="List Table 6 Colorful CharProp4"/>
    <w:uiPriority w:val="51"/>
    <w:rPr>
      <w:color w:val="000000" w:themeColor="text1"/>
      <w14:textFill>
        <w14:solidFill>
          <w14:schemeClr w14:val="tx1"/>
        </w14:solidFill>
      </w14:textFill>
    </w:rPr>
  </w:style>
  <w:style w:type="character" w:customStyle="1" w:styleId="835">
    <w:name w:val="List Table 6 Colorful CharProp3"/>
    <w:qFormat/>
    <w:uiPriority w:val="51"/>
    <w:rPr>
      <w:color w:val="000000" w:themeColor="text1"/>
      <w14:textFill>
        <w14:solidFill>
          <w14:schemeClr w14:val="tx1"/>
        </w14:solidFill>
      </w14:textFill>
    </w:rPr>
  </w:style>
  <w:style w:type="character" w:customStyle="1" w:styleId="836">
    <w:name w:val="List Table 6 Colorful CharProp2"/>
    <w:qFormat/>
    <w:uiPriority w:val="51"/>
    <w:rPr>
      <w:color w:val="000000" w:themeColor="text1"/>
      <w14:textFill>
        <w14:solidFill>
          <w14:schemeClr w14:val="tx1"/>
        </w14:solidFill>
      </w14:textFill>
    </w:rPr>
  </w:style>
  <w:style w:type="character" w:customStyle="1" w:styleId="837">
    <w:name w:val="List Table 6 Colorful CharProp1"/>
    <w:uiPriority w:val="51"/>
    <w:rPr>
      <w:color w:val="000000" w:themeColor="text1"/>
      <w14:textFill>
        <w14:solidFill>
          <w14:schemeClr w14:val="tx1"/>
        </w14:solidFill>
      </w14:textFill>
    </w:rPr>
  </w:style>
  <w:style w:type="character" w:customStyle="1" w:styleId="838">
    <w:name w:val="List Table 6 Colorful CharProp"/>
    <w:qFormat/>
    <w:uiPriority w:val="51"/>
    <w:rPr>
      <w:color w:val="000000" w:themeColor="text1"/>
      <w14:textFill>
        <w14:solidFill>
          <w14:schemeClr w14:val="tx1"/>
        </w14:solidFill>
      </w14:textFill>
    </w:rPr>
  </w:style>
  <w:style w:type="table" w:customStyle="1" w:styleId="839">
    <w:name w:val="清单表 6 彩色 - 着色 11"/>
    <w:basedOn w:val="89"/>
    <w:qFormat/>
    <w:uiPriority w:val="51"/>
    <w:rPr>
      <w:color w:val="376092" w:themeColor="accent1" w:themeShade="BF"/>
    </w:rPr>
    <w:tblPr>
      <w:tblBorders>
        <w:top w:val="single" w:color="4F81BD" w:themeColor="accent1" w:sz="4" w:space="0"/>
        <w:bottom w:val="single" w:color="4F81BD" w:themeColor="accent1" w:sz="4" w:space="0"/>
      </w:tblBorders>
    </w:tblPr>
    <w:tblStylePr w:type="firstRow">
      <w:rPr>
        <w:b/>
        <w:bCs/>
      </w:rPr>
      <w:tcPr>
        <w:tcBorders>
          <w:bottom w:val="single" w:color="4F81BD" w:themeColor="accent1" w:sz="4" w:space="0"/>
        </w:tcBorders>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840">
    <w:name w:val="List Table 6 Colorful Accent 1 CharProp11"/>
    <w:qFormat/>
    <w:uiPriority w:val="51"/>
    <w:rPr>
      <w:color w:val="376092" w:themeColor="accent1" w:themeShade="BF"/>
    </w:rPr>
  </w:style>
  <w:style w:type="character" w:customStyle="1" w:styleId="841">
    <w:name w:val="List Table 6 Colorful Accent 1 CharProp10"/>
    <w:qFormat/>
    <w:uiPriority w:val="51"/>
    <w:rPr>
      <w:color w:val="376092" w:themeColor="accent1" w:themeShade="BF"/>
    </w:rPr>
  </w:style>
  <w:style w:type="character" w:customStyle="1" w:styleId="842">
    <w:name w:val="List Table 6 Colorful Accent 1 CharProp9"/>
    <w:qFormat/>
    <w:uiPriority w:val="51"/>
    <w:rPr>
      <w:color w:val="376092" w:themeColor="accent1" w:themeShade="BF"/>
    </w:rPr>
  </w:style>
  <w:style w:type="character" w:customStyle="1" w:styleId="843">
    <w:name w:val="List Table 6 Colorful Accent 1 CharProp8"/>
    <w:qFormat/>
    <w:uiPriority w:val="51"/>
    <w:rPr>
      <w:color w:val="376092" w:themeColor="accent1" w:themeShade="BF"/>
    </w:rPr>
  </w:style>
  <w:style w:type="character" w:customStyle="1" w:styleId="844">
    <w:name w:val="List Table 6 Colorful Accent 1 CharProp7"/>
    <w:qFormat/>
    <w:uiPriority w:val="51"/>
    <w:rPr>
      <w:color w:val="376092" w:themeColor="accent1" w:themeShade="BF"/>
    </w:rPr>
  </w:style>
  <w:style w:type="character" w:customStyle="1" w:styleId="845">
    <w:name w:val="List Table 6 Colorful Accent 1 CharProp6"/>
    <w:qFormat/>
    <w:uiPriority w:val="51"/>
    <w:rPr>
      <w:color w:val="376092" w:themeColor="accent1" w:themeShade="BF"/>
    </w:rPr>
  </w:style>
  <w:style w:type="character" w:customStyle="1" w:styleId="846">
    <w:name w:val="List Table 6 Colorful Accent 1 CharProp5"/>
    <w:qFormat/>
    <w:uiPriority w:val="51"/>
    <w:rPr>
      <w:color w:val="376092" w:themeColor="accent1" w:themeShade="BF"/>
    </w:rPr>
  </w:style>
  <w:style w:type="character" w:customStyle="1" w:styleId="847">
    <w:name w:val="List Table 6 Colorful Accent 1 CharProp4"/>
    <w:qFormat/>
    <w:uiPriority w:val="51"/>
    <w:rPr>
      <w:color w:val="376092" w:themeColor="accent1" w:themeShade="BF"/>
    </w:rPr>
  </w:style>
  <w:style w:type="character" w:customStyle="1" w:styleId="848">
    <w:name w:val="List Table 6 Colorful Accent 1 CharProp3"/>
    <w:qFormat/>
    <w:uiPriority w:val="51"/>
    <w:rPr>
      <w:color w:val="376092" w:themeColor="accent1" w:themeShade="BF"/>
    </w:rPr>
  </w:style>
  <w:style w:type="character" w:customStyle="1" w:styleId="849">
    <w:name w:val="List Table 6 Colorful Accent 1 CharProp2"/>
    <w:qFormat/>
    <w:uiPriority w:val="51"/>
    <w:rPr>
      <w:color w:val="376092" w:themeColor="accent1" w:themeShade="BF"/>
    </w:rPr>
  </w:style>
  <w:style w:type="character" w:customStyle="1" w:styleId="850">
    <w:name w:val="List Table 6 Colorful Accent 1 CharProp1"/>
    <w:qFormat/>
    <w:uiPriority w:val="51"/>
    <w:rPr>
      <w:color w:val="376092" w:themeColor="accent1" w:themeShade="BF"/>
    </w:rPr>
  </w:style>
  <w:style w:type="character" w:customStyle="1" w:styleId="851">
    <w:name w:val="List Table 6 Colorful Accent 1 CharProp"/>
    <w:qFormat/>
    <w:uiPriority w:val="51"/>
    <w:rPr>
      <w:color w:val="376092" w:themeColor="accent1" w:themeShade="BF"/>
    </w:rPr>
  </w:style>
  <w:style w:type="table" w:customStyle="1" w:styleId="852">
    <w:name w:val="清单表 6 彩色 - 着色 21"/>
    <w:basedOn w:val="89"/>
    <w:qFormat/>
    <w:uiPriority w:val="51"/>
    <w:rPr>
      <w:color w:val="953735" w:themeColor="accent2" w:themeShade="BF"/>
    </w:rPr>
    <w:tblPr>
      <w:tblBorders>
        <w:top w:val="single" w:color="C0504D" w:themeColor="accent2" w:sz="4" w:space="0"/>
        <w:bottom w:val="single" w:color="C0504D" w:themeColor="accent2" w:sz="4" w:space="0"/>
      </w:tblBorders>
    </w:tblPr>
    <w:tblStylePr w:type="firstRow">
      <w:rPr>
        <w:b/>
        <w:bCs/>
      </w:rPr>
      <w:tcPr>
        <w:tcBorders>
          <w:bottom w:val="single" w:color="C0504D" w:themeColor="accent2" w:sz="4" w:space="0"/>
        </w:tcBorders>
      </w:tcPr>
    </w:tblStylePr>
    <w:tblStylePr w:type="lastRow">
      <w:rPr>
        <w:b/>
        <w:bCs/>
      </w:rPr>
      <w:tcPr>
        <w:tcBorders>
          <w:top w:val="double" w:color="C0504D" w:themeColor="accent2"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character" w:customStyle="1" w:styleId="853">
    <w:name w:val="List Table 6 Colorful Accent 2 CharProp11"/>
    <w:qFormat/>
    <w:uiPriority w:val="51"/>
    <w:rPr>
      <w:color w:val="953735" w:themeColor="accent2" w:themeShade="BF"/>
    </w:rPr>
  </w:style>
  <w:style w:type="character" w:customStyle="1" w:styleId="854">
    <w:name w:val="List Table 6 Colorful Accent 2 CharProp10"/>
    <w:qFormat/>
    <w:uiPriority w:val="51"/>
    <w:rPr>
      <w:color w:val="953735" w:themeColor="accent2" w:themeShade="BF"/>
    </w:rPr>
  </w:style>
  <w:style w:type="character" w:customStyle="1" w:styleId="855">
    <w:name w:val="List Table 6 Colorful Accent 2 CharProp9"/>
    <w:qFormat/>
    <w:uiPriority w:val="51"/>
    <w:rPr>
      <w:color w:val="953735" w:themeColor="accent2" w:themeShade="BF"/>
    </w:rPr>
  </w:style>
  <w:style w:type="character" w:customStyle="1" w:styleId="856">
    <w:name w:val="List Table 6 Colorful Accent 2 CharProp8"/>
    <w:uiPriority w:val="51"/>
    <w:rPr>
      <w:color w:val="953735" w:themeColor="accent2" w:themeShade="BF"/>
    </w:rPr>
  </w:style>
  <w:style w:type="character" w:customStyle="1" w:styleId="857">
    <w:name w:val="List Table 6 Colorful Accent 2 CharProp7"/>
    <w:uiPriority w:val="51"/>
    <w:rPr>
      <w:color w:val="953735" w:themeColor="accent2" w:themeShade="BF"/>
    </w:rPr>
  </w:style>
  <w:style w:type="character" w:customStyle="1" w:styleId="858">
    <w:name w:val="List Table 6 Colorful Accent 2 CharProp6"/>
    <w:uiPriority w:val="51"/>
    <w:rPr>
      <w:color w:val="953735" w:themeColor="accent2" w:themeShade="BF"/>
    </w:rPr>
  </w:style>
  <w:style w:type="character" w:customStyle="1" w:styleId="859">
    <w:name w:val="List Table 6 Colorful Accent 2 CharProp5"/>
    <w:qFormat/>
    <w:uiPriority w:val="51"/>
    <w:rPr>
      <w:color w:val="953735" w:themeColor="accent2" w:themeShade="BF"/>
    </w:rPr>
  </w:style>
  <w:style w:type="character" w:customStyle="1" w:styleId="860">
    <w:name w:val="List Table 6 Colorful Accent 2 CharProp4"/>
    <w:uiPriority w:val="51"/>
    <w:rPr>
      <w:color w:val="953735" w:themeColor="accent2" w:themeShade="BF"/>
    </w:rPr>
  </w:style>
  <w:style w:type="character" w:customStyle="1" w:styleId="861">
    <w:name w:val="List Table 6 Colorful Accent 2 CharProp3"/>
    <w:uiPriority w:val="51"/>
    <w:rPr>
      <w:color w:val="953735" w:themeColor="accent2" w:themeShade="BF"/>
    </w:rPr>
  </w:style>
  <w:style w:type="character" w:customStyle="1" w:styleId="862">
    <w:name w:val="List Table 6 Colorful Accent 2 CharProp2"/>
    <w:uiPriority w:val="51"/>
    <w:rPr>
      <w:color w:val="953735" w:themeColor="accent2" w:themeShade="BF"/>
    </w:rPr>
  </w:style>
  <w:style w:type="character" w:customStyle="1" w:styleId="863">
    <w:name w:val="List Table 6 Colorful Accent 2 CharProp1"/>
    <w:qFormat/>
    <w:uiPriority w:val="51"/>
    <w:rPr>
      <w:color w:val="953735" w:themeColor="accent2" w:themeShade="BF"/>
    </w:rPr>
  </w:style>
  <w:style w:type="character" w:customStyle="1" w:styleId="864">
    <w:name w:val="List Table 6 Colorful Accent 2 CharProp"/>
    <w:qFormat/>
    <w:uiPriority w:val="51"/>
    <w:rPr>
      <w:color w:val="953735" w:themeColor="accent2" w:themeShade="BF"/>
    </w:rPr>
  </w:style>
  <w:style w:type="table" w:customStyle="1" w:styleId="865">
    <w:name w:val="清单表 6 彩色 - 着色 31"/>
    <w:basedOn w:val="89"/>
    <w:qFormat/>
    <w:uiPriority w:val="51"/>
    <w:rPr>
      <w:color w:val="77933C" w:themeColor="accent3" w:themeShade="BF"/>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character" w:customStyle="1" w:styleId="866">
    <w:name w:val="List Table 6 Colorful Accent 3 CharProp11"/>
    <w:qFormat/>
    <w:uiPriority w:val="51"/>
    <w:rPr>
      <w:color w:val="77933C" w:themeColor="accent3" w:themeShade="BF"/>
    </w:rPr>
  </w:style>
  <w:style w:type="character" w:customStyle="1" w:styleId="867">
    <w:name w:val="List Table 6 Colorful Accent 3 CharProp10"/>
    <w:qFormat/>
    <w:uiPriority w:val="51"/>
    <w:rPr>
      <w:color w:val="77933C" w:themeColor="accent3" w:themeShade="BF"/>
    </w:rPr>
  </w:style>
  <w:style w:type="character" w:customStyle="1" w:styleId="868">
    <w:name w:val="List Table 6 Colorful Accent 3 CharProp9"/>
    <w:qFormat/>
    <w:uiPriority w:val="51"/>
    <w:rPr>
      <w:color w:val="77933C" w:themeColor="accent3" w:themeShade="BF"/>
    </w:rPr>
  </w:style>
  <w:style w:type="character" w:customStyle="1" w:styleId="869">
    <w:name w:val="List Table 6 Colorful Accent 3 CharProp8"/>
    <w:qFormat/>
    <w:uiPriority w:val="51"/>
    <w:rPr>
      <w:color w:val="77933C" w:themeColor="accent3" w:themeShade="BF"/>
    </w:rPr>
  </w:style>
  <w:style w:type="character" w:customStyle="1" w:styleId="870">
    <w:name w:val="List Table 6 Colorful Accent 3 CharProp7"/>
    <w:uiPriority w:val="51"/>
    <w:rPr>
      <w:color w:val="77933C" w:themeColor="accent3" w:themeShade="BF"/>
    </w:rPr>
  </w:style>
  <w:style w:type="character" w:customStyle="1" w:styleId="871">
    <w:name w:val="List Table 6 Colorful Accent 3 CharProp6"/>
    <w:qFormat/>
    <w:uiPriority w:val="51"/>
    <w:rPr>
      <w:color w:val="77933C" w:themeColor="accent3" w:themeShade="BF"/>
    </w:rPr>
  </w:style>
  <w:style w:type="character" w:customStyle="1" w:styleId="872">
    <w:name w:val="List Table 6 Colorful Accent 3 CharProp5"/>
    <w:qFormat/>
    <w:uiPriority w:val="51"/>
    <w:rPr>
      <w:color w:val="77933C" w:themeColor="accent3" w:themeShade="BF"/>
    </w:rPr>
  </w:style>
  <w:style w:type="character" w:customStyle="1" w:styleId="873">
    <w:name w:val="List Table 6 Colorful Accent 3 CharProp4"/>
    <w:qFormat/>
    <w:uiPriority w:val="51"/>
    <w:rPr>
      <w:color w:val="77933C" w:themeColor="accent3" w:themeShade="BF"/>
    </w:rPr>
  </w:style>
  <w:style w:type="character" w:customStyle="1" w:styleId="874">
    <w:name w:val="List Table 6 Colorful Accent 3 CharProp3"/>
    <w:uiPriority w:val="51"/>
    <w:rPr>
      <w:color w:val="77933C" w:themeColor="accent3" w:themeShade="BF"/>
    </w:rPr>
  </w:style>
  <w:style w:type="character" w:customStyle="1" w:styleId="875">
    <w:name w:val="List Table 6 Colorful Accent 3 CharProp2"/>
    <w:qFormat/>
    <w:uiPriority w:val="51"/>
    <w:rPr>
      <w:color w:val="77933C" w:themeColor="accent3" w:themeShade="BF"/>
    </w:rPr>
  </w:style>
  <w:style w:type="character" w:customStyle="1" w:styleId="876">
    <w:name w:val="List Table 6 Colorful Accent 3 CharProp1"/>
    <w:qFormat/>
    <w:uiPriority w:val="51"/>
    <w:rPr>
      <w:color w:val="77933C" w:themeColor="accent3" w:themeShade="BF"/>
    </w:rPr>
  </w:style>
  <w:style w:type="character" w:customStyle="1" w:styleId="877">
    <w:name w:val="List Table 6 Colorful Accent 3 CharProp"/>
    <w:qFormat/>
    <w:uiPriority w:val="51"/>
    <w:rPr>
      <w:color w:val="77933C" w:themeColor="accent3" w:themeShade="BF"/>
    </w:rPr>
  </w:style>
  <w:style w:type="table" w:customStyle="1" w:styleId="878">
    <w:name w:val="清单表 6 彩色 - 着色 41"/>
    <w:basedOn w:val="89"/>
    <w:qFormat/>
    <w:uiPriority w:val="51"/>
    <w:rPr>
      <w:color w:val="604A7B" w:themeColor="accent4" w:themeShade="BF"/>
    </w:rPr>
    <w:tblPr>
      <w:tblBorders>
        <w:top w:val="single" w:color="8064A2" w:themeColor="accent4" w:sz="4" w:space="0"/>
        <w:bottom w:val="single" w:color="8064A2" w:themeColor="accent4" w:sz="4" w:space="0"/>
      </w:tblBorders>
    </w:tblPr>
    <w:tblStylePr w:type="firstRow">
      <w:rPr>
        <w:b/>
        <w:bCs/>
      </w:rPr>
      <w:tcPr>
        <w:tcBorders>
          <w:bottom w:val="single" w:color="8064A2" w:themeColor="accent4" w:sz="4" w:space="0"/>
        </w:tcBorders>
      </w:tcPr>
    </w:tblStylePr>
    <w:tblStylePr w:type="lastRow">
      <w:rPr>
        <w:b/>
        <w:bCs/>
      </w:rPr>
      <w:tcPr>
        <w:tcBorders>
          <w:top w:val="double" w:color="8064A2" w:themeColor="accent4"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character" w:customStyle="1" w:styleId="879">
    <w:name w:val="List Table 6 Colorful Accent 4 CharProp11"/>
    <w:qFormat/>
    <w:uiPriority w:val="51"/>
    <w:rPr>
      <w:color w:val="604A7B" w:themeColor="accent4" w:themeShade="BF"/>
    </w:rPr>
  </w:style>
  <w:style w:type="character" w:customStyle="1" w:styleId="880">
    <w:name w:val="List Table 6 Colorful Accent 4 CharProp10"/>
    <w:qFormat/>
    <w:uiPriority w:val="51"/>
    <w:rPr>
      <w:color w:val="604A7B" w:themeColor="accent4" w:themeShade="BF"/>
    </w:rPr>
  </w:style>
  <w:style w:type="character" w:customStyle="1" w:styleId="881">
    <w:name w:val="List Table 6 Colorful Accent 4 CharProp9"/>
    <w:qFormat/>
    <w:uiPriority w:val="51"/>
    <w:rPr>
      <w:color w:val="604A7B" w:themeColor="accent4" w:themeShade="BF"/>
    </w:rPr>
  </w:style>
  <w:style w:type="character" w:customStyle="1" w:styleId="882">
    <w:name w:val="List Table 6 Colorful Accent 4 CharProp8"/>
    <w:qFormat/>
    <w:uiPriority w:val="51"/>
    <w:rPr>
      <w:color w:val="604A7B" w:themeColor="accent4" w:themeShade="BF"/>
    </w:rPr>
  </w:style>
  <w:style w:type="character" w:customStyle="1" w:styleId="883">
    <w:name w:val="List Table 6 Colorful Accent 4 CharProp7"/>
    <w:qFormat/>
    <w:uiPriority w:val="51"/>
    <w:rPr>
      <w:color w:val="604A7B" w:themeColor="accent4" w:themeShade="BF"/>
    </w:rPr>
  </w:style>
  <w:style w:type="character" w:customStyle="1" w:styleId="884">
    <w:name w:val="List Table 6 Colorful Accent 4 CharProp6"/>
    <w:qFormat/>
    <w:uiPriority w:val="51"/>
    <w:rPr>
      <w:color w:val="604A7B" w:themeColor="accent4" w:themeShade="BF"/>
    </w:rPr>
  </w:style>
  <w:style w:type="character" w:customStyle="1" w:styleId="885">
    <w:name w:val="List Table 6 Colorful Accent 4 CharProp5"/>
    <w:qFormat/>
    <w:uiPriority w:val="51"/>
    <w:rPr>
      <w:color w:val="604A7B" w:themeColor="accent4" w:themeShade="BF"/>
    </w:rPr>
  </w:style>
  <w:style w:type="character" w:customStyle="1" w:styleId="886">
    <w:name w:val="List Table 6 Colorful Accent 4 CharProp4"/>
    <w:qFormat/>
    <w:uiPriority w:val="51"/>
    <w:rPr>
      <w:color w:val="604A7B" w:themeColor="accent4" w:themeShade="BF"/>
    </w:rPr>
  </w:style>
  <w:style w:type="character" w:customStyle="1" w:styleId="887">
    <w:name w:val="List Table 6 Colorful Accent 4 CharProp3"/>
    <w:qFormat/>
    <w:uiPriority w:val="51"/>
    <w:rPr>
      <w:color w:val="604A7B" w:themeColor="accent4" w:themeShade="BF"/>
    </w:rPr>
  </w:style>
  <w:style w:type="character" w:customStyle="1" w:styleId="888">
    <w:name w:val="List Table 6 Colorful Accent 4 CharProp2"/>
    <w:qFormat/>
    <w:uiPriority w:val="51"/>
    <w:rPr>
      <w:color w:val="604A7B" w:themeColor="accent4" w:themeShade="BF"/>
    </w:rPr>
  </w:style>
  <w:style w:type="character" w:customStyle="1" w:styleId="889">
    <w:name w:val="List Table 6 Colorful Accent 4 CharProp1"/>
    <w:qFormat/>
    <w:uiPriority w:val="51"/>
    <w:rPr>
      <w:color w:val="604A7B" w:themeColor="accent4" w:themeShade="BF"/>
    </w:rPr>
  </w:style>
  <w:style w:type="character" w:customStyle="1" w:styleId="890">
    <w:name w:val="List Table 6 Colorful Accent 4 CharProp"/>
    <w:qFormat/>
    <w:uiPriority w:val="51"/>
    <w:rPr>
      <w:color w:val="604A7B" w:themeColor="accent4" w:themeShade="BF"/>
    </w:rPr>
  </w:style>
  <w:style w:type="table" w:customStyle="1" w:styleId="891">
    <w:name w:val="清单表 6 彩色 - 着色 51"/>
    <w:basedOn w:val="89"/>
    <w:qFormat/>
    <w:uiPriority w:val="51"/>
    <w:rPr>
      <w:color w:val="31859C" w:themeColor="accent5" w:themeShade="BF"/>
    </w:rPr>
    <w:tblPr>
      <w:tblBorders>
        <w:top w:val="single" w:color="4BACC6" w:themeColor="accent5" w:sz="4" w:space="0"/>
        <w:bottom w:val="single" w:color="4BACC6" w:themeColor="accent5" w:sz="4" w:space="0"/>
      </w:tblBorders>
    </w:tblPr>
    <w:tblStylePr w:type="firstRow">
      <w:rPr>
        <w:b/>
        <w:bCs/>
      </w:rPr>
      <w:tcPr>
        <w:tcBorders>
          <w:bottom w:val="single" w:color="4BACC6" w:themeColor="accent5" w:sz="4" w:space="0"/>
        </w:tcBorders>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character" w:customStyle="1" w:styleId="892">
    <w:name w:val="List Table 6 Colorful Accent 5 CharProp11"/>
    <w:qFormat/>
    <w:uiPriority w:val="51"/>
    <w:rPr>
      <w:color w:val="31859C" w:themeColor="accent5" w:themeShade="BF"/>
    </w:rPr>
  </w:style>
  <w:style w:type="character" w:customStyle="1" w:styleId="893">
    <w:name w:val="List Table 6 Colorful Accent 5 CharProp10"/>
    <w:qFormat/>
    <w:uiPriority w:val="51"/>
    <w:rPr>
      <w:color w:val="31859C" w:themeColor="accent5" w:themeShade="BF"/>
    </w:rPr>
  </w:style>
  <w:style w:type="character" w:customStyle="1" w:styleId="894">
    <w:name w:val="List Table 6 Colorful Accent 5 CharProp9"/>
    <w:qFormat/>
    <w:uiPriority w:val="51"/>
    <w:rPr>
      <w:color w:val="31859C" w:themeColor="accent5" w:themeShade="BF"/>
    </w:rPr>
  </w:style>
  <w:style w:type="character" w:customStyle="1" w:styleId="895">
    <w:name w:val="List Table 6 Colorful Accent 5 CharProp8"/>
    <w:qFormat/>
    <w:uiPriority w:val="51"/>
    <w:rPr>
      <w:color w:val="31859C" w:themeColor="accent5" w:themeShade="BF"/>
    </w:rPr>
  </w:style>
  <w:style w:type="character" w:customStyle="1" w:styleId="896">
    <w:name w:val="List Table 6 Colorful Accent 5 CharProp7"/>
    <w:qFormat/>
    <w:uiPriority w:val="51"/>
    <w:rPr>
      <w:color w:val="31859C" w:themeColor="accent5" w:themeShade="BF"/>
    </w:rPr>
  </w:style>
  <w:style w:type="character" w:customStyle="1" w:styleId="897">
    <w:name w:val="List Table 6 Colorful Accent 5 CharProp6"/>
    <w:qFormat/>
    <w:uiPriority w:val="51"/>
    <w:rPr>
      <w:color w:val="31859C" w:themeColor="accent5" w:themeShade="BF"/>
    </w:rPr>
  </w:style>
  <w:style w:type="character" w:customStyle="1" w:styleId="898">
    <w:name w:val="List Table 6 Colorful Accent 5 CharProp5"/>
    <w:qFormat/>
    <w:uiPriority w:val="51"/>
    <w:rPr>
      <w:color w:val="31859C" w:themeColor="accent5" w:themeShade="BF"/>
    </w:rPr>
  </w:style>
  <w:style w:type="character" w:customStyle="1" w:styleId="899">
    <w:name w:val="List Table 6 Colorful Accent 5 CharProp4"/>
    <w:qFormat/>
    <w:uiPriority w:val="51"/>
    <w:rPr>
      <w:color w:val="31859C" w:themeColor="accent5" w:themeShade="BF"/>
    </w:rPr>
  </w:style>
  <w:style w:type="character" w:customStyle="1" w:styleId="900">
    <w:name w:val="List Table 6 Colorful Accent 5 CharProp3"/>
    <w:qFormat/>
    <w:uiPriority w:val="51"/>
    <w:rPr>
      <w:color w:val="31859C" w:themeColor="accent5" w:themeShade="BF"/>
    </w:rPr>
  </w:style>
  <w:style w:type="character" w:customStyle="1" w:styleId="901">
    <w:name w:val="List Table 6 Colorful Accent 5 CharProp2"/>
    <w:qFormat/>
    <w:uiPriority w:val="51"/>
    <w:rPr>
      <w:color w:val="31859C" w:themeColor="accent5" w:themeShade="BF"/>
    </w:rPr>
  </w:style>
  <w:style w:type="character" w:customStyle="1" w:styleId="902">
    <w:name w:val="List Table 6 Colorful Accent 5 CharProp1"/>
    <w:qFormat/>
    <w:uiPriority w:val="51"/>
    <w:rPr>
      <w:color w:val="31859C" w:themeColor="accent5" w:themeShade="BF"/>
    </w:rPr>
  </w:style>
  <w:style w:type="character" w:customStyle="1" w:styleId="903">
    <w:name w:val="List Table 6 Colorful Accent 5 CharProp"/>
    <w:qFormat/>
    <w:uiPriority w:val="51"/>
    <w:rPr>
      <w:color w:val="31859C" w:themeColor="accent5" w:themeShade="BF"/>
    </w:rPr>
  </w:style>
  <w:style w:type="table" w:customStyle="1" w:styleId="904">
    <w:name w:val="清单表 6 彩色 - 着色 61"/>
    <w:basedOn w:val="89"/>
    <w:qFormat/>
    <w:uiPriority w:val="51"/>
    <w:rPr>
      <w:color w:val="E46C0A" w:themeColor="accent6" w:themeShade="BF"/>
    </w:rPr>
    <w:tblPr>
      <w:tblBorders>
        <w:top w:val="single" w:color="F79646" w:themeColor="accent6" w:sz="4" w:space="0"/>
        <w:bottom w:val="single" w:color="F79646" w:themeColor="accent6" w:sz="4" w:space="0"/>
      </w:tblBorders>
    </w:tblPr>
    <w:tblStylePr w:type="firstRow">
      <w:rPr>
        <w:b/>
        <w:bCs/>
      </w:rPr>
      <w:tcPr>
        <w:tcBorders>
          <w:bottom w:val="single" w:color="F79646" w:themeColor="accent6" w:sz="4" w:space="0"/>
        </w:tcBorders>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character" w:customStyle="1" w:styleId="905">
    <w:name w:val="List Table 6 Colorful Accent 6 CharProp11"/>
    <w:qFormat/>
    <w:uiPriority w:val="51"/>
    <w:rPr>
      <w:color w:val="E46C0A" w:themeColor="accent6" w:themeShade="BF"/>
    </w:rPr>
  </w:style>
  <w:style w:type="character" w:customStyle="1" w:styleId="906">
    <w:name w:val="List Table 6 Colorful Accent 6 CharProp10"/>
    <w:qFormat/>
    <w:uiPriority w:val="51"/>
    <w:rPr>
      <w:color w:val="E46C0A" w:themeColor="accent6" w:themeShade="BF"/>
    </w:rPr>
  </w:style>
  <w:style w:type="character" w:customStyle="1" w:styleId="907">
    <w:name w:val="List Table 6 Colorful Accent 6 CharProp9"/>
    <w:uiPriority w:val="51"/>
    <w:rPr>
      <w:color w:val="E46C0A" w:themeColor="accent6" w:themeShade="BF"/>
    </w:rPr>
  </w:style>
  <w:style w:type="character" w:customStyle="1" w:styleId="908">
    <w:name w:val="List Table 6 Colorful Accent 6 CharProp8"/>
    <w:qFormat/>
    <w:uiPriority w:val="51"/>
    <w:rPr>
      <w:color w:val="E46C0A" w:themeColor="accent6" w:themeShade="BF"/>
    </w:rPr>
  </w:style>
  <w:style w:type="character" w:customStyle="1" w:styleId="909">
    <w:name w:val="List Table 6 Colorful Accent 6 CharProp7"/>
    <w:qFormat/>
    <w:uiPriority w:val="51"/>
    <w:rPr>
      <w:color w:val="E46C0A" w:themeColor="accent6" w:themeShade="BF"/>
    </w:rPr>
  </w:style>
  <w:style w:type="character" w:customStyle="1" w:styleId="910">
    <w:name w:val="List Table 6 Colorful Accent 6 CharProp6"/>
    <w:qFormat/>
    <w:uiPriority w:val="51"/>
    <w:rPr>
      <w:color w:val="E46C0A" w:themeColor="accent6" w:themeShade="BF"/>
    </w:rPr>
  </w:style>
  <w:style w:type="character" w:customStyle="1" w:styleId="911">
    <w:name w:val="List Table 6 Colorful Accent 6 CharProp5"/>
    <w:qFormat/>
    <w:uiPriority w:val="51"/>
    <w:rPr>
      <w:color w:val="E46C0A" w:themeColor="accent6" w:themeShade="BF"/>
    </w:rPr>
  </w:style>
  <w:style w:type="character" w:customStyle="1" w:styleId="912">
    <w:name w:val="List Table 6 Colorful Accent 6 CharProp4"/>
    <w:uiPriority w:val="51"/>
    <w:rPr>
      <w:color w:val="E46C0A" w:themeColor="accent6" w:themeShade="BF"/>
    </w:rPr>
  </w:style>
  <w:style w:type="character" w:customStyle="1" w:styleId="913">
    <w:name w:val="List Table 6 Colorful Accent 6 CharProp3"/>
    <w:qFormat/>
    <w:uiPriority w:val="51"/>
    <w:rPr>
      <w:color w:val="E46C0A" w:themeColor="accent6" w:themeShade="BF"/>
    </w:rPr>
  </w:style>
  <w:style w:type="character" w:customStyle="1" w:styleId="914">
    <w:name w:val="List Table 6 Colorful Accent 6 CharProp2"/>
    <w:qFormat/>
    <w:uiPriority w:val="51"/>
    <w:rPr>
      <w:color w:val="E46C0A" w:themeColor="accent6" w:themeShade="BF"/>
    </w:rPr>
  </w:style>
  <w:style w:type="character" w:customStyle="1" w:styleId="915">
    <w:name w:val="List Table 6 Colorful Accent 6 CharProp1"/>
    <w:uiPriority w:val="51"/>
    <w:rPr>
      <w:color w:val="E46C0A" w:themeColor="accent6" w:themeShade="BF"/>
    </w:rPr>
  </w:style>
  <w:style w:type="character" w:customStyle="1" w:styleId="916">
    <w:name w:val="List Table 6 Colorful Accent 6 CharProp"/>
    <w:qFormat/>
    <w:uiPriority w:val="51"/>
    <w:rPr>
      <w:color w:val="E46C0A" w:themeColor="accent6" w:themeShade="BF"/>
    </w:rPr>
  </w:style>
  <w:style w:type="table" w:customStyle="1" w:styleId="917">
    <w:name w:val="清单表 7 彩色1"/>
    <w:basedOn w:val="89"/>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918">
    <w:name w:val="List Table 7 Colorful CharProp11"/>
    <w:qFormat/>
    <w:uiPriority w:val="52"/>
    <w:rPr>
      <w:color w:val="000000" w:themeColor="text1"/>
      <w14:textFill>
        <w14:solidFill>
          <w14:schemeClr w14:val="tx1"/>
        </w14:solidFill>
      </w14:textFill>
    </w:rPr>
  </w:style>
  <w:style w:type="character" w:customStyle="1" w:styleId="919">
    <w:name w:val="List Table 7 Colorful CharProp10"/>
    <w:qFormat/>
    <w:uiPriority w:val="52"/>
    <w:rPr>
      <w:color w:val="000000" w:themeColor="text1"/>
      <w14:textFill>
        <w14:solidFill>
          <w14:schemeClr w14:val="tx1"/>
        </w14:solidFill>
      </w14:textFill>
    </w:rPr>
  </w:style>
  <w:style w:type="character" w:customStyle="1" w:styleId="920">
    <w:name w:val="List Table 7 Colorful CharProp9"/>
    <w:qFormat/>
    <w:uiPriority w:val="52"/>
    <w:rPr>
      <w:color w:val="000000" w:themeColor="text1"/>
      <w14:textFill>
        <w14:solidFill>
          <w14:schemeClr w14:val="tx1"/>
        </w14:solidFill>
      </w14:textFill>
    </w:rPr>
  </w:style>
  <w:style w:type="character" w:customStyle="1" w:styleId="921">
    <w:name w:val="List Table 7 Colorful CharProp8"/>
    <w:qFormat/>
    <w:uiPriority w:val="52"/>
    <w:rPr>
      <w:color w:val="000000" w:themeColor="text1"/>
      <w14:textFill>
        <w14:solidFill>
          <w14:schemeClr w14:val="tx1"/>
        </w14:solidFill>
      </w14:textFill>
    </w:rPr>
  </w:style>
  <w:style w:type="character" w:customStyle="1" w:styleId="922">
    <w:name w:val="List Table 7 Colorful CharProp7"/>
    <w:uiPriority w:val="52"/>
    <w:rPr>
      <w:color w:val="000000" w:themeColor="text1"/>
      <w14:textFill>
        <w14:solidFill>
          <w14:schemeClr w14:val="tx1"/>
        </w14:solidFill>
      </w14:textFill>
    </w:rPr>
  </w:style>
  <w:style w:type="character" w:customStyle="1" w:styleId="923">
    <w:name w:val="List Table 7 Colorful CharProp6"/>
    <w:qFormat/>
    <w:uiPriority w:val="52"/>
    <w:rPr>
      <w:color w:val="000000" w:themeColor="text1"/>
      <w14:textFill>
        <w14:solidFill>
          <w14:schemeClr w14:val="tx1"/>
        </w14:solidFill>
      </w14:textFill>
    </w:rPr>
  </w:style>
  <w:style w:type="character" w:customStyle="1" w:styleId="924">
    <w:name w:val="List Table 7 Colorful CharProp5"/>
    <w:qFormat/>
    <w:uiPriority w:val="52"/>
    <w:rPr>
      <w:color w:val="000000" w:themeColor="text1"/>
      <w14:textFill>
        <w14:solidFill>
          <w14:schemeClr w14:val="tx1"/>
        </w14:solidFill>
      </w14:textFill>
    </w:rPr>
  </w:style>
  <w:style w:type="character" w:customStyle="1" w:styleId="925">
    <w:name w:val="List Table 7 Colorful CharProp4"/>
    <w:qFormat/>
    <w:uiPriority w:val="52"/>
    <w:rPr>
      <w:color w:val="000000" w:themeColor="text1"/>
      <w14:textFill>
        <w14:solidFill>
          <w14:schemeClr w14:val="tx1"/>
        </w14:solidFill>
      </w14:textFill>
    </w:rPr>
  </w:style>
  <w:style w:type="character" w:customStyle="1" w:styleId="926">
    <w:name w:val="List Table 7 Colorful CharProp3"/>
    <w:qFormat/>
    <w:uiPriority w:val="52"/>
    <w:rPr>
      <w:color w:val="000000" w:themeColor="text1"/>
      <w14:textFill>
        <w14:solidFill>
          <w14:schemeClr w14:val="tx1"/>
        </w14:solidFill>
      </w14:textFill>
    </w:rPr>
  </w:style>
  <w:style w:type="character" w:customStyle="1" w:styleId="927">
    <w:name w:val="List Table 7 Colorful CharProp2"/>
    <w:qFormat/>
    <w:uiPriority w:val="52"/>
    <w:rPr>
      <w:color w:val="000000" w:themeColor="text1"/>
      <w14:textFill>
        <w14:solidFill>
          <w14:schemeClr w14:val="tx1"/>
        </w14:solidFill>
      </w14:textFill>
    </w:rPr>
  </w:style>
  <w:style w:type="character" w:customStyle="1" w:styleId="928">
    <w:name w:val="List Table 7 Colorful CharProp1"/>
    <w:qFormat/>
    <w:uiPriority w:val="52"/>
    <w:rPr>
      <w:color w:val="000000" w:themeColor="text1"/>
      <w14:textFill>
        <w14:solidFill>
          <w14:schemeClr w14:val="tx1"/>
        </w14:solidFill>
      </w14:textFill>
    </w:rPr>
  </w:style>
  <w:style w:type="character" w:customStyle="1" w:styleId="929">
    <w:name w:val="List Table 7 Colorful CharProp"/>
    <w:uiPriority w:val="52"/>
    <w:rPr>
      <w:color w:val="000000" w:themeColor="text1"/>
      <w14:textFill>
        <w14:solidFill>
          <w14:schemeClr w14:val="tx1"/>
        </w14:solidFill>
      </w14:textFill>
    </w:rPr>
  </w:style>
  <w:style w:type="table" w:customStyle="1" w:styleId="930">
    <w:name w:val="清单表 7 彩色 - 着色 11"/>
    <w:basedOn w:val="89"/>
    <w:qFormat/>
    <w:uiPriority w:val="52"/>
    <w:rPr>
      <w:color w:val="376092" w:themeColor="accent1" w:themeShade="BF"/>
    </w:rPr>
    <w:tblStylePr w:type="firstRow">
      <w:rPr>
        <w:rFonts w:asciiTheme="majorHAnsi" w:hAnsiTheme="majorHAnsi" w:eastAsiaTheme="majorEastAsia" w:cstheme="majorBidi"/>
        <w:i/>
        <w:iCs/>
        <w:sz w:val="26"/>
      </w:rPr>
      <w:tcPr>
        <w:tcBorders>
          <w:bottom w:val="single" w:color="4F81BD"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F81BD"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F81BD"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F81BD" w:themeColor="accent1" w:sz="4" w:space="0"/>
        </w:tcBorders>
        <w:shd w:val="clear" w:color="auto" w:fill="FFFFFF" w:themeFill="background1"/>
      </w:tcPr>
    </w:tblStylePr>
    <w:tblStylePr w:type="band1Vert">
      <w:tcPr>
        <w:shd w:val="clear" w:color="auto" w:fill="DBE5F1" w:themeFill="accent1" w:themeFillTint="33"/>
      </w:tcPr>
    </w:tblStylePr>
    <w:tblStylePr w:type="band1Horz">
      <w:tcPr>
        <w:shd w:val="clear" w:color="auto" w:fill="DBE5F1"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931">
    <w:name w:val="List Table 7 Colorful Accent 1 CharProp11"/>
    <w:qFormat/>
    <w:uiPriority w:val="52"/>
    <w:rPr>
      <w:color w:val="376092" w:themeColor="accent1" w:themeShade="BF"/>
    </w:rPr>
  </w:style>
  <w:style w:type="character" w:customStyle="1" w:styleId="932">
    <w:name w:val="List Table 7 Colorful Accent 1 CharProp10"/>
    <w:qFormat/>
    <w:uiPriority w:val="52"/>
    <w:rPr>
      <w:color w:val="376092" w:themeColor="accent1" w:themeShade="BF"/>
    </w:rPr>
  </w:style>
  <w:style w:type="character" w:customStyle="1" w:styleId="933">
    <w:name w:val="List Table 7 Colorful Accent 1 CharProp9"/>
    <w:qFormat/>
    <w:uiPriority w:val="52"/>
    <w:rPr>
      <w:color w:val="376092" w:themeColor="accent1" w:themeShade="BF"/>
    </w:rPr>
  </w:style>
  <w:style w:type="character" w:customStyle="1" w:styleId="934">
    <w:name w:val="List Table 7 Colorful Accent 1 CharProp8"/>
    <w:uiPriority w:val="52"/>
    <w:rPr>
      <w:color w:val="376092" w:themeColor="accent1" w:themeShade="BF"/>
    </w:rPr>
  </w:style>
  <w:style w:type="character" w:customStyle="1" w:styleId="935">
    <w:name w:val="List Table 7 Colorful Accent 1 CharProp7"/>
    <w:qFormat/>
    <w:uiPriority w:val="52"/>
    <w:rPr>
      <w:color w:val="376092" w:themeColor="accent1" w:themeShade="BF"/>
    </w:rPr>
  </w:style>
  <w:style w:type="character" w:customStyle="1" w:styleId="936">
    <w:name w:val="List Table 7 Colorful Accent 1 CharProp6"/>
    <w:qFormat/>
    <w:uiPriority w:val="52"/>
    <w:rPr>
      <w:color w:val="376092" w:themeColor="accent1" w:themeShade="BF"/>
    </w:rPr>
  </w:style>
  <w:style w:type="character" w:customStyle="1" w:styleId="937">
    <w:name w:val="List Table 7 Colorful Accent 1 CharProp5"/>
    <w:qFormat/>
    <w:uiPriority w:val="52"/>
    <w:rPr>
      <w:color w:val="376092" w:themeColor="accent1" w:themeShade="BF"/>
    </w:rPr>
  </w:style>
  <w:style w:type="character" w:customStyle="1" w:styleId="938">
    <w:name w:val="List Table 7 Colorful Accent 1 CharProp4"/>
    <w:qFormat/>
    <w:uiPriority w:val="52"/>
    <w:rPr>
      <w:color w:val="376092" w:themeColor="accent1" w:themeShade="BF"/>
    </w:rPr>
  </w:style>
  <w:style w:type="character" w:customStyle="1" w:styleId="939">
    <w:name w:val="List Table 7 Colorful Accent 1 CharProp3"/>
    <w:qFormat/>
    <w:uiPriority w:val="52"/>
    <w:rPr>
      <w:color w:val="376092" w:themeColor="accent1" w:themeShade="BF"/>
    </w:rPr>
  </w:style>
  <w:style w:type="character" w:customStyle="1" w:styleId="940">
    <w:name w:val="List Table 7 Colorful Accent 1 CharProp2"/>
    <w:qFormat/>
    <w:uiPriority w:val="52"/>
    <w:rPr>
      <w:color w:val="376092" w:themeColor="accent1" w:themeShade="BF"/>
    </w:rPr>
  </w:style>
  <w:style w:type="character" w:customStyle="1" w:styleId="941">
    <w:name w:val="List Table 7 Colorful Accent 1 CharProp1"/>
    <w:uiPriority w:val="52"/>
    <w:rPr>
      <w:color w:val="376092" w:themeColor="accent1" w:themeShade="BF"/>
    </w:rPr>
  </w:style>
  <w:style w:type="character" w:customStyle="1" w:styleId="942">
    <w:name w:val="List Table 7 Colorful Accent 1 CharProp"/>
    <w:qFormat/>
    <w:uiPriority w:val="52"/>
    <w:rPr>
      <w:color w:val="376092" w:themeColor="accent1" w:themeShade="BF"/>
    </w:rPr>
  </w:style>
  <w:style w:type="table" w:customStyle="1" w:styleId="943">
    <w:name w:val="清单表 7 彩色 - 着色 21"/>
    <w:basedOn w:val="89"/>
    <w:qFormat/>
    <w:uiPriority w:val="52"/>
    <w:rPr>
      <w:color w:val="953735" w:themeColor="accent2" w:themeShade="BF"/>
    </w:rPr>
    <w:tblStylePr w:type="firstRow">
      <w:rPr>
        <w:rFonts w:asciiTheme="majorHAnsi" w:hAnsiTheme="majorHAnsi" w:eastAsiaTheme="majorEastAsia" w:cstheme="majorBidi"/>
        <w:i/>
        <w:iCs/>
        <w:sz w:val="26"/>
      </w:rPr>
      <w:tcPr>
        <w:tcBorders>
          <w:bottom w:val="single" w:color="C0504D"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C0504D"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C0504D"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C0504D" w:themeColor="accent2" w:sz="4" w:space="0"/>
        </w:tcBorders>
        <w:shd w:val="clear" w:color="auto" w:fill="FFFFFF" w:themeFill="background1"/>
      </w:tcPr>
    </w:tblStylePr>
    <w:tblStylePr w:type="band1Vert">
      <w:tcPr>
        <w:shd w:val="clear" w:color="auto" w:fill="F2DBDB" w:themeFill="accent2" w:themeFillTint="33"/>
      </w:tcPr>
    </w:tblStylePr>
    <w:tblStylePr w:type="band1Horz">
      <w:tcPr>
        <w:shd w:val="clear" w:color="auto" w:fill="F2DBDB"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944">
    <w:name w:val="List Table 7 Colorful Accent 2 CharProp11"/>
    <w:qFormat/>
    <w:uiPriority w:val="52"/>
    <w:rPr>
      <w:color w:val="953735" w:themeColor="accent2" w:themeShade="BF"/>
    </w:rPr>
  </w:style>
  <w:style w:type="character" w:customStyle="1" w:styleId="945">
    <w:name w:val="List Table 7 Colorful Accent 2 CharProp10"/>
    <w:uiPriority w:val="52"/>
    <w:rPr>
      <w:color w:val="953735" w:themeColor="accent2" w:themeShade="BF"/>
    </w:rPr>
  </w:style>
  <w:style w:type="character" w:customStyle="1" w:styleId="946">
    <w:name w:val="List Table 7 Colorful Accent 2 CharProp9"/>
    <w:qFormat/>
    <w:uiPriority w:val="52"/>
    <w:rPr>
      <w:color w:val="953735" w:themeColor="accent2" w:themeShade="BF"/>
    </w:rPr>
  </w:style>
  <w:style w:type="character" w:customStyle="1" w:styleId="947">
    <w:name w:val="List Table 7 Colorful Accent 2 CharProp8"/>
    <w:qFormat/>
    <w:uiPriority w:val="52"/>
    <w:rPr>
      <w:color w:val="953735" w:themeColor="accent2" w:themeShade="BF"/>
    </w:rPr>
  </w:style>
  <w:style w:type="character" w:customStyle="1" w:styleId="948">
    <w:name w:val="List Table 7 Colorful Accent 2 CharProp7"/>
    <w:qFormat/>
    <w:uiPriority w:val="52"/>
    <w:rPr>
      <w:color w:val="953735" w:themeColor="accent2" w:themeShade="BF"/>
    </w:rPr>
  </w:style>
  <w:style w:type="character" w:customStyle="1" w:styleId="949">
    <w:name w:val="List Table 7 Colorful Accent 2 CharProp6"/>
    <w:qFormat/>
    <w:uiPriority w:val="52"/>
    <w:rPr>
      <w:color w:val="953735" w:themeColor="accent2" w:themeShade="BF"/>
    </w:rPr>
  </w:style>
  <w:style w:type="character" w:customStyle="1" w:styleId="950">
    <w:name w:val="List Table 7 Colorful Accent 2 CharProp5"/>
    <w:qFormat/>
    <w:uiPriority w:val="52"/>
    <w:rPr>
      <w:color w:val="953735" w:themeColor="accent2" w:themeShade="BF"/>
    </w:rPr>
  </w:style>
  <w:style w:type="character" w:customStyle="1" w:styleId="951">
    <w:name w:val="List Table 7 Colorful Accent 2 CharProp4"/>
    <w:qFormat/>
    <w:uiPriority w:val="52"/>
    <w:rPr>
      <w:color w:val="953735" w:themeColor="accent2" w:themeShade="BF"/>
    </w:rPr>
  </w:style>
  <w:style w:type="character" w:customStyle="1" w:styleId="952">
    <w:name w:val="List Table 7 Colorful Accent 2 CharProp3"/>
    <w:qFormat/>
    <w:uiPriority w:val="52"/>
    <w:rPr>
      <w:color w:val="953735" w:themeColor="accent2" w:themeShade="BF"/>
    </w:rPr>
  </w:style>
  <w:style w:type="character" w:customStyle="1" w:styleId="953">
    <w:name w:val="List Table 7 Colorful Accent 2 CharProp2"/>
    <w:qFormat/>
    <w:uiPriority w:val="52"/>
    <w:rPr>
      <w:color w:val="953735" w:themeColor="accent2" w:themeShade="BF"/>
    </w:rPr>
  </w:style>
  <w:style w:type="character" w:customStyle="1" w:styleId="954">
    <w:name w:val="List Table 7 Colorful Accent 2 CharProp1"/>
    <w:qFormat/>
    <w:uiPriority w:val="52"/>
    <w:rPr>
      <w:color w:val="953735" w:themeColor="accent2" w:themeShade="BF"/>
    </w:rPr>
  </w:style>
  <w:style w:type="character" w:customStyle="1" w:styleId="955">
    <w:name w:val="List Table 7 Colorful Accent 2 CharProp"/>
    <w:qFormat/>
    <w:uiPriority w:val="52"/>
    <w:rPr>
      <w:color w:val="953735" w:themeColor="accent2" w:themeShade="BF"/>
    </w:rPr>
  </w:style>
  <w:style w:type="table" w:customStyle="1" w:styleId="956">
    <w:name w:val="清单表 7 彩色 - 着色 31"/>
    <w:basedOn w:val="89"/>
    <w:qFormat/>
    <w:uiPriority w:val="52"/>
    <w:rPr>
      <w:color w:val="77933C" w:themeColor="accent3" w:themeShade="BF"/>
    </w:rPr>
    <w:tblStylePr w:type="firstRow">
      <w:rPr>
        <w:rFonts w:asciiTheme="majorHAnsi" w:hAnsiTheme="majorHAnsi" w:eastAsiaTheme="majorEastAsia" w:cstheme="majorBidi"/>
        <w:i/>
        <w:iCs/>
        <w:sz w:val="26"/>
      </w:rPr>
      <w:tcPr>
        <w:tcBorders>
          <w:bottom w:val="single" w:color="9BBB59"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9BBB59"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9BBB59"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9BBB59" w:themeColor="accent3" w:sz="4" w:space="0"/>
        </w:tcBorders>
        <w:shd w:val="clear" w:color="auto" w:fill="FFFFFF" w:themeFill="background1"/>
      </w:tcPr>
    </w:tblStylePr>
    <w:tblStylePr w:type="band1Vert">
      <w:tcPr>
        <w:shd w:val="clear" w:color="auto" w:fill="EAF1DD" w:themeFill="accent3" w:themeFillTint="33"/>
      </w:tcPr>
    </w:tblStylePr>
    <w:tblStylePr w:type="band1Horz">
      <w:tcPr>
        <w:shd w:val="clear" w:color="auto" w:fill="EAF1DD"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957">
    <w:name w:val="List Table 7 Colorful Accent 3 CharProp11"/>
    <w:qFormat/>
    <w:uiPriority w:val="52"/>
    <w:rPr>
      <w:color w:val="77933C" w:themeColor="accent3" w:themeShade="BF"/>
    </w:rPr>
  </w:style>
  <w:style w:type="character" w:customStyle="1" w:styleId="958">
    <w:name w:val="List Table 7 Colorful Accent 3 CharProp10"/>
    <w:qFormat/>
    <w:uiPriority w:val="52"/>
    <w:rPr>
      <w:color w:val="77933C" w:themeColor="accent3" w:themeShade="BF"/>
    </w:rPr>
  </w:style>
  <w:style w:type="character" w:customStyle="1" w:styleId="959">
    <w:name w:val="List Table 7 Colorful Accent 3 CharProp9"/>
    <w:qFormat/>
    <w:uiPriority w:val="52"/>
    <w:rPr>
      <w:color w:val="77933C" w:themeColor="accent3" w:themeShade="BF"/>
    </w:rPr>
  </w:style>
  <w:style w:type="character" w:customStyle="1" w:styleId="960">
    <w:name w:val="List Table 7 Colorful Accent 3 CharProp8"/>
    <w:qFormat/>
    <w:uiPriority w:val="52"/>
    <w:rPr>
      <w:color w:val="77933C" w:themeColor="accent3" w:themeShade="BF"/>
    </w:rPr>
  </w:style>
  <w:style w:type="character" w:customStyle="1" w:styleId="961">
    <w:name w:val="List Table 7 Colorful Accent 3 CharProp7"/>
    <w:qFormat/>
    <w:uiPriority w:val="52"/>
    <w:rPr>
      <w:color w:val="77933C" w:themeColor="accent3" w:themeShade="BF"/>
    </w:rPr>
  </w:style>
  <w:style w:type="character" w:customStyle="1" w:styleId="962">
    <w:name w:val="List Table 7 Colorful Accent 3 CharProp6"/>
    <w:qFormat/>
    <w:uiPriority w:val="52"/>
    <w:rPr>
      <w:color w:val="77933C" w:themeColor="accent3" w:themeShade="BF"/>
    </w:rPr>
  </w:style>
  <w:style w:type="character" w:customStyle="1" w:styleId="963">
    <w:name w:val="List Table 7 Colorful Accent 3 CharProp5"/>
    <w:qFormat/>
    <w:uiPriority w:val="52"/>
    <w:rPr>
      <w:color w:val="77933C" w:themeColor="accent3" w:themeShade="BF"/>
    </w:rPr>
  </w:style>
  <w:style w:type="character" w:customStyle="1" w:styleId="964">
    <w:name w:val="List Table 7 Colorful Accent 3 CharProp4"/>
    <w:qFormat/>
    <w:uiPriority w:val="52"/>
    <w:rPr>
      <w:color w:val="77933C" w:themeColor="accent3" w:themeShade="BF"/>
    </w:rPr>
  </w:style>
  <w:style w:type="character" w:customStyle="1" w:styleId="965">
    <w:name w:val="List Table 7 Colorful Accent 3 CharProp3"/>
    <w:qFormat/>
    <w:uiPriority w:val="52"/>
    <w:rPr>
      <w:color w:val="77933C" w:themeColor="accent3" w:themeShade="BF"/>
    </w:rPr>
  </w:style>
  <w:style w:type="character" w:customStyle="1" w:styleId="966">
    <w:name w:val="List Table 7 Colorful Accent 3 CharProp2"/>
    <w:qFormat/>
    <w:uiPriority w:val="52"/>
    <w:rPr>
      <w:color w:val="77933C" w:themeColor="accent3" w:themeShade="BF"/>
    </w:rPr>
  </w:style>
  <w:style w:type="character" w:customStyle="1" w:styleId="967">
    <w:name w:val="List Table 7 Colorful Accent 3 CharProp1"/>
    <w:qFormat/>
    <w:uiPriority w:val="52"/>
    <w:rPr>
      <w:color w:val="77933C" w:themeColor="accent3" w:themeShade="BF"/>
    </w:rPr>
  </w:style>
  <w:style w:type="character" w:customStyle="1" w:styleId="968">
    <w:name w:val="List Table 7 Colorful Accent 3 CharProp"/>
    <w:qFormat/>
    <w:uiPriority w:val="52"/>
    <w:rPr>
      <w:color w:val="77933C" w:themeColor="accent3" w:themeShade="BF"/>
    </w:rPr>
  </w:style>
  <w:style w:type="table" w:customStyle="1" w:styleId="969">
    <w:name w:val="清单表 7 彩色 - 着色 41"/>
    <w:basedOn w:val="89"/>
    <w:qFormat/>
    <w:uiPriority w:val="52"/>
    <w:rPr>
      <w:color w:val="604A7B" w:themeColor="accent4" w:themeShade="BF"/>
    </w:rPr>
    <w:tblStylePr w:type="firstRow">
      <w:rPr>
        <w:rFonts w:asciiTheme="majorHAnsi" w:hAnsiTheme="majorHAnsi" w:eastAsiaTheme="majorEastAsia" w:cstheme="majorBidi"/>
        <w:i/>
        <w:iCs/>
        <w:sz w:val="26"/>
      </w:rPr>
      <w:tcPr>
        <w:tcBorders>
          <w:bottom w:val="single" w:color="8064A2"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8064A2"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8064A2"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8064A2" w:themeColor="accent4" w:sz="4" w:space="0"/>
        </w:tcBorders>
        <w:shd w:val="clear" w:color="auto" w:fill="FFFFFF" w:themeFill="background1"/>
      </w:tcPr>
    </w:tblStylePr>
    <w:tblStylePr w:type="band1Vert">
      <w:tcPr>
        <w:shd w:val="clear" w:color="auto" w:fill="E5DFEC" w:themeFill="accent4" w:themeFillTint="33"/>
      </w:tcPr>
    </w:tblStylePr>
    <w:tblStylePr w:type="band1Horz">
      <w:tcPr>
        <w:shd w:val="clear" w:color="auto" w:fill="E5DFE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970">
    <w:name w:val="List Table 7 Colorful Accent 4 CharProp11"/>
    <w:uiPriority w:val="52"/>
    <w:rPr>
      <w:color w:val="604A7B" w:themeColor="accent4" w:themeShade="BF"/>
    </w:rPr>
  </w:style>
  <w:style w:type="character" w:customStyle="1" w:styleId="971">
    <w:name w:val="List Table 7 Colorful Accent 4 CharProp10"/>
    <w:qFormat/>
    <w:uiPriority w:val="52"/>
    <w:rPr>
      <w:color w:val="604A7B" w:themeColor="accent4" w:themeShade="BF"/>
    </w:rPr>
  </w:style>
  <w:style w:type="character" w:customStyle="1" w:styleId="972">
    <w:name w:val="List Table 7 Colorful Accent 4 CharProp9"/>
    <w:qFormat/>
    <w:uiPriority w:val="52"/>
    <w:rPr>
      <w:color w:val="604A7B" w:themeColor="accent4" w:themeShade="BF"/>
    </w:rPr>
  </w:style>
  <w:style w:type="character" w:customStyle="1" w:styleId="973">
    <w:name w:val="List Table 7 Colorful Accent 4 CharProp8"/>
    <w:qFormat/>
    <w:uiPriority w:val="52"/>
    <w:rPr>
      <w:color w:val="604A7B" w:themeColor="accent4" w:themeShade="BF"/>
    </w:rPr>
  </w:style>
  <w:style w:type="character" w:customStyle="1" w:styleId="974">
    <w:name w:val="List Table 7 Colorful Accent 4 CharProp7"/>
    <w:qFormat/>
    <w:uiPriority w:val="52"/>
    <w:rPr>
      <w:color w:val="604A7B" w:themeColor="accent4" w:themeShade="BF"/>
    </w:rPr>
  </w:style>
  <w:style w:type="character" w:customStyle="1" w:styleId="975">
    <w:name w:val="List Table 7 Colorful Accent 4 CharProp6"/>
    <w:uiPriority w:val="52"/>
    <w:rPr>
      <w:color w:val="604A7B" w:themeColor="accent4" w:themeShade="BF"/>
    </w:rPr>
  </w:style>
  <w:style w:type="character" w:customStyle="1" w:styleId="976">
    <w:name w:val="List Table 7 Colorful Accent 4 CharProp5"/>
    <w:qFormat/>
    <w:uiPriority w:val="52"/>
    <w:rPr>
      <w:color w:val="604A7B" w:themeColor="accent4" w:themeShade="BF"/>
    </w:rPr>
  </w:style>
  <w:style w:type="character" w:customStyle="1" w:styleId="977">
    <w:name w:val="List Table 7 Colorful Accent 4 CharProp4"/>
    <w:qFormat/>
    <w:uiPriority w:val="52"/>
    <w:rPr>
      <w:color w:val="604A7B" w:themeColor="accent4" w:themeShade="BF"/>
    </w:rPr>
  </w:style>
  <w:style w:type="character" w:customStyle="1" w:styleId="978">
    <w:name w:val="List Table 7 Colorful Accent 4 CharProp3"/>
    <w:qFormat/>
    <w:uiPriority w:val="52"/>
    <w:rPr>
      <w:color w:val="604A7B" w:themeColor="accent4" w:themeShade="BF"/>
    </w:rPr>
  </w:style>
  <w:style w:type="character" w:customStyle="1" w:styleId="979">
    <w:name w:val="List Table 7 Colorful Accent 4 CharProp2"/>
    <w:uiPriority w:val="52"/>
    <w:rPr>
      <w:color w:val="604A7B" w:themeColor="accent4" w:themeShade="BF"/>
    </w:rPr>
  </w:style>
  <w:style w:type="character" w:customStyle="1" w:styleId="980">
    <w:name w:val="List Table 7 Colorful Accent 4 CharProp1"/>
    <w:qFormat/>
    <w:uiPriority w:val="52"/>
    <w:rPr>
      <w:color w:val="604A7B" w:themeColor="accent4" w:themeShade="BF"/>
    </w:rPr>
  </w:style>
  <w:style w:type="character" w:customStyle="1" w:styleId="981">
    <w:name w:val="List Table 7 Colorful Accent 4 CharProp"/>
    <w:qFormat/>
    <w:uiPriority w:val="52"/>
    <w:rPr>
      <w:color w:val="604A7B" w:themeColor="accent4" w:themeShade="BF"/>
    </w:rPr>
  </w:style>
  <w:style w:type="table" w:customStyle="1" w:styleId="982">
    <w:name w:val="清单表 7 彩色 - 着色 51"/>
    <w:basedOn w:val="89"/>
    <w:qFormat/>
    <w:uiPriority w:val="52"/>
    <w:rPr>
      <w:color w:val="31859C" w:themeColor="accent5" w:themeShade="BF"/>
    </w:rPr>
    <w:tblStylePr w:type="firstRow">
      <w:rPr>
        <w:rFonts w:asciiTheme="majorHAnsi" w:hAnsiTheme="majorHAnsi" w:eastAsiaTheme="majorEastAsia" w:cstheme="majorBidi"/>
        <w:i/>
        <w:iCs/>
        <w:sz w:val="26"/>
      </w:rPr>
      <w:tcPr>
        <w:tcBorders>
          <w:bottom w:val="single" w:color="4BACC6"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BACC6"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BACC6"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BACC6" w:themeColor="accent5" w:sz="4" w:space="0"/>
        </w:tcBorders>
        <w:shd w:val="clear" w:color="auto" w:fill="FFFFFF" w:themeFill="background1"/>
      </w:tcPr>
    </w:tblStylePr>
    <w:tblStylePr w:type="band1Vert">
      <w:tcPr>
        <w:shd w:val="clear" w:color="auto" w:fill="DAEEF3" w:themeFill="accent5" w:themeFillTint="33"/>
      </w:tcPr>
    </w:tblStylePr>
    <w:tblStylePr w:type="band1Horz">
      <w:tcPr>
        <w:shd w:val="clear" w:color="auto" w:fill="DAEE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983">
    <w:name w:val="List Table 7 Colorful Accent 5 CharProp11"/>
    <w:qFormat/>
    <w:uiPriority w:val="52"/>
    <w:rPr>
      <w:color w:val="31859C" w:themeColor="accent5" w:themeShade="BF"/>
    </w:rPr>
  </w:style>
  <w:style w:type="character" w:customStyle="1" w:styleId="984">
    <w:name w:val="List Table 7 Colorful Accent 5 CharProp10"/>
    <w:uiPriority w:val="52"/>
    <w:rPr>
      <w:color w:val="31859C" w:themeColor="accent5" w:themeShade="BF"/>
    </w:rPr>
  </w:style>
  <w:style w:type="character" w:customStyle="1" w:styleId="985">
    <w:name w:val="List Table 7 Colorful Accent 5 CharProp9"/>
    <w:qFormat/>
    <w:uiPriority w:val="52"/>
    <w:rPr>
      <w:color w:val="31859C" w:themeColor="accent5" w:themeShade="BF"/>
    </w:rPr>
  </w:style>
  <w:style w:type="character" w:customStyle="1" w:styleId="986">
    <w:name w:val="List Table 7 Colorful Accent 5 CharProp8"/>
    <w:uiPriority w:val="52"/>
    <w:rPr>
      <w:color w:val="31859C" w:themeColor="accent5" w:themeShade="BF"/>
    </w:rPr>
  </w:style>
  <w:style w:type="character" w:customStyle="1" w:styleId="987">
    <w:name w:val="List Table 7 Colorful Accent 5 CharProp7"/>
    <w:uiPriority w:val="52"/>
    <w:rPr>
      <w:color w:val="31859C" w:themeColor="accent5" w:themeShade="BF"/>
    </w:rPr>
  </w:style>
  <w:style w:type="character" w:customStyle="1" w:styleId="988">
    <w:name w:val="List Table 7 Colorful Accent 5 CharProp6"/>
    <w:uiPriority w:val="52"/>
    <w:rPr>
      <w:color w:val="31859C" w:themeColor="accent5" w:themeShade="BF"/>
    </w:rPr>
  </w:style>
  <w:style w:type="character" w:customStyle="1" w:styleId="989">
    <w:name w:val="List Table 7 Colorful Accent 5 CharProp5"/>
    <w:uiPriority w:val="52"/>
    <w:rPr>
      <w:color w:val="31859C" w:themeColor="accent5" w:themeShade="BF"/>
    </w:rPr>
  </w:style>
  <w:style w:type="character" w:customStyle="1" w:styleId="990">
    <w:name w:val="List Table 7 Colorful Accent 5 CharProp4"/>
    <w:uiPriority w:val="52"/>
    <w:rPr>
      <w:color w:val="31859C" w:themeColor="accent5" w:themeShade="BF"/>
    </w:rPr>
  </w:style>
  <w:style w:type="character" w:customStyle="1" w:styleId="991">
    <w:name w:val="List Table 7 Colorful Accent 5 CharProp3"/>
    <w:uiPriority w:val="52"/>
    <w:rPr>
      <w:color w:val="31859C" w:themeColor="accent5" w:themeShade="BF"/>
    </w:rPr>
  </w:style>
  <w:style w:type="character" w:customStyle="1" w:styleId="992">
    <w:name w:val="List Table 7 Colorful Accent 5 CharProp2"/>
    <w:uiPriority w:val="52"/>
    <w:rPr>
      <w:color w:val="31859C" w:themeColor="accent5" w:themeShade="BF"/>
    </w:rPr>
  </w:style>
  <w:style w:type="character" w:customStyle="1" w:styleId="993">
    <w:name w:val="List Table 7 Colorful Accent 5 CharProp1"/>
    <w:uiPriority w:val="52"/>
    <w:rPr>
      <w:color w:val="31859C" w:themeColor="accent5" w:themeShade="BF"/>
    </w:rPr>
  </w:style>
  <w:style w:type="character" w:customStyle="1" w:styleId="994">
    <w:name w:val="List Table 7 Colorful Accent 5 CharProp"/>
    <w:uiPriority w:val="52"/>
    <w:rPr>
      <w:color w:val="31859C" w:themeColor="accent5" w:themeShade="BF"/>
    </w:rPr>
  </w:style>
  <w:style w:type="table" w:customStyle="1" w:styleId="995">
    <w:name w:val="清单表 7 彩色 - 着色 61"/>
    <w:basedOn w:val="89"/>
    <w:qFormat/>
    <w:uiPriority w:val="52"/>
    <w:rPr>
      <w:color w:val="E46C0A" w:themeColor="accent6" w:themeShade="BF"/>
    </w:rPr>
    <w:tblStylePr w:type="firstRow">
      <w:rPr>
        <w:rFonts w:asciiTheme="majorHAnsi" w:hAnsiTheme="majorHAnsi" w:eastAsiaTheme="majorEastAsia" w:cstheme="majorBidi"/>
        <w:i/>
        <w:iCs/>
        <w:sz w:val="26"/>
      </w:rPr>
      <w:tcPr>
        <w:tcBorders>
          <w:bottom w:val="single" w:color="F79646"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79646"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79646"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79646" w:themeColor="accent6" w:sz="4" w:space="0"/>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996">
    <w:name w:val="List Table 7 Colorful Accent 6 CharProp11"/>
    <w:uiPriority w:val="52"/>
    <w:rPr>
      <w:color w:val="E46C0A" w:themeColor="accent6" w:themeShade="BF"/>
    </w:rPr>
  </w:style>
  <w:style w:type="character" w:customStyle="1" w:styleId="997">
    <w:name w:val="List Table 7 Colorful Accent 6 CharProp10"/>
    <w:uiPriority w:val="52"/>
    <w:rPr>
      <w:color w:val="E46C0A" w:themeColor="accent6" w:themeShade="BF"/>
    </w:rPr>
  </w:style>
  <w:style w:type="character" w:customStyle="1" w:styleId="998">
    <w:name w:val="List Table 7 Colorful Accent 6 CharProp9"/>
    <w:uiPriority w:val="52"/>
    <w:rPr>
      <w:color w:val="E46C0A" w:themeColor="accent6" w:themeShade="BF"/>
    </w:rPr>
  </w:style>
  <w:style w:type="character" w:customStyle="1" w:styleId="999">
    <w:name w:val="List Table 7 Colorful Accent 6 CharProp8"/>
    <w:uiPriority w:val="52"/>
    <w:rPr>
      <w:color w:val="E46C0A" w:themeColor="accent6" w:themeShade="BF"/>
    </w:rPr>
  </w:style>
  <w:style w:type="character" w:customStyle="1" w:styleId="1000">
    <w:name w:val="List Table 7 Colorful Accent 6 CharProp7"/>
    <w:uiPriority w:val="52"/>
    <w:rPr>
      <w:color w:val="E46C0A" w:themeColor="accent6" w:themeShade="BF"/>
    </w:rPr>
  </w:style>
  <w:style w:type="character" w:customStyle="1" w:styleId="1001">
    <w:name w:val="List Table 7 Colorful Accent 6 CharProp6"/>
    <w:uiPriority w:val="52"/>
    <w:rPr>
      <w:color w:val="E46C0A" w:themeColor="accent6" w:themeShade="BF"/>
    </w:rPr>
  </w:style>
  <w:style w:type="character" w:customStyle="1" w:styleId="1002">
    <w:name w:val="List Table 7 Colorful Accent 6 CharProp5"/>
    <w:uiPriority w:val="52"/>
    <w:rPr>
      <w:color w:val="E46C0A" w:themeColor="accent6" w:themeShade="BF"/>
    </w:rPr>
  </w:style>
  <w:style w:type="character" w:customStyle="1" w:styleId="1003">
    <w:name w:val="List Table 7 Colorful Accent 6 CharProp4"/>
    <w:uiPriority w:val="52"/>
    <w:rPr>
      <w:color w:val="E46C0A" w:themeColor="accent6" w:themeShade="BF"/>
    </w:rPr>
  </w:style>
  <w:style w:type="character" w:customStyle="1" w:styleId="1004">
    <w:name w:val="List Table 7 Colorful Accent 6 CharProp3"/>
    <w:uiPriority w:val="52"/>
    <w:rPr>
      <w:color w:val="E46C0A" w:themeColor="accent6" w:themeShade="BF"/>
    </w:rPr>
  </w:style>
  <w:style w:type="character" w:customStyle="1" w:styleId="1005">
    <w:name w:val="List Table 7 Colorful Accent 6 CharProp2"/>
    <w:uiPriority w:val="52"/>
    <w:rPr>
      <w:color w:val="E46C0A" w:themeColor="accent6" w:themeShade="BF"/>
    </w:rPr>
  </w:style>
  <w:style w:type="character" w:customStyle="1" w:styleId="1006">
    <w:name w:val="List Table 7 Colorful Accent 6 CharProp1"/>
    <w:uiPriority w:val="52"/>
    <w:rPr>
      <w:color w:val="E46C0A" w:themeColor="accent6" w:themeShade="BF"/>
    </w:rPr>
  </w:style>
  <w:style w:type="character" w:customStyle="1" w:styleId="1007">
    <w:name w:val="List Table 7 Colorful Accent 6 CharProp"/>
    <w:uiPriority w:val="52"/>
    <w:rPr>
      <w:color w:val="E46C0A" w:themeColor="accent6" w:themeShade="BF"/>
    </w:rPr>
  </w:style>
  <w:style w:type="character" w:customStyle="1" w:styleId="1008">
    <w:name w:val="日期 字符"/>
    <w:basedOn w:val="319"/>
    <w:link w:val="51"/>
    <w:qFormat/>
    <w:uiPriority w:val="0"/>
    <w:rPr>
      <w:rFonts w:ascii="Arial" w:hAnsi="Arial" w:eastAsia="Arial" w:cs="Arial"/>
      <w:snapToGrid w:val="0"/>
      <w:color w:val="000000"/>
      <w:sz w:val="21"/>
      <w:szCs w:val="21"/>
      <w:lang w:eastAsia="en-US"/>
    </w:rPr>
  </w:style>
  <w:style w:type="character" w:customStyle="1" w:styleId="1009">
    <w:name w:val="书籍标题1"/>
    <w:basedOn w:val="319"/>
    <w:qFormat/>
    <w:uiPriority w:val="33"/>
    <w:rPr>
      <w:b/>
      <w:bCs/>
      <w:i/>
      <w:iCs/>
      <w:spacing w:val="5"/>
    </w:rPr>
  </w:style>
  <w:style w:type="paragraph" w:customStyle="1" w:styleId="1010">
    <w:name w:val="书目1"/>
    <w:basedOn w:val="1"/>
    <w:next w:val="1"/>
    <w:semiHidden/>
    <w:unhideWhenUsed/>
    <w:qFormat/>
    <w:uiPriority w:val="37"/>
  </w:style>
  <w:style w:type="character" w:customStyle="1" w:styleId="1011">
    <w:name w:val="Bibliography CharProp11"/>
    <w:uiPriority w:val="37"/>
  </w:style>
  <w:style w:type="character" w:customStyle="1" w:styleId="1012">
    <w:name w:val="Bibliography CharProp10"/>
    <w:uiPriority w:val="37"/>
  </w:style>
  <w:style w:type="character" w:customStyle="1" w:styleId="1013">
    <w:name w:val="Bibliography CharProp9"/>
    <w:uiPriority w:val="37"/>
  </w:style>
  <w:style w:type="character" w:customStyle="1" w:styleId="1014">
    <w:name w:val="Bibliography CharProp8"/>
    <w:uiPriority w:val="37"/>
  </w:style>
  <w:style w:type="character" w:customStyle="1" w:styleId="1015">
    <w:name w:val="Bibliography CharProp7"/>
    <w:uiPriority w:val="37"/>
  </w:style>
  <w:style w:type="character" w:customStyle="1" w:styleId="1016">
    <w:name w:val="Bibliography CharProp6"/>
    <w:uiPriority w:val="37"/>
  </w:style>
  <w:style w:type="character" w:customStyle="1" w:styleId="1017">
    <w:name w:val="Bibliography CharProp5"/>
    <w:uiPriority w:val="37"/>
  </w:style>
  <w:style w:type="character" w:customStyle="1" w:styleId="1018">
    <w:name w:val="Bibliography CharProp4"/>
    <w:uiPriority w:val="37"/>
  </w:style>
  <w:style w:type="character" w:customStyle="1" w:styleId="1019">
    <w:name w:val="Bibliography CharProp3"/>
    <w:uiPriority w:val="37"/>
  </w:style>
  <w:style w:type="character" w:customStyle="1" w:styleId="1020">
    <w:name w:val="Bibliography CharProp2"/>
    <w:uiPriority w:val="37"/>
  </w:style>
  <w:style w:type="character" w:customStyle="1" w:styleId="1021">
    <w:name w:val="Bibliography CharProp1"/>
    <w:uiPriority w:val="37"/>
  </w:style>
  <w:style w:type="character" w:customStyle="1" w:styleId="1022">
    <w:name w:val="Bibliography CharProp"/>
    <w:uiPriority w:val="37"/>
  </w:style>
  <w:style w:type="table" w:customStyle="1" w:styleId="1023">
    <w:name w:val="网格表 1 浅色1"/>
    <w:basedOn w:val="8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024">
    <w:name w:val="网格表 1 浅色 - 着色 11"/>
    <w:basedOn w:val="89"/>
    <w:qFormat/>
    <w:uiPriority w:val="46"/>
    <w:tblPr>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2" w:space="0"/>
        </w:tcBorders>
      </w:tcPr>
    </w:tblStylePr>
    <w:tblStylePr w:type="firstCol">
      <w:rPr>
        <w:b/>
        <w:bCs/>
      </w:rPr>
    </w:tblStylePr>
    <w:tblStylePr w:type="lastCol">
      <w:rPr>
        <w:b/>
        <w:bCs/>
      </w:rPr>
    </w:tblStylePr>
  </w:style>
  <w:style w:type="table" w:customStyle="1" w:styleId="1025">
    <w:name w:val="网格表 1 浅色 - 着色 21"/>
    <w:basedOn w:val="89"/>
    <w:qFormat/>
    <w:uiPriority w:val="46"/>
    <w:tblPr>
      <w:tblBorders>
        <w:top w:val="single" w:color="E5B8B7" w:themeColor="accent2" w:themeTint="66" w:sz="4" w:space="0"/>
        <w:left w:val="single" w:color="E5B8B7" w:themeColor="accent2" w:themeTint="66" w:sz="4" w:space="0"/>
        <w:bottom w:val="single" w:color="E5B8B7" w:themeColor="accent2" w:themeTint="66" w:sz="4" w:space="0"/>
        <w:right w:val="single" w:color="E5B8B7" w:themeColor="accent2" w:themeTint="66" w:sz="4" w:space="0"/>
        <w:insideH w:val="single" w:color="E5B8B7" w:themeColor="accent2" w:themeTint="66" w:sz="4" w:space="0"/>
        <w:insideV w:val="single" w:color="E5B8B7" w:themeColor="accent2" w:themeTint="66" w:sz="4" w:space="0"/>
      </w:tblBorders>
    </w:tblPr>
    <w:tblStylePr w:type="firstRow">
      <w:rPr>
        <w:b/>
        <w:bCs/>
      </w:rPr>
      <w:tcPr>
        <w:tcBorders>
          <w:bottom w:val="single" w:color="D99594" w:themeColor="accent2" w:themeTint="99" w:sz="12" w:space="0"/>
        </w:tcBorders>
      </w:tcPr>
    </w:tblStylePr>
    <w:tblStylePr w:type="lastRow">
      <w:rPr>
        <w:b/>
        <w:bCs/>
      </w:rPr>
      <w:tcPr>
        <w:tcBorders>
          <w:top w:val="double" w:color="D99594" w:themeColor="accent2" w:themeTint="99" w:sz="2" w:space="0"/>
        </w:tcBorders>
      </w:tcPr>
    </w:tblStylePr>
    <w:tblStylePr w:type="firstCol">
      <w:rPr>
        <w:b/>
        <w:bCs/>
      </w:rPr>
    </w:tblStylePr>
    <w:tblStylePr w:type="lastCol">
      <w:rPr>
        <w:b/>
        <w:bCs/>
      </w:rPr>
    </w:tblStylePr>
  </w:style>
  <w:style w:type="table" w:customStyle="1" w:styleId="1026">
    <w:name w:val="网格表 1 浅色 - 着色 31"/>
    <w:basedOn w:val="89"/>
    <w:qFormat/>
    <w:uiPriority w:val="46"/>
    <w:tblPr>
      <w:tblBorders>
        <w:top w:val="single" w:color="D6E3BC" w:themeColor="accent3" w:themeTint="66" w:sz="4" w:space="0"/>
        <w:left w:val="single" w:color="D6E3BC" w:themeColor="accent3" w:themeTint="66" w:sz="4" w:space="0"/>
        <w:bottom w:val="single" w:color="D6E3BC" w:themeColor="accent3" w:themeTint="66" w:sz="4" w:space="0"/>
        <w:right w:val="single" w:color="D6E3BC" w:themeColor="accent3" w:themeTint="66" w:sz="4" w:space="0"/>
        <w:insideH w:val="single" w:color="D6E3BC" w:themeColor="accent3" w:themeTint="66" w:sz="4" w:space="0"/>
        <w:insideV w:val="single" w:color="D6E3BC" w:themeColor="accent3" w:themeTint="66" w:sz="4" w:space="0"/>
      </w:tblBorders>
    </w:tblPr>
    <w:tblStylePr w:type="firstRow">
      <w:rPr>
        <w:b/>
        <w:bCs/>
      </w:rPr>
      <w:tcPr>
        <w:tcBorders>
          <w:bottom w:val="single" w:color="C2D69B" w:themeColor="accent3" w:themeTint="99" w:sz="12" w:space="0"/>
        </w:tcBorders>
      </w:tcPr>
    </w:tblStylePr>
    <w:tblStylePr w:type="lastRow">
      <w:rPr>
        <w:b/>
        <w:bCs/>
      </w:rPr>
      <w:tcPr>
        <w:tcBorders>
          <w:top w:val="double" w:color="C2D69B" w:themeColor="accent3" w:themeTint="99" w:sz="2" w:space="0"/>
        </w:tcBorders>
      </w:tcPr>
    </w:tblStylePr>
    <w:tblStylePr w:type="firstCol">
      <w:rPr>
        <w:b/>
        <w:bCs/>
      </w:rPr>
    </w:tblStylePr>
    <w:tblStylePr w:type="lastCol">
      <w:rPr>
        <w:b/>
        <w:bCs/>
      </w:rPr>
    </w:tblStylePr>
  </w:style>
  <w:style w:type="table" w:customStyle="1" w:styleId="1027">
    <w:name w:val="网格表 1 浅色 - 着色 41"/>
    <w:basedOn w:val="89"/>
    <w:qFormat/>
    <w:uiPriority w:val="46"/>
    <w:tblPr>
      <w:tblBorders>
        <w:top w:val="single" w:color="CCC0D9" w:themeColor="accent4" w:themeTint="66" w:sz="4" w:space="0"/>
        <w:left w:val="single" w:color="CCC0D9" w:themeColor="accent4" w:themeTint="66" w:sz="4" w:space="0"/>
        <w:bottom w:val="single" w:color="CCC0D9" w:themeColor="accent4" w:themeTint="66" w:sz="4" w:space="0"/>
        <w:right w:val="single" w:color="CCC0D9" w:themeColor="accent4" w:themeTint="66" w:sz="4" w:space="0"/>
        <w:insideH w:val="single" w:color="CCC0D9" w:themeColor="accent4" w:themeTint="66" w:sz="4" w:space="0"/>
        <w:insideV w:val="single" w:color="CCC0D9" w:themeColor="accent4" w:themeTint="66" w:sz="4" w:space="0"/>
      </w:tblBorders>
    </w:tblPr>
    <w:tblStylePr w:type="firstRow">
      <w:rPr>
        <w:b/>
        <w:bCs/>
      </w:rPr>
      <w:tcPr>
        <w:tcBorders>
          <w:bottom w:val="single" w:color="B2A1C7" w:themeColor="accent4" w:themeTint="99" w:sz="12" w:space="0"/>
        </w:tcBorders>
      </w:tcPr>
    </w:tblStylePr>
    <w:tblStylePr w:type="lastRow">
      <w:rPr>
        <w:b/>
        <w:bCs/>
      </w:rPr>
      <w:tcPr>
        <w:tcBorders>
          <w:top w:val="double" w:color="B2A1C7" w:themeColor="accent4" w:themeTint="99" w:sz="2" w:space="0"/>
        </w:tcBorders>
      </w:tcPr>
    </w:tblStylePr>
    <w:tblStylePr w:type="firstCol">
      <w:rPr>
        <w:b/>
        <w:bCs/>
      </w:rPr>
    </w:tblStylePr>
    <w:tblStylePr w:type="lastCol">
      <w:rPr>
        <w:b/>
        <w:bCs/>
      </w:rPr>
    </w:tblStylePr>
  </w:style>
  <w:style w:type="table" w:customStyle="1" w:styleId="1028">
    <w:name w:val="网格表 1 浅色 - 着色 51"/>
    <w:basedOn w:val="8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table" w:customStyle="1" w:styleId="1029">
    <w:name w:val="网格表 1 浅色 - 着色 61"/>
    <w:basedOn w:val="89"/>
    <w:qFormat/>
    <w:uiPriority w:val="46"/>
    <w:tblPr>
      <w:tblBorders>
        <w:top w:val="single" w:color="FBD4B4" w:themeColor="accent6" w:themeTint="66" w:sz="4" w:space="0"/>
        <w:left w:val="single" w:color="FBD4B4" w:themeColor="accent6" w:themeTint="66" w:sz="4" w:space="0"/>
        <w:bottom w:val="single" w:color="FBD4B4" w:themeColor="accent6" w:themeTint="66" w:sz="4" w:space="0"/>
        <w:right w:val="single" w:color="FBD4B4" w:themeColor="accent6" w:themeTint="66" w:sz="4" w:space="0"/>
        <w:insideH w:val="single" w:color="FBD4B4" w:themeColor="accent6" w:themeTint="66" w:sz="4" w:space="0"/>
        <w:insideV w:val="single" w:color="FBD4B4" w:themeColor="accent6" w:themeTint="66" w:sz="4" w:space="0"/>
      </w:tblBorders>
    </w:tblPr>
    <w:tblStylePr w:type="firstRow">
      <w:rPr>
        <w:b/>
        <w:bCs/>
      </w:rPr>
      <w:tcPr>
        <w:tcBorders>
          <w:bottom w:val="single" w:color="FABF8F" w:themeColor="accent6" w:themeTint="99" w:sz="12" w:space="0"/>
        </w:tcBorders>
      </w:tcPr>
    </w:tblStylePr>
    <w:tblStylePr w:type="lastRow">
      <w:rPr>
        <w:b/>
        <w:bCs/>
      </w:rPr>
      <w:tcPr>
        <w:tcBorders>
          <w:top w:val="double" w:color="FABF8F" w:themeColor="accent6" w:themeTint="99" w:sz="2" w:space="0"/>
        </w:tcBorders>
      </w:tcPr>
    </w:tblStylePr>
    <w:tblStylePr w:type="firstCol">
      <w:rPr>
        <w:b/>
        <w:bCs/>
      </w:rPr>
    </w:tblStylePr>
    <w:tblStylePr w:type="lastCol">
      <w:rPr>
        <w:b/>
        <w:bCs/>
      </w:rPr>
    </w:tblStylePr>
  </w:style>
  <w:style w:type="table" w:customStyle="1" w:styleId="1030">
    <w:name w:val="网格表 21"/>
    <w:basedOn w:val="89"/>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31">
    <w:name w:val="网格表 2 - 着色 11"/>
    <w:basedOn w:val="89"/>
    <w:qFormat/>
    <w:uiPriority w:val="47"/>
    <w:tblPr>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cPr>
        <w:tcBorders>
          <w:top w:val="nil"/>
          <w:bottom w:val="single" w:color="95B3D7" w:themeColor="accent1" w:themeTint="99" w:sz="12" w:space="0"/>
          <w:insideH w:val="nil"/>
          <w:insideV w:val="nil"/>
        </w:tcBorders>
        <w:shd w:val="clear" w:color="auto" w:fill="FFFFFF" w:themeFill="background1"/>
      </w:tcPr>
    </w:tblStylePr>
    <w:tblStylePr w:type="lastRow">
      <w:rPr>
        <w:b/>
        <w:bCs/>
      </w:r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1032">
    <w:name w:val="网格表 2 - 着色 21"/>
    <w:basedOn w:val="89"/>
    <w:qFormat/>
    <w:uiPriority w:val="47"/>
    <w:tblPr>
      <w:tblBorders>
        <w:top w:val="single" w:color="D99594" w:themeColor="accent2" w:themeTint="99" w:sz="2" w:space="0"/>
        <w:bottom w:val="single" w:color="D99594" w:themeColor="accent2" w:themeTint="99" w:sz="2" w:space="0"/>
        <w:insideH w:val="single" w:color="D99594" w:themeColor="accent2" w:themeTint="99" w:sz="2" w:space="0"/>
        <w:insideV w:val="single" w:color="D99594" w:themeColor="accent2" w:themeTint="99" w:sz="2" w:space="0"/>
      </w:tblBorders>
    </w:tblPr>
    <w:tblStylePr w:type="firstRow">
      <w:rPr>
        <w:b/>
        <w:bCs/>
      </w:rPr>
      <w:tcPr>
        <w:tcBorders>
          <w:top w:val="nil"/>
          <w:bottom w:val="single" w:color="D99594" w:themeColor="accent2" w:themeTint="99" w:sz="12" w:space="0"/>
          <w:insideH w:val="nil"/>
          <w:insideV w:val="nil"/>
        </w:tcBorders>
        <w:shd w:val="clear" w:color="auto" w:fill="FFFFFF" w:themeFill="background1"/>
      </w:tcPr>
    </w:tblStylePr>
    <w:tblStylePr w:type="lastRow">
      <w:rPr>
        <w:b/>
        <w:bCs/>
      </w:rPr>
      <w:tcPr>
        <w:tcBorders>
          <w:top w:val="double" w:color="D99594"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1033">
    <w:name w:val="网格表 2 - 着色 31"/>
    <w:basedOn w:val="89"/>
    <w:qFormat/>
    <w:uiPriority w:val="47"/>
    <w:tblPr>
      <w:tblBorders>
        <w:top w:val="single" w:color="C2D69B" w:themeColor="accent3" w:themeTint="99" w:sz="2" w:space="0"/>
        <w:bottom w:val="single" w:color="C2D69B" w:themeColor="accent3" w:themeTint="99" w:sz="2" w:space="0"/>
        <w:insideH w:val="single" w:color="C2D69B" w:themeColor="accent3" w:themeTint="99" w:sz="2" w:space="0"/>
        <w:insideV w:val="single" w:color="C2D69B" w:themeColor="accent3" w:themeTint="99" w:sz="2" w:space="0"/>
      </w:tblBorders>
    </w:tblPr>
    <w:tblStylePr w:type="firstRow">
      <w:rPr>
        <w:b/>
        <w:bCs/>
      </w:rPr>
      <w:tcPr>
        <w:tcBorders>
          <w:top w:val="nil"/>
          <w:bottom w:val="single" w:color="C2D69B" w:themeColor="accent3" w:themeTint="99" w:sz="12" w:space="0"/>
          <w:insideH w:val="nil"/>
          <w:insideV w:val="nil"/>
        </w:tcBorders>
        <w:shd w:val="clear" w:color="auto" w:fill="FFFFFF" w:themeFill="background1"/>
      </w:tcPr>
    </w:tblStylePr>
    <w:tblStylePr w:type="lastRow">
      <w:rPr>
        <w:b/>
        <w:bCs/>
      </w:rPr>
      <w:tcPr>
        <w:tcBorders>
          <w:top w:val="double" w:color="C2D69B"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1034">
    <w:name w:val="网格表 2 - 着色 41"/>
    <w:basedOn w:val="89"/>
    <w:qFormat/>
    <w:uiPriority w:val="47"/>
    <w:tblPr>
      <w:tblBorders>
        <w:top w:val="single" w:color="B2A1C7" w:themeColor="accent4" w:themeTint="99" w:sz="2" w:space="0"/>
        <w:bottom w:val="single" w:color="B2A1C7" w:themeColor="accent4" w:themeTint="99" w:sz="2" w:space="0"/>
        <w:insideH w:val="single" w:color="B2A1C7" w:themeColor="accent4" w:themeTint="99" w:sz="2" w:space="0"/>
        <w:insideV w:val="single" w:color="B2A1C7" w:themeColor="accent4" w:themeTint="99" w:sz="2" w:space="0"/>
      </w:tblBorders>
    </w:tblPr>
    <w:tblStylePr w:type="firstRow">
      <w:rPr>
        <w:b/>
        <w:bCs/>
      </w:rPr>
      <w:tcPr>
        <w:tcBorders>
          <w:top w:val="nil"/>
          <w:bottom w:val="single" w:color="B2A1C7" w:themeColor="accent4" w:themeTint="99" w:sz="12" w:space="0"/>
          <w:insideH w:val="nil"/>
          <w:insideV w:val="nil"/>
        </w:tcBorders>
        <w:shd w:val="clear" w:color="auto" w:fill="FFFFFF" w:themeFill="background1"/>
      </w:tcPr>
    </w:tblStylePr>
    <w:tblStylePr w:type="lastRow">
      <w:rPr>
        <w:b/>
        <w:bCs/>
      </w:rPr>
      <w:tcPr>
        <w:tcBorders>
          <w:top w:val="double" w:color="B2A1C7"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1035">
    <w:name w:val="网格表 2 - 着色 51"/>
    <w:basedOn w:val="8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036">
    <w:name w:val="网格表 2 - 着色 61"/>
    <w:basedOn w:val="89"/>
    <w:qFormat/>
    <w:uiPriority w:val="47"/>
    <w:tblPr>
      <w:tblBorders>
        <w:top w:val="single" w:color="FABF8F" w:themeColor="accent6" w:themeTint="99" w:sz="2" w:space="0"/>
        <w:bottom w:val="single" w:color="FABF8F" w:themeColor="accent6" w:themeTint="99" w:sz="2" w:space="0"/>
        <w:insideH w:val="single" w:color="FABF8F" w:themeColor="accent6" w:themeTint="99" w:sz="2" w:space="0"/>
        <w:insideV w:val="single" w:color="FABF8F" w:themeColor="accent6" w:themeTint="99" w:sz="2" w:space="0"/>
      </w:tblBorders>
    </w:tblPr>
    <w:tblStylePr w:type="firstRow">
      <w:rPr>
        <w:b/>
        <w:bCs/>
      </w:rPr>
      <w:tcPr>
        <w:tcBorders>
          <w:top w:val="nil"/>
          <w:bottom w:val="single" w:color="FABF8F" w:themeColor="accent6" w:themeTint="99" w:sz="12" w:space="0"/>
          <w:insideH w:val="nil"/>
          <w:insideV w:val="nil"/>
        </w:tcBorders>
        <w:shd w:val="clear" w:color="auto" w:fill="FFFFFF" w:themeFill="background1"/>
      </w:tcPr>
    </w:tblStylePr>
    <w:tblStylePr w:type="lastRow">
      <w:rPr>
        <w:b/>
        <w:bCs/>
      </w:rPr>
      <w:tcPr>
        <w:tcBorders>
          <w:top w:val="double" w:color="FABF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1037">
    <w:name w:val="网格表 31"/>
    <w:basedOn w:val="89"/>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1038">
    <w:name w:val="网格表 3 - 着色 11"/>
    <w:basedOn w:val="89"/>
    <w:qFormat/>
    <w:uiPriority w:val="48"/>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BE5F1" w:themeFill="accent1" w:themeFillTint="33"/>
      </w:tcPr>
    </w:tblStylePr>
    <w:tblStylePr w:type="band1Horz">
      <w:tcPr>
        <w:shd w:val="clear" w:color="auto" w:fill="DBE5F1" w:themeFill="accent1" w:themeFillTint="33"/>
      </w:tcPr>
    </w:tblStylePr>
    <w:tblStylePr w:type="neCell">
      <w:tcPr>
        <w:tcBorders>
          <w:bottom w:val="single" w:color="95B3D7" w:themeColor="accent1" w:themeTint="99" w:sz="4" w:space="0"/>
        </w:tcBorders>
      </w:tcPr>
    </w:tblStylePr>
    <w:tblStylePr w:type="nwCell">
      <w:tcPr>
        <w:tcBorders>
          <w:bottom w:val="single" w:color="95B3D7" w:themeColor="accent1" w:themeTint="99" w:sz="4" w:space="0"/>
        </w:tcBorders>
      </w:tcPr>
    </w:tblStylePr>
    <w:tblStylePr w:type="seCell">
      <w:tcPr>
        <w:tcBorders>
          <w:top w:val="single" w:color="95B3D7" w:themeColor="accent1" w:themeTint="99" w:sz="4" w:space="0"/>
        </w:tcBorders>
      </w:tcPr>
    </w:tblStylePr>
    <w:tblStylePr w:type="swCell">
      <w:tcPr>
        <w:tcBorders>
          <w:top w:val="single" w:color="95B3D7" w:themeColor="accent1" w:themeTint="99" w:sz="4" w:space="0"/>
        </w:tcBorders>
      </w:tcPr>
    </w:tblStylePr>
  </w:style>
  <w:style w:type="table" w:customStyle="1" w:styleId="1039">
    <w:name w:val="网格表 3 - 着色 21"/>
    <w:basedOn w:val="89"/>
    <w:qFormat/>
    <w:uiPriority w:val="48"/>
    <w:tblPr>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2DBDB" w:themeFill="accent2" w:themeFillTint="33"/>
      </w:tcPr>
    </w:tblStylePr>
    <w:tblStylePr w:type="band1Horz">
      <w:tcPr>
        <w:shd w:val="clear" w:color="auto" w:fill="F2DBDB" w:themeFill="accent2" w:themeFillTint="33"/>
      </w:tcPr>
    </w:tblStylePr>
    <w:tblStylePr w:type="neCell">
      <w:tcPr>
        <w:tcBorders>
          <w:bottom w:val="single" w:color="D99594" w:themeColor="accent2" w:themeTint="99" w:sz="4" w:space="0"/>
        </w:tcBorders>
      </w:tcPr>
    </w:tblStylePr>
    <w:tblStylePr w:type="nwCell">
      <w:tcPr>
        <w:tcBorders>
          <w:bottom w:val="single" w:color="D99594" w:themeColor="accent2" w:themeTint="99" w:sz="4" w:space="0"/>
        </w:tcBorders>
      </w:tcPr>
    </w:tblStylePr>
    <w:tblStylePr w:type="seCell">
      <w:tcPr>
        <w:tcBorders>
          <w:top w:val="single" w:color="D99594" w:themeColor="accent2" w:themeTint="99" w:sz="4" w:space="0"/>
        </w:tcBorders>
      </w:tcPr>
    </w:tblStylePr>
    <w:tblStylePr w:type="swCell">
      <w:tcPr>
        <w:tcBorders>
          <w:top w:val="single" w:color="D99594" w:themeColor="accent2" w:themeTint="99" w:sz="4" w:space="0"/>
        </w:tcBorders>
      </w:tcPr>
    </w:tblStylePr>
  </w:style>
  <w:style w:type="table" w:customStyle="1" w:styleId="1040">
    <w:name w:val="网格表 3 - 着色 31"/>
    <w:basedOn w:val="89"/>
    <w:qFormat/>
    <w:uiPriority w:val="48"/>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AF1DD" w:themeFill="accent3" w:themeFillTint="33"/>
      </w:tcPr>
    </w:tblStylePr>
    <w:tblStylePr w:type="band1Horz">
      <w:tcPr>
        <w:shd w:val="clear" w:color="auto" w:fill="EAF1DD" w:themeFill="accent3" w:themeFillTint="33"/>
      </w:tcPr>
    </w:tblStylePr>
    <w:tblStylePr w:type="neCell">
      <w:tcPr>
        <w:tcBorders>
          <w:bottom w:val="single" w:color="C2D69B" w:themeColor="accent3" w:themeTint="99" w:sz="4" w:space="0"/>
        </w:tcBorders>
      </w:tcPr>
    </w:tblStylePr>
    <w:tblStylePr w:type="nwCell">
      <w:tcPr>
        <w:tcBorders>
          <w:bottom w:val="single" w:color="C2D69B" w:themeColor="accent3" w:themeTint="99" w:sz="4" w:space="0"/>
        </w:tcBorders>
      </w:tcPr>
    </w:tblStylePr>
    <w:tblStylePr w:type="seCell">
      <w:tcPr>
        <w:tcBorders>
          <w:top w:val="single" w:color="C2D69B" w:themeColor="accent3" w:themeTint="99" w:sz="4" w:space="0"/>
        </w:tcBorders>
      </w:tcPr>
    </w:tblStylePr>
    <w:tblStylePr w:type="swCell">
      <w:tcPr>
        <w:tcBorders>
          <w:top w:val="single" w:color="C2D69B" w:themeColor="accent3" w:themeTint="99" w:sz="4" w:space="0"/>
        </w:tcBorders>
      </w:tcPr>
    </w:tblStylePr>
  </w:style>
  <w:style w:type="table" w:customStyle="1" w:styleId="1041">
    <w:name w:val="网格表 3 - 着色 41"/>
    <w:basedOn w:val="89"/>
    <w:qFormat/>
    <w:uiPriority w:val="48"/>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5DFEC" w:themeFill="accent4" w:themeFillTint="33"/>
      </w:tcPr>
    </w:tblStylePr>
    <w:tblStylePr w:type="band1Horz">
      <w:tcPr>
        <w:shd w:val="clear" w:color="auto" w:fill="E5DFEC" w:themeFill="accent4" w:themeFillTint="33"/>
      </w:tcPr>
    </w:tblStylePr>
    <w:tblStylePr w:type="neCell">
      <w:tcPr>
        <w:tcBorders>
          <w:bottom w:val="single" w:color="B2A1C7" w:themeColor="accent4" w:themeTint="99" w:sz="4" w:space="0"/>
        </w:tcBorders>
      </w:tcPr>
    </w:tblStylePr>
    <w:tblStylePr w:type="nwCell">
      <w:tcPr>
        <w:tcBorders>
          <w:bottom w:val="single" w:color="B2A1C7" w:themeColor="accent4" w:themeTint="99" w:sz="4" w:space="0"/>
        </w:tcBorders>
      </w:tcPr>
    </w:tblStylePr>
    <w:tblStylePr w:type="seCell">
      <w:tcPr>
        <w:tcBorders>
          <w:top w:val="single" w:color="B2A1C7" w:themeColor="accent4" w:themeTint="99" w:sz="4" w:space="0"/>
        </w:tcBorders>
      </w:tcPr>
    </w:tblStylePr>
    <w:tblStylePr w:type="swCell">
      <w:tcPr>
        <w:tcBorders>
          <w:top w:val="single" w:color="B2A1C7" w:themeColor="accent4" w:themeTint="99" w:sz="4" w:space="0"/>
        </w:tcBorders>
      </w:tcPr>
    </w:tblStylePr>
  </w:style>
  <w:style w:type="table" w:customStyle="1" w:styleId="1042">
    <w:name w:val="网格表 3 - 着色 51"/>
    <w:basedOn w:val="89"/>
    <w:qFormat/>
    <w:uiPriority w:val="48"/>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AEEF3" w:themeFill="accent5" w:themeFillTint="33"/>
      </w:tcPr>
    </w:tblStylePr>
    <w:tblStylePr w:type="band1Horz">
      <w:tcPr>
        <w:shd w:val="clear" w:color="auto" w:fill="DAEEF3" w:themeFill="accent5" w:themeFillTint="33"/>
      </w:tcPr>
    </w:tblStylePr>
    <w:tblStylePr w:type="neCell">
      <w:tcPr>
        <w:tcBorders>
          <w:bottom w:val="single" w:color="92CDDC" w:themeColor="accent5" w:themeTint="99" w:sz="4" w:space="0"/>
        </w:tcBorders>
      </w:tcPr>
    </w:tblStylePr>
    <w:tblStylePr w:type="nwCell">
      <w:tcPr>
        <w:tcBorders>
          <w:bottom w:val="single" w:color="92CDDC" w:themeColor="accent5" w:themeTint="99" w:sz="4" w:space="0"/>
        </w:tcBorders>
      </w:tcPr>
    </w:tblStylePr>
    <w:tblStylePr w:type="seCell">
      <w:tcPr>
        <w:tcBorders>
          <w:top w:val="single" w:color="92CDDC" w:themeColor="accent5" w:themeTint="99" w:sz="4" w:space="0"/>
        </w:tcBorders>
      </w:tcPr>
    </w:tblStylePr>
    <w:tblStylePr w:type="swCell">
      <w:tcPr>
        <w:tcBorders>
          <w:top w:val="single" w:color="92CDDC" w:themeColor="accent5" w:themeTint="99" w:sz="4" w:space="0"/>
        </w:tcBorders>
      </w:tcPr>
    </w:tblStylePr>
  </w:style>
  <w:style w:type="table" w:customStyle="1" w:styleId="1043">
    <w:name w:val="网格表 3 - 着色 61"/>
    <w:basedOn w:val="89"/>
    <w:qFormat/>
    <w:uiPriority w:val="48"/>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bottom w:val="single" w:color="FABF8F" w:themeColor="accent6" w:themeTint="99" w:sz="4" w:space="0"/>
        </w:tcBorders>
      </w:tcPr>
    </w:tblStylePr>
    <w:tblStylePr w:type="nwCell">
      <w:tcPr>
        <w:tcBorders>
          <w:bottom w:val="single" w:color="FABF8F" w:themeColor="accent6" w:themeTint="99" w:sz="4" w:space="0"/>
        </w:tcBorders>
      </w:tcPr>
    </w:tblStylePr>
    <w:tblStylePr w:type="seCell">
      <w:tcPr>
        <w:tcBorders>
          <w:top w:val="single" w:color="FABF8F" w:themeColor="accent6" w:themeTint="99" w:sz="4" w:space="0"/>
        </w:tcBorders>
      </w:tcPr>
    </w:tblStylePr>
    <w:tblStylePr w:type="swCell">
      <w:tcPr>
        <w:tcBorders>
          <w:top w:val="single" w:color="FABF8F" w:themeColor="accent6" w:themeTint="99" w:sz="4" w:space="0"/>
        </w:tcBorders>
      </w:tcPr>
    </w:tblStylePr>
  </w:style>
  <w:style w:type="table" w:customStyle="1" w:styleId="1044">
    <w:name w:val="网格表 41"/>
    <w:basedOn w:val="89"/>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45">
    <w:name w:val="网格表 4 - 着色 11"/>
    <w:basedOn w:val="89"/>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1046">
    <w:name w:val="网格表 4 - 着色 21"/>
    <w:basedOn w:val="89"/>
    <w:qFormat/>
    <w:uiPriority w:val="49"/>
    <w:tblPr>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color w:val="FFFFFF" w:themeColor="background1"/>
        <w14:textFill>
          <w14:solidFill>
            <w14:schemeClr w14:val="bg1"/>
          </w14:solidFill>
        </w14:textFill>
      </w:rPr>
      <w:tcPr>
        <w:tcBorders>
          <w:top w:val="single" w:color="C0504D" w:themeColor="accent2" w:sz="4" w:space="0"/>
          <w:left w:val="single" w:color="C0504D" w:themeColor="accent2" w:sz="4" w:space="0"/>
          <w:bottom w:val="single" w:color="C0504D" w:themeColor="accent2" w:sz="4" w:space="0"/>
          <w:right w:val="single" w:color="C0504D" w:themeColor="accent2" w:sz="4" w:space="0"/>
          <w:insideH w:val="nil"/>
          <w:insideV w:val="nil"/>
        </w:tcBorders>
        <w:shd w:val="clear" w:color="auto" w:fill="C0504D" w:themeFill="accent2"/>
      </w:tcPr>
    </w:tblStylePr>
    <w:tblStylePr w:type="lastRow">
      <w:rPr>
        <w:b/>
        <w:bCs/>
      </w:rPr>
      <w:tcPr>
        <w:tcBorders>
          <w:top w:val="double" w:color="C0504D" w:themeColor="accent2"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1047">
    <w:name w:val="网格表 4 - 着色 31"/>
    <w:basedOn w:val="89"/>
    <w:qFormat/>
    <w:uiPriority w:val="49"/>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1048">
    <w:name w:val="网格表 4 - 着色 41"/>
    <w:basedOn w:val="89"/>
    <w:qFormat/>
    <w:uiPriority w:val="49"/>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color w:val="FFFFFF" w:themeColor="background1"/>
        <w14:textFill>
          <w14:solidFill>
            <w14:schemeClr w14:val="bg1"/>
          </w14:solidFill>
        </w14:textFill>
      </w:r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insideV w:val="nil"/>
        </w:tcBorders>
        <w:shd w:val="clear" w:color="auto" w:fill="8064A2" w:themeFill="accent4"/>
      </w:tcPr>
    </w:tblStylePr>
    <w:tblStylePr w:type="lastRow">
      <w:rPr>
        <w:b/>
        <w:bCs/>
      </w:rPr>
      <w:tcPr>
        <w:tcBorders>
          <w:top w:val="double" w:color="8064A2" w:themeColor="accent4"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1049">
    <w:name w:val="网格表 4 - 着色 51"/>
    <w:basedOn w:val="89"/>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050">
    <w:name w:val="网格表 4 - 着色 61"/>
    <w:basedOn w:val="89"/>
    <w:qFormat/>
    <w:uiPriority w:val="49"/>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1051">
    <w:name w:val="网格表 5 深色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052">
    <w:name w:val="网格表 5 深色 - 着色 1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1053">
    <w:name w:val="网格表 5 深色 - 着色 2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2DBD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C0504D"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C0504D"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C0504D"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C0504D" w:themeFill="accent2"/>
      </w:tcPr>
    </w:tblStylePr>
    <w:tblStylePr w:type="band1Vert">
      <w:tcPr>
        <w:shd w:val="clear" w:color="auto" w:fill="E5B8B7" w:themeFill="accent2" w:themeFillTint="66"/>
      </w:tcPr>
    </w:tblStylePr>
    <w:tblStylePr w:type="band1Horz">
      <w:tcPr>
        <w:shd w:val="clear" w:color="auto" w:fill="E5B8B7" w:themeFill="accent2" w:themeFillTint="66"/>
      </w:tcPr>
    </w:tblStylePr>
  </w:style>
  <w:style w:type="table" w:customStyle="1" w:styleId="1054">
    <w:name w:val="网格表 5 深色 - 着色 3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055">
    <w:name w:val="网格表 5 深色 - 着色 4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cPr>
        <w:shd w:val="clear" w:color="auto" w:fill="CCC0D9" w:themeFill="accent4" w:themeFillTint="66"/>
      </w:tcPr>
    </w:tblStylePr>
    <w:tblStylePr w:type="band1Horz">
      <w:tcPr>
        <w:shd w:val="clear" w:color="auto" w:fill="CCC0D9" w:themeFill="accent4" w:themeFillTint="66"/>
      </w:tcPr>
    </w:tblStylePr>
  </w:style>
  <w:style w:type="table" w:customStyle="1" w:styleId="1056">
    <w:name w:val="网格表 5 深色 - 着色 5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1057">
    <w:name w:val="网格表 5 深色 - 着色 6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DE9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79646"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79646"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79646"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79646" w:themeFill="accent6"/>
      </w:tcPr>
    </w:tblStylePr>
    <w:tblStylePr w:type="band1Vert">
      <w:tcPr>
        <w:shd w:val="clear" w:color="auto" w:fill="FBD4B4" w:themeFill="accent6" w:themeFillTint="66"/>
      </w:tcPr>
    </w:tblStylePr>
    <w:tblStylePr w:type="band1Horz">
      <w:tcPr>
        <w:shd w:val="clear" w:color="auto" w:fill="FBD4B4" w:themeFill="accent6" w:themeFillTint="66"/>
      </w:tcPr>
    </w:tblStylePr>
  </w:style>
  <w:style w:type="table" w:customStyle="1" w:styleId="1058">
    <w:name w:val="网格表 6 彩色1"/>
    <w:basedOn w:val="89"/>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1059">
    <w:name w:val="Grid Table 6 Colorful CharProp11"/>
    <w:uiPriority w:val="51"/>
    <w:rPr>
      <w:color w:val="000000" w:themeColor="text1"/>
      <w14:textFill>
        <w14:solidFill>
          <w14:schemeClr w14:val="tx1"/>
        </w14:solidFill>
      </w14:textFill>
    </w:rPr>
  </w:style>
  <w:style w:type="character" w:customStyle="1" w:styleId="1060">
    <w:name w:val="Grid Table 6 Colorful CharProp10"/>
    <w:uiPriority w:val="51"/>
    <w:rPr>
      <w:color w:val="000000" w:themeColor="text1"/>
      <w14:textFill>
        <w14:solidFill>
          <w14:schemeClr w14:val="tx1"/>
        </w14:solidFill>
      </w14:textFill>
    </w:rPr>
  </w:style>
  <w:style w:type="character" w:customStyle="1" w:styleId="1061">
    <w:name w:val="Grid Table 6 Colorful CharProp9"/>
    <w:uiPriority w:val="51"/>
    <w:rPr>
      <w:color w:val="000000" w:themeColor="text1"/>
      <w14:textFill>
        <w14:solidFill>
          <w14:schemeClr w14:val="tx1"/>
        </w14:solidFill>
      </w14:textFill>
    </w:rPr>
  </w:style>
  <w:style w:type="character" w:customStyle="1" w:styleId="1062">
    <w:name w:val="Grid Table 6 Colorful CharProp8"/>
    <w:uiPriority w:val="51"/>
    <w:rPr>
      <w:color w:val="000000" w:themeColor="text1"/>
      <w14:textFill>
        <w14:solidFill>
          <w14:schemeClr w14:val="tx1"/>
        </w14:solidFill>
      </w14:textFill>
    </w:rPr>
  </w:style>
  <w:style w:type="character" w:customStyle="1" w:styleId="1063">
    <w:name w:val="Grid Table 6 Colorful CharProp7"/>
    <w:uiPriority w:val="51"/>
    <w:rPr>
      <w:color w:val="000000" w:themeColor="text1"/>
      <w14:textFill>
        <w14:solidFill>
          <w14:schemeClr w14:val="tx1"/>
        </w14:solidFill>
      </w14:textFill>
    </w:rPr>
  </w:style>
  <w:style w:type="character" w:customStyle="1" w:styleId="1064">
    <w:name w:val="Grid Table 6 Colorful CharProp6"/>
    <w:uiPriority w:val="51"/>
    <w:rPr>
      <w:color w:val="000000" w:themeColor="text1"/>
      <w14:textFill>
        <w14:solidFill>
          <w14:schemeClr w14:val="tx1"/>
        </w14:solidFill>
      </w14:textFill>
    </w:rPr>
  </w:style>
  <w:style w:type="character" w:customStyle="1" w:styleId="1065">
    <w:name w:val="Grid Table 6 Colorful CharProp5"/>
    <w:uiPriority w:val="51"/>
    <w:rPr>
      <w:color w:val="000000" w:themeColor="text1"/>
      <w14:textFill>
        <w14:solidFill>
          <w14:schemeClr w14:val="tx1"/>
        </w14:solidFill>
      </w14:textFill>
    </w:rPr>
  </w:style>
  <w:style w:type="character" w:customStyle="1" w:styleId="1066">
    <w:name w:val="Grid Table 6 Colorful CharProp4"/>
    <w:uiPriority w:val="51"/>
    <w:rPr>
      <w:color w:val="000000" w:themeColor="text1"/>
      <w14:textFill>
        <w14:solidFill>
          <w14:schemeClr w14:val="tx1"/>
        </w14:solidFill>
      </w14:textFill>
    </w:rPr>
  </w:style>
  <w:style w:type="character" w:customStyle="1" w:styleId="1067">
    <w:name w:val="Grid Table 6 Colorful CharProp3"/>
    <w:uiPriority w:val="51"/>
    <w:rPr>
      <w:color w:val="000000" w:themeColor="text1"/>
      <w14:textFill>
        <w14:solidFill>
          <w14:schemeClr w14:val="tx1"/>
        </w14:solidFill>
      </w14:textFill>
    </w:rPr>
  </w:style>
  <w:style w:type="character" w:customStyle="1" w:styleId="1068">
    <w:name w:val="Grid Table 6 Colorful CharProp2"/>
    <w:uiPriority w:val="51"/>
    <w:rPr>
      <w:color w:val="000000" w:themeColor="text1"/>
      <w14:textFill>
        <w14:solidFill>
          <w14:schemeClr w14:val="tx1"/>
        </w14:solidFill>
      </w14:textFill>
    </w:rPr>
  </w:style>
  <w:style w:type="character" w:customStyle="1" w:styleId="1069">
    <w:name w:val="Grid Table 6 Colorful CharProp1"/>
    <w:uiPriority w:val="51"/>
    <w:rPr>
      <w:color w:val="000000" w:themeColor="text1"/>
      <w14:textFill>
        <w14:solidFill>
          <w14:schemeClr w14:val="tx1"/>
        </w14:solidFill>
      </w14:textFill>
    </w:rPr>
  </w:style>
  <w:style w:type="character" w:customStyle="1" w:styleId="1070">
    <w:name w:val="Grid Table 6 Colorful CharProp"/>
    <w:uiPriority w:val="51"/>
    <w:rPr>
      <w:color w:val="000000" w:themeColor="text1"/>
      <w14:textFill>
        <w14:solidFill>
          <w14:schemeClr w14:val="tx1"/>
        </w14:solidFill>
      </w14:textFill>
    </w:rPr>
  </w:style>
  <w:style w:type="table" w:customStyle="1" w:styleId="1071">
    <w:name w:val="网格表 6 彩色 - 着色 11"/>
    <w:basedOn w:val="89"/>
    <w:qFormat/>
    <w:uiPriority w:val="51"/>
    <w:rPr>
      <w:color w:val="376092" w:themeColor="accent1" w:themeShade="BF"/>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1072">
    <w:name w:val="Grid Table 6 Colorful Accent 1 CharProp11"/>
    <w:uiPriority w:val="51"/>
    <w:rPr>
      <w:color w:val="376092" w:themeColor="accent1" w:themeShade="BF"/>
    </w:rPr>
  </w:style>
  <w:style w:type="character" w:customStyle="1" w:styleId="1073">
    <w:name w:val="Grid Table 6 Colorful Accent 1 CharProp10"/>
    <w:uiPriority w:val="51"/>
    <w:rPr>
      <w:color w:val="376092" w:themeColor="accent1" w:themeShade="BF"/>
    </w:rPr>
  </w:style>
  <w:style w:type="character" w:customStyle="1" w:styleId="1074">
    <w:name w:val="Grid Table 6 Colorful Accent 1 CharProp9"/>
    <w:uiPriority w:val="51"/>
    <w:rPr>
      <w:color w:val="376092" w:themeColor="accent1" w:themeShade="BF"/>
    </w:rPr>
  </w:style>
  <w:style w:type="character" w:customStyle="1" w:styleId="1075">
    <w:name w:val="Grid Table 6 Colorful Accent 1 CharProp8"/>
    <w:uiPriority w:val="51"/>
    <w:rPr>
      <w:color w:val="376092" w:themeColor="accent1" w:themeShade="BF"/>
    </w:rPr>
  </w:style>
  <w:style w:type="character" w:customStyle="1" w:styleId="1076">
    <w:name w:val="Grid Table 6 Colorful Accent 1 CharProp7"/>
    <w:uiPriority w:val="51"/>
    <w:rPr>
      <w:color w:val="376092" w:themeColor="accent1" w:themeShade="BF"/>
    </w:rPr>
  </w:style>
  <w:style w:type="character" w:customStyle="1" w:styleId="1077">
    <w:name w:val="Grid Table 6 Colorful Accent 1 CharProp6"/>
    <w:uiPriority w:val="51"/>
    <w:rPr>
      <w:color w:val="376092" w:themeColor="accent1" w:themeShade="BF"/>
    </w:rPr>
  </w:style>
  <w:style w:type="character" w:customStyle="1" w:styleId="1078">
    <w:name w:val="Grid Table 6 Colorful Accent 1 CharProp5"/>
    <w:uiPriority w:val="51"/>
    <w:rPr>
      <w:color w:val="376092" w:themeColor="accent1" w:themeShade="BF"/>
    </w:rPr>
  </w:style>
  <w:style w:type="character" w:customStyle="1" w:styleId="1079">
    <w:name w:val="Grid Table 6 Colorful Accent 1 CharProp4"/>
    <w:uiPriority w:val="51"/>
    <w:rPr>
      <w:color w:val="376092" w:themeColor="accent1" w:themeShade="BF"/>
    </w:rPr>
  </w:style>
  <w:style w:type="character" w:customStyle="1" w:styleId="1080">
    <w:name w:val="Grid Table 6 Colorful Accent 1 CharProp3"/>
    <w:uiPriority w:val="51"/>
    <w:rPr>
      <w:color w:val="376092" w:themeColor="accent1" w:themeShade="BF"/>
    </w:rPr>
  </w:style>
  <w:style w:type="character" w:customStyle="1" w:styleId="1081">
    <w:name w:val="Grid Table 6 Colorful Accent 1 CharProp2"/>
    <w:uiPriority w:val="51"/>
    <w:rPr>
      <w:color w:val="376092" w:themeColor="accent1" w:themeShade="BF"/>
    </w:rPr>
  </w:style>
  <w:style w:type="character" w:customStyle="1" w:styleId="1082">
    <w:name w:val="Grid Table 6 Colorful Accent 1 CharProp1"/>
    <w:uiPriority w:val="51"/>
    <w:rPr>
      <w:color w:val="376092" w:themeColor="accent1" w:themeShade="BF"/>
    </w:rPr>
  </w:style>
  <w:style w:type="character" w:customStyle="1" w:styleId="1083">
    <w:name w:val="Grid Table 6 Colorful Accent 1 CharProp"/>
    <w:uiPriority w:val="51"/>
    <w:rPr>
      <w:color w:val="376092" w:themeColor="accent1" w:themeShade="BF"/>
    </w:rPr>
  </w:style>
  <w:style w:type="table" w:customStyle="1" w:styleId="1084">
    <w:name w:val="网格表 6 彩色 - 着色 21"/>
    <w:basedOn w:val="89"/>
    <w:qFormat/>
    <w:uiPriority w:val="51"/>
    <w:rPr>
      <w:color w:val="953735" w:themeColor="accent2" w:themeShade="BF"/>
    </w:rPr>
    <w:tblPr>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cPr>
        <w:tcBorders>
          <w:bottom w:val="single" w:color="D99594" w:themeColor="accent2" w:themeTint="99" w:sz="12" w:space="0"/>
        </w:tcBorders>
      </w:tcPr>
    </w:tblStylePr>
    <w:tblStylePr w:type="lastRow">
      <w:rPr>
        <w:b/>
        <w:bCs/>
      </w:rPr>
      <w:tcPr>
        <w:tcBorders>
          <w:top w:val="double" w:color="D99594" w:themeColor="accent2" w:themeTint="99"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character" w:customStyle="1" w:styleId="1085">
    <w:name w:val="Grid Table 6 Colorful Accent 2 CharProp11"/>
    <w:uiPriority w:val="51"/>
    <w:rPr>
      <w:color w:val="953735" w:themeColor="accent2" w:themeShade="BF"/>
    </w:rPr>
  </w:style>
  <w:style w:type="character" w:customStyle="1" w:styleId="1086">
    <w:name w:val="Grid Table 6 Colorful Accent 2 CharProp10"/>
    <w:qFormat/>
    <w:uiPriority w:val="51"/>
    <w:rPr>
      <w:color w:val="953735" w:themeColor="accent2" w:themeShade="BF"/>
    </w:rPr>
  </w:style>
  <w:style w:type="character" w:customStyle="1" w:styleId="1087">
    <w:name w:val="Grid Table 6 Colorful Accent 2 CharProp9"/>
    <w:uiPriority w:val="51"/>
    <w:rPr>
      <w:color w:val="953735" w:themeColor="accent2" w:themeShade="BF"/>
    </w:rPr>
  </w:style>
  <w:style w:type="character" w:customStyle="1" w:styleId="1088">
    <w:name w:val="Grid Table 6 Colorful Accent 2 CharProp8"/>
    <w:uiPriority w:val="51"/>
    <w:rPr>
      <w:color w:val="953735" w:themeColor="accent2" w:themeShade="BF"/>
    </w:rPr>
  </w:style>
  <w:style w:type="character" w:customStyle="1" w:styleId="1089">
    <w:name w:val="Grid Table 6 Colorful Accent 2 CharProp7"/>
    <w:uiPriority w:val="51"/>
    <w:rPr>
      <w:color w:val="953735" w:themeColor="accent2" w:themeShade="BF"/>
    </w:rPr>
  </w:style>
  <w:style w:type="character" w:customStyle="1" w:styleId="1090">
    <w:name w:val="Grid Table 6 Colorful Accent 2 CharProp6"/>
    <w:uiPriority w:val="51"/>
    <w:rPr>
      <w:color w:val="953735" w:themeColor="accent2" w:themeShade="BF"/>
    </w:rPr>
  </w:style>
  <w:style w:type="character" w:customStyle="1" w:styleId="1091">
    <w:name w:val="Grid Table 6 Colorful Accent 2 CharProp5"/>
    <w:uiPriority w:val="51"/>
    <w:rPr>
      <w:color w:val="953735" w:themeColor="accent2" w:themeShade="BF"/>
    </w:rPr>
  </w:style>
  <w:style w:type="character" w:customStyle="1" w:styleId="1092">
    <w:name w:val="Grid Table 6 Colorful Accent 2 CharProp4"/>
    <w:uiPriority w:val="51"/>
    <w:rPr>
      <w:color w:val="953735" w:themeColor="accent2" w:themeShade="BF"/>
    </w:rPr>
  </w:style>
  <w:style w:type="character" w:customStyle="1" w:styleId="1093">
    <w:name w:val="Grid Table 6 Colorful Accent 2 CharProp3"/>
    <w:uiPriority w:val="51"/>
    <w:rPr>
      <w:color w:val="953735" w:themeColor="accent2" w:themeShade="BF"/>
    </w:rPr>
  </w:style>
  <w:style w:type="character" w:customStyle="1" w:styleId="1094">
    <w:name w:val="Grid Table 6 Colorful Accent 2 CharProp2"/>
    <w:uiPriority w:val="51"/>
    <w:rPr>
      <w:color w:val="953735" w:themeColor="accent2" w:themeShade="BF"/>
    </w:rPr>
  </w:style>
  <w:style w:type="character" w:customStyle="1" w:styleId="1095">
    <w:name w:val="Grid Table 6 Colorful Accent 2 CharProp1"/>
    <w:uiPriority w:val="51"/>
    <w:rPr>
      <w:color w:val="953735" w:themeColor="accent2" w:themeShade="BF"/>
    </w:rPr>
  </w:style>
  <w:style w:type="character" w:customStyle="1" w:styleId="1096">
    <w:name w:val="Grid Table 6 Colorful Accent 2 CharProp"/>
    <w:uiPriority w:val="51"/>
    <w:rPr>
      <w:color w:val="953735" w:themeColor="accent2" w:themeShade="BF"/>
    </w:rPr>
  </w:style>
  <w:style w:type="table" w:customStyle="1" w:styleId="1097">
    <w:name w:val="网格表 6 彩色 - 着色 31"/>
    <w:basedOn w:val="89"/>
    <w:qFormat/>
    <w:uiPriority w:val="51"/>
    <w:rPr>
      <w:color w:val="77933C" w:themeColor="accent3" w:themeShade="BF"/>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cPr>
        <w:tcBorders>
          <w:bottom w:val="single" w:color="C2D69B" w:themeColor="accent3" w:themeTint="99" w:sz="12" w:space="0"/>
        </w:tcBorders>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character" w:customStyle="1" w:styleId="1098">
    <w:name w:val="Grid Table 6 Colorful Accent 3 CharProp11"/>
    <w:uiPriority w:val="51"/>
    <w:rPr>
      <w:color w:val="77933C" w:themeColor="accent3" w:themeShade="BF"/>
    </w:rPr>
  </w:style>
  <w:style w:type="character" w:customStyle="1" w:styleId="1099">
    <w:name w:val="Grid Table 6 Colorful Accent 3 CharProp10"/>
    <w:uiPriority w:val="51"/>
    <w:rPr>
      <w:color w:val="77933C" w:themeColor="accent3" w:themeShade="BF"/>
    </w:rPr>
  </w:style>
  <w:style w:type="character" w:customStyle="1" w:styleId="1100">
    <w:name w:val="Grid Table 6 Colorful Accent 3 CharProp9"/>
    <w:uiPriority w:val="51"/>
    <w:rPr>
      <w:color w:val="77933C" w:themeColor="accent3" w:themeShade="BF"/>
    </w:rPr>
  </w:style>
  <w:style w:type="character" w:customStyle="1" w:styleId="1101">
    <w:name w:val="Grid Table 6 Colorful Accent 3 CharProp8"/>
    <w:uiPriority w:val="51"/>
    <w:rPr>
      <w:color w:val="77933C" w:themeColor="accent3" w:themeShade="BF"/>
    </w:rPr>
  </w:style>
  <w:style w:type="character" w:customStyle="1" w:styleId="1102">
    <w:name w:val="Grid Table 6 Colorful Accent 3 CharProp7"/>
    <w:uiPriority w:val="51"/>
    <w:rPr>
      <w:color w:val="77933C" w:themeColor="accent3" w:themeShade="BF"/>
    </w:rPr>
  </w:style>
  <w:style w:type="character" w:customStyle="1" w:styleId="1103">
    <w:name w:val="Grid Table 6 Colorful Accent 3 CharProp6"/>
    <w:uiPriority w:val="51"/>
    <w:rPr>
      <w:color w:val="77933C" w:themeColor="accent3" w:themeShade="BF"/>
    </w:rPr>
  </w:style>
  <w:style w:type="character" w:customStyle="1" w:styleId="1104">
    <w:name w:val="Grid Table 6 Colorful Accent 3 CharProp5"/>
    <w:uiPriority w:val="51"/>
    <w:rPr>
      <w:color w:val="77933C" w:themeColor="accent3" w:themeShade="BF"/>
    </w:rPr>
  </w:style>
  <w:style w:type="character" w:customStyle="1" w:styleId="1105">
    <w:name w:val="Grid Table 6 Colorful Accent 3 CharProp4"/>
    <w:uiPriority w:val="51"/>
    <w:rPr>
      <w:color w:val="77933C" w:themeColor="accent3" w:themeShade="BF"/>
    </w:rPr>
  </w:style>
  <w:style w:type="character" w:customStyle="1" w:styleId="1106">
    <w:name w:val="Grid Table 6 Colorful Accent 3 CharProp3"/>
    <w:uiPriority w:val="51"/>
    <w:rPr>
      <w:color w:val="77933C" w:themeColor="accent3" w:themeShade="BF"/>
    </w:rPr>
  </w:style>
  <w:style w:type="character" w:customStyle="1" w:styleId="1107">
    <w:name w:val="Grid Table 6 Colorful Accent 3 CharProp2"/>
    <w:uiPriority w:val="51"/>
    <w:rPr>
      <w:color w:val="77933C" w:themeColor="accent3" w:themeShade="BF"/>
    </w:rPr>
  </w:style>
  <w:style w:type="character" w:customStyle="1" w:styleId="1108">
    <w:name w:val="Grid Table 6 Colorful Accent 3 CharProp1"/>
    <w:uiPriority w:val="51"/>
    <w:rPr>
      <w:color w:val="77933C" w:themeColor="accent3" w:themeShade="BF"/>
    </w:rPr>
  </w:style>
  <w:style w:type="character" w:customStyle="1" w:styleId="1109">
    <w:name w:val="Grid Table 6 Colorful Accent 3 CharProp"/>
    <w:uiPriority w:val="51"/>
    <w:rPr>
      <w:color w:val="77933C" w:themeColor="accent3" w:themeShade="BF"/>
    </w:rPr>
  </w:style>
  <w:style w:type="table" w:customStyle="1" w:styleId="1110">
    <w:name w:val="网格表 6 彩色 - 着色 41"/>
    <w:basedOn w:val="89"/>
    <w:qFormat/>
    <w:uiPriority w:val="51"/>
    <w:rPr>
      <w:color w:val="604A7B" w:themeColor="accent4" w:themeShade="BF"/>
    </w:rPr>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cPr>
        <w:tcBorders>
          <w:bottom w:val="single" w:color="B2A1C7" w:themeColor="accent4" w:themeTint="99" w:sz="12" w:space="0"/>
        </w:tcBorders>
      </w:tcPr>
    </w:tblStylePr>
    <w:tblStylePr w:type="lastRow">
      <w:rPr>
        <w:b/>
        <w:bCs/>
      </w:rPr>
      <w:tcPr>
        <w:tcBorders>
          <w:top w:val="double" w:color="B2A1C7" w:themeColor="accent4" w:themeTint="99"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character" w:customStyle="1" w:styleId="1111">
    <w:name w:val="Grid Table 6 Colorful Accent 4 CharProp11"/>
    <w:uiPriority w:val="51"/>
    <w:rPr>
      <w:color w:val="604A7B" w:themeColor="accent4" w:themeShade="BF"/>
    </w:rPr>
  </w:style>
  <w:style w:type="character" w:customStyle="1" w:styleId="1112">
    <w:name w:val="Grid Table 6 Colorful Accent 4 CharProp10"/>
    <w:uiPriority w:val="51"/>
    <w:rPr>
      <w:color w:val="604A7B" w:themeColor="accent4" w:themeShade="BF"/>
    </w:rPr>
  </w:style>
  <w:style w:type="character" w:customStyle="1" w:styleId="1113">
    <w:name w:val="Grid Table 6 Colorful Accent 4 CharProp9"/>
    <w:uiPriority w:val="51"/>
    <w:rPr>
      <w:color w:val="604A7B" w:themeColor="accent4" w:themeShade="BF"/>
    </w:rPr>
  </w:style>
  <w:style w:type="character" w:customStyle="1" w:styleId="1114">
    <w:name w:val="Grid Table 6 Colorful Accent 4 CharProp8"/>
    <w:uiPriority w:val="51"/>
    <w:rPr>
      <w:color w:val="604A7B" w:themeColor="accent4" w:themeShade="BF"/>
    </w:rPr>
  </w:style>
  <w:style w:type="character" w:customStyle="1" w:styleId="1115">
    <w:name w:val="Grid Table 6 Colorful Accent 4 CharProp7"/>
    <w:uiPriority w:val="51"/>
    <w:rPr>
      <w:color w:val="604A7B" w:themeColor="accent4" w:themeShade="BF"/>
    </w:rPr>
  </w:style>
  <w:style w:type="character" w:customStyle="1" w:styleId="1116">
    <w:name w:val="Grid Table 6 Colorful Accent 4 CharProp6"/>
    <w:uiPriority w:val="51"/>
    <w:rPr>
      <w:color w:val="604A7B" w:themeColor="accent4" w:themeShade="BF"/>
    </w:rPr>
  </w:style>
  <w:style w:type="character" w:customStyle="1" w:styleId="1117">
    <w:name w:val="Grid Table 6 Colorful Accent 4 CharProp5"/>
    <w:uiPriority w:val="51"/>
    <w:rPr>
      <w:color w:val="604A7B" w:themeColor="accent4" w:themeShade="BF"/>
    </w:rPr>
  </w:style>
  <w:style w:type="character" w:customStyle="1" w:styleId="1118">
    <w:name w:val="Grid Table 6 Colorful Accent 4 CharProp4"/>
    <w:qFormat/>
    <w:uiPriority w:val="51"/>
    <w:rPr>
      <w:color w:val="604A7B" w:themeColor="accent4" w:themeShade="BF"/>
    </w:rPr>
  </w:style>
  <w:style w:type="character" w:customStyle="1" w:styleId="1119">
    <w:name w:val="Grid Table 6 Colorful Accent 4 CharProp3"/>
    <w:qFormat/>
    <w:uiPriority w:val="51"/>
    <w:rPr>
      <w:color w:val="604A7B" w:themeColor="accent4" w:themeShade="BF"/>
    </w:rPr>
  </w:style>
  <w:style w:type="character" w:customStyle="1" w:styleId="1120">
    <w:name w:val="Grid Table 6 Colorful Accent 4 CharProp2"/>
    <w:qFormat/>
    <w:uiPriority w:val="51"/>
    <w:rPr>
      <w:color w:val="604A7B" w:themeColor="accent4" w:themeShade="BF"/>
    </w:rPr>
  </w:style>
  <w:style w:type="character" w:customStyle="1" w:styleId="1121">
    <w:name w:val="Grid Table 6 Colorful Accent 4 CharProp1"/>
    <w:qFormat/>
    <w:uiPriority w:val="51"/>
    <w:rPr>
      <w:color w:val="604A7B" w:themeColor="accent4" w:themeShade="BF"/>
    </w:rPr>
  </w:style>
  <w:style w:type="character" w:customStyle="1" w:styleId="1122">
    <w:name w:val="Grid Table 6 Colorful Accent 4 CharProp"/>
    <w:qFormat/>
    <w:uiPriority w:val="51"/>
    <w:rPr>
      <w:color w:val="604A7B" w:themeColor="accent4" w:themeShade="BF"/>
    </w:rPr>
  </w:style>
  <w:style w:type="table" w:customStyle="1" w:styleId="1123">
    <w:name w:val="网格表 6 彩色 - 着色 51"/>
    <w:basedOn w:val="89"/>
    <w:qFormat/>
    <w:uiPriority w:val="51"/>
    <w:rPr>
      <w:color w:val="31859C" w:themeColor="accent5" w:themeShade="BF"/>
    </w:rPr>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character" w:customStyle="1" w:styleId="1124">
    <w:name w:val="Grid Table 6 Colorful Accent 5 CharProp11"/>
    <w:uiPriority w:val="51"/>
    <w:rPr>
      <w:color w:val="31859C" w:themeColor="accent5" w:themeShade="BF"/>
    </w:rPr>
  </w:style>
  <w:style w:type="character" w:customStyle="1" w:styleId="1125">
    <w:name w:val="Grid Table 6 Colorful Accent 5 CharProp10"/>
    <w:uiPriority w:val="51"/>
    <w:rPr>
      <w:color w:val="31859C" w:themeColor="accent5" w:themeShade="BF"/>
    </w:rPr>
  </w:style>
  <w:style w:type="character" w:customStyle="1" w:styleId="1126">
    <w:name w:val="Grid Table 6 Colorful Accent 5 CharProp9"/>
    <w:uiPriority w:val="51"/>
    <w:rPr>
      <w:color w:val="31859C" w:themeColor="accent5" w:themeShade="BF"/>
    </w:rPr>
  </w:style>
  <w:style w:type="character" w:customStyle="1" w:styleId="1127">
    <w:name w:val="Grid Table 6 Colorful Accent 5 CharProp8"/>
    <w:uiPriority w:val="51"/>
    <w:rPr>
      <w:color w:val="31859C" w:themeColor="accent5" w:themeShade="BF"/>
    </w:rPr>
  </w:style>
  <w:style w:type="character" w:customStyle="1" w:styleId="1128">
    <w:name w:val="Grid Table 6 Colorful Accent 5 CharProp7"/>
    <w:uiPriority w:val="51"/>
    <w:rPr>
      <w:color w:val="31859C" w:themeColor="accent5" w:themeShade="BF"/>
    </w:rPr>
  </w:style>
  <w:style w:type="character" w:customStyle="1" w:styleId="1129">
    <w:name w:val="Grid Table 6 Colorful Accent 5 CharProp6"/>
    <w:uiPriority w:val="51"/>
    <w:rPr>
      <w:color w:val="31859C" w:themeColor="accent5" w:themeShade="BF"/>
    </w:rPr>
  </w:style>
  <w:style w:type="character" w:customStyle="1" w:styleId="1130">
    <w:name w:val="Grid Table 6 Colorful Accent 5 CharProp5"/>
    <w:uiPriority w:val="51"/>
    <w:rPr>
      <w:color w:val="31859C" w:themeColor="accent5" w:themeShade="BF"/>
    </w:rPr>
  </w:style>
  <w:style w:type="character" w:customStyle="1" w:styleId="1131">
    <w:name w:val="Grid Table 6 Colorful Accent 5 CharProp4"/>
    <w:qFormat/>
    <w:uiPriority w:val="51"/>
    <w:rPr>
      <w:color w:val="31859C" w:themeColor="accent5" w:themeShade="BF"/>
    </w:rPr>
  </w:style>
  <w:style w:type="character" w:customStyle="1" w:styleId="1132">
    <w:name w:val="Grid Table 6 Colorful Accent 5 CharProp3"/>
    <w:qFormat/>
    <w:uiPriority w:val="51"/>
    <w:rPr>
      <w:color w:val="31859C" w:themeColor="accent5" w:themeShade="BF"/>
    </w:rPr>
  </w:style>
  <w:style w:type="character" w:customStyle="1" w:styleId="1133">
    <w:name w:val="Grid Table 6 Colorful Accent 5 CharProp2"/>
    <w:qFormat/>
    <w:uiPriority w:val="51"/>
    <w:rPr>
      <w:color w:val="31859C" w:themeColor="accent5" w:themeShade="BF"/>
    </w:rPr>
  </w:style>
  <w:style w:type="character" w:customStyle="1" w:styleId="1134">
    <w:name w:val="Grid Table 6 Colorful Accent 5 CharProp1"/>
    <w:qFormat/>
    <w:uiPriority w:val="51"/>
    <w:rPr>
      <w:color w:val="31859C" w:themeColor="accent5" w:themeShade="BF"/>
    </w:rPr>
  </w:style>
  <w:style w:type="character" w:customStyle="1" w:styleId="1135">
    <w:name w:val="Grid Table 6 Colorful Accent 5 CharProp"/>
    <w:qFormat/>
    <w:uiPriority w:val="51"/>
    <w:rPr>
      <w:color w:val="31859C" w:themeColor="accent5" w:themeShade="BF"/>
    </w:rPr>
  </w:style>
  <w:style w:type="table" w:customStyle="1" w:styleId="1136">
    <w:name w:val="网格表 6 彩色 - 着色 61"/>
    <w:basedOn w:val="89"/>
    <w:qFormat/>
    <w:uiPriority w:val="51"/>
    <w:rPr>
      <w:color w:val="E46C0A" w:themeColor="accent6" w:themeShade="BF"/>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bottom w:val="single" w:color="FABF8F" w:themeColor="accent6" w:themeTint="99" w:sz="12" w:space="0"/>
        </w:tcBorders>
      </w:tcPr>
    </w:tblStylePr>
    <w:tblStylePr w:type="lastRow">
      <w:rPr>
        <w:b/>
        <w:bCs/>
      </w:rPr>
      <w:tcPr>
        <w:tcBorders>
          <w:top w:val="doub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character" w:customStyle="1" w:styleId="1137">
    <w:name w:val="Grid Table 6 Colorful Accent 6 CharProp11"/>
    <w:uiPriority w:val="51"/>
    <w:rPr>
      <w:color w:val="E46C0A" w:themeColor="accent6" w:themeShade="BF"/>
    </w:rPr>
  </w:style>
  <w:style w:type="character" w:customStyle="1" w:styleId="1138">
    <w:name w:val="Grid Table 6 Colorful Accent 6 CharProp10"/>
    <w:uiPriority w:val="51"/>
    <w:rPr>
      <w:color w:val="E46C0A" w:themeColor="accent6" w:themeShade="BF"/>
    </w:rPr>
  </w:style>
  <w:style w:type="character" w:customStyle="1" w:styleId="1139">
    <w:name w:val="Grid Table 6 Colorful Accent 6 CharProp9"/>
    <w:uiPriority w:val="51"/>
    <w:rPr>
      <w:color w:val="E46C0A" w:themeColor="accent6" w:themeShade="BF"/>
    </w:rPr>
  </w:style>
  <w:style w:type="character" w:customStyle="1" w:styleId="1140">
    <w:name w:val="Grid Table 6 Colorful Accent 6 CharProp8"/>
    <w:uiPriority w:val="51"/>
    <w:rPr>
      <w:color w:val="E46C0A" w:themeColor="accent6" w:themeShade="BF"/>
    </w:rPr>
  </w:style>
  <w:style w:type="character" w:customStyle="1" w:styleId="1141">
    <w:name w:val="Grid Table 6 Colorful Accent 6 CharProp7"/>
    <w:uiPriority w:val="51"/>
    <w:rPr>
      <w:color w:val="E46C0A" w:themeColor="accent6" w:themeShade="BF"/>
    </w:rPr>
  </w:style>
  <w:style w:type="character" w:customStyle="1" w:styleId="1142">
    <w:name w:val="Grid Table 6 Colorful Accent 6 CharProp6"/>
    <w:uiPriority w:val="51"/>
    <w:rPr>
      <w:color w:val="E46C0A" w:themeColor="accent6" w:themeShade="BF"/>
    </w:rPr>
  </w:style>
  <w:style w:type="character" w:customStyle="1" w:styleId="1143">
    <w:name w:val="Grid Table 6 Colorful Accent 6 CharProp5"/>
    <w:uiPriority w:val="51"/>
    <w:rPr>
      <w:color w:val="E46C0A" w:themeColor="accent6" w:themeShade="BF"/>
    </w:rPr>
  </w:style>
  <w:style w:type="character" w:customStyle="1" w:styleId="1144">
    <w:name w:val="Grid Table 6 Colorful Accent 6 CharProp4"/>
    <w:qFormat/>
    <w:uiPriority w:val="51"/>
    <w:rPr>
      <w:color w:val="E46C0A" w:themeColor="accent6" w:themeShade="BF"/>
    </w:rPr>
  </w:style>
  <w:style w:type="character" w:customStyle="1" w:styleId="1145">
    <w:name w:val="Grid Table 6 Colorful Accent 6 CharProp3"/>
    <w:qFormat/>
    <w:uiPriority w:val="51"/>
    <w:rPr>
      <w:color w:val="E46C0A" w:themeColor="accent6" w:themeShade="BF"/>
    </w:rPr>
  </w:style>
  <w:style w:type="character" w:customStyle="1" w:styleId="1146">
    <w:name w:val="Grid Table 6 Colorful Accent 6 CharProp2"/>
    <w:qFormat/>
    <w:uiPriority w:val="51"/>
    <w:rPr>
      <w:color w:val="E46C0A" w:themeColor="accent6" w:themeShade="BF"/>
    </w:rPr>
  </w:style>
  <w:style w:type="character" w:customStyle="1" w:styleId="1147">
    <w:name w:val="Grid Table 6 Colorful Accent 6 CharProp1"/>
    <w:qFormat/>
    <w:uiPriority w:val="51"/>
    <w:rPr>
      <w:color w:val="E46C0A" w:themeColor="accent6" w:themeShade="BF"/>
    </w:rPr>
  </w:style>
  <w:style w:type="character" w:customStyle="1" w:styleId="1148">
    <w:name w:val="Grid Table 6 Colorful Accent 6 CharProp"/>
    <w:qFormat/>
    <w:uiPriority w:val="51"/>
    <w:rPr>
      <w:color w:val="E46C0A" w:themeColor="accent6" w:themeShade="BF"/>
    </w:rPr>
  </w:style>
  <w:style w:type="table" w:customStyle="1" w:styleId="1149">
    <w:name w:val="网格表 7 彩色1"/>
    <w:basedOn w:val="89"/>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character" w:customStyle="1" w:styleId="1150">
    <w:name w:val="Grid Table 7 Colorful CharProp11"/>
    <w:uiPriority w:val="52"/>
    <w:rPr>
      <w:color w:val="000000" w:themeColor="text1"/>
      <w14:textFill>
        <w14:solidFill>
          <w14:schemeClr w14:val="tx1"/>
        </w14:solidFill>
      </w14:textFill>
    </w:rPr>
  </w:style>
  <w:style w:type="character" w:customStyle="1" w:styleId="1151">
    <w:name w:val="Grid Table 7 Colorful CharProp10"/>
    <w:uiPriority w:val="52"/>
    <w:rPr>
      <w:color w:val="000000" w:themeColor="text1"/>
      <w14:textFill>
        <w14:solidFill>
          <w14:schemeClr w14:val="tx1"/>
        </w14:solidFill>
      </w14:textFill>
    </w:rPr>
  </w:style>
  <w:style w:type="character" w:customStyle="1" w:styleId="1152">
    <w:name w:val="Grid Table 7 Colorful CharProp9"/>
    <w:uiPriority w:val="52"/>
    <w:rPr>
      <w:color w:val="000000" w:themeColor="text1"/>
      <w14:textFill>
        <w14:solidFill>
          <w14:schemeClr w14:val="tx1"/>
        </w14:solidFill>
      </w14:textFill>
    </w:rPr>
  </w:style>
  <w:style w:type="character" w:customStyle="1" w:styleId="1153">
    <w:name w:val="Grid Table 7 Colorful CharProp8"/>
    <w:uiPriority w:val="52"/>
    <w:rPr>
      <w:color w:val="000000" w:themeColor="text1"/>
      <w14:textFill>
        <w14:solidFill>
          <w14:schemeClr w14:val="tx1"/>
        </w14:solidFill>
      </w14:textFill>
    </w:rPr>
  </w:style>
  <w:style w:type="character" w:customStyle="1" w:styleId="1154">
    <w:name w:val="Grid Table 7 Colorful CharProp7"/>
    <w:uiPriority w:val="52"/>
    <w:rPr>
      <w:color w:val="000000" w:themeColor="text1"/>
      <w14:textFill>
        <w14:solidFill>
          <w14:schemeClr w14:val="tx1"/>
        </w14:solidFill>
      </w14:textFill>
    </w:rPr>
  </w:style>
  <w:style w:type="character" w:customStyle="1" w:styleId="1155">
    <w:name w:val="Grid Table 7 Colorful CharProp6"/>
    <w:uiPriority w:val="52"/>
    <w:rPr>
      <w:color w:val="000000" w:themeColor="text1"/>
      <w14:textFill>
        <w14:solidFill>
          <w14:schemeClr w14:val="tx1"/>
        </w14:solidFill>
      </w14:textFill>
    </w:rPr>
  </w:style>
  <w:style w:type="character" w:customStyle="1" w:styleId="1156">
    <w:name w:val="Grid Table 7 Colorful CharProp5"/>
    <w:uiPriority w:val="52"/>
    <w:rPr>
      <w:color w:val="000000" w:themeColor="text1"/>
      <w14:textFill>
        <w14:solidFill>
          <w14:schemeClr w14:val="tx1"/>
        </w14:solidFill>
      </w14:textFill>
    </w:rPr>
  </w:style>
  <w:style w:type="character" w:customStyle="1" w:styleId="1157">
    <w:name w:val="Grid Table 7 Colorful CharProp4"/>
    <w:qFormat/>
    <w:uiPriority w:val="52"/>
    <w:rPr>
      <w:color w:val="000000" w:themeColor="text1"/>
      <w14:textFill>
        <w14:solidFill>
          <w14:schemeClr w14:val="tx1"/>
        </w14:solidFill>
      </w14:textFill>
    </w:rPr>
  </w:style>
  <w:style w:type="character" w:customStyle="1" w:styleId="1158">
    <w:name w:val="Grid Table 7 Colorful CharProp3"/>
    <w:qFormat/>
    <w:uiPriority w:val="52"/>
    <w:rPr>
      <w:color w:val="000000" w:themeColor="text1"/>
      <w14:textFill>
        <w14:solidFill>
          <w14:schemeClr w14:val="tx1"/>
        </w14:solidFill>
      </w14:textFill>
    </w:rPr>
  </w:style>
  <w:style w:type="character" w:customStyle="1" w:styleId="1159">
    <w:name w:val="Grid Table 7 Colorful CharProp2"/>
    <w:qFormat/>
    <w:uiPriority w:val="52"/>
    <w:rPr>
      <w:color w:val="000000" w:themeColor="text1"/>
      <w14:textFill>
        <w14:solidFill>
          <w14:schemeClr w14:val="tx1"/>
        </w14:solidFill>
      </w14:textFill>
    </w:rPr>
  </w:style>
  <w:style w:type="character" w:customStyle="1" w:styleId="1160">
    <w:name w:val="Grid Table 7 Colorful CharProp1"/>
    <w:qFormat/>
    <w:uiPriority w:val="52"/>
    <w:rPr>
      <w:color w:val="000000" w:themeColor="text1"/>
      <w14:textFill>
        <w14:solidFill>
          <w14:schemeClr w14:val="tx1"/>
        </w14:solidFill>
      </w14:textFill>
    </w:rPr>
  </w:style>
  <w:style w:type="character" w:customStyle="1" w:styleId="1161">
    <w:name w:val="Grid Table 7 Colorful CharProp"/>
    <w:qFormat/>
    <w:uiPriority w:val="52"/>
    <w:rPr>
      <w:color w:val="000000" w:themeColor="text1"/>
      <w14:textFill>
        <w14:solidFill>
          <w14:schemeClr w14:val="tx1"/>
        </w14:solidFill>
      </w14:textFill>
    </w:rPr>
  </w:style>
  <w:style w:type="table" w:customStyle="1" w:styleId="1162">
    <w:name w:val="网格表 7 彩色 - 着色 11"/>
    <w:basedOn w:val="89"/>
    <w:qFormat/>
    <w:uiPriority w:val="52"/>
    <w:rPr>
      <w:color w:val="376092" w:themeColor="accent1" w:themeShade="BF"/>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BE5F1" w:themeFill="accent1" w:themeFillTint="33"/>
      </w:tcPr>
    </w:tblStylePr>
    <w:tblStylePr w:type="band1Horz">
      <w:tcPr>
        <w:shd w:val="clear" w:color="auto" w:fill="DBE5F1" w:themeFill="accent1" w:themeFillTint="33"/>
      </w:tcPr>
    </w:tblStylePr>
    <w:tblStylePr w:type="neCell">
      <w:tcPr>
        <w:tcBorders>
          <w:bottom w:val="single" w:color="95B3D7" w:themeColor="accent1" w:themeTint="99" w:sz="4" w:space="0"/>
        </w:tcBorders>
      </w:tcPr>
    </w:tblStylePr>
    <w:tblStylePr w:type="nwCell">
      <w:tcPr>
        <w:tcBorders>
          <w:bottom w:val="single" w:color="95B3D7" w:themeColor="accent1" w:themeTint="99" w:sz="4" w:space="0"/>
        </w:tcBorders>
      </w:tcPr>
    </w:tblStylePr>
    <w:tblStylePr w:type="seCell">
      <w:tcPr>
        <w:tcBorders>
          <w:top w:val="single" w:color="95B3D7" w:themeColor="accent1" w:themeTint="99" w:sz="4" w:space="0"/>
        </w:tcBorders>
      </w:tcPr>
    </w:tblStylePr>
    <w:tblStylePr w:type="swCell">
      <w:tcPr>
        <w:tcBorders>
          <w:top w:val="single" w:color="95B3D7" w:themeColor="accent1" w:themeTint="99" w:sz="4" w:space="0"/>
        </w:tcBorders>
      </w:tcPr>
    </w:tblStylePr>
  </w:style>
  <w:style w:type="character" w:customStyle="1" w:styleId="1163">
    <w:name w:val="Grid Table 7 Colorful Accent 1 CharProp11"/>
    <w:uiPriority w:val="52"/>
    <w:rPr>
      <w:color w:val="376092" w:themeColor="accent1" w:themeShade="BF"/>
    </w:rPr>
  </w:style>
  <w:style w:type="character" w:customStyle="1" w:styleId="1164">
    <w:name w:val="Grid Table 7 Colorful Accent 1 CharProp10"/>
    <w:uiPriority w:val="52"/>
    <w:rPr>
      <w:color w:val="376092" w:themeColor="accent1" w:themeShade="BF"/>
    </w:rPr>
  </w:style>
  <w:style w:type="character" w:customStyle="1" w:styleId="1165">
    <w:name w:val="Grid Table 7 Colorful Accent 1 CharProp9"/>
    <w:uiPriority w:val="52"/>
    <w:rPr>
      <w:color w:val="376092" w:themeColor="accent1" w:themeShade="BF"/>
    </w:rPr>
  </w:style>
  <w:style w:type="character" w:customStyle="1" w:styleId="1166">
    <w:name w:val="Grid Table 7 Colorful Accent 1 CharProp8"/>
    <w:uiPriority w:val="52"/>
    <w:rPr>
      <w:color w:val="376092" w:themeColor="accent1" w:themeShade="BF"/>
    </w:rPr>
  </w:style>
  <w:style w:type="character" w:customStyle="1" w:styleId="1167">
    <w:name w:val="Grid Table 7 Colorful Accent 1 CharProp7"/>
    <w:uiPriority w:val="52"/>
    <w:rPr>
      <w:color w:val="376092" w:themeColor="accent1" w:themeShade="BF"/>
    </w:rPr>
  </w:style>
  <w:style w:type="character" w:customStyle="1" w:styleId="1168">
    <w:name w:val="Grid Table 7 Colorful Accent 1 CharProp6"/>
    <w:uiPriority w:val="52"/>
    <w:rPr>
      <w:color w:val="376092" w:themeColor="accent1" w:themeShade="BF"/>
    </w:rPr>
  </w:style>
  <w:style w:type="character" w:customStyle="1" w:styleId="1169">
    <w:name w:val="Grid Table 7 Colorful Accent 1 CharProp5"/>
    <w:uiPriority w:val="52"/>
    <w:rPr>
      <w:color w:val="376092" w:themeColor="accent1" w:themeShade="BF"/>
    </w:rPr>
  </w:style>
  <w:style w:type="character" w:customStyle="1" w:styleId="1170">
    <w:name w:val="Grid Table 7 Colorful Accent 1 CharProp4"/>
    <w:qFormat/>
    <w:uiPriority w:val="52"/>
    <w:rPr>
      <w:color w:val="376092" w:themeColor="accent1" w:themeShade="BF"/>
    </w:rPr>
  </w:style>
  <w:style w:type="character" w:customStyle="1" w:styleId="1171">
    <w:name w:val="Grid Table 7 Colorful Accent 1 CharProp3"/>
    <w:qFormat/>
    <w:uiPriority w:val="52"/>
    <w:rPr>
      <w:color w:val="376092" w:themeColor="accent1" w:themeShade="BF"/>
    </w:rPr>
  </w:style>
  <w:style w:type="character" w:customStyle="1" w:styleId="1172">
    <w:name w:val="Grid Table 7 Colorful Accent 1 CharProp2"/>
    <w:qFormat/>
    <w:uiPriority w:val="52"/>
    <w:rPr>
      <w:color w:val="376092" w:themeColor="accent1" w:themeShade="BF"/>
    </w:rPr>
  </w:style>
  <w:style w:type="character" w:customStyle="1" w:styleId="1173">
    <w:name w:val="Grid Table 7 Colorful Accent 1 CharProp1"/>
    <w:qFormat/>
    <w:uiPriority w:val="52"/>
    <w:rPr>
      <w:color w:val="376092" w:themeColor="accent1" w:themeShade="BF"/>
    </w:rPr>
  </w:style>
  <w:style w:type="character" w:customStyle="1" w:styleId="1174">
    <w:name w:val="Grid Table 7 Colorful Accent 1 CharProp"/>
    <w:qFormat/>
    <w:uiPriority w:val="52"/>
    <w:rPr>
      <w:color w:val="376092" w:themeColor="accent1" w:themeShade="BF"/>
    </w:rPr>
  </w:style>
  <w:style w:type="table" w:customStyle="1" w:styleId="1175">
    <w:name w:val="网格表 7 彩色 - 着色 21"/>
    <w:basedOn w:val="89"/>
    <w:qFormat/>
    <w:uiPriority w:val="52"/>
    <w:rPr>
      <w:color w:val="953735" w:themeColor="accent2" w:themeShade="BF"/>
    </w:rPr>
    <w:tblPr>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2DBDB" w:themeFill="accent2" w:themeFillTint="33"/>
      </w:tcPr>
    </w:tblStylePr>
    <w:tblStylePr w:type="band1Horz">
      <w:tcPr>
        <w:shd w:val="clear" w:color="auto" w:fill="F2DBDB" w:themeFill="accent2" w:themeFillTint="33"/>
      </w:tcPr>
    </w:tblStylePr>
    <w:tblStylePr w:type="neCell">
      <w:tcPr>
        <w:tcBorders>
          <w:bottom w:val="single" w:color="D99594" w:themeColor="accent2" w:themeTint="99" w:sz="4" w:space="0"/>
        </w:tcBorders>
      </w:tcPr>
    </w:tblStylePr>
    <w:tblStylePr w:type="nwCell">
      <w:tcPr>
        <w:tcBorders>
          <w:bottom w:val="single" w:color="D99594" w:themeColor="accent2" w:themeTint="99" w:sz="4" w:space="0"/>
        </w:tcBorders>
      </w:tcPr>
    </w:tblStylePr>
    <w:tblStylePr w:type="seCell">
      <w:tcPr>
        <w:tcBorders>
          <w:top w:val="single" w:color="D99594" w:themeColor="accent2" w:themeTint="99" w:sz="4" w:space="0"/>
        </w:tcBorders>
      </w:tcPr>
    </w:tblStylePr>
    <w:tblStylePr w:type="swCell">
      <w:tcPr>
        <w:tcBorders>
          <w:top w:val="single" w:color="D99594" w:themeColor="accent2" w:themeTint="99" w:sz="4" w:space="0"/>
        </w:tcBorders>
      </w:tcPr>
    </w:tblStylePr>
  </w:style>
  <w:style w:type="character" w:customStyle="1" w:styleId="1176">
    <w:name w:val="Grid Table 7 Colorful Accent 2 CharProp11"/>
    <w:uiPriority w:val="52"/>
    <w:rPr>
      <w:color w:val="953735" w:themeColor="accent2" w:themeShade="BF"/>
    </w:rPr>
  </w:style>
  <w:style w:type="character" w:customStyle="1" w:styleId="1177">
    <w:name w:val="Grid Table 7 Colorful Accent 2 CharProp10"/>
    <w:uiPriority w:val="52"/>
    <w:rPr>
      <w:color w:val="953735" w:themeColor="accent2" w:themeShade="BF"/>
    </w:rPr>
  </w:style>
  <w:style w:type="character" w:customStyle="1" w:styleId="1178">
    <w:name w:val="Grid Table 7 Colorful Accent 2 CharProp9"/>
    <w:uiPriority w:val="52"/>
    <w:rPr>
      <w:color w:val="953735" w:themeColor="accent2" w:themeShade="BF"/>
    </w:rPr>
  </w:style>
  <w:style w:type="character" w:customStyle="1" w:styleId="1179">
    <w:name w:val="Grid Table 7 Colorful Accent 2 CharProp8"/>
    <w:uiPriority w:val="52"/>
    <w:rPr>
      <w:color w:val="953735" w:themeColor="accent2" w:themeShade="BF"/>
    </w:rPr>
  </w:style>
  <w:style w:type="character" w:customStyle="1" w:styleId="1180">
    <w:name w:val="Grid Table 7 Colorful Accent 2 CharProp7"/>
    <w:uiPriority w:val="52"/>
    <w:rPr>
      <w:color w:val="953735" w:themeColor="accent2" w:themeShade="BF"/>
    </w:rPr>
  </w:style>
  <w:style w:type="character" w:customStyle="1" w:styleId="1181">
    <w:name w:val="Grid Table 7 Colorful Accent 2 CharProp6"/>
    <w:uiPriority w:val="52"/>
    <w:rPr>
      <w:color w:val="953735" w:themeColor="accent2" w:themeShade="BF"/>
    </w:rPr>
  </w:style>
  <w:style w:type="character" w:customStyle="1" w:styleId="1182">
    <w:name w:val="Grid Table 7 Colorful Accent 2 CharProp5"/>
    <w:uiPriority w:val="52"/>
    <w:rPr>
      <w:color w:val="953735" w:themeColor="accent2" w:themeShade="BF"/>
    </w:rPr>
  </w:style>
  <w:style w:type="character" w:customStyle="1" w:styleId="1183">
    <w:name w:val="Grid Table 7 Colorful Accent 2 CharProp4"/>
    <w:qFormat/>
    <w:uiPriority w:val="52"/>
    <w:rPr>
      <w:color w:val="953735" w:themeColor="accent2" w:themeShade="BF"/>
    </w:rPr>
  </w:style>
  <w:style w:type="character" w:customStyle="1" w:styleId="1184">
    <w:name w:val="Grid Table 7 Colorful Accent 2 CharProp3"/>
    <w:qFormat/>
    <w:uiPriority w:val="52"/>
    <w:rPr>
      <w:color w:val="953735" w:themeColor="accent2" w:themeShade="BF"/>
    </w:rPr>
  </w:style>
  <w:style w:type="character" w:customStyle="1" w:styleId="1185">
    <w:name w:val="Grid Table 7 Colorful Accent 2 CharProp2"/>
    <w:qFormat/>
    <w:uiPriority w:val="52"/>
    <w:rPr>
      <w:color w:val="953735" w:themeColor="accent2" w:themeShade="BF"/>
    </w:rPr>
  </w:style>
  <w:style w:type="character" w:customStyle="1" w:styleId="1186">
    <w:name w:val="Grid Table 7 Colorful Accent 2 CharProp1"/>
    <w:qFormat/>
    <w:uiPriority w:val="52"/>
    <w:rPr>
      <w:color w:val="953735" w:themeColor="accent2" w:themeShade="BF"/>
    </w:rPr>
  </w:style>
  <w:style w:type="character" w:customStyle="1" w:styleId="1187">
    <w:name w:val="Grid Table 7 Colorful Accent 2 CharProp"/>
    <w:qFormat/>
    <w:uiPriority w:val="52"/>
    <w:rPr>
      <w:color w:val="953735" w:themeColor="accent2" w:themeShade="BF"/>
    </w:rPr>
  </w:style>
  <w:style w:type="table" w:customStyle="1" w:styleId="1188">
    <w:name w:val="网格表 7 彩色 - 着色 31"/>
    <w:basedOn w:val="89"/>
    <w:qFormat/>
    <w:uiPriority w:val="52"/>
    <w:rPr>
      <w:color w:val="77933C" w:themeColor="accent3" w:themeShade="BF"/>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AF1DD" w:themeFill="accent3" w:themeFillTint="33"/>
      </w:tcPr>
    </w:tblStylePr>
    <w:tblStylePr w:type="band1Horz">
      <w:tcPr>
        <w:shd w:val="clear" w:color="auto" w:fill="EAF1DD" w:themeFill="accent3" w:themeFillTint="33"/>
      </w:tcPr>
    </w:tblStylePr>
    <w:tblStylePr w:type="neCell">
      <w:tcPr>
        <w:tcBorders>
          <w:bottom w:val="single" w:color="C2D69B" w:themeColor="accent3" w:themeTint="99" w:sz="4" w:space="0"/>
        </w:tcBorders>
      </w:tcPr>
    </w:tblStylePr>
    <w:tblStylePr w:type="nwCell">
      <w:tcPr>
        <w:tcBorders>
          <w:bottom w:val="single" w:color="C2D69B" w:themeColor="accent3" w:themeTint="99" w:sz="4" w:space="0"/>
        </w:tcBorders>
      </w:tcPr>
    </w:tblStylePr>
    <w:tblStylePr w:type="seCell">
      <w:tcPr>
        <w:tcBorders>
          <w:top w:val="single" w:color="C2D69B" w:themeColor="accent3" w:themeTint="99" w:sz="4" w:space="0"/>
        </w:tcBorders>
      </w:tcPr>
    </w:tblStylePr>
    <w:tblStylePr w:type="swCell">
      <w:tcPr>
        <w:tcBorders>
          <w:top w:val="single" w:color="C2D69B" w:themeColor="accent3" w:themeTint="99" w:sz="4" w:space="0"/>
        </w:tcBorders>
      </w:tcPr>
    </w:tblStylePr>
  </w:style>
  <w:style w:type="character" w:customStyle="1" w:styleId="1189">
    <w:name w:val="Grid Table 7 Colorful Accent 3 CharProp11"/>
    <w:uiPriority w:val="52"/>
    <w:rPr>
      <w:color w:val="77933C" w:themeColor="accent3" w:themeShade="BF"/>
    </w:rPr>
  </w:style>
  <w:style w:type="character" w:customStyle="1" w:styleId="1190">
    <w:name w:val="Grid Table 7 Colorful Accent 3 CharProp10"/>
    <w:uiPriority w:val="52"/>
    <w:rPr>
      <w:color w:val="77933C" w:themeColor="accent3" w:themeShade="BF"/>
    </w:rPr>
  </w:style>
  <w:style w:type="character" w:customStyle="1" w:styleId="1191">
    <w:name w:val="Grid Table 7 Colorful Accent 3 CharProp9"/>
    <w:uiPriority w:val="52"/>
    <w:rPr>
      <w:color w:val="77933C" w:themeColor="accent3" w:themeShade="BF"/>
    </w:rPr>
  </w:style>
  <w:style w:type="character" w:customStyle="1" w:styleId="1192">
    <w:name w:val="Grid Table 7 Colorful Accent 3 CharProp8"/>
    <w:uiPriority w:val="52"/>
    <w:rPr>
      <w:color w:val="77933C" w:themeColor="accent3" w:themeShade="BF"/>
    </w:rPr>
  </w:style>
  <w:style w:type="character" w:customStyle="1" w:styleId="1193">
    <w:name w:val="Grid Table 7 Colorful Accent 3 CharProp7"/>
    <w:uiPriority w:val="52"/>
    <w:rPr>
      <w:color w:val="77933C" w:themeColor="accent3" w:themeShade="BF"/>
    </w:rPr>
  </w:style>
  <w:style w:type="character" w:customStyle="1" w:styleId="1194">
    <w:name w:val="Grid Table 7 Colorful Accent 3 CharProp6"/>
    <w:uiPriority w:val="52"/>
    <w:rPr>
      <w:color w:val="77933C" w:themeColor="accent3" w:themeShade="BF"/>
    </w:rPr>
  </w:style>
  <w:style w:type="character" w:customStyle="1" w:styleId="1195">
    <w:name w:val="Grid Table 7 Colorful Accent 3 CharProp5"/>
    <w:uiPriority w:val="52"/>
    <w:rPr>
      <w:color w:val="77933C" w:themeColor="accent3" w:themeShade="BF"/>
    </w:rPr>
  </w:style>
  <w:style w:type="character" w:customStyle="1" w:styleId="1196">
    <w:name w:val="Grid Table 7 Colorful Accent 3 CharProp4"/>
    <w:qFormat/>
    <w:uiPriority w:val="52"/>
    <w:rPr>
      <w:color w:val="77933C" w:themeColor="accent3" w:themeShade="BF"/>
    </w:rPr>
  </w:style>
  <w:style w:type="character" w:customStyle="1" w:styleId="1197">
    <w:name w:val="Grid Table 7 Colorful Accent 3 CharProp3"/>
    <w:qFormat/>
    <w:uiPriority w:val="52"/>
    <w:rPr>
      <w:color w:val="77933C" w:themeColor="accent3" w:themeShade="BF"/>
    </w:rPr>
  </w:style>
  <w:style w:type="character" w:customStyle="1" w:styleId="1198">
    <w:name w:val="Grid Table 7 Colorful Accent 3 CharProp2"/>
    <w:qFormat/>
    <w:uiPriority w:val="52"/>
    <w:rPr>
      <w:color w:val="77933C" w:themeColor="accent3" w:themeShade="BF"/>
    </w:rPr>
  </w:style>
  <w:style w:type="character" w:customStyle="1" w:styleId="1199">
    <w:name w:val="Grid Table 7 Colorful Accent 3 CharProp1"/>
    <w:qFormat/>
    <w:uiPriority w:val="52"/>
    <w:rPr>
      <w:color w:val="77933C" w:themeColor="accent3" w:themeShade="BF"/>
    </w:rPr>
  </w:style>
  <w:style w:type="character" w:customStyle="1" w:styleId="1200">
    <w:name w:val="Grid Table 7 Colorful Accent 3 CharProp"/>
    <w:qFormat/>
    <w:uiPriority w:val="52"/>
    <w:rPr>
      <w:color w:val="77933C" w:themeColor="accent3" w:themeShade="BF"/>
    </w:rPr>
  </w:style>
  <w:style w:type="table" w:customStyle="1" w:styleId="1201">
    <w:name w:val="网格表 7 彩色 - 着色 41"/>
    <w:basedOn w:val="89"/>
    <w:qFormat/>
    <w:uiPriority w:val="52"/>
    <w:rPr>
      <w:color w:val="604A7B" w:themeColor="accent4" w:themeShade="BF"/>
    </w:rPr>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5DFEC" w:themeFill="accent4" w:themeFillTint="33"/>
      </w:tcPr>
    </w:tblStylePr>
    <w:tblStylePr w:type="band1Horz">
      <w:tcPr>
        <w:shd w:val="clear" w:color="auto" w:fill="E5DFEC" w:themeFill="accent4" w:themeFillTint="33"/>
      </w:tcPr>
    </w:tblStylePr>
    <w:tblStylePr w:type="neCell">
      <w:tcPr>
        <w:tcBorders>
          <w:bottom w:val="single" w:color="B2A1C7" w:themeColor="accent4" w:themeTint="99" w:sz="4" w:space="0"/>
        </w:tcBorders>
      </w:tcPr>
    </w:tblStylePr>
    <w:tblStylePr w:type="nwCell">
      <w:tcPr>
        <w:tcBorders>
          <w:bottom w:val="single" w:color="B2A1C7" w:themeColor="accent4" w:themeTint="99" w:sz="4" w:space="0"/>
        </w:tcBorders>
      </w:tcPr>
    </w:tblStylePr>
    <w:tblStylePr w:type="seCell">
      <w:tcPr>
        <w:tcBorders>
          <w:top w:val="single" w:color="B2A1C7" w:themeColor="accent4" w:themeTint="99" w:sz="4" w:space="0"/>
        </w:tcBorders>
      </w:tcPr>
    </w:tblStylePr>
    <w:tblStylePr w:type="swCell">
      <w:tcPr>
        <w:tcBorders>
          <w:top w:val="single" w:color="B2A1C7" w:themeColor="accent4" w:themeTint="99" w:sz="4" w:space="0"/>
        </w:tcBorders>
      </w:tcPr>
    </w:tblStylePr>
  </w:style>
  <w:style w:type="character" w:customStyle="1" w:styleId="1202">
    <w:name w:val="Grid Table 7 Colorful Accent 4 CharProp11"/>
    <w:uiPriority w:val="52"/>
    <w:rPr>
      <w:color w:val="604A7B" w:themeColor="accent4" w:themeShade="BF"/>
    </w:rPr>
  </w:style>
  <w:style w:type="character" w:customStyle="1" w:styleId="1203">
    <w:name w:val="Grid Table 7 Colorful Accent 4 CharProp10"/>
    <w:uiPriority w:val="52"/>
    <w:rPr>
      <w:color w:val="604A7B" w:themeColor="accent4" w:themeShade="BF"/>
    </w:rPr>
  </w:style>
  <w:style w:type="character" w:customStyle="1" w:styleId="1204">
    <w:name w:val="Grid Table 7 Colorful Accent 4 CharProp9"/>
    <w:uiPriority w:val="52"/>
    <w:rPr>
      <w:color w:val="604A7B" w:themeColor="accent4" w:themeShade="BF"/>
    </w:rPr>
  </w:style>
  <w:style w:type="character" w:customStyle="1" w:styleId="1205">
    <w:name w:val="Grid Table 7 Colorful Accent 4 CharProp8"/>
    <w:uiPriority w:val="52"/>
    <w:rPr>
      <w:color w:val="604A7B" w:themeColor="accent4" w:themeShade="BF"/>
    </w:rPr>
  </w:style>
  <w:style w:type="character" w:customStyle="1" w:styleId="1206">
    <w:name w:val="Grid Table 7 Colorful Accent 4 CharProp7"/>
    <w:uiPriority w:val="52"/>
    <w:rPr>
      <w:color w:val="604A7B" w:themeColor="accent4" w:themeShade="BF"/>
    </w:rPr>
  </w:style>
  <w:style w:type="character" w:customStyle="1" w:styleId="1207">
    <w:name w:val="Grid Table 7 Colorful Accent 4 CharProp6"/>
    <w:uiPriority w:val="52"/>
    <w:rPr>
      <w:color w:val="604A7B" w:themeColor="accent4" w:themeShade="BF"/>
    </w:rPr>
  </w:style>
  <w:style w:type="character" w:customStyle="1" w:styleId="1208">
    <w:name w:val="Grid Table 7 Colorful Accent 4 CharProp5"/>
    <w:uiPriority w:val="52"/>
    <w:rPr>
      <w:color w:val="604A7B" w:themeColor="accent4" w:themeShade="BF"/>
    </w:rPr>
  </w:style>
  <w:style w:type="character" w:customStyle="1" w:styleId="1209">
    <w:name w:val="Grid Table 7 Colorful Accent 4 CharProp4"/>
    <w:qFormat/>
    <w:uiPriority w:val="52"/>
    <w:rPr>
      <w:color w:val="604A7B" w:themeColor="accent4" w:themeShade="BF"/>
    </w:rPr>
  </w:style>
  <w:style w:type="character" w:customStyle="1" w:styleId="1210">
    <w:name w:val="Grid Table 7 Colorful Accent 4 CharProp3"/>
    <w:qFormat/>
    <w:uiPriority w:val="52"/>
    <w:rPr>
      <w:color w:val="604A7B" w:themeColor="accent4" w:themeShade="BF"/>
    </w:rPr>
  </w:style>
  <w:style w:type="character" w:customStyle="1" w:styleId="1211">
    <w:name w:val="Grid Table 7 Colorful Accent 4 CharProp2"/>
    <w:qFormat/>
    <w:uiPriority w:val="52"/>
    <w:rPr>
      <w:color w:val="604A7B" w:themeColor="accent4" w:themeShade="BF"/>
    </w:rPr>
  </w:style>
  <w:style w:type="character" w:customStyle="1" w:styleId="1212">
    <w:name w:val="Grid Table 7 Colorful Accent 4 CharProp1"/>
    <w:qFormat/>
    <w:uiPriority w:val="52"/>
    <w:rPr>
      <w:color w:val="604A7B" w:themeColor="accent4" w:themeShade="BF"/>
    </w:rPr>
  </w:style>
  <w:style w:type="character" w:customStyle="1" w:styleId="1213">
    <w:name w:val="Grid Table 7 Colorful Accent 4 CharProp"/>
    <w:qFormat/>
    <w:uiPriority w:val="52"/>
    <w:rPr>
      <w:color w:val="604A7B" w:themeColor="accent4" w:themeShade="BF"/>
    </w:rPr>
  </w:style>
  <w:style w:type="table" w:customStyle="1" w:styleId="1214">
    <w:name w:val="网格表 7 彩色 - 着色 51"/>
    <w:basedOn w:val="89"/>
    <w:qFormat/>
    <w:uiPriority w:val="52"/>
    <w:rPr>
      <w:color w:val="31859C" w:themeColor="accent5" w:themeShade="BF"/>
    </w:rPr>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AEEF3" w:themeFill="accent5" w:themeFillTint="33"/>
      </w:tcPr>
    </w:tblStylePr>
    <w:tblStylePr w:type="band1Horz">
      <w:tcPr>
        <w:shd w:val="clear" w:color="auto" w:fill="DAEEF3" w:themeFill="accent5" w:themeFillTint="33"/>
      </w:tcPr>
    </w:tblStylePr>
    <w:tblStylePr w:type="neCell">
      <w:tcPr>
        <w:tcBorders>
          <w:bottom w:val="single" w:color="92CDDC" w:themeColor="accent5" w:themeTint="99" w:sz="4" w:space="0"/>
        </w:tcBorders>
      </w:tcPr>
    </w:tblStylePr>
    <w:tblStylePr w:type="nwCell">
      <w:tcPr>
        <w:tcBorders>
          <w:bottom w:val="single" w:color="92CDDC" w:themeColor="accent5" w:themeTint="99" w:sz="4" w:space="0"/>
        </w:tcBorders>
      </w:tcPr>
    </w:tblStylePr>
    <w:tblStylePr w:type="seCell">
      <w:tcPr>
        <w:tcBorders>
          <w:top w:val="single" w:color="92CDDC" w:themeColor="accent5" w:themeTint="99" w:sz="4" w:space="0"/>
        </w:tcBorders>
      </w:tcPr>
    </w:tblStylePr>
    <w:tblStylePr w:type="swCell">
      <w:tcPr>
        <w:tcBorders>
          <w:top w:val="single" w:color="92CDDC" w:themeColor="accent5" w:themeTint="99" w:sz="4" w:space="0"/>
        </w:tcBorders>
      </w:tcPr>
    </w:tblStylePr>
  </w:style>
  <w:style w:type="character" w:customStyle="1" w:styleId="1215">
    <w:name w:val="Grid Table 7 Colorful Accent 5 CharProp11"/>
    <w:uiPriority w:val="52"/>
    <w:rPr>
      <w:color w:val="31859C" w:themeColor="accent5" w:themeShade="BF"/>
    </w:rPr>
  </w:style>
  <w:style w:type="character" w:customStyle="1" w:styleId="1216">
    <w:name w:val="Grid Table 7 Colorful Accent 5 CharProp10"/>
    <w:uiPriority w:val="52"/>
    <w:rPr>
      <w:color w:val="31859C" w:themeColor="accent5" w:themeShade="BF"/>
    </w:rPr>
  </w:style>
  <w:style w:type="character" w:customStyle="1" w:styleId="1217">
    <w:name w:val="Grid Table 7 Colorful Accent 5 CharProp9"/>
    <w:uiPriority w:val="52"/>
    <w:rPr>
      <w:color w:val="31859C" w:themeColor="accent5" w:themeShade="BF"/>
    </w:rPr>
  </w:style>
  <w:style w:type="character" w:customStyle="1" w:styleId="1218">
    <w:name w:val="Grid Table 7 Colorful Accent 5 CharProp8"/>
    <w:uiPriority w:val="52"/>
    <w:rPr>
      <w:color w:val="31859C" w:themeColor="accent5" w:themeShade="BF"/>
    </w:rPr>
  </w:style>
  <w:style w:type="character" w:customStyle="1" w:styleId="1219">
    <w:name w:val="Grid Table 7 Colorful Accent 5 CharProp7"/>
    <w:uiPriority w:val="52"/>
    <w:rPr>
      <w:color w:val="31859C" w:themeColor="accent5" w:themeShade="BF"/>
    </w:rPr>
  </w:style>
  <w:style w:type="character" w:customStyle="1" w:styleId="1220">
    <w:name w:val="Grid Table 7 Colorful Accent 5 CharProp6"/>
    <w:uiPriority w:val="52"/>
    <w:rPr>
      <w:color w:val="31859C" w:themeColor="accent5" w:themeShade="BF"/>
    </w:rPr>
  </w:style>
  <w:style w:type="character" w:customStyle="1" w:styleId="1221">
    <w:name w:val="Grid Table 7 Colorful Accent 5 CharProp5"/>
    <w:uiPriority w:val="52"/>
    <w:rPr>
      <w:color w:val="31859C" w:themeColor="accent5" w:themeShade="BF"/>
    </w:rPr>
  </w:style>
  <w:style w:type="character" w:customStyle="1" w:styleId="1222">
    <w:name w:val="Grid Table 7 Colorful Accent 5 CharProp4"/>
    <w:qFormat/>
    <w:uiPriority w:val="52"/>
    <w:rPr>
      <w:color w:val="31859C" w:themeColor="accent5" w:themeShade="BF"/>
    </w:rPr>
  </w:style>
  <w:style w:type="character" w:customStyle="1" w:styleId="1223">
    <w:name w:val="Grid Table 7 Colorful Accent 5 CharProp3"/>
    <w:qFormat/>
    <w:uiPriority w:val="52"/>
    <w:rPr>
      <w:color w:val="31859C" w:themeColor="accent5" w:themeShade="BF"/>
    </w:rPr>
  </w:style>
  <w:style w:type="character" w:customStyle="1" w:styleId="1224">
    <w:name w:val="Grid Table 7 Colorful Accent 5 CharProp2"/>
    <w:qFormat/>
    <w:uiPriority w:val="52"/>
    <w:rPr>
      <w:color w:val="31859C" w:themeColor="accent5" w:themeShade="BF"/>
    </w:rPr>
  </w:style>
  <w:style w:type="character" w:customStyle="1" w:styleId="1225">
    <w:name w:val="Grid Table 7 Colorful Accent 5 CharProp1"/>
    <w:qFormat/>
    <w:uiPriority w:val="52"/>
    <w:rPr>
      <w:color w:val="31859C" w:themeColor="accent5" w:themeShade="BF"/>
    </w:rPr>
  </w:style>
  <w:style w:type="character" w:customStyle="1" w:styleId="1226">
    <w:name w:val="Grid Table 7 Colorful Accent 5 CharProp"/>
    <w:qFormat/>
    <w:uiPriority w:val="52"/>
    <w:rPr>
      <w:color w:val="31859C" w:themeColor="accent5" w:themeShade="BF"/>
    </w:rPr>
  </w:style>
  <w:style w:type="table" w:customStyle="1" w:styleId="1227">
    <w:name w:val="网格表 7 彩色 - 着色 61"/>
    <w:basedOn w:val="89"/>
    <w:qFormat/>
    <w:uiPriority w:val="52"/>
    <w:rPr>
      <w:color w:val="E46C0A" w:themeColor="accent6" w:themeShade="BF"/>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bottom w:val="single" w:color="FABF8F" w:themeColor="accent6" w:themeTint="99" w:sz="4" w:space="0"/>
        </w:tcBorders>
      </w:tcPr>
    </w:tblStylePr>
    <w:tblStylePr w:type="nwCell">
      <w:tcPr>
        <w:tcBorders>
          <w:bottom w:val="single" w:color="FABF8F" w:themeColor="accent6" w:themeTint="99" w:sz="4" w:space="0"/>
        </w:tcBorders>
      </w:tcPr>
    </w:tblStylePr>
    <w:tblStylePr w:type="seCell">
      <w:tcPr>
        <w:tcBorders>
          <w:top w:val="single" w:color="FABF8F" w:themeColor="accent6" w:themeTint="99" w:sz="4" w:space="0"/>
        </w:tcBorders>
      </w:tcPr>
    </w:tblStylePr>
    <w:tblStylePr w:type="swCell">
      <w:tcPr>
        <w:tcBorders>
          <w:top w:val="single" w:color="FABF8F" w:themeColor="accent6" w:themeTint="99" w:sz="4" w:space="0"/>
        </w:tcBorders>
      </w:tcPr>
    </w:tblStylePr>
  </w:style>
  <w:style w:type="character" w:customStyle="1" w:styleId="1228">
    <w:name w:val="Grid Table 7 Colorful Accent 6 CharProp11"/>
    <w:uiPriority w:val="52"/>
    <w:rPr>
      <w:color w:val="E46C0A" w:themeColor="accent6" w:themeShade="BF"/>
    </w:rPr>
  </w:style>
  <w:style w:type="character" w:customStyle="1" w:styleId="1229">
    <w:name w:val="Grid Table 7 Colorful Accent 6 CharProp10"/>
    <w:uiPriority w:val="52"/>
    <w:rPr>
      <w:color w:val="E46C0A" w:themeColor="accent6" w:themeShade="BF"/>
    </w:rPr>
  </w:style>
  <w:style w:type="character" w:customStyle="1" w:styleId="1230">
    <w:name w:val="Grid Table 7 Colorful Accent 6 CharProp9"/>
    <w:uiPriority w:val="52"/>
    <w:rPr>
      <w:color w:val="E46C0A" w:themeColor="accent6" w:themeShade="BF"/>
    </w:rPr>
  </w:style>
  <w:style w:type="character" w:customStyle="1" w:styleId="1231">
    <w:name w:val="Grid Table 7 Colorful Accent 6 CharProp8"/>
    <w:uiPriority w:val="52"/>
    <w:rPr>
      <w:color w:val="E46C0A" w:themeColor="accent6" w:themeShade="BF"/>
    </w:rPr>
  </w:style>
  <w:style w:type="character" w:customStyle="1" w:styleId="1232">
    <w:name w:val="Grid Table 7 Colorful Accent 6 CharProp7"/>
    <w:uiPriority w:val="52"/>
    <w:rPr>
      <w:color w:val="E46C0A" w:themeColor="accent6" w:themeShade="BF"/>
    </w:rPr>
  </w:style>
  <w:style w:type="character" w:customStyle="1" w:styleId="1233">
    <w:name w:val="Grid Table 7 Colorful Accent 6 CharProp6"/>
    <w:uiPriority w:val="52"/>
    <w:rPr>
      <w:color w:val="E46C0A" w:themeColor="accent6" w:themeShade="BF"/>
    </w:rPr>
  </w:style>
  <w:style w:type="character" w:customStyle="1" w:styleId="1234">
    <w:name w:val="Grid Table 7 Colorful Accent 6 CharProp5"/>
    <w:uiPriority w:val="52"/>
    <w:rPr>
      <w:color w:val="E46C0A" w:themeColor="accent6" w:themeShade="BF"/>
    </w:rPr>
  </w:style>
  <w:style w:type="character" w:customStyle="1" w:styleId="1235">
    <w:name w:val="Grid Table 7 Colorful Accent 6 CharProp4"/>
    <w:qFormat/>
    <w:uiPriority w:val="52"/>
    <w:rPr>
      <w:color w:val="E46C0A" w:themeColor="accent6" w:themeShade="BF"/>
    </w:rPr>
  </w:style>
  <w:style w:type="character" w:customStyle="1" w:styleId="1236">
    <w:name w:val="Grid Table 7 Colorful Accent 6 CharProp3"/>
    <w:qFormat/>
    <w:uiPriority w:val="52"/>
    <w:rPr>
      <w:color w:val="E46C0A" w:themeColor="accent6" w:themeShade="BF"/>
    </w:rPr>
  </w:style>
  <w:style w:type="character" w:customStyle="1" w:styleId="1237">
    <w:name w:val="Grid Table 7 Colorful Accent 6 CharProp2"/>
    <w:qFormat/>
    <w:uiPriority w:val="52"/>
    <w:rPr>
      <w:color w:val="E46C0A" w:themeColor="accent6" w:themeShade="BF"/>
    </w:rPr>
  </w:style>
  <w:style w:type="character" w:customStyle="1" w:styleId="1238">
    <w:name w:val="Grid Table 7 Colorful Accent 6 CharProp1"/>
    <w:qFormat/>
    <w:uiPriority w:val="52"/>
    <w:rPr>
      <w:color w:val="E46C0A" w:themeColor="accent6" w:themeShade="BF"/>
    </w:rPr>
  </w:style>
  <w:style w:type="character" w:customStyle="1" w:styleId="1239">
    <w:name w:val="Grid Table 7 Colorful Accent 6 CharProp"/>
    <w:qFormat/>
    <w:uiPriority w:val="52"/>
    <w:rPr>
      <w:color w:val="E46C0A" w:themeColor="accent6" w:themeShade="BF"/>
    </w:rPr>
  </w:style>
  <w:style w:type="table" w:customStyle="1" w:styleId="1240">
    <w:name w:val="网格型浅色1"/>
    <w:basedOn w:val="8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1241">
    <w:name w:val="尾注文本 字符"/>
    <w:basedOn w:val="319"/>
    <w:link w:val="53"/>
    <w:qFormat/>
    <w:uiPriority w:val="0"/>
    <w:rPr>
      <w:rFonts w:ascii="Arial" w:hAnsi="Arial" w:eastAsia="Arial" w:cs="Arial"/>
      <w:snapToGrid w:val="0"/>
      <w:color w:val="000000"/>
      <w:sz w:val="21"/>
      <w:szCs w:val="21"/>
      <w:lang w:eastAsia="en-US"/>
    </w:rPr>
  </w:style>
  <w:style w:type="character" w:customStyle="1" w:styleId="1242">
    <w:name w:val="未处理的提及1"/>
    <w:basedOn w:val="319"/>
    <w:semiHidden/>
    <w:unhideWhenUsed/>
    <w:qFormat/>
    <w:uiPriority w:val="99"/>
    <w:rPr>
      <w:color w:val="605E5C"/>
      <w:shd w:val="clear" w:color="auto" w:fill="E1DFDD"/>
    </w:rPr>
  </w:style>
  <w:style w:type="character" w:customStyle="1" w:styleId="1243">
    <w:name w:val="文档结构图 字符"/>
    <w:basedOn w:val="319"/>
    <w:link w:val="26"/>
    <w:qFormat/>
    <w:uiPriority w:val="0"/>
    <w:rPr>
      <w:rFonts w:ascii="Microsoft YaHei UI" w:hAnsi="Arial" w:eastAsia="Microsoft YaHei UI" w:cs="Arial"/>
      <w:snapToGrid w:val="0"/>
      <w:color w:val="000000"/>
      <w:sz w:val="18"/>
      <w:szCs w:val="18"/>
      <w:lang w:eastAsia="en-US"/>
    </w:rPr>
  </w:style>
  <w:style w:type="table" w:customStyle="1" w:styleId="1244">
    <w:name w:val="无格式表格 11"/>
    <w:basedOn w:val="89"/>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245">
    <w:name w:val="无格式表格 21"/>
    <w:basedOn w:val="89"/>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1246">
    <w:name w:val="无格式表格 31"/>
    <w:basedOn w:val="89"/>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1247">
    <w:name w:val="无格式表格 41"/>
    <w:basedOn w:val="8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248">
    <w:name w:val="无格式表格 51"/>
    <w:basedOn w:val="89"/>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1249">
    <w:name w:val="No Spacing"/>
    <w:semiHidden/>
    <w:unhideWhenUsed/>
    <w:qFormat/>
    <w:uiPriority w:val="99"/>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customStyle="1" w:styleId="1250">
    <w:name w:val="No Spacing CharProp11"/>
    <w:qFormat/>
    <w:uiPriority w:val="99"/>
    <w:rPr>
      <w:rFonts w:ascii="Arial" w:hAnsi="Arial" w:eastAsia="Arial" w:cs="Arial"/>
      <w:snapToGrid w:val="0"/>
      <w:color w:val="000000"/>
      <w:sz w:val="21"/>
      <w:szCs w:val="21"/>
      <w:lang w:val="en-US" w:eastAsia="en-US" w:bidi="ar-SA"/>
    </w:rPr>
  </w:style>
  <w:style w:type="character" w:customStyle="1" w:styleId="1251">
    <w:name w:val="No Spacing CharProp10"/>
    <w:qFormat/>
    <w:uiPriority w:val="99"/>
    <w:rPr>
      <w:rFonts w:ascii="Arial" w:hAnsi="Arial" w:eastAsia="Arial" w:cs="Arial"/>
      <w:snapToGrid w:val="0"/>
      <w:color w:val="000000"/>
      <w:sz w:val="21"/>
      <w:szCs w:val="21"/>
      <w:lang w:val="en-US" w:eastAsia="en-US" w:bidi="ar-SA"/>
    </w:rPr>
  </w:style>
  <w:style w:type="character" w:customStyle="1" w:styleId="1252">
    <w:name w:val="No Spacing CharProp9"/>
    <w:uiPriority w:val="99"/>
    <w:rPr>
      <w:rFonts w:ascii="Arial" w:hAnsi="Arial" w:eastAsia="Arial" w:cs="Arial"/>
      <w:snapToGrid w:val="0"/>
      <w:color w:val="000000"/>
      <w:sz w:val="21"/>
      <w:szCs w:val="21"/>
      <w:lang w:val="en-US" w:eastAsia="en-US" w:bidi="ar-SA"/>
    </w:rPr>
  </w:style>
  <w:style w:type="character" w:customStyle="1" w:styleId="1253">
    <w:name w:val="No Spacing CharProp8"/>
    <w:qFormat/>
    <w:uiPriority w:val="99"/>
    <w:rPr>
      <w:rFonts w:ascii="Arial" w:hAnsi="Arial" w:eastAsia="Arial" w:cs="Arial"/>
      <w:snapToGrid w:val="0"/>
      <w:color w:val="000000"/>
      <w:sz w:val="21"/>
      <w:szCs w:val="21"/>
      <w:lang w:val="en-US" w:eastAsia="en-US" w:bidi="ar-SA"/>
    </w:rPr>
  </w:style>
  <w:style w:type="character" w:customStyle="1" w:styleId="1254">
    <w:name w:val="No Spacing CharProp7"/>
    <w:qFormat/>
    <w:uiPriority w:val="99"/>
    <w:rPr>
      <w:rFonts w:ascii="Arial" w:hAnsi="Arial" w:eastAsia="Arial" w:cs="Arial"/>
      <w:snapToGrid w:val="0"/>
      <w:color w:val="000000"/>
      <w:sz w:val="21"/>
      <w:szCs w:val="21"/>
      <w:lang w:val="en-US" w:eastAsia="en-US" w:bidi="ar-SA"/>
    </w:rPr>
  </w:style>
  <w:style w:type="character" w:customStyle="1" w:styleId="1255">
    <w:name w:val="No Spacing CharProp6"/>
    <w:qFormat/>
    <w:uiPriority w:val="99"/>
    <w:rPr>
      <w:rFonts w:ascii="Arial" w:hAnsi="Arial" w:eastAsia="Arial" w:cs="Arial"/>
      <w:snapToGrid w:val="0"/>
      <w:color w:val="000000"/>
      <w:sz w:val="21"/>
      <w:szCs w:val="21"/>
      <w:lang w:val="en-US" w:eastAsia="en-US" w:bidi="ar-SA"/>
    </w:rPr>
  </w:style>
  <w:style w:type="character" w:customStyle="1" w:styleId="1256">
    <w:name w:val="No Spacing CharProp5"/>
    <w:qFormat/>
    <w:uiPriority w:val="99"/>
    <w:rPr>
      <w:rFonts w:ascii="Arial" w:hAnsi="Arial" w:eastAsia="Arial" w:cs="Arial"/>
      <w:snapToGrid w:val="0"/>
      <w:color w:val="000000"/>
      <w:sz w:val="21"/>
      <w:szCs w:val="21"/>
      <w:lang w:val="en-US" w:eastAsia="en-US" w:bidi="ar-SA"/>
    </w:rPr>
  </w:style>
  <w:style w:type="character" w:customStyle="1" w:styleId="1257">
    <w:name w:val="No Spacing CharProp4"/>
    <w:qFormat/>
    <w:uiPriority w:val="99"/>
    <w:rPr>
      <w:rFonts w:ascii="Arial" w:hAnsi="Arial" w:eastAsia="Arial" w:cs="Arial"/>
      <w:snapToGrid w:val="0"/>
      <w:color w:val="000000"/>
      <w:sz w:val="21"/>
      <w:szCs w:val="21"/>
      <w:lang w:val="en-US" w:eastAsia="en-US" w:bidi="ar-SA"/>
    </w:rPr>
  </w:style>
  <w:style w:type="character" w:customStyle="1" w:styleId="1258">
    <w:name w:val="No Spacing CharProp3"/>
    <w:qFormat/>
    <w:uiPriority w:val="99"/>
    <w:rPr>
      <w:rFonts w:ascii="Arial" w:hAnsi="Arial" w:eastAsia="Arial" w:cs="Arial"/>
      <w:snapToGrid w:val="0"/>
      <w:color w:val="000000"/>
      <w:sz w:val="21"/>
      <w:szCs w:val="21"/>
      <w:lang w:val="en-US" w:eastAsia="en-US" w:bidi="ar-SA"/>
    </w:rPr>
  </w:style>
  <w:style w:type="character" w:customStyle="1" w:styleId="1259">
    <w:name w:val="No Spacing CharProp2"/>
    <w:qFormat/>
    <w:uiPriority w:val="99"/>
    <w:rPr>
      <w:rFonts w:ascii="Arial" w:hAnsi="Arial" w:eastAsia="Arial" w:cs="Arial"/>
      <w:snapToGrid w:val="0"/>
      <w:color w:val="000000"/>
      <w:sz w:val="21"/>
      <w:szCs w:val="21"/>
      <w:lang w:val="en-US" w:eastAsia="en-US" w:bidi="ar-SA"/>
    </w:rPr>
  </w:style>
  <w:style w:type="character" w:customStyle="1" w:styleId="1260">
    <w:name w:val="No Spacing CharProp1"/>
    <w:qFormat/>
    <w:uiPriority w:val="99"/>
    <w:rPr>
      <w:rFonts w:ascii="Arial" w:hAnsi="Arial" w:eastAsia="Arial" w:cs="Arial"/>
      <w:snapToGrid w:val="0"/>
      <w:color w:val="000000"/>
      <w:sz w:val="21"/>
      <w:szCs w:val="21"/>
      <w:lang w:val="en-US" w:eastAsia="en-US" w:bidi="ar-SA"/>
    </w:rPr>
  </w:style>
  <w:style w:type="character" w:customStyle="1" w:styleId="1261">
    <w:name w:val="No Spacing CharProp"/>
    <w:qFormat/>
    <w:uiPriority w:val="99"/>
    <w:rPr>
      <w:rFonts w:ascii="Arial" w:hAnsi="Arial" w:eastAsia="Arial" w:cs="Arial"/>
      <w:snapToGrid w:val="0"/>
      <w:color w:val="000000"/>
      <w:sz w:val="21"/>
      <w:szCs w:val="21"/>
      <w:lang w:val="en-US" w:eastAsia="en-US" w:bidi="ar-SA"/>
    </w:rPr>
  </w:style>
  <w:style w:type="character" w:customStyle="1" w:styleId="1262">
    <w:name w:val="信息标题 字符"/>
    <w:basedOn w:val="319"/>
    <w:link w:val="80"/>
    <w:qFormat/>
    <w:uiPriority w:val="0"/>
    <w:rPr>
      <w:rFonts w:asciiTheme="majorHAnsi" w:hAnsiTheme="majorHAnsi" w:eastAsiaTheme="majorEastAsia" w:cstheme="majorBidi"/>
      <w:snapToGrid w:val="0"/>
      <w:color w:val="000000"/>
      <w:sz w:val="24"/>
      <w:szCs w:val="24"/>
      <w:shd w:val="pct20" w:color="auto" w:fill="auto"/>
      <w:lang w:eastAsia="en-US"/>
    </w:rPr>
  </w:style>
  <w:style w:type="paragraph" w:styleId="1263">
    <w:name w:val="Quote"/>
    <w:basedOn w:val="1"/>
    <w:next w:val="1"/>
    <w:link w:val="1276"/>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264">
    <w:name w:val="Quote CharProp11"/>
    <w:qFormat/>
    <w:uiPriority w:val="99"/>
    <w:rPr>
      <w:i/>
      <w:iCs/>
      <w:color w:val="404040" w:themeColor="text1" w:themeTint="BF"/>
      <w14:textFill>
        <w14:solidFill>
          <w14:schemeClr w14:val="tx1">
            <w14:lumMod w14:val="75000"/>
            <w14:lumOff w14:val="25000"/>
          </w14:schemeClr>
        </w14:solidFill>
      </w14:textFill>
    </w:rPr>
  </w:style>
  <w:style w:type="character" w:customStyle="1" w:styleId="1265">
    <w:name w:val="Quote CharProp10"/>
    <w:qFormat/>
    <w:uiPriority w:val="99"/>
    <w:rPr>
      <w:i/>
      <w:iCs/>
      <w:color w:val="404040" w:themeColor="text1" w:themeTint="BF"/>
      <w14:textFill>
        <w14:solidFill>
          <w14:schemeClr w14:val="tx1">
            <w14:lumMod w14:val="75000"/>
            <w14:lumOff w14:val="25000"/>
          </w14:schemeClr>
        </w14:solidFill>
      </w14:textFill>
    </w:rPr>
  </w:style>
  <w:style w:type="character" w:customStyle="1" w:styleId="1266">
    <w:name w:val="Quote CharProp9"/>
    <w:qFormat/>
    <w:uiPriority w:val="99"/>
    <w:rPr>
      <w:i/>
      <w:iCs/>
      <w:color w:val="404040" w:themeColor="text1" w:themeTint="BF"/>
      <w14:textFill>
        <w14:solidFill>
          <w14:schemeClr w14:val="tx1">
            <w14:lumMod w14:val="75000"/>
            <w14:lumOff w14:val="25000"/>
          </w14:schemeClr>
        </w14:solidFill>
      </w14:textFill>
    </w:rPr>
  </w:style>
  <w:style w:type="character" w:customStyle="1" w:styleId="1267">
    <w:name w:val="Quote CharProp8"/>
    <w:uiPriority w:val="99"/>
    <w:rPr>
      <w:i/>
      <w:iCs/>
      <w:color w:val="404040" w:themeColor="text1" w:themeTint="BF"/>
      <w14:textFill>
        <w14:solidFill>
          <w14:schemeClr w14:val="tx1">
            <w14:lumMod w14:val="75000"/>
            <w14:lumOff w14:val="25000"/>
          </w14:schemeClr>
        </w14:solidFill>
      </w14:textFill>
    </w:rPr>
  </w:style>
  <w:style w:type="character" w:customStyle="1" w:styleId="1268">
    <w:name w:val="Quote CharProp7"/>
    <w:uiPriority w:val="99"/>
    <w:rPr>
      <w:i/>
      <w:iCs/>
      <w:color w:val="404040" w:themeColor="text1" w:themeTint="BF"/>
      <w14:textFill>
        <w14:solidFill>
          <w14:schemeClr w14:val="tx1">
            <w14:lumMod w14:val="75000"/>
            <w14:lumOff w14:val="25000"/>
          </w14:schemeClr>
        </w14:solidFill>
      </w14:textFill>
    </w:rPr>
  </w:style>
  <w:style w:type="character" w:customStyle="1" w:styleId="1269">
    <w:name w:val="Quote CharProp6"/>
    <w:uiPriority w:val="99"/>
    <w:rPr>
      <w:i/>
      <w:iCs/>
      <w:color w:val="404040" w:themeColor="text1" w:themeTint="BF"/>
      <w14:textFill>
        <w14:solidFill>
          <w14:schemeClr w14:val="tx1">
            <w14:lumMod w14:val="75000"/>
            <w14:lumOff w14:val="25000"/>
          </w14:schemeClr>
        </w14:solidFill>
      </w14:textFill>
    </w:rPr>
  </w:style>
  <w:style w:type="character" w:customStyle="1" w:styleId="1270">
    <w:name w:val="Quote CharProp5"/>
    <w:qFormat/>
    <w:uiPriority w:val="99"/>
    <w:rPr>
      <w:i/>
      <w:iCs/>
      <w:color w:val="404040" w:themeColor="text1" w:themeTint="BF"/>
      <w14:textFill>
        <w14:solidFill>
          <w14:schemeClr w14:val="tx1">
            <w14:lumMod w14:val="75000"/>
            <w14:lumOff w14:val="25000"/>
          </w14:schemeClr>
        </w14:solidFill>
      </w14:textFill>
    </w:rPr>
  </w:style>
  <w:style w:type="character" w:customStyle="1" w:styleId="1271">
    <w:name w:val="Quote CharProp4"/>
    <w:qFormat/>
    <w:uiPriority w:val="99"/>
    <w:rPr>
      <w:i/>
      <w:iCs/>
      <w:color w:val="404040" w:themeColor="text1" w:themeTint="BF"/>
      <w14:textFill>
        <w14:solidFill>
          <w14:schemeClr w14:val="tx1">
            <w14:lumMod w14:val="75000"/>
            <w14:lumOff w14:val="25000"/>
          </w14:schemeClr>
        </w14:solidFill>
      </w14:textFill>
    </w:rPr>
  </w:style>
  <w:style w:type="character" w:customStyle="1" w:styleId="1272">
    <w:name w:val="Quote CharProp3"/>
    <w:qFormat/>
    <w:uiPriority w:val="99"/>
    <w:rPr>
      <w:i/>
      <w:iCs/>
      <w:color w:val="404040" w:themeColor="text1" w:themeTint="BF"/>
      <w14:textFill>
        <w14:solidFill>
          <w14:schemeClr w14:val="tx1">
            <w14:lumMod w14:val="75000"/>
            <w14:lumOff w14:val="25000"/>
          </w14:schemeClr>
        </w14:solidFill>
      </w14:textFill>
    </w:rPr>
  </w:style>
  <w:style w:type="character" w:customStyle="1" w:styleId="1273">
    <w:name w:val="Quote CharProp2"/>
    <w:qFormat/>
    <w:uiPriority w:val="99"/>
    <w:rPr>
      <w:i/>
      <w:iCs/>
      <w:color w:val="404040" w:themeColor="text1" w:themeTint="BF"/>
      <w14:textFill>
        <w14:solidFill>
          <w14:schemeClr w14:val="tx1">
            <w14:lumMod w14:val="75000"/>
            <w14:lumOff w14:val="25000"/>
          </w14:schemeClr>
        </w14:solidFill>
      </w14:textFill>
    </w:rPr>
  </w:style>
  <w:style w:type="character" w:customStyle="1" w:styleId="1274">
    <w:name w:val="Quote CharProp1"/>
    <w:qFormat/>
    <w:uiPriority w:val="99"/>
    <w:rPr>
      <w:i/>
      <w:iCs/>
      <w:color w:val="404040" w:themeColor="text1" w:themeTint="BF"/>
      <w14:textFill>
        <w14:solidFill>
          <w14:schemeClr w14:val="tx1">
            <w14:lumMod w14:val="75000"/>
            <w14:lumOff w14:val="25000"/>
          </w14:schemeClr>
        </w14:solidFill>
      </w14:textFill>
    </w:rPr>
  </w:style>
  <w:style w:type="character" w:customStyle="1" w:styleId="1275">
    <w:name w:val="Quote CharProp"/>
    <w:qFormat/>
    <w:uiPriority w:val="99"/>
    <w:rPr>
      <w:i/>
      <w:iCs/>
      <w:color w:val="404040" w:themeColor="text1" w:themeTint="BF"/>
      <w14:textFill>
        <w14:solidFill>
          <w14:schemeClr w14:val="tx1">
            <w14:lumMod w14:val="75000"/>
            <w14:lumOff w14:val="25000"/>
          </w14:schemeClr>
        </w14:solidFill>
      </w14:textFill>
    </w:rPr>
  </w:style>
  <w:style w:type="character" w:customStyle="1" w:styleId="1276">
    <w:name w:val="引用 字符"/>
    <w:basedOn w:val="319"/>
    <w:link w:val="1263"/>
    <w:semiHidden/>
    <w:qFormat/>
    <w:uiPriority w:val="99"/>
    <w:rPr>
      <w:rFonts w:ascii="Arial" w:hAnsi="Arial" w:eastAsia="Arial" w:cs="Arial"/>
      <w:i/>
      <w:iCs/>
      <w:snapToGrid w:val="0"/>
      <w:color w:val="404040" w:themeColor="text1" w:themeTint="BF"/>
      <w:sz w:val="21"/>
      <w:szCs w:val="21"/>
      <w:lang w:eastAsia="en-US"/>
      <w14:textFill>
        <w14:solidFill>
          <w14:schemeClr w14:val="tx1">
            <w14:lumMod w14:val="75000"/>
            <w14:lumOff w14:val="25000"/>
          </w14:schemeClr>
        </w14:solidFill>
      </w14:textFill>
    </w:rPr>
  </w:style>
  <w:style w:type="character" w:styleId="1277">
    <w:name w:val="Placeholder Text"/>
    <w:basedOn w:val="319"/>
    <w:semiHidden/>
    <w:unhideWhenUsed/>
    <w:qFormat/>
    <w:uiPriority w:val="99"/>
    <w:rPr>
      <w:color w:val="666666"/>
    </w:rPr>
  </w:style>
  <w:style w:type="character" w:customStyle="1" w:styleId="1278">
    <w:name w:val="正文文本 2 字符"/>
    <w:basedOn w:val="319"/>
    <w:link w:val="77"/>
    <w:qFormat/>
    <w:uiPriority w:val="0"/>
    <w:rPr>
      <w:rFonts w:ascii="Arial" w:hAnsi="Arial" w:eastAsia="Arial" w:cs="Arial"/>
      <w:snapToGrid w:val="0"/>
      <w:color w:val="000000"/>
      <w:sz w:val="21"/>
      <w:szCs w:val="21"/>
      <w:lang w:eastAsia="en-US"/>
    </w:rPr>
  </w:style>
  <w:style w:type="character" w:customStyle="1" w:styleId="1279">
    <w:name w:val="正文文本 3 字符"/>
    <w:basedOn w:val="319"/>
    <w:link w:val="31"/>
    <w:qFormat/>
    <w:uiPriority w:val="0"/>
    <w:rPr>
      <w:rFonts w:ascii="Arial" w:hAnsi="Arial" w:eastAsia="Arial" w:cs="Arial"/>
      <w:snapToGrid w:val="0"/>
      <w:color w:val="000000"/>
      <w:sz w:val="16"/>
      <w:szCs w:val="16"/>
      <w:lang w:eastAsia="en-US"/>
    </w:rPr>
  </w:style>
  <w:style w:type="character" w:customStyle="1" w:styleId="1280">
    <w:name w:val="正文文本 字符"/>
    <w:basedOn w:val="319"/>
    <w:link w:val="34"/>
    <w:semiHidden/>
    <w:qFormat/>
    <w:uiPriority w:val="0"/>
    <w:rPr>
      <w:rFonts w:ascii="Arial" w:hAnsi="Arial" w:eastAsia="Arial" w:cs="Arial"/>
      <w:snapToGrid w:val="0"/>
      <w:color w:val="000000"/>
      <w:sz w:val="21"/>
      <w:szCs w:val="21"/>
      <w:lang w:eastAsia="en-US"/>
    </w:rPr>
  </w:style>
  <w:style w:type="character" w:customStyle="1" w:styleId="1281">
    <w:name w:val="正文文本首行缩进 字符"/>
    <w:basedOn w:val="1280"/>
    <w:link w:val="87"/>
    <w:qFormat/>
    <w:uiPriority w:val="0"/>
    <w:rPr>
      <w:rFonts w:ascii="Arial" w:hAnsi="Arial" w:eastAsia="Arial" w:cs="Arial"/>
      <w:snapToGrid w:val="0"/>
      <w:color w:val="000000"/>
      <w:sz w:val="21"/>
      <w:szCs w:val="21"/>
      <w:lang w:eastAsia="en-US"/>
    </w:rPr>
  </w:style>
  <w:style w:type="character" w:customStyle="1" w:styleId="1282">
    <w:name w:val="正文文本缩进 字符"/>
    <w:basedOn w:val="319"/>
    <w:link w:val="35"/>
    <w:qFormat/>
    <w:uiPriority w:val="99"/>
    <w:rPr>
      <w:rFonts w:ascii="Arial" w:hAnsi="Arial" w:eastAsia="Arial" w:cs="Arial"/>
      <w:snapToGrid w:val="0"/>
      <w:color w:val="000000"/>
      <w:sz w:val="21"/>
      <w:szCs w:val="21"/>
      <w:lang w:eastAsia="en-US"/>
    </w:rPr>
  </w:style>
  <w:style w:type="character" w:customStyle="1" w:styleId="1283">
    <w:name w:val="正文文本首行缩进 2 字符"/>
    <w:basedOn w:val="1282"/>
    <w:link w:val="88"/>
    <w:qFormat/>
    <w:uiPriority w:val="0"/>
    <w:rPr>
      <w:rFonts w:ascii="Arial" w:hAnsi="Arial" w:eastAsia="Arial" w:cs="Arial"/>
      <w:snapToGrid w:val="0"/>
      <w:color w:val="000000"/>
      <w:sz w:val="21"/>
      <w:szCs w:val="21"/>
      <w:lang w:eastAsia="en-US"/>
    </w:rPr>
  </w:style>
  <w:style w:type="character" w:customStyle="1" w:styleId="1284">
    <w:name w:val="正文文本缩进 2 字符"/>
    <w:basedOn w:val="319"/>
    <w:link w:val="52"/>
    <w:qFormat/>
    <w:uiPriority w:val="0"/>
    <w:rPr>
      <w:rFonts w:ascii="Arial" w:hAnsi="Arial" w:eastAsia="Arial" w:cs="Arial"/>
      <w:snapToGrid w:val="0"/>
      <w:color w:val="000000"/>
      <w:sz w:val="21"/>
      <w:szCs w:val="21"/>
      <w:lang w:eastAsia="en-US"/>
    </w:rPr>
  </w:style>
  <w:style w:type="character" w:customStyle="1" w:styleId="1285">
    <w:name w:val="正文文本缩进 3 字符"/>
    <w:basedOn w:val="319"/>
    <w:link w:val="71"/>
    <w:qFormat/>
    <w:uiPriority w:val="0"/>
    <w:rPr>
      <w:rFonts w:ascii="Arial" w:hAnsi="Arial" w:eastAsia="Arial" w:cs="Arial"/>
      <w:snapToGrid w:val="0"/>
      <w:color w:val="000000"/>
      <w:sz w:val="16"/>
      <w:szCs w:val="16"/>
      <w:lang w:eastAsia="en-US"/>
    </w:rPr>
  </w:style>
  <w:style w:type="character" w:customStyle="1" w:styleId="1286">
    <w:name w:val="智能超链接1"/>
    <w:basedOn w:val="319"/>
    <w:semiHidden/>
    <w:unhideWhenUsed/>
    <w:qFormat/>
    <w:uiPriority w:val="99"/>
    <w:rPr>
      <w:u w:val="dotted"/>
    </w:rPr>
  </w:style>
  <w:style w:type="character" w:customStyle="1" w:styleId="1287">
    <w:name w:val="智能链接1"/>
    <w:basedOn w:val="319"/>
    <w:semiHidden/>
    <w:unhideWhenUsed/>
    <w:qFormat/>
    <w:uiPriority w:val="99"/>
    <w:rPr>
      <w:color w:val="0000FF"/>
      <w:u w:val="single"/>
      <w:shd w:val="clear" w:color="auto" w:fill="F3F2F1"/>
    </w:rPr>
  </w:style>
  <w:style w:type="character" w:customStyle="1" w:styleId="1288">
    <w:name w:val="注释标题 字符"/>
    <w:basedOn w:val="319"/>
    <w:link w:val="16"/>
    <w:qFormat/>
    <w:uiPriority w:val="0"/>
    <w:rPr>
      <w:rFonts w:ascii="Arial" w:hAnsi="Arial" w:eastAsia="Arial" w:cs="Arial"/>
      <w:snapToGrid w:val="0"/>
      <w:color w:val="000000"/>
      <w:sz w:val="21"/>
      <w:szCs w:val="21"/>
      <w:lang w:eastAsia="en-US"/>
    </w:rPr>
  </w:style>
  <w:style w:type="character" w:customStyle="1" w:styleId="1289">
    <w:name w:val="font51"/>
    <w:basedOn w:val="319"/>
    <w:qFormat/>
    <w:uiPriority w:val="0"/>
    <w:rPr>
      <w:rFonts w:ascii="Arial" w:hAnsi="Arial" w:cs="Arial"/>
      <w:color w:val="000000"/>
      <w:sz w:val="22"/>
      <w:szCs w:val="22"/>
      <w:u w:val="none"/>
    </w:rPr>
  </w:style>
  <w:style w:type="character" w:customStyle="1" w:styleId="1290">
    <w:name w:val="Unresolved Mention"/>
    <w:basedOn w:val="319"/>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AF3DFE-1038-4004-92C6-A098A3B04DE3}">
  <ds:schemaRefs/>
</ds:datastoreItem>
</file>

<file path=docProps/app.xml><?xml version="1.0" encoding="utf-8"?>
<Properties xmlns="http://schemas.openxmlformats.org/officeDocument/2006/extended-properties" xmlns:vt="http://schemas.openxmlformats.org/officeDocument/2006/docPropsVTypes">
  <Template>Normal</Template>
  <Pages>59</Pages>
  <Words>29594</Words>
  <Characters>32536</Characters>
  <Lines>331</Lines>
  <Paragraphs>93</Paragraphs>
  <TotalTime>18</TotalTime>
  <ScaleCrop>false</ScaleCrop>
  <LinksUpToDate>false</LinksUpToDate>
  <CharactersWithSpaces>33100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2024-08-11T10:45:00Z</dcterms:created>
  <dc:creator>Administrator</dc:creator>
  <cp:lastModifiedBy>Day丶17</cp:lastModifiedBy>
  <dcterms:modified xsi:type="dcterms:W3CDTF">2026-07-20T07:05:45Z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2024-07-01T16:22:27Z</vt:filetime>
  </property>
  <property fmtid="{D5CDD505-2E9C-101B-9397-08002B2CF9AE}" pid="4" name="KSOProductBuildVer">
    <vt:lpwstr>2052-12.1.0.26895</vt:lpwstr>
  </property>
  <property fmtid="{D5CDD505-2E9C-101B-9397-08002B2CF9AE}" pid="5" name="ICV">
    <vt:lpwstr>BC86277A87574B0D8CB7BA4BA712B2EB_13</vt:lpwstr>
  </property>
  <property fmtid="{D5CDD505-2E9C-101B-9397-08002B2CF9AE}" pid="6" name="KSOTemplateDocerSaveRecord">
    <vt:lpwstr>eyJoZGlkIjoiZDI1YTc4ZGRlZTE4ZWFlMjI5YmQ4MzczOGY3NmZhOGMiLCJ1c2VySWQiOiI0Njc0NjIyMzcifQ==</vt:lpwstr>
  </property>
</Properties>
</file>