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95BB2">
      <w:pPr>
        <w:widowControl w:val="0"/>
        <w:overflowPunct w:val="0"/>
        <w:jc w:val="center"/>
        <w:rPr>
          <w:rFonts w:hint="eastAsia" w:ascii="黑体" w:hAnsi="黑体" w:eastAsia="黑体" w:cs="黑体"/>
          <w:spacing w:val="4"/>
          <w:sz w:val="44"/>
          <w:szCs w:val="44"/>
          <w:lang w:eastAsia="zh-CN"/>
        </w:rPr>
      </w:pPr>
      <w:bookmarkStart w:id="0" w:name="_Hlk174307505"/>
    </w:p>
    <w:p w14:paraId="1E1F7E0E">
      <w:pPr>
        <w:widowControl w:val="0"/>
        <w:overflowPunct w:val="0"/>
        <w:jc w:val="center"/>
        <w:rPr>
          <w:rFonts w:hint="eastAsia" w:ascii="黑体" w:hAnsi="黑体" w:eastAsia="黑体" w:cs="黑体"/>
          <w:spacing w:val="4"/>
          <w:sz w:val="44"/>
          <w:szCs w:val="44"/>
          <w:lang w:eastAsia="zh-CN"/>
        </w:rPr>
      </w:pPr>
    </w:p>
    <w:p w14:paraId="39339004">
      <w:pPr>
        <w:widowControl w:val="0"/>
        <w:overflowPunct w:val="0"/>
        <w:jc w:val="center"/>
        <w:rPr>
          <w:rFonts w:hint="eastAsia" w:ascii="黑体" w:hAnsi="黑体" w:eastAsia="黑体" w:cs="黑体"/>
          <w:spacing w:val="4"/>
          <w:sz w:val="44"/>
          <w:szCs w:val="44"/>
          <w:lang w:eastAsia="zh-CN"/>
        </w:rPr>
      </w:pPr>
    </w:p>
    <w:p w14:paraId="0A28B463">
      <w:pPr>
        <w:widowControl w:val="0"/>
        <w:overflowPunct w:val="0"/>
        <w:jc w:val="center"/>
        <w:rPr>
          <w:rFonts w:hint="eastAsia" w:ascii="黑体" w:hAnsi="黑体" w:eastAsia="黑体" w:cs="黑体"/>
          <w:spacing w:val="4"/>
          <w:sz w:val="44"/>
          <w:szCs w:val="44"/>
          <w:lang w:eastAsia="zh-CN"/>
        </w:rPr>
      </w:pPr>
      <w:r>
        <w:rPr>
          <w:rFonts w:hint="eastAsia" w:ascii="黑体" w:hAnsi="黑体" w:eastAsia="黑体" w:cs="黑体"/>
          <w:spacing w:val="4"/>
          <w:sz w:val="44"/>
          <w:szCs w:val="44"/>
          <w:lang w:eastAsia="zh-CN"/>
        </w:rPr>
        <w:t>2024年度石狮市城市管理和综合执法局</w:t>
      </w:r>
    </w:p>
    <w:p w14:paraId="569CDFA7">
      <w:pPr>
        <w:widowControl w:val="0"/>
        <w:overflowPunct w:val="0"/>
        <w:jc w:val="center"/>
        <w:rPr>
          <w:rFonts w:hint="eastAsia" w:ascii="黑体" w:hAnsi="黑体" w:eastAsia="黑体" w:cs="黑体"/>
          <w:spacing w:val="4"/>
          <w:sz w:val="44"/>
          <w:szCs w:val="44"/>
          <w:lang w:eastAsia="zh-CN"/>
        </w:rPr>
      </w:pPr>
      <w:r>
        <w:rPr>
          <w:rFonts w:hint="eastAsia" w:ascii="黑体" w:hAnsi="黑体" w:eastAsia="黑体" w:cs="黑体"/>
          <w:spacing w:val="4"/>
          <w:sz w:val="44"/>
          <w:szCs w:val="44"/>
          <w:lang w:eastAsia="zh-CN"/>
        </w:rPr>
        <w:t>部门</w:t>
      </w:r>
      <w:bookmarkStart w:id="1" w:name="_Toc12298"/>
      <w:bookmarkStart w:id="2" w:name="_Toc14919"/>
      <w:bookmarkStart w:id="3" w:name="_Toc21913"/>
      <w:bookmarkStart w:id="4" w:name="_Toc8216"/>
      <w:bookmarkStart w:id="5" w:name="_Toc13715"/>
      <w:bookmarkStart w:id="6" w:name="_Toc30332"/>
      <w:bookmarkStart w:id="7" w:name="_Toc15425"/>
      <w:bookmarkStart w:id="8" w:name="_Toc16249"/>
      <w:r>
        <w:rPr>
          <w:rFonts w:hint="eastAsia" w:ascii="黑体" w:hAnsi="黑体" w:eastAsia="黑体" w:cs="黑体"/>
          <w:spacing w:val="4"/>
          <w:sz w:val="44"/>
          <w:szCs w:val="44"/>
          <w:lang w:eastAsia="zh-CN"/>
        </w:rPr>
        <w:t>整体支出绩效评价报告</w:t>
      </w:r>
      <w:bookmarkEnd w:id="1"/>
      <w:bookmarkEnd w:id="2"/>
      <w:bookmarkEnd w:id="3"/>
      <w:bookmarkEnd w:id="4"/>
      <w:bookmarkEnd w:id="5"/>
      <w:bookmarkEnd w:id="6"/>
      <w:bookmarkEnd w:id="7"/>
      <w:bookmarkEnd w:id="8"/>
    </w:p>
    <w:p w14:paraId="5B3CF184">
      <w:pPr>
        <w:pStyle w:val="56"/>
        <w:widowControl w:val="0"/>
        <w:kinsoku w:val="0"/>
        <w:wordWrap/>
        <w:overflowPunct w:val="0"/>
        <w:autoSpaceDE w:val="0"/>
        <w:autoSpaceDN w:val="0"/>
        <w:rPr>
          <w:rFonts w:hint="eastAsia" w:ascii="黑体" w:hAnsi="黑体" w:eastAsia="黑体" w:cs="黑体"/>
          <w:sz w:val="20"/>
          <w:szCs w:val="21"/>
        </w:rPr>
      </w:pPr>
    </w:p>
    <w:p w14:paraId="4C0A4BB7">
      <w:pPr>
        <w:widowControl w:val="0"/>
        <w:overflowPunct w:val="0"/>
        <w:rPr>
          <w:rFonts w:hint="eastAsia" w:ascii="黑体" w:hAnsi="黑体" w:eastAsia="黑体" w:cs="黑体"/>
          <w:color w:val="auto"/>
          <w:sz w:val="20"/>
          <w:szCs w:val="22"/>
          <w:lang w:eastAsia="zh-CN"/>
        </w:rPr>
      </w:pPr>
    </w:p>
    <w:p w14:paraId="42078180">
      <w:pPr>
        <w:pStyle w:val="55"/>
        <w:widowControl w:val="0"/>
        <w:overflowPunct w:val="0"/>
        <w:rPr>
          <w:rFonts w:hint="eastAsia" w:ascii="黑体" w:hAnsi="黑体" w:eastAsia="黑体" w:cs="黑体"/>
          <w:color w:val="auto"/>
          <w:sz w:val="16"/>
          <w:szCs w:val="16"/>
          <w:lang w:eastAsia="zh-CN"/>
        </w:rPr>
      </w:pPr>
    </w:p>
    <w:p w14:paraId="34FFD30F">
      <w:pPr>
        <w:pStyle w:val="56"/>
        <w:widowControl w:val="0"/>
        <w:kinsoku w:val="0"/>
        <w:wordWrap/>
        <w:overflowPunct w:val="0"/>
        <w:autoSpaceDE w:val="0"/>
        <w:autoSpaceDN w:val="0"/>
        <w:rPr>
          <w:rFonts w:hint="eastAsia" w:ascii="黑体" w:hAnsi="黑体" w:eastAsia="黑体" w:cs="黑体"/>
          <w:sz w:val="20"/>
          <w:szCs w:val="21"/>
        </w:rPr>
      </w:pPr>
    </w:p>
    <w:p w14:paraId="5550ABD5">
      <w:pPr>
        <w:widowControl w:val="0"/>
        <w:overflowPunct w:val="0"/>
        <w:spacing w:line="360" w:lineRule="auto"/>
        <w:ind w:firstLine="1131" w:firstLineChars="345"/>
        <w:jc w:val="center"/>
        <w:rPr>
          <w:rFonts w:hint="eastAsia" w:ascii="黑体" w:hAnsi="黑体" w:eastAsia="黑体" w:cs="黑体"/>
          <w:color w:val="auto"/>
          <w:spacing w:val="4"/>
          <w:sz w:val="32"/>
          <w:szCs w:val="32"/>
          <w:lang w:eastAsia="zh-CN"/>
        </w:rPr>
      </w:pPr>
    </w:p>
    <w:p w14:paraId="12DCEBDD">
      <w:pPr>
        <w:pStyle w:val="55"/>
        <w:widowControl w:val="0"/>
        <w:overflowPunct w:val="0"/>
        <w:rPr>
          <w:color w:val="auto"/>
          <w:sz w:val="16"/>
          <w:szCs w:val="16"/>
          <w:lang w:eastAsia="zh-CN"/>
        </w:rPr>
      </w:pPr>
    </w:p>
    <w:p w14:paraId="40513CD3">
      <w:pPr>
        <w:pStyle w:val="55"/>
        <w:widowControl w:val="0"/>
        <w:overflowPunct w:val="0"/>
        <w:rPr>
          <w:color w:val="auto"/>
          <w:sz w:val="16"/>
          <w:szCs w:val="16"/>
          <w:lang w:eastAsia="zh-CN"/>
        </w:rPr>
      </w:pPr>
    </w:p>
    <w:p w14:paraId="079745B2">
      <w:pPr>
        <w:pStyle w:val="56"/>
        <w:widowControl w:val="0"/>
        <w:kinsoku w:val="0"/>
        <w:wordWrap/>
        <w:overflowPunct w:val="0"/>
        <w:autoSpaceDE w:val="0"/>
        <w:autoSpaceDN w:val="0"/>
        <w:rPr>
          <w:sz w:val="32"/>
          <w:szCs w:val="32"/>
        </w:rPr>
      </w:pPr>
    </w:p>
    <w:p w14:paraId="51596560">
      <w:pPr>
        <w:widowControl w:val="0"/>
        <w:overflowPunct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lang w:eastAsia="zh-CN"/>
        </w:rPr>
        <w:t xml:space="preserve">项目单位： </w:t>
      </w:r>
      <w:r>
        <w:rPr>
          <w:rFonts w:hint="eastAsia" w:ascii="黑体" w:hAnsi="黑体" w:eastAsia="黑体" w:cs="黑体"/>
          <w:color w:val="auto"/>
          <w:sz w:val="32"/>
          <w:szCs w:val="32"/>
          <w:u w:val="single"/>
          <w:lang w:eastAsia="zh-CN"/>
        </w:rPr>
        <w:t xml:space="preserve">    石狮市城市管理和综合执法局           </w:t>
      </w:r>
    </w:p>
    <w:p w14:paraId="6D92F80D">
      <w:pPr>
        <w:pStyle w:val="55"/>
        <w:widowControl w:val="0"/>
        <w:overflowPunct w:val="0"/>
        <w:rPr>
          <w:color w:val="auto"/>
          <w:sz w:val="32"/>
          <w:szCs w:val="32"/>
          <w:lang w:eastAsia="zh-CN"/>
        </w:rPr>
      </w:pPr>
    </w:p>
    <w:p w14:paraId="3A43054E">
      <w:pPr>
        <w:widowControl w:val="0"/>
        <w:overflowPunct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lang w:eastAsia="zh-CN"/>
        </w:rPr>
        <w:t>委托单位：</w:t>
      </w:r>
      <w:r>
        <w:rPr>
          <w:rFonts w:hint="eastAsia" w:ascii="黑体" w:hAnsi="黑体" w:eastAsia="黑体" w:cs="黑体"/>
          <w:color w:val="auto"/>
          <w:sz w:val="32"/>
          <w:szCs w:val="32"/>
          <w:u w:val="single"/>
          <w:lang w:eastAsia="zh-CN"/>
        </w:rPr>
        <w:t xml:space="preserve">       石狮市财政局                  </w:t>
      </w:r>
    </w:p>
    <w:p w14:paraId="382F6178">
      <w:pPr>
        <w:pStyle w:val="488"/>
        <w:widowControl w:val="0"/>
        <w:overflowPunct w:val="0"/>
        <w:ind w:firstLine="640"/>
        <w:rPr>
          <w:rFonts w:hint="eastAsia" w:ascii="黑体" w:hAnsi="黑体" w:eastAsia="黑体" w:cs="黑体"/>
          <w:color w:val="auto"/>
          <w:szCs w:val="32"/>
          <w:lang w:eastAsia="zh-CN"/>
        </w:rPr>
      </w:pPr>
    </w:p>
    <w:p w14:paraId="0CBB1429">
      <w:pPr>
        <w:widowControl w:val="0"/>
        <w:overflowPunct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lang w:eastAsia="zh-CN"/>
        </w:rPr>
        <w:t>评价机构：</w:t>
      </w:r>
      <w:r>
        <w:rPr>
          <w:rFonts w:hint="eastAsia" w:ascii="黑体" w:hAnsi="黑体" w:eastAsia="黑体" w:cs="黑体"/>
          <w:color w:val="auto"/>
          <w:sz w:val="32"/>
          <w:szCs w:val="32"/>
          <w:u w:val="single"/>
          <w:lang w:eastAsia="zh-CN"/>
        </w:rPr>
        <w:t xml:space="preserve">     泉州市启程财务咨询有限公司      </w:t>
      </w:r>
    </w:p>
    <w:p w14:paraId="00011B07">
      <w:pPr>
        <w:pStyle w:val="488"/>
        <w:widowControl w:val="0"/>
        <w:overflowPunct w:val="0"/>
        <w:ind w:firstLine="0" w:firstLineChars="0"/>
        <w:rPr>
          <w:rFonts w:hint="eastAsia" w:ascii="黑体" w:hAnsi="黑体" w:eastAsia="黑体" w:cs="黑体"/>
          <w:color w:val="auto"/>
          <w:szCs w:val="32"/>
          <w:lang w:eastAsia="zh-CN"/>
        </w:rPr>
      </w:pPr>
    </w:p>
    <w:p w14:paraId="45767C83">
      <w:pPr>
        <w:widowControl w:val="0"/>
        <w:overflowPunct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lang w:eastAsia="zh-CN"/>
        </w:rPr>
        <w:t>评价时间：</w:t>
      </w:r>
      <w:r>
        <w:rPr>
          <w:rFonts w:hint="eastAsia" w:ascii="黑体" w:hAnsi="黑体" w:eastAsia="黑体" w:cs="黑体"/>
          <w:color w:val="auto"/>
          <w:sz w:val="32"/>
          <w:szCs w:val="32"/>
          <w:u w:val="single"/>
          <w:lang w:eastAsia="zh-CN"/>
        </w:rPr>
        <w:t xml:space="preserve">           2025年7月                 </w:t>
      </w:r>
    </w:p>
    <w:p w14:paraId="6D93846E">
      <w:pPr>
        <w:widowControl w:val="0"/>
        <w:overflowPunct w:val="0"/>
        <w:spacing w:line="760" w:lineRule="exact"/>
        <w:jc w:val="center"/>
        <w:rPr>
          <w:rFonts w:hint="eastAsia" w:ascii="黑体" w:hAnsi="黑体" w:eastAsia="黑体" w:cs="黑体"/>
          <w:color w:val="auto"/>
          <w:spacing w:val="4"/>
          <w:sz w:val="32"/>
          <w:szCs w:val="32"/>
          <w:lang w:eastAsia="zh-CN"/>
        </w:rPr>
      </w:pPr>
    </w:p>
    <w:p w14:paraId="4F4C6BAB">
      <w:pPr>
        <w:pStyle w:val="55"/>
        <w:widowControl w:val="0"/>
        <w:overflowPunct w:val="0"/>
        <w:rPr>
          <w:rFonts w:hint="eastAsia" w:ascii="黑体" w:hAnsi="黑体" w:eastAsia="黑体" w:cs="黑体"/>
          <w:color w:val="auto"/>
          <w:spacing w:val="4"/>
          <w:sz w:val="32"/>
          <w:szCs w:val="32"/>
          <w:lang w:eastAsia="zh-CN"/>
        </w:rPr>
      </w:pPr>
    </w:p>
    <w:p w14:paraId="41CB54C4">
      <w:pPr>
        <w:pStyle w:val="56"/>
        <w:widowControl w:val="0"/>
        <w:kinsoku w:val="0"/>
        <w:wordWrap/>
        <w:overflowPunct w:val="0"/>
        <w:autoSpaceDE w:val="0"/>
        <w:autoSpaceDN w:val="0"/>
        <w:rPr>
          <w:rFonts w:hint="eastAsia" w:ascii="黑体" w:hAnsi="黑体" w:eastAsia="黑体" w:cs="黑体"/>
          <w:spacing w:val="4"/>
          <w:sz w:val="32"/>
          <w:szCs w:val="32"/>
        </w:rPr>
      </w:pPr>
    </w:p>
    <w:p w14:paraId="307FAE48">
      <w:pPr>
        <w:widowControl w:val="0"/>
        <w:overflowPunct w:val="0"/>
        <w:rPr>
          <w:color w:val="auto"/>
          <w:sz w:val="32"/>
          <w:szCs w:val="32"/>
          <w:lang w:eastAsia="zh-CN"/>
        </w:rPr>
      </w:pPr>
    </w:p>
    <w:p w14:paraId="2D4DDA26">
      <w:pPr>
        <w:pStyle w:val="56"/>
        <w:widowControl w:val="0"/>
        <w:kinsoku w:val="0"/>
        <w:wordWrap/>
        <w:overflowPunct w:val="0"/>
        <w:autoSpaceDE w:val="0"/>
        <w:autoSpaceDN w:val="0"/>
        <w:jc w:val="center"/>
        <w:rPr>
          <w:rFonts w:hint="eastAsia" w:ascii="黑体" w:hAnsi="黑体" w:eastAsia="黑体" w:cs="黑体"/>
          <w:spacing w:val="4"/>
          <w:sz w:val="32"/>
          <w:szCs w:val="32"/>
        </w:rPr>
      </w:pPr>
    </w:p>
    <w:p w14:paraId="1EB69D0D">
      <w:pPr>
        <w:widowControl w:val="0"/>
        <w:overflowPunct w:val="0"/>
        <w:spacing w:line="360" w:lineRule="auto"/>
        <w:jc w:val="center"/>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2025年7月</w:t>
      </w:r>
    </w:p>
    <w:p w14:paraId="5EB3CCDE">
      <w:pPr>
        <w:widowControl w:val="0"/>
        <w:overflowPunct w:val="0"/>
        <w:spacing w:line="760" w:lineRule="exact"/>
        <w:rPr>
          <w:rFonts w:hint="eastAsia" w:ascii="黑体" w:hAnsi="黑体" w:eastAsia="黑体" w:cs="黑体"/>
          <w:color w:val="auto"/>
          <w:spacing w:val="4"/>
          <w:sz w:val="32"/>
          <w:szCs w:val="32"/>
          <w:lang w:eastAsia="zh-CN"/>
        </w:rPr>
      </w:pPr>
      <w:r>
        <w:rPr>
          <w:rFonts w:hint="eastAsia" w:ascii="黑体" w:hAnsi="黑体" w:eastAsia="黑体" w:cs="黑体"/>
          <w:color w:val="auto"/>
          <w:spacing w:val="4"/>
          <w:sz w:val="32"/>
          <w:szCs w:val="32"/>
          <w:lang w:eastAsia="zh-CN"/>
        </w:rPr>
        <w:t xml:space="preserve">   </w:t>
      </w:r>
    </w:p>
    <w:p w14:paraId="32C755FD">
      <w:pPr>
        <w:widowControl w:val="0"/>
        <w:overflowPunct w:val="0"/>
        <w:spacing w:line="760" w:lineRule="exact"/>
        <w:rPr>
          <w:rFonts w:hint="eastAsia" w:ascii="黑体" w:hAnsi="黑体" w:eastAsia="黑体" w:cs="黑体"/>
          <w:color w:val="auto"/>
          <w:spacing w:val="4"/>
          <w:sz w:val="32"/>
          <w:szCs w:val="32"/>
          <w:lang w:eastAsia="zh-CN"/>
        </w:rPr>
      </w:pPr>
    </w:p>
    <w:p w14:paraId="243A8F9F">
      <w:pPr>
        <w:widowControl w:val="0"/>
        <w:overflowPunct w:val="0"/>
        <w:spacing w:line="760" w:lineRule="exact"/>
        <w:jc w:val="center"/>
        <w:rPr>
          <w:rFonts w:hint="eastAsia" w:ascii="黑体" w:hAnsi="黑体" w:eastAsia="黑体" w:cs="黑体"/>
          <w:color w:val="auto"/>
          <w:spacing w:val="4"/>
          <w:sz w:val="32"/>
          <w:szCs w:val="32"/>
          <w:lang w:eastAsia="zh-CN"/>
        </w:rPr>
        <w:sectPr>
          <w:headerReference r:id="rId5" w:type="first"/>
          <w:footerReference r:id="rId8" w:type="first"/>
          <w:headerReference r:id="rId3" w:type="default"/>
          <w:footerReference r:id="rId6" w:type="default"/>
          <w:headerReference r:id="rId4" w:type="even"/>
          <w:footerReference r:id="rId7" w:type="even"/>
          <w:pgSz w:w="11906" w:h="16839"/>
          <w:pgMar w:top="1304" w:right="964" w:bottom="1134" w:left="1593" w:header="0" w:footer="987" w:gutter="0"/>
          <w:cols w:space="720" w:num="1"/>
        </w:sectPr>
      </w:pPr>
      <w:bookmarkStart w:id="9" w:name="_Toc30028"/>
      <w:bookmarkStart w:id="10" w:name="_Toc23378"/>
      <w:bookmarkStart w:id="11" w:name="_Toc15437"/>
      <w:bookmarkStart w:id="12" w:name="_Toc1930"/>
      <w:bookmarkStart w:id="13" w:name="_Toc3359"/>
    </w:p>
    <w:p w14:paraId="75A48FE4">
      <w:pPr>
        <w:widowControl w:val="0"/>
        <w:overflowPunct w:val="0"/>
        <w:spacing w:line="760" w:lineRule="exact"/>
        <w:jc w:val="center"/>
        <w:rPr>
          <w:rFonts w:hint="eastAsia" w:ascii="黑体" w:hAnsi="黑体" w:eastAsia="黑体" w:cs="黑体"/>
          <w:color w:val="auto"/>
          <w:spacing w:val="4"/>
          <w:sz w:val="32"/>
          <w:szCs w:val="32"/>
          <w:lang w:eastAsia="zh-CN"/>
        </w:rPr>
      </w:pPr>
    </w:p>
    <w:p w14:paraId="45310275">
      <w:pPr>
        <w:widowControl w:val="0"/>
        <w:overflowPunct w:val="0"/>
        <w:spacing w:line="760" w:lineRule="exact"/>
        <w:jc w:val="center"/>
        <w:rPr>
          <w:rFonts w:hint="eastAsia" w:ascii="黑体" w:hAnsi="黑体" w:eastAsia="黑体" w:cs="黑体"/>
          <w:color w:val="auto"/>
          <w:spacing w:val="4"/>
          <w:sz w:val="32"/>
          <w:szCs w:val="32"/>
          <w:lang w:eastAsia="zh-CN"/>
        </w:rPr>
      </w:pPr>
      <w:r>
        <w:rPr>
          <w:rFonts w:hint="eastAsia" w:ascii="黑体" w:hAnsi="黑体" w:eastAsia="黑体" w:cs="黑体"/>
          <w:color w:val="auto"/>
          <w:spacing w:val="4"/>
          <w:sz w:val="32"/>
          <w:szCs w:val="32"/>
          <w:lang w:eastAsia="zh-CN"/>
        </w:rPr>
        <w:t>绩效评价工作组人员名单</w:t>
      </w:r>
      <w:bookmarkEnd w:id="9"/>
      <w:bookmarkEnd w:id="10"/>
      <w:bookmarkEnd w:id="11"/>
      <w:bookmarkEnd w:id="12"/>
      <w:bookmarkEnd w:id="13"/>
    </w:p>
    <w:p w14:paraId="04381A40">
      <w:pPr>
        <w:pStyle w:val="55"/>
        <w:widowControl w:val="0"/>
        <w:overflowPunct w:val="0"/>
        <w:rPr>
          <w:color w:val="auto"/>
          <w:sz w:val="16"/>
          <w:szCs w:val="16"/>
          <w:lang w:eastAsia="zh-CN"/>
        </w:rPr>
      </w:pPr>
    </w:p>
    <w:tbl>
      <w:tblPr>
        <w:tblStyle w:val="90"/>
        <w:tblW w:w="8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128"/>
        <w:gridCol w:w="2359"/>
        <w:gridCol w:w="2686"/>
      </w:tblGrid>
      <w:tr w14:paraId="1905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7753B142">
            <w:pPr>
              <w:widowControl w:val="0"/>
              <w:overflowPunct w:val="0"/>
              <w:spacing w:line="760" w:lineRule="exact"/>
              <w:jc w:val="center"/>
              <w:rPr>
                <w:rFonts w:hint="eastAsia" w:ascii="仿宋" w:hAnsi="仿宋" w:eastAsia="仿宋" w:cs="仿宋"/>
                <w:b/>
                <w:bCs/>
                <w:color w:val="auto"/>
                <w:spacing w:val="4"/>
                <w:sz w:val="28"/>
                <w:szCs w:val="28"/>
              </w:rPr>
            </w:pPr>
            <w:r>
              <w:rPr>
                <w:rFonts w:hint="eastAsia" w:ascii="仿宋" w:hAnsi="仿宋" w:eastAsia="仿宋" w:cs="仿宋"/>
                <w:b/>
                <w:bCs/>
                <w:color w:val="auto"/>
                <w:spacing w:val="4"/>
                <w:sz w:val="28"/>
                <w:szCs w:val="28"/>
              </w:rPr>
              <w:t>序号</w:t>
            </w:r>
          </w:p>
        </w:tc>
        <w:tc>
          <w:tcPr>
            <w:tcW w:w="2128" w:type="dxa"/>
          </w:tcPr>
          <w:p w14:paraId="60C43107">
            <w:pPr>
              <w:widowControl w:val="0"/>
              <w:overflowPunct w:val="0"/>
              <w:spacing w:line="760" w:lineRule="exact"/>
              <w:jc w:val="center"/>
              <w:rPr>
                <w:rFonts w:hint="eastAsia" w:ascii="仿宋" w:hAnsi="仿宋" w:eastAsia="仿宋" w:cs="仿宋"/>
                <w:b/>
                <w:bCs/>
                <w:color w:val="auto"/>
                <w:spacing w:val="4"/>
                <w:sz w:val="28"/>
                <w:szCs w:val="28"/>
              </w:rPr>
            </w:pPr>
            <w:r>
              <w:rPr>
                <w:rFonts w:hint="eastAsia" w:ascii="仿宋" w:hAnsi="仿宋" w:eastAsia="仿宋" w:cs="仿宋"/>
                <w:b/>
                <w:bCs/>
                <w:color w:val="auto"/>
                <w:spacing w:val="4"/>
                <w:sz w:val="28"/>
                <w:szCs w:val="28"/>
              </w:rPr>
              <w:t>职务</w:t>
            </w:r>
          </w:p>
        </w:tc>
        <w:tc>
          <w:tcPr>
            <w:tcW w:w="2359" w:type="dxa"/>
          </w:tcPr>
          <w:p w14:paraId="6199C3B7">
            <w:pPr>
              <w:widowControl w:val="0"/>
              <w:overflowPunct w:val="0"/>
              <w:spacing w:line="760" w:lineRule="exact"/>
              <w:jc w:val="center"/>
              <w:rPr>
                <w:rFonts w:hint="eastAsia" w:ascii="仿宋" w:hAnsi="仿宋" w:eastAsia="仿宋" w:cs="仿宋"/>
                <w:b/>
                <w:bCs/>
                <w:color w:val="auto"/>
                <w:spacing w:val="4"/>
                <w:sz w:val="28"/>
                <w:szCs w:val="28"/>
              </w:rPr>
            </w:pPr>
            <w:r>
              <w:rPr>
                <w:rFonts w:hint="eastAsia" w:ascii="仿宋" w:hAnsi="仿宋" w:eastAsia="仿宋" w:cs="仿宋"/>
                <w:b/>
                <w:bCs/>
                <w:color w:val="auto"/>
                <w:spacing w:val="4"/>
                <w:sz w:val="28"/>
                <w:szCs w:val="28"/>
              </w:rPr>
              <w:t>姓名</w:t>
            </w:r>
          </w:p>
        </w:tc>
        <w:tc>
          <w:tcPr>
            <w:tcW w:w="2686" w:type="dxa"/>
          </w:tcPr>
          <w:p w14:paraId="62F62C14">
            <w:pPr>
              <w:widowControl w:val="0"/>
              <w:overflowPunct w:val="0"/>
              <w:spacing w:line="760" w:lineRule="exact"/>
              <w:jc w:val="center"/>
              <w:rPr>
                <w:rFonts w:hint="eastAsia" w:ascii="仿宋" w:hAnsi="仿宋" w:eastAsia="仿宋" w:cs="仿宋"/>
                <w:b/>
                <w:bCs/>
                <w:color w:val="auto"/>
                <w:spacing w:val="4"/>
                <w:sz w:val="28"/>
                <w:szCs w:val="28"/>
              </w:rPr>
            </w:pPr>
            <w:r>
              <w:rPr>
                <w:rFonts w:hint="eastAsia" w:ascii="仿宋" w:hAnsi="仿宋" w:eastAsia="仿宋" w:cs="仿宋"/>
                <w:b/>
                <w:bCs/>
                <w:color w:val="auto"/>
                <w:spacing w:val="4"/>
                <w:sz w:val="28"/>
                <w:szCs w:val="28"/>
              </w:rPr>
              <w:t>联系方式</w:t>
            </w:r>
          </w:p>
        </w:tc>
      </w:tr>
      <w:tr w14:paraId="1840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417" w:type="dxa"/>
          </w:tcPr>
          <w:p w14:paraId="131498B8">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1</w:t>
            </w:r>
          </w:p>
        </w:tc>
        <w:tc>
          <w:tcPr>
            <w:tcW w:w="2128" w:type="dxa"/>
          </w:tcPr>
          <w:p w14:paraId="18339626">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组长</w:t>
            </w:r>
          </w:p>
        </w:tc>
        <w:tc>
          <w:tcPr>
            <w:tcW w:w="2359" w:type="dxa"/>
          </w:tcPr>
          <w:p w14:paraId="0E13F857">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徐本玉</w:t>
            </w:r>
          </w:p>
        </w:tc>
        <w:tc>
          <w:tcPr>
            <w:tcW w:w="2686" w:type="dxa"/>
          </w:tcPr>
          <w:p w14:paraId="2F2ACE7D">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18606955277</w:t>
            </w:r>
          </w:p>
        </w:tc>
      </w:tr>
      <w:tr w14:paraId="34E9D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793CF4FB">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2</w:t>
            </w:r>
          </w:p>
        </w:tc>
        <w:tc>
          <w:tcPr>
            <w:tcW w:w="2128" w:type="dxa"/>
          </w:tcPr>
          <w:p w14:paraId="328F3B2B">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副组长</w:t>
            </w:r>
          </w:p>
        </w:tc>
        <w:tc>
          <w:tcPr>
            <w:tcW w:w="2359" w:type="dxa"/>
          </w:tcPr>
          <w:p w14:paraId="3BDDAF5F">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卢婉芳</w:t>
            </w:r>
          </w:p>
        </w:tc>
        <w:tc>
          <w:tcPr>
            <w:tcW w:w="2686" w:type="dxa"/>
          </w:tcPr>
          <w:p w14:paraId="429DA5AE">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rPr>
              <w:t>15060965456</w:t>
            </w:r>
          </w:p>
        </w:tc>
      </w:tr>
      <w:tr w14:paraId="6BA0A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0A51B1E6">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3</w:t>
            </w:r>
          </w:p>
        </w:tc>
        <w:tc>
          <w:tcPr>
            <w:tcW w:w="2128" w:type="dxa"/>
          </w:tcPr>
          <w:p w14:paraId="7B22806B">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副组长</w:t>
            </w:r>
          </w:p>
        </w:tc>
        <w:tc>
          <w:tcPr>
            <w:tcW w:w="2359" w:type="dxa"/>
          </w:tcPr>
          <w:p w14:paraId="75A58E17">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lang w:eastAsia="zh-CN"/>
              </w:rPr>
              <w:t>黄诚永</w:t>
            </w:r>
          </w:p>
        </w:tc>
        <w:tc>
          <w:tcPr>
            <w:tcW w:w="2686" w:type="dxa"/>
          </w:tcPr>
          <w:p w14:paraId="6B49070F">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lang w:eastAsia="zh-CN"/>
              </w:rPr>
              <w:t>15559037665</w:t>
            </w:r>
          </w:p>
        </w:tc>
      </w:tr>
      <w:tr w14:paraId="17EE3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0DB17249">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4</w:t>
            </w:r>
          </w:p>
        </w:tc>
        <w:tc>
          <w:tcPr>
            <w:tcW w:w="2128" w:type="dxa"/>
          </w:tcPr>
          <w:p w14:paraId="6B7A242C">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14:paraId="47CA9B07">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陈晓彬</w:t>
            </w:r>
          </w:p>
        </w:tc>
        <w:tc>
          <w:tcPr>
            <w:tcW w:w="2686" w:type="dxa"/>
          </w:tcPr>
          <w:p w14:paraId="42AA3CE0">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15960567231</w:t>
            </w:r>
          </w:p>
        </w:tc>
      </w:tr>
      <w:tr w14:paraId="61D9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8812DE3">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5</w:t>
            </w:r>
          </w:p>
        </w:tc>
        <w:tc>
          <w:tcPr>
            <w:tcW w:w="2128" w:type="dxa"/>
          </w:tcPr>
          <w:p w14:paraId="7ECA2ACA">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14:paraId="2CD8729B">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刘凤阳</w:t>
            </w:r>
          </w:p>
        </w:tc>
        <w:tc>
          <w:tcPr>
            <w:tcW w:w="2686" w:type="dxa"/>
          </w:tcPr>
          <w:p w14:paraId="06B17B74">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13348313607</w:t>
            </w:r>
          </w:p>
        </w:tc>
      </w:tr>
      <w:tr w14:paraId="0C7D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7BC5C2A4">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6</w:t>
            </w:r>
          </w:p>
        </w:tc>
        <w:tc>
          <w:tcPr>
            <w:tcW w:w="2128" w:type="dxa"/>
          </w:tcPr>
          <w:p w14:paraId="6CC91B0A">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14:paraId="7A1F4C6F">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李英</w:t>
            </w:r>
          </w:p>
        </w:tc>
        <w:tc>
          <w:tcPr>
            <w:tcW w:w="2686" w:type="dxa"/>
          </w:tcPr>
          <w:p w14:paraId="1DC43DA1">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19959520670</w:t>
            </w:r>
          </w:p>
        </w:tc>
      </w:tr>
      <w:tr w14:paraId="1A5B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582390E">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7</w:t>
            </w:r>
          </w:p>
        </w:tc>
        <w:tc>
          <w:tcPr>
            <w:tcW w:w="2128" w:type="dxa"/>
          </w:tcPr>
          <w:p w14:paraId="5FD393B1">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14:paraId="52D5E3B0">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施沛芸</w:t>
            </w:r>
          </w:p>
        </w:tc>
        <w:tc>
          <w:tcPr>
            <w:tcW w:w="2686" w:type="dxa"/>
          </w:tcPr>
          <w:p w14:paraId="728CB079">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13960474685</w:t>
            </w:r>
          </w:p>
        </w:tc>
      </w:tr>
      <w:tr w14:paraId="3786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2D9CB5">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8</w:t>
            </w:r>
          </w:p>
        </w:tc>
        <w:tc>
          <w:tcPr>
            <w:tcW w:w="2128" w:type="dxa"/>
          </w:tcPr>
          <w:p w14:paraId="77E1A66A">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14:paraId="26BA2878">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林善英</w:t>
            </w:r>
          </w:p>
        </w:tc>
        <w:tc>
          <w:tcPr>
            <w:tcW w:w="2686" w:type="dxa"/>
          </w:tcPr>
          <w:p w14:paraId="4EAF5617">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18650271107</w:t>
            </w:r>
          </w:p>
        </w:tc>
      </w:tr>
      <w:tr w14:paraId="3796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F5C52BE">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9</w:t>
            </w:r>
          </w:p>
        </w:tc>
        <w:tc>
          <w:tcPr>
            <w:tcW w:w="2128" w:type="dxa"/>
          </w:tcPr>
          <w:p w14:paraId="53DF12E5">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14:paraId="2FE4CD29">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rPr>
              <w:t>王燕燕</w:t>
            </w:r>
          </w:p>
        </w:tc>
        <w:tc>
          <w:tcPr>
            <w:tcW w:w="2686" w:type="dxa"/>
          </w:tcPr>
          <w:p w14:paraId="779F5BEF">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17850999589</w:t>
            </w:r>
          </w:p>
        </w:tc>
      </w:tr>
      <w:tr w14:paraId="17EBB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EA7E620">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10</w:t>
            </w:r>
          </w:p>
        </w:tc>
        <w:tc>
          <w:tcPr>
            <w:tcW w:w="2128" w:type="dxa"/>
          </w:tcPr>
          <w:p w14:paraId="7A3416EA">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组员</w:t>
            </w:r>
          </w:p>
        </w:tc>
        <w:tc>
          <w:tcPr>
            <w:tcW w:w="2359" w:type="dxa"/>
          </w:tcPr>
          <w:p w14:paraId="3B5FFF2D">
            <w:pPr>
              <w:widowControl w:val="0"/>
              <w:overflowPunct w:val="0"/>
              <w:spacing w:line="760" w:lineRule="exact"/>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8"/>
                <w:szCs w:val="28"/>
                <w:lang w:eastAsia="zh-CN"/>
              </w:rPr>
              <w:t>吴劲榕</w:t>
            </w:r>
          </w:p>
        </w:tc>
        <w:tc>
          <w:tcPr>
            <w:tcW w:w="2686" w:type="dxa"/>
          </w:tcPr>
          <w:p w14:paraId="6CCD380A">
            <w:pPr>
              <w:widowControl w:val="0"/>
              <w:overflowPunct w:val="0"/>
              <w:spacing w:line="760" w:lineRule="exact"/>
              <w:jc w:val="center"/>
              <w:rPr>
                <w:rFonts w:hint="eastAsia" w:ascii="仿宋" w:hAnsi="仿宋" w:eastAsia="仿宋" w:cs="仿宋"/>
                <w:color w:val="auto"/>
                <w:spacing w:val="4"/>
                <w:sz w:val="28"/>
                <w:szCs w:val="28"/>
                <w:lang w:eastAsia="zh-CN"/>
              </w:rPr>
            </w:pPr>
            <w:r>
              <w:rPr>
                <w:rFonts w:hint="eastAsia" w:ascii="仿宋" w:hAnsi="仿宋" w:eastAsia="仿宋" w:cs="仿宋"/>
                <w:color w:val="auto"/>
                <w:spacing w:val="4"/>
                <w:sz w:val="28"/>
                <w:szCs w:val="28"/>
                <w:lang w:eastAsia="zh-CN"/>
              </w:rPr>
              <w:t>19859000926</w:t>
            </w:r>
          </w:p>
        </w:tc>
      </w:tr>
    </w:tbl>
    <w:p w14:paraId="48ED1627">
      <w:pPr>
        <w:widowControl w:val="0"/>
        <w:overflowPunct w:val="0"/>
        <w:jc w:val="center"/>
        <w:rPr>
          <w:rFonts w:hint="eastAsia" w:ascii="黑体" w:hAnsi="黑体" w:eastAsia="黑体" w:cs="黑体"/>
          <w:color w:val="auto"/>
          <w:sz w:val="28"/>
          <w:szCs w:val="28"/>
        </w:rPr>
      </w:pPr>
    </w:p>
    <w:p w14:paraId="4A77BB05">
      <w:pPr>
        <w:kinsoku/>
        <w:autoSpaceDE/>
        <w:autoSpaceDN/>
        <w:adjustRightInd/>
        <w:snapToGrid/>
        <w:textAlignment w:val="auto"/>
        <w:rPr>
          <w:rFonts w:hint="eastAsia" w:ascii="仿宋" w:hAnsi="仿宋" w:eastAsia="仿宋" w:cs="仿宋"/>
          <w:color w:val="auto"/>
          <w:spacing w:val="-2"/>
          <w:sz w:val="28"/>
          <w:szCs w:val="28"/>
          <w:lang w:eastAsia="zh-CN"/>
        </w:rPr>
      </w:pPr>
      <w:r>
        <w:rPr>
          <w:rFonts w:hint="eastAsia" w:ascii="仿宋" w:hAnsi="仿宋" w:eastAsia="仿宋" w:cs="仿宋"/>
          <w:color w:val="auto"/>
          <w:spacing w:val="-2"/>
          <w:sz w:val="28"/>
          <w:szCs w:val="28"/>
          <w:lang w:eastAsia="zh-CN"/>
        </w:rPr>
        <w:br w:type="page"/>
      </w:r>
    </w:p>
    <w:sdt>
      <w:sdtPr>
        <w:rPr>
          <w:rFonts w:ascii="Arial" w:hAnsi="Arial" w:eastAsia="Arial" w:cs="Arial"/>
          <w:snapToGrid w:val="0"/>
          <w:color w:val="000000"/>
          <w:sz w:val="21"/>
          <w:szCs w:val="21"/>
          <w:lang w:val="zh-CN" w:eastAsia="en-US"/>
        </w:rPr>
        <w:id w:val="1405872457"/>
        <w:docPartObj>
          <w:docPartGallery w:val="Table of Contents"/>
          <w:docPartUnique/>
        </w:docPartObj>
      </w:sdtPr>
      <w:sdtEndPr>
        <w:rPr>
          <w:rFonts w:ascii="仿宋" w:hAnsi="仿宋" w:eastAsia="仿宋" w:cs="Arial"/>
          <w:snapToGrid w:val="0"/>
          <w:color w:val="000000"/>
          <w:sz w:val="24"/>
          <w:szCs w:val="24"/>
          <w:lang w:val="zh-CN" w:eastAsia="en-US"/>
        </w:rPr>
      </w:sdtEndPr>
      <w:sdtContent>
        <w:p w14:paraId="6E4E9B63">
          <w:pPr>
            <w:pStyle w:val="813"/>
            <w:spacing w:line="360" w:lineRule="auto"/>
            <w:jc w:val="center"/>
            <w:rPr>
              <w:rFonts w:hint="eastAsia" w:ascii="仿宋" w:hAnsi="仿宋" w:eastAsia="仿宋"/>
              <w:b/>
              <w:bCs/>
              <w:color w:val="auto"/>
              <w:sz w:val="24"/>
              <w:szCs w:val="24"/>
            </w:rPr>
          </w:pPr>
          <w:r>
            <w:rPr>
              <w:rFonts w:ascii="仿宋" w:hAnsi="仿宋" w:eastAsia="仿宋"/>
              <w:b/>
              <w:bCs/>
              <w:color w:val="auto"/>
              <w:sz w:val="24"/>
              <w:szCs w:val="24"/>
              <w:lang w:val="zh-CN"/>
            </w:rPr>
            <w:t>目录</w:t>
          </w:r>
        </w:p>
        <w:p w14:paraId="14617073">
          <w:pPr>
            <w:pStyle w:val="60"/>
            <w:tabs>
              <w:tab w:val="right" w:leader="dot" w:pos="9339"/>
            </w:tabs>
            <w:spacing w:line="360" w:lineRule="auto"/>
            <w:rPr>
              <w:rStyle w:val="473"/>
              <w:rFonts w:cs="仿宋"/>
              <w:spacing w:val="-2"/>
            </w:rPr>
          </w:pPr>
          <w:r>
            <w:rPr>
              <w:rStyle w:val="473"/>
              <w:rFonts w:ascii="仿宋" w:hAnsi="仿宋" w:eastAsia="仿宋" w:cs="仿宋"/>
              <w:sz w:val="24"/>
              <w:szCs w:val="24"/>
              <w:lang w:eastAsia="zh-CN"/>
            </w:rPr>
            <w:fldChar w:fldCharType="begin"/>
          </w:r>
          <w:r>
            <w:rPr>
              <w:rStyle w:val="473"/>
              <w:rFonts w:ascii="仿宋" w:hAnsi="仿宋" w:eastAsia="仿宋" w:cs="仿宋"/>
              <w:sz w:val="24"/>
              <w:szCs w:val="24"/>
              <w:lang w:eastAsia="zh-CN"/>
            </w:rPr>
            <w:instrText xml:space="preserve"> TOC \o "1-3" \h \z \u </w:instrText>
          </w:r>
          <w:r>
            <w:rPr>
              <w:rStyle w:val="473"/>
              <w:rFonts w:ascii="仿宋" w:hAnsi="仿宋" w:eastAsia="仿宋" w:cs="仿宋"/>
              <w:sz w:val="24"/>
              <w:szCs w:val="24"/>
              <w:lang w:eastAsia="zh-CN"/>
            </w:rPr>
            <w:fldChar w:fldCharType="separate"/>
          </w:r>
          <w:r>
            <w:fldChar w:fldCharType="begin"/>
          </w:r>
          <w:r>
            <w:instrText xml:space="preserve"> HYPERLINK \l "_Toc208840309" </w:instrText>
          </w:r>
          <w:r>
            <w:fldChar w:fldCharType="separate"/>
          </w:r>
          <w:r>
            <w:rPr>
              <w:rStyle w:val="473"/>
              <w:rFonts w:hint="eastAsia" w:ascii="仿宋" w:hAnsi="仿宋" w:eastAsia="仿宋" w:cs="仿宋"/>
              <w:spacing w:val="-2"/>
              <w:sz w:val="24"/>
              <w:szCs w:val="24"/>
              <w:lang w:eastAsia="zh-CN"/>
            </w:rPr>
            <w:t>一、部门概况</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_Toc208840309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4</w:t>
          </w:r>
          <w:r>
            <w:rPr>
              <w:rStyle w:val="473"/>
              <w:rFonts w:hint="eastAsia" w:cs="仿宋"/>
              <w:spacing w:val="-2"/>
              <w:lang w:eastAsia="zh-CN"/>
            </w:rPr>
            <w:fldChar w:fldCharType="end"/>
          </w:r>
          <w:r>
            <w:rPr>
              <w:rStyle w:val="473"/>
              <w:rFonts w:hint="eastAsia" w:cs="仿宋"/>
              <w:spacing w:val="-2"/>
              <w:lang w:eastAsia="zh-CN"/>
            </w:rPr>
            <w:fldChar w:fldCharType="end"/>
          </w:r>
        </w:p>
        <w:p w14:paraId="7923B6C7">
          <w:pPr>
            <w:pStyle w:val="75"/>
            <w:tabs>
              <w:tab w:val="right" w:leader="dot" w:pos="9339"/>
            </w:tabs>
            <w:spacing w:line="360" w:lineRule="auto"/>
            <w:rPr>
              <w:rStyle w:val="473"/>
              <w:rFonts w:cs="仿宋"/>
              <w:spacing w:val="-2"/>
            </w:rPr>
          </w:pPr>
          <w:r>
            <w:fldChar w:fldCharType="begin"/>
          </w:r>
          <w:r>
            <w:instrText xml:space="preserve"> HYPERLINK \l "_Toc208840310" </w:instrText>
          </w:r>
          <w:r>
            <w:fldChar w:fldCharType="separate"/>
          </w:r>
          <w:r>
            <w:rPr>
              <w:rStyle w:val="473"/>
              <w:rFonts w:hint="eastAsia" w:ascii="仿宋" w:hAnsi="仿宋" w:eastAsia="仿宋" w:cs="仿宋"/>
              <w:spacing w:val="-2"/>
              <w:sz w:val="24"/>
              <w:szCs w:val="24"/>
              <w:lang w:eastAsia="zh-CN"/>
            </w:rPr>
            <w:t>（一）主要职责</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_Toc208840310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4</w:t>
          </w:r>
          <w:r>
            <w:rPr>
              <w:rStyle w:val="473"/>
              <w:rFonts w:hint="eastAsia" w:cs="仿宋"/>
              <w:spacing w:val="-2"/>
              <w:lang w:eastAsia="zh-CN"/>
            </w:rPr>
            <w:fldChar w:fldCharType="end"/>
          </w:r>
          <w:r>
            <w:rPr>
              <w:rStyle w:val="473"/>
              <w:rFonts w:hint="eastAsia" w:cs="仿宋"/>
              <w:spacing w:val="-2"/>
              <w:lang w:eastAsia="zh-CN"/>
            </w:rPr>
            <w:fldChar w:fldCharType="end"/>
          </w:r>
        </w:p>
        <w:p w14:paraId="6A27E9AD">
          <w:pPr>
            <w:pStyle w:val="75"/>
            <w:tabs>
              <w:tab w:val="right" w:leader="dot" w:pos="9339"/>
            </w:tabs>
            <w:spacing w:line="360" w:lineRule="auto"/>
            <w:rPr>
              <w:rStyle w:val="473"/>
              <w:rFonts w:cs="仿宋"/>
              <w:spacing w:val="-2"/>
            </w:rPr>
          </w:pPr>
          <w:r>
            <w:fldChar w:fldCharType="begin"/>
          </w:r>
          <w:r>
            <w:instrText xml:space="preserve"> HYPERLINK \l "_Toc208840311" </w:instrText>
          </w:r>
          <w:r>
            <w:fldChar w:fldCharType="separate"/>
          </w:r>
          <w:r>
            <w:rPr>
              <w:rStyle w:val="473"/>
              <w:rFonts w:hint="eastAsia" w:ascii="仿宋" w:hAnsi="仿宋" w:eastAsia="仿宋" w:cs="仿宋"/>
              <w:spacing w:val="-2"/>
              <w:sz w:val="24"/>
              <w:szCs w:val="24"/>
              <w:lang w:eastAsia="zh-CN"/>
            </w:rPr>
            <w:t>（二）单位构成及人员结构</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_Toc208840311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7</w:t>
          </w:r>
          <w:r>
            <w:rPr>
              <w:rStyle w:val="473"/>
              <w:rFonts w:hint="eastAsia" w:cs="仿宋"/>
              <w:spacing w:val="-2"/>
              <w:lang w:eastAsia="zh-CN"/>
            </w:rPr>
            <w:fldChar w:fldCharType="end"/>
          </w:r>
          <w:r>
            <w:rPr>
              <w:rStyle w:val="473"/>
              <w:rFonts w:hint="eastAsia" w:cs="仿宋"/>
              <w:spacing w:val="-2"/>
              <w:lang w:eastAsia="zh-CN"/>
            </w:rPr>
            <w:fldChar w:fldCharType="end"/>
          </w:r>
        </w:p>
        <w:p w14:paraId="183C7594">
          <w:pPr>
            <w:pStyle w:val="75"/>
            <w:tabs>
              <w:tab w:val="right" w:leader="dot" w:pos="9339"/>
            </w:tabs>
            <w:spacing w:line="360" w:lineRule="auto"/>
            <w:rPr>
              <w:rStyle w:val="473"/>
              <w:rFonts w:cs="仿宋"/>
              <w:spacing w:val="-2"/>
            </w:rPr>
          </w:pPr>
          <w:r>
            <w:fldChar w:fldCharType="begin"/>
          </w:r>
          <w:r>
            <w:instrText xml:space="preserve"> HYPERLINK \l "_Toc208840312" </w:instrText>
          </w:r>
          <w:r>
            <w:fldChar w:fldCharType="separate"/>
          </w:r>
          <w:r>
            <w:rPr>
              <w:rStyle w:val="473"/>
              <w:rFonts w:hint="eastAsia" w:ascii="仿宋" w:hAnsi="仿宋" w:eastAsia="仿宋" w:cs="仿宋"/>
              <w:spacing w:val="-2"/>
              <w:sz w:val="24"/>
              <w:szCs w:val="24"/>
              <w:lang w:eastAsia="zh-CN"/>
            </w:rPr>
            <w:t>（三）部门管理制度</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_Toc208840312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9</w:t>
          </w:r>
          <w:r>
            <w:rPr>
              <w:rStyle w:val="473"/>
              <w:rFonts w:hint="eastAsia" w:cs="仿宋"/>
              <w:spacing w:val="-2"/>
              <w:lang w:eastAsia="zh-CN"/>
            </w:rPr>
            <w:fldChar w:fldCharType="end"/>
          </w:r>
          <w:r>
            <w:rPr>
              <w:rStyle w:val="473"/>
              <w:rFonts w:hint="eastAsia" w:cs="仿宋"/>
              <w:spacing w:val="-2"/>
              <w:lang w:eastAsia="zh-CN"/>
            </w:rPr>
            <w:fldChar w:fldCharType="end"/>
          </w:r>
        </w:p>
        <w:p w14:paraId="62777F89">
          <w:pPr>
            <w:pStyle w:val="75"/>
            <w:tabs>
              <w:tab w:val="right" w:leader="dot" w:pos="9339"/>
            </w:tabs>
            <w:spacing w:line="360" w:lineRule="auto"/>
            <w:rPr>
              <w:rStyle w:val="473"/>
              <w:rFonts w:cs="仿宋"/>
              <w:spacing w:val="-2"/>
            </w:rPr>
          </w:pPr>
          <w:r>
            <w:fldChar w:fldCharType="begin"/>
          </w:r>
          <w:r>
            <w:instrText xml:space="preserve"> HYPERLINK \l "_Toc208840313" </w:instrText>
          </w:r>
          <w:r>
            <w:fldChar w:fldCharType="separate"/>
          </w:r>
          <w:r>
            <w:rPr>
              <w:rStyle w:val="473"/>
              <w:rFonts w:hint="eastAsia" w:ascii="仿宋" w:hAnsi="仿宋" w:eastAsia="仿宋" w:cs="仿宋"/>
              <w:spacing w:val="-2"/>
              <w:sz w:val="24"/>
              <w:szCs w:val="24"/>
              <w:lang w:eastAsia="zh-CN"/>
            </w:rPr>
            <w:t>（四）部门整体收支情况</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_Toc208840313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9</w:t>
          </w:r>
          <w:r>
            <w:rPr>
              <w:rStyle w:val="473"/>
              <w:rFonts w:hint="eastAsia" w:cs="仿宋"/>
              <w:spacing w:val="-2"/>
              <w:lang w:eastAsia="zh-CN"/>
            </w:rPr>
            <w:fldChar w:fldCharType="end"/>
          </w:r>
          <w:r>
            <w:rPr>
              <w:rStyle w:val="473"/>
              <w:rFonts w:hint="eastAsia" w:cs="仿宋"/>
              <w:spacing w:val="-2"/>
              <w:lang w:eastAsia="zh-CN"/>
            </w:rPr>
            <w:fldChar w:fldCharType="end"/>
          </w:r>
        </w:p>
        <w:p w14:paraId="1D64A3A2">
          <w:pPr>
            <w:pStyle w:val="45"/>
            <w:tabs>
              <w:tab w:val="right" w:leader="dot" w:pos="9339"/>
            </w:tabs>
            <w:spacing w:line="360" w:lineRule="auto"/>
            <w:rPr>
              <w:rStyle w:val="473"/>
              <w:rFonts w:cs="仿宋"/>
              <w:spacing w:val="-2"/>
            </w:rPr>
          </w:pPr>
          <w:r>
            <w:fldChar w:fldCharType="begin"/>
          </w:r>
          <w:r>
            <w:instrText xml:space="preserve"> HYPERLINK \l "_Toc208840314" </w:instrText>
          </w:r>
          <w:r>
            <w:fldChar w:fldCharType="separate"/>
          </w:r>
          <w:r>
            <w:rPr>
              <w:rStyle w:val="473"/>
              <w:rFonts w:hint="eastAsia" w:ascii="仿宋" w:hAnsi="仿宋" w:eastAsia="仿宋" w:cs="仿宋"/>
              <w:spacing w:val="-2"/>
              <w:sz w:val="24"/>
              <w:szCs w:val="24"/>
              <w:lang w:eastAsia="zh-CN"/>
            </w:rPr>
            <w:t>1.资金预算和执行情况</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_Toc208840314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9</w:t>
          </w:r>
          <w:r>
            <w:rPr>
              <w:rStyle w:val="473"/>
              <w:rFonts w:hint="eastAsia" w:cs="仿宋"/>
              <w:spacing w:val="-2"/>
              <w:lang w:eastAsia="zh-CN"/>
            </w:rPr>
            <w:fldChar w:fldCharType="end"/>
          </w:r>
          <w:r>
            <w:rPr>
              <w:rStyle w:val="473"/>
              <w:rFonts w:hint="eastAsia" w:cs="仿宋"/>
              <w:spacing w:val="-2"/>
              <w:lang w:eastAsia="zh-CN"/>
            </w:rPr>
            <w:fldChar w:fldCharType="end"/>
          </w:r>
        </w:p>
        <w:p w14:paraId="38E630CE">
          <w:pPr>
            <w:pStyle w:val="45"/>
            <w:tabs>
              <w:tab w:val="right" w:leader="dot" w:pos="9339"/>
            </w:tabs>
            <w:spacing w:line="360" w:lineRule="auto"/>
            <w:rPr>
              <w:rStyle w:val="473"/>
              <w:rFonts w:cs="仿宋"/>
              <w:spacing w:val="-2"/>
            </w:rPr>
          </w:pPr>
          <w:r>
            <w:fldChar w:fldCharType="begin"/>
          </w:r>
          <w:r>
            <w:instrText xml:space="preserve"> HYPERLINK \l "_Toc208840315" </w:instrText>
          </w:r>
          <w:r>
            <w:fldChar w:fldCharType="separate"/>
          </w:r>
          <w:r>
            <w:rPr>
              <w:rStyle w:val="473"/>
              <w:rFonts w:hint="eastAsia" w:ascii="仿宋" w:hAnsi="仿宋" w:eastAsia="仿宋" w:cs="仿宋"/>
              <w:spacing w:val="-2"/>
              <w:sz w:val="24"/>
              <w:szCs w:val="24"/>
              <w:lang w:eastAsia="zh-CN"/>
            </w:rPr>
            <w:t>2.资金年度调剂情况</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_Toc208840315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10</w:t>
          </w:r>
          <w:r>
            <w:rPr>
              <w:rStyle w:val="473"/>
              <w:rFonts w:hint="eastAsia" w:cs="仿宋"/>
              <w:spacing w:val="-2"/>
              <w:lang w:eastAsia="zh-CN"/>
            </w:rPr>
            <w:fldChar w:fldCharType="end"/>
          </w:r>
          <w:r>
            <w:rPr>
              <w:rStyle w:val="473"/>
              <w:rFonts w:hint="eastAsia" w:cs="仿宋"/>
              <w:spacing w:val="-2"/>
              <w:lang w:eastAsia="zh-CN"/>
            </w:rPr>
            <w:fldChar w:fldCharType="end"/>
          </w:r>
        </w:p>
        <w:p w14:paraId="71EB1617">
          <w:pPr>
            <w:pStyle w:val="45"/>
            <w:tabs>
              <w:tab w:val="right" w:leader="dot" w:pos="9339"/>
            </w:tabs>
            <w:spacing w:line="360" w:lineRule="auto"/>
            <w:rPr>
              <w:rStyle w:val="473"/>
              <w:rFonts w:cs="仿宋"/>
              <w:spacing w:val="-2"/>
            </w:rPr>
          </w:pPr>
          <w:r>
            <w:fldChar w:fldCharType="begin"/>
          </w:r>
          <w:r>
            <w:instrText xml:space="preserve"> HYPERLINK \l "_Toc208840316" </w:instrText>
          </w:r>
          <w:r>
            <w:fldChar w:fldCharType="separate"/>
          </w:r>
          <w:r>
            <w:rPr>
              <w:rStyle w:val="473"/>
              <w:rFonts w:hint="eastAsia" w:ascii="仿宋" w:hAnsi="仿宋" w:eastAsia="仿宋" w:cs="仿宋"/>
              <w:spacing w:val="-2"/>
              <w:sz w:val="24"/>
              <w:szCs w:val="24"/>
              <w:lang w:eastAsia="zh-CN"/>
            </w:rPr>
            <w:t>3.资金预算执行情况</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_Toc208840316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10</w:t>
          </w:r>
          <w:r>
            <w:rPr>
              <w:rStyle w:val="473"/>
              <w:rFonts w:hint="eastAsia" w:cs="仿宋"/>
              <w:spacing w:val="-2"/>
              <w:lang w:eastAsia="zh-CN"/>
            </w:rPr>
            <w:fldChar w:fldCharType="end"/>
          </w:r>
          <w:r>
            <w:rPr>
              <w:rStyle w:val="473"/>
              <w:rFonts w:hint="eastAsia" w:cs="仿宋"/>
              <w:spacing w:val="-2"/>
              <w:lang w:eastAsia="zh-CN"/>
            </w:rPr>
            <w:fldChar w:fldCharType="end"/>
          </w:r>
        </w:p>
        <w:p w14:paraId="62BB6697">
          <w:pPr>
            <w:pStyle w:val="45"/>
            <w:tabs>
              <w:tab w:val="right" w:leader="dot" w:pos="9339"/>
            </w:tabs>
            <w:spacing w:line="360" w:lineRule="auto"/>
            <w:rPr>
              <w:rStyle w:val="473"/>
              <w:rFonts w:cs="仿宋"/>
              <w:spacing w:val="-2"/>
            </w:rPr>
          </w:pPr>
          <w:r>
            <w:fldChar w:fldCharType="begin"/>
          </w:r>
          <w:r>
            <w:instrText xml:space="preserve"> HYPERLINK \l "_Toc208840317" </w:instrText>
          </w:r>
          <w:r>
            <w:fldChar w:fldCharType="separate"/>
          </w:r>
          <w:r>
            <w:rPr>
              <w:rStyle w:val="473"/>
              <w:rFonts w:hint="eastAsia" w:ascii="仿宋" w:hAnsi="仿宋" w:eastAsia="仿宋" w:cs="仿宋"/>
              <w:spacing w:val="-2"/>
              <w:sz w:val="24"/>
              <w:szCs w:val="24"/>
              <w:lang w:eastAsia="zh-CN"/>
            </w:rPr>
            <w:t>4.资金结余情况</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_Toc208840317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10</w:t>
          </w:r>
          <w:r>
            <w:rPr>
              <w:rStyle w:val="473"/>
              <w:rFonts w:hint="eastAsia" w:cs="仿宋"/>
              <w:spacing w:val="-2"/>
              <w:lang w:eastAsia="zh-CN"/>
            </w:rPr>
            <w:fldChar w:fldCharType="end"/>
          </w:r>
          <w:r>
            <w:rPr>
              <w:rStyle w:val="473"/>
              <w:rFonts w:hint="eastAsia" w:cs="仿宋"/>
              <w:spacing w:val="-2"/>
              <w:lang w:eastAsia="zh-CN"/>
            </w:rPr>
            <w:fldChar w:fldCharType="end"/>
          </w:r>
        </w:p>
        <w:p w14:paraId="4A5BA0F9">
          <w:pPr>
            <w:pStyle w:val="60"/>
            <w:tabs>
              <w:tab w:val="right" w:leader="dot" w:pos="9339"/>
            </w:tabs>
            <w:spacing w:line="360" w:lineRule="auto"/>
            <w:rPr>
              <w:rStyle w:val="473"/>
              <w:rFonts w:cs="仿宋"/>
              <w:spacing w:val="-2"/>
            </w:rPr>
          </w:pPr>
          <w:r>
            <w:fldChar w:fldCharType="begin"/>
          </w:r>
          <w:r>
            <w:instrText xml:space="preserve"> HYPERLINK \l "_Toc208840318" </w:instrText>
          </w:r>
          <w:r>
            <w:fldChar w:fldCharType="separate"/>
          </w:r>
          <w:r>
            <w:rPr>
              <w:rStyle w:val="473"/>
              <w:rFonts w:hint="eastAsia" w:ascii="仿宋" w:hAnsi="仿宋" w:eastAsia="仿宋" w:cs="仿宋"/>
              <w:spacing w:val="-2"/>
              <w:sz w:val="24"/>
              <w:szCs w:val="24"/>
              <w:lang w:eastAsia="zh-CN"/>
            </w:rPr>
            <w:t>二、资金使用方向、主要内容和涉及范围</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_Toc208840318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11</w:t>
          </w:r>
          <w:r>
            <w:rPr>
              <w:rStyle w:val="473"/>
              <w:rFonts w:hint="eastAsia" w:cs="仿宋"/>
              <w:spacing w:val="-2"/>
              <w:lang w:eastAsia="zh-CN"/>
            </w:rPr>
            <w:fldChar w:fldCharType="end"/>
          </w:r>
          <w:r>
            <w:rPr>
              <w:rStyle w:val="473"/>
              <w:rFonts w:hint="eastAsia" w:cs="仿宋"/>
              <w:spacing w:val="-2"/>
              <w:lang w:eastAsia="zh-CN"/>
            </w:rPr>
            <w:fldChar w:fldCharType="end"/>
          </w:r>
        </w:p>
        <w:p w14:paraId="383B3C6F">
          <w:pPr>
            <w:pStyle w:val="45"/>
            <w:tabs>
              <w:tab w:val="right" w:leader="dot" w:pos="9339"/>
            </w:tabs>
            <w:spacing w:line="360" w:lineRule="auto"/>
            <w:rPr>
              <w:rStyle w:val="473"/>
              <w:rFonts w:cs="仿宋"/>
              <w:spacing w:val="-2"/>
            </w:rPr>
          </w:pPr>
          <w:r>
            <w:fldChar w:fldCharType="begin"/>
          </w:r>
          <w:r>
            <w:instrText xml:space="preserve"> HYPERLINK \l "_Toc208840319" </w:instrText>
          </w:r>
          <w:r>
            <w:fldChar w:fldCharType="separate"/>
          </w:r>
          <w:r>
            <w:rPr>
              <w:rStyle w:val="473"/>
              <w:rFonts w:hint="eastAsia" w:ascii="仿宋" w:hAnsi="仿宋" w:eastAsia="仿宋" w:cs="仿宋"/>
              <w:spacing w:val="-2"/>
              <w:sz w:val="24"/>
              <w:szCs w:val="24"/>
              <w:lang w:eastAsia="zh-CN"/>
            </w:rPr>
            <w:t>1.基本支出</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_Toc208840319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11</w:t>
          </w:r>
          <w:r>
            <w:rPr>
              <w:rStyle w:val="473"/>
              <w:rFonts w:hint="eastAsia" w:cs="仿宋"/>
              <w:spacing w:val="-2"/>
              <w:lang w:eastAsia="zh-CN"/>
            </w:rPr>
            <w:fldChar w:fldCharType="end"/>
          </w:r>
          <w:r>
            <w:rPr>
              <w:rStyle w:val="473"/>
              <w:rFonts w:hint="eastAsia" w:cs="仿宋"/>
              <w:spacing w:val="-2"/>
              <w:lang w:eastAsia="zh-CN"/>
            </w:rPr>
            <w:fldChar w:fldCharType="end"/>
          </w:r>
        </w:p>
        <w:p w14:paraId="538A4F35">
          <w:pPr>
            <w:pStyle w:val="45"/>
            <w:tabs>
              <w:tab w:val="right" w:leader="dot" w:pos="9339"/>
            </w:tabs>
            <w:spacing w:line="360" w:lineRule="auto"/>
            <w:rPr>
              <w:rStyle w:val="473"/>
              <w:rFonts w:cs="仿宋"/>
              <w:spacing w:val="-2"/>
            </w:rPr>
          </w:pPr>
          <w:r>
            <w:fldChar w:fldCharType="begin"/>
          </w:r>
          <w:r>
            <w:instrText xml:space="preserve"> HYPERLINK \l "_Toc208840320" </w:instrText>
          </w:r>
          <w:r>
            <w:fldChar w:fldCharType="separate"/>
          </w:r>
          <w:r>
            <w:rPr>
              <w:rStyle w:val="473"/>
              <w:rFonts w:hint="eastAsia" w:ascii="仿宋" w:hAnsi="仿宋" w:eastAsia="仿宋" w:cs="仿宋"/>
              <w:spacing w:val="-2"/>
              <w:sz w:val="24"/>
              <w:szCs w:val="24"/>
              <w:lang w:eastAsia="zh-CN"/>
            </w:rPr>
            <w:t>2.项目支出</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_Toc208840320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11</w:t>
          </w:r>
          <w:r>
            <w:rPr>
              <w:rStyle w:val="473"/>
              <w:rFonts w:hint="eastAsia" w:cs="仿宋"/>
              <w:spacing w:val="-2"/>
              <w:lang w:eastAsia="zh-CN"/>
            </w:rPr>
            <w:fldChar w:fldCharType="end"/>
          </w:r>
          <w:r>
            <w:rPr>
              <w:rStyle w:val="473"/>
              <w:rFonts w:hint="eastAsia" w:cs="仿宋"/>
              <w:spacing w:val="-2"/>
              <w:lang w:eastAsia="zh-CN"/>
            </w:rPr>
            <w:fldChar w:fldCharType="end"/>
          </w:r>
        </w:p>
        <w:p w14:paraId="7C0D78C5">
          <w:pPr>
            <w:pStyle w:val="45"/>
            <w:tabs>
              <w:tab w:val="right" w:leader="dot" w:pos="9339"/>
            </w:tabs>
            <w:spacing w:line="360" w:lineRule="auto"/>
            <w:rPr>
              <w:rStyle w:val="473"/>
              <w:rFonts w:cs="仿宋"/>
              <w:spacing w:val="-2"/>
            </w:rPr>
          </w:pPr>
          <w:r>
            <w:fldChar w:fldCharType="begin"/>
          </w:r>
          <w:r>
            <w:instrText xml:space="preserve"> HYPERLINK \l "_Toc208840321" </w:instrText>
          </w:r>
          <w:r>
            <w:fldChar w:fldCharType="separate"/>
          </w:r>
          <w:r>
            <w:rPr>
              <w:rStyle w:val="473"/>
              <w:rFonts w:hint="eastAsia" w:ascii="仿宋" w:hAnsi="仿宋" w:eastAsia="仿宋" w:cs="仿宋"/>
              <w:spacing w:val="-2"/>
              <w:sz w:val="24"/>
              <w:szCs w:val="24"/>
              <w:lang w:eastAsia="zh-CN"/>
            </w:rPr>
            <w:t>3.“</w:t>
          </w:r>
          <w:bookmarkStart w:id="243" w:name="_GoBack"/>
          <w:r>
            <w:rPr>
              <w:rStyle w:val="473"/>
              <w:rFonts w:hint="eastAsia" w:ascii="仿宋" w:hAnsi="仿宋" w:eastAsia="仿宋" w:cs="仿宋"/>
              <w:spacing w:val="-2"/>
              <w:sz w:val="24"/>
              <w:szCs w:val="24"/>
              <w:lang w:eastAsia="zh-CN"/>
            </w:rPr>
            <w:t>三公</w:t>
          </w:r>
          <w:bookmarkEnd w:id="243"/>
          <w:r>
            <w:rPr>
              <w:rStyle w:val="473"/>
              <w:rFonts w:hint="eastAsia" w:ascii="仿宋" w:hAnsi="仿宋" w:eastAsia="仿宋" w:cs="仿宋"/>
              <w:spacing w:val="-2"/>
              <w:sz w:val="24"/>
              <w:szCs w:val="24"/>
              <w:lang w:eastAsia="zh-CN"/>
            </w:rPr>
            <w:t>”经费的使用和管理情况</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_Toc208840321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12</w:t>
          </w:r>
          <w:r>
            <w:rPr>
              <w:rStyle w:val="473"/>
              <w:rFonts w:hint="eastAsia" w:cs="仿宋"/>
              <w:spacing w:val="-2"/>
              <w:lang w:eastAsia="zh-CN"/>
            </w:rPr>
            <w:fldChar w:fldCharType="end"/>
          </w:r>
          <w:r>
            <w:rPr>
              <w:rStyle w:val="473"/>
              <w:rFonts w:hint="eastAsia" w:cs="仿宋"/>
              <w:spacing w:val="-2"/>
              <w:lang w:eastAsia="zh-CN"/>
            </w:rPr>
            <w:fldChar w:fldCharType="end"/>
          </w:r>
        </w:p>
        <w:p w14:paraId="2BDF1993">
          <w:pPr>
            <w:pStyle w:val="60"/>
            <w:tabs>
              <w:tab w:val="right" w:leader="dot" w:pos="9339"/>
            </w:tabs>
            <w:spacing w:line="360" w:lineRule="auto"/>
            <w:rPr>
              <w:rStyle w:val="473"/>
              <w:rFonts w:cs="仿宋"/>
              <w:spacing w:val="-2"/>
            </w:rPr>
          </w:pPr>
          <w:r>
            <w:fldChar w:fldCharType="begin"/>
          </w:r>
          <w:r>
            <w:instrText xml:space="preserve"> HYPERLINK \l "_Toc208840322" </w:instrText>
          </w:r>
          <w:r>
            <w:fldChar w:fldCharType="separate"/>
          </w:r>
          <w:r>
            <w:rPr>
              <w:rStyle w:val="473"/>
              <w:rFonts w:hint="eastAsia" w:ascii="仿宋" w:hAnsi="仿宋" w:eastAsia="仿宋" w:cs="仿宋"/>
              <w:spacing w:val="-2"/>
              <w:sz w:val="24"/>
              <w:szCs w:val="24"/>
              <w:lang w:eastAsia="zh-CN"/>
            </w:rPr>
            <w:t>三、部门年度总体目标</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_Toc208840322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12</w:t>
          </w:r>
          <w:r>
            <w:rPr>
              <w:rStyle w:val="473"/>
              <w:rFonts w:hint="eastAsia" w:cs="仿宋"/>
              <w:spacing w:val="-2"/>
              <w:lang w:eastAsia="zh-CN"/>
            </w:rPr>
            <w:fldChar w:fldCharType="end"/>
          </w:r>
          <w:r>
            <w:rPr>
              <w:rStyle w:val="473"/>
              <w:rFonts w:hint="eastAsia" w:cs="仿宋"/>
              <w:spacing w:val="-2"/>
              <w:lang w:eastAsia="zh-CN"/>
            </w:rPr>
            <w:fldChar w:fldCharType="end"/>
          </w:r>
        </w:p>
        <w:p w14:paraId="28E4E78F">
          <w:pPr>
            <w:pStyle w:val="60"/>
            <w:tabs>
              <w:tab w:val="right" w:leader="dot" w:pos="9339"/>
            </w:tabs>
            <w:spacing w:line="360" w:lineRule="auto"/>
            <w:rPr>
              <w:rStyle w:val="473"/>
              <w:rFonts w:cs="仿宋"/>
              <w:spacing w:val="-2"/>
            </w:rPr>
          </w:pPr>
          <w:r>
            <w:fldChar w:fldCharType="begin"/>
          </w:r>
          <w:r>
            <w:instrText xml:space="preserve"> HYPERLINK \l "_Toc208840323" </w:instrText>
          </w:r>
          <w:r>
            <w:fldChar w:fldCharType="separate"/>
          </w:r>
          <w:r>
            <w:rPr>
              <w:rStyle w:val="473"/>
              <w:rFonts w:hint="eastAsia" w:ascii="仿宋" w:hAnsi="仿宋" w:eastAsia="仿宋" w:cs="仿宋"/>
              <w:spacing w:val="-2"/>
              <w:sz w:val="24"/>
              <w:szCs w:val="24"/>
              <w:lang w:eastAsia="zh-CN"/>
            </w:rPr>
            <w:t>四、评价思路</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_Toc208840323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13</w:t>
          </w:r>
          <w:r>
            <w:rPr>
              <w:rStyle w:val="473"/>
              <w:rFonts w:hint="eastAsia" w:cs="仿宋"/>
              <w:spacing w:val="-2"/>
              <w:lang w:eastAsia="zh-CN"/>
            </w:rPr>
            <w:fldChar w:fldCharType="end"/>
          </w:r>
          <w:r>
            <w:rPr>
              <w:rStyle w:val="473"/>
              <w:rFonts w:hint="eastAsia" w:cs="仿宋"/>
              <w:spacing w:val="-2"/>
              <w:lang w:eastAsia="zh-CN"/>
            </w:rPr>
            <w:fldChar w:fldCharType="end"/>
          </w:r>
        </w:p>
        <w:p w14:paraId="7094138A">
          <w:pPr>
            <w:pStyle w:val="75"/>
            <w:tabs>
              <w:tab w:val="right" w:leader="dot" w:pos="9339"/>
            </w:tabs>
            <w:spacing w:line="360" w:lineRule="auto"/>
            <w:rPr>
              <w:rStyle w:val="473"/>
              <w:rFonts w:cs="仿宋"/>
              <w:spacing w:val="-2"/>
            </w:rPr>
          </w:pPr>
          <w:r>
            <w:fldChar w:fldCharType="begin"/>
          </w:r>
          <w:r>
            <w:instrText xml:space="preserve"> HYPERLINK \l "_Toc208840324" </w:instrText>
          </w:r>
          <w:r>
            <w:fldChar w:fldCharType="separate"/>
          </w:r>
          <w:r>
            <w:rPr>
              <w:rStyle w:val="473"/>
              <w:rFonts w:hint="eastAsia" w:ascii="仿宋" w:hAnsi="仿宋" w:eastAsia="仿宋" w:cs="仿宋"/>
              <w:spacing w:val="-2"/>
              <w:sz w:val="24"/>
              <w:szCs w:val="24"/>
              <w:lang w:eastAsia="zh-CN"/>
            </w:rPr>
            <w:t>（一）评价目的</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_Toc208840324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13</w:t>
          </w:r>
          <w:r>
            <w:rPr>
              <w:rStyle w:val="473"/>
              <w:rFonts w:hint="eastAsia" w:cs="仿宋"/>
              <w:spacing w:val="-2"/>
              <w:lang w:eastAsia="zh-CN"/>
            </w:rPr>
            <w:fldChar w:fldCharType="end"/>
          </w:r>
          <w:r>
            <w:rPr>
              <w:rStyle w:val="473"/>
              <w:rFonts w:hint="eastAsia" w:cs="仿宋"/>
              <w:spacing w:val="-2"/>
              <w:lang w:eastAsia="zh-CN"/>
            </w:rPr>
            <w:fldChar w:fldCharType="end"/>
          </w:r>
        </w:p>
        <w:p w14:paraId="7BBE96FB">
          <w:pPr>
            <w:pStyle w:val="75"/>
            <w:tabs>
              <w:tab w:val="right" w:leader="dot" w:pos="9339"/>
            </w:tabs>
            <w:spacing w:line="360" w:lineRule="auto"/>
            <w:rPr>
              <w:rStyle w:val="473"/>
              <w:rFonts w:cs="仿宋"/>
              <w:spacing w:val="-2"/>
            </w:rPr>
          </w:pPr>
          <w:r>
            <w:fldChar w:fldCharType="begin"/>
          </w:r>
          <w:r>
            <w:instrText xml:space="preserve"> HYPERLINK \l "_Toc208840325" </w:instrText>
          </w:r>
          <w:r>
            <w:fldChar w:fldCharType="separate"/>
          </w:r>
          <w:r>
            <w:rPr>
              <w:rStyle w:val="473"/>
              <w:rFonts w:hint="eastAsia" w:ascii="仿宋" w:hAnsi="仿宋" w:eastAsia="仿宋" w:cs="仿宋"/>
              <w:spacing w:val="-2"/>
              <w:sz w:val="24"/>
              <w:szCs w:val="24"/>
              <w:lang w:eastAsia="zh-CN"/>
            </w:rPr>
            <w:t>（二）评价对象及范围</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_Toc208840325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13</w:t>
          </w:r>
          <w:r>
            <w:rPr>
              <w:rStyle w:val="473"/>
              <w:rFonts w:hint="eastAsia" w:cs="仿宋"/>
              <w:spacing w:val="-2"/>
              <w:lang w:eastAsia="zh-CN"/>
            </w:rPr>
            <w:fldChar w:fldCharType="end"/>
          </w:r>
          <w:r>
            <w:rPr>
              <w:rStyle w:val="473"/>
              <w:rFonts w:hint="eastAsia" w:cs="仿宋"/>
              <w:spacing w:val="-2"/>
              <w:lang w:eastAsia="zh-CN"/>
            </w:rPr>
            <w:fldChar w:fldCharType="end"/>
          </w:r>
        </w:p>
        <w:p w14:paraId="59B31324">
          <w:pPr>
            <w:pStyle w:val="75"/>
            <w:tabs>
              <w:tab w:val="right" w:leader="dot" w:pos="9339"/>
            </w:tabs>
            <w:spacing w:line="360" w:lineRule="auto"/>
            <w:rPr>
              <w:rStyle w:val="473"/>
              <w:rFonts w:cs="仿宋"/>
              <w:spacing w:val="-2"/>
            </w:rPr>
          </w:pPr>
          <w:r>
            <w:fldChar w:fldCharType="begin"/>
          </w:r>
          <w:r>
            <w:instrText xml:space="preserve"> HYPERLINK \l "_Toc208840326" </w:instrText>
          </w:r>
          <w:r>
            <w:fldChar w:fldCharType="separate"/>
          </w:r>
          <w:r>
            <w:rPr>
              <w:rStyle w:val="473"/>
              <w:rFonts w:hint="eastAsia" w:ascii="仿宋" w:hAnsi="仿宋" w:eastAsia="仿宋" w:cs="仿宋"/>
              <w:spacing w:val="-2"/>
              <w:sz w:val="24"/>
              <w:szCs w:val="24"/>
              <w:lang w:eastAsia="zh-CN"/>
            </w:rPr>
            <w:t>（三）评价依据</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_Toc208840326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13</w:t>
          </w:r>
          <w:r>
            <w:rPr>
              <w:rStyle w:val="473"/>
              <w:rFonts w:hint="eastAsia" w:cs="仿宋"/>
              <w:spacing w:val="-2"/>
              <w:lang w:eastAsia="zh-CN"/>
            </w:rPr>
            <w:fldChar w:fldCharType="end"/>
          </w:r>
          <w:r>
            <w:rPr>
              <w:rStyle w:val="473"/>
              <w:rFonts w:hint="eastAsia" w:cs="仿宋"/>
              <w:spacing w:val="-2"/>
              <w:lang w:eastAsia="zh-CN"/>
            </w:rPr>
            <w:fldChar w:fldCharType="end"/>
          </w:r>
        </w:p>
        <w:p w14:paraId="45F244F0">
          <w:pPr>
            <w:pStyle w:val="75"/>
            <w:tabs>
              <w:tab w:val="right" w:leader="dot" w:pos="9339"/>
            </w:tabs>
            <w:spacing w:line="360" w:lineRule="auto"/>
            <w:rPr>
              <w:rStyle w:val="473"/>
              <w:rFonts w:cs="仿宋"/>
              <w:spacing w:val="-2"/>
            </w:rPr>
          </w:pPr>
          <w:r>
            <w:fldChar w:fldCharType="begin"/>
          </w:r>
          <w:r>
            <w:instrText xml:space="preserve"> HYPERLINK \l "_Toc208840327" </w:instrText>
          </w:r>
          <w:r>
            <w:fldChar w:fldCharType="separate"/>
          </w:r>
          <w:r>
            <w:rPr>
              <w:rStyle w:val="473"/>
              <w:rFonts w:hint="eastAsia" w:ascii="仿宋" w:hAnsi="仿宋" w:eastAsia="仿宋" w:cs="仿宋"/>
              <w:spacing w:val="-2"/>
              <w:sz w:val="24"/>
              <w:szCs w:val="24"/>
              <w:lang w:eastAsia="zh-CN"/>
            </w:rPr>
            <w:t>（四）评价原则</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_Toc208840327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14</w:t>
          </w:r>
          <w:r>
            <w:rPr>
              <w:rStyle w:val="473"/>
              <w:rFonts w:hint="eastAsia" w:cs="仿宋"/>
              <w:spacing w:val="-2"/>
              <w:lang w:eastAsia="zh-CN"/>
            </w:rPr>
            <w:fldChar w:fldCharType="end"/>
          </w:r>
          <w:r>
            <w:rPr>
              <w:rStyle w:val="473"/>
              <w:rFonts w:hint="eastAsia" w:cs="仿宋"/>
              <w:spacing w:val="-2"/>
              <w:lang w:eastAsia="zh-CN"/>
            </w:rPr>
            <w:fldChar w:fldCharType="end"/>
          </w:r>
        </w:p>
        <w:p w14:paraId="7A4B8480">
          <w:pPr>
            <w:pStyle w:val="75"/>
            <w:tabs>
              <w:tab w:val="right" w:leader="dot" w:pos="9339"/>
            </w:tabs>
            <w:spacing w:line="360" w:lineRule="auto"/>
            <w:rPr>
              <w:rStyle w:val="473"/>
              <w:rFonts w:cs="仿宋"/>
              <w:spacing w:val="-2"/>
            </w:rPr>
          </w:pPr>
          <w:r>
            <w:fldChar w:fldCharType="begin"/>
          </w:r>
          <w:r>
            <w:instrText xml:space="preserve"> HYPERLINK \l "_Toc208840328" </w:instrText>
          </w:r>
          <w:r>
            <w:fldChar w:fldCharType="separate"/>
          </w:r>
          <w:r>
            <w:rPr>
              <w:rStyle w:val="473"/>
              <w:rFonts w:hint="eastAsia" w:ascii="仿宋" w:hAnsi="仿宋" w:eastAsia="仿宋" w:cs="仿宋"/>
              <w:spacing w:val="-2"/>
              <w:sz w:val="24"/>
              <w:szCs w:val="24"/>
              <w:lang w:eastAsia="zh-CN"/>
            </w:rPr>
            <w:t>（五）评价方法</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_Toc208840328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15</w:t>
          </w:r>
          <w:r>
            <w:rPr>
              <w:rStyle w:val="473"/>
              <w:rFonts w:hint="eastAsia" w:cs="仿宋"/>
              <w:spacing w:val="-2"/>
              <w:lang w:eastAsia="zh-CN"/>
            </w:rPr>
            <w:fldChar w:fldCharType="end"/>
          </w:r>
          <w:r>
            <w:rPr>
              <w:rStyle w:val="473"/>
              <w:rFonts w:hint="eastAsia" w:cs="仿宋"/>
              <w:spacing w:val="-2"/>
              <w:lang w:eastAsia="zh-CN"/>
            </w:rPr>
            <w:fldChar w:fldCharType="end"/>
          </w:r>
        </w:p>
        <w:p w14:paraId="3E27101F">
          <w:pPr>
            <w:pStyle w:val="75"/>
            <w:tabs>
              <w:tab w:val="right" w:leader="dot" w:pos="9339"/>
            </w:tabs>
            <w:spacing w:line="360" w:lineRule="auto"/>
            <w:rPr>
              <w:rStyle w:val="473"/>
              <w:rFonts w:cs="仿宋"/>
              <w:spacing w:val="-2"/>
            </w:rPr>
          </w:pPr>
          <w:r>
            <w:fldChar w:fldCharType="begin"/>
          </w:r>
          <w:r>
            <w:instrText xml:space="preserve"> HYPERLINK \l "_Toc208840329" </w:instrText>
          </w:r>
          <w:r>
            <w:fldChar w:fldCharType="separate"/>
          </w:r>
          <w:r>
            <w:rPr>
              <w:rStyle w:val="473"/>
              <w:rFonts w:hint="eastAsia" w:ascii="仿宋" w:hAnsi="仿宋" w:eastAsia="仿宋" w:cs="仿宋"/>
              <w:spacing w:val="-2"/>
              <w:sz w:val="24"/>
              <w:szCs w:val="24"/>
              <w:lang w:eastAsia="zh-CN"/>
            </w:rPr>
            <w:t>（六）绩效标准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_Toc208840329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16</w:t>
          </w:r>
          <w:r>
            <w:rPr>
              <w:rStyle w:val="473"/>
              <w:rFonts w:hint="eastAsia" w:cs="仿宋"/>
              <w:spacing w:val="-2"/>
              <w:lang w:eastAsia="zh-CN"/>
            </w:rPr>
            <w:fldChar w:fldCharType="end"/>
          </w:r>
          <w:r>
            <w:rPr>
              <w:rStyle w:val="473"/>
              <w:rFonts w:hint="eastAsia" w:cs="仿宋"/>
              <w:spacing w:val="-2"/>
              <w:lang w:eastAsia="zh-CN"/>
            </w:rPr>
            <w:fldChar w:fldCharType="end"/>
          </w:r>
        </w:p>
        <w:p w14:paraId="7BA24535">
          <w:pPr>
            <w:pStyle w:val="75"/>
            <w:tabs>
              <w:tab w:val="right" w:leader="dot" w:pos="9339"/>
            </w:tabs>
            <w:spacing w:line="360" w:lineRule="auto"/>
            <w:rPr>
              <w:rStyle w:val="473"/>
              <w:rFonts w:cs="仿宋"/>
              <w:spacing w:val="-2"/>
            </w:rPr>
          </w:pPr>
          <w:r>
            <w:fldChar w:fldCharType="begin"/>
          </w:r>
          <w:r>
            <w:instrText xml:space="preserve"> HYPERLINK \l "_Toc208840330" </w:instrText>
          </w:r>
          <w:r>
            <w:fldChar w:fldCharType="separate"/>
          </w:r>
          <w:r>
            <w:rPr>
              <w:rStyle w:val="473"/>
              <w:rFonts w:hint="eastAsia" w:ascii="仿宋" w:hAnsi="仿宋" w:eastAsia="仿宋" w:cs="仿宋"/>
              <w:spacing w:val="-2"/>
              <w:sz w:val="24"/>
              <w:szCs w:val="24"/>
              <w:lang w:eastAsia="zh-CN"/>
            </w:rPr>
            <w:t>（七）评价思路及关注点</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_Toc208840330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17</w:t>
          </w:r>
          <w:r>
            <w:rPr>
              <w:rStyle w:val="473"/>
              <w:rFonts w:hint="eastAsia" w:cs="仿宋"/>
              <w:spacing w:val="-2"/>
              <w:lang w:eastAsia="zh-CN"/>
            </w:rPr>
            <w:fldChar w:fldCharType="end"/>
          </w:r>
          <w:r>
            <w:rPr>
              <w:rStyle w:val="473"/>
              <w:rFonts w:hint="eastAsia" w:cs="仿宋"/>
              <w:spacing w:val="-2"/>
              <w:lang w:eastAsia="zh-CN"/>
            </w:rPr>
            <w:fldChar w:fldCharType="end"/>
          </w:r>
        </w:p>
        <w:p w14:paraId="1B45FB31">
          <w:pPr>
            <w:pStyle w:val="75"/>
            <w:tabs>
              <w:tab w:val="right" w:leader="dot" w:pos="9339"/>
            </w:tabs>
            <w:spacing w:line="360" w:lineRule="auto"/>
            <w:rPr>
              <w:rStyle w:val="473"/>
              <w:rFonts w:cs="仿宋"/>
              <w:spacing w:val="-2"/>
            </w:rPr>
          </w:pPr>
          <w:r>
            <w:fldChar w:fldCharType="begin"/>
          </w:r>
          <w:r>
            <w:instrText xml:space="preserve"> HYPERLINK \l "_Toc208840331" </w:instrText>
          </w:r>
          <w:r>
            <w:fldChar w:fldCharType="separate"/>
          </w:r>
          <w:r>
            <w:rPr>
              <w:rStyle w:val="473"/>
              <w:rFonts w:hint="eastAsia" w:ascii="仿宋" w:hAnsi="仿宋" w:eastAsia="仿宋" w:cs="仿宋"/>
              <w:spacing w:val="-2"/>
              <w:sz w:val="24"/>
              <w:szCs w:val="24"/>
              <w:lang w:eastAsia="zh-CN"/>
            </w:rPr>
            <w:t>（八）绩效评价数据来源</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_Toc208840331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17</w:t>
          </w:r>
          <w:r>
            <w:rPr>
              <w:rStyle w:val="473"/>
              <w:rFonts w:hint="eastAsia" w:cs="仿宋"/>
              <w:spacing w:val="-2"/>
              <w:lang w:eastAsia="zh-CN"/>
            </w:rPr>
            <w:fldChar w:fldCharType="end"/>
          </w:r>
          <w:r>
            <w:rPr>
              <w:rStyle w:val="473"/>
              <w:rFonts w:hint="eastAsia" w:cs="仿宋"/>
              <w:spacing w:val="-2"/>
              <w:lang w:eastAsia="zh-CN"/>
            </w:rPr>
            <w:fldChar w:fldCharType="end"/>
          </w:r>
        </w:p>
        <w:p w14:paraId="66C240DE">
          <w:pPr>
            <w:pStyle w:val="75"/>
            <w:tabs>
              <w:tab w:val="right" w:leader="dot" w:pos="9339"/>
            </w:tabs>
            <w:spacing w:line="360" w:lineRule="auto"/>
            <w:rPr>
              <w:rStyle w:val="473"/>
              <w:rFonts w:cs="仿宋"/>
              <w:spacing w:val="-2"/>
            </w:rPr>
          </w:pPr>
          <w:r>
            <w:fldChar w:fldCharType="begin"/>
          </w:r>
          <w:r>
            <w:instrText xml:space="preserve"> HYPERLINK \l "_Toc208840332" </w:instrText>
          </w:r>
          <w:r>
            <w:fldChar w:fldCharType="separate"/>
          </w:r>
          <w:r>
            <w:rPr>
              <w:rStyle w:val="473"/>
              <w:rFonts w:hint="eastAsia" w:ascii="仿宋" w:hAnsi="仿宋" w:eastAsia="仿宋" w:cs="仿宋"/>
              <w:spacing w:val="-2"/>
              <w:sz w:val="24"/>
              <w:szCs w:val="24"/>
              <w:lang w:eastAsia="zh-CN"/>
            </w:rPr>
            <w:t>（九）评价工作开展情况</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_Toc208840332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17</w:t>
          </w:r>
          <w:r>
            <w:rPr>
              <w:rStyle w:val="473"/>
              <w:rFonts w:hint="eastAsia" w:cs="仿宋"/>
              <w:spacing w:val="-2"/>
              <w:lang w:eastAsia="zh-CN"/>
            </w:rPr>
            <w:fldChar w:fldCharType="end"/>
          </w:r>
          <w:r>
            <w:rPr>
              <w:rStyle w:val="473"/>
              <w:rFonts w:hint="eastAsia" w:cs="仿宋"/>
              <w:spacing w:val="-2"/>
              <w:lang w:eastAsia="zh-CN"/>
            </w:rPr>
            <w:fldChar w:fldCharType="end"/>
          </w:r>
        </w:p>
        <w:p w14:paraId="453F7C16">
          <w:pPr>
            <w:pStyle w:val="60"/>
            <w:tabs>
              <w:tab w:val="right" w:leader="dot" w:pos="9339"/>
            </w:tabs>
            <w:spacing w:line="360" w:lineRule="auto"/>
            <w:rPr>
              <w:rStyle w:val="473"/>
              <w:rFonts w:cs="仿宋"/>
              <w:spacing w:val="-2"/>
            </w:rPr>
          </w:pPr>
          <w:r>
            <w:fldChar w:fldCharType="begin"/>
          </w:r>
          <w:r>
            <w:instrText xml:space="preserve"> HYPERLINK \l "_Toc208840333" </w:instrText>
          </w:r>
          <w:r>
            <w:fldChar w:fldCharType="separate"/>
          </w:r>
          <w:r>
            <w:rPr>
              <w:rStyle w:val="473"/>
              <w:rFonts w:hint="eastAsia" w:ascii="仿宋" w:hAnsi="仿宋" w:eastAsia="仿宋" w:cs="仿宋"/>
              <w:spacing w:val="-2"/>
              <w:sz w:val="24"/>
              <w:szCs w:val="24"/>
              <w:lang w:eastAsia="zh-CN"/>
            </w:rPr>
            <w:t>五、指标体系</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_Toc208840333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18</w:t>
          </w:r>
          <w:r>
            <w:rPr>
              <w:rStyle w:val="473"/>
              <w:rFonts w:hint="eastAsia" w:cs="仿宋"/>
              <w:spacing w:val="-2"/>
              <w:lang w:eastAsia="zh-CN"/>
            </w:rPr>
            <w:fldChar w:fldCharType="end"/>
          </w:r>
          <w:r>
            <w:rPr>
              <w:rStyle w:val="473"/>
              <w:rFonts w:hint="eastAsia" w:cs="仿宋"/>
              <w:spacing w:val="-2"/>
              <w:lang w:eastAsia="zh-CN"/>
            </w:rPr>
            <w:fldChar w:fldCharType="end"/>
          </w:r>
        </w:p>
        <w:p w14:paraId="2F882000">
          <w:pPr>
            <w:pStyle w:val="75"/>
            <w:tabs>
              <w:tab w:val="right" w:leader="dot" w:pos="9339"/>
            </w:tabs>
            <w:spacing w:line="360" w:lineRule="auto"/>
            <w:rPr>
              <w:rStyle w:val="473"/>
              <w:rFonts w:cs="仿宋"/>
              <w:spacing w:val="-2"/>
            </w:rPr>
          </w:pPr>
          <w:r>
            <w:fldChar w:fldCharType="begin"/>
          </w:r>
          <w:r>
            <w:instrText xml:space="preserve"> HYPERLINK \l "_Toc208840334" </w:instrText>
          </w:r>
          <w:r>
            <w:fldChar w:fldCharType="separate"/>
          </w:r>
          <w:r>
            <w:rPr>
              <w:rStyle w:val="473"/>
              <w:rFonts w:hint="eastAsia" w:ascii="仿宋" w:hAnsi="仿宋" w:eastAsia="仿宋" w:cs="仿宋"/>
              <w:spacing w:val="-2"/>
              <w:sz w:val="24"/>
              <w:szCs w:val="24"/>
              <w:lang w:eastAsia="zh-CN"/>
            </w:rPr>
            <w:t>（一）评价指标分值分布</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_Toc208840334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18</w:t>
          </w:r>
          <w:r>
            <w:rPr>
              <w:rStyle w:val="473"/>
              <w:rFonts w:hint="eastAsia" w:cs="仿宋"/>
              <w:spacing w:val="-2"/>
              <w:lang w:eastAsia="zh-CN"/>
            </w:rPr>
            <w:fldChar w:fldCharType="end"/>
          </w:r>
          <w:r>
            <w:rPr>
              <w:rStyle w:val="473"/>
              <w:rFonts w:hint="eastAsia" w:cs="仿宋"/>
              <w:spacing w:val="-2"/>
              <w:lang w:eastAsia="zh-CN"/>
            </w:rPr>
            <w:fldChar w:fldCharType="end"/>
          </w:r>
        </w:p>
        <w:p w14:paraId="144068D5">
          <w:pPr>
            <w:pStyle w:val="75"/>
            <w:tabs>
              <w:tab w:val="right" w:leader="dot" w:pos="9339"/>
            </w:tabs>
            <w:spacing w:line="360" w:lineRule="auto"/>
            <w:rPr>
              <w:rStyle w:val="473"/>
              <w:rFonts w:cs="仿宋"/>
              <w:spacing w:val="-2"/>
            </w:rPr>
          </w:pPr>
          <w:r>
            <w:fldChar w:fldCharType="begin"/>
          </w:r>
          <w:r>
            <w:instrText xml:space="preserve"> HYPERLINK \l "_Toc208840335" </w:instrText>
          </w:r>
          <w:r>
            <w:fldChar w:fldCharType="separate"/>
          </w:r>
          <w:r>
            <w:rPr>
              <w:rStyle w:val="473"/>
              <w:rFonts w:hint="eastAsia" w:ascii="仿宋" w:hAnsi="仿宋" w:eastAsia="仿宋" w:cs="仿宋"/>
              <w:spacing w:val="-2"/>
              <w:sz w:val="24"/>
              <w:szCs w:val="24"/>
              <w:lang w:eastAsia="zh-CN"/>
            </w:rPr>
            <w:t>（二）评价等级</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_Toc208840335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18</w:t>
          </w:r>
          <w:r>
            <w:rPr>
              <w:rStyle w:val="473"/>
              <w:rFonts w:hint="eastAsia" w:cs="仿宋"/>
              <w:spacing w:val="-2"/>
              <w:lang w:eastAsia="zh-CN"/>
            </w:rPr>
            <w:fldChar w:fldCharType="end"/>
          </w:r>
          <w:r>
            <w:rPr>
              <w:rStyle w:val="473"/>
              <w:rFonts w:hint="eastAsia" w:cs="仿宋"/>
              <w:spacing w:val="-2"/>
              <w:lang w:eastAsia="zh-CN"/>
            </w:rPr>
            <w:fldChar w:fldCharType="end"/>
          </w:r>
        </w:p>
        <w:p w14:paraId="06027C23">
          <w:pPr>
            <w:pStyle w:val="60"/>
            <w:tabs>
              <w:tab w:val="right" w:leader="dot" w:pos="9339"/>
            </w:tabs>
            <w:spacing w:line="360" w:lineRule="auto"/>
            <w:rPr>
              <w:rStyle w:val="473"/>
              <w:rFonts w:cs="仿宋"/>
              <w:spacing w:val="-2"/>
            </w:rPr>
          </w:pPr>
          <w:r>
            <w:fldChar w:fldCharType="begin"/>
          </w:r>
          <w:r>
            <w:instrText xml:space="preserve"> HYPERLINK \l "_Toc208840336" </w:instrText>
          </w:r>
          <w:r>
            <w:fldChar w:fldCharType="separate"/>
          </w:r>
          <w:r>
            <w:rPr>
              <w:rStyle w:val="473"/>
              <w:rFonts w:hint="eastAsia" w:ascii="仿宋" w:hAnsi="仿宋" w:eastAsia="仿宋" w:cs="仿宋"/>
              <w:spacing w:val="-2"/>
              <w:sz w:val="24"/>
              <w:szCs w:val="24"/>
              <w:lang w:eastAsia="zh-CN"/>
            </w:rPr>
            <w:t>六、绩效指标分析</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_Toc208840336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25</w:t>
          </w:r>
          <w:r>
            <w:rPr>
              <w:rStyle w:val="473"/>
              <w:rFonts w:hint="eastAsia" w:cs="仿宋"/>
              <w:spacing w:val="-2"/>
              <w:lang w:eastAsia="zh-CN"/>
            </w:rPr>
            <w:fldChar w:fldCharType="end"/>
          </w:r>
          <w:r>
            <w:rPr>
              <w:rStyle w:val="473"/>
              <w:rFonts w:hint="eastAsia" w:cs="仿宋"/>
              <w:spacing w:val="-2"/>
              <w:lang w:eastAsia="zh-CN"/>
            </w:rPr>
            <w:fldChar w:fldCharType="end"/>
          </w:r>
        </w:p>
        <w:p w14:paraId="28610C81">
          <w:pPr>
            <w:pStyle w:val="75"/>
            <w:tabs>
              <w:tab w:val="right" w:leader="dot" w:pos="9339"/>
            </w:tabs>
            <w:spacing w:line="360" w:lineRule="auto"/>
            <w:rPr>
              <w:rStyle w:val="473"/>
              <w:rFonts w:cs="仿宋"/>
              <w:spacing w:val="-2"/>
            </w:rPr>
          </w:pPr>
          <w:r>
            <w:fldChar w:fldCharType="begin"/>
          </w:r>
          <w:r>
            <w:instrText xml:space="preserve"> HYPERLINK \l "_Toc208840337" </w:instrText>
          </w:r>
          <w:r>
            <w:fldChar w:fldCharType="separate"/>
          </w:r>
          <w:r>
            <w:rPr>
              <w:rStyle w:val="473"/>
              <w:rFonts w:hint="eastAsia" w:ascii="仿宋" w:hAnsi="仿宋" w:eastAsia="仿宋" w:cs="仿宋"/>
              <w:spacing w:val="-2"/>
              <w:sz w:val="24"/>
              <w:szCs w:val="24"/>
              <w:lang w:eastAsia="zh-CN"/>
            </w:rPr>
            <w:t>（一）决策（总分15分，得分14分）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_Toc208840337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25</w:t>
          </w:r>
          <w:r>
            <w:rPr>
              <w:rStyle w:val="473"/>
              <w:rFonts w:hint="eastAsia" w:cs="仿宋"/>
              <w:spacing w:val="-2"/>
              <w:lang w:eastAsia="zh-CN"/>
            </w:rPr>
            <w:fldChar w:fldCharType="end"/>
          </w:r>
          <w:r>
            <w:rPr>
              <w:rStyle w:val="473"/>
              <w:rFonts w:hint="eastAsia" w:cs="仿宋"/>
              <w:spacing w:val="-2"/>
              <w:lang w:eastAsia="zh-CN"/>
            </w:rPr>
            <w:fldChar w:fldCharType="end"/>
          </w:r>
        </w:p>
        <w:p w14:paraId="2E2976C6">
          <w:pPr>
            <w:pStyle w:val="45"/>
            <w:tabs>
              <w:tab w:val="right" w:leader="dot" w:pos="9339"/>
            </w:tabs>
            <w:spacing w:line="360" w:lineRule="auto"/>
            <w:rPr>
              <w:rStyle w:val="473"/>
              <w:rFonts w:cs="仿宋"/>
              <w:spacing w:val="-2"/>
            </w:rPr>
          </w:pPr>
          <w:r>
            <w:fldChar w:fldCharType="begin"/>
          </w:r>
          <w:r>
            <w:instrText xml:space="preserve"> HYPERLINK \l "_Toc208840338" </w:instrText>
          </w:r>
          <w:r>
            <w:fldChar w:fldCharType="separate"/>
          </w:r>
          <w:r>
            <w:rPr>
              <w:rStyle w:val="473"/>
              <w:rFonts w:hint="eastAsia" w:ascii="仿宋" w:hAnsi="仿宋" w:eastAsia="仿宋" w:cs="仿宋"/>
              <w:spacing w:val="-2"/>
              <w:sz w:val="24"/>
              <w:szCs w:val="24"/>
              <w:lang w:eastAsia="zh-CN"/>
            </w:rPr>
            <w:t>1.目标设定（总分6分，得分5分）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_Toc208840338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25</w:t>
          </w:r>
          <w:r>
            <w:rPr>
              <w:rStyle w:val="473"/>
              <w:rFonts w:hint="eastAsia" w:cs="仿宋"/>
              <w:spacing w:val="-2"/>
              <w:lang w:eastAsia="zh-CN"/>
            </w:rPr>
            <w:fldChar w:fldCharType="end"/>
          </w:r>
          <w:r>
            <w:rPr>
              <w:rStyle w:val="473"/>
              <w:rFonts w:hint="eastAsia" w:cs="仿宋"/>
              <w:spacing w:val="-2"/>
              <w:lang w:eastAsia="zh-CN"/>
            </w:rPr>
            <w:fldChar w:fldCharType="end"/>
          </w:r>
        </w:p>
        <w:p w14:paraId="07BE4F78">
          <w:pPr>
            <w:pStyle w:val="45"/>
            <w:tabs>
              <w:tab w:val="right" w:leader="dot" w:pos="9339"/>
            </w:tabs>
            <w:spacing w:line="360" w:lineRule="auto"/>
            <w:rPr>
              <w:rStyle w:val="473"/>
              <w:rFonts w:cs="仿宋"/>
              <w:spacing w:val="-2"/>
            </w:rPr>
          </w:pPr>
          <w:r>
            <w:fldChar w:fldCharType="begin"/>
          </w:r>
          <w:r>
            <w:instrText xml:space="preserve"> HYPERLINK \l "_Toc208840339" </w:instrText>
          </w:r>
          <w:r>
            <w:fldChar w:fldCharType="separate"/>
          </w:r>
          <w:r>
            <w:rPr>
              <w:rStyle w:val="473"/>
              <w:rFonts w:hint="eastAsia" w:ascii="仿宋" w:hAnsi="仿宋" w:eastAsia="仿宋" w:cs="仿宋"/>
              <w:spacing w:val="-2"/>
              <w:sz w:val="24"/>
              <w:szCs w:val="24"/>
              <w:lang w:eastAsia="zh-CN"/>
            </w:rPr>
            <w:t>2.预算配置（总分9分，得分9分）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_Toc208840339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26</w:t>
          </w:r>
          <w:r>
            <w:rPr>
              <w:rStyle w:val="473"/>
              <w:rFonts w:hint="eastAsia" w:cs="仿宋"/>
              <w:spacing w:val="-2"/>
              <w:lang w:eastAsia="zh-CN"/>
            </w:rPr>
            <w:fldChar w:fldCharType="end"/>
          </w:r>
          <w:r>
            <w:rPr>
              <w:rStyle w:val="473"/>
              <w:rFonts w:hint="eastAsia" w:cs="仿宋"/>
              <w:spacing w:val="-2"/>
              <w:lang w:eastAsia="zh-CN"/>
            </w:rPr>
            <w:fldChar w:fldCharType="end"/>
          </w:r>
        </w:p>
        <w:p w14:paraId="2AFB514A">
          <w:pPr>
            <w:pStyle w:val="75"/>
            <w:tabs>
              <w:tab w:val="right" w:leader="dot" w:pos="9339"/>
            </w:tabs>
            <w:spacing w:line="360" w:lineRule="auto"/>
            <w:rPr>
              <w:rStyle w:val="473"/>
              <w:rFonts w:cs="仿宋"/>
              <w:spacing w:val="-2"/>
            </w:rPr>
          </w:pPr>
          <w:r>
            <w:fldChar w:fldCharType="begin"/>
          </w:r>
          <w:r>
            <w:instrText xml:space="preserve"> HYPERLINK \l "_Toc208840340" </w:instrText>
          </w:r>
          <w:r>
            <w:fldChar w:fldCharType="separate"/>
          </w:r>
          <w:r>
            <w:rPr>
              <w:rStyle w:val="473"/>
              <w:rFonts w:hint="eastAsia" w:ascii="仿宋" w:hAnsi="仿宋" w:eastAsia="仿宋" w:cs="仿宋"/>
              <w:spacing w:val="-2"/>
              <w:sz w:val="24"/>
              <w:szCs w:val="24"/>
              <w:lang w:eastAsia="zh-CN"/>
            </w:rPr>
            <w:t>（二）过程（总分24分，得分14.49分）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_Toc208840340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26</w:t>
          </w:r>
          <w:r>
            <w:rPr>
              <w:rStyle w:val="473"/>
              <w:rFonts w:hint="eastAsia" w:cs="仿宋"/>
              <w:spacing w:val="-2"/>
              <w:lang w:eastAsia="zh-CN"/>
            </w:rPr>
            <w:fldChar w:fldCharType="end"/>
          </w:r>
          <w:r>
            <w:rPr>
              <w:rStyle w:val="473"/>
              <w:rFonts w:hint="eastAsia" w:cs="仿宋"/>
              <w:spacing w:val="-2"/>
              <w:lang w:eastAsia="zh-CN"/>
            </w:rPr>
            <w:fldChar w:fldCharType="end"/>
          </w:r>
        </w:p>
        <w:p w14:paraId="066A3B2F">
          <w:pPr>
            <w:pStyle w:val="45"/>
            <w:tabs>
              <w:tab w:val="right" w:leader="dot" w:pos="9339"/>
            </w:tabs>
            <w:spacing w:line="360" w:lineRule="auto"/>
            <w:rPr>
              <w:rStyle w:val="473"/>
              <w:rFonts w:cs="仿宋"/>
              <w:spacing w:val="-2"/>
            </w:rPr>
          </w:pPr>
          <w:r>
            <w:fldChar w:fldCharType="begin"/>
          </w:r>
          <w:r>
            <w:instrText xml:space="preserve"> HYPERLINK \l "_Toc208840341" </w:instrText>
          </w:r>
          <w:r>
            <w:fldChar w:fldCharType="separate"/>
          </w:r>
          <w:r>
            <w:rPr>
              <w:rStyle w:val="473"/>
              <w:rFonts w:hint="eastAsia" w:ascii="仿宋" w:hAnsi="仿宋" w:eastAsia="仿宋" w:cs="仿宋"/>
              <w:spacing w:val="-2"/>
              <w:sz w:val="24"/>
              <w:szCs w:val="24"/>
              <w:lang w:eastAsia="zh-CN"/>
            </w:rPr>
            <w:t>1.预算执行（总分9分，得分5.99分）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_Toc208840341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26</w:t>
          </w:r>
          <w:r>
            <w:rPr>
              <w:rStyle w:val="473"/>
              <w:rFonts w:hint="eastAsia" w:cs="仿宋"/>
              <w:spacing w:val="-2"/>
              <w:lang w:eastAsia="zh-CN"/>
            </w:rPr>
            <w:fldChar w:fldCharType="end"/>
          </w:r>
          <w:r>
            <w:rPr>
              <w:rStyle w:val="473"/>
              <w:rFonts w:hint="eastAsia" w:cs="仿宋"/>
              <w:spacing w:val="-2"/>
              <w:lang w:eastAsia="zh-CN"/>
            </w:rPr>
            <w:fldChar w:fldCharType="end"/>
          </w:r>
        </w:p>
        <w:p w14:paraId="346D2F80">
          <w:pPr>
            <w:pStyle w:val="45"/>
            <w:tabs>
              <w:tab w:val="right" w:leader="dot" w:pos="9339"/>
            </w:tabs>
            <w:spacing w:line="360" w:lineRule="auto"/>
            <w:rPr>
              <w:rStyle w:val="473"/>
              <w:rFonts w:cs="仿宋"/>
              <w:spacing w:val="-2"/>
            </w:rPr>
          </w:pPr>
          <w:r>
            <w:fldChar w:fldCharType="begin"/>
          </w:r>
          <w:r>
            <w:instrText xml:space="preserve"> HYPERLINK \l "_Toc208840342" </w:instrText>
          </w:r>
          <w:r>
            <w:fldChar w:fldCharType="separate"/>
          </w:r>
          <w:r>
            <w:rPr>
              <w:rStyle w:val="473"/>
              <w:rFonts w:hint="eastAsia" w:ascii="仿宋" w:hAnsi="仿宋" w:eastAsia="仿宋" w:cs="仿宋"/>
              <w:spacing w:val="-2"/>
              <w:sz w:val="24"/>
              <w:szCs w:val="24"/>
              <w:lang w:eastAsia="zh-CN"/>
            </w:rPr>
            <w:t>2.预算管理（总分15分，得分13分）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_Toc208840342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27</w:t>
          </w:r>
          <w:r>
            <w:rPr>
              <w:rStyle w:val="473"/>
              <w:rFonts w:hint="eastAsia" w:cs="仿宋"/>
              <w:spacing w:val="-2"/>
              <w:lang w:eastAsia="zh-CN"/>
            </w:rPr>
            <w:fldChar w:fldCharType="end"/>
          </w:r>
          <w:r>
            <w:rPr>
              <w:rStyle w:val="473"/>
              <w:rFonts w:hint="eastAsia" w:cs="仿宋"/>
              <w:spacing w:val="-2"/>
              <w:lang w:eastAsia="zh-CN"/>
            </w:rPr>
            <w:fldChar w:fldCharType="end"/>
          </w:r>
        </w:p>
        <w:p w14:paraId="5BC40888">
          <w:pPr>
            <w:pStyle w:val="75"/>
            <w:tabs>
              <w:tab w:val="right" w:leader="dot" w:pos="9339"/>
            </w:tabs>
            <w:spacing w:line="360" w:lineRule="auto"/>
            <w:rPr>
              <w:rStyle w:val="473"/>
              <w:rFonts w:cs="仿宋"/>
              <w:spacing w:val="-2"/>
            </w:rPr>
          </w:pPr>
          <w:r>
            <w:fldChar w:fldCharType="begin"/>
          </w:r>
          <w:r>
            <w:instrText xml:space="preserve"> HYPERLINK \l "_Toc208840343" </w:instrText>
          </w:r>
          <w:r>
            <w:fldChar w:fldCharType="separate"/>
          </w:r>
          <w:r>
            <w:rPr>
              <w:rStyle w:val="473"/>
              <w:rFonts w:hint="eastAsia" w:ascii="仿宋" w:hAnsi="仿宋" w:eastAsia="仿宋" w:cs="仿宋"/>
              <w:spacing w:val="-2"/>
              <w:sz w:val="24"/>
              <w:szCs w:val="24"/>
              <w:lang w:eastAsia="zh-CN"/>
            </w:rPr>
            <w:t>（三）产出（总分34分，得分27分）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_Toc208840343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29</w:t>
          </w:r>
          <w:r>
            <w:rPr>
              <w:rStyle w:val="473"/>
              <w:rFonts w:hint="eastAsia" w:cs="仿宋"/>
              <w:spacing w:val="-2"/>
              <w:lang w:eastAsia="zh-CN"/>
            </w:rPr>
            <w:fldChar w:fldCharType="end"/>
          </w:r>
          <w:r>
            <w:rPr>
              <w:rStyle w:val="473"/>
              <w:rFonts w:hint="eastAsia" w:cs="仿宋"/>
              <w:spacing w:val="-2"/>
              <w:lang w:eastAsia="zh-CN"/>
            </w:rPr>
            <w:fldChar w:fldCharType="end"/>
          </w:r>
        </w:p>
        <w:p w14:paraId="0A882ABE">
          <w:pPr>
            <w:pStyle w:val="45"/>
            <w:tabs>
              <w:tab w:val="right" w:leader="dot" w:pos="9339"/>
            </w:tabs>
            <w:spacing w:line="360" w:lineRule="auto"/>
            <w:rPr>
              <w:rStyle w:val="473"/>
              <w:rFonts w:cs="仿宋"/>
              <w:spacing w:val="-2"/>
            </w:rPr>
          </w:pPr>
          <w:r>
            <w:fldChar w:fldCharType="begin"/>
          </w:r>
          <w:r>
            <w:instrText xml:space="preserve"> HYPERLINK \l "_Toc208840344" </w:instrText>
          </w:r>
          <w:r>
            <w:fldChar w:fldCharType="separate"/>
          </w:r>
          <w:r>
            <w:rPr>
              <w:rStyle w:val="473"/>
              <w:rFonts w:hint="eastAsia" w:ascii="仿宋" w:hAnsi="仿宋" w:eastAsia="仿宋" w:cs="仿宋"/>
              <w:spacing w:val="-2"/>
              <w:sz w:val="24"/>
              <w:szCs w:val="24"/>
              <w:lang w:eastAsia="zh-CN"/>
            </w:rPr>
            <w:t>1.产出数量（总分21分，得分21分）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_Toc208840344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29</w:t>
          </w:r>
          <w:r>
            <w:rPr>
              <w:rStyle w:val="473"/>
              <w:rFonts w:hint="eastAsia" w:cs="仿宋"/>
              <w:spacing w:val="-2"/>
              <w:lang w:eastAsia="zh-CN"/>
            </w:rPr>
            <w:fldChar w:fldCharType="end"/>
          </w:r>
          <w:r>
            <w:rPr>
              <w:rStyle w:val="473"/>
              <w:rFonts w:hint="eastAsia" w:cs="仿宋"/>
              <w:spacing w:val="-2"/>
              <w:lang w:eastAsia="zh-CN"/>
            </w:rPr>
            <w:fldChar w:fldCharType="end"/>
          </w:r>
        </w:p>
        <w:p w14:paraId="24DC6CA1">
          <w:pPr>
            <w:pStyle w:val="45"/>
            <w:tabs>
              <w:tab w:val="right" w:leader="dot" w:pos="9339"/>
            </w:tabs>
            <w:spacing w:line="360" w:lineRule="auto"/>
            <w:rPr>
              <w:rStyle w:val="473"/>
              <w:rFonts w:cs="仿宋"/>
              <w:spacing w:val="-2"/>
            </w:rPr>
          </w:pPr>
          <w:r>
            <w:fldChar w:fldCharType="begin"/>
          </w:r>
          <w:r>
            <w:instrText xml:space="preserve"> HYPERLINK \l "_Toc208840345" </w:instrText>
          </w:r>
          <w:r>
            <w:fldChar w:fldCharType="separate"/>
          </w:r>
          <w:r>
            <w:rPr>
              <w:rStyle w:val="473"/>
              <w:rFonts w:hint="eastAsia" w:ascii="仿宋" w:hAnsi="仿宋" w:eastAsia="仿宋" w:cs="仿宋"/>
              <w:spacing w:val="-2"/>
              <w:sz w:val="24"/>
              <w:szCs w:val="24"/>
              <w:lang w:eastAsia="zh-CN"/>
            </w:rPr>
            <w:t>2.产出质量（总分13分，得分6分）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_Toc208840345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30</w:t>
          </w:r>
          <w:r>
            <w:rPr>
              <w:rStyle w:val="473"/>
              <w:rFonts w:hint="eastAsia" w:cs="仿宋"/>
              <w:spacing w:val="-2"/>
              <w:lang w:eastAsia="zh-CN"/>
            </w:rPr>
            <w:fldChar w:fldCharType="end"/>
          </w:r>
          <w:r>
            <w:rPr>
              <w:rStyle w:val="473"/>
              <w:rFonts w:hint="eastAsia" w:cs="仿宋"/>
              <w:spacing w:val="-2"/>
              <w:lang w:eastAsia="zh-CN"/>
            </w:rPr>
            <w:fldChar w:fldCharType="end"/>
          </w:r>
        </w:p>
        <w:p w14:paraId="37401968">
          <w:pPr>
            <w:pStyle w:val="75"/>
            <w:tabs>
              <w:tab w:val="right" w:leader="dot" w:pos="9339"/>
            </w:tabs>
            <w:spacing w:line="360" w:lineRule="auto"/>
            <w:rPr>
              <w:rStyle w:val="473"/>
              <w:rFonts w:cs="仿宋"/>
              <w:spacing w:val="-2"/>
            </w:rPr>
          </w:pPr>
          <w:r>
            <w:fldChar w:fldCharType="begin"/>
          </w:r>
          <w:r>
            <w:instrText xml:space="preserve"> HYPERLINK \l "_Toc208840346" </w:instrText>
          </w:r>
          <w:r>
            <w:fldChar w:fldCharType="separate"/>
          </w:r>
          <w:r>
            <w:rPr>
              <w:rStyle w:val="473"/>
              <w:rFonts w:hint="eastAsia" w:ascii="仿宋" w:hAnsi="仿宋" w:eastAsia="仿宋" w:cs="仿宋"/>
              <w:spacing w:val="-2"/>
              <w:sz w:val="24"/>
              <w:szCs w:val="24"/>
              <w:lang w:eastAsia="zh-CN"/>
            </w:rPr>
            <w:t>（四）效益（总分27分，得分25分）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_Toc208840346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31</w:t>
          </w:r>
          <w:r>
            <w:rPr>
              <w:rStyle w:val="473"/>
              <w:rFonts w:hint="eastAsia" w:cs="仿宋"/>
              <w:spacing w:val="-2"/>
              <w:lang w:eastAsia="zh-CN"/>
            </w:rPr>
            <w:fldChar w:fldCharType="end"/>
          </w:r>
          <w:r>
            <w:rPr>
              <w:rStyle w:val="473"/>
              <w:rFonts w:hint="eastAsia" w:cs="仿宋"/>
              <w:spacing w:val="-2"/>
              <w:lang w:eastAsia="zh-CN"/>
            </w:rPr>
            <w:fldChar w:fldCharType="end"/>
          </w:r>
        </w:p>
        <w:p w14:paraId="311B781C">
          <w:pPr>
            <w:pStyle w:val="45"/>
            <w:tabs>
              <w:tab w:val="right" w:leader="dot" w:pos="9339"/>
            </w:tabs>
            <w:spacing w:line="360" w:lineRule="auto"/>
            <w:rPr>
              <w:rStyle w:val="473"/>
              <w:rFonts w:cs="仿宋"/>
              <w:spacing w:val="-2"/>
            </w:rPr>
          </w:pPr>
          <w:r>
            <w:fldChar w:fldCharType="begin"/>
          </w:r>
          <w:r>
            <w:instrText xml:space="preserve"> HYPERLINK \l "_Toc208840347" </w:instrText>
          </w:r>
          <w:r>
            <w:fldChar w:fldCharType="separate"/>
          </w:r>
          <w:r>
            <w:rPr>
              <w:rStyle w:val="473"/>
              <w:rFonts w:hint="eastAsia" w:ascii="仿宋" w:hAnsi="仿宋" w:eastAsia="仿宋" w:cs="仿宋"/>
              <w:spacing w:val="-2"/>
              <w:sz w:val="24"/>
              <w:szCs w:val="24"/>
              <w:lang w:eastAsia="zh-CN"/>
            </w:rPr>
            <w:t>1.社会效益（总分11分，得分11分）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_Toc208840347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31</w:t>
          </w:r>
          <w:r>
            <w:rPr>
              <w:rStyle w:val="473"/>
              <w:rFonts w:hint="eastAsia" w:cs="仿宋"/>
              <w:spacing w:val="-2"/>
              <w:lang w:eastAsia="zh-CN"/>
            </w:rPr>
            <w:fldChar w:fldCharType="end"/>
          </w:r>
          <w:r>
            <w:rPr>
              <w:rStyle w:val="473"/>
              <w:rFonts w:hint="eastAsia" w:cs="仿宋"/>
              <w:spacing w:val="-2"/>
              <w:lang w:eastAsia="zh-CN"/>
            </w:rPr>
            <w:fldChar w:fldCharType="end"/>
          </w:r>
        </w:p>
        <w:p w14:paraId="05DB8F09">
          <w:pPr>
            <w:pStyle w:val="45"/>
            <w:tabs>
              <w:tab w:val="right" w:leader="dot" w:pos="9339"/>
            </w:tabs>
            <w:spacing w:line="360" w:lineRule="auto"/>
            <w:rPr>
              <w:rStyle w:val="473"/>
              <w:rFonts w:cs="仿宋"/>
              <w:spacing w:val="-2"/>
            </w:rPr>
          </w:pPr>
          <w:r>
            <w:fldChar w:fldCharType="begin"/>
          </w:r>
          <w:r>
            <w:instrText xml:space="preserve"> HYPERLINK \l "_Toc208840348" </w:instrText>
          </w:r>
          <w:r>
            <w:fldChar w:fldCharType="separate"/>
          </w:r>
          <w:r>
            <w:rPr>
              <w:rStyle w:val="473"/>
              <w:rFonts w:hint="eastAsia" w:ascii="仿宋" w:hAnsi="仿宋" w:eastAsia="仿宋" w:cs="仿宋"/>
              <w:spacing w:val="-2"/>
              <w:sz w:val="24"/>
              <w:szCs w:val="24"/>
              <w:lang w:eastAsia="zh-CN"/>
            </w:rPr>
            <w:t>2.生态效益（总分12分，得分12分）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_Toc208840348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32</w:t>
          </w:r>
          <w:r>
            <w:rPr>
              <w:rStyle w:val="473"/>
              <w:rFonts w:hint="eastAsia" w:cs="仿宋"/>
              <w:spacing w:val="-2"/>
              <w:lang w:eastAsia="zh-CN"/>
            </w:rPr>
            <w:fldChar w:fldCharType="end"/>
          </w:r>
          <w:r>
            <w:rPr>
              <w:rStyle w:val="473"/>
              <w:rFonts w:hint="eastAsia" w:cs="仿宋"/>
              <w:spacing w:val="-2"/>
              <w:lang w:eastAsia="zh-CN"/>
            </w:rPr>
            <w:fldChar w:fldCharType="end"/>
          </w:r>
        </w:p>
        <w:p w14:paraId="530AFCF9">
          <w:pPr>
            <w:pStyle w:val="45"/>
            <w:tabs>
              <w:tab w:val="right" w:leader="dot" w:pos="9339"/>
            </w:tabs>
            <w:spacing w:line="360" w:lineRule="auto"/>
            <w:rPr>
              <w:rStyle w:val="473"/>
              <w:rFonts w:cs="仿宋"/>
              <w:spacing w:val="-2"/>
            </w:rPr>
          </w:pPr>
          <w:r>
            <w:fldChar w:fldCharType="begin"/>
          </w:r>
          <w:r>
            <w:instrText xml:space="preserve"> HYPERLINK \l "_Toc208840349" </w:instrText>
          </w:r>
          <w:r>
            <w:fldChar w:fldCharType="separate"/>
          </w:r>
          <w:r>
            <w:rPr>
              <w:rStyle w:val="473"/>
              <w:rFonts w:hint="eastAsia" w:ascii="仿宋" w:hAnsi="仿宋" w:eastAsia="仿宋" w:cs="仿宋"/>
              <w:spacing w:val="-2"/>
              <w:sz w:val="24"/>
              <w:szCs w:val="24"/>
              <w:lang w:eastAsia="zh-CN"/>
            </w:rPr>
            <w:t>3.满意度（总分4分，得分2分）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_Toc208840349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33</w:t>
          </w:r>
          <w:r>
            <w:rPr>
              <w:rStyle w:val="473"/>
              <w:rFonts w:hint="eastAsia" w:cs="仿宋"/>
              <w:spacing w:val="-2"/>
              <w:lang w:eastAsia="zh-CN"/>
            </w:rPr>
            <w:fldChar w:fldCharType="end"/>
          </w:r>
          <w:r>
            <w:rPr>
              <w:rStyle w:val="473"/>
              <w:rFonts w:hint="eastAsia" w:cs="仿宋"/>
              <w:spacing w:val="-2"/>
              <w:lang w:eastAsia="zh-CN"/>
            </w:rPr>
            <w:fldChar w:fldCharType="end"/>
          </w:r>
        </w:p>
        <w:p w14:paraId="6797B8D7">
          <w:pPr>
            <w:pStyle w:val="60"/>
            <w:tabs>
              <w:tab w:val="right" w:leader="dot" w:pos="9339"/>
            </w:tabs>
            <w:spacing w:line="360" w:lineRule="auto"/>
            <w:rPr>
              <w:rStyle w:val="473"/>
              <w:rFonts w:cs="仿宋"/>
              <w:spacing w:val="-2"/>
            </w:rPr>
          </w:pPr>
          <w:r>
            <w:fldChar w:fldCharType="begin"/>
          </w:r>
          <w:r>
            <w:instrText xml:space="preserve"> HYPERLINK \l "_Toc208840350" </w:instrText>
          </w:r>
          <w:r>
            <w:fldChar w:fldCharType="separate"/>
          </w:r>
          <w:r>
            <w:rPr>
              <w:rStyle w:val="473"/>
              <w:rFonts w:hint="eastAsia" w:ascii="仿宋" w:hAnsi="仿宋" w:eastAsia="仿宋" w:cs="仿宋"/>
              <w:spacing w:val="-2"/>
              <w:sz w:val="24"/>
              <w:szCs w:val="24"/>
              <w:lang w:eastAsia="zh-CN"/>
            </w:rPr>
            <w:t>七、评价结论及绩效分析</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_Toc208840350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33</w:t>
          </w:r>
          <w:r>
            <w:rPr>
              <w:rStyle w:val="473"/>
              <w:rFonts w:hint="eastAsia" w:cs="仿宋"/>
              <w:spacing w:val="-2"/>
              <w:lang w:eastAsia="zh-CN"/>
            </w:rPr>
            <w:fldChar w:fldCharType="end"/>
          </w:r>
          <w:r>
            <w:rPr>
              <w:rStyle w:val="473"/>
              <w:rFonts w:hint="eastAsia" w:cs="仿宋"/>
              <w:spacing w:val="-2"/>
              <w:lang w:eastAsia="zh-CN"/>
            </w:rPr>
            <w:fldChar w:fldCharType="end"/>
          </w:r>
        </w:p>
        <w:p w14:paraId="429B0EE2">
          <w:pPr>
            <w:pStyle w:val="75"/>
            <w:tabs>
              <w:tab w:val="right" w:leader="dot" w:pos="9339"/>
            </w:tabs>
            <w:spacing w:line="360" w:lineRule="auto"/>
            <w:rPr>
              <w:rStyle w:val="473"/>
              <w:rFonts w:cs="仿宋"/>
              <w:spacing w:val="-2"/>
            </w:rPr>
          </w:pPr>
          <w:r>
            <w:fldChar w:fldCharType="begin"/>
          </w:r>
          <w:r>
            <w:instrText xml:space="preserve"> HYPERLINK \l "_Toc208840351" </w:instrText>
          </w:r>
          <w:r>
            <w:fldChar w:fldCharType="separate"/>
          </w:r>
          <w:r>
            <w:rPr>
              <w:rStyle w:val="473"/>
              <w:rFonts w:hint="eastAsia" w:ascii="仿宋" w:hAnsi="仿宋" w:eastAsia="仿宋" w:cs="仿宋"/>
              <w:spacing w:val="-2"/>
              <w:sz w:val="24"/>
              <w:szCs w:val="24"/>
              <w:lang w:eastAsia="zh-CN"/>
            </w:rPr>
            <w:t>（一）绩效评价结论</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_Toc208840351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33</w:t>
          </w:r>
          <w:r>
            <w:rPr>
              <w:rStyle w:val="473"/>
              <w:rFonts w:hint="eastAsia" w:cs="仿宋"/>
              <w:spacing w:val="-2"/>
              <w:lang w:eastAsia="zh-CN"/>
            </w:rPr>
            <w:fldChar w:fldCharType="end"/>
          </w:r>
          <w:r>
            <w:rPr>
              <w:rStyle w:val="473"/>
              <w:rFonts w:hint="eastAsia" w:cs="仿宋"/>
              <w:spacing w:val="-2"/>
              <w:lang w:eastAsia="zh-CN"/>
            </w:rPr>
            <w:fldChar w:fldCharType="end"/>
          </w:r>
        </w:p>
        <w:p w14:paraId="5196DAD4">
          <w:pPr>
            <w:pStyle w:val="75"/>
            <w:tabs>
              <w:tab w:val="right" w:leader="dot" w:pos="9339"/>
            </w:tabs>
            <w:spacing w:line="360" w:lineRule="auto"/>
            <w:rPr>
              <w:rStyle w:val="473"/>
              <w:rFonts w:cs="仿宋"/>
              <w:spacing w:val="-2"/>
            </w:rPr>
          </w:pPr>
          <w:r>
            <w:fldChar w:fldCharType="begin"/>
          </w:r>
          <w:r>
            <w:instrText xml:space="preserve"> HYPERLINK \l "_Toc208840352" </w:instrText>
          </w:r>
          <w:r>
            <w:fldChar w:fldCharType="separate"/>
          </w:r>
          <w:r>
            <w:rPr>
              <w:rStyle w:val="473"/>
              <w:rFonts w:hint="eastAsia" w:ascii="仿宋" w:hAnsi="仿宋" w:eastAsia="仿宋" w:cs="仿宋"/>
              <w:spacing w:val="-2"/>
              <w:sz w:val="24"/>
              <w:szCs w:val="24"/>
              <w:lang w:eastAsia="zh-CN"/>
            </w:rPr>
            <w:t>（二）扣分项目</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_Toc208840352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33</w:t>
          </w:r>
          <w:r>
            <w:rPr>
              <w:rStyle w:val="473"/>
              <w:rFonts w:hint="eastAsia" w:cs="仿宋"/>
              <w:spacing w:val="-2"/>
              <w:lang w:eastAsia="zh-CN"/>
            </w:rPr>
            <w:fldChar w:fldCharType="end"/>
          </w:r>
          <w:r>
            <w:rPr>
              <w:rStyle w:val="473"/>
              <w:rFonts w:hint="eastAsia" w:cs="仿宋"/>
              <w:spacing w:val="-2"/>
              <w:lang w:eastAsia="zh-CN"/>
            </w:rPr>
            <w:fldChar w:fldCharType="end"/>
          </w:r>
        </w:p>
        <w:p w14:paraId="2355D1FB">
          <w:pPr>
            <w:pStyle w:val="60"/>
            <w:tabs>
              <w:tab w:val="right" w:leader="dot" w:pos="9339"/>
            </w:tabs>
            <w:spacing w:line="360" w:lineRule="auto"/>
            <w:rPr>
              <w:rStyle w:val="473"/>
              <w:rFonts w:cs="仿宋"/>
              <w:spacing w:val="-2"/>
            </w:rPr>
          </w:pPr>
          <w:r>
            <w:fldChar w:fldCharType="begin"/>
          </w:r>
          <w:r>
            <w:instrText xml:space="preserve"> HYPERLINK \l "_Toc208840353" </w:instrText>
          </w:r>
          <w:r>
            <w:fldChar w:fldCharType="separate"/>
          </w:r>
          <w:r>
            <w:rPr>
              <w:rStyle w:val="473"/>
              <w:rFonts w:hint="eastAsia" w:ascii="仿宋" w:hAnsi="仿宋" w:eastAsia="仿宋" w:cs="仿宋"/>
              <w:spacing w:val="-2"/>
              <w:sz w:val="24"/>
              <w:szCs w:val="24"/>
              <w:lang w:eastAsia="zh-CN"/>
            </w:rPr>
            <w:t>八、主要成效</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_Toc208840353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33</w:t>
          </w:r>
          <w:r>
            <w:rPr>
              <w:rStyle w:val="473"/>
              <w:rFonts w:hint="eastAsia" w:cs="仿宋"/>
              <w:spacing w:val="-2"/>
              <w:lang w:eastAsia="zh-CN"/>
            </w:rPr>
            <w:fldChar w:fldCharType="end"/>
          </w:r>
          <w:r>
            <w:rPr>
              <w:rStyle w:val="473"/>
              <w:rFonts w:hint="eastAsia" w:cs="仿宋"/>
              <w:spacing w:val="-2"/>
              <w:lang w:eastAsia="zh-CN"/>
            </w:rPr>
            <w:fldChar w:fldCharType="end"/>
          </w:r>
        </w:p>
        <w:p w14:paraId="2E65514B">
          <w:pPr>
            <w:pStyle w:val="60"/>
            <w:tabs>
              <w:tab w:val="right" w:leader="dot" w:pos="9339"/>
            </w:tabs>
            <w:spacing w:line="360" w:lineRule="auto"/>
            <w:rPr>
              <w:rStyle w:val="473"/>
              <w:rFonts w:cs="仿宋"/>
              <w:spacing w:val="-2"/>
            </w:rPr>
          </w:pPr>
          <w:r>
            <w:fldChar w:fldCharType="begin"/>
          </w:r>
          <w:r>
            <w:instrText xml:space="preserve"> HYPERLINK \l "_Toc208840354" </w:instrText>
          </w:r>
          <w:r>
            <w:fldChar w:fldCharType="separate"/>
          </w:r>
          <w:r>
            <w:rPr>
              <w:rStyle w:val="473"/>
              <w:rFonts w:hint="eastAsia" w:ascii="仿宋" w:hAnsi="仿宋" w:eastAsia="仿宋" w:cs="仿宋"/>
              <w:spacing w:val="-2"/>
              <w:sz w:val="24"/>
              <w:szCs w:val="24"/>
              <w:lang w:eastAsia="zh-CN"/>
            </w:rPr>
            <w:t>九、存在问题</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_Toc208840354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34</w:t>
          </w:r>
          <w:r>
            <w:rPr>
              <w:rStyle w:val="473"/>
              <w:rFonts w:hint="eastAsia" w:cs="仿宋"/>
              <w:spacing w:val="-2"/>
              <w:lang w:eastAsia="zh-CN"/>
            </w:rPr>
            <w:fldChar w:fldCharType="end"/>
          </w:r>
          <w:r>
            <w:rPr>
              <w:rStyle w:val="473"/>
              <w:rFonts w:hint="eastAsia" w:cs="仿宋"/>
              <w:spacing w:val="-2"/>
              <w:lang w:eastAsia="zh-CN"/>
            </w:rPr>
            <w:fldChar w:fldCharType="end"/>
          </w:r>
        </w:p>
        <w:p w14:paraId="7FEC6C2E">
          <w:pPr>
            <w:pStyle w:val="75"/>
            <w:tabs>
              <w:tab w:val="right" w:leader="dot" w:pos="9339"/>
            </w:tabs>
            <w:spacing w:line="360" w:lineRule="auto"/>
            <w:rPr>
              <w:rStyle w:val="473"/>
              <w:rFonts w:cs="仿宋"/>
              <w:spacing w:val="-2"/>
            </w:rPr>
          </w:pPr>
          <w:r>
            <w:fldChar w:fldCharType="begin"/>
          </w:r>
          <w:r>
            <w:instrText xml:space="preserve"> HYPERLINK \l "_Toc208840355" </w:instrText>
          </w:r>
          <w:r>
            <w:fldChar w:fldCharType="separate"/>
          </w:r>
          <w:r>
            <w:rPr>
              <w:rStyle w:val="473"/>
              <w:rFonts w:hint="eastAsia" w:ascii="仿宋" w:hAnsi="仿宋" w:eastAsia="仿宋" w:cs="仿宋"/>
              <w:spacing w:val="-2"/>
              <w:sz w:val="24"/>
              <w:szCs w:val="24"/>
              <w:lang w:eastAsia="zh-CN"/>
            </w:rPr>
            <w:t>（一）部分绩效目标设置不合理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_Toc208840355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34</w:t>
          </w:r>
          <w:r>
            <w:rPr>
              <w:rStyle w:val="473"/>
              <w:rFonts w:hint="eastAsia" w:cs="仿宋"/>
              <w:spacing w:val="-2"/>
              <w:lang w:eastAsia="zh-CN"/>
            </w:rPr>
            <w:fldChar w:fldCharType="end"/>
          </w:r>
          <w:r>
            <w:rPr>
              <w:rStyle w:val="473"/>
              <w:rFonts w:hint="eastAsia" w:cs="仿宋"/>
              <w:spacing w:val="-2"/>
              <w:lang w:eastAsia="zh-CN"/>
            </w:rPr>
            <w:fldChar w:fldCharType="end"/>
          </w:r>
        </w:p>
        <w:p w14:paraId="2BFF1AEC">
          <w:pPr>
            <w:pStyle w:val="75"/>
            <w:tabs>
              <w:tab w:val="right" w:leader="dot" w:pos="9339"/>
            </w:tabs>
            <w:spacing w:line="360" w:lineRule="auto"/>
            <w:rPr>
              <w:rStyle w:val="473"/>
              <w:rFonts w:cs="仿宋"/>
              <w:spacing w:val="-2"/>
            </w:rPr>
          </w:pPr>
          <w:r>
            <w:fldChar w:fldCharType="begin"/>
          </w:r>
          <w:r>
            <w:instrText xml:space="preserve"> HYPERLINK \l "_Toc208840356" </w:instrText>
          </w:r>
          <w:r>
            <w:fldChar w:fldCharType="separate"/>
          </w:r>
          <w:r>
            <w:rPr>
              <w:rStyle w:val="473"/>
              <w:rFonts w:hint="eastAsia" w:ascii="仿宋" w:hAnsi="仿宋" w:eastAsia="仿宋" w:cs="仿宋"/>
              <w:spacing w:val="-2"/>
              <w:sz w:val="24"/>
              <w:szCs w:val="24"/>
              <w:lang w:eastAsia="zh-CN"/>
            </w:rPr>
            <w:t>（二）预算调整率偏高，预算编制不够精准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_Toc208840356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35</w:t>
          </w:r>
          <w:r>
            <w:rPr>
              <w:rStyle w:val="473"/>
              <w:rFonts w:hint="eastAsia" w:cs="仿宋"/>
              <w:spacing w:val="-2"/>
              <w:lang w:eastAsia="zh-CN"/>
            </w:rPr>
            <w:fldChar w:fldCharType="end"/>
          </w:r>
          <w:r>
            <w:rPr>
              <w:rStyle w:val="473"/>
              <w:rFonts w:hint="eastAsia" w:cs="仿宋"/>
              <w:spacing w:val="-2"/>
              <w:lang w:eastAsia="zh-CN"/>
            </w:rPr>
            <w:fldChar w:fldCharType="end"/>
          </w:r>
        </w:p>
        <w:p w14:paraId="74B88D19">
          <w:pPr>
            <w:pStyle w:val="75"/>
            <w:tabs>
              <w:tab w:val="right" w:leader="dot" w:pos="9339"/>
            </w:tabs>
            <w:spacing w:line="360" w:lineRule="auto"/>
            <w:rPr>
              <w:rStyle w:val="473"/>
              <w:rFonts w:cs="仿宋"/>
              <w:spacing w:val="-2"/>
            </w:rPr>
          </w:pPr>
          <w:r>
            <w:fldChar w:fldCharType="begin"/>
          </w:r>
          <w:r>
            <w:instrText xml:space="preserve"> HYPERLINK \l "_Toc208840357" </w:instrText>
          </w:r>
          <w:r>
            <w:fldChar w:fldCharType="separate"/>
          </w:r>
          <w:r>
            <w:rPr>
              <w:rStyle w:val="473"/>
              <w:rFonts w:hint="eastAsia" w:ascii="仿宋" w:hAnsi="仿宋" w:eastAsia="仿宋" w:cs="仿宋"/>
              <w:spacing w:val="-2"/>
              <w:sz w:val="24"/>
              <w:szCs w:val="24"/>
              <w:lang w:eastAsia="zh-CN"/>
            </w:rPr>
            <w:t>（三）会计核算不够规范</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_Toc208840357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35</w:t>
          </w:r>
          <w:r>
            <w:rPr>
              <w:rStyle w:val="473"/>
              <w:rFonts w:hint="eastAsia" w:cs="仿宋"/>
              <w:spacing w:val="-2"/>
              <w:lang w:eastAsia="zh-CN"/>
            </w:rPr>
            <w:fldChar w:fldCharType="end"/>
          </w:r>
          <w:r>
            <w:rPr>
              <w:rStyle w:val="473"/>
              <w:rFonts w:hint="eastAsia" w:cs="仿宋"/>
              <w:spacing w:val="-2"/>
              <w:lang w:eastAsia="zh-CN"/>
            </w:rPr>
            <w:fldChar w:fldCharType="end"/>
          </w:r>
        </w:p>
        <w:p w14:paraId="6709EF37">
          <w:pPr>
            <w:pStyle w:val="75"/>
            <w:tabs>
              <w:tab w:val="right" w:leader="dot" w:pos="9339"/>
            </w:tabs>
            <w:spacing w:line="360" w:lineRule="auto"/>
            <w:rPr>
              <w:rStyle w:val="473"/>
              <w:rFonts w:cs="仿宋"/>
              <w:spacing w:val="-2"/>
            </w:rPr>
          </w:pPr>
          <w:r>
            <w:fldChar w:fldCharType="begin"/>
          </w:r>
          <w:r>
            <w:instrText xml:space="preserve"> HYPERLINK \l "_Toc208840358" </w:instrText>
          </w:r>
          <w:r>
            <w:fldChar w:fldCharType="separate"/>
          </w:r>
          <w:r>
            <w:rPr>
              <w:rStyle w:val="473"/>
              <w:rFonts w:hint="eastAsia" w:ascii="仿宋" w:hAnsi="仿宋" w:eastAsia="仿宋" w:cs="仿宋"/>
              <w:spacing w:val="-2"/>
              <w:sz w:val="24"/>
              <w:szCs w:val="24"/>
              <w:lang w:eastAsia="zh-CN"/>
            </w:rPr>
            <w:t>（四）对污水水质监测过度依赖承包方</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_Toc208840358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35</w:t>
          </w:r>
          <w:r>
            <w:rPr>
              <w:rStyle w:val="473"/>
              <w:rFonts w:hint="eastAsia" w:cs="仿宋"/>
              <w:spacing w:val="-2"/>
              <w:lang w:eastAsia="zh-CN"/>
            </w:rPr>
            <w:fldChar w:fldCharType="end"/>
          </w:r>
          <w:r>
            <w:rPr>
              <w:rStyle w:val="473"/>
              <w:rFonts w:hint="eastAsia" w:cs="仿宋"/>
              <w:spacing w:val="-2"/>
              <w:lang w:eastAsia="zh-CN"/>
            </w:rPr>
            <w:fldChar w:fldCharType="end"/>
          </w:r>
        </w:p>
        <w:p w14:paraId="032B09FE">
          <w:pPr>
            <w:pStyle w:val="75"/>
            <w:tabs>
              <w:tab w:val="right" w:leader="dot" w:pos="9339"/>
            </w:tabs>
            <w:spacing w:line="360" w:lineRule="auto"/>
            <w:rPr>
              <w:rStyle w:val="473"/>
              <w:rFonts w:cs="仿宋"/>
              <w:spacing w:val="-2"/>
            </w:rPr>
          </w:pPr>
          <w:r>
            <w:fldChar w:fldCharType="begin"/>
          </w:r>
          <w:r>
            <w:instrText xml:space="preserve"> HYPERLINK \l "_Toc208840359" </w:instrText>
          </w:r>
          <w:r>
            <w:fldChar w:fldCharType="separate"/>
          </w:r>
          <w:r>
            <w:rPr>
              <w:rStyle w:val="473"/>
              <w:rFonts w:hint="eastAsia" w:ascii="仿宋" w:hAnsi="仿宋" w:eastAsia="仿宋" w:cs="仿宋"/>
              <w:spacing w:val="-2"/>
              <w:sz w:val="24"/>
              <w:szCs w:val="24"/>
              <w:lang w:eastAsia="zh-CN"/>
            </w:rPr>
            <w:t>（五）路灯维护存在滞后性</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_Toc208840359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36</w:t>
          </w:r>
          <w:r>
            <w:rPr>
              <w:rStyle w:val="473"/>
              <w:rFonts w:hint="eastAsia" w:cs="仿宋"/>
              <w:spacing w:val="-2"/>
              <w:lang w:eastAsia="zh-CN"/>
            </w:rPr>
            <w:fldChar w:fldCharType="end"/>
          </w:r>
          <w:r>
            <w:rPr>
              <w:rStyle w:val="473"/>
              <w:rFonts w:hint="eastAsia" w:cs="仿宋"/>
              <w:spacing w:val="-2"/>
              <w:lang w:eastAsia="zh-CN"/>
            </w:rPr>
            <w:fldChar w:fldCharType="end"/>
          </w:r>
        </w:p>
        <w:p w14:paraId="252B162A">
          <w:pPr>
            <w:pStyle w:val="75"/>
            <w:tabs>
              <w:tab w:val="right" w:leader="dot" w:pos="9339"/>
            </w:tabs>
            <w:spacing w:line="360" w:lineRule="auto"/>
            <w:rPr>
              <w:rStyle w:val="473"/>
              <w:rFonts w:cs="仿宋"/>
              <w:spacing w:val="-2"/>
            </w:rPr>
          </w:pPr>
          <w:r>
            <w:fldChar w:fldCharType="begin"/>
          </w:r>
          <w:r>
            <w:instrText xml:space="preserve"> HYPERLINK \l "_Toc208840360" </w:instrText>
          </w:r>
          <w:r>
            <w:fldChar w:fldCharType="separate"/>
          </w:r>
          <w:r>
            <w:rPr>
              <w:rStyle w:val="473"/>
              <w:rFonts w:hint="eastAsia" w:ascii="仿宋" w:hAnsi="仿宋" w:eastAsia="仿宋" w:cs="仿宋"/>
              <w:spacing w:val="-2"/>
              <w:sz w:val="24"/>
              <w:szCs w:val="24"/>
              <w:lang w:eastAsia="zh-CN"/>
            </w:rPr>
            <w:t>（六）对承包方的监督力度不足，考评成效不明显</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_Toc208840360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36</w:t>
          </w:r>
          <w:r>
            <w:rPr>
              <w:rStyle w:val="473"/>
              <w:rFonts w:hint="eastAsia" w:cs="仿宋"/>
              <w:spacing w:val="-2"/>
              <w:lang w:eastAsia="zh-CN"/>
            </w:rPr>
            <w:fldChar w:fldCharType="end"/>
          </w:r>
          <w:r>
            <w:rPr>
              <w:rStyle w:val="473"/>
              <w:rFonts w:hint="eastAsia" w:cs="仿宋"/>
              <w:spacing w:val="-2"/>
              <w:lang w:eastAsia="zh-CN"/>
            </w:rPr>
            <w:fldChar w:fldCharType="end"/>
          </w:r>
        </w:p>
        <w:p w14:paraId="00FE0847">
          <w:pPr>
            <w:pStyle w:val="60"/>
            <w:tabs>
              <w:tab w:val="right" w:leader="dot" w:pos="9339"/>
            </w:tabs>
            <w:spacing w:line="360" w:lineRule="auto"/>
            <w:rPr>
              <w:rStyle w:val="473"/>
              <w:rFonts w:cs="仿宋"/>
              <w:spacing w:val="-2"/>
            </w:rPr>
          </w:pPr>
          <w:r>
            <w:fldChar w:fldCharType="begin"/>
          </w:r>
          <w:r>
            <w:instrText xml:space="preserve"> HYPERLINK \l "_Toc208840361" </w:instrText>
          </w:r>
          <w:r>
            <w:fldChar w:fldCharType="separate"/>
          </w:r>
          <w:r>
            <w:rPr>
              <w:rStyle w:val="473"/>
              <w:rFonts w:hint="eastAsia" w:ascii="仿宋" w:hAnsi="仿宋" w:eastAsia="仿宋" w:cs="仿宋"/>
              <w:spacing w:val="-2"/>
              <w:sz w:val="24"/>
              <w:szCs w:val="24"/>
              <w:lang w:eastAsia="zh-CN"/>
            </w:rPr>
            <w:t>十、提出建议</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_Toc208840361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36</w:t>
          </w:r>
          <w:r>
            <w:rPr>
              <w:rStyle w:val="473"/>
              <w:rFonts w:hint="eastAsia" w:cs="仿宋"/>
              <w:spacing w:val="-2"/>
              <w:lang w:eastAsia="zh-CN"/>
            </w:rPr>
            <w:fldChar w:fldCharType="end"/>
          </w:r>
          <w:r>
            <w:rPr>
              <w:rStyle w:val="473"/>
              <w:rFonts w:hint="eastAsia" w:cs="仿宋"/>
              <w:spacing w:val="-2"/>
              <w:lang w:eastAsia="zh-CN"/>
            </w:rPr>
            <w:fldChar w:fldCharType="end"/>
          </w:r>
        </w:p>
        <w:p w14:paraId="2C904D0F">
          <w:pPr>
            <w:pStyle w:val="75"/>
            <w:tabs>
              <w:tab w:val="right" w:leader="dot" w:pos="9339"/>
            </w:tabs>
            <w:spacing w:line="360" w:lineRule="auto"/>
            <w:rPr>
              <w:rStyle w:val="473"/>
              <w:rFonts w:cs="仿宋"/>
              <w:spacing w:val="-2"/>
            </w:rPr>
          </w:pPr>
          <w:r>
            <w:fldChar w:fldCharType="begin"/>
          </w:r>
          <w:r>
            <w:instrText xml:space="preserve"> HYPERLINK \l "_Toc208840362" </w:instrText>
          </w:r>
          <w:r>
            <w:fldChar w:fldCharType="separate"/>
          </w:r>
          <w:r>
            <w:rPr>
              <w:rStyle w:val="473"/>
              <w:rFonts w:hint="eastAsia" w:ascii="仿宋" w:hAnsi="仿宋" w:eastAsia="仿宋" w:cs="仿宋"/>
              <w:spacing w:val="-2"/>
              <w:sz w:val="24"/>
              <w:szCs w:val="24"/>
              <w:lang w:eastAsia="zh-CN"/>
            </w:rPr>
            <w:t>（一）加强绩效指标设置水平，提高绩效自评效益</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_Toc208840362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36</w:t>
          </w:r>
          <w:r>
            <w:rPr>
              <w:rStyle w:val="473"/>
              <w:rFonts w:hint="eastAsia" w:cs="仿宋"/>
              <w:spacing w:val="-2"/>
              <w:lang w:eastAsia="zh-CN"/>
            </w:rPr>
            <w:fldChar w:fldCharType="end"/>
          </w:r>
          <w:r>
            <w:rPr>
              <w:rStyle w:val="473"/>
              <w:rFonts w:hint="eastAsia" w:cs="仿宋"/>
              <w:spacing w:val="-2"/>
              <w:lang w:eastAsia="zh-CN"/>
            </w:rPr>
            <w:fldChar w:fldCharType="end"/>
          </w:r>
        </w:p>
        <w:p w14:paraId="36E8F3F2">
          <w:pPr>
            <w:pStyle w:val="75"/>
            <w:tabs>
              <w:tab w:val="right" w:leader="dot" w:pos="9339"/>
            </w:tabs>
            <w:spacing w:line="360" w:lineRule="auto"/>
            <w:rPr>
              <w:rStyle w:val="473"/>
              <w:rFonts w:cs="仿宋"/>
              <w:spacing w:val="-2"/>
            </w:rPr>
          </w:pPr>
          <w:r>
            <w:fldChar w:fldCharType="begin"/>
          </w:r>
          <w:r>
            <w:instrText xml:space="preserve"> HYPERLINK \l "_Toc208840363" </w:instrText>
          </w:r>
          <w:r>
            <w:fldChar w:fldCharType="separate"/>
          </w:r>
          <w:r>
            <w:rPr>
              <w:rStyle w:val="473"/>
              <w:rFonts w:hint="eastAsia" w:ascii="仿宋" w:hAnsi="仿宋" w:eastAsia="仿宋" w:cs="仿宋"/>
              <w:spacing w:val="-2"/>
              <w:sz w:val="24"/>
              <w:szCs w:val="24"/>
              <w:lang w:eastAsia="zh-CN"/>
            </w:rPr>
            <w:t>（二）加强预算的科学性，降低预算调整率</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_Toc208840363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37</w:t>
          </w:r>
          <w:r>
            <w:rPr>
              <w:rStyle w:val="473"/>
              <w:rFonts w:hint="eastAsia" w:cs="仿宋"/>
              <w:spacing w:val="-2"/>
              <w:lang w:eastAsia="zh-CN"/>
            </w:rPr>
            <w:fldChar w:fldCharType="end"/>
          </w:r>
          <w:r>
            <w:rPr>
              <w:rStyle w:val="473"/>
              <w:rFonts w:hint="eastAsia" w:cs="仿宋"/>
              <w:spacing w:val="-2"/>
              <w:lang w:eastAsia="zh-CN"/>
            </w:rPr>
            <w:fldChar w:fldCharType="end"/>
          </w:r>
        </w:p>
        <w:p w14:paraId="21E3526F">
          <w:pPr>
            <w:pStyle w:val="75"/>
            <w:tabs>
              <w:tab w:val="right" w:leader="dot" w:pos="9339"/>
            </w:tabs>
            <w:spacing w:line="360" w:lineRule="auto"/>
            <w:rPr>
              <w:rStyle w:val="473"/>
              <w:rFonts w:cs="仿宋"/>
              <w:spacing w:val="-2"/>
            </w:rPr>
          </w:pPr>
          <w:r>
            <w:fldChar w:fldCharType="begin"/>
          </w:r>
          <w:r>
            <w:instrText xml:space="preserve"> HYPERLINK \l "_Toc208840364" </w:instrText>
          </w:r>
          <w:r>
            <w:fldChar w:fldCharType="separate"/>
          </w:r>
          <w:r>
            <w:rPr>
              <w:rStyle w:val="473"/>
              <w:rFonts w:hint="eastAsia" w:ascii="仿宋" w:hAnsi="仿宋" w:eastAsia="仿宋" w:cs="仿宋"/>
              <w:spacing w:val="-2"/>
              <w:sz w:val="24"/>
              <w:szCs w:val="24"/>
              <w:lang w:eastAsia="zh-CN"/>
            </w:rPr>
            <w:t>（三）加强财务核算规范性</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_Toc208840364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37</w:t>
          </w:r>
          <w:r>
            <w:rPr>
              <w:rStyle w:val="473"/>
              <w:rFonts w:hint="eastAsia" w:cs="仿宋"/>
              <w:spacing w:val="-2"/>
              <w:lang w:eastAsia="zh-CN"/>
            </w:rPr>
            <w:fldChar w:fldCharType="end"/>
          </w:r>
          <w:r>
            <w:rPr>
              <w:rStyle w:val="473"/>
              <w:rFonts w:hint="eastAsia" w:cs="仿宋"/>
              <w:spacing w:val="-2"/>
              <w:lang w:eastAsia="zh-CN"/>
            </w:rPr>
            <w:fldChar w:fldCharType="end"/>
          </w:r>
        </w:p>
        <w:p w14:paraId="28DE4172">
          <w:pPr>
            <w:pStyle w:val="75"/>
            <w:tabs>
              <w:tab w:val="right" w:leader="dot" w:pos="9339"/>
            </w:tabs>
            <w:spacing w:line="360" w:lineRule="auto"/>
            <w:rPr>
              <w:rStyle w:val="473"/>
              <w:rFonts w:cs="仿宋"/>
              <w:spacing w:val="-2"/>
            </w:rPr>
          </w:pPr>
          <w:r>
            <w:fldChar w:fldCharType="begin"/>
          </w:r>
          <w:r>
            <w:instrText xml:space="preserve"> HYPERLINK \l "_Toc208840365" </w:instrText>
          </w:r>
          <w:r>
            <w:fldChar w:fldCharType="separate"/>
          </w:r>
          <w:r>
            <w:rPr>
              <w:rStyle w:val="473"/>
              <w:rFonts w:hint="eastAsia" w:ascii="仿宋" w:hAnsi="仿宋" w:eastAsia="仿宋" w:cs="仿宋"/>
              <w:spacing w:val="-2"/>
              <w:sz w:val="24"/>
              <w:szCs w:val="24"/>
              <w:lang w:eastAsia="zh-CN"/>
            </w:rPr>
            <w:t>（四）加强主观能动性，降低对承包方的依赖</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_Toc208840365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37</w:t>
          </w:r>
          <w:r>
            <w:rPr>
              <w:rStyle w:val="473"/>
              <w:rFonts w:hint="eastAsia" w:cs="仿宋"/>
              <w:spacing w:val="-2"/>
              <w:lang w:eastAsia="zh-CN"/>
            </w:rPr>
            <w:fldChar w:fldCharType="end"/>
          </w:r>
          <w:r>
            <w:rPr>
              <w:rStyle w:val="473"/>
              <w:rFonts w:hint="eastAsia" w:cs="仿宋"/>
              <w:spacing w:val="-2"/>
              <w:lang w:eastAsia="zh-CN"/>
            </w:rPr>
            <w:fldChar w:fldCharType="end"/>
          </w:r>
        </w:p>
        <w:p w14:paraId="71817313">
          <w:pPr>
            <w:pStyle w:val="75"/>
            <w:tabs>
              <w:tab w:val="right" w:leader="dot" w:pos="9339"/>
            </w:tabs>
            <w:spacing w:line="360" w:lineRule="auto"/>
            <w:rPr>
              <w:rStyle w:val="473"/>
              <w:rFonts w:cs="仿宋"/>
              <w:spacing w:val="-2"/>
            </w:rPr>
          </w:pPr>
          <w:r>
            <w:fldChar w:fldCharType="begin"/>
          </w:r>
          <w:r>
            <w:instrText xml:space="preserve"> HYPERLINK \l "_Toc208840366" </w:instrText>
          </w:r>
          <w:r>
            <w:fldChar w:fldCharType="separate"/>
          </w:r>
          <w:r>
            <w:rPr>
              <w:rStyle w:val="473"/>
              <w:rFonts w:hint="eastAsia" w:ascii="仿宋" w:hAnsi="仿宋" w:eastAsia="仿宋" w:cs="仿宋"/>
              <w:spacing w:val="-2"/>
              <w:sz w:val="24"/>
              <w:szCs w:val="24"/>
              <w:lang w:eastAsia="zh-CN"/>
            </w:rPr>
            <w:t>（五）加强对路灯维护的预防性措施</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_Toc208840366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37</w:t>
          </w:r>
          <w:r>
            <w:rPr>
              <w:rStyle w:val="473"/>
              <w:rFonts w:hint="eastAsia" w:cs="仿宋"/>
              <w:spacing w:val="-2"/>
              <w:lang w:eastAsia="zh-CN"/>
            </w:rPr>
            <w:fldChar w:fldCharType="end"/>
          </w:r>
          <w:r>
            <w:rPr>
              <w:rStyle w:val="473"/>
              <w:rFonts w:hint="eastAsia" w:cs="仿宋"/>
              <w:spacing w:val="-2"/>
              <w:lang w:eastAsia="zh-CN"/>
            </w:rPr>
            <w:fldChar w:fldCharType="end"/>
          </w:r>
        </w:p>
        <w:p w14:paraId="0E2896BE">
          <w:pPr>
            <w:pStyle w:val="75"/>
            <w:tabs>
              <w:tab w:val="right" w:leader="dot" w:pos="9339"/>
            </w:tabs>
            <w:spacing w:line="360" w:lineRule="auto"/>
            <w:rPr>
              <w:rStyle w:val="473"/>
              <w:rFonts w:cs="仿宋"/>
              <w:spacing w:val="-2"/>
            </w:rPr>
          </w:pPr>
          <w:r>
            <w:fldChar w:fldCharType="begin"/>
          </w:r>
          <w:r>
            <w:instrText xml:space="preserve"> HYPERLINK \l "_Toc208840367" </w:instrText>
          </w:r>
          <w:r>
            <w:fldChar w:fldCharType="separate"/>
          </w:r>
          <w:r>
            <w:rPr>
              <w:rStyle w:val="473"/>
              <w:rFonts w:hint="eastAsia" w:ascii="仿宋" w:hAnsi="仿宋" w:eastAsia="仿宋" w:cs="仿宋"/>
              <w:spacing w:val="-2"/>
              <w:sz w:val="24"/>
              <w:szCs w:val="24"/>
              <w:lang w:eastAsia="zh-CN"/>
            </w:rPr>
            <w:t>（六）加强对承包方的监督力度，提高承包方内部管理</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_Toc208840367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38</w:t>
          </w:r>
          <w:r>
            <w:rPr>
              <w:rStyle w:val="473"/>
              <w:rFonts w:hint="eastAsia" w:cs="仿宋"/>
              <w:spacing w:val="-2"/>
              <w:lang w:eastAsia="zh-CN"/>
            </w:rPr>
            <w:fldChar w:fldCharType="end"/>
          </w:r>
          <w:r>
            <w:rPr>
              <w:rStyle w:val="473"/>
              <w:rFonts w:hint="eastAsia" w:cs="仿宋"/>
              <w:spacing w:val="-2"/>
              <w:lang w:eastAsia="zh-CN"/>
            </w:rPr>
            <w:fldChar w:fldCharType="end"/>
          </w:r>
        </w:p>
        <w:p w14:paraId="462BADCC">
          <w:pPr>
            <w:pStyle w:val="60"/>
            <w:tabs>
              <w:tab w:val="right" w:leader="dot" w:pos="9339"/>
            </w:tabs>
            <w:spacing w:line="360" w:lineRule="auto"/>
            <w:rPr>
              <w:rStyle w:val="473"/>
              <w:rFonts w:cs="仿宋"/>
              <w:spacing w:val="-2"/>
            </w:rPr>
          </w:pPr>
          <w:r>
            <w:fldChar w:fldCharType="begin"/>
          </w:r>
          <w:r>
            <w:instrText xml:space="preserve"> HYPERLINK \l "_Toc208840368" </w:instrText>
          </w:r>
          <w:r>
            <w:fldChar w:fldCharType="separate"/>
          </w:r>
          <w:r>
            <w:rPr>
              <w:rStyle w:val="473"/>
              <w:rFonts w:hint="eastAsia" w:ascii="仿宋" w:hAnsi="仿宋" w:eastAsia="仿宋" w:cs="仿宋"/>
              <w:spacing w:val="-2"/>
              <w:sz w:val="24"/>
              <w:szCs w:val="24"/>
              <w:lang w:eastAsia="zh-CN"/>
            </w:rPr>
            <w:t>十一、其他需说明事项</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_Toc208840368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38</w:t>
          </w:r>
          <w:r>
            <w:rPr>
              <w:rStyle w:val="473"/>
              <w:rFonts w:hint="eastAsia" w:cs="仿宋"/>
              <w:spacing w:val="-2"/>
              <w:lang w:eastAsia="zh-CN"/>
            </w:rPr>
            <w:fldChar w:fldCharType="end"/>
          </w:r>
          <w:r>
            <w:rPr>
              <w:rStyle w:val="473"/>
              <w:rFonts w:hint="eastAsia" w:cs="仿宋"/>
              <w:spacing w:val="-2"/>
              <w:lang w:eastAsia="zh-CN"/>
            </w:rPr>
            <w:fldChar w:fldCharType="end"/>
          </w:r>
        </w:p>
        <w:p w14:paraId="14B73C7C">
          <w:pPr>
            <w:pStyle w:val="60"/>
            <w:tabs>
              <w:tab w:val="right" w:leader="dot" w:pos="9339"/>
            </w:tabs>
            <w:spacing w:line="360" w:lineRule="auto"/>
            <w:rPr>
              <w:rStyle w:val="473"/>
              <w:rFonts w:cs="仿宋"/>
              <w:spacing w:val="-2"/>
            </w:rPr>
          </w:pPr>
          <w:r>
            <w:fldChar w:fldCharType="begin"/>
          </w:r>
          <w:r>
            <w:instrText xml:space="preserve"> HYPERLINK \l "_Toc208840369" </w:instrText>
          </w:r>
          <w:r>
            <w:fldChar w:fldCharType="separate"/>
          </w:r>
          <w:r>
            <w:rPr>
              <w:rStyle w:val="473"/>
              <w:rFonts w:hint="eastAsia" w:ascii="仿宋" w:hAnsi="仿宋" w:eastAsia="仿宋" w:cs="仿宋"/>
              <w:spacing w:val="-2"/>
              <w:sz w:val="24"/>
              <w:szCs w:val="24"/>
              <w:lang w:eastAsia="zh-CN"/>
            </w:rPr>
            <w:t>附件一：调查问卷</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_Toc208840369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39</w:t>
          </w:r>
          <w:r>
            <w:rPr>
              <w:rStyle w:val="473"/>
              <w:rFonts w:hint="eastAsia" w:cs="仿宋"/>
              <w:spacing w:val="-2"/>
              <w:lang w:eastAsia="zh-CN"/>
            </w:rPr>
            <w:fldChar w:fldCharType="end"/>
          </w:r>
          <w:r>
            <w:rPr>
              <w:rStyle w:val="473"/>
              <w:rFonts w:hint="eastAsia" w:cs="仿宋"/>
              <w:spacing w:val="-2"/>
              <w:lang w:eastAsia="zh-CN"/>
            </w:rPr>
            <w:fldChar w:fldCharType="end"/>
          </w:r>
        </w:p>
        <w:p w14:paraId="54981E90">
          <w:pPr>
            <w:pStyle w:val="60"/>
            <w:tabs>
              <w:tab w:val="right" w:leader="dot" w:pos="9339"/>
            </w:tabs>
            <w:spacing w:line="360" w:lineRule="auto"/>
            <w:rPr>
              <w:rStyle w:val="473"/>
              <w:rFonts w:cs="仿宋"/>
              <w:spacing w:val="-2"/>
            </w:rPr>
          </w:pPr>
          <w:r>
            <w:fldChar w:fldCharType="begin"/>
          </w:r>
          <w:r>
            <w:instrText xml:space="preserve"> HYPERLINK \l "_Toc208840370" </w:instrText>
          </w:r>
          <w:r>
            <w:fldChar w:fldCharType="separate"/>
          </w:r>
          <w:r>
            <w:rPr>
              <w:rStyle w:val="473"/>
              <w:rFonts w:hint="eastAsia" w:ascii="仿宋" w:hAnsi="仿宋" w:eastAsia="仿宋" w:cs="仿宋"/>
              <w:spacing w:val="-2"/>
              <w:sz w:val="24"/>
              <w:szCs w:val="24"/>
              <w:lang w:eastAsia="zh-CN"/>
            </w:rPr>
            <w:t>附件二：访谈相关照片</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_Toc208840370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40</w:t>
          </w:r>
          <w:r>
            <w:rPr>
              <w:rStyle w:val="473"/>
              <w:rFonts w:hint="eastAsia" w:cs="仿宋"/>
              <w:spacing w:val="-2"/>
              <w:lang w:eastAsia="zh-CN"/>
            </w:rPr>
            <w:fldChar w:fldCharType="end"/>
          </w:r>
          <w:r>
            <w:rPr>
              <w:rStyle w:val="473"/>
              <w:rFonts w:hint="eastAsia" w:cs="仿宋"/>
              <w:spacing w:val="-2"/>
              <w:lang w:eastAsia="zh-CN"/>
            </w:rPr>
            <w:fldChar w:fldCharType="end"/>
          </w:r>
        </w:p>
        <w:p w14:paraId="6AD95905">
          <w:pPr>
            <w:pStyle w:val="60"/>
            <w:tabs>
              <w:tab w:val="right" w:leader="dot" w:pos="9339"/>
            </w:tabs>
            <w:spacing w:line="360" w:lineRule="auto"/>
            <w:rPr>
              <w:rFonts w:hint="eastAsia" w:ascii="仿宋" w:hAnsi="仿宋" w:eastAsia="仿宋" w:cstheme="minorBidi"/>
              <w:snapToGrid/>
              <w:color w:val="auto"/>
              <w:kern w:val="2"/>
              <w:sz w:val="24"/>
              <w:szCs w:val="24"/>
              <w:lang w:eastAsia="zh-CN"/>
              <w14:ligatures w14:val="standardContextual"/>
            </w:rPr>
          </w:pPr>
          <w:r>
            <w:fldChar w:fldCharType="begin"/>
          </w:r>
          <w:r>
            <w:instrText xml:space="preserve"> HYPERLINK \l "_Toc208840371" </w:instrText>
          </w:r>
          <w:r>
            <w:fldChar w:fldCharType="separate"/>
          </w:r>
          <w:r>
            <w:rPr>
              <w:rStyle w:val="473"/>
              <w:rFonts w:hint="eastAsia" w:ascii="仿宋" w:hAnsi="仿宋" w:eastAsia="仿宋" w:cs="仿宋"/>
              <w:spacing w:val="-2"/>
              <w:sz w:val="24"/>
              <w:szCs w:val="24"/>
              <w:lang w:eastAsia="zh-CN"/>
            </w:rPr>
            <w:t>附件三：绩效评价指标体系及得分情况表</w:t>
          </w:r>
          <w:r>
            <w:rPr>
              <w:rStyle w:val="473"/>
              <w:rFonts w:hint="eastAsia" w:cs="仿宋"/>
              <w:spacing w:val="-2"/>
              <w:lang w:eastAsia="zh-CN"/>
            </w:rPr>
            <w:tab/>
          </w:r>
          <w:r>
            <w:rPr>
              <w:rStyle w:val="473"/>
              <w:rFonts w:hint="eastAsia" w:cs="仿宋"/>
              <w:spacing w:val="-2"/>
              <w:lang w:eastAsia="zh-CN"/>
            </w:rPr>
            <w:fldChar w:fldCharType="begin"/>
          </w:r>
          <w:r>
            <w:rPr>
              <w:rStyle w:val="473"/>
              <w:rFonts w:hint="eastAsia" w:cs="仿宋"/>
              <w:spacing w:val="-2"/>
              <w:lang w:eastAsia="zh-CN"/>
            </w:rPr>
            <w:instrText xml:space="preserve"> </w:instrText>
          </w:r>
          <w:r>
            <w:rPr>
              <w:rStyle w:val="473"/>
              <w:rFonts w:cs="仿宋"/>
              <w:spacing w:val="-2"/>
              <w:lang w:eastAsia="zh-CN"/>
            </w:rPr>
            <w:instrText xml:space="preserve">PAGEREF _Toc208840371 \h</w:instrText>
          </w:r>
          <w:r>
            <w:rPr>
              <w:rStyle w:val="473"/>
              <w:rFonts w:hint="eastAsia" w:cs="仿宋"/>
              <w:spacing w:val="-2"/>
              <w:lang w:eastAsia="zh-CN"/>
            </w:rPr>
            <w:instrText xml:space="preserve"> </w:instrText>
          </w:r>
          <w:r>
            <w:rPr>
              <w:rStyle w:val="473"/>
              <w:rFonts w:hint="eastAsia" w:cs="仿宋"/>
              <w:spacing w:val="-2"/>
              <w:lang w:eastAsia="zh-CN"/>
            </w:rPr>
            <w:fldChar w:fldCharType="separate"/>
          </w:r>
          <w:r>
            <w:rPr>
              <w:rStyle w:val="473"/>
              <w:rFonts w:cs="仿宋"/>
              <w:spacing w:val="-2"/>
              <w:lang w:eastAsia="zh-CN"/>
            </w:rPr>
            <w:t>41</w:t>
          </w:r>
          <w:r>
            <w:rPr>
              <w:rStyle w:val="473"/>
              <w:rFonts w:hint="eastAsia" w:cs="仿宋"/>
              <w:spacing w:val="-2"/>
              <w:lang w:eastAsia="zh-CN"/>
            </w:rPr>
            <w:fldChar w:fldCharType="end"/>
          </w:r>
          <w:r>
            <w:rPr>
              <w:rStyle w:val="473"/>
              <w:rFonts w:hint="eastAsia" w:cs="仿宋"/>
              <w:spacing w:val="-2"/>
              <w:lang w:eastAsia="zh-CN"/>
            </w:rPr>
            <w:fldChar w:fldCharType="end"/>
          </w:r>
        </w:p>
        <w:p w14:paraId="55AA2F18">
          <w:pPr>
            <w:kinsoku/>
            <w:autoSpaceDE/>
            <w:autoSpaceDN/>
            <w:adjustRightInd/>
            <w:snapToGrid/>
            <w:spacing w:line="360" w:lineRule="auto"/>
            <w:textAlignment w:val="auto"/>
            <w:rPr>
              <w:rFonts w:eastAsiaTheme="minorEastAsia"/>
              <w:lang w:eastAsia="zh-CN"/>
            </w:rPr>
          </w:pPr>
          <w:r>
            <w:rPr>
              <w:rStyle w:val="473"/>
              <w:rFonts w:ascii="仿宋" w:hAnsi="仿宋" w:eastAsia="仿宋" w:cs="仿宋"/>
              <w:sz w:val="24"/>
              <w:szCs w:val="24"/>
              <w:lang w:eastAsia="zh-CN"/>
            </w:rPr>
            <w:fldChar w:fldCharType="end"/>
          </w:r>
          <w:r>
            <w:rPr>
              <w:rFonts w:hint="eastAsia" w:ascii="仿宋" w:hAnsi="仿宋" w:eastAsia="仿宋" w:cs="仿宋"/>
              <w:b/>
              <w:bCs/>
              <w:color w:val="auto"/>
              <w:spacing w:val="-2"/>
              <w:sz w:val="30"/>
              <w:szCs w:val="30"/>
              <w:lang w:eastAsia="zh-CN"/>
            </w:rPr>
            <w:br w:type="page"/>
          </w:r>
        </w:p>
      </w:sdtContent>
    </w:sdt>
    <w:p w14:paraId="7CDD9CDB">
      <w:pPr>
        <w:kinsoku/>
        <w:autoSpaceDE/>
        <w:autoSpaceDN/>
        <w:adjustRightInd/>
        <w:snapToGrid/>
        <w:jc w:val="center"/>
        <w:textAlignment w:val="auto"/>
        <w:rPr>
          <w:rFonts w:hint="eastAsia" w:ascii="仿宋" w:hAnsi="仿宋" w:eastAsia="仿宋" w:cs="仿宋"/>
          <w:b/>
          <w:bCs/>
          <w:color w:val="auto"/>
          <w:spacing w:val="-2"/>
          <w:sz w:val="30"/>
          <w:szCs w:val="30"/>
          <w:lang w:eastAsia="zh-CN"/>
        </w:rPr>
      </w:pPr>
      <w:bookmarkStart w:id="14" w:name="_Toc477"/>
      <w:bookmarkStart w:id="15" w:name="_Toc10715"/>
      <w:bookmarkStart w:id="16" w:name="_Toc18658"/>
      <w:r>
        <w:rPr>
          <w:rFonts w:hint="eastAsia" w:ascii="仿宋" w:hAnsi="仿宋" w:eastAsia="仿宋" w:cs="仿宋"/>
          <w:b/>
          <w:bCs/>
          <w:color w:val="auto"/>
          <w:spacing w:val="-2"/>
          <w:sz w:val="30"/>
          <w:szCs w:val="30"/>
          <w:lang w:eastAsia="zh-CN"/>
        </w:rPr>
        <w:t>2024年度石狮市城市管理和综合执法局部门整体支出绩效评价报告</w:t>
      </w:r>
      <w:bookmarkEnd w:id="14"/>
      <w:bookmarkEnd w:id="15"/>
      <w:bookmarkEnd w:id="16"/>
    </w:p>
    <w:p w14:paraId="5CD78866">
      <w:pPr>
        <w:widowControl w:val="0"/>
        <w:overflowPunct w:val="0"/>
        <w:snapToGrid/>
        <w:spacing w:before="240" w:after="120" w:line="408" w:lineRule="auto"/>
        <w:ind w:firstLine="552" w:firstLineChars="200"/>
        <w:rPr>
          <w:rFonts w:hint="eastAsia" w:ascii="仿宋" w:hAnsi="仿宋" w:eastAsia="仿宋" w:cs="仿宋"/>
          <w:color w:val="auto"/>
          <w:sz w:val="28"/>
          <w:szCs w:val="28"/>
          <w:lang w:eastAsia="zh-CN"/>
        </w:rPr>
      </w:pPr>
      <w:bookmarkStart w:id="17" w:name="_Toc28630"/>
      <w:r>
        <w:rPr>
          <w:rFonts w:hint="eastAsia" w:ascii="仿宋" w:hAnsi="仿宋" w:eastAsia="仿宋" w:cs="仿宋"/>
          <w:color w:val="auto"/>
          <w:spacing w:val="-2"/>
          <w:sz w:val="28"/>
          <w:szCs w:val="28"/>
          <w:lang w:eastAsia="zh-CN"/>
        </w:rPr>
        <w:t>为深化部门预算绩效改革，提升财政资金支出绩效，提高预算绩效管理水平。泉州市启程财务咨询有限公司受石狮市财政局委托，</w:t>
      </w:r>
      <w:r>
        <w:rPr>
          <w:rFonts w:hint="eastAsia" w:ascii="仿宋" w:hAnsi="仿宋" w:eastAsia="仿宋" w:cs="仿宋"/>
          <w:color w:val="auto"/>
          <w:spacing w:val="-1"/>
          <w:sz w:val="28"/>
          <w:szCs w:val="28"/>
          <w:lang w:eastAsia="zh-CN"/>
        </w:rPr>
        <w:t>于2025年7月对石狮市城市管理和综合执法局</w:t>
      </w:r>
      <w:r>
        <w:rPr>
          <w:rFonts w:hint="eastAsia" w:ascii="仿宋" w:hAnsi="仿宋" w:eastAsia="仿宋" w:cs="仿宋"/>
          <w:color w:val="auto"/>
          <w:spacing w:val="-2"/>
          <w:sz w:val="28"/>
          <w:szCs w:val="28"/>
          <w:lang w:eastAsia="zh-CN"/>
        </w:rPr>
        <w:t>2024年度</w:t>
      </w:r>
      <w:r>
        <w:rPr>
          <w:rFonts w:hint="eastAsia" w:ascii="仿宋" w:hAnsi="仿宋" w:eastAsia="仿宋" w:cs="仿宋"/>
          <w:color w:val="auto"/>
          <w:sz w:val="28"/>
          <w:szCs w:val="28"/>
          <w:lang w:eastAsia="zh-CN"/>
        </w:rPr>
        <w:t>部门整体支出48,604.62</w:t>
      </w:r>
      <w:r>
        <w:rPr>
          <w:rFonts w:hint="eastAsia" w:ascii="仿宋" w:hAnsi="仿宋" w:eastAsia="仿宋" w:cs="仿宋"/>
          <w:color w:val="auto"/>
          <w:spacing w:val="-2"/>
          <w:sz w:val="28"/>
          <w:szCs w:val="28"/>
          <w:lang w:eastAsia="zh-CN"/>
        </w:rPr>
        <w:t>万元</w:t>
      </w:r>
      <w:r>
        <w:rPr>
          <w:rFonts w:hint="eastAsia" w:ascii="仿宋" w:hAnsi="仿宋" w:eastAsia="仿宋" w:cs="仿宋"/>
          <w:color w:val="auto"/>
          <w:sz w:val="28"/>
          <w:szCs w:val="28"/>
          <w:lang w:eastAsia="zh-CN"/>
        </w:rPr>
        <w:t>实施绩效评价工作，评价小组通过收集、查账、实地调研等方式对照评价指标和标准进行评议与打分，</w:t>
      </w:r>
      <w:r>
        <w:rPr>
          <w:rFonts w:hint="eastAsia" w:ascii="仿宋" w:hAnsi="仿宋" w:eastAsia="仿宋" w:cs="仿宋"/>
          <w:color w:val="auto"/>
          <w:spacing w:val="-2"/>
          <w:sz w:val="28"/>
          <w:szCs w:val="28"/>
          <w:lang w:eastAsia="zh-CN"/>
        </w:rPr>
        <w:t>衡量部门和单位整体成效与核心业务实施效果，分析其存在的问题，并提出相应对策建议。从而</w:t>
      </w:r>
      <w:r>
        <w:rPr>
          <w:rFonts w:hint="eastAsia" w:ascii="仿宋" w:hAnsi="仿宋" w:eastAsia="仿宋" w:cs="仿宋"/>
          <w:color w:val="auto"/>
          <w:sz w:val="28"/>
          <w:szCs w:val="28"/>
          <w:lang w:eastAsia="zh-CN"/>
        </w:rPr>
        <w:t>形成《2024年度石狮市城市管理和综合执法局部门整体支出绩效评价报告》。</w:t>
      </w:r>
      <w:bookmarkEnd w:id="17"/>
    </w:p>
    <w:p w14:paraId="5398A139">
      <w:pPr>
        <w:widowControl w:val="0"/>
        <w:overflowPunct w:val="0"/>
        <w:snapToGrid/>
        <w:spacing w:line="408" w:lineRule="auto"/>
        <w:ind w:firstLine="554" w:firstLineChars="200"/>
        <w:outlineLvl w:val="0"/>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pPr>
      <w:bookmarkStart w:id="18" w:name="_Toc181557991"/>
      <w:bookmarkStart w:id="19" w:name="_Toc208840309"/>
      <w:r>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t>一、部门概况</w:t>
      </w:r>
      <w:bookmarkEnd w:id="18"/>
      <w:bookmarkEnd w:id="19"/>
    </w:p>
    <w:p w14:paraId="216DDE54">
      <w:pPr>
        <w:widowControl w:val="0"/>
        <w:overflowPunct w:val="0"/>
        <w:snapToGrid/>
        <w:spacing w:line="408" w:lineRule="auto"/>
        <w:ind w:firstLine="554" w:firstLineChars="200"/>
        <w:jc w:val="both"/>
        <w:outlineLvl w:val="1"/>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pPr>
      <w:bookmarkStart w:id="20" w:name="_Toc181557992"/>
      <w:bookmarkStart w:id="21" w:name="_Toc208840310"/>
      <w:r>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t>（一）</w:t>
      </w:r>
      <w:bookmarkStart w:id="22" w:name="bookmark5"/>
      <w:bookmarkEnd w:id="22"/>
      <w:r>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t>主要职责</w:t>
      </w:r>
      <w:bookmarkEnd w:id="20"/>
      <w:bookmarkEnd w:id="21"/>
    </w:p>
    <w:p w14:paraId="0EF6EF18">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石狮市城市管理和综合执法局负责贯彻落实党中央关于城市管理和综合执法工作的方针政策和决策部署及省委、泉州市委、石狮市委工作安排，把坚持党对城市管理和综合执法工作的领导落实到履行职责过程中。主要职责是：</w:t>
      </w:r>
    </w:p>
    <w:p w14:paraId="323F3680">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贯彻执行国家、省、泉州市关于城市管理和综合执法工作的方针、政策和法律、法规、规章。研究起草并组织实施城市管理和综合执法的地方规范性文件，拟订城市管理的相关标准和规范并监督实施。拟订全市城市管理和综合执法工作发展战略、中长期规划和年度计划</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起草有关城市管理和综合执法的文件。</w:t>
      </w:r>
    </w:p>
    <w:p w14:paraId="3E1A8A9E">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（2）配合有关部门编制城市总体规划相关内容。负责编制城市交通基础设施、市政基础设施</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不含供排水、污水处理</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燃气、风景名胜、园林绿化和市容环境卫生</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以下简称管辖行业</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等城市管理的中长期规划和专业规划，制定年度计划及重点工作目标，并组织实施和监督检查。</w:t>
      </w:r>
    </w:p>
    <w:p w14:paraId="1B449921">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3）拟订完善城市管理制度，负责对城市管理工作组织领导、统筹协调、监督检查。负责管辖行业的行业管理及市场化监管，承担城市管理领域安全监管责任，组织调查处理重大灾害、质量和安全事故。负责制定城市管理突发公共事件应急预案并组织实施，组织协调专项治理和城市管理重大活动。</w:t>
      </w:r>
    </w:p>
    <w:p w14:paraId="31B356A3">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（4）承担市容市貌管理工作。牵头组织城市容貌综合整治工作。负责管辖行业城市管理相关行政审批和监管工作。负责人行道上非交通设施的管理工作。负责市区公共自行车租赁系统的监督指导工作。</w:t>
      </w:r>
    </w:p>
    <w:p w14:paraId="480F8847">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5）负责环境卫生的组织管理工作。负责城区道路保洁的监督管理，负责环境卫生设施监督管理。负责建筑垃圾的管理工作。负责全市生活垃圾清扫、收集、运输和处置的监督管理工作、负责生活垃圾处理场所的监督管理。负责指导和管理城市生活垃圾处理费工作。负责垃圾分类工作。指导镇</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街道</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环境卫生管理工作。</w:t>
      </w:r>
    </w:p>
    <w:p w14:paraId="16EBD633">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依照有关法律、法规实施行业管理，负责燃气工程建设项目审查，负责市容环境卫生生产经营单位的资质审查与管理。负责拟订管辖行业服务质量标准、管理标准和服务规范，并组织实施和监督检查。负责管辖行业的安全生产检查、监督，组织调查处理重大灾害和安全事故。负责管辖行业统计和技术资料档案管理工作。</w:t>
      </w:r>
    </w:p>
    <w:p w14:paraId="70852429">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（7）参与编制交通基础设施、市政基础设施</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不含供排水污水处理</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、风景名胜、园林绿化等城市建设规划、年度计划参与交通基础设施、市政基础设施</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不含供排水、污水处理</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风景名胜、园林绿化等城市建设项目的验收，负责项目建成验收后的接收、管理和维护工作。参与汛期所辖设施排涝调度工作。负责编制管辖行业管理、维修、养护项目计划和资金筹措</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参与管辖行业工程建设项目规划、设计方案的编制和初审工作指导所属单位合理配置资源，优化产业结构，监督管理和经营国有资产。</w:t>
      </w:r>
    </w:p>
    <w:p w14:paraId="3EC93D98">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8）负责研究和建立全市统一的城市管理运作与监督机制，协调相关部门落实城市管理各项工作。研究编制全市城市管理综合行政执法工作规划，制定工作目标、标准，并组织实施和考核。按照规定负责组织开展全市城市管理综合行政执法工作负责组织、协调、调度城市管理综合行政执法机构开展执法活动负责重大和跨区域违法违规案件的查处及执法协调工作。负责市政基础设施、市容环卫、园林绿化、风景名胜、土地、林业、矿业。</w:t>
      </w:r>
    </w:p>
    <w:p w14:paraId="494CBE12">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负责编制城市管理和城市管理行政执法专项资金计划，并监督实施。负责管辖行业相关的行政事业性收费和经营性收费的征收、申报工作。研究提出管辖行业的价格及服务收费标准等方面的政策建议。负责拟订管辖行业服务质量标准、管理标准和服务规范，并组织实施和监督检查。</w:t>
      </w:r>
    </w:p>
    <w:p w14:paraId="202487D1">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（10）负责数字化城市管理工作。</w:t>
      </w:r>
    </w:p>
    <w:p w14:paraId="347B1725">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（11）承担城市管理的综合协调、监督检查工作，研究决策城市管理重大事项，协调处理城市管理重大问题。</w:t>
      </w:r>
    </w:p>
    <w:p w14:paraId="7133C573">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（12）负责市域综合行政执法统筹协调、镇</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街道</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综合行政执法的指导监督和组织协调。协调综合行政执法部门与业务主管部门的执法协作工作。</w:t>
      </w:r>
    </w:p>
    <w:p w14:paraId="6A2AB2E7">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（13）负责推进全市城市管理科技创新、成果推广和技术引进工作。制定专业人才培养规划，组织专业技术人员培训。</w:t>
      </w:r>
    </w:p>
    <w:p w14:paraId="031E37F1">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14）组织编制水务发展战略规划。按规定制定水务水利工程建设相关制度并组织实施，负责提出水务水利固定资产投资规模和方向、具体安排建议并组织实施。按权限审批市规划内和年度计划规模内固定资产投资项目，提出市水务水利建设投资安排建议并负责项目实施的监督管理。负责提出市政府财政性资金安排的意见。组织实施水利产权制度改革。承担有关水利行政审批和监督管理工作。指导监督水务水利工程建设与运行管理。</w:t>
      </w:r>
    </w:p>
    <w:p w14:paraId="3954BADE">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（15）负责保障水资源的合理开发利用。贯彻执行国家有关水利工作的法律法规和政策，拟订全市水利发展规划和政策</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起草有关水利工作的规范性文件并组织实施，组织编制全市水资源规划和重要江河湖泊流域综合规划、防洪规划等。负责生活生产经营和生态环境用水的统筹兼顾和保障。组织实施最严格水资源管理制度，实施水资源的统一监督管理，拟订全市中长期供求规划、水量分配方案并监督实施。负责重要流域、区域以及重大调水工程的水资源调度。组织实施取水许可、水资源有偿使用制度、水资源论证和洪水影响评价制度。指导水利行业供水和乡镇供水工作。</w:t>
      </w:r>
    </w:p>
    <w:p w14:paraId="0291B7D6">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16）负责水资源保护工作。组织编制并实施全市水资源保护规划。组织实施饮用水水源保护有关工作，参与水功能区划编制。组织实施地下水开发利用和地下水资源管理保护。组织指导地下水超采区综合治理。发布市水资源公报。按规定组织开展水资源调查评价有关工作及水资源调查评价、水资源承载能力监测预警工作。</w:t>
      </w:r>
    </w:p>
    <w:p w14:paraId="2B46476A">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（17）负责节约用水工作。拟订全市节约用水政策，组织编制全市节约用水规划并监督实施，组织拟订有关标准。组织实施用水总量控制等管理制度，指导和推动节水型社会建设工作。</w:t>
      </w:r>
    </w:p>
    <w:p w14:paraId="422E699A">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（18）承办市委、市政府交办的其他事项。</w:t>
      </w:r>
    </w:p>
    <w:p w14:paraId="09961D5A">
      <w:pPr>
        <w:widowControl w:val="0"/>
        <w:overflowPunct w:val="0"/>
        <w:snapToGrid/>
        <w:spacing w:line="408" w:lineRule="auto"/>
        <w:ind w:firstLine="562" w:firstLineChars="200"/>
        <w:jc w:val="both"/>
        <w:outlineLvl w:val="1"/>
        <w:rPr>
          <w:rFonts w:hint="eastAsia" w:ascii="仿宋" w:hAnsi="仿宋" w:eastAsia="仿宋" w:cs="仿宋"/>
          <w:b/>
          <w:bCs/>
          <w:color w:val="auto"/>
          <w:sz w:val="28"/>
          <w:szCs w:val="28"/>
          <w:lang w:eastAsia="zh-CN"/>
        </w:rPr>
      </w:pPr>
      <w:bookmarkStart w:id="23" w:name="_Toc181557993"/>
      <w:bookmarkStart w:id="24" w:name="_Toc208840311"/>
      <w:r>
        <w:rPr>
          <w:rFonts w:hint="eastAsia" w:ascii="仿宋" w:hAnsi="仿宋" w:eastAsia="仿宋" w:cs="仿宋"/>
          <w:b/>
          <w:bCs/>
          <w:color w:val="auto"/>
          <w:sz w:val="28"/>
          <w:szCs w:val="28"/>
          <w:lang w:eastAsia="zh-CN"/>
        </w:rPr>
        <w:t>（二）单位构成及人员结构</w:t>
      </w:r>
      <w:bookmarkEnd w:id="23"/>
      <w:bookmarkEnd w:id="24"/>
    </w:p>
    <w:p w14:paraId="5EF0C874">
      <w:pPr>
        <w:snapToGrid/>
        <w:spacing w:line="408" w:lineRule="auto"/>
        <w:ind w:firstLine="556" w:firstLineChars="200"/>
        <w:jc w:val="both"/>
        <w:rPr>
          <w:rFonts w:hint="eastAsia" w:ascii="仿宋" w:hAnsi="仿宋" w:eastAsia="仿宋" w:cs="仿宋"/>
          <w:color w:val="auto"/>
          <w:spacing w:val="-1"/>
          <w:sz w:val="28"/>
          <w:szCs w:val="28"/>
          <w:lang w:eastAsia="zh-CN"/>
        </w:rPr>
      </w:pPr>
      <w:r>
        <w:rPr>
          <w:rFonts w:hint="eastAsia" w:ascii="仿宋" w:hAnsi="仿宋" w:eastAsia="仿宋" w:cs="仿宋"/>
          <w:color w:val="auto"/>
          <w:spacing w:val="-1"/>
          <w:sz w:val="28"/>
          <w:szCs w:val="28"/>
          <w:lang w:eastAsia="zh-CN"/>
        </w:rPr>
        <w:t>石狮市城市管理和综合执法局内设5个股室及5个下属单位（石狮市城市管理综合执法一大队、石狮市城市管理综合执法二大队、石狮市市政公用事业发展中心、石狮市园林环卫中心、石狮市市政燃气中心）。截至2024年12月石狮市城市管理和综合执法局编制数9人，在职人员9人，其中编内人员9人，编外人员0人。下属单位编制数</w:t>
      </w:r>
      <w:r>
        <w:rPr>
          <w:rFonts w:ascii="仿宋" w:hAnsi="仿宋" w:eastAsia="仿宋" w:cs="仿宋"/>
          <w:color w:val="auto"/>
          <w:spacing w:val="-1"/>
          <w:sz w:val="28"/>
          <w:szCs w:val="28"/>
          <w:lang w:eastAsia="zh-CN"/>
        </w:rPr>
        <w:t>157</w:t>
      </w:r>
      <w:r>
        <w:rPr>
          <w:rFonts w:hint="eastAsia" w:ascii="仿宋" w:hAnsi="仿宋" w:eastAsia="仿宋" w:cs="仿宋"/>
          <w:color w:val="auto"/>
          <w:spacing w:val="-1"/>
          <w:sz w:val="28"/>
          <w:szCs w:val="28"/>
          <w:lang w:eastAsia="zh-CN"/>
        </w:rPr>
        <w:t>个，在职人员</w:t>
      </w:r>
      <w:r>
        <w:rPr>
          <w:rFonts w:ascii="仿宋" w:hAnsi="仿宋" w:eastAsia="仿宋" w:cs="仿宋"/>
          <w:color w:val="auto"/>
          <w:spacing w:val="-1"/>
          <w:sz w:val="28"/>
          <w:szCs w:val="28"/>
          <w:lang w:eastAsia="zh-CN"/>
        </w:rPr>
        <w:t>135</w:t>
      </w:r>
      <w:r>
        <w:rPr>
          <w:rFonts w:hint="eastAsia" w:ascii="仿宋" w:hAnsi="仿宋" w:eastAsia="仿宋" w:cs="仿宋"/>
          <w:color w:val="auto"/>
          <w:spacing w:val="-1"/>
          <w:sz w:val="28"/>
          <w:szCs w:val="28"/>
          <w:lang w:eastAsia="zh-CN"/>
        </w:rPr>
        <w:t>人，编外自聘</w:t>
      </w:r>
      <w:r>
        <w:rPr>
          <w:rFonts w:ascii="仿宋" w:hAnsi="仿宋" w:eastAsia="仿宋" w:cs="仿宋"/>
          <w:color w:val="auto"/>
          <w:spacing w:val="-1"/>
          <w:sz w:val="28"/>
          <w:szCs w:val="28"/>
          <w:lang w:eastAsia="zh-CN"/>
        </w:rPr>
        <w:t>53</w:t>
      </w:r>
      <w:r>
        <w:rPr>
          <w:rFonts w:hint="eastAsia" w:ascii="仿宋" w:hAnsi="仿宋" w:eastAsia="仿宋" w:cs="仿宋"/>
          <w:color w:val="auto"/>
          <w:spacing w:val="-1"/>
          <w:sz w:val="28"/>
          <w:szCs w:val="28"/>
          <w:lang w:eastAsia="zh-CN"/>
        </w:rPr>
        <w:t>人，劳务派遣</w:t>
      </w:r>
      <w:r>
        <w:rPr>
          <w:rFonts w:ascii="仿宋" w:hAnsi="仿宋" w:eastAsia="仿宋" w:cs="仿宋"/>
          <w:color w:val="auto"/>
          <w:spacing w:val="-1"/>
          <w:sz w:val="28"/>
          <w:szCs w:val="28"/>
          <w:lang w:eastAsia="zh-CN"/>
        </w:rPr>
        <w:t>50</w:t>
      </w:r>
      <w:r>
        <w:rPr>
          <w:rFonts w:hint="eastAsia" w:ascii="仿宋" w:hAnsi="仿宋" w:eastAsia="仿宋" w:cs="仿宋"/>
          <w:color w:val="auto"/>
          <w:spacing w:val="-1"/>
          <w:sz w:val="28"/>
          <w:szCs w:val="28"/>
          <w:lang w:eastAsia="zh-CN"/>
        </w:rPr>
        <w:t>人。科室构成如下表1所示：</w:t>
      </w:r>
    </w:p>
    <w:p w14:paraId="56470446">
      <w:pPr>
        <w:snapToGrid/>
        <w:spacing w:line="408" w:lineRule="auto"/>
        <w:jc w:val="center"/>
        <w:rPr>
          <w:rFonts w:hint="eastAsia" w:ascii="仿宋" w:hAnsi="仿宋" w:eastAsia="仿宋" w:cs="仿宋"/>
          <w:bCs/>
          <w:color w:val="auto"/>
          <w:spacing w:val="-1"/>
          <w:sz w:val="28"/>
          <w:szCs w:val="28"/>
          <w:lang w:eastAsia="zh-CN"/>
        </w:rPr>
      </w:pPr>
      <w:r>
        <w:rPr>
          <w:rFonts w:ascii="仿宋" w:hAnsi="仿宋" w:eastAsia="仿宋" w:cs="仿宋"/>
          <w:bCs/>
          <w:spacing w:val="-2"/>
          <w:sz w:val="28"/>
          <w:szCs w:val="24"/>
          <w:lang w:eastAsia="zh-CN"/>
          <w14:textOutline w14:w="5105" w14:cap="sq" w14:cmpd="sng" w14:algn="ctr">
            <w14:solidFill>
              <w14:srgbClr w14:val="000000"/>
            </w14:solidFill>
            <w14:prstDash w14:val="solid"/>
            <w14:bevel/>
          </w14:textOutline>
        </w:rPr>
        <w:t>表</w:t>
      </w:r>
      <w:r>
        <w:rPr>
          <w:rFonts w:hint="eastAsia" w:ascii="仿宋" w:hAnsi="仿宋" w:eastAsia="仿宋" w:cs="仿宋"/>
          <w:bCs/>
          <w:spacing w:val="-2"/>
          <w:sz w:val="28"/>
          <w:szCs w:val="24"/>
          <w:lang w:eastAsia="zh-CN"/>
          <w14:textOutline w14:w="5105" w14:cap="sq" w14:cmpd="sng" w14:algn="ctr">
            <w14:solidFill>
              <w14:srgbClr w14:val="000000"/>
            </w14:solidFill>
            <w14:prstDash w14:val="solid"/>
            <w14:bevel/>
          </w14:textOutline>
        </w:rPr>
        <w:t>1   2024</w:t>
      </w:r>
      <w:r>
        <w:rPr>
          <w:rFonts w:ascii="仿宋" w:hAnsi="仿宋" w:eastAsia="仿宋" w:cs="仿宋"/>
          <w:bCs/>
          <w:spacing w:val="-2"/>
          <w:sz w:val="28"/>
          <w:szCs w:val="24"/>
          <w:lang w:eastAsia="zh-CN"/>
          <w14:textOutline w14:w="5105" w14:cap="sq" w14:cmpd="sng" w14:algn="ctr">
            <w14:solidFill>
              <w14:srgbClr w14:val="000000"/>
            </w14:solidFill>
            <w14:prstDash w14:val="solid"/>
            <w14:bevel/>
          </w14:textOutline>
        </w:rPr>
        <w:t>年度</w:t>
      </w:r>
      <w:r>
        <w:rPr>
          <w:rFonts w:hint="eastAsia" w:ascii="仿宋" w:hAnsi="仿宋" w:eastAsia="仿宋" w:cs="仿宋"/>
          <w:bCs/>
          <w:spacing w:val="-2"/>
          <w:sz w:val="28"/>
          <w:szCs w:val="24"/>
          <w:lang w:eastAsia="zh-CN"/>
          <w14:textOutline w14:w="5105" w14:cap="sq" w14:cmpd="sng" w14:algn="ctr">
            <w14:solidFill>
              <w14:srgbClr w14:val="000000"/>
            </w14:solidFill>
            <w14:prstDash w14:val="solid"/>
            <w14:bevel/>
          </w14:textOutline>
        </w:rPr>
        <w:t>石狮市城市管理和综合执法局内设股室情况表</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250"/>
        <w:gridCol w:w="6621"/>
      </w:tblGrid>
      <w:tr w14:paraId="4399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63" w:type="pct"/>
            <w:shd w:val="clear" w:color="auto" w:fill="D8D8D8" w:themeFill="background1" w:themeFillShade="D9"/>
            <w:noWrap/>
            <w:vAlign w:val="center"/>
          </w:tcPr>
          <w:p w14:paraId="7D7BCE1D">
            <w:pPr>
              <w:widowControl w:val="0"/>
              <w:overflowPunct w:val="0"/>
              <w:spacing w:line="408" w:lineRule="auto"/>
              <w:jc w:val="center"/>
              <w:rPr>
                <w:rFonts w:hint="eastAsia" w:ascii="仿宋" w:hAnsi="仿宋" w:eastAsia="仿宋" w:cs="仿宋"/>
                <w:b/>
                <w:bCs/>
                <w:sz w:val="18"/>
                <w:lang w:eastAsia="zh-CN"/>
              </w:rPr>
            </w:pPr>
            <w:r>
              <w:rPr>
                <w:rFonts w:hint="eastAsia" w:ascii="仿宋" w:hAnsi="仿宋" w:eastAsia="仿宋" w:cs="仿宋"/>
                <w:b/>
                <w:bCs/>
                <w:sz w:val="18"/>
                <w:lang w:eastAsia="zh-CN"/>
              </w:rPr>
              <w:t>序号</w:t>
            </w:r>
          </w:p>
        </w:tc>
        <w:tc>
          <w:tcPr>
            <w:tcW w:w="1176" w:type="pct"/>
            <w:shd w:val="clear" w:color="auto" w:fill="D8D8D8" w:themeFill="background1" w:themeFillShade="D9"/>
            <w:noWrap/>
            <w:vAlign w:val="center"/>
          </w:tcPr>
          <w:p w14:paraId="119F22D4">
            <w:pPr>
              <w:widowControl w:val="0"/>
              <w:overflowPunct w:val="0"/>
              <w:spacing w:line="408" w:lineRule="auto"/>
              <w:jc w:val="center"/>
              <w:rPr>
                <w:rFonts w:hint="eastAsia" w:ascii="仿宋" w:hAnsi="仿宋" w:eastAsia="仿宋" w:cs="仿宋"/>
                <w:b/>
                <w:bCs/>
                <w:sz w:val="18"/>
                <w:lang w:eastAsia="zh-CN"/>
              </w:rPr>
            </w:pPr>
            <w:r>
              <w:rPr>
                <w:rFonts w:hint="eastAsia" w:ascii="仿宋" w:hAnsi="仿宋" w:eastAsia="仿宋" w:cs="仿宋"/>
                <w:b/>
                <w:bCs/>
                <w:sz w:val="18"/>
                <w:lang w:eastAsia="zh-CN"/>
              </w:rPr>
              <w:t>单位名称</w:t>
            </w:r>
          </w:p>
        </w:tc>
        <w:tc>
          <w:tcPr>
            <w:tcW w:w="3462" w:type="pct"/>
            <w:shd w:val="clear" w:color="auto" w:fill="D8D8D8" w:themeFill="background1" w:themeFillShade="D9"/>
            <w:noWrap/>
            <w:vAlign w:val="center"/>
          </w:tcPr>
          <w:p w14:paraId="2107CEE6">
            <w:pPr>
              <w:widowControl w:val="0"/>
              <w:overflowPunct w:val="0"/>
              <w:spacing w:line="408" w:lineRule="auto"/>
              <w:jc w:val="center"/>
              <w:rPr>
                <w:rFonts w:hint="eastAsia" w:ascii="仿宋" w:hAnsi="仿宋" w:eastAsia="仿宋" w:cs="仿宋"/>
                <w:b/>
                <w:bCs/>
                <w:sz w:val="18"/>
                <w:lang w:eastAsia="zh-CN"/>
              </w:rPr>
            </w:pPr>
            <w:r>
              <w:rPr>
                <w:rFonts w:hint="eastAsia" w:ascii="仿宋" w:hAnsi="仿宋" w:eastAsia="仿宋" w:cs="仿宋"/>
                <w:b/>
                <w:bCs/>
                <w:sz w:val="18"/>
                <w:lang w:eastAsia="zh-CN"/>
              </w:rPr>
              <w:t>主要职责</w:t>
            </w:r>
          </w:p>
        </w:tc>
      </w:tr>
      <w:tr w14:paraId="2CA5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363" w:type="pct"/>
            <w:noWrap/>
            <w:vAlign w:val="center"/>
          </w:tcPr>
          <w:p w14:paraId="602DFD0D">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1</w:t>
            </w:r>
          </w:p>
        </w:tc>
        <w:tc>
          <w:tcPr>
            <w:tcW w:w="1176" w:type="pct"/>
            <w:noWrap/>
            <w:vAlign w:val="center"/>
          </w:tcPr>
          <w:p w14:paraId="5F51BE54">
            <w:pPr>
              <w:widowControl w:val="0"/>
              <w:overflowPunct w:val="0"/>
              <w:spacing w:line="408" w:lineRule="auto"/>
              <w:rPr>
                <w:rFonts w:hint="eastAsia" w:ascii="仿宋" w:hAnsi="仿宋" w:eastAsia="仿宋" w:cs="仿宋"/>
                <w:sz w:val="18"/>
                <w:lang w:eastAsia="zh-CN"/>
              </w:rPr>
            </w:pPr>
            <w:r>
              <w:rPr>
                <w:rFonts w:hint="eastAsia" w:ascii="仿宋" w:hAnsi="仿宋" w:eastAsia="仿宋" w:cs="仿宋"/>
                <w:sz w:val="18"/>
                <w:lang w:eastAsia="zh-CN"/>
              </w:rPr>
              <w:t>综合股</w:t>
            </w:r>
            <w:r>
              <w:rPr>
                <w:rFonts w:ascii="仿宋" w:hAnsi="仿宋" w:eastAsia="仿宋" w:cs="仿宋"/>
                <w:sz w:val="18"/>
                <w:lang w:eastAsia="zh-CN"/>
              </w:rPr>
              <w:t>(</w:t>
            </w:r>
            <w:r>
              <w:rPr>
                <w:rFonts w:hint="eastAsia" w:ascii="仿宋" w:hAnsi="仿宋" w:eastAsia="仿宋" w:cs="仿宋"/>
                <w:sz w:val="18"/>
                <w:lang w:eastAsia="zh-CN"/>
              </w:rPr>
              <w:t>行政审核审批股</w:t>
            </w:r>
            <w:r>
              <w:rPr>
                <w:rFonts w:ascii="仿宋" w:hAnsi="仿宋" w:eastAsia="仿宋" w:cs="仿宋"/>
                <w:sz w:val="18"/>
                <w:lang w:eastAsia="zh-CN"/>
              </w:rPr>
              <w:t>)</w:t>
            </w:r>
          </w:p>
        </w:tc>
        <w:tc>
          <w:tcPr>
            <w:tcW w:w="3462" w:type="pct"/>
            <w:noWrap/>
            <w:vAlign w:val="center"/>
          </w:tcPr>
          <w:p w14:paraId="5DFF77DA">
            <w:pPr>
              <w:widowControl w:val="0"/>
              <w:overflowPunct w:val="0"/>
              <w:spacing w:line="408" w:lineRule="auto"/>
              <w:ind w:firstLine="360" w:firstLineChars="200"/>
              <w:rPr>
                <w:rFonts w:hint="eastAsia" w:ascii="仿宋" w:hAnsi="仿宋" w:eastAsia="仿宋" w:cs="仿宋"/>
                <w:sz w:val="18"/>
                <w:lang w:eastAsia="zh-CN"/>
              </w:rPr>
            </w:pPr>
            <w:r>
              <w:rPr>
                <w:rFonts w:hint="eastAsia" w:ascii="仿宋" w:hAnsi="仿宋" w:eastAsia="仿宋" w:cs="仿宋"/>
                <w:sz w:val="18"/>
                <w:lang w:eastAsia="zh-CN"/>
              </w:rPr>
              <w:t>综合协调局机关和所属事业单位工作，督促重大事项落实。承担机关文电、会务、机要、档案、保密、政务公开、新闻宣传、安全保卫、应急管理、行政后勤保障等工作。承担机关财务、国有资产管理、内部审计等工作，监督指导所属事业单位财务、国有资产管理、审计等工作。承担机关和所属事业单位干部人事、机构编制管理、离退休干部管理等工作。负责协调和落实人大代表建议和政协提案的办理工作。负责机关和所属事业单位的党群工作。负责机关重要文稿的起草工作。督促、检查重大决策、重要工作部署和会议决定事项的办理落实。</w:t>
            </w:r>
          </w:p>
        </w:tc>
      </w:tr>
      <w:tr w14:paraId="329E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363" w:type="pct"/>
            <w:noWrap/>
            <w:vAlign w:val="center"/>
          </w:tcPr>
          <w:p w14:paraId="702EEF22">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2</w:t>
            </w:r>
          </w:p>
        </w:tc>
        <w:tc>
          <w:tcPr>
            <w:tcW w:w="1176" w:type="pct"/>
            <w:noWrap/>
            <w:vAlign w:val="center"/>
          </w:tcPr>
          <w:p w14:paraId="5398E76F">
            <w:pPr>
              <w:widowControl w:val="0"/>
              <w:overflowPunct w:val="0"/>
              <w:spacing w:line="408" w:lineRule="auto"/>
              <w:rPr>
                <w:rFonts w:hint="eastAsia" w:ascii="仿宋" w:hAnsi="仿宋" w:eastAsia="仿宋" w:cs="仿宋"/>
                <w:sz w:val="18"/>
                <w:lang w:eastAsia="zh-CN"/>
              </w:rPr>
            </w:pPr>
            <w:r>
              <w:rPr>
                <w:rFonts w:hint="eastAsia" w:ascii="仿宋" w:hAnsi="仿宋" w:eastAsia="仿宋" w:cs="仿宋"/>
                <w:sz w:val="18"/>
                <w:lang w:eastAsia="zh-CN"/>
              </w:rPr>
              <w:t>政策法规股</w:t>
            </w:r>
            <w:r>
              <w:rPr>
                <w:rFonts w:ascii="仿宋" w:hAnsi="仿宋" w:eastAsia="仿宋" w:cs="仿宋"/>
                <w:sz w:val="18"/>
                <w:lang w:eastAsia="zh-CN"/>
              </w:rPr>
              <w:t>(</w:t>
            </w:r>
            <w:r>
              <w:rPr>
                <w:rFonts w:hint="eastAsia" w:ascii="仿宋" w:hAnsi="仿宋" w:eastAsia="仿宋" w:cs="仿宋"/>
                <w:sz w:val="18"/>
                <w:lang w:eastAsia="zh-CN"/>
              </w:rPr>
              <w:t>综合执法股</w:t>
            </w:r>
            <w:r>
              <w:rPr>
                <w:rFonts w:ascii="仿宋" w:hAnsi="仿宋" w:eastAsia="仿宋" w:cs="仿宋"/>
                <w:sz w:val="18"/>
                <w:lang w:eastAsia="zh-CN"/>
              </w:rPr>
              <w:t>)</w:t>
            </w:r>
          </w:p>
        </w:tc>
        <w:tc>
          <w:tcPr>
            <w:tcW w:w="3462" w:type="pct"/>
            <w:noWrap/>
            <w:vAlign w:val="center"/>
          </w:tcPr>
          <w:p w14:paraId="2BF35F5F">
            <w:pPr>
              <w:widowControl w:val="0"/>
              <w:overflowPunct w:val="0"/>
              <w:spacing w:line="408" w:lineRule="auto"/>
              <w:ind w:firstLine="360" w:firstLineChars="200"/>
              <w:rPr>
                <w:rFonts w:hint="eastAsia" w:ascii="仿宋" w:hAnsi="仿宋" w:eastAsia="仿宋" w:cs="仿宋"/>
                <w:sz w:val="18"/>
                <w:lang w:eastAsia="zh-CN"/>
              </w:rPr>
            </w:pPr>
            <w:r>
              <w:rPr>
                <w:rFonts w:hint="eastAsia" w:ascii="仿宋" w:hAnsi="仿宋" w:eastAsia="仿宋" w:cs="仿宋"/>
                <w:sz w:val="18"/>
                <w:lang w:eastAsia="zh-CN"/>
              </w:rPr>
              <w:t>负责城市管理政策法规和执法体制改革以及重大、疑难问题的研究。负责城市管理、综合执法、水务水利等政策调研和规范性文件的起草、审查、审核报备。依法行使城市管理综合行政执法权相关工作。指导城市管理行政执法队伍开展行政执法工作，组织开展行政执法人员的培训。管理和规范执法文书，负责局行政执法案件的审查、疑难解释、申请强制执行，承办局行政复议、行政诉讼、行政许可听证工作，统计和分析行政执法案件。负责管辖行业法治建设，对管辖行业法制工作的监督检查和业务指导。综合协调局机关依法行政工作。组织普法宣传工作。组织、指导相关行政执法监督检查负责行业信用体系建设及管理。</w:t>
            </w:r>
          </w:p>
        </w:tc>
      </w:tr>
      <w:tr w14:paraId="2C762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363" w:type="pct"/>
            <w:noWrap/>
            <w:vAlign w:val="center"/>
          </w:tcPr>
          <w:p w14:paraId="08D58A3A">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3</w:t>
            </w:r>
          </w:p>
        </w:tc>
        <w:tc>
          <w:tcPr>
            <w:tcW w:w="1176" w:type="pct"/>
            <w:noWrap/>
            <w:vAlign w:val="center"/>
          </w:tcPr>
          <w:p w14:paraId="03247A56">
            <w:pPr>
              <w:widowControl w:val="0"/>
              <w:overflowPunct w:val="0"/>
              <w:spacing w:line="408" w:lineRule="auto"/>
              <w:rPr>
                <w:rFonts w:hint="eastAsia" w:ascii="仿宋" w:hAnsi="仿宋" w:eastAsia="仿宋" w:cs="仿宋"/>
                <w:sz w:val="18"/>
                <w:lang w:eastAsia="zh-CN"/>
              </w:rPr>
            </w:pPr>
            <w:r>
              <w:rPr>
                <w:rFonts w:hint="eastAsia" w:ascii="仿宋" w:hAnsi="仿宋" w:eastAsia="仿宋" w:cs="仿宋"/>
                <w:sz w:val="18"/>
                <w:lang w:eastAsia="zh-CN"/>
              </w:rPr>
              <w:t>市容市貌管理股</w:t>
            </w:r>
          </w:p>
        </w:tc>
        <w:tc>
          <w:tcPr>
            <w:tcW w:w="3462" w:type="pct"/>
            <w:noWrap/>
            <w:vAlign w:val="center"/>
          </w:tcPr>
          <w:p w14:paraId="2975EF9D">
            <w:pPr>
              <w:widowControl w:val="0"/>
              <w:overflowPunct w:val="0"/>
              <w:spacing w:line="408" w:lineRule="auto"/>
              <w:ind w:firstLine="360" w:firstLineChars="200"/>
              <w:rPr>
                <w:rFonts w:hint="eastAsia" w:ascii="仿宋" w:hAnsi="仿宋" w:eastAsia="仿宋" w:cs="仿宋"/>
                <w:sz w:val="18"/>
                <w:lang w:eastAsia="zh-CN"/>
              </w:rPr>
            </w:pPr>
            <w:r>
              <w:rPr>
                <w:rFonts w:hint="eastAsia" w:ascii="仿宋" w:hAnsi="仿宋" w:eastAsia="仿宋" w:cs="仿宋"/>
                <w:sz w:val="18"/>
                <w:lang w:eastAsia="zh-CN"/>
              </w:rPr>
              <w:t>负责城市管理的综合协调、监督检查工作，研究拟订城市管理和综合执法工作发展战略、中长期规划和年度计划，研究城市管理重大事项，协调处理城市管理重大问题。</w:t>
            </w:r>
          </w:p>
        </w:tc>
      </w:tr>
      <w:tr w14:paraId="34BF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363" w:type="pct"/>
            <w:noWrap/>
            <w:vAlign w:val="center"/>
          </w:tcPr>
          <w:p w14:paraId="4ACE4249">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4</w:t>
            </w:r>
          </w:p>
        </w:tc>
        <w:tc>
          <w:tcPr>
            <w:tcW w:w="1176" w:type="pct"/>
            <w:noWrap/>
            <w:vAlign w:val="center"/>
          </w:tcPr>
          <w:p w14:paraId="65D1D225">
            <w:pPr>
              <w:widowControl w:val="0"/>
              <w:overflowPunct w:val="0"/>
              <w:spacing w:line="408" w:lineRule="auto"/>
              <w:rPr>
                <w:rFonts w:hint="eastAsia" w:ascii="仿宋" w:hAnsi="仿宋" w:eastAsia="仿宋" w:cs="仿宋"/>
                <w:sz w:val="18"/>
                <w:lang w:eastAsia="zh-CN"/>
              </w:rPr>
            </w:pPr>
            <w:r>
              <w:rPr>
                <w:rFonts w:hint="eastAsia" w:ascii="仿宋" w:hAnsi="仿宋" w:eastAsia="仿宋" w:cs="仿宋"/>
                <w:sz w:val="18"/>
                <w:lang w:eastAsia="zh-CN"/>
              </w:rPr>
              <w:t>公用事业股</w:t>
            </w:r>
          </w:p>
        </w:tc>
        <w:tc>
          <w:tcPr>
            <w:tcW w:w="3462" w:type="pct"/>
            <w:noWrap/>
            <w:vAlign w:val="center"/>
          </w:tcPr>
          <w:p w14:paraId="3D77B74C">
            <w:pPr>
              <w:widowControl w:val="0"/>
              <w:overflowPunct w:val="0"/>
              <w:spacing w:line="408" w:lineRule="auto"/>
              <w:ind w:firstLine="360" w:firstLineChars="200"/>
              <w:rPr>
                <w:rFonts w:hint="eastAsia" w:ascii="仿宋" w:hAnsi="仿宋" w:eastAsia="仿宋" w:cs="仿宋"/>
                <w:sz w:val="18"/>
                <w:lang w:eastAsia="zh-CN"/>
              </w:rPr>
            </w:pPr>
            <w:r>
              <w:rPr>
                <w:rFonts w:hint="eastAsia" w:ascii="仿宋" w:hAnsi="仿宋" w:eastAsia="仿宋" w:cs="仿宋"/>
                <w:sz w:val="18"/>
                <w:lang w:eastAsia="zh-CN"/>
              </w:rPr>
              <w:t>参与编制全市交通基础设施、市政基础设施</w:t>
            </w:r>
            <w:r>
              <w:rPr>
                <w:rFonts w:ascii="仿宋" w:hAnsi="仿宋" w:eastAsia="仿宋" w:cs="仿宋"/>
                <w:sz w:val="18"/>
                <w:lang w:eastAsia="zh-CN"/>
              </w:rPr>
              <w:t>(</w:t>
            </w:r>
            <w:r>
              <w:rPr>
                <w:rFonts w:hint="eastAsia" w:ascii="仿宋" w:hAnsi="仿宋" w:eastAsia="仿宋" w:cs="仿宋"/>
                <w:sz w:val="18"/>
                <w:lang w:eastAsia="zh-CN"/>
              </w:rPr>
              <w:t>不含供排水、污水处理</w:t>
            </w:r>
            <w:r>
              <w:rPr>
                <w:rFonts w:ascii="仿宋" w:hAnsi="仿宋" w:eastAsia="仿宋" w:cs="仿宋"/>
                <w:sz w:val="18"/>
                <w:lang w:eastAsia="zh-CN"/>
              </w:rPr>
              <w:t>)</w:t>
            </w:r>
            <w:r>
              <w:rPr>
                <w:rFonts w:hint="eastAsia" w:ascii="仿宋" w:hAnsi="仿宋" w:eastAsia="仿宋" w:cs="仿宋"/>
                <w:sz w:val="18"/>
                <w:lang w:eastAsia="zh-CN"/>
              </w:rPr>
              <w:t>、园林绿化、风景名胜等的近期建设规划、年度计划。参与交通基础设施、市政基础设施</w:t>
            </w:r>
            <w:r>
              <w:rPr>
                <w:rFonts w:ascii="仿宋" w:hAnsi="仿宋" w:eastAsia="仿宋" w:cs="仿宋"/>
                <w:sz w:val="18"/>
                <w:lang w:eastAsia="zh-CN"/>
              </w:rPr>
              <w:t>(</w:t>
            </w:r>
            <w:r>
              <w:rPr>
                <w:rFonts w:hint="eastAsia" w:ascii="仿宋" w:hAnsi="仿宋" w:eastAsia="仿宋" w:cs="仿宋"/>
                <w:sz w:val="18"/>
                <w:lang w:eastAsia="zh-CN"/>
              </w:rPr>
              <w:t>不含供排水、污水处理</w:t>
            </w:r>
            <w:r>
              <w:rPr>
                <w:rFonts w:ascii="仿宋" w:hAnsi="仿宋" w:eastAsia="仿宋" w:cs="仿宋"/>
                <w:sz w:val="18"/>
                <w:lang w:eastAsia="zh-CN"/>
              </w:rPr>
              <w:t>)</w:t>
            </w:r>
            <w:r>
              <w:rPr>
                <w:rFonts w:hint="eastAsia" w:ascii="仿宋" w:hAnsi="仿宋" w:eastAsia="仿宋" w:cs="仿宋"/>
                <w:sz w:val="18"/>
                <w:lang w:eastAsia="zh-CN"/>
              </w:rPr>
              <w:t>、风景名胜、园林绿化等城市建设项目的建设方案会审以及验收，负责项目建成后的接收、管理工作。负责燃气管理，组织编制城市燃气发展规划、应急保障预案，负责燃气工程建设项目审查，负责市容环境卫生生产经营单位的资质审查与管理。</w:t>
            </w:r>
          </w:p>
        </w:tc>
      </w:tr>
      <w:tr w14:paraId="57901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363" w:type="pct"/>
            <w:noWrap/>
            <w:vAlign w:val="center"/>
          </w:tcPr>
          <w:p w14:paraId="3B5B96B5">
            <w:pPr>
              <w:widowControl w:val="0"/>
              <w:overflowPunct w:val="0"/>
              <w:spacing w:line="408" w:lineRule="auto"/>
              <w:jc w:val="center"/>
              <w:rPr>
                <w:rFonts w:hint="eastAsia" w:ascii="仿宋" w:hAnsi="仿宋" w:eastAsia="仿宋" w:cs="仿宋"/>
                <w:sz w:val="18"/>
                <w:lang w:eastAsia="zh-CN"/>
              </w:rPr>
            </w:pPr>
            <w:r>
              <w:rPr>
                <w:rFonts w:hint="eastAsia" w:ascii="仿宋" w:hAnsi="仿宋" w:eastAsia="仿宋" w:cs="仿宋"/>
                <w:sz w:val="18"/>
                <w:lang w:eastAsia="zh-CN"/>
              </w:rPr>
              <w:t>5</w:t>
            </w:r>
          </w:p>
        </w:tc>
        <w:tc>
          <w:tcPr>
            <w:tcW w:w="1176" w:type="pct"/>
            <w:noWrap/>
            <w:vAlign w:val="center"/>
          </w:tcPr>
          <w:p w14:paraId="43B16DB4">
            <w:pPr>
              <w:widowControl w:val="0"/>
              <w:overflowPunct w:val="0"/>
              <w:spacing w:line="408" w:lineRule="auto"/>
              <w:rPr>
                <w:rFonts w:hint="eastAsia" w:ascii="仿宋" w:hAnsi="仿宋" w:eastAsia="仿宋" w:cs="仿宋"/>
                <w:sz w:val="18"/>
                <w:lang w:eastAsia="zh-CN"/>
              </w:rPr>
            </w:pPr>
            <w:r>
              <w:rPr>
                <w:rFonts w:hint="eastAsia" w:ascii="仿宋" w:hAnsi="仿宋" w:eastAsia="仿宋" w:cs="仿宋"/>
                <w:sz w:val="18"/>
                <w:lang w:eastAsia="zh-CN"/>
              </w:rPr>
              <w:t>水务股</w:t>
            </w:r>
          </w:p>
        </w:tc>
        <w:tc>
          <w:tcPr>
            <w:tcW w:w="3462" w:type="pct"/>
            <w:noWrap/>
            <w:vAlign w:val="center"/>
          </w:tcPr>
          <w:p w14:paraId="08CA64F7">
            <w:pPr>
              <w:widowControl w:val="0"/>
              <w:overflowPunct w:val="0"/>
              <w:spacing w:line="408" w:lineRule="auto"/>
              <w:ind w:firstLine="360" w:firstLineChars="200"/>
              <w:rPr>
                <w:rFonts w:hint="eastAsia" w:ascii="仿宋" w:hAnsi="仿宋" w:eastAsia="仿宋" w:cs="仿宋"/>
                <w:sz w:val="18"/>
                <w:lang w:eastAsia="zh-CN"/>
              </w:rPr>
            </w:pPr>
            <w:r>
              <w:rPr>
                <w:rFonts w:hint="eastAsia" w:ascii="仿宋" w:hAnsi="仿宋" w:eastAsia="仿宋" w:cs="仿宋"/>
                <w:sz w:val="18"/>
                <w:lang w:eastAsia="zh-CN"/>
              </w:rPr>
              <w:t>组织编制水务发展战略规划。按规定制定水务水利工程建设相关制度并组织实施，负责提出水务水利固定资产投资规模和方向、具体安排建议并组织实施。按权限审批市规划内和年度计划规模内固定资产投资项目，提出市水务水利建设投资安排建议并负责项目实施的监督管理。负责提出市政府财政性资金安排的意见。组织实施水利产权制度改革。承担有关水利行政审批和监督管理工作。指导监督水务水利工程建设与运行管理。承担市河长办日常工作，负责河长制、湖长制组织实施的具体工作，协调指导、监督推进河湖治理保护。</w:t>
            </w:r>
          </w:p>
        </w:tc>
      </w:tr>
    </w:tbl>
    <w:p w14:paraId="4D01F6CE">
      <w:pPr>
        <w:widowControl w:val="0"/>
        <w:overflowPunct w:val="0"/>
        <w:spacing w:line="408" w:lineRule="auto"/>
        <w:ind w:firstLine="552" w:firstLineChars="200"/>
        <w:jc w:val="both"/>
        <w:rPr>
          <w:rFonts w:hint="eastAsia" w:ascii="仿宋" w:hAnsi="仿宋" w:eastAsia="仿宋" w:cs="仿宋"/>
          <w:bCs/>
          <w:spacing w:val="-2"/>
          <w:sz w:val="28"/>
          <w:szCs w:val="24"/>
          <w:lang w:eastAsia="zh-CN"/>
          <w14:textOutline w14:w="5105" w14:cap="sq" w14:cmpd="sng" w14:algn="ctr">
            <w14:solidFill>
              <w14:srgbClr w14:val="000000"/>
            </w14:solidFill>
            <w14:prstDash w14:val="solid"/>
            <w14:bevel/>
          </w14:textOutline>
        </w:rPr>
      </w:pPr>
    </w:p>
    <w:p w14:paraId="5F660D15">
      <w:pPr>
        <w:snapToGrid/>
        <w:spacing w:line="408" w:lineRule="auto"/>
        <w:ind w:firstLine="558" w:firstLineChars="200"/>
        <w:jc w:val="both"/>
        <w:outlineLvl w:val="1"/>
        <w:rPr>
          <w:rFonts w:hint="eastAsia" w:ascii="仿宋" w:hAnsi="仿宋" w:eastAsia="仿宋" w:cs="仿宋"/>
          <w:b/>
          <w:bCs/>
          <w:color w:val="auto"/>
          <w:spacing w:val="-1"/>
          <w:sz w:val="28"/>
          <w:szCs w:val="28"/>
          <w:lang w:eastAsia="zh-CN"/>
        </w:rPr>
      </w:pPr>
      <w:bookmarkStart w:id="25" w:name="_Toc208840312"/>
      <w:bookmarkStart w:id="26" w:name="_Toc181557994"/>
      <w:r>
        <w:rPr>
          <w:rFonts w:hint="eastAsia" w:ascii="仿宋" w:hAnsi="仿宋" w:eastAsia="仿宋" w:cs="仿宋"/>
          <w:b/>
          <w:bCs/>
          <w:color w:val="auto"/>
          <w:spacing w:val="-1"/>
          <w:sz w:val="28"/>
          <w:szCs w:val="28"/>
          <w:lang w:eastAsia="zh-CN"/>
        </w:rPr>
        <w:t>（三）部门管理制度</w:t>
      </w:r>
      <w:bookmarkEnd w:id="25"/>
      <w:bookmarkEnd w:id="26"/>
    </w:p>
    <w:p w14:paraId="6910CD12">
      <w:pPr>
        <w:widowControl w:val="0"/>
        <w:overflowPunct w:val="0"/>
        <w:snapToGrid/>
        <w:spacing w:line="408" w:lineRule="auto"/>
        <w:ind w:firstLine="544" w:firstLineChars="200"/>
        <w:jc w:val="both"/>
        <w:rPr>
          <w:rFonts w:hint="eastAsia" w:ascii="仿宋" w:hAnsi="仿宋" w:eastAsia="仿宋" w:cs="仿宋"/>
          <w:color w:val="auto"/>
          <w:spacing w:val="-6"/>
          <w:sz w:val="28"/>
          <w:szCs w:val="28"/>
          <w:lang w:eastAsia="zh-CN"/>
        </w:rPr>
      </w:pPr>
      <w:bookmarkStart w:id="27" w:name="bookmark7"/>
      <w:bookmarkEnd w:id="27"/>
      <w:r>
        <w:rPr>
          <w:rFonts w:hint="eastAsia" w:ascii="仿宋" w:hAnsi="仿宋" w:eastAsia="仿宋" w:cs="仿宋"/>
          <w:color w:val="auto"/>
          <w:spacing w:val="-4"/>
          <w:sz w:val="28"/>
          <w:szCs w:val="28"/>
          <w:lang w:eastAsia="zh-CN"/>
        </w:rPr>
        <w:t>为加强石狮市城市管理和综合执法局财务管理和会计核算，规范财务行为，</w:t>
      </w:r>
      <w:r>
        <w:rPr>
          <w:rFonts w:hint="eastAsia" w:ascii="仿宋" w:hAnsi="仿宋" w:eastAsia="仿宋" w:cs="仿宋"/>
          <w:color w:val="auto"/>
          <w:spacing w:val="-3"/>
          <w:sz w:val="28"/>
          <w:szCs w:val="28"/>
          <w:lang w:eastAsia="zh-CN"/>
        </w:rPr>
        <w:t>降低行政成本，提高资金使用效益、强化财务监</w:t>
      </w:r>
      <w:r>
        <w:rPr>
          <w:rFonts w:hint="eastAsia" w:ascii="仿宋" w:hAnsi="仿宋" w:eastAsia="仿宋" w:cs="仿宋"/>
          <w:color w:val="auto"/>
          <w:spacing w:val="-4"/>
          <w:sz w:val="28"/>
          <w:szCs w:val="28"/>
          <w:lang w:eastAsia="zh-CN"/>
        </w:rPr>
        <w:t>督，加强单位内部控制，</w:t>
      </w:r>
      <w:r>
        <w:rPr>
          <w:rFonts w:hint="eastAsia" w:ascii="仿宋" w:hAnsi="仿宋" w:eastAsia="仿宋" w:cs="仿宋"/>
          <w:color w:val="auto"/>
          <w:spacing w:val="-6"/>
          <w:sz w:val="28"/>
          <w:szCs w:val="28"/>
          <w:lang w:eastAsia="zh-CN"/>
        </w:rPr>
        <w:t>石狮市城市管理和综合执法局出台了《石狮市城市管理局工作管理制度汇编</w:t>
      </w:r>
    </w:p>
    <w:p w14:paraId="449821B3">
      <w:pPr>
        <w:widowControl w:val="0"/>
        <w:overflowPunct w:val="0"/>
        <w:snapToGrid/>
        <w:spacing w:line="408" w:lineRule="auto"/>
        <w:jc w:val="both"/>
        <w:rPr>
          <w:rFonts w:hint="eastAsia" w:ascii="仿宋" w:hAnsi="仿宋" w:eastAsia="仿宋" w:cs="仿宋"/>
          <w:color w:val="auto"/>
          <w:sz w:val="28"/>
          <w:lang w:eastAsia="zh-CN"/>
        </w:rPr>
      </w:pP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3"/>
          <w:sz w:val="28"/>
          <w:szCs w:val="28"/>
          <w:lang w:eastAsia="zh-CN"/>
        </w:rPr>
        <w:t>该制度对石狮市城市管理和综合执法局的财务管理、预算管理、收支管理、</w:t>
      </w:r>
      <w:r>
        <w:rPr>
          <w:rFonts w:hint="eastAsia" w:ascii="仿宋" w:hAnsi="仿宋" w:eastAsia="仿宋" w:cs="仿宋"/>
          <w:color w:val="auto"/>
          <w:spacing w:val="-1"/>
          <w:sz w:val="28"/>
          <w:szCs w:val="28"/>
          <w:lang w:eastAsia="zh-CN"/>
        </w:rPr>
        <w:t>资金管理、审批管理等进行了严格</w:t>
      </w:r>
      <w:r>
        <w:rPr>
          <w:rFonts w:hint="eastAsia" w:ascii="仿宋" w:hAnsi="仿宋" w:eastAsia="仿宋" w:cs="仿宋"/>
          <w:color w:val="auto"/>
          <w:spacing w:val="-2"/>
          <w:sz w:val="28"/>
          <w:szCs w:val="28"/>
          <w:lang w:eastAsia="zh-CN"/>
        </w:rPr>
        <w:t>规定。</w:t>
      </w:r>
      <w:r>
        <w:rPr>
          <w:rFonts w:hint="eastAsia" w:ascii="仿宋" w:hAnsi="仿宋" w:eastAsia="仿宋" w:cs="仿宋"/>
          <w:color w:val="auto"/>
          <w:spacing w:val="3"/>
          <w:sz w:val="28"/>
          <w:szCs w:val="28"/>
          <w:lang w:eastAsia="zh-CN"/>
        </w:rPr>
        <w:t>为加强石狮市城市管理和综合执法局采购活动内部控制的管理，规范采购行为，提高资金使用效益。</w:t>
      </w:r>
    </w:p>
    <w:p w14:paraId="1B51BB07">
      <w:pPr>
        <w:widowControl w:val="0"/>
        <w:overflowPunct w:val="0"/>
        <w:snapToGrid/>
        <w:spacing w:line="408" w:lineRule="auto"/>
        <w:ind w:firstLine="554" w:firstLineChars="200"/>
        <w:jc w:val="both"/>
        <w:outlineLvl w:val="1"/>
        <w:rPr>
          <w:rFonts w:hint="eastAsia" w:ascii="仿宋" w:hAnsi="仿宋" w:eastAsia="仿宋" w:cs="仿宋"/>
          <w:b/>
          <w:bCs/>
          <w:color w:val="auto"/>
          <w:spacing w:val="-2"/>
          <w:sz w:val="28"/>
          <w:szCs w:val="28"/>
          <w:lang w:eastAsia="zh-CN"/>
        </w:rPr>
      </w:pPr>
      <w:bookmarkStart w:id="28" w:name="bookmark9"/>
      <w:bookmarkEnd w:id="28"/>
      <w:bookmarkStart w:id="29" w:name="bookmark8"/>
      <w:bookmarkEnd w:id="29"/>
      <w:bookmarkStart w:id="30" w:name="_Toc208840313"/>
      <w:bookmarkStart w:id="31" w:name="_Toc181557995"/>
      <w:r>
        <w:rPr>
          <w:rFonts w:hint="eastAsia" w:ascii="仿宋" w:hAnsi="仿宋" w:eastAsia="仿宋" w:cs="仿宋"/>
          <w:b/>
          <w:bCs/>
          <w:color w:val="auto"/>
          <w:spacing w:val="-2"/>
          <w:sz w:val="28"/>
          <w:szCs w:val="28"/>
          <w:lang w:eastAsia="zh-CN"/>
        </w:rPr>
        <w:t>（四）部门整体收支情况</w:t>
      </w:r>
      <w:bookmarkEnd w:id="30"/>
      <w:bookmarkEnd w:id="31"/>
      <w:bookmarkStart w:id="32" w:name="bookmark10"/>
      <w:bookmarkEnd w:id="32"/>
    </w:p>
    <w:p w14:paraId="2980BDB5">
      <w:pPr>
        <w:widowControl w:val="0"/>
        <w:overflowPunct w:val="0"/>
        <w:snapToGrid/>
        <w:spacing w:line="408" w:lineRule="auto"/>
        <w:ind w:firstLine="552" w:firstLineChars="200"/>
        <w:jc w:val="both"/>
        <w:outlineLvl w:val="2"/>
        <w:rPr>
          <w:rFonts w:hint="eastAsia" w:ascii="仿宋" w:hAnsi="仿宋" w:eastAsia="仿宋" w:cs="仿宋"/>
          <w:color w:val="auto"/>
          <w:spacing w:val="-2"/>
          <w:sz w:val="28"/>
          <w:szCs w:val="28"/>
          <w:lang w:eastAsia="zh-CN"/>
        </w:rPr>
      </w:pPr>
      <w:bookmarkStart w:id="33" w:name="_Toc23750"/>
      <w:bookmarkStart w:id="34" w:name="_Toc208840314"/>
      <w:bookmarkStart w:id="35" w:name="_Toc181557996"/>
      <w:r>
        <w:rPr>
          <w:rFonts w:hint="eastAsia" w:ascii="仿宋" w:hAnsi="仿宋" w:eastAsia="仿宋" w:cs="仿宋"/>
          <w:color w:val="auto"/>
          <w:spacing w:val="-2"/>
          <w:sz w:val="28"/>
          <w:szCs w:val="28"/>
          <w:lang w:eastAsia="zh-CN"/>
        </w:rPr>
        <w:t>1.</w:t>
      </w:r>
      <w:bookmarkEnd w:id="33"/>
      <w:r>
        <w:rPr>
          <w:rFonts w:hint="eastAsia" w:ascii="仿宋" w:hAnsi="仿宋" w:eastAsia="仿宋" w:cs="仿宋"/>
          <w:color w:val="auto"/>
          <w:spacing w:val="-2"/>
          <w:sz w:val="28"/>
          <w:szCs w:val="28"/>
          <w:lang w:eastAsia="zh-CN"/>
        </w:rPr>
        <w:t>资金预算和执行情况</w:t>
      </w:r>
      <w:bookmarkEnd w:id="34"/>
      <w:bookmarkEnd w:id="35"/>
    </w:p>
    <w:p w14:paraId="4AFA8B24">
      <w:pPr>
        <w:widowControl w:val="0"/>
        <w:overflowPunct w:val="0"/>
        <w:snapToGrid/>
        <w:spacing w:line="408" w:lineRule="auto"/>
        <w:ind w:firstLine="552" w:firstLineChars="200"/>
        <w:jc w:val="both"/>
        <w:rPr>
          <w:rFonts w:hint="eastAsia" w:ascii="仿宋" w:hAnsi="仿宋" w:eastAsia="仿宋" w:cs="仿宋"/>
          <w:color w:val="auto"/>
          <w:spacing w:val="-2"/>
          <w:sz w:val="28"/>
          <w:szCs w:val="28"/>
          <w:lang w:eastAsia="zh-CN"/>
        </w:rPr>
      </w:pPr>
      <w:r>
        <w:rPr>
          <w:rFonts w:hint="eastAsia" w:ascii="仿宋" w:hAnsi="仿宋" w:eastAsia="仿宋" w:cs="仿宋"/>
          <w:color w:val="auto"/>
          <w:spacing w:val="-2"/>
          <w:sz w:val="28"/>
          <w:szCs w:val="28"/>
          <w:lang w:eastAsia="zh-CN"/>
        </w:rPr>
        <w:t>石狮市城市管理和综合执法局2024年部门年初收入预算为</w:t>
      </w:r>
      <w:r>
        <w:rPr>
          <w:rFonts w:ascii="仿宋" w:hAnsi="仿宋" w:eastAsia="仿宋" w:cs="仿宋"/>
          <w:color w:val="auto"/>
          <w:spacing w:val="-2"/>
          <w:sz w:val="28"/>
          <w:szCs w:val="28"/>
          <w:lang w:eastAsia="zh-CN"/>
        </w:rPr>
        <w:t>25,027.50</w:t>
      </w:r>
      <w:r>
        <w:rPr>
          <w:rFonts w:hint="eastAsia" w:ascii="仿宋" w:hAnsi="仿宋" w:eastAsia="仿宋" w:cs="仿宋"/>
          <w:color w:val="auto"/>
          <w:spacing w:val="-2"/>
          <w:sz w:val="28"/>
          <w:szCs w:val="28"/>
          <w:lang w:eastAsia="zh-CN"/>
        </w:rPr>
        <w:t>万元，其中，一般公共预算财政拨款收入</w:t>
      </w:r>
      <w:r>
        <w:rPr>
          <w:rFonts w:ascii="仿宋" w:hAnsi="仿宋" w:eastAsia="仿宋" w:cs="仿宋"/>
          <w:color w:val="auto"/>
          <w:spacing w:val="-2"/>
          <w:sz w:val="28"/>
          <w:szCs w:val="28"/>
          <w:lang w:eastAsia="zh-CN"/>
        </w:rPr>
        <w:t>13,397.50</w:t>
      </w:r>
      <w:r>
        <w:rPr>
          <w:rFonts w:hint="eastAsia" w:ascii="仿宋" w:hAnsi="仿宋" w:eastAsia="仿宋" w:cs="仿宋"/>
          <w:color w:val="auto"/>
          <w:spacing w:val="-2"/>
          <w:sz w:val="28"/>
          <w:szCs w:val="28"/>
          <w:lang w:eastAsia="zh-CN"/>
        </w:rPr>
        <w:t>万元，政府性基金预算拨款收入</w:t>
      </w:r>
      <w:r>
        <w:rPr>
          <w:rFonts w:ascii="仿宋" w:hAnsi="仿宋" w:eastAsia="仿宋" w:cs="仿宋"/>
          <w:color w:val="auto"/>
          <w:spacing w:val="-2"/>
          <w:sz w:val="28"/>
          <w:szCs w:val="28"/>
          <w:lang w:eastAsia="zh-CN"/>
        </w:rPr>
        <w:t>11,630.00</w:t>
      </w:r>
      <w:r>
        <w:rPr>
          <w:rFonts w:hint="eastAsia" w:ascii="仿宋" w:hAnsi="仿宋" w:eastAsia="仿宋" w:cs="仿宋"/>
          <w:color w:val="auto"/>
          <w:spacing w:val="-2"/>
          <w:sz w:val="28"/>
          <w:szCs w:val="28"/>
          <w:lang w:eastAsia="zh-CN"/>
        </w:rPr>
        <w:t>万元，国有资本经营预算拨款收入0.00万元，其他收入预算拨款0.00万元。部门年初预算总支出</w:t>
      </w:r>
      <w:r>
        <w:rPr>
          <w:rFonts w:ascii="仿宋" w:hAnsi="仿宋" w:eastAsia="仿宋" w:cs="仿宋"/>
          <w:color w:val="auto"/>
          <w:spacing w:val="-2"/>
          <w:sz w:val="28"/>
          <w:szCs w:val="28"/>
          <w:lang w:eastAsia="zh-CN"/>
        </w:rPr>
        <w:t>19,407.91</w:t>
      </w:r>
      <w:r>
        <w:rPr>
          <w:rFonts w:hint="eastAsia" w:ascii="仿宋" w:hAnsi="仿宋" w:eastAsia="仿宋" w:cs="仿宋"/>
          <w:color w:val="auto"/>
          <w:spacing w:val="-2"/>
          <w:sz w:val="28"/>
          <w:szCs w:val="28"/>
          <w:lang w:eastAsia="zh-CN"/>
        </w:rPr>
        <w:t>万元，基本支出</w:t>
      </w:r>
      <w:r>
        <w:rPr>
          <w:rFonts w:ascii="仿宋" w:hAnsi="仿宋" w:eastAsia="仿宋" w:cs="仿宋"/>
          <w:color w:val="auto"/>
          <w:spacing w:val="-2"/>
          <w:sz w:val="28"/>
          <w:szCs w:val="28"/>
          <w:lang w:eastAsia="zh-CN"/>
        </w:rPr>
        <w:t>241.99</w:t>
      </w:r>
      <w:r>
        <w:rPr>
          <w:rFonts w:hint="eastAsia" w:ascii="仿宋" w:hAnsi="仿宋" w:eastAsia="仿宋" w:cs="仿宋"/>
          <w:color w:val="auto"/>
          <w:spacing w:val="-2"/>
          <w:sz w:val="28"/>
          <w:szCs w:val="28"/>
          <w:lang w:eastAsia="zh-CN"/>
        </w:rPr>
        <w:t>万元，项目支出</w:t>
      </w:r>
      <w:r>
        <w:rPr>
          <w:rFonts w:ascii="仿宋" w:hAnsi="仿宋" w:eastAsia="仿宋" w:cs="仿宋"/>
          <w:color w:val="auto"/>
          <w:spacing w:val="-2"/>
          <w:sz w:val="28"/>
          <w:szCs w:val="28"/>
          <w:lang w:eastAsia="zh-CN"/>
        </w:rPr>
        <w:t>19,165.92</w:t>
      </w:r>
      <w:r>
        <w:rPr>
          <w:rFonts w:hint="eastAsia" w:ascii="仿宋" w:hAnsi="仿宋" w:eastAsia="仿宋" w:cs="仿宋"/>
          <w:color w:val="auto"/>
          <w:spacing w:val="-2"/>
          <w:sz w:val="28"/>
          <w:szCs w:val="28"/>
          <w:lang w:eastAsia="zh-CN"/>
        </w:rPr>
        <w:t>万元。具体部门收入情况和部门预算安排情况如下表2：</w:t>
      </w:r>
    </w:p>
    <w:p w14:paraId="08B8BB60">
      <w:pPr>
        <w:widowControl w:val="0"/>
        <w:overflowPunct w:val="0"/>
        <w:spacing w:line="408" w:lineRule="auto"/>
        <w:jc w:val="center"/>
        <w:rPr>
          <w:rFonts w:hint="eastAsia" w:ascii="仿宋" w:hAnsi="仿宋" w:eastAsia="仿宋" w:cs="仿宋"/>
          <w:sz w:val="28"/>
          <w:szCs w:val="24"/>
          <w:lang w:eastAsia="zh-CN"/>
        </w:rPr>
      </w:pPr>
      <w:r>
        <w:rPr>
          <w:rFonts w:ascii="仿宋" w:hAnsi="仿宋" w:eastAsia="仿宋" w:cs="仿宋"/>
          <w:spacing w:val="-2"/>
          <w:sz w:val="28"/>
          <w:szCs w:val="24"/>
          <w:lang w:eastAsia="zh-CN"/>
          <w14:textOutline w14:w="5105" w14:cap="sq" w14:cmpd="sng" w14:algn="ctr">
            <w14:solidFill>
              <w14:srgbClr w14:val="000000"/>
            </w14:solidFill>
            <w14:prstDash w14:val="solid"/>
            <w14:bevel/>
          </w14:textOutline>
        </w:rPr>
        <w:t>表</w:t>
      </w:r>
      <w:r>
        <w:rPr>
          <w:rFonts w:hint="eastAsia" w:ascii="仿宋" w:hAnsi="仿宋" w:eastAsia="仿宋" w:cs="仿宋"/>
          <w:spacing w:val="-2"/>
          <w:sz w:val="28"/>
          <w:szCs w:val="24"/>
          <w:lang w:eastAsia="zh-CN"/>
          <w14:textOutline w14:w="5105" w14:cap="sq" w14:cmpd="sng" w14:algn="ctr">
            <w14:solidFill>
              <w14:srgbClr w14:val="000000"/>
            </w14:solidFill>
            <w14:prstDash w14:val="solid"/>
            <w14:bevel/>
          </w14:textOutline>
        </w:rPr>
        <w:t>2  石狮市城市管理和综合执法局2024</w:t>
      </w:r>
      <w:r>
        <w:rPr>
          <w:rFonts w:ascii="仿宋" w:hAnsi="仿宋" w:eastAsia="仿宋" w:cs="仿宋"/>
          <w:spacing w:val="-2"/>
          <w:sz w:val="28"/>
          <w:szCs w:val="24"/>
          <w:lang w:eastAsia="zh-CN"/>
          <w14:textOutline w14:w="5105" w14:cap="sq" w14:cmpd="sng" w14:algn="ctr">
            <w14:solidFill>
              <w14:srgbClr w14:val="000000"/>
            </w14:solidFill>
            <w14:prstDash w14:val="solid"/>
            <w14:bevel/>
          </w14:textOutline>
        </w:rPr>
        <w:t>年</w:t>
      </w:r>
      <w:r>
        <w:rPr>
          <w:rFonts w:hint="eastAsia" w:ascii="仿宋" w:hAnsi="仿宋" w:eastAsia="仿宋" w:cs="仿宋"/>
          <w:spacing w:val="-2"/>
          <w:sz w:val="28"/>
          <w:szCs w:val="24"/>
          <w:lang w:eastAsia="zh-CN"/>
          <w14:textOutline w14:w="5105" w14:cap="sq" w14:cmpd="sng" w14:algn="ctr">
            <w14:solidFill>
              <w14:srgbClr w14:val="000000"/>
            </w14:solidFill>
            <w14:prstDash w14:val="solid"/>
            <w14:bevel/>
          </w14:textOutline>
        </w:rPr>
        <w:t>年初</w:t>
      </w:r>
      <w:r>
        <w:rPr>
          <w:rFonts w:ascii="仿宋" w:hAnsi="仿宋" w:eastAsia="仿宋" w:cs="仿宋"/>
          <w:spacing w:val="-2"/>
          <w:sz w:val="28"/>
          <w:szCs w:val="24"/>
          <w:lang w:eastAsia="zh-CN"/>
          <w14:textOutline w14:w="5105" w14:cap="sq" w14:cmpd="sng" w14:algn="ctr">
            <w14:solidFill>
              <w14:srgbClr w14:val="000000"/>
            </w14:solidFill>
            <w14:prstDash w14:val="solid"/>
            <w14:bevel/>
          </w14:textOutline>
        </w:rPr>
        <w:t>预算安排情况</w:t>
      </w:r>
    </w:p>
    <w:p w14:paraId="31F8F671">
      <w:pPr>
        <w:widowControl w:val="0"/>
        <w:overflowPunct w:val="0"/>
        <w:ind w:firstLine="556"/>
        <w:jc w:val="right"/>
        <w:rPr>
          <w:rFonts w:hint="eastAsia" w:ascii="仿宋" w:hAnsi="仿宋" w:eastAsia="仿宋"/>
          <w:color w:val="auto"/>
          <w:sz w:val="24"/>
        </w:rPr>
      </w:pPr>
      <w:r>
        <w:rPr>
          <w:rFonts w:hint="eastAsia" w:ascii="仿宋" w:hAnsi="仿宋" w:eastAsia="仿宋" w:cs="仿宋"/>
          <w:spacing w:val="-2"/>
          <w:sz w:val="24"/>
          <w:lang w:eastAsia="zh-CN"/>
          <w14:textOutline w14:w="5105" w14:cap="sq" w14:cmpd="sng" w14:algn="ctr">
            <w14:solidFill>
              <w14:srgbClr w14:val="000000"/>
            </w14:solidFill>
            <w14:prstDash w14:val="solid"/>
            <w14:bevel/>
          </w14:textOutline>
        </w:rPr>
        <w:t>单位：万元</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8"/>
        <w:gridCol w:w="1921"/>
        <w:gridCol w:w="1879"/>
        <w:gridCol w:w="1877"/>
      </w:tblGrid>
      <w:tr w14:paraId="3F01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2" w:type="pct"/>
            <w:vMerge w:val="restart"/>
            <w:shd w:val="clear" w:color="auto" w:fill="D8D8D8" w:themeFill="background1" w:themeFillShade="D9"/>
            <w:vAlign w:val="center"/>
          </w:tcPr>
          <w:p w14:paraId="3713191B">
            <w:pPr>
              <w:pStyle w:val="484"/>
              <w:widowControl w:val="0"/>
              <w:overflowPunct w:val="0"/>
              <w:spacing w:line="408" w:lineRule="auto"/>
              <w:jc w:val="center"/>
              <w:rPr>
                <w:rFonts w:hint="eastAsia"/>
                <w:b/>
                <w:bCs/>
                <w:spacing w:val="-2"/>
                <w:sz w:val="18"/>
                <w:lang w:eastAsia="zh-CN"/>
              </w:rPr>
            </w:pPr>
            <w:r>
              <w:rPr>
                <w:b/>
                <w:bCs/>
                <w:spacing w:val="-2"/>
                <w:sz w:val="18"/>
                <w:lang w:eastAsia="zh-CN"/>
              </w:rPr>
              <w:t>资金来源</w:t>
            </w:r>
          </w:p>
        </w:tc>
        <w:tc>
          <w:tcPr>
            <w:tcW w:w="1004" w:type="pct"/>
            <w:vMerge w:val="restart"/>
            <w:shd w:val="clear" w:color="auto" w:fill="D8D8D8" w:themeFill="background1" w:themeFillShade="D9"/>
            <w:vAlign w:val="center"/>
          </w:tcPr>
          <w:p w14:paraId="72B6E24B">
            <w:pPr>
              <w:pStyle w:val="484"/>
              <w:widowControl w:val="0"/>
              <w:overflowPunct w:val="0"/>
              <w:spacing w:line="408" w:lineRule="auto"/>
              <w:jc w:val="center"/>
              <w:rPr>
                <w:rFonts w:hint="eastAsia"/>
                <w:b/>
                <w:bCs/>
                <w:spacing w:val="-2"/>
                <w:sz w:val="18"/>
                <w:lang w:eastAsia="zh-CN"/>
              </w:rPr>
            </w:pPr>
            <w:r>
              <w:rPr>
                <w:rFonts w:hint="eastAsia"/>
                <w:b/>
                <w:bCs/>
                <w:spacing w:val="-2"/>
                <w:sz w:val="18"/>
                <w:lang w:eastAsia="zh-CN"/>
              </w:rPr>
              <w:t>年初</w:t>
            </w:r>
            <w:r>
              <w:rPr>
                <w:b/>
                <w:bCs/>
                <w:spacing w:val="-2"/>
                <w:sz w:val="18"/>
                <w:lang w:eastAsia="zh-CN"/>
              </w:rPr>
              <w:t>预算收入</w:t>
            </w:r>
          </w:p>
        </w:tc>
        <w:tc>
          <w:tcPr>
            <w:tcW w:w="1963" w:type="pct"/>
            <w:gridSpan w:val="2"/>
            <w:shd w:val="clear" w:color="auto" w:fill="D8D8D8" w:themeFill="background1" w:themeFillShade="D9"/>
            <w:vAlign w:val="center"/>
          </w:tcPr>
          <w:p w14:paraId="6D144E01">
            <w:pPr>
              <w:pStyle w:val="484"/>
              <w:widowControl w:val="0"/>
              <w:overflowPunct w:val="0"/>
              <w:spacing w:line="408" w:lineRule="auto"/>
              <w:jc w:val="center"/>
              <w:rPr>
                <w:rFonts w:hint="eastAsia"/>
                <w:b/>
                <w:bCs/>
                <w:spacing w:val="-2"/>
                <w:sz w:val="18"/>
                <w:lang w:eastAsia="zh-CN"/>
              </w:rPr>
            </w:pPr>
            <w:r>
              <w:rPr>
                <w:rFonts w:hint="eastAsia"/>
                <w:b/>
                <w:bCs/>
                <w:spacing w:val="-2"/>
                <w:sz w:val="18"/>
                <w:lang w:eastAsia="zh-CN"/>
              </w:rPr>
              <w:t>年初</w:t>
            </w:r>
            <w:r>
              <w:rPr>
                <w:b/>
                <w:bCs/>
                <w:spacing w:val="-2"/>
                <w:sz w:val="18"/>
                <w:lang w:eastAsia="zh-CN"/>
              </w:rPr>
              <w:t>收入预算安排</w:t>
            </w:r>
          </w:p>
        </w:tc>
      </w:tr>
      <w:tr w14:paraId="276C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2" w:type="pct"/>
            <w:vMerge w:val="continue"/>
            <w:shd w:val="clear" w:color="auto" w:fill="D8D8D8" w:themeFill="background1" w:themeFillShade="D9"/>
            <w:vAlign w:val="center"/>
          </w:tcPr>
          <w:p w14:paraId="3684DEE4">
            <w:pPr>
              <w:widowControl w:val="0"/>
              <w:overflowPunct w:val="0"/>
              <w:spacing w:line="408" w:lineRule="auto"/>
              <w:jc w:val="center"/>
              <w:rPr>
                <w:rFonts w:hint="eastAsia" w:ascii="仿宋" w:hAnsi="仿宋" w:eastAsia="仿宋" w:cs="仿宋"/>
                <w:b/>
                <w:bCs/>
                <w:spacing w:val="-2"/>
                <w:sz w:val="18"/>
                <w:szCs w:val="22"/>
                <w:lang w:eastAsia="zh-CN"/>
              </w:rPr>
            </w:pPr>
          </w:p>
        </w:tc>
        <w:tc>
          <w:tcPr>
            <w:tcW w:w="1004" w:type="pct"/>
            <w:vMerge w:val="continue"/>
            <w:shd w:val="clear" w:color="auto" w:fill="D8D8D8" w:themeFill="background1" w:themeFillShade="D9"/>
            <w:vAlign w:val="center"/>
          </w:tcPr>
          <w:p w14:paraId="22679910">
            <w:pPr>
              <w:widowControl w:val="0"/>
              <w:overflowPunct w:val="0"/>
              <w:spacing w:line="408" w:lineRule="auto"/>
              <w:jc w:val="center"/>
              <w:rPr>
                <w:rFonts w:hint="eastAsia" w:ascii="仿宋" w:hAnsi="仿宋" w:eastAsia="仿宋" w:cs="仿宋"/>
                <w:b/>
                <w:bCs/>
                <w:spacing w:val="-2"/>
                <w:sz w:val="18"/>
                <w:szCs w:val="22"/>
                <w:lang w:eastAsia="zh-CN"/>
              </w:rPr>
            </w:pPr>
          </w:p>
        </w:tc>
        <w:tc>
          <w:tcPr>
            <w:tcW w:w="982" w:type="pct"/>
            <w:shd w:val="clear" w:color="auto" w:fill="D8D8D8" w:themeFill="background1" w:themeFillShade="D9"/>
            <w:vAlign w:val="center"/>
          </w:tcPr>
          <w:p w14:paraId="7B67B22E">
            <w:pPr>
              <w:pStyle w:val="484"/>
              <w:widowControl w:val="0"/>
              <w:overflowPunct w:val="0"/>
              <w:spacing w:line="408" w:lineRule="auto"/>
              <w:jc w:val="center"/>
              <w:rPr>
                <w:rFonts w:hint="eastAsia"/>
                <w:b/>
                <w:bCs/>
                <w:spacing w:val="-2"/>
                <w:sz w:val="18"/>
                <w:lang w:eastAsia="zh-CN"/>
              </w:rPr>
            </w:pPr>
            <w:r>
              <w:rPr>
                <w:b/>
                <w:bCs/>
                <w:spacing w:val="-2"/>
                <w:sz w:val="18"/>
                <w:lang w:eastAsia="zh-CN"/>
              </w:rPr>
              <w:t>基本支出</w:t>
            </w:r>
          </w:p>
        </w:tc>
        <w:tc>
          <w:tcPr>
            <w:tcW w:w="981" w:type="pct"/>
            <w:shd w:val="clear" w:color="auto" w:fill="D8D8D8" w:themeFill="background1" w:themeFillShade="D9"/>
            <w:vAlign w:val="center"/>
          </w:tcPr>
          <w:p w14:paraId="542B97D4">
            <w:pPr>
              <w:pStyle w:val="484"/>
              <w:widowControl w:val="0"/>
              <w:overflowPunct w:val="0"/>
              <w:spacing w:line="408" w:lineRule="auto"/>
              <w:jc w:val="center"/>
              <w:rPr>
                <w:rFonts w:hint="eastAsia"/>
                <w:b/>
                <w:bCs/>
                <w:spacing w:val="-2"/>
                <w:sz w:val="18"/>
                <w:lang w:eastAsia="zh-CN"/>
              </w:rPr>
            </w:pPr>
            <w:r>
              <w:rPr>
                <w:b/>
                <w:bCs/>
                <w:spacing w:val="-2"/>
                <w:sz w:val="18"/>
                <w:lang w:eastAsia="zh-CN"/>
              </w:rPr>
              <w:t>项目支出</w:t>
            </w:r>
          </w:p>
        </w:tc>
      </w:tr>
      <w:tr w14:paraId="4735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2" w:type="pct"/>
            <w:vAlign w:val="center"/>
          </w:tcPr>
          <w:p w14:paraId="09E17D56">
            <w:pPr>
              <w:pStyle w:val="484"/>
              <w:widowControl w:val="0"/>
              <w:overflowPunct w:val="0"/>
              <w:spacing w:line="408" w:lineRule="auto"/>
              <w:ind w:left="125"/>
              <w:rPr>
                <w:rFonts w:hint="eastAsia"/>
                <w:spacing w:val="-2"/>
                <w:sz w:val="18"/>
                <w:lang w:eastAsia="zh-CN"/>
              </w:rPr>
            </w:pPr>
            <w:r>
              <w:rPr>
                <w:spacing w:val="-2"/>
                <w:sz w:val="18"/>
                <w:lang w:eastAsia="zh-CN"/>
              </w:rPr>
              <w:t>一般公共预算财政拨款收入</w:t>
            </w:r>
          </w:p>
        </w:tc>
        <w:tc>
          <w:tcPr>
            <w:tcW w:w="1004" w:type="pct"/>
            <w:vAlign w:val="center"/>
          </w:tcPr>
          <w:p w14:paraId="2A91F215">
            <w:pPr>
              <w:pStyle w:val="484"/>
              <w:widowControl w:val="0"/>
              <w:overflowPunct w:val="0"/>
              <w:spacing w:line="408" w:lineRule="auto"/>
              <w:ind w:left="125"/>
              <w:jc w:val="right"/>
              <w:rPr>
                <w:rFonts w:hint="eastAsia"/>
                <w:spacing w:val="-2"/>
                <w:sz w:val="18"/>
              </w:rPr>
            </w:pPr>
            <w:r>
              <w:rPr>
                <w:spacing w:val="-2"/>
                <w:sz w:val="18"/>
              </w:rPr>
              <w:t>13,397.50</w:t>
            </w:r>
          </w:p>
        </w:tc>
        <w:tc>
          <w:tcPr>
            <w:tcW w:w="982" w:type="pct"/>
            <w:vMerge w:val="restart"/>
            <w:vAlign w:val="center"/>
          </w:tcPr>
          <w:p w14:paraId="3C00DF0E">
            <w:pPr>
              <w:pStyle w:val="484"/>
              <w:widowControl w:val="0"/>
              <w:overflowPunct w:val="0"/>
              <w:spacing w:line="408" w:lineRule="auto"/>
              <w:ind w:left="125"/>
              <w:jc w:val="right"/>
              <w:rPr>
                <w:rFonts w:hint="eastAsia"/>
                <w:spacing w:val="-2"/>
                <w:sz w:val="18"/>
                <w:lang w:eastAsia="zh-CN"/>
              </w:rPr>
            </w:pPr>
            <w:r>
              <w:rPr>
                <w:spacing w:val="-2"/>
                <w:sz w:val="18"/>
                <w:lang w:eastAsia="zh-CN"/>
              </w:rPr>
              <w:t>241.99</w:t>
            </w:r>
          </w:p>
        </w:tc>
        <w:tc>
          <w:tcPr>
            <w:tcW w:w="981" w:type="pct"/>
            <w:vMerge w:val="restart"/>
            <w:vAlign w:val="center"/>
          </w:tcPr>
          <w:p w14:paraId="0879E43F">
            <w:pPr>
              <w:pStyle w:val="484"/>
              <w:widowControl w:val="0"/>
              <w:overflowPunct w:val="0"/>
              <w:spacing w:line="408" w:lineRule="auto"/>
              <w:ind w:left="125"/>
              <w:jc w:val="right"/>
              <w:rPr>
                <w:rFonts w:hint="eastAsia"/>
                <w:spacing w:val="-2"/>
                <w:sz w:val="18"/>
                <w:lang w:eastAsia="zh-CN"/>
              </w:rPr>
            </w:pPr>
            <w:r>
              <w:rPr>
                <w:spacing w:val="-2"/>
                <w:sz w:val="18"/>
                <w:lang w:eastAsia="zh-CN"/>
              </w:rPr>
              <w:t>19,165.92</w:t>
            </w:r>
          </w:p>
        </w:tc>
      </w:tr>
      <w:tr w14:paraId="408C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2" w:type="pct"/>
            <w:vAlign w:val="center"/>
          </w:tcPr>
          <w:p w14:paraId="7C0FFEC2">
            <w:pPr>
              <w:pStyle w:val="484"/>
              <w:widowControl w:val="0"/>
              <w:overflowPunct w:val="0"/>
              <w:spacing w:line="408" w:lineRule="auto"/>
              <w:ind w:left="125"/>
              <w:rPr>
                <w:rFonts w:hint="eastAsia"/>
                <w:spacing w:val="-2"/>
                <w:sz w:val="18"/>
                <w:lang w:eastAsia="zh-CN"/>
              </w:rPr>
            </w:pPr>
            <w:r>
              <w:rPr>
                <w:spacing w:val="-2"/>
                <w:sz w:val="18"/>
                <w:lang w:eastAsia="zh-CN"/>
              </w:rPr>
              <w:t>政府性基金预算财政拨款收入</w:t>
            </w:r>
          </w:p>
        </w:tc>
        <w:tc>
          <w:tcPr>
            <w:tcW w:w="1004" w:type="pct"/>
            <w:vAlign w:val="center"/>
          </w:tcPr>
          <w:p w14:paraId="0CAD4161">
            <w:pPr>
              <w:pStyle w:val="484"/>
              <w:widowControl w:val="0"/>
              <w:overflowPunct w:val="0"/>
              <w:spacing w:line="408" w:lineRule="auto"/>
              <w:ind w:left="125"/>
              <w:jc w:val="right"/>
              <w:rPr>
                <w:rFonts w:hint="eastAsia"/>
                <w:spacing w:val="-2"/>
                <w:sz w:val="18"/>
                <w:lang w:eastAsia="zh-CN"/>
              </w:rPr>
            </w:pPr>
            <w:r>
              <w:rPr>
                <w:spacing w:val="-2"/>
                <w:sz w:val="18"/>
                <w:lang w:eastAsia="zh-CN"/>
              </w:rPr>
              <w:t>11,630.00</w:t>
            </w:r>
          </w:p>
        </w:tc>
        <w:tc>
          <w:tcPr>
            <w:tcW w:w="982" w:type="pct"/>
            <w:vMerge w:val="continue"/>
            <w:vAlign w:val="center"/>
          </w:tcPr>
          <w:p w14:paraId="6DB1E51A">
            <w:pPr>
              <w:pStyle w:val="484"/>
              <w:widowControl w:val="0"/>
              <w:overflowPunct w:val="0"/>
              <w:spacing w:line="408" w:lineRule="auto"/>
              <w:ind w:left="125"/>
              <w:jc w:val="right"/>
              <w:rPr>
                <w:rFonts w:hint="eastAsia"/>
                <w:spacing w:val="-2"/>
                <w:sz w:val="18"/>
              </w:rPr>
            </w:pPr>
          </w:p>
        </w:tc>
        <w:tc>
          <w:tcPr>
            <w:tcW w:w="981" w:type="pct"/>
            <w:vMerge w:val="continue"/>
            <w:vAlign w:val="center"/>
          </w:tcPr>
          <w:p w14:paraId="5CAEFF7E">
            <w:pPr>
              <w:pStyle w:val="484"/>
              <w:widowControl w:val="0"/>
              <w:overflowPunct w:val="0"/>
              <w:spacing w:line="408" w:lineRule="auto"/>
              <w:ind w:left="125"/>
              <w:jc w:val="right"/>
              <w:rPr>
                <w:rFonts w:hint="eastAsia"/>
                <w:spacing w:val="-2"/>
                <w:sz w:val="18"/>
              </w:rPr>
            </w:pPr>
          </w:p>
        </w:tc>
      </w:tr>
      <w:tr w14:paraId="0851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2" w:type="pct"/>
            <w:vAlign w:val="center"/>
          </w:tcPr>
          <w:p w14:paraId="67E7D2BC">
            <w:pPr>
              <w:pStyle w:val="484"/>
              <w:widowControl w:val="0"/>
              <w:overflowPunct w:val="0"/>
              <w:spacing w:line="408" w:lineRule="auto"/>
              <w:ind w:left="125"/>
              <w:rPr>
                <w:rFonts w:hint="eastAsia"/>
                <w:spacing w:val="-2"/>
                <w:sz w:val="18"/>
                <w:lang w:eastAsia="zh-CN"/>
              </w:rPr>
            </w:pPr>
            <w:r>
              <w:rPr>
                <w:spacing w:val="-2"/>
                <w:sz w:val="18"/>
                <w:lang w:eastAsia="zh-CN"/>
              </w:rPr>
              <w:t>国有资本经营预算财政拨款收入</w:t>
            </w:r>
          </w:p>
        </w:tc>
        <w:tc>
          <w:tcPr>
            <w:tcW w:w="1004" w:type="pct"/>
            <w:vAlign w:val="center"/>
          </w:tcPr>
          <w:p w14:paraId="438C61F8">
            <w:pPr>
              <w:pStyle w:val="484"/>
              <w:widowControl w:val="0"/>
              <w:overflowPunct w:val="0"/>
              <w:spacing w:line="408" w:lineRule="auto"/>
              <w:ind w:left="125"/>
              <w:jc w:val="right"/>
              <w:rPr>
                <w:rFonts w:hint="eastAsia"/>
                <w:spacing w:val="-2"/>
                <w:sz w:val="18"/>
              </w:rPr>
            </w:pPr>
            <w:r>
              <w:rPr>
                <w:rFonts w:hint="eastAsia"/>
                <w:spacing w:val="-2"/>
                <w:sz w:val="18"/>
              </w:rPr>
              <w:t>0.00</w:t>
            </w:r>
          </w:p>
        </w:tc>
        <w:tc>
          <w:tcPr>
            <w:tcW w:w="982" w:type="pct"/>
            <w:vMerge w:val="continue"/>
            <w:vAlign w:val="center"/>
          </w:tcPr>
          <w:p w14:paraId="7B97419B">
            <w:pPr>
              <w:pStyle w:val="484"/>
              <w:widowControl w:val="0"/>
              <w:overflowPunct w:val="0"/>
              <w:spacing w:line="408" w:lineRule="auto"/>
              <w:ind w:left="125"/>
              <w:jc w:val="right"/>
              <w:rPr>
                <w:rFonts w:hint="eastAsia"/>
                <w:spacing w:val="-2"/>
                <w:sz w:val="18"/>
              </w:rPr>
            </w:pPr>
          </w:p>
        </w:tc>
        <w:tc>
          <w:tcPr>
            <w:tcW w:w="981" w:type="pct"/>
            <w:vMerge w:val="continue"/>
            <w:vAlign w:val="center"/>
          </w:tcPr>
          <w:p w14:paraId="74BCC154">
            <w:pPr>
              <w:pStyle w:val="484"/>
              <w:widowControl w:val="0"/>
              <w:overflowPunct w:val="0"/>
              <w:spacing w:line="408" w:lineRule="auto"/>
              <w:ind w:left="125"/>
              <w:jc w:val="right"/>
              <w:rPr>
                <w:rFonts w:hint="eastAsia"/>
                <w:spacing w:val="-2"/>
                <w:sz w:val="18"/>
              </w:rPr>
            </w:pPr>
          </w:p>
        </w:tc>
      </w:tr>
      <w:tr w14:paraId="5B767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2" w:type="pct"/>
            <w:vAlign w:val="center"/>
          </w:tcPr>
          <w:p w14:paraId="418AEA0A">
            <w:pPr>
              <w:pStyle w:val="484"/>
              <w:widowControl w:val="0"/>
              <w:overflowPunct w:val="0"/>
              <w:spacing w:line="408" w:lineRule="auto"/>
              <w:ind w:left="125"/>
              <w:rPr>
                <w:rFonts w:hint="eastAsia"/>
                <w:spacing w:val="-2"/>
                <w:sz w:val="18"/>
              </w:rPr>
            </w:pPr>
            <w:r>
              <w:rPr>
                <w:spacing w:val="-2"/>
                <w:sz w:val="18"/>
              </w:rPr>
              <w:t>其他收入</w:t>
            </w:r>
          </w:p>
        </w:tc>
        <w:tc>
          <w:tcPr>
            <w:tcW w:w="1004" w:type="pct"/>
            <w:vAlign w:val="center"/>
          </w:tcPr>
          <w:p w14:paraId="094156E8">
            <w:pPr>
              <w:pStyle w:val="484"/>
              <w:widowControl w:val="0"/>
              <w:overflowPunct w:val="0"/>
              <w:spacing w:line="408" w:lineRule="auto"/>
              <w:ind w:left="125"/>
              <w:jc w:val="right"/>
              <w:rPr>
                <w:rFonts w:hint="eastAsia"/>
                <w:spacing w:val="-2"/>
                <w:sz w:val="18"/>
              </w:rPr>
            </w:pPr>
            <w:r>
              <w:rPr>
                <w:rFonts w:hint="eastAsia"/>
                <w:spacing w:val="-2"/>
                <w:sz w:val="18"/>
              </w:rPr>
              <w:t>0.00</w:t>
            </w:r>
          </w:p>
        </w:tc>
        <w:tc>
          <w:tcPr>
            <w:tcW w:w="982" w:type="pct"/>
            <w:vMerge w:val="continue"/>
            <w:vAlign w:val="center"/>
          </w:tcPr>
          <w:p w14:paraId="2AAFAA85">
            <w:pPr>
              <w:pStyle w:val="484"/>
              <w:widowControl w:val="0"/>
              <w:overflowPunct w:val="0"/>
              <w:spacing w:line="408" w:lineRule="auto"/>
              <w:ind w:left="125"/>
              <w:jc w:val="right"/>
              <w:rPr>
                <w:rFonts w:hint="eastAsia"/>
                <w:spacing w:val="-2"/>
                <w:sz w:val="18"/>
              </w:rPr>
            </w:pPr>
          </w:p>
        </w:tc>
        <w:tc>
          <w:tcPr>
            <w:tcW w:w="981" w:type="pct"/>
            <w:vMerge w:val="continue"/>
            <w:vAlign w:val="center"/>
          </w:tcPr>
          <w:p w14:paraId="302D788C">
            <w:pPr>
              <w:pStyle w:val="484"/>
              <w:widowControl w:val="0"/>
              <w:overflowPunct w:val="0"/>
              <w:spacing w:line="408" w:lineRule="auto"/>
              <w:ind w:left="125"/>
              <w:jc w:val="right"/>
              <w:rPr>
                <w:rFonts w:hint="eastAsia"/>
                <w:spacing w:val="-2"/>
                <w:sz w:val="18"/>
              </w:rPr>
            </w:pPr>
          </w:p>
        </w:tc>
      </w:tr>
      <w:tr w14:paraId="0B41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032" w:type="pct"/>
            <w:vAlign w:val="center"/>
          </w:tcPr>
          <w:p w14:paraId="69CA59F9">
            <w:pPr>
              <w:pStyle w:val="484"/>
              <w:widowControl w:val="0"/>
              <w:overflowPunct w:val="0"/>
              <w:spacing w:line="408" w:lineRule="auto"/>
              <w:ind w:left="125"/>
              <w:jc w:val="center"/>
              <w:rPr>
                <w:rFonts w:hint="eastAsia"/>
                <w:spacing w:val="-2"/>
                <w:sz w:val="18"/>
              </w:rPr>
            </w:pPr>
            <w:r>
              <w:rPr>
                <w:rFonts w:hint="eastAsia"/>
                <w:spacing w:val="-2"/>
                <w:sz w:val="18"/>
                <w:lang w:eastAsia="zh-CN"/>
              </w:rPr>
              <w:t>收入</w:t>
            </w:r>
            <w:r>
              <w:rPr>
                <w:spacing w:val="-2"/>
                <w:sz w:val="18"/>
              </w:rPr>
              <w:t>合计</w:t>
            </w:r>
          </w:p>
        </w:tc>
        <w:tc>
          <w:tcPr>
            <w:tcW w:w="1004" w:type="pct"/>
            <w:vAlign w:val="center"/>
          </w:tcPr>
          <w:p w14:paraId="12EA8EBC">
            <w:pPr>
              <w:pStyle w:val="484"/>
              <w:widowControl w:val="0"/>
              <w:overflowPunct w:val="0"/>
              <w:spacing w:line="408" w:lineRule="auto"/>
              <w:ind w:left="125"/>
              <w:jc w:val="right"/>
              <w:rPr>
                <w:rFonts w:hint="eastAsia"/>
                <w:spacing w:val="-2"/>
                <w:sz w:val="18"/>
              </w:rPr>
            </w:pPr>
            <w:r>
              <w:rPr>
                <w:spacing w:val="-2"/>
                <w:sz w:val="18"/>
              </w:rPr>
              <w:t>25,027.50</w:t>
            </w:r>
          </w:p>
        </w:tc>
        <w:tc>
          <w:tcPr>
            <w:tcW w:w="982" w:type="pct"/>
            <w:vAlign w:val="center"/>
          </w:tcPr>
          <w:p w14:paraId="4B727DA4">
            <w:pPr>
              <w:pStyle w:val="484"/>
              <w:widowControl w:val="0"/>
              <w:overflowPunct w:val="0"/>
              <w:spacing w:line="408" w:lineRule="auto"/>
              <w:ind w:left="125"/>
              <w:jc w:val="right"/>
              <w:rPr>
                <w:rFonts w:hint="eastAsia"/>
                <w:spacing w:val="-2"/>
                <w:sz w:val="18"/>
                <w:lang w:eastAsia="zh-CN"/>
              </w:rPr>
            </w:pPr>
            <w:r>
              <w:rPr>
                <w:spacing w:val="-2"/>
                <w:sz w:val="18"/>
                <w:lang w:eastAsia="zh-CN"/>
              </w:rPr>
              <w:t>241.99</w:t>
            </w:r>
          </w:p>
        </w:tc>
        <w:tc>
          <w:tcPr>
            <w:tcW w:w="981" w:type="pct"/>
            <w:vAlign w:val="center"/>
          </w:tcPr>
          <w:p w14:paraId="024AD107">
            <w:pPr>
              <w:pStyle w:val="484"/>
              <w:widowControl w:val="0"/>
              <w:overflowPunct w:val="0"/>
              <w:spacing w:line="408" w:lineRule="auto"/>
              <w:ind w:left="125"/>
              <w:jc w:val="right"/>
              <w:rPr>
                <w:rFonts w:hint="eastAsia"/>
                <w:spacing w:val="-2"/>
                <w:sz w:val="18"/>
                <w:lang w:eastAsia="zh-CN"/>
              </w:rPr>
            </w:pPr>
            <w:r>
              <w:rPr>
                <w:spacing w:val="-2"/>
                <w:sz w:val="18"/>
                <w:lang w:eastAsia="zh-CN"/>
              </w:rPr>
              <w:t>19,165.92</w:t>
            </w:r>
          </w:p>
        </w:tc>
      </w:tr>
    </w:tbl>
    <w:p w14:paraId="6FEB1DC2">
      <w:pPr>
        <w:widowControl w:val="0"/>
        <w:overflowPunct w:val="0"/>
        <w:snapToGrid/>
        <w:spacing w:line="408" w:lineRule="auto"/>
        <w:ind w:firstLine="552" w:firstLineChars="200"/>
        <w:jc w:val="both"/>
        <w:outlineLvl w:val="2"/>
        <w:rPr>
          <w:rFonts w:hint="eastAsia" w:ascii="仿宋" w:hAnsi="仿宋" w:eastAsia="仿宋" w:cs="仿宋"/>
          <w:color w:val="auto"/>
          <w:spacing w:val="-2"/>
          <w:sz w:val="28"/>
          <w:szCs w:val="28"/>
          <w:lang w:eastAsia="zh-CN"/>
        </w:rPr>
      </w:pPr>
      <w:bookmarkStart w:id="36" w:name="_Toc181557997"/>
      <w:bookmarkStart w:id="37" w:name="_Toc8998"/>
      <w:bookmarkStart w:id="38" w:name="_Toc208840315"/>
      <w:r>
        <w:rPr>
          <w:rFonts w:hint="eastAsia" w:ascii="仿宋" w:hAnsi="仿宋" w:eastAsia="仿宋" w:cs="仿宋"/>
          <w:color w:val="auto"/>
          <w:spacing w:val="-2"/>
          <w:sz w:val="28"/>
          <w:szCs w:val="28"/>
          <w:lang w:eastAsia="zh-CN"/>
        </w:rPr>
        <w:t>2.资金年度调剂情况</w:t>
      </w:r>
      <w:bookmarkEnd w:id="36"/>
      <w:bookmarkEnd w:id="37"/>
      <w:bookmarkEnd w:id="38"/>
    </w:p>
    <w:p w14:paraId="29E18C16">
      <w:pPr>
        <w:widowControl w:val="0"/>
        <w:overflowPunct w:val="0"/>
        <w:snapToGrid/>
        <w:spacing w:line="408" w:lineRule="auto"/>
        <w:ind w:firstLine="552" w:firstLineChars="200"/>
        <w:jc w:val="both"/>
        <w:rPr>
          <w:rFonts w:hint="eastAsia" w:ascii="仿宋" w:hAnsi="仿宋" w:eastAsia="仿宋" w:cs="仿宋"/>
          <w:color w:val="auto"/>
          <w:spacing w:val="-2"/>
          <w:sz w:val="28"/>
          <w:szCs w:val="28"/>
          <w:lang w:eastAsia="zh-CN"/>
        </w:rPr>
      </w:pPr>
      <w:r>
        <w:rPr>
          <w:rFonts w:ascii="仿宋" w:hAnsi="仿宋" w:eastAsia="仿宋" w:cs="仿宋"/>
          <w:color w:val="auto"/>
          <w:spacing w:val="-2"/>
          <w:sz w:val="28"/>
          <w:szCs w:val="28"/>
          <w:lang w:eastAsia="zh-CN"/>
        </w:rPr>
        <w:t>202</w:t>
      </w:r>
      <w:r>
        <w:rPr>
          <w:rFonts w:hint="eastAsia" w:ascii="仿宋" w:hAnsi="仿宋" w:eastAsia="仿宋" w:cs="仿宋"/>
          <w:color w:val="auto"/>
          <w:spacing w:val="-2"/>
          <w:sz w:val="28"/>
          <w:szCs w:val="28"/>
          <w:lang w:eastAsia="zh-CN"/>
        </w:rPr>
        <w:t>4年部门全年收入预算</w:t>
      </w:r>
      <w:r>
        <w:rPr>
          <w:rFonts w:ascii="仿宋" w:hAnsi="仿宋" w:eastAsia="仿宋" w:cs="仿宋"/>
          <w:color w:val="auto"/>
          <w:spacing w:val="-2"/>
          <w:sz w:val="28"/>
          <w:szCs w:val="28"/>
          <w:lang w:eastAsia="zh-CN"/>
        </w:rPr>
        <w:t>55,123.27</w:t>
      </w:r>
      <w:r>
        <w:rPr>
          <w:rFonts w:hint="eastAsia" w:ascii="仿宋" w:hAnsi="仿宋" w:eastAsia="仿宋" w:cs="仿宋"/>
          <w:color w:val="auto"/>
          <w:spacing w:val="-2"/>
          <w:sz w:val="28"/>
          <w:szCs w:val="28"/>
          <w:lang w:eastAsia="zh-CN"/>
        </w:rPr>
        <w:t>万元。部门共追加</w:t>
      </w:r>
      <w:r>
        <w:rPr>
          <w:rFonts w:ascii="仿宋" w:hAnsi="仿宋" w:eastAsia="仿宋" w:cs="仿宋"/>
          <w:color w:val="auto"/>
          <w:spacing w:val="-2"/>
          <w:sz w:val="28"/>
          <w:szCs w:val="28"/>
          <w:lang w:eastAsia="zh-CN"/>
        </w:rPr>
        <w:t>30,095.77</w:t>
      </w:r>
      <w:r>
        <w:rPr>
          <w:rFonts w:hint="eastAsia" w:ascii="仿宋" w:hAnsi="仿宋" w:eastAsia="仿宋" w:cs="仿宋"/>
          <w:color w:val="auto"/>
          <w:spacing w:val="-2"/>
          <w:sz w:val="28"/>
          <w:szCs w:val="28"/>
          <w:lang w:eastAsia="zh-CN"/>
        </w:rPr>
        <w:t>万元，其中一般公共预算财政拨款追加</w:t>
      </w:r>
      <w:r>
        <w:rPr>
          <w:rFonts w:ascii="仿宋" w:hAnsi="仿宋" w:eastAsia="仿宋" w:cs="仿宋"/>
          <w:color w:val="auto"/>
          <w:spacing w:val="-2"/>
          <w:sz w:val="28"/>
          <w:szCs w:val="28"/>
          <w:lang w:eastAsia="zh-CN"/>
        </w:rPr>
        <w:t>11,112.90</w:t>
      </w:r>
      <w:r>
        <w:rPr>
          <w:rFonts w:hint="eastAsia" w:ascii="仿宋" w:hAnsi="仿宋" w:eastAsia="仿宋" w:cs="仿宋"/>
          <w:color w:val="auto"/>
          <w:spacing w:val="-2"/>
          <w:sz w:val="28"/>
          <w:szCs w:val="28"/>
          <w:lang w:eastAsia="zh-CN"/>
        </w:rPr>
        <w:t>万元，政府性基金预算财政拨款追加</w:t>
      </w:r>
      <w:r>
        <w:rPr>
          <w:rFonts w:ascii="仿宋" w:hAnsi="仿宋" w:eastAsia="仿宋" w:cs="仿宋"/>
          <w:color w:val="auto"/>
          <w:spacing w:val="-2"/>
          <w:sz w:val="28"/>
          <w:szCs w:val="28"/>
          <w:lang w:eastAsia="zh-CN"/>
        </w:rPr>
        <w:t>17,545.17</w:t>
      </w:r>
      <w:r>
        <w:rPr>
          <w:rFonts w:hint="eastAsia" w:ascii="仿宋" w:hAnsi="仿宋" w:eastAsia="仿宋" w:cs="仿宋"/>
          <w:color w:val="auto"/>
          <w:spacing w:val="-2"/>
          <w:sz w:val="28"/>
          <w:szCs w:val="28"/>
          <w:lang w:eastAsia="zh-CN"/>
        </w:rPr>
        <w:t>万元，上年度结余结转资金</w:t>
      </w:r>
      <w:r>
        <w:rPr>
          <w:rFonts w:ascii="仿宋" w:hAnsi="仿宋" w:eastAsia="仿宋" w:cs="仿宋"/>
          <w:color w:val="auto"/>
          <w:spacing w:val="-2"/>
          <w:sz w:val="28"/>
          <w:szCs w:val="28"/>
          <w:lang w:eastAsia="zh-CN"/>
        </w:rPr>
        <w:t>1,437.70</w:t>
      </w:r>
      <w:r>
        <w:rPr>
          <w:rFonts w:hint="eastAsia" w:ascii="仿宋" w:hAnsi="仿宋" w:eastAsia="仿宋" w:cs="仿宋"/>
          <w:color w:val="auto"/>
          <w:spacing w:val="-2"/>
          <w:sz w:val="28"/>
          <w:szCs w:val="28"/>
          <w:lang w:eastAsia="zh-CN"/>
        </w:rPr>
        <w:t>万元。</w:t>
      </w:r>
      <w:r>
        <w:rPr>
          <w:rFonts w:ascii="仿宋" w:hAnsi="仿宋" w:eastAsia="仿宋" w:cs="仿宋"/>
          <w:color w:val="auto"/>
          <w:spacing w:val="-2"/>
          <w:sz w:val="28"/>
          <w:szCs w:val="28"/>
          <w:lang w:eastAsia="zh-CN"/>
        </w:rPr>
        <w:t>2024</w:t>
      </w:r>
      <w:r>
        <w:rPr>
          <w:rFonts w:hint="eastAsia" w:ascii="仿宋" w:hAnsi="仿宋" w:eastAsia="仿宋" w:cs="仿宋"/>
          <w:color w:val="auto"/>
          <w:spacing w:val="-2"/>
          <w:sz w:val="28"/>
          <w:szCs w:val="28"/>
          <w:lang w:eastAsia="zh-CN"/>
        </w:rPr>
        <w:t>年度部门全年支出预算为</w:t>
      </w:r>
      <w:r>
        <w:rPr>
          <w:rFonts w:ascii="仿宋" w:hAnsi="仿宋" w:eastAsia="仿宋" w:cs="仿宋"/>
          <w:color w:val="auto"/>
          <w:spacing w:val="-2"/>
          <w:sz w:val="28"/>
          <w:szCs w:val="28"/>
          <w:lang w:eastAsia="zh-CN"/>
        </w:rPr>
        <w:t>48,606.35</w:t>
      </w:r>
      <w:r>
        <w:rPr>
          <w:rFonts w:hint="eastAsia" w:ascii="仿宋" w:hAnsi="仿宋" w:eastAsia="仿宋" w:cs="仿宋"/>
          <w:color w:val="auto"/>
          <w:spacing w:val="-2"/>
          <w:sz w:val="28"/>
          <w:szCs w:val="28"/>
          <w:lang w:eastAsia="zh-CN"/>
        </w:rPr>
        <w:t>万元。（其中，基本支出</w:t>
      </w:r>
      <w:r>
        <w:rPr>
          <w:rFonts w:ascii="仿宋" w:hAnsi="仿宋" w:eastAsia="仿宋" w:cs="仿宋"/>
          <w:color w:val="auto"/>
          <w:spacing w:val="-2"/>
          <w:sz w:val="28"/>
          <w:szCs w:val="28"/>
          <w:lang w:eastAsia="zh-CN"/>
        </w:rPr>
        <w:t>239.12</w:t>
      </w:r>
      <w:r>
        <w:rPr>
          <w:rFonts w:hint="eastAsia" w:ascii="仿宋" w:hAnsi="仿宋" w:eastAsia="仿宋" w:cs="仿宋"/>
          <w:color w:val="auto"/>
          <w:spacing w:val="-2"/>
          <w:sz w:val="28"/>
          <w:szCs w:val="28"/>
          <w:lang w:eastAsia="zh-CN"/>
        </w:rPr>
        <w:t>万元，项目支出</w:t>
      </w:r>
      <w:r>
        <w:rPr>
          <w:rFonts w:ascii="仿宋" w:hAnsi="仿宋" w:eastAsia="仿宋" w:cs="仿宋"/>
          <w:color w:val="auto"/>
          <w:spacing w:val="-2"/>
          <w:sz w:val="28"/>
          <w:szCs w:val="28"/>
          <w:lang w:eastAsia="zh-CN"/>
        </w:rPr>
        <w:t>48,367.23</w:t>
      </w:r>
      <w:r>
        <w:rPr>
          <w:rFonts w:hint="eastAsia" w:ascii="仿宋" w:hAnsi="仿宋" w:eastAsia="仿宋" w:cs="仿宋"/>
          <w:color w:val="auto"/>
          <w:spacing w:val="-2"/>
          <w:sz w:val="28"/>
          <w:szCs w:val="28"/>
          <w:lang w:eastAsia="zh-CN"/>
        </w:rPr>
        <w:t>万元）。部门收入预算安排情况如下表3所示：</w:t>
      </w:r>
    </w:p>
    <w:p w14:paraId="4CC7F2D8">
      <w:pPr>
        <w:widowControl w:val="0"/>
        <w:overflowPunct w:val="0"/>
        <w:spacing w:line="408" w:lineRule="auto"/>
        <w:jc w:val="center"/>
        <w:rPr>
          <w:rFonts w:hint="eastAsia" w:ascii="仿宋" w:hAnsi="仿宋" w:eastAsia="仿宋" w:cs="仿宋"/>
          <w:bCs/>
          <w:sz w:val="28"/>
          <w:szCs w:val="24"/>
          <w:lang w:eastAsia="zh-CN"/>
        </w:rPr>
      </w:pPr>
      <w:bookmarkStart w:id="39" w:name="_Toc19496"/>
      <w:r>
        <w:rPr>
          <w:rFonts w:ascii="仿宋" w:hAnsi="仿宋" w:eastAsia="仿宋" w:cs="仿宋"/>
          <w:bCs/>
          <w:spacing w:val="-2"/>
          <w:sz w:val="28"/>
          <w:szCs w:val="24"/>
          <w:lang w:eastAsia="zh-CN"/>
          <w14:textOutline w14:w="5105" w14:cap="sq" w14:cmpd="sng" w14:algn="ctr">
            <w14:solidFill>
              <w14:srgbClr w14:val="000000"/>
            </w14:solidFill>
            <w14:prstDash w14:val="solid"/>
            <w14:bevel/>
          </w14:textOutline>
        </w:rPr>
        <w:t>表</w:t>
      </w:r>
      <w:r>
        <w:rPr>
          <w:rFonts w:hint="eastAsia" w:ascii="仿宋" w:hAnsi="仿宋" w:eastAsia="仿宋" w:cs="仿宋"/>
          <w:bCs/>
          <w:spacing w:val="-2"/>
          <w:sz w:val="28"/>
          <w:szCs w:val="24"/>
          <w:lang w:eastAsia="zh-CN"/>
          <w14:textOutline w14:w="5105" w14:cap="sq" w14:cmpd="sng" w14:algn="ctr">
            <w14:solidFill>
              <w14:srgbClr w14:val="000000"/>
            </w14:solidFill>
            <w14:prstDash w14:val="solid"/>
            <w14:bevel/>
          </w14:textOutline>
        </w:rPr>
        <w:t>3   石狮市城市管理和综合执法局2024</w:t>
      </w:r>
      <w:r>
        <w:rPr>
          <w:rFonts w:ascii="仿宋" w:hAnsi="仿宋" w:eastAsia="仿宋" w:cs="仿宋"/>
          <w:bCs/>
          <w:spacing w:val="-2"/>
          <w:sz w:val="28"/>
          <w:szCs w:val="24"/>
          <w:lang w:eastAsia="zh-CN"/>
          <w14:textOutline w14:w="5105" w14:cap="sq" w14:cmpd="sng" w14:algn="ctr">
            <w14:solidFill>
              <w14:srgbClr w14:val="000000"/>
            </w14:solidFill>
            <w14:prstDash w14:val="solid"/>
            <w14:bevel/>
          </w14:textOutline>
        </w:rPr>
        <w:t>年</w:t>
      </w:r>
      <w:r>
        <w:rPr>
          <w:rFonts w:hint="eastAsia" w:ascii="仿宋" w:hAnsi="仿宋" w:eastAsia="仿宋" w:cs="仿宋"/>
          <w:bCs/>
          <w:spacing w:val="-2"/>
          <w:sz w:val="28"/>
          <w:szCs w:val="24"/>
          <w:lang w:eastAsia="zh-CN"/>
          <w14:textOutline w14:w="5105" w14:cap="sq" w14:cmpd="sng" w14:algn="ctr">
            <w14:solidFill>
              <w14:srgbClr w14:val="000000"/>
            </w14:solidFill>
            <w14:prstDash w14:val="solid"/>
            <w14:bevel/>
          </w14:textOutline>
        </w:rPr>
        <w:t>全年</w:t>
      </w:r>
      <w:r>
        <w:rPr>
          <w:rFonts w:ascii="仿宋" w:hAnsi="仿宋" w:eastAsia="仿宋" w:cs="仿宋"/>
          <w:bCs/>
          <w:spacing w:val="-2"/>
          <w:sz w:val="28"/>
          <w:szCs w:val="24"/>
          <w:lang w:eastAsia="zh-CN"/>
          <w14:textOutline w14:w="5105" w14:cap="sq" w14:cmpd="sng" w14:algn="ctr">
            <w14:solidFill>
              <w14:srgbClr w14:val="000000"/>
            </w14:solidFill>
            <w14:prstDash w14:val="solid"/>
            <w14:bevel/>
          </w14:textOutline>
        </w:rPr>
        <w:t>预算情况</w:t>
      </w:r>
      <w:bookmarkEnd w:id="39"/>
    </w:p>
    <w:p w14:paraId="2DBC33EB">
      <w:pPr>
        <w:widowControl w:val="0"/>
        <w:overflowPunct w:val="0"/>
        <w:jc w:val="right"/>
        <w:rPr>
          <w:rFonts w:hint="eastAsia" w:ascii="仿宋" w:hAnsi="仿宋" w:eastAsia="仿宋"/>
          <w:bCs/>
          <w:color w:val="auto"/>
          <w:sz w:val="24"/>
          <w:lang w:eastAsia="zh-CN"/>
        </w:rPr>
      </w:pPr>
      <w:r>
        <w:rPr>
          <w:rFonts w:hint="eastAsia" w:ascii="仿宋" w:hAnsi="仿宋" w:eastAsia="仿宋" w:cs="仿宋"/>
          <w:bCs/>
          <w:spacing w:val="-2"/>
          <w:sz w:val="24"/>
          <w:lang w:eastAsia="zh-CN"/>
          <w14:textOutline w14:w="5105" w14:cap="sq" w14:cmpd="sng" w14:algn="ctr">
            <w14:solidFill>
              <w14:srgbClr w14:val="000000"/>
            </w14:solidFill>
            <w14:prstDash w14:val="solid"/>
            <w14:bevel/>
          </w14:textOutline>
        </w:rPr>
        <w:t>单位：万元</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9"/>
        <w:gridCol w:w="1879"/>
        <w:gridCol w:w="1638"/>
        <w:gridCol w:w="1879"/>
      </w:tblGrid>
      <w:tr w14:paraId="344B3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179" w:type="pct"/>
            <w:vMerge w:val="restart"/>
            <w:shd w:val="clear" w:color="auto" w:fill="D8D8D8" w:themeFill="background1" w:themeFillShade="D9"/>
            <w:vAlign w:val="center"/>
          </w:tcPr>
          <w:p w14:paraId="282083FB">
            <w:pPr>
              <w:pStyle w:val="484"/>
              <w:widowControl w:val="0"/>
              <w:overflowPunct w:val="0"/>
              <w:spacing w:line="408" w:lineRule="auto"/>
              <w:jc w:val="center"/>
              <w:rPr>
                <w:rFonts w:hint="eastAsia"/>
                <w:b/>
                <w:bCs/>
                <w:spacing w:val="-2"/>
                <w:sz w:val="18"/>
                <w:lang w:eastAsia="zh-CN"/>
              </w:rPr>
            </w:pPr>
            <w:r>
              <w:rPr>
                <w:b/>
                <w:bCs/>
                <w:spacing w:val="-2"/>
                <w:sz w:val="18"/>
                <w:lang w:eastAsia="zh-CN"/>
              </w:rPr>
              <w:t>资金来源</w:t>
            </w:r>
          </w:p>
        </w:tc>
        <w:tc>
          <w:tcPr>
            <w:tcW w:w="982" w:type="pct"/>
            <w:vMerge w:val="restart"/>
            <w:shd w:val="clear" w:color="auto" w:fill="D8D8D8" w:themeFill="background1" w:themeFillShade="D9"/>
            <w:vAlign w:val="center"/>
          </w:tcPr>
          <w:p w14:paraId="02740436">
            <w:pPr>
              <w:pStyle w:val="484"/>
              <w:widowControl w:val="0"/>
              <w:overflowPunct w:val="0"/>
              <w:spacing w:line="408" w:lineRule="auto"/>
              <w:jc w:val="center"/>
              <w:rPr>
                <w:rFonts w:hint="eastAsia"/>
                <w:b/>
                <w:bCs/>
                <w:spacing w:val="-2"/>
                <w:sz w:val="18"/>
                <w:lang w:eastAsia="zh-CN"/>
              </w:rPr>
            </w:pPr>
            <w:r>
              <w:rPr>
                <w:rFonts w:hint="eastAsia"/>
                <w:b/>
                <w:bCs/>
                <w:spacing w:val="-2"/>
                <w:sz w:val="18"/>
                <w:lang w:eastAsia="zh-CN"/>
              </w:rPr>
              <w:t>年初预算</w:t>
            </w:r>
            <w:r>
              <w:rPr>
                <w:b/>
                <w:bCs/>
                <w:spacing w:val="-2"/>
                <w:sz w:val="18"/>
                <w:lang w:eastAsia="zh-CN"/>
              </w:rPr>
              <w:t>收入</w:t>
            </w:r>
          </w:p>
        </w:tc>
        <w:tc>
          <w:tcPr>
            <w:tcW w:w="856" w:type="pct"/>
            <w:vMerge w:val="restart"/>
            <w:shd w:val="clear" w:color="auto" w:fill="D8D8D8" w:themeFill="background1" w:themeFillShade="D9"/>
            <w:vAlign w:val="center"/>
          </w:tcPr>
          <w:p w14:paraId="37D23ECB">
            <w:pPr>
              <w:pStyle w:val="484"/>
              <w:widowControl w:val="0"/>
              <w:overflowPunct w:val="0"/>
              <w:spacing w:line="408" w:lineRule="auto"/>
              <w:jc w:val="center"/>
              <w:rPr>
                <w:rFonts w:hint="eastAsia"/>
                <w:b/>
                <w:bCs/>
                <w:spacing w:val="-2"/>
                <w:sz w:val="18"/>
                <w:lang w:eastAsia="zh-CN"/>
              </w:rPr>
            </w:pPr>
            <w:r>
              <w:rPr>
                <w:rFonts w:hint="eastAsia"/>
                <w:b/>
                <w:bCs/>
                <w:spacing w:val="-2"/>
                <w:sz w:val="18"/>
                <w:lang w:eastAsia="zh-CN"/>
              </w:rPr>
              <w:t>调剂收入</w:t>
            </w:r>
          </w:p>
        </w:tc>
        <w:tc>
          <w:tcPr>
            <w:tcW w:w="982" w:type="pct"/>
            <w:vMerge w:val="restart"/>
            <w:shd w:val="clear" w:color="auto" w:fill="D8D8D8" w:themeFill="background1" w:themeFillShade="D9"/>
            <w:vAlign w:val="center"/>
          </w:tcPr>
          <w:p w14:paraId="17BFCDEA">
            <w:pPr>
              <w:pStyle w:val="484"/>
              <w:widowControl w:val="0"/>
              <w:overflowPunct w:val="0"/>
              <w:spacing w:line="408" w:lineRule="auto"/>
              <w:jc w:val="center"/>
              <w:rPr>
                <w:rFonts w:hint="eastAsia"/>
                <w:b/>
                <w:bCs/>
                <w:spacing w:val="-2"/>
                <w:sz w:val="18"/>
                <w:lang w:eastAsia="zh-CN"/>
              </w:rPr>
            </w:pPr>
            <w:r>
              <w:rPr>
                <w:rFonts w:hint="eastAsia"/>
                <w:b/>
                <w:bCs/>
                <w:spacing w:val="-2"/>
                <w:sz w:val="18"/>
                <w:lang w:eastAsia="zh-CN"/>
              </w:rPr>
              <w:t>全年</w:t>
            </w:r>
            <w:r>
              <w:rPr>
                <w:b/>
                <w:bCs/>
                <w:spacing w:val="-2"/>
                <w:sz w:val="18"/>
                <w:lang w:eastAsia="zh-CN"/>
              </w:rPr>
              <w:t>预算收入</w:t>
            </w:r>
          </w:p>
        </w:tc>
      </w:tr>
      <w:tr w14:paraId="5A0B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179" w:type="pct"/>
            <w:vMerge w:val="continue"/>
            <w:shd w:val="clear" w:color="auto" w:fill="D8D8D8" w:themeFill="background1" w:themeFillShade="D9"/>
            <w:vAlign w:val="center"/>
          </w:tcPr>
          <w:p w14:paraId="459C6E8E">
            <w:pPr>
              <w:widowControl w:val="0"/>
              <w:overflowPunct w:val="0"/>
              <w:spacing w:line="408" w:lineRule="auto"/>
              <w:jc w:val="center"/>
              <w:rPr>
                <w:rFonts w:hint="eastAsia" w:ascii="仿宋" w:hAnsi="仿宋" w:eastAsia="仿宋"/>
                <w:bCs/>
                <w:sz w:val="18"/>
              </w:rPr>
            </w:pPr>
          </w:p>
        </w:tc>
        <w:tc>
          <w:tcPr>
            <w:tcW w:w="982" w:type="pct"/>
            <w:vMerge w:val="continue"/>
            <w:shd w:val="clear" w:color="auto" w:fill="D8D8D8" w:themeFill="background1" w:themeFillShade="D9"/>
            <w:vAlign w:val="center"/>
          </w:tcPr>
          <w:p w14:paraId="1D4A1840">
            <w:pPr>
              <w:widowControl w:val="0"/>
              <w:overflowPunct w:val="0"/>
              <w:spacing w:line="408" w:lineRule="auto"/>
              <w:jc w:val="center"/>
              <w:rPr>
                <w:rFonts w:hint="eastAsia" w:ascii="仿宋" w:hAnsi="仿宋" w:eastAsia="仿宋"/>
                <w:bCs/>
                <w:sz w:val="18"/>
                <w:lang w:eastAsia="zh-CN"/>
              </w:rPr>
            </w:pPr>
          </w:p>
        </w:tc>
        <w:tc>
          <w:tcPr>
            <w:tcW w:w="856" w:type="pct"/>
            <w:vMerge w:val="continue"/>
            <w:shd w:val="clear" w:color="auto" w:fill="D8D8D8" w:themeFill="background1" w:themeFillShade="D9"/>
            <w:vAlign w:val="center"/>
          </w:tcPr>
          <w:p w14:paraId="3E9120D9">
            <w:pPr>
              <w:widowControl w:val="0"/>
              <w:overflowPunct w:val="0"/>
              <w:spacing w:line="408" w:lineRule="auto"/>
              <w:jc w:val="center"/>
              <w:rPr>
                <w:rFonts w:hint="eastAsia" w:ascii="仿宋" w:hAnsi="仿宋" w:eastAsia="仿宋"/>
                <w:bCs/>
                <w:sz w:val="18"/>
                <w:lang w:eastAsia="zh-CN"/>
              </w:rPr>
            </w:pPr>
          </w:p>
        </w:tc>
        <w:tc>
          <w:tcPr>
            <w:tcW w:w="982" w:type="pct"/>
            <w:vMerge w:val="continue"/>
            <w:shd w:val="clear" w:color="auto" w:fill="D8D8D8" w:themeFill="background1" w:themeFillShade="D9"/>
            <w:vAlign w:val="center"/>
          </w:tcPr>
          <w:p w14:paraId="60A5F740">
            <w:pPr>
              <w:widowControl w:val="0"/>
              <w:overflowPunct w:val="0"/>
              <w:spacing w:line="408" w:lineRule="auto"/>
              <w:jc w:val="center"/>
              <w:rPr>
                <w:rFonts w:hint="eastAsia" w:ascii="仿宋" w:hAnsi="仿宋" w:eastAsia="仿宋"/>
                <w:bCs/>
                <w:sz w:val="18"/>
              </w:rPr>
            </w:pPr>
          </w:p>
        </w:tc>
      </w:tr>
      <w:tr w14:paraId="2F90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179" w:type="pct"/>
            <w:vAlign w:val="center"/>
          </w:tcPr>
          <w:p w14:paraId="7E478ABE">
            <w:pPr>
              <w:pStyle w:val="484"/>
              <w:widowControl w:val="0"/>
              <w:overflowPunct w:val="0"/>
              <w:spacing w:line="408" w:lineRule="auto"/>
              <w:ind w:left="125"/>
              <w:rPr>
                <w:rFonts w:hint="eastAsia"/>
                <w:sz w:val="18"/>
                <w:lang w:eastAsia="zh-CN"/>
              </w:rPr>
            </w:pPr>
            <w:r>
              <w:rPr>
                <w:spacing w:val="-2"/>
                <w:sz w:val="18"/>
                <w:lang w:eastAsia="zh-CN"/>
              </w:rPr>
              <w:t>一般公共预算财政拨款收入</w:t>
            </w:r>
          </w:p>
        </w:tc>
        <w:tc>
          <w:tcPr>
            <w:tcW w:w="982" w:type="pct"/>
            <w:vAlign w:val="center"/>
          </w:tcPr>
          <w:p w14:paraId="19A290E3">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color w:val="000000" w:themeColor="text1"/>
                <w:spacing w:val="-2"/>
                <w:sz w:val="18"/>
                <w:lang w:eastAsia="zh-CN"/>
                <w14:textFill>
                  <w14:solidFill>
                    <w14:schemeClr w14:val="tx1"/>
                  </w14:solidFill>
                </w14:textFill>
              </w:rPr>
              <w:t>13,397.50</w:t>
            </w:r>
          </w:p>
        </w:tc>
        <w:tc>
          <w:tcPr>
            <w:tcW w:w="856" w:type="pct"/>
            <w:vAlign w:val="center"/>
          </w:tcPr>
          <w:p w14:paraId="0C9D23AB">
            <w:pPr>
              <w:widowControl w:val="0"/>
              <w:overflowPunct w:val="0"/>
              <w:spacing w:line="408" w:lineRule="auto"/>
              <w:jc w:val="right"/>
              <w:rPr>
                <w:rFonts w:hint="eastAsia" w:ascii="仿宋" w:hAnsi="仿宋" w:eastAsia="仿宋" w:cs="仿宋"/>
                <w:color w:val="000000" w:themeColor="text1"/>
                <w:spacing w:val="-2"/>
                <w:sz w:val="18"/>
                <w:szCs w:val="22"/>
                <w:lang w:eastAsia="zh-CN"/>
                <w14:textFill>
                  <w14:solidFill>
                    <w14:schemeClr w14:val="tx1"/>
                  </w14:solidFill>
                </w14:textFill>
              </w:rPr>
            </w:pPr>
            <w:r>
              <w:rPr>
                <w:rFonts w:ascii="仿宋" w:hAnsi="仿宋" w:eastAsia="仿宋" w:cs="仿宋"/>
                <w:color w:val="000000" w:themeColor="text1"/>
                <w:spacing w:val="-2"/>
                <w:sz w:val="18"/>
                <w:szCs w:val="22"/>
                <w:lang w:eastAsia="zh-CN"/>
                <w14:textFill>
                  <w14:solidFill>
                    <w14:schemeClr w14:val="tx1"/>
                  </w14:solidFill>
                </w14:textFill>
              </w:rPr>
              <w:t>11,112.90</w:t>
            </w:r>
          </w:p>
        </w:tc>
        <w:tc>
          <w:tcPr>
            <w:tcW w:w="982" w:type="pct"/>
            <w:vAlign w:val="center"/>
          </w:tcPr>
          <w:p w14:paraId="036E0A60">
            <w:pPr>
              <w:widowControl w:val="0"/>
              <w:overflowPunct w:val="0"/>
              <w:spacing w:line="408" w:lineRule="auto"/>
              <w:jc w:val="right"/>
              <w:rPr>
                <w:rFonts w:hint="eastAsia" w:ascii="仿宋" w:hAnsi="仿宋" w:eastAsia="仿宋" w:cs="仿宋"/>
                <w:color w:val="000000" w:themeColor="text1"/>
                <w:spacing w:val="-2"/>
                <w:sz w:val="18"/>
                <w:szCs w:val="22"/>
                <w:lang w:eastAsia="zh-CN"/>
                <w14:textFill>
                  <w14:solidFill>
                    <w14:schemeClr w14:val="tx1"/>
                  </w14:solidFill>
                </w14:textFill>
              </w:rPr>
            </w:pPr>
            <w:r>
              <w:rPr>
                <w:rFonts w:ascii="仿宋" w:hAnsi="仿宋" w:eastAsia="仿宋" w:cs="仿宋"/>
                <w:color w:val="000000" w:themeColor="text1"/>
                <w:spacing w:val="-2"/>
                <w:sz w:val="18"/>
                <w:szCs w:val="22"/>
                <w:lang w:eastAsia="zh-CN"/>
                <w14:textFill>
                  <w14:solidFill>
                    <w14:schemeClr w14:val="tx1"/>
                  </w14:solidFill>
                </w14:textFill>
              </w:rPr>
              <w:t>24,510.40</w:t>
            </w:r>
          </w:p>
        </w:tc>
      </w:tr>
      <w:tr w14:paraId="666D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179" w:type="pct"/>
            <w:vAlign w:val="center"/>
          </w:tcPr>
          <w:p w14:paraId="5F619654">
            <w:pPr>
              <w:pStyle w:val="484"/>
              <w:widowControl w:val="0"/>
              <w:overflowPunct w:val="0"/>
              <w:spacing w:line="408" w:lineRule="auto"/>
              <w:ind w:left="122"/>
              <w:rPr>
                <w:rFonts w:hint="eastAsia"/>
                <w:sz w:val="18"/>
                <w:lang w:eastAsia="zh-CN"/>
              </w:rPr>
            </w:pPr>
            <w:r>
              <w:rPr>
                <w:spacing w:val="-2"/>
                <w:sz w:val="18"/>
                <w:lang w:eastAsia="zh-CN"/>
              </w:rPr>
              <w:t>政府性基金预算财政拨款收入</w:t>
            </w:r>
          </w:p>
        </w:tc>
        <w:tc>
          <w:tcPr>
            <w:tcW w:w="982" w:type="pct"/>
            <w:vAlign w:val="center"/>
          </w:tcPr>
          <w:p w14:paraId="3DD107FB">
            <w:pPr>
              <w:pStyle w:val="484"/>
              <w:widowControl w:val="0"/>
              <w:overflowPunct w:val="0"/>
              <w:spacing w:line="408" w:lineRule="auto"/>
              <w:ind w:left="125"/>
              <w:jc w:val="right"/>
              <w:rPr>
                <w:rFonts w:hint="eastAsia"/>
                <w:color w:val="000000" w:themeColor="text1"/>
                <w:spacing w:val="-2"/>
                <w:sz w:val="18"/>
                <w14:textFill>
                  <w14:solidFill>
                    <w14:schemeClr w14:val="tx1"/>
                  </w14:solidFill>
                </w14:textFill>
              </w:rPr>
            </w:pPr>
            <w:r>
              <w:rPr>
                <w:color w:val="000000" w:themeColor="text1"/>
                <w:spacing w:val="-2"/>
                <w:sz w:val="18"/>
                <w14:textFill>
                  <w14:solidFill>
                    <w14:schemeClr w14:val="tx1"/>
                  </w14:solidFill>
                </w14:textFill>
              </w:rPr>
              <w:t>11,630.00</w:t>
            </w:r>
          </w:p>
        </w:tc>
        <w:tc>
          <w:tcPr>
            <w:tcW w:w="856" w:type="pct"/>
            <w:vAlign w:val="center"/>
          </w:tcPr>
          <w:p w14:paraId="172BFE81">
            <w:pPr>
              <w:widowControl w:val="0"/>
              <w:overflowPunct w:val="0"/>
              <w:spacing w:line="408" w:lineRule="auto"/>
              <w:jc w:val="right"/>
              <w:rPr>
                <w:rFonts w:hint="eastAsia" w:ascii="仿宋" w:hAnsi="仿宋" w:eastAsia="仿宋" w:cs="仿宋"/>
                <w:color w:val="000000" w:themeColor="text1"/>
                <w:spacing w:val="-2"/>
                <w:sz w:val="18"/>
                <w:szCs w:val="22"/>
                <w14:textFill>
                  <w14:solidFill>
                    <w14:schemeClr w14:val="tx1"/>
                  </w14:solidFill>
                </w14:textFill>
              </w:rPr>
            </w:pPr>
            <w:r>
              <w:rPr>
                <w:rFonts w:ascii="仿宋" w:hAnsi="仿宋" w:eastAsia="仿宋" w:cs="仿宋"/>
                <w:color w:val="000000" w:themeColor="text1"/>
                <w:spacing w:val="-2"/>
                <w:sz w:val="18"/>
                <w:szCs w:val="22"/>
                <w14:textFill>
                  <w14:solidFill>
                    <w14:schemeClr w14:val="tx1"/>
                  </w14:solidFill>
                </w14:textFill>
              </w:rPr>
              <w:t>17,545.17</w:t>
            </w:r>
          </w:p>
        </w:tc>
        <w:tc>
          <w:tcPr>
            <w:tcW w:w="982" w:type="pct"/>
            <w:vAlign w:val="center"/>
          </w:tcPr>
          <w:p w14:paraId="0DCF57EF">
            <w:pPr>
              <w:widowControl w:val="0"/>
              <w:overflowPunct w:val="0"/>
              <w:spacing w:line="408" w:lineRule="auto"/>
              <w:jc w:val="right"/>
              <w:rPr>
                <w:rFonts w:hint="eastAsia" w:ascii="仿宋" w:hAnsi="仿宋" w:eastAsia="仿宋" w:cs="仿宋"/>
                <w:color w:val="000000" w:themeColor="text1"/>
                <w:spacing w:val="-2"/>
                <w:sz w:val="18"/>
                <w:szCs w:val="22"/>
                <w:lang w:eastAsia="zh-CN"/>
                <w14:textFill>
                  <w14:solidFill>
                    <w14:schemeClr w14:val="tx1"/>
                  </w14:solidFill>
                </w14:textFill>
              </w:rPr>
            </w:pPr>
            <w:r>
              <w:rPr>
                <w:rFonts w:ascii="仿宋" w:hAnsi="仿宋" w:eastAsia="仿宋" w:cs="仿宋"/>
                <w:color w:val="000000" w:themeColor="text1"/>
                <w:spacing w:val="-2"/>
                <w:sz w:val="18"/>
                <w:szCs w:val="22"/>
                <w:lang w:eastAsia="zh-CN"/>
                <w14:textFill>
                  <w14:solidFill>
                    <w14:schemeClr w14:val="tx1"/>
                  </w14:solidFill>
                </w14:textFill>
              </w:rPr>
              <w:t>29,175.17</w:t>
            </w:r>
          </w:p>
        </w:tc>
      </w:tr>
      <w:tr w14:paraId="064B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179" w:type="pct"/>
            <w:vAlign w:val="center"/>
          </w:tcPr>
          <w:p w14:paraId="038D3C31">
            <w:pPr>
              <w:pStyle w:val="484"/>
              <w:widowControl w:val="0"/>
              <w:overflowPunct w:val="0"/>
              <w:spacing w:line="408" w:lineRule="auto"/>
              <w:ind w:left="146"/>
              <w:rPr>
                <w:rFonts w:hint="eastAsia"/>
                <w:sz w:val="18"/>
                <w:lang w:eastAsia="zh-CN"/>
              </w:rPr>
            </w:pPr>
            <w:r>
              <w:rPr>
                <w:spacing w:val="-3"/>
                <w:sz w:val="18"/>
                <w:lang w:eastAsia="zh-CN"/>
              </w:rPr>
              <w:t>国有资本经营预算财政拨款收入</w:t>
            </w:r>
          </w:p>
        </w:tc>
        <w:tc>
          <w:tcPr>
            <w:tcW w:w="982" w:type="pct"/>
            <w:vAlign w:val="center"/>
          </w:tcPr>
          <w:p w14:paraId="5C4AD541">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rFonts w:hint="eastAsia"/>
                <w:color w:val="000000" w:themeColor="text1"/>
                <w:spacing w:val="-2"/>
                <w:sz w:val="18"/>
                <w:lang w:eastAsia="zh-CN"/>
                <w14:textFill>
                  <w14:solidFill>
                    <w14:schemeClr w14:val="tx1"/>
                  </w14:solidFill>
                </w14:textFill>
              </w:rPr>
              <w:t>0.00</w:t>
            </w:r>
          </w:p>
        </w:tc>
        <w:tc>
          <w:tcPr>
            <w:tcW w:w="856" w:type="pct"/>
            <w:vAlign w:val="center"/>
          </w:tcPr>
          <w:p w14:paraId="3DE3F3F5">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rFonts w:hint="eastAsia"/>
                <w:color w:val="000000" w:themeColor="text1"/>
                <w:spacing w:val="-2"/>
                <w:sz w:val="18"/>
                <w:lang w:eastAsia="zh-CN"/>
                <w14:textFill>
                  <w14:solidFill>
                    <w14:schemeClr w14:val="tx1"/>
                  </w14:solidFill>
                </w14:textFill>
              </w:rPr>
              <w:t>0.00</w:t>
            </w:r>
          </w:p>
        </w:tc>
        <w:tc>
          <w:tcPr>
            <w:tcW w:w="982" w:type="pct"/>
            <w:vAlign w:val="center"/>
          </w:tcPr>
          <w:p w14:paraId="6D12D392">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rFonts w:hint="eastAsia"/>
                <w:color w:val="000000" w:themeColor="text1"/>
                <w:spacing w:val="-2"/>
                <w:sz w:val="18"/>
                <w:lang w:eastAsia="zh-CN"/>
                <w14:textFill>
                  <w14:solidFill>
                    <w14:schemeClr w14:val="tx1"/>
                  </w14:solidFill>
                </w14:textFill>
              </w:rPr>
              <w:t>0.00</w:t>
            </w:r>
          </w:p>
        </w:tc>
      </w:tr>
      <w:tr w14:paraId="04468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179" w:type="pct"/>
            <w:vAlign w:val="center"/>
          </w:tcPr>
          <w:p w14:paraId="1774E9C7">
            <w:pPr>
              <w:pStyle w:val="484"/>
              <w:widowControl w:val="0"/>
              <w:overflowPunct w:val="0"/>
              <w:spacing w:line="408" w:lineRule="auto"/>
              <w:ind w:left="123"/>
              <w:rPr>
                <w:rFonts w:hint="eastAsia"/>
                <w:sz w:val="18"/>
              </w:rPr>
            </w:pPr>
            <w:r>
              <w:rPr>
                <w:spacing w:val="-4"/>
                <w:sz w:val="18"/>
              </w:rPr>
              <w:t>其他收入</w:t>
            </w:r>
          </w:p>
        </w:tc>
        <w:tc>
          <w:tcPr>
            <w:tcW w:w="982" w:type="pct"/>
            <w:vAlign w:val="center"/>
          </w:tcPr>
          <w:p w14:paraId="7B393721">
            <w:pPr>
              <w:pStyle w:val="484"/>
              <w:widowControl w:val="0"/>
              <w:overflowPunct w:val="0"/>
              <w:spacing w:line="408" w:lineRule="auto"/>
              <w:ind w:left="125"/>
              <w:jc w:val="right"/>
              <w:rPr>
                <w:rFonts w:hint="eastAsia"/>
                <w:color w:val="000000" w:themeColor="text1"/>
                <w:spacing w:val="-2"/>
                <w:sz w:val="18"/>
                <w14:textFill>
                  <w14:solidFill>
                    <w14:schemeClr w14:val="tx1"/>
                  </w14:solidFill>
                </w14:textFill>
              </w:rPr>
            </w:pPr>
            <w:r>
              <w:rPr>
                <w:rFonts w:hint="eastAsia"/>
                <w:color w:val="000000" w:themeColor="text1"/>
                <w:spacing w:val="-2"/>
                <w:sz w:val="18"/>
                <w:lang w:eastAsia="zh-CN"/>
                <w14:textFill>
                  <w14:solidFill>
                    <w14:schemeClr w14:val="tx1"/>
                  </w14:solidFill>
                </w14:textFill>
              </w:rPr>
              <w:t>0.00</w:t>
            </w:r>
          </w:p>
        </w:tc>
        <w:tc>
          <w:tcPr>
            <w:tcW w:w="856" w:type="pct"/>
            <w:vAlign w:val="center"/>
          </w:tcPr>
          <w:p w14:paraId="5D04E3E6">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rFonts w:hint="eastAsia"/>
                <w:color w:val="000000" w:themeColor="text1"/>
                <w:spacing w:val="-2"/>
                <w:sz w:val="18"/>
                <w:lang w:eastAsia="zh-CN"/>
                <w14:textFill>
                  <w14:solidFill>
                    <w14:schemeClr w14:val="tx1"/>
                  </w14:solidFill>
                </w14:textFill>
              </w:rPr>
              <w:t>0.00</w:t>
            </w:r>
          </w:p>
        </w:tc>
        <w:tc>
          <w:tcPr>
            <w:tcW w:w="982" w:type="pct"/>
            <w:vAlign w:val="center"/>
          </w:tcPr>
          <w:p w14:paraId="1FA7D296">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rFonts w:hint="eastAsia"/>
                <w:color w:val="000000" w:themeColor="text1"/>
                <w:spacing w:val="-2"/>
                <w:sz w:val="18"/>
                <w:lang w:eastAsia="zh-CN"/>
                <w14:textFill>
                  <w14:solidFill>
                    <w14:schemeClr w14:val="tx1"/>
                  </w14:solidFill>
                </w14:textFill>
              </w:rPr>
              <w:t>0.00</w:t>
            </w:r>
          </w:p>
        </w:tc>
      </w:tr>
      <w:tr w14:paraId="1186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2179" w:type="pct"/>
            <w:vAlign w:val="center"/>
          </w:tcPr>
          <w:p w14:paraId="2146B64F">
            <w:pPr>
              <w:pStyle w:val="484"/>
              <w:widowControl w:val="0"/>
              <w:overflowPunct w:val="0"/>
              <w:spacing w:line="408" w:lineRule="auto"/>
              <w:ind w:left="123"/>
              <w:rPr>
                <w:rFonts w:hint="eastAsia"/>
                <w:spacing w:val="-4"/>
                <w:sz w:val="18"/>
              </w:rPr>
            </w:pPr>
            <w:r>
              <w:rPr>
                <w:rFonts w:hint="eastAsia"/>
                <w:spacing w:val="-4"/>
                <w:sz w:val="18"/>
              </w:rPr>
              <w:t>年初结转和结余</w:t>
            </w:r>
          </w:p>
        </w:tc>
        <w:tc>
          <w:tcPr>
            <w:tcW w:w="982" w:type="pct"/>
            <w:vAlign w:val="center"/>
          </w:tcPr>
          <w:p w14:paraId="30CCA926">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rFonts w:hint="eastAsia"/>
                <w:color w:val="000000" w:themeColor="text1"/>
                <w:spacing w:val="-2"/>
                <w:sz w:val="18"/>
                <w:lang w:eastAsia="zh-CN"/>
                <w14:textFill>
                  <w14:solidFill>
                    <w14:schemeClr w14:val="tx1"/>
                  </w14:solidFill>
                </w14:textFill>
              </w:rPr>
              <w:t>0.00</w:t>
            </w:r>
          </w:p>
        </w:tc>
        <w:tc>
          <w:tcPr>
            <w:tcW w:w="856" w:type="pct"/>
            <w:vAlign w:val="center"/>
          </w:tcPr>
          <w:p w14:paraId="3681F657">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color w:val="000000" w:themeColor="text1"/>
                <w:spacing w:val="-2"/>
                <w:sz w:val="18"/>
                <w:lang w:eastAsia="zh-CN"/>
                <w14:textFill>
                  <w14:solidFill>
                    <w14:schemeClr w14:val="tx1"/>
                  </w14:solidFill>
                </w14:textFill>
              </w:rPr>
              <w:t>1,437.70</w:t>
            </w:r>
          </w:p>
        </w:tc>
        <w:tc>
          <w:tcPr>
            <w:tcW w:w="982" w:type="pct"/>
            <w:vAlign w:val="center"/>
          </w:tcPr>
          <w:p w14:paraId="32D431C9">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color w:val="000000" w:themeColor="text1"/>
                <w:spacing w:val="-2"/>
                <w:sz w:val="18"/>
                <w:lang w:eastAsia="zh-CN"/>
                <w14:textFill>
                  <w14:solidFill>
                    <w14:schemeClr w14:val="tx1"/>
                  </w14:solidFill>
                </w14:textFill>
              </w:rPr>
              <w:t>1,437.70</w:t>
            </w:r>
          </w:p>
        </w:tc>
      </w:tr>
      <w:tr w14:paraId="6249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179" w:type="pct"/>
            <w:vAlign w:val="center"/>
          </w:tcPr>
          <w:p w14:paraId="795EA63B">
            <w:pPr>
              <w:pStyle w:val="484"/>
              <w:widowControl w:val="0"/>
              <w:overflowPunct w:val="0"/>
              <w:spacing w:line="408" w:lineRule="auto"/>
              <w:ind w:left="1254"/>
              <w:rPr>
                <w:rFonts w:hint="eastAsia"/>
                <w:spacing w:val="-4"/>
                <w:sz w:val="18"/>
              </w:rPr>
            </w:pPr>
            <w:r>
              <w:rPr>
                <w:spacing w:val="-4"/>
                <w:sz w:val="18"/>
              </w:rPr>
              <w:t>收入合计</w:t>
            </w:r>
          </w:p>
        </w:tc>
        <w:tc>
          <w:tcPr>
            <w:tcW w:w="982" w:type="pct"/>
            <w:vAlign w:val="center"/>
          </w:tcPr>
          <w:p w14:paraId="3F1C1873">
            <w:pPr>
              <w:pStyle w:val="484"/>
              <w:widowControl w:val="0"/>
              <w:overflowPunct w:val="0"/>
              <w:spacing w:line="408" w:lineRule="auto"/>
              <w:ind w:left="125"/>
              <w:jc w:val="right"/>
              <w:rPr>
                <w:rFonts w:hint="eastAsia"/>
                <w:color w:val="000000" w:themeColor="text1"/>
                <w:sz w:val="18"/>
                <w:lang w:eastAsia="zh-CN"/>
                <w14:textFill>
                  <w14:solidFill>
                    <w14:schemeClr w14:val="tx1"/>
                  </w14:solidFill>
                </w14:textFill>
              </w:rPr>
            </w:pPr>
            <w:r>
              <w:rPr>
                <w:color w:val="000000" w:themeColor="text1"/>
                <w:sz w:val="18"/>
                <w:lang w:eastAsia="zh-CN"/>
                <w14:textFill>
                  <w14:solidFill>
                    <w14:schemeClr w14:val="tx1"/>
                  </w14:solidFill>
                </w14:textFill>
              </w:rPr>
              <w:t>25,027.50</w:t>
            </w:r>
          </w:p>
        </w:tc>
        <w:tc>
          <w:tcPr>
            <w:tcW w:w="856" w:type="pct"/>
            <w:vAlign w:val="center"/>
          </w:tcPr>
          <w:p w14:paraId="33E2C6B9">
            <w:pPr>
              <w:pStyle w:val="484"/>
              <w:widowControl w:val="0"/>
              <w:overflowPunct w:val="0"/>
              <w:spacing w:line="408" w:lineRule="auto"/>
              <w:ind w:left="125"/>
              <w:jc w:val="right"/>
              <w:rPr>
                <w:rFonts w:hint="eastAsia"/>
                <w:color w:val="000000" w:themeColor="text1"/>
                <w:spacing w:val="-2"/>
                <w:sz w:val="18"/>
                <w:lang w:eastAsia="zh-CN"/>
                <w14:textFill>
                  <w14:solidFill>
                    <w14:schemeClr w14:val="tx1"/>
                  </w14:solidFill>
                </w14:textFill>
              </w:rPr>
            </w:pPr>
            <w:r>
              <w:rPr>
                <w:color w:val="000000" w:themeColor="text1"/>
                <w:spacing w:val="-2"/>
                <w:sz w:val="18"/>
                <w:lang w:eastAsia="zh-CN"/>
                <w14:textFill>
                  <w14:solidFill>
                    <w14:schemeClr w14:val="tx1"/>
                  </w14:solidFill>
                </w14:textFill>
              </w:rPr>
              <w:t>30,095.77</w:t>
            </w:r>
          </w:p>
        </w:tc>
        <w:tc>
          <w:tcPr>
            <w:tcW w:w="982" w:type="pct"/>
            <w:vAlign w:val="center"/>
          </w:tcPr>
          <w:p w14:paraId="1DEE83F8">
            <w:pPr>
              <w:widowControl w:val="0"/>
              <w:overflowPunct w:val="0"/>
              <w:spacing w:line="408" w:lineRule="auto"/>
              <w:ind w:left="125"/>
              <w:jc w:val="right"/>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ascii="仿宋" w:hAnsi="仿宋" w:eastAsia="仿宋" w:cs="仿宋"/>
                <w:color w:val="000000" w:themeColor="text1"/>
                <w:spacing w:val="-2"/>
                <w:sz w:val="18"/>
                <w:szCs w:val="22"/>
                <w:lang w:eastAsia="zh-CN"/>
                <w14:textFill>
                  <w14:solidFill>
                    <w14:schemeClr w14:val="tx1"/>
                  </w14:solidFill>
                </w14:textFill>
              </w:rPr>
              <w:t>55,123.27</w:t>
            </w:r>
          </w:p>
        </w:tc>
      </w:tr>
    </w:tbl>
    <w:p w14:paraId="3C0BDD08">
      <w:pPr>
        <w:widowControl w:val="0"/>
        <w:overflowPunct w:val="0"/>
        <w:snapToGrid/>
        <w:spacing w:line="408" w:lineRule="auto"/>
        <w:ind w:firstLine="552" w:firstLineChars="200"/>
        <w:jc w:val="both"/>
        <w:outlineLvl w:val="2"/>
        <w:rPr>
          <w:rFonts w:hint="eastAsia" w:ascii="仿宋" w:hAnsi="仿宋" w:eastAsia="仿宋" w:cs="仿宋"/>
          <w:color w:val="auto"/>
          <w:sz w:val="28"/>
          <w:szCs w:val="28"/>
          <w:lang w:eastAsia="zh-CN"/>
        </w:rPr>
      </w:pPr>
      <w:bookmarkStart w:id="40" w:name="bookmark11"/>
      <w:bookmarkEnd w:id="40"/>
      <w:bookmarkStart w:id="41" w:name="_Toc15086"/>
      <w:bookmarkStart w:id="42" w:name="_Toc181557998"/>
      <w:bookmarkStart w:id="43" w:name="_Toc208840316"/>
      <w:r>
        <w:rPr>
          <w:rFonts w:hint="eastAsia" w:ascii="仿宋" w:hAnsi="仿宋" w:eastAsia="仿宋" w:cs="仿宋"/>
          <w:color w:val="auto"/>
          <w:spacing w:val="-2"/>
          <w:sz w:val="28"/>
          <w:szCs w:val="28"/>
          <w:lang w:eastAsia="zh-CN"/>
        </w:rPr>
        <w:t>3</w:t>
      </w:r>
      <w:r>
        <w:rPr>
          <w:rFonts w:hint="eastAsia" w:ascii="仿宋" w:hAnsi="仿宋" w:eastAsia="仿宋" w:cs="仿宋"/>
          <w:color w:val="auto"/>
          <w:spacing w:val="3"/>
          <w:sz w:val="28"/>
          <w:szCs w:val="28"/>
          <w:lang w:eastAsia="zh-CN"/>
        </w:rPr>
        <w:t>.</w:t>
      </w:r>
      <w:r>
        <w:rPr>
          <w:rFonts w:hint="eastAsia" w:ascii="仿宋" w:hAnsi="仿宋" w:eastAsia="仿宋" w:cs="仿宋"/>
          <w:color w:val="auto"/>
          <w:spacing w:val="-2"/>
          <w:sz w:val="28"/>
          <w:szCs w:val="28"/>
          <w:lang w:eastAsia="zh-CN"/>
        </w:rPr>
        <w:t>资金预算执行情况</w:t>
      </w:r>
      <w:bookmarkEnd w:id="41"/>
      <w:bookmarkEnd w:id="42"/>
      <w:bookmarkEnd w:id="43"/>
    </w:p>
    <w:p w14:paraId="2E2B58BE">
      <w:pPr>
        <w:widowControl w:val="0"/>
        <w:overflowPunct w:val="0"/>
        <w:snapToGrid/>
        <w:spacing w:line="408" w:lineRule="auto"/>
        <w:ind w:firstLine="540" w:firstLineChars="200"/>
        <w:jc w:val="both"/>
        <w:rPr>
          <w:rFonts w:hint="eastAsia" w:ascii="仿宋" w:hAnsi="仿宋" w:eastAsia="仿宋" w:cs="仿宋"/>
          <w:color w:val="auto"/>
          <w:spacing w:val="-2"/>
          <w:sz w:val="28"/>
          <w:szCs w:val="28"/>
          <w:lang w:eastAsia="zh-CN"/>
        </w:rPr>
      </w:pPr>
      <w:r>
        <w:rPr>
          <w:rFonts w:hint="eastAsia" w:ascii="仿宋" w:hAnsi="仿宋" w:eastAsia="仿宋" w:cs="仿宋"/>
          <w:color w:val="auto"/>
          <w:spacing w:val="-5"/>
          <w:sz w:val="28"/>
          <w:szCs w:val="28"/>
          <w:lang w:eastAsia="zh-CN"/>
        </w:rPr>
        <w:t>根据</w:t>
      </w:r>
      <w:r>
        <w:rPr>
          <w:rFonts w:ascii="仿宋" w:hAnsi="仿宋" w:eastAsia="仿宋" w:cs="仿宋"/>
          <w:color w:val="auto"/>
          <w:spacing w:val="-5"/>
          <w:sz w:val="28"/>
          <w:szCs w:val="28"/>
          <w:lang w:eastAsia="zh-CN"/>
        </w:rPr>
        <w:t>202</w:t>
      </w:r>
      <w:r>
        <w:rPr>
          <w:rFonts w:hint="eastAsia" w:ascii="仿宋" w:hAnsi="仿宋" w:eastAsia="仿宋" w:cs="仿宋"/>
          <w:color w:val="auto"/>
          <w:spacing w:val="-5"/>
          <w:sz w:val="28"/>
          <w:szCs w:val="28"/>
          <w:lang w:eastAsia="zh-CN"/>
        </w:rPr>
        <w:t>4年部门决算报表，实际支出金额（决算数）为</w:t>
      </w:r>
      <w:r>
        <w:rPr>
          <w:rFonts w:ascii="仿宋" w:hAnsi="仿宋" w:eastAsia="仿宋" w:cs="仿宋"/>
          <w:color w:val="auto"/>
          <w:spacing w:val="-5"/>
          <w:sz w:val="28"/>
          <w:szCs w:val="28"/>
          <w:lang w:eastAsia="zh-CN"/>
        </w:rPr>
        <w:t>48,604.62</w:t>
      </w:r>
      <w:r>
        <w:rPr>
          <w:rFonts w:hint="eastAsia" w:ascii="仿宋" w:hAnsi="仿宋" w:eastAsia="仿宋" w:cs="仿宋"/>
          <w:color w:val="auto"/>
          <w:spacing w:val="-5"/>
          <w:sz w:val="28"/>
          <w:szCs w:val="28"/>
          <w:lang w:eastAsia="zh-CN"/>
        </w:rPr>
        <w:t>万元，其中基本支出金额为</w:t>
      </w:r>
      <w:r>
        <w:rPr>
          <w:rFonts w:ascii="仿宋" w:hAnsi="仿宋" w:eastAsia="仿宋" w:cs="仿宋"/>
          <w:color w:val="auto"/>
          <w:spacing w:val="-5"/>
          <w:sz w:val="28"/>
          <w:szCs w:val="28"/>
          <w:lang w:eastAsia="zh-CN"/>
        </w:rPr>
        <w:t>237.63</w:t>
      </w:r>
      <w:r>
        <w:rPr>
          <w:rFonts w:hint="eastAsia" w:ascii="仿宋" w:hAnsi="仿宋" w:eastAsia="仿宋" w:cs="仿宋"/>
          <w:color w:val="auto"/>
          <w:spacing w:val="-5"/>
          <w:sz w:val="28"/>
          <w:szCs w:val="28"/>
          <w:lang w:eastAsia="zh-CN"/>
        </w:rPr>
        <w:t>万元，项目支出金额为</w:t>
      </w:r>
      <w:r>
        <w:rPr>
          <w:rFonts w:ascii="仿宋" w:hAnsi="仿宋" w:eastAsia="仿宋" w:cs="仿宋"/>
          <w:color w:val="auto"/>
          <w:spacing w:val="-5"/>
          <w:sz w:val="28"/>
          <w:szCs w:val="28"/>
          <w:lang w:eastAsia="zh-CN"/>
        </w:rPr>
        <w:t>48,366.98</w:t>
      </w:r>
      <w:r>
        <w:rPr>
          <w:rFonts w:hint="eastAsia" w:ascii="仿宋" w:hAnsi="仿宋" w:eastAsia="仿宋" w:cs="仿宋"/>
          <w:color w:val="auto"/>
          <w:spacing w:val="-5"/>
          <w:sz w:val="28"/>
          <w:szCs w:val="28"/>
          <w:lang w:eastAsia="zh-CN"/>
        </w:rPr>
        <w:t>万元。根据石狮市城市管理和综合执法局所提供的数据显示，2024年部门全年预算数为</w:t>
      </w:r>
      <w:r>
        <w:rPr>
          <w:rFonts w:ascii="仿宋" w:hAnsi="仿宋" w:eastAsia="仿宋" w:cs="仿宋"/>
          <w:color w:val="auto"/>
          <w:spacing w:val="-5"/>
          <w:sz w:val="28"/>
          <w:szCs w:val="28"/>
          <w:lang w:eastAsia="zh-CN"/>
        </w:rPr>
        <w:t>55,123.27</w:t>
      </w:r>
      <w:r>
        <w:rPr>
          <w:rFonts w:hint="eastAsia" w:ascii="仿宋" w:hAnsi="仿宋" w:eastAsia="仿宋" w:cs="仿宋"/>
          <w:color w:val="auto"/>
          <w:spacing w:val="-5"/>
          <w:sz w:val="28"/>
          <w:szCs w:val="28"/>
          <w:lang w:eastAsia="zh-CN"/>
        </w:rPr>
        <w:t>万元。</w:t>
      </w:r>
      <w:r>
        <w:rPr>
          <w:rFonts w:ascii="仿宋" w:hAnsi="仿宋" w:eastAsia="仿宋" w:cs="仿宋"/>
          <w:color w:val="auto"/>
          <w:spacing w:val="-5"/>
          <w:sz w:val="28"/>
          <w:szCs w:val="28"/>
          <w:lang w:eastAsia="zh-CN"/>
        </w:rPr>
        <w:t>202</w:t>
      </w:r>
      <w:r>
        <w:rPr>
          <w:rFonts w:hint="eastAsia" w:ascii="仿宋" w:hAnsi="仿宋" w:eastAsia="仿宋" w:cs="仿宋"/>
          <w:color w:val="auto"/>
          <w:spacing w:val="-5"/>
          <w:sz w:val="28"/>
          <w:szCs w:val="28"/>
          <w:lang w:eastAsia="zh-CN"/>
        </w:rPr>
        <w:t>4年部门预算执行率为</w:t>
      </w:r>
      <w:r>
        <w:rPr>
          <w:rFonts w:ascii="仿宋" w:hAnsi="仿宋" w:eastAsia="仿宋" w:cs="仿宋"/>
          <w:color w:val="auto"/>
          <w:spacing w:val="-5"/>
          <w:sz w:val="28"/>
          <w:szCs w:val="28"/>
          <w:lang w:eastAsia="zh-CN"/>
        </w:rPr>
        <w:t>88.17%</w:t>
      </w:r>
      <w:r>
        <w:rPr>
          <w:rFonts w:hint="eastAsia" w:ascii="仿宋" w:hAnsi="仿宋" w:eastAsia="仿宋" w:cs="仿宋"/>
          <w:color w:val="auto"/>
          <w:spacing w:val="-5"/>
          <w:sz w:val="28"/>
          <w:szCs w:val="28"/>
          <w:lang w:eastAsia="zh-CN"/>
        </w:rPr>
        <w:t>（</w:t>
      </w:r>
      <w:r>
        <w:rPr>
          <w:rFonts w:ascii="仿宋" w:hAnsi="仿宋" w:eastAsia="仿宋" w:cs="仿宋"/>
          <w:color w:val="auto"/>
          <w:spacing w:val="-5"/>
          <w:sz w:val="28"/>
          <w:szCs w:val="28"/>
          <w:lang w:eastAsia="zh-CN"/>
        </w:rPr>
        <w:t>202</w:t>
      </w:r>
      <w:r>
        <w:rPr>
          <w:rFonts w:hint="eastAsia" w:ascii="仿宋" w:hAnsi="仿宋" w:eastAsia="仿宋" w:cs="仿宋"/>
          <w:color w:val="auto"/>
          <w:spacing w:val="-5"/>
          <w:sz w:val="28"/>
          <w:szCs w:val="28"/>
          <w:lang w:eastAsia="zh-CN"/>
        </w:rPr>
        <w:t>4年部门预算执行率</w:t>
      </w:r>
      <w:r>
        <w:rPr>
          <w:rFonts w:ascii="仿宋" w:hAnsi="仿宋" w:eastAsia="仿宋" w:cs="仿宋"/>
          <w:color w:val="auto"/>
          <w:spacing w:val="-5"/>
          <w:sz w:val="28"/>
          <w:szCs w:val="28"/>
          <w:lang w:eastAsia="zh-CN"/>
        </w:rPr>
        <w:t>=48,604.62/55,123.27*100%=88.17%</w:t>
      </w:r>
      <w:r>
        <w:rPr>
          <w:rFonts w:hint="eastAsia" w:ascii="仿宋" w:hAnsi="仿宋" w:eastAsia="仿宋" w:cs="仿宋"/>
          <w:color w:val="auto"/>
          <w:spacing w:val="-5"/>
          <w:sz w:val="28"/>
          <w:szCs w:val="28"/>
          <w:lang w:eastAsia="zh-CN"/>
        </w:rPr>
        <w:t>）</w:t>
      </w:r>
      <w:r>
        <w:rPr>
          <w:rFonts w:hint="eastAsia" w:ascii="仿宋" w:hAnsi="仿宋" w:eastAsia="仿宋" w:cs="仿宋"/>
          <w:color w:val="auto"/>
          <w:spacing w:val="-2"/>
          <w:sz w:val="28"/>
          <w:szCs w:val="28"/>
          <w:lang w:eastAsia="zh-CN"/>
        </w:rPr>
        <w:t>。</w:t>
      </w:r>
      <w:bookmarkStart w:id="44" w:name="_Toc6901"/>
    </w:p>
    <w:p w14:paraId="4FF84CE3">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45" w:name="_Toc181557999"/>
      <w:bookmarkStart w:id="46" w:name="_Toc208840317"/>
      <w:r>
        <w:rPr>
          <w:rFonts w:hint="eastAsia" w:ascii="仿宋" w:hAnsi="仿宋" w:eastAsia="仿宋" w:cs="仿宋"/>
          <w:color w:val="auto"/>
          <w:spacing w:val="3"/>
          <w:sz w:val="28"/>
          <w:szCs w:val="28"/>
          <w:lang w:eastAsia="zh-CN"/>
        </w:rPr>
        <w:t>4.资金结余情况</w:t>
      </w:r>
      <w:bookmarkEnd w:id="44"/>
      <w:bookmarkEnd w:id="45"/>
      <w:bookmarkEnd w:id="46"/>
    </w:p>
    <w:p w14:paraId="03AA6E78">
      <w:pPr>
        <w:widowControl w:val="0"/>
        <w:overflowPunct w:val="0"/>
        <w:spacing w:line="408" w:lineRule="auto"/>
        <w:ind w:firstLine="540" w:firstLineChars="200"/>
        <w:jc w:val="both"/>
        <w:rPr>
          <w:rFonts w:hint="eastAsia" w:ascii="仿宋" w:hAnsi="仿宋" w:eastAsia="仿宋" w:cs="仿宋"/>
          <w:color w:val="auto"/>
          <w:spacing w:val="-5"/>
          <w:sz w:val="28"/>
          <w:szCs w:val="28"/>
          <w:lang w:eastAsia="zh-CN"/>
        </w:rPr>
      </w:pPr>
      <w:bookmarkStart w:id="47" w:name="bookmark12"/>
      <w:bookmarkEnd w:id="47"/>
      <w:bookmarkStart w:id="48" w:name="_Toc22664"/>
      <w:bookmarkStart w:id="49" w:name="_Toc31296"/>
      <w:r>
        <w:rPr>
          <w:rFonts w:hint="eastAsia" w:ascii="仿宋" w:hAnsi="仿宋" w:eastAsia="仿宋" w:cs="仿宋"/>
          <w:color w:val="auto"/>
          <w:spacing w:val="-5"/>
          <w:sz w:val="28"/>
          <w:szCs w:val="28"/>
          <w:lang w:eastAsia="zh-CN"/>
        </w:rPr>
        <w:t>部门资金结余情况，如表4所示：</w:t>
      </w:r>
    </w:p>
    <w:p w14:paraId="3C5CA871">
      <w:pPr>
        <w:widowControl w:val="0"/>
        <w:overflowPunct w:val="0"/>
        <w:spacing w:line="408" w:lineRule="auto"/>
        <w:jc w:val="center"/>
        <w:rPr>
          <w:rFonts w:hint="eastAsia" w:ascii="仿宋" w:hAnsi="仿宋" w:eastAsia="仿宋" w:cs="仿宋"/>
          <w:spacing w:val="-2"/>
          <w:sz w:val="28"/>
          <w:szCs w:val="24"/>
          <w:lang w:eastAsia="zh-CN"/>
          <w14:textOutline w14:w="5105" w14:cap="sq" w14:cmpd="sng" w14:algn="ctr">
            <w14:solidFill>
              <w14:srgbClr w14:val="000000"/>
            </w14:solidFill>
            <w14:prstDash w14:val="solid"/>
            <w14:bevel/>
          </w14:textOutline>
        </w:rPr>
      </w:pPr>
      <w:r>
        <w:rPr>
          <w:rFonts w:ascii="仿宋" w:hAnsi="仿宋" w:eastAsia="仿宋" w:cs="仿宋"/>
          <w:spacing w:val="-2"/>
          <w:sz w:val="28"/>
          <w:szCs w:val="24"/>
          <w:lang w:eastAsia="zh-CN"/>
          <w14:textOutline w14:w="5105" w14:cap="sq" w14:cmpd="sng" w14:algn="ctr">
            <w14:solidFill>
              <w14:srgbClr w14:val="000000"/>
            </w14:solidFill>
            <w14:prstDash w14:val="solid"/>
            <w14:bevel/>
          </w14:textOutline>
        </w:rPr>
        <w:t>表</w:t>
      </w:r>
      <w:r>
        <w:rPr>
          <w:rFonts w:hint="eastAsia" w:ascii="仿宋" w:hAnsi="仿宋" w:eastAsia="仿宋" w:cs="仿宋"/>
          <w:spacing w:val="-2"/>
          <w:sz w:val="28"/>
          <w:szCs w:val="24"/>
          <w:lang w:eastAsia="zh-CN"/>
          <w14:textOutline w14:w="5105" w14:cap="sq" w14:cmpd="sng" w14:algn="ctr">
            <w14:solidFill>
              <w14:srgbClr w14:val="000000"/>
            </w14:solidFill>
            <w14:prstDash w14:val="solid"/>
            <w14:bevel/>
          </w14:textOutline>
        </w:rPr>
        <w:t>4    石狮市城市管理和综合执法局2024</w:t>
      </w:r>
      <w:r>
        <w:rPr>
          <w:rFonts w:ascii="仿宋" w:hAnsi="仿宋" w:eastAsia="仿宋" w:cs="仿宋"/>
          <w:spacing w:val="-2"/>
          <w:sz w:val="28"/>
          <w:szCs w:val="24"/>
          <w:lang w:eastAsia="zh-CN"/>
          <w14:textOutline w14:w="5105" w14:cap="sq" w14:cmpd="sng" w14:algn="ctr">
            <w14:solidFill>
              <w14:srgbClr w14:val="000000"/>
            </w14:solidFill>
            <w14:prstDash w14:val="solid"/>
            <w14:bevel/>
          </w14:textOutline>
        </w:rPr>
        <w:t>年部门资金结余情况</w:t>
      </w:r>
      <w:bookmarkEnd w:id="48"/>
      <w:bookmarkEnd w:id="49"/>
    </w:p>
    <w:p w14:paraId="49B6CF64">
      <w:pPr>
        <w:widowControl w:val="0"/>
        <w:overflowPunct w:val="0"/>
        <w:jc w:val="right"/>
        <w:rPr>
          <w:rFonts w:hint="eastAsia" w:ascii="仿宋" w:hAnsi="仿宋" w:eastAsia="仿宋"/>
          <w:bCs/>
          <w:color w:val="auto"/>
          <w:sz w:val="24"/>
        </w:rPr>
      </w:pPr>
      <w:r>
        <w:rPr>
          <w:rFonts w:hint="eastAsia" w:ascii="仿宋" w:hAnsi="仿宋" w:eastAsia="仿宋" w:cs="仿宋"/>
          <w:bCs/>
          <w:spacing w:val="-2"/>
          <w:sz w:val="24"/>
          <w:szCs w:val="28"/>
          <w:lang w:eastAsia="zh-CN"/>
          <w14:textOutline w14:w="5105" w14:cap="sq" w14:cmpd="sng" w14:algn="ctr">
            <w14:solidFill>
              <w14:srgbClr w14:val="000000"/>
            </w14:solidFill>
            <w14:prstDash w14:val="solid"/>
            <w14:bevel/>
          </w14:textOutline>
        </w:rPr>
        <w:t>单位：万元</w:t>
      </w:r>
    </w:p>
    <w:tbl>
      <w:tblPr>
        <w:tblStyle w:val="9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1687"/>
        <w:gridCol w:w="1984"/>
        <w:gridCol w:w="1791"/>
        <w:gridCol w:w="1205"/>
        <w:gridCol w:w="1594"/>
      </w:tblGrid>
      <w:tr w14:paraId="692C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682" w:type="pct"/>
            <w:shd w:val="clear" w:color="auto" w:fill="D8D8D8" w:themeFill="background1" w:themeFillShade="D9"/>
            <w:vAlign w:val="center"/>
          </w:tcPr>
          <w:p w14:paraId="053F0F17">
            <w:pPr>
              <w:spacing w:line="408" w:lineRule="auto"/>
              <w:jc w:val="center"/>
              <w:textAlignment w:val="center"/>
              <w:rPr>
                <w:rFonts w:hint="eastAsia" w:ascii="仿宋" w:hAnsi="仿宋" w:eastAsia="仿宋"/>
                <w:b/>
                <w:bCs/>
                <w:sz w:val="18"/>
                <w:szCs w:val="24"/>
              </w:rPr>
            </w:pPr>
            <w:r>
              <w:rPr>
                <w:rFonts w:hint="eastAsia" w:ascii="仿宋" w:hAnsi="仿宋" w:eastAsia="仿宋" w:cs="仿宋"/>
                <w:b/>
                <w:bCs/>
                <w:sz w:val="18"/>
                <w:szCs w:val="24"/>
                <w:lang w:eastAsia="zh-CN" w:bidi="ar"/>
              </w:rPr>
              <w:t>支出内容</w:t>
            </w:r>
          </w:p>
        </w:tc>
        <w:tc>
          <w:tcPr>
            <w:tcW w:w="882" w:type="pct"/>
            <w:shd w:val="clear" w:color="auto" w:fill="D8D8D8" w:themeFill="background1" w:themeFillShade="D9"/>
            <w:vAlign w:val="center"/>
          </w:tcPr>
          <w:p w14:paraId="5F329E13">
            <w:pPr>
              <w:spacing w:line="408" w:lineRule="auto"/>
              <w:jc w:val="center"/>
              <w:textAlignment w:val="center"/>
              <w:rPr>
                <w:rFonts w:hint="eastAsia" w:ascii="仿宋" w:hAnsi="仿宋" w:eastAsia="仿宋"/>
                <w:b/>
                <w:bCs/>
                <w:sz w:val="18"/>
              </w:rPr>
            </w:pPr>
            <w:r>
              <w:rPr>
                <w:rFonts w:hint="eastAsia" w:ascii="仿宋" w:hAnsi="仿宋" w:eastAsia="仿宋" w:cs="仿宋"/>
                <w:b/>
                <w:bCs/>
                <w:sz w:val="18"/>
                <w:szCs w:val="22"/>
                <w:lang w:eastAsia="zh-CN" w:bidi="ar"/>
              </w:rPr>
              <w:t>上年度结转结</w:t>
            </w:r>
            <w:r>
              <w:rPr>
                <w:rStyle w:val="496"/>
                <w:rFonts w:hint="default"/>
                <w:b/>
                <w:bCs/>
                <w:sz w:val="18"/>
                <w:lang w:eastAsia="zh-CN" w:bidi="ar"/>
              </w:rPr>
              <w:t>余资金</w:t>
            </w:r>
          </w:p>
        </w:tc>
        <w:tc>
          <w:tcPr>
            <w:tcW w:w="1037" w:type="pct"/>
            <w:shd w:val="clear" w:color="auto" w:fill="D8D8D8" w:themeFill="background1" w:themeFillShade="D9"/>
            <w:vAlign w:val="center"/>
          </w:tcPr>
          <w:p w14:paraId="33E72C00">
            <w:pPr>
              <w:spacing w:line="408" w:lineRule="auto"/>
              <w:jc w:val="center"/>
              <w:textAlignment w:val="center"/>
              <w:rPr>
                <w:rFonts w:hint="eastAsia" w:ascii="仿宋" w:hAnsi="仿宋" w:eastAsia="仿宋"/>
                <w:b/>
                <w:bCs/>
                <w:sz w:val="18"/>
              </w:rPr>
            </w:pPr>
            <w:r>
              <w:rPr>
                <w:rFonts w:hint="eastAsia" w:ascii="仿宋" w:hAnsi="仿宋" w:eastAsia="仿宋" w:cs="仿宋"/>
                <w:b/>
                <w:bCs/>
                <w:sz w:val="18"/>
                <w:szCs w:val="22"/>
                <w:lang w:eastAsia="zh-CN" w:bidi="ar"/>
              </w:rPr>
              <w:t>当年度结转</w:t>
            </w:r>
            <w:r>
              <w:rPr>
                <w:rStyle w:val="496"/>
                <w:rFonts w:hint="default"/>
                <w:b/>
                <w:bCs/>
                <w:sz w:val="18"/>
                <w:lang w:eastAsia="zh-CN" w:bidi="ar"/>
              </w:rPr>
              <w:t>结余资金</w:t>
            </w:r>
          </w:p>
        </w:tc>
        <w:tc>
          <w:tcPr>
            <w:tcW w:w="936" w:type="pct"/>
            <w:shd w:val="clear" w:color="auto" w:fill="D8D8D8" w:themeFill="background1" w:themeFillShade="D9"/>
            <w:vAlign w:val="center"/>
          </w:tcPr>
          <w:p w14:paraId="468FC175">
            <w:pPr>
              <w:spacing w:line="408" w:lineRule="auto"/>
              <w:jc w:val="center"/>
              <w:textAlignment w:val="center"/>
              <w:rPr>
                <w:rFonts w:hint="eastAsia" w:ascii="仿宋" w:hAnsi="仿宋" w:eastAsia="仿宋" w:cs="仿宋"/>
                <w:b/>
                <w:bCs/>
                <w:sz w:val="18"/>
                <w:szCs w:val="22"/>
                <w:lang w:eastAsia="zh-CN" w:bidi="ar"/>
              </w:rPr>
            </w:pPr>
            <w:r>
              <w:rPr>
                <w:rFonts w:hint="eastAsia" w:ascii="仿宋" w:hAnsi="仿宋" w:eastAsia="仿宋" w:cs="仿宋"/>
                <w:b/>
                <w:bCs/>
                <w:sz w:val="18"/>
                <w:szCs w:val="22"/>
                <w:lang w:eastAsia="zh-CN" w:bidi="ar"/>
              </w:rPr>
              <w:t>当年度支出</w:t>
            </w:r>
            <w:r>
              <w:rPr>
                <w:rStyle w:val="496"/>
                <w:rFonts w:hint="default"/>
                <w:b/>
                <w:bCs/>
                <w:sz w:val="18"/>
                <w:lang w:eastAsia="zh-CN" w:bidi="ar"/>
              </w:rPr>
              <w:t>预算数（全年预算口径）</w:t>
            </w:r>
          </w:p>
        </w:tc>
        <w:tc>
          <w:tcPr>
            <w:tcW w:w="630" w:type="pct"/>
            <w:shd w:val="clear" w:color="auto" w:fill="D8D8D8" w:themeFill="background1" w:themeFillShade="D9"/>
            <w:vAlign w:val="center"/>
          </w:tcPr>
          <w:p w14:paraId="13FD8DF5">
            <w:pPr>
              <w:spacing w:line="408" w:lineRule="auto"/>
              <w:jc w:val="center"/>
              <w:textAlignment w:val="center"/>
              <w:rPr>
                <w:rFonts w:hint="eastAsia" w:ascii="仿宋" w:hAnsi="仿宋" w:eastAsia="仿宋"/>
                <w:b/>
                <w:bCs/>
                <w:sz w:val="18"/>
              </w:rPr>
            </w:pPr>
            <w:r>
              <w:rPr>
                <w:rFonts w:hint="eastAsia" w:ascii="仿宋" w:hAnsi="仿宋" w:eastAsia="仿宋" w:cs="仿宋"/>
                <w:b/>
                <w:bCs/>
                <w:sz w:val="18"/>
                <w:szCs w:val="22"/>
                <w:lang w:eastAsia="zh-CN" w:bidi="ar"/>
              </w:rPr>
              <w:t>结转结余率</w:t>
            </w:r>
          </w:p>
        </w:tc>
        <w:tc>
          <w:tcPr>
            <w:tcW w:w="833" w:type="pct"/>
            <w:shd w:val="clear" w:color="auto" w:fill="D8D8D8" w:themeFill="background1" w:themeFillShade="D9"/>
            <w:vAlign w:val="center"/>
          </w:tcPr>
          <w:p w14:paraId="013BAB6D">
            <w:pPr>
              <w:spacing w:line="408" w:lineRule="auto"/>
              <w:jc w:val="center"/>
              <w:textAlignment w:val="center"/>
              <w:rPr>
                <w:rFonts w:hint="eastAsia" w:ascii="仿宋" w:hAnsi="仿宋" w:eastAsia="仿宋" w:cs="仿宋"/>
                <w:b/>
                <w:bCs/>
                <w:sz w:val="18"/>
                <w:szCs w:val="22"/>
                <w:lang w:eastAsia="zh-CN" w:bidi="ar"/>
              </w:rPr>
            </w:pPr>
            <w:r>
              <w:rPr>
                <w:rFonts w:hint="eastAsia" w:ascii="仿宋" w:hAnsi="仿宋" w:eastAsia="仿宋" w:cs="仿宋"/>
                <w:b/>
                <w:bCs/>
                <w:sz w:val="18"/>
                <w:szCs w:val="22"/>
                <w:lang w:eastAsia="zh-CN" w:bidi="ar"/>
              </w:rPr>
              <w:t>结转结余变</w:t>
            </w:r>
            <w:r>
              <w:rPr>
                <w:rStyle w:val="496"/>
                <w:rFonts w:hint="default"/>
                <w:b/>
                <w:bCs/>
                <w:sz w:val="18"/>
                <w:lang w:eastAsia="zh-CN" w:bidi="ar"/>
              </w:rPr>
              <w:t>动率</w:t>
            </w:r>
          </w:p>
        </w:tc>
      </w:tr>
      <w:tr w14:paraId="1CD4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682" w:type="pct"/>
            <w:vAlign w:val="center"/>
          </w:tcPr>
          <w:p w14:paraId="5E468FDC">
            <w:pPr>
              <w:spacing w:line="408" w:lineRule="auto"/>
              <w:jc w:val="center"/>
              <w:textAlignment w:val="center"/>
              <w:rPr>
                <w:rFonts w:hint="eastAsia" w:ascii="仿宋" w:hAnsi="仿宋" w:eastAsia="仿宋"/>
                <w:sz w:val="18"/>
                <w:szCs w:val="24"/>
              </w:rPr>
            </w:pPr>
            <w:r>
              <w:rPr>
                <w:rFonts w:hint="eastAsia" w:ascii="仿宋" w:hAnsi="仿宋" w:eastAsia="仿宋" w:cs="仿宋"/>
                <w:sz w:val="18"/>
                <w:szCs w:val="24"/>
                <w:lang w:eastAsia="zh-CN" w:bidi="ar"/>
              </w:rPr>
              <w:t>基本支出</w:t>
            </w:r>
          </w:p>
        </w:tc>
        <w:tc>
          <w:tcPr>
            <w:tcW w:w="882" w:type="pct"/>
            <w:vAlign w:val="center"/>
          </w:tcPr>
          <w:p w14:paraId="5409C5F5">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1.67</w:t>
            </w:r>
          </w:p>
        </w:tc>
        <w:tc>
          <w:tcPr>
            <w:tcW w:w="1037" w:type="pct"/>
            <w:vAlign w:val="center"/>
          </w:tcPr>
          <w:p w14:paraId="15FC3C72">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1.49</w:t>
            </w:r>
          </w:p>
        </w:tc>
        <w:tc>
          <w:tcPr>
            <w:tcW w:w="936" w:type="pct"/>
            <w:vAlign w:val="center"/>
          </w:tcPr>
          <w:p w14:paraId="08A79F3C">
            <w:pPr>
              <w:widowControl w:val="0"/>
              <w:overflowPunct w:val="0"/>
              <w:spacing w:line="408" w:lineRule="auto"/>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color w:val="000000" w:themeColor="text1"/>
                <w:spacing w:val="-2"/>
                <w:sz w:val="18"/>
                <w:szCs w:val="22"/>
                <w:lang w:eastAsia="zh-CN"/>
                <w14:textFill>
                  <w14:solidFill>
                    <w14:schemeClr w14:val="tx1"/>
                  </w14:solidFill>
                </w14:textFill>
              </w:rPr>
              <w:t>239.12</w:t>
            </w:r>
          </w:p>
        </w:tc>
        <w:tc>
          <w:tcPr>
            <w:tcW w:w="630" w:type="pct"/>
            <w:vAlign w:val="center"/>
          </w:tcPr>
          <w:p w14:paraId="21946EA8">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0.623%</w:t>
            </w:r>
          </w:p>
        </w:tc>
        <w:tc>
          <w:tcPr>
            <w:tcW w:w="833" w:type="pct"/>
            <w:vAlign w:val="center"/>
          </w:tcPr>
          <w:p w14:paraId="5665DCCD">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-10.78%</w:t>
            </w:r>
          </w:p>
        </w:tc>
      </w:tr>
      <w:tr w14:paraId="00C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82" w:type="pct"/>
            <w:vAlign w:val="center"/>
          </w:tcPr>
          <w:p w14:paraId="1F40B1C3">
            <w:pPr>
              <w:spacing w:line="408" w:lineRule="auto"/>
              <w:jc w:val="center"/>
              <w:textAlignment w:val="center"/>
              <w:rPr>
                <w:rFonts w:hint="eastAsia" w:ascii="仿宋" w:hAnsi="仿宋" w:eastAsia="仿宋"/>
                <w:sz w:val="18"/>
                <w:szCs w:val="24"/>
              </w:rPr>
            </w:pPr>
            <w:r>
              <w:rPr>
                <w:rFonts w:hint="eastAsia" w:ascii="仿宋" w:hAnsi="仿宋" w:eastAsia="仿宋" w:cs="仿宋"/>
                <w:sz w:val="18"/>
                <w:szCs w:val="24"/>
                <w:lang w:eastAsia="zh-CN" w:bidi="ar"/>
              </w:rPr>
              <w:t>项目支出</w:t>
            </w:r>
          </w:p>
        </w:tc>
        <w:tc>
          <w:tcPr>
            <w:tcW w:w="882" w:type="pct"/>
            <w:vAlign w:val="center"/>
          </w:tcPr>
          <w:p w14:paraId="0FF04D2D">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0.25</w:t>
            </w:r>
          </w:p>
        </w:tc>
        <w:tc>
          <w:tcPr>
            <w:tcW w:w="1037" w:type="pct"/>
            <w:vAlign w:val="center"/>
          </w:tcPr>
          <w:p w14:paraId="10CD67D4">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0.25</w:t>
            </w:r>
          </w:p>
        </w:tc>
        <w:tc>
          <w:tcPr>
            <w:tcW w:w="936" w:type="pct"/>
            <w:vAlign w:val="center"/>
          </w:tcPr>
          <w:p w14:paraId="3314F780">
            <w:pPr>
              <w:widowControl w:val="0"/>
              <w:overflowPunct w:val="0"/>
              <w:spacing w:line="408" w:lineRule="auto"/>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hint="eastAsia" w:ascii="仿宋" w:hAnsi="仿宋" w:eastAsia="仿宋" w:cs="仿宋"/>
                <w:color w:val="000000" w:themeColor="text1"/>
                <w:spacing w:val="-2"/>
                <w:sz w:val="18"/>
                <w:szCs w:val="22"/>
                <w:lang w:eastAsia="zh-CN"/>
                <w14:textFill>
                  <w14:solidFill>
                    <w14:schemeClr w14:val="tx1"/>
                  </w14:solidFill>
                </w14:textFill>
              </w:rPr>
              <w:t>48,367.23</w:t>
            </w:r>
          </w:p>
        </w:tc>
        <w:tc>
          <w:tcPr>
            <w:tcW w:w="630" w:type="pct"/>
            <w:vAlign w:val="center"/>
          </w:tcPr>
          <w:p w14:paraId="4667A7EA">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0.001%</w:t>
            </w:r>
          </w:p>
        </w:tc>
        <w:tc>
          <w:tcPr>
            <w:tcW w:w="833" w:type="pct"/>
            <w:vAlign w:val="center"/>
          </w:tcPr>
          <w:p w14:paraId="11A1A19D">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0.00%</w:t>
            </w:r>
          </w:p>
        </w:tc>
      </w:tr>
      <w:tr w14:paraId="24F4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82" w:type="pct"/>
            <w:vAlign w:val="center"/>
          </w:tcPr>
          <w:p w14:paraId="246A5A17">
            <w:pPr>
              <w:spacing w:line="408" w:lineRule="auto"/>
              <w:jc w:val="center"/>
              <w:textAlignment w:val="center"/>
              <w:rPr>
                <w:rFonts w:hint="eastAsia" w:ascii="仿宋" w:hAnsi="仿宋" w:eastAsia="仿宋"/>
                <w:sz w:val="18"/>
                <w:szCs w:val="24"/>
              </w:rPr>
            </w:pPr>
            <w:r>
              <w:rPr>
                <w:rFonts w:hint="eastAsia" w:ascii="仿宋" w:hAnsi="仿宋" w:eastAsia="仿宋" w:cs="仿宋"/>
                <w:sz w:val="18"/>
                <w:szCs w:val="24"/>
                <w:lang w:eastAsia="zh-CN" w:bidi="ar"/>
              </w:rPr>
              <w:t>合计</w:t>
            </w:r>
          </w:p>
        </w:tc>
        <w:tc>
          <w:tcPr>
            <w:tcW w:w="882" w:type="pct"/>
            <w:vAlign w:val="center"/>
          </w:tcPr>
          <w:p w14:paraId="1F0EE0AD">
            <w:pPr>
              <w:spacing w:line="408" w:lineRule="auto"/>
              <w:jc w:val="center"/>
              <w:textAlignment w:val="center"/>
              <w:rPr>
                <w:rFonts w:hint="eastAsia" w:ascii="仿宋" w:hAnsi="仿宋" w:eastAsia="仿宋"/>
                <w:sz w:val="18"/>
              </w:rPr>
            </w:pPr>
            <w:r>
              <w:rPr>
                <w:rFonts w:ascii="仿宋" w:hAnsi="仿宋" w:eastAsia="仿宋"/>
                <w:sz w:val="18"/>
              </w:rPr>
              <w:t>1.92</w:t>
            </w:r>
          </w:p>
        </w:tc>
        <w:tc>
          <w:tcPr>
            <w:tcW w:w="1037" w:type="pct"/>
            <w:vAlign w:val="center"/>
          </w:tcPr>
          <w:p w14:paraId="18CE144B">
            <w:pPr>
              <w:spacing w:line="408" w:lineRule="auto"/>
              <w:jc w:val="center"/>
              <w:textAlignment w:val="center"/>
              <w:rPr>
                <w:rFonts w:hint="eastAsia" w:ascii="仿宋" w:hAnsi="仿宋" w:eastAsia="仿宋"/>
                <w:sz w:val="18"/>
                <w:lang w:eastAsia="zh-CN"/>
              </w:rPr>
            </w:pPr>
            <w:r>
              <w:rPr>
                <w:rFonts w:ascii="仿宋" w:hAnsi="仿宋" w:eastAsia="仿宋"/>
                <w:sz w:val="18"/>
                <w:lang w:eastAsia="zh-CN"/>
              </w:rPr>
              <w:t>1.74</w:t>
            </w:r>
          </w:p>
        </w:tc>
        <w:tc>
          <w:tcPr>
            <w:tcW w:w="936" w:type="pct"/>
            <w:vAlign w:val="center"/>
          </w:tcPr>
          <w:p w14:paraId="34ED4F5C">
            <w:pPr>
              <w:widowControl w:val="0"/>
              <w:overflowPunct w:val="0"/>
              <w:spacing w:line="408" w:lineRule="auto"/>
              <w:jc w:val="center"/>
              <w:textAlignment w:val="center"/>
              <w:rPr>
                <w:rFonts w:hint="eastAsia" w:ascii="仿宋" w:hAnsi="仿宋" w:eastAsia="仿宋" w:cs="仿宋"/>
                <w:color w:val="000000" w:themeColor="text1"/>
                <w:spacing w:val="-2"/>
                <w:sz w:val="18"/>
                <w:szCs w:val="22"/>
                <w:lang w:eastAsia="zh-CN"/>
                <w14:textFill>
                  <w14:solidFill>
                    <w14:schemeClr w14:val="tx1"/>
                  </w14:solidFill>
                </w14:textFill>
              </w:rPr>
            </w:pPr>
            <w:r>
              <w:rPr>
                <w:rFonts w:ascii="仿宋" w:hAnsi="仿宋" w:eastAsia="仿宋" w:cs="仿宋"/>
                <w:color w:val="000000" w:themeColor="text1"/>
                <w:spacing w:val="-2"/>
                <w:sz w:val="18"/>
                <w:szCs w:val="22"/>
                <w:lang w:eastAsia="zh-CN"/>
                <w14:textFill>
                  <w14:solidFill>
                    <w14:schemeClr w14:val="tx1"/>
                  </w14:solidFill>
                </w14:textFill>
              </w:rPr>
              <w:t>48,606.35</w:t>
            </w:r>
          </w:p>
        </w:tc>
        <w:tc>
          <w:tcPr>
            <w:tcW w:w="630" w:type="pct"/>
            <w:vAlign w:val="center"/>
          </w:tcPr>
          <w:p w14:paraId="0F0A50E8">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0.004%</w:t>
            </w:r>
          </w:p>
        </w:tc>
        <w:tc>
          <w:tcPr>
            <w:tcW w:w="833" w:type="pct"/>
            <w:vAlign w:val="center"/>
          </w:tcPr>
          <w:p w14:paraId="19CE9343">
            <w:pPr>
              <w:spacing w:line="408" w:lineRule="auto"/>
              <w:jc w:val="center"/>
              <w:textAlignment w:val="center"/>
              <w:rPr>
                <w:rFonts w:hint="eastAsia" w:ascii="仿宋" w:hAnsi="仿宋" w:eastAsia="仿宋"/>
                <w:sz w:val="18"/>
                <w:lang w:eastAsia="zh-CN"/>
              </w:rPr>
            </w:pPr>
            <w:r>
              <w:rPr>
                <w:rFonts w:hint="eastAsia" w:ascii="仿宋" w:hAnsi="仿宋" w:eastAsia="仿宋"/>
                <w:sz w:val="18"/>
                <w:lang w:eastAsia="zh-CN"/>
              </w:rPr>
              <w:t>-9.38%</w:t>
            </w:r>
          </w:p>
        </w:tc>
      </w:tr>
    </w:tbl>
    <w:p w14:paraId="462DDC69">
      <w:pPr>
        <w:widowControl w:val="0"/>
        <w:overflowPunct w:val="0"/>
        <w:snapToGrid/>
        <w:spacing w:line="408" w:lineRule="auto"/>
        <w:ind w:firstLine="554" w:firstLineChars="200"/>
        <w:jc w:val="both"/>
        <w:outlineLvl w:val="0"/>
        <w:rPr>
          <w:rFonts w:hint="eastAsia" w:ascii="仿宋" w:hAnsi="仿宋" w:eastAsia="仿宋" w:cs="仿宋"/>
          <w:b/>
          <w:bCs/>
          <w:color w:val="auto"/>
          <w:sz w:val="28"/>
          <w:szCs w:val="28"/>
          <w:lang w:eastAsia="zh-CN"/>
        </w:rPr>
      </w:pPr>
      <w:bookmarkStart w:id="50" w:name="bookmark17"/>
      <w:bookmarkEnd w:id="50"/>
      <w:bookmarkStart w:id="51" w:name="bookmark18"/>
      <w:bookmarkEnd w:id="51"/>
      <w:bookmarkStart w:id="52" w:name="bookmark13"/>
      <w:bookmarkEnd w:id="52"/>
      <w:bookmarkStart w:id="53" w:name="bookmark14"/>
      <w:bookmarkEnd w:id="53"/>
      <w:bookmarkStart w:id="54" w:name="_Toc181558000"/>
      <w:bookmarkStart w:id="55" w:name="_Toc208840318"/>
      <w:r>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t>二、</w:t>
      </w:r>
      <w:r>
        <w:rPr>
          <w:rFonts w:hint="eastAsia" w:ascii="仿宋" w:hAnsi="仿宋" w:eastAsia="仿宋" w:cs="仿宋"/>
          <w:b/>
          <w:bCs/>
          <w:color w:val="auto"/>
          <w:sz w:val="28"/>
          <w:szCs w:val="28"/>
          <w:lang w:eastAsia="zh-CN"/>
          <w14:textOutline w14:w="5105" w14:cap="sq" w14:cmpd="sng" w14:algn="ctr">
            <w14:solidFill>
              <w14:srgbClr w14:val="000000"/>
            </w14:solidFill>
            <w14:prstDash w14:val="solid"/>
            <w14:bevel/>
          </w14:textOutline>
        </w:rPr>
        <w:t>资金使用方向、主要内容和涉及范围</w:t>
      </w:r>
      <w:bookmarkEnd w:id="54"/>
      <w:bookmarkEnd w:id="55"/>
    </w:p>
    <w:p w14:paraId="686D8983">
      <w:pPr>
        <w:widowControl w:val="0"/>
        <w:overflowPunct w:val="0"/>
        <w:snapToGrid/>
        <w:spacing w:line="408" w:lineRule="auto"/>
        <w:ind w:firstLine="540" w:firstLineChars="200"/>
        <w:jc w:val="both"/>
        <w:outlineLvl w:val="2"/>
        <w:rPr>
          <w:rFonts w:hint="eastAsia" w:ascii="仿宋" w:hAnsi="仿宋" w:eastAsia="仿宋" w:cs="仿宋"/>
          <w:color w:val="auto"/>
          <w:sz w:val="28"/>
          <w:szCs w:val="28"/>
          <w:lang w:eastAsia="zh-CN"/>
        </w:rPr>
      </w:pPr>
      <w:bookmarkStart w:id="56" w:name="_Toc181558001"/>
      <w:bookmarkStart w:id="57" w:name="_Toc15654"/>
      <w:bookmarkStart w:id="58" w:name="_Toc208840319"/>
      <w:r>
        <w:rPr>
          <w:rFonts w:hint="eastAsia" w:ascii="仿宋" w:hAnsi="仿宋" w:eastAsia="仿宋" w:cs="仿宋"/>
          <w:color w:val="auto"/>
          <w:spacing w:val="-5"/>
          <w:sz w:val="28"/>
          <w:szCs w:val="28"/>
          <w:lang w:eastAsia="zh-CN"/>
        </w:rPr>
        <w:t>1.基本支出</w:t>
      </w:r>
      <w:bookmarkEnd w:id="56"/>
      <w:bookmarkEnd w:id="57"/>
      <w:bookmarkEnd w:id="58"/>
    </w:p>
    <w:p w14:paraId="4D41552F">
      <w:pPr>
        <w:widowControl w:val="0"/>
        <w:overflowPunct w:val="0"/>
        <w:snapToGrid/>
        <w:spacing w:line="408" w:lineRule="auto"/>
        <w:ind w:firstLine="552" w:firstLineChars="200"/>
        <w:jc w:val="both"/>
        <w:rPr>
          <w:rFonts w:hint="eastAsia" w:ascii="仿宋" w:hAnsi="仿宋" w:eastAsia="仿宋" w:cs="仿宋"/>
          <w:color w:val="auto"/>
          <w:spacing w:val="-4"/>
          <w:sz w:val="28"/>
          <w:szCs w:val="28"/>
          <w:lang w:eastAsia="zh-CN"/>
        </w:rPr>
      </w:pPr>
      <w:r>
        <w:rPr>
          <w:rFonts w:hint="eastAsia" w:ascii="仿宋" w:hAnsi="仿宋" w:eastAsia="仿宋" w:cs="仿宋"/>
          <w:color w:val="auto"/>
          <w:spacing w:val="-2"/>
          <w:sz w:val="28"/>
          <w:szCs w:val="28"/>
          <w:lang w:eastAsia="zh-CN"/>
        </w:rPr>
        <w:t>2024年基本支出全年预算数为</w:t>
      </w:r>
      <w:r>
        <w:rPr>
          <w:rFonts w:ascii="仿宋" w:hAnsi="仿宋" w:eastAsia="仿宋" w:cs="仿宋"/>
          <w:color w:val="auto"/>
          <w:spacing w:val="-2"/>
          <w:sz w:val="28"/>
          <w:szCs w:val="28"/>
          <w:lang w:eastAsia="zh-CN"/>
        </w:rPr>
        <w:t>239.12</w:t>
      </w:r>
      <w:r>
        <w:rPr>
          <w:rFonts w:hint="eastAsia" w:ascii="仿宋" w:hAnsi="仿宋" w:eastAsia="仿宋" w:cs="仿宋"/>
          <w:color w:val="auto"/>
          <w:spacing w:val="-2"/>
          <w:sz w:val="28"/>
          <w:szCs w:val="28"/>
          <w:lang w:eastAsia="zh-CN"/>
        </w:rPr>
        <w:t>万元，实际支出数（决算数）</w:t>
      </w:r>
      <w:r>
        <w:rPr>
          <w:rFonts w:ascii="仿宋" w:hAnsi="仿宋" w:eastAsia="仿宋" w:cs="仿宋"/>
          <w:color w:val="auto"/>
          <w:spacing w:val="-2"/>
          <w:sz w:val="28"/>
          <w:szCs w:val="28"/>
          <w:lang w:eastAsia="zh-CN"/>
        </w:rPr>
        <w:t>237.63</w:t>
      </w:r>
      <w:r>
        <w:rPr>
          <w:rFonts w:hint="eastAsia" w:ascii="仿宋" w:hAnsi="仿宋" w:eastAsia="仿宋" w:cs="仿宋"/>
          <w:color w:val="auto"/>
          <w:spacing w:val="-2"/>
          <w:sz w:val="28"/>
          <w:szCs w:val="28"/>
          <w:lang w:eastAsia="zh-CN"/>
        </w:rPr>
        <w:t>万元</w:t>
      </w:r>
      <w:r>
        <w:rPr>
          <w:rFonts w:hint="eastAsia" w:ascii="仿宋" w:hAnsi="仿宋" w:eastAsia="仿宋" w:cs="仿宋"/>
          <w:color w:val="auto"/>
          <w:spacing w:val="-4"/>
          <w:sz w:val="28"/>
          <w:szCs w:val="28"/>
          <w:lang w:eastAsia="zh-CN"/>
        </w:rPr>
        <w:t>。基本支出的主要用途包括工资发放、津贴补贴、五险一金、办公费、差旅费、培训费、水电费、物业管理费、维修（护）费和其他对个人和家庭的补助等，其中</w:t>
      </w:r>
      <w:r>
        <w:rPr>
          <w:rFonts w:hint="eastAsia" w:ascii="仿宋" w:hAnsi="仿宋" w:eastAsia="仿宋" w:cs="仿宋"/>
          <w:color w:val="auto"/>
          <w:spacing w:val="3"/>
          <w:sz w:val="28"/>
          <w:szCs w:val="28"/>
          <w:lang w:eastAsia="zh-CN"/>
        </w:rPr>
        <w:t>工资福利支出</w:t>
      </w:r>
      <w:r>
        <w:rPr>
          <w:rFonts w:ascii="仿宋" w:hAnsi="仿宋" w:eastAsia="仿宋" w:cs="仿宋"/>
          <w:color w:val="auto"/>
          <w:spacing w:val="3"/>
          <w:sz w:val="28"/>
          <w:szCs w:val="28"/>
          <w:lang w:eastAsia="zh-CN"/>
        </w:rPr>
        <w:t>87.67%</w:t>
      </w:r>
      <w:r>
        <w:rPr>
          <w:rFonts w:hint="eastAsia" w:ascii="仿宋" w:hAnsi="仿宋" w:eastAsia="仿宋" w:cs="仿宋"/>
          <w:color w:val="auto"/>
          <w:spacing w:val="3"/>
          <w:sz w:val="28"/>
          <w:szCs w:val="28"/>
          <w:lang w:eastAsia="zh-CN"/>
        </w:rPr>
        <w:t>、商品和服务支出</w:t>
      </w:r>
      <w:r>
        <w:rPr>
          <w:rFonts w:ascii="仿宋" w:hAnsi="仿宋" w:eastAsia="仿宋" w:cs="仿宋"/>
          <w:color w:val="auto"/>
          <w:spacing w:val="3"/>
          <w:sz w:val="28"/>
          <w:szCs w:val="28"/>
          <w:lang w:eastAsia="zh-CN"/>
        </w:rPr>
        <w:t>9.35%</w:t>
      </w:r>
      <w:r>
        <w:rPr>
          <w:rFonts w:hint="eastAsia" w:ascii="仿宋" w:hAnsi="仿宋" w:eastAsia="仿宋" w:cs="仿宋"/>
          <w:color w:val="auto"/>
          <w:spacing w:val="3"/>
          <w:sz w:val="28"/>
          <w:szCs w:val="28"/>
          <w:lang w:eastAsia="zh-CN"/>
        </w:rPr>
        <w:t>、对个人和家庭的补助</w:t>
      </w:r>
      <w:r>
        <w:rPr>
          <w:rFonts w:ascii="仿宋" w:hAnsi="仿宋" w:eastAsia="仿宋" w:cs="仿宋"/>
          <w:color w:val="auto"/>
          <w:spacing w:val="3"/>
          <w:sz w:val="28"/>
          <w:szCs w:val="28"/>
          <w:lang w:eastAsia="zh-CN"/>
        </w:rPr>
        <w:t>2.98%</w:t>
      </w:r>
      <w:r>
        <w:rPr>
          <w:rFonts w:hint="eastAsia" w:ascii="仿宋" w:hAnsi="仿宋" w:eastAsia="仿宋" w:cs="仿宋"/>
          <w:color w:val="auto"/>
          <w:spacing w:val="-4"/>
          <w:sz w:val="28"/>
          <w:szCs w:val="28"/>
          <w:lang w:eastAsia="zh-CN"/>
        </w:rPr>
        <w:t>。具体基本支出情况如</w:t>
      </w:r>
      <w:bookmarkStart w:id="59" w:name="bookmark15"/>
      <w:bookmarkEnd w:id="59"/>
      <w:bookmarkStart w:id="60" w:name="_Toc14534"/>
      <w:r>
        <w:rPr>
          <w:rFonts w:hint="eastAsia" w:ascii="仿宋" w:hAnsi="仿宋" w:eastAsia="仿宋" w:cs="仿宋"/>
          <w:color w:val="auto"/>
          <w:spacing w:val="-4"/>
          <w:sz w:val="28"/>
          <w:szCs w:val="28"/>
          <w:lang w:eastAsia="zh-CN"/>
        </w:rPr>
        <w:t>表5所示。</w:t>
      </w:r>
    </w:p>
    <w:p w14:paraId="5E6DC9CF">
      <w:pPr>
        <w:widowControl w:val="0"/>
        <w:overflowPunct w:val="0"/>
        <w:snapToGrid/>
        <w:spacing w:line="408" w:lineRule="auto"/>
        <w:jc w:val="center"/>
        <w:rPr>
          <w:rFonts w:hint="eastAsia" w:ascii="仿宋" w:hAnsi="仿宋" w:eastAsia="仿宋" w:cs="仿宋"/>
          <w:sz w:val="28"/>
          <w:szCs w:val="24"/>
          <w:lang w:eastAsia="zh-CN"/>
        </w:rPr>
      </w:pPr>
      <w:r>
        <w:rPr>
          <w:rFonts w:hint="eastAsia" w:ascii="仿宋" w:hAnsi="仿宋" w:eastAsia="仿宋" w:cs="仿宋"/>
          <w:spacing w:val="-10"/>
          <w:sz w:val="28"/>
          <w:szCs w:val="24"/>
          <w:lang w:eastAsia="zh-CN"/>
          <w14:textOutline w14:w="5105" w14:cap="sq" w14:cmpd="sng" w14:algn="ctr">
            <w14:solidFill>
              <w14:srgbClr w14:val="000000"/>
            </w14:solidFill>
            <w14:prstDash w14:val="solid"/>
            <w14:bevel/>
          </w14:textOutline>
        </w:rPr>
        <w:t xml:space="preserve">表5    </w:t>
      </w:r>
      <w:r>
        <w:rPr>
          <w:rFonts w:hint="eastAsia" w:ascii="仿宋" w:hAnsi="仿宋" w:eastAsia="仿宋" w:cs="仿宋"/>
          <w:color w:val="333333"/>
          <w:spacing w:val="-2"/>
          <w:sz w:val="28"/>
          <w:szCs w:val="24"/>
          <w:lang w:eastAsia="zh-CN"/>
          <w14:textOutline w14:w="5105" w14:cap="sq" w14:cmpd="sng" w14:algn="ctr">
            <w14:solidFill>
              <w14:srgbClr w14:val="333333"/>
            </w14:solidFill>
            <w14:prstDash w14:val="solid"/>
            <w14:bevel/>
          </w14:textOutline>
        </w:rPr>
        <w:t>石狮市城市管理和综合执法局2024</w:t>
      </w:r>
      <w:r>
        <w:rPr>
          <w:rFonts w:ascii="仿宋" w:hAnsi="仿宋" w:eastAsia="仿宋" w:cs="仿宋"/>
          <w:color w:val="333333"/>
          <w:spacing w:val="-2"/>
          <w:sz w:val="28"/>
          <w:szCs w:val="24"/>
          <w:lang w:eastAsia="zh-CN"/>
          <w14:textOutline w14:w="5105" w14:cap="sq" w14:cmpd="sng" w14:algn="ctr">
            <w14:solidFill>
              <w14:srgbClr w14:val="333333"/>
            </w14:solidFill>
            <w14:prstDash w14:val="solid"/>
            <w14:bevel/>
          </w14:textOutline>
        </w:rPr>
        <w:t>年</w:t>
      </w:r>
      <w:r>
        <w:rPr>
          <w:rFonts w:ascii="仿宋" w:hAnsi="仿宋" w:eastAsia="仿宋" w:cs="仿宋"/>
          <w:spacing w:val="-10"/>
          <w:sz w:val="28"/>
          <w:szCs w:val="24"/>
          <w:lang w:eastAsia="zh-CN"/>
          <w14:textOutline w14:w="5105" w14:cap="sq" w14:cmpd="sng" w14:algn="ctr">
            <w14:solidFill>
              <w14:srgbClr w14:val="000000"/>
            </w14:solidFill>
            <w14:prstDash w14:val="solid"/>
            <w14:bevel/>
          </w14:textOutline>
        </w:rPr>
        <w:t>基本支出明细</w:t>
      </w:r>
      <w:bookmarkEnd w:id="60"/>
      <w:r>
        <w:rPr>
          <w:rFonts w:hint="eastAsia" w:ascii="仿宋" w:hAnsi="仿宋" w:eastAsia="仿宋" w:cs="仿宋"/>
          <w:spacing w:val="-10"/>
          <w:sz w:val="28"/>
          <w:szCs w:val="24"/>
          <w:lang w:eastAsia="zh-CN"/>
          <w14:textOutline w14:w="5105" w14:cap="sq" w14:cmpd="sng" w14:algn="ctr">
            <w14:solidFill>
              <w14:srgbClr w14:val="000000"/>
            </w14:solidFill>
            <w14:prstDash w14:val="solid"/>
            <w14:bevel/>
          </w14:textOutline>
        </w:rPr>
        <w:t>表</w:t>
      </w:r>
    </w:p>
    <w:p w14:paraId="34E3ECF5">
      <w:pPr>
        <w:widowControl w:val="0"/>
        <w:overflowPunct w:val="0"/>
        <w:ind w:firstLine="540"/>
        <w:jc w:val="right"/>
        <w:rPr>
          <w:rFonts w:hint="eastAsia" w:ascii="仿宋" w:hAnsi="仿宋" w:eastAsia="仿宋" w:cs="仿宋"/>
          <w:bCs/>
          <w:spacing w:val="-10"/>
          <w:sz w:val="24"/>
          <w14:textOutline w14:w="5105" w14:cap="sq" w14:cmpd="sng" w14:algn="ctr">
            <w14:solidFill>
              <w14:srgbClr w14:val="000000"/>
            </w14:solidFill>
            <w14:prstDash w14:val="solid"/>
            <w14:bevel/>
          </w14:textOutline>
        </w:rPr>
      </w:pPr>
      <w:r>
        <w:rPr>
          <w:rFonts w:ascii="仿宋" w:hAnsi="仿宋" w:eastAsia="仿宋" w:cs="仿宋"/>
          <w:bCs/>
          <w:spacing w:val="-10"/>
          <w:sz w:val="24"/>
          <w14:textOutline w14:w="5105" w14:cap="sq" w14:cmpd="sng" w14:algn="ctr">
            <w14:solidFill>
              <w14:srgbClr w14:val="000000"/>
            </w14:solidFill>
            <w14:prstDash w14:val="solid"/>
            <w14:bevel/>
          </w14:textOutline>
        </w:rPr>
        <w:t>单位：万元</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6"/>
        <w:gridCol w:w="2858"/>
        <w:gridCol w:w="2231"/>
      </w:tblGrid>
      <w:tr w14:paraId="0A259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340" w:type="pct"/>
            <w:shd w:val="clear" w:color="auto" w:fill="D8D8D8" w:themeFill="background1" w:themeFillShade="D9"/>
            <w:vAlign w:val="center"/>
          </w:tcPr>
          <w:p w14:paraId="270635EB">
            <w:pPr>
              <w:widowControl w:val="0"/>
              <w:overflowPunct w:val="0"/>
              <w:spacing w:line="408" w:lineRule="auto"/>
              <w:jc w:val="center"/>
              <w:textAlignment w:val="center"/>
              <w:rPr>
                <w:rFonts w:hint="eastAsia" w:ascii="仿宋" w:hAnsi="仿宋" w:eastAsia="仿宋" w:cs="宋体"/>
                <w:b/>
                <w:sz w:val="18"/>
                <w:szCs w:val="22"/>
                <w:lang w:eastAsia="zh-CN" w:bidi="ar"/>
              </w:rPr>
            </w:pPr>
            <w:r>
              <w:rPr>
                <w:rFonts w:hint="eastAsia" w:ascii="仿宋" w:hAnsi="仿宋" w:eastAsia="仿宋" w:cs="宋体"/>
                <w:b/>
                <w:sz w:val="18"/>
                <w:szCs w:val="22"/>
                <w:lang w:eastAsia="zh-CN" w:bidi="ar"/>
              </w:rPr>
              <w:t>支出项目</w:t>
            </w:r>
          </w:p>
        </w:tc>
        <w:tc>
          <w:tcPr>
            <w:tcW w:w="1494" w:type="pct"/>
            <w:shd w:val="clear" w:color="auto" w:fill="D8D8D8" w:themeFill="background1" w:themeFillShade="D9"/>
            <w:vAlign w:val="center"/>
          </w:tcPr>
          <w:p w14:paraId="344F33B7">
            <w:pPr>
              <w:widowControl w:val="0"/>
              <w:overflowPunct w:val="0"/>
              <w:spacing w:line="408" w:lineRule="auto"/>
              <w:jc w:val="center"/>
              <w:textAlignment w:val="center"/>
              <w:rPr>
                <w:rFonts w:hint="eastAsia" w:ascii="仿宋" w:hAnsi="仿宋" w:eastAsia="仿宋" w:cs="宋体"/>
                <w:b/>
                <w:sz w:val="18"/>
                <w:szCs w:val="22"/>
                <w:lang w:eastAsia="zh-CN" w:bidi="ar"/>
              </w:rPr>
            </w:pPr>
            <w:r>
              <w:rPr>
                <w:rFonts w:hint="eastAsia" w:ascii="仿宋" w:hAnsi="仿宋" w:eastAsia="仿宋" w:cs="宋体"/>
                <w:b/>
                <w:sz w:val="18"/>
                <w:szCs w:val="22"/>
                <w:lang w:eastAsia="zh-CN" w:bidi="ar"/>
              </w:rPr>
              <w:t>金额</w:t>
            </w:r>
          </w:p>
        </w:tc>
        <w:tc>
          <w:tcPr>
            <w:tcW w:w="1166" w:type="pct"/>
            <w:shd w:val="clear" w:color="auto" w:fill="D8D8D8" w:themeFill="background1" w:themeFillShade="D9"/>
            <w:noWrap/>
            <w:vAlign w:val="center"/>
          </w:tcPr>
          <w:p w14:paraId="5D7FC7EC">
            <w:pPr>
              <w:widowControl w:val="0"/>
              <w:overflowPunct w:val="0"/>
              <w:spacing w:line="408" w:lineRule="auto"/>
              <w:jc w:val="center"/>
              <w:textAlignment w:val="center"/>
              <w:rPr>
                <w:rFonts w:hint="eastAsia" w:ascii="仿宋" w:hAnsi="仿宋" w:eastAsia="仿宋" w:cs="宋体"/>
                <w:b/>
                <w:sz w:val="18"/>
                <w:szCs w:val="22"/>
                <w:lang w:eastAsia="zh-CN" w:bidi="ar"/>
              </w:rPr>
            </w:pPr>
            <w:r>
              <w:rPr>
                <w:rFonts w:hint="eastAsia" w:ascii="仿宋" w:hAnsi="仿宋" w:eastAsia="仿宋" w:cs="宋体"/>
                <w:b/>
                <w:sz w:val="18"/>
                <w:szCs w:val="22"/>
                <w:lang w:eastAsia="zh-CN" w:bidi="ar"/>
              </w:rPr>
              <w:t>占比</w:t>
            </w:r>
          </w:p>
        </w:tc>
      </w:tr>
      <w:tr w14:paraId="4A6E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vAlign w:val="center"/>
          </w:tcPr>
          <w:p w14:paraId="60228421">
            <w:pPr>
              <w:widowControl w:val="0"/>
              <w:overflowPunct w:val="0"/>
              <w:spacing w:line="408" w:lineRule="auto"/>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工资福利支出</w:t>
            </w:r>
          </w:p>
        </w:tc>
        <w:tc>
          <w:tcPr>
            <w:tcW w:w="1494" w:type="pct"/>
            <w:vAlign w:val="center"/>
          </w:tcPr>
          <w:p w14:paraId="2733BF9B">
            <w:pPr>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208.32</w:t>
            </w:r>
          </w:p>
        </w:tc>
        <w:tc>
          <w:tcPr>
            <w:tcW w:w="1166" w:type="pct"/>
            <w:noWrap/>
            <w:vAlign w:val="center"/>
          </w:tcPr>
          <w:p w14:paraId="074A5A14">
            <w:pPr>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87.67%</w:t>
            </w:r>
          </w:p>
        </w:tc>
      </w:tr>
      <w:tr w14:paraId="33A2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vAlign w:val="center"/>
          </w:tcPr>
          <w:p w14:paraId="09E4AA23">
            <w:pPr>
              <w:widowControl w:val="0"/>
              <w:overflowPunct w:val="0"/>
              <w:spacing w:line="408" w:lineRule="auto"/>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商品和服务支出</w:t>
            </w:r>
          </w:p>
        </w:tc>
        <w:tc>
          <w:tcPr>
            <w:tcW w:w="1494" w:type="pct"/>
            <w:vAlign w:val="center"/>
          </w:tcPr>
          <w:p w14:paraId="245FB0AC">
            <w:pPr>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22.22</w:t>
            </w:r>
          </w:p>
        </w:tc>
        <w:tc>
          <w:tcPr>
            <w:tcW w:w="1166" w:type="pct"/>
            <w:noWrap/>
            <w:vAlign w:val="center"/>
          </w:tcPr>
          <w:p w14:paraId="0609738E">
            <w:pPr>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9.35%</w:t>
            </w:r>
          </w:p>
        </w:tc>
      </w:tr>
      <w:tr w14:paraId="0C392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vAlign w:val="center"/>
          </w:tcPr>
          <w:p w14:paraId="06324F08">
            <w:pPr>
              <w:widowControl w:val="0"/>
              <w:overflowPunct w:val="0"/>
              <w:spacing w:line="408" w:lineRule="auto"/>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对个人和家庭的补助</w:t>
            </w:r>
          </w:p>
        </w:tc>
        <w:tc>
          <w:tcPr>
            <w:tcW w:w="1494" w:type="pct"/>
            <w:vAlign w:val="center"/>
          </w:tcPr>
          <w:p w14:paraId="530E975C">
            <w:pPr>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7.09</w:t>
            </w:r>
          </w:p>
        </w:tc>
        <w:tc>
          <w:tcPr>
            <w:tcW w:w="1166" w:type="pct"/>
            <w:noWrap/>
            <w:vAlign w:val="center"/>
          </w:tcPr>
          <w:p w14:paraId="71D179C3">
            <w:pPr>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2.98%</w:t>
            </w:r>
          </w:p>
        </w:tc>
      </w:tr>
      <w:tr w14:paraId="7831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vAlign w:val="center"/>
          </w:tcPr>
          <w:p w14:paraId="08045531">
            <w:pPr>
              <w:widowControl w:val="0"/>
              <w:overflowPunct w:val="0"/>
              <w:spacing w:line="408" w:lineRule="auto"/>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合计</w:t>
            </w:r>
          </w:p>
        </w:tc>
        <w:tc>
          <w:tcPr>
            <w:tcW w:w="1494" w:type="pct"/>
            <w:vAlign w:val="center"/>
          </w:tcPr>
          <w:p w14:paraId="2944FE7C">
            <w:pPr>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237.63</w:t>
            </w:r>
          </w:p>
        </w:tc>
        <w:tc>
          <w:tcPr>
            <w:tcW w:w="1166" w:type="pct"/>
            <w:noWrap/>
            <w:vAlign w:val="center"/>
          </w:tcPr>
          <w:p w14:paraId="56E3B20A">
            <w:pPr>
              <w:jc w:val="center"/>
              <w:textAlignment w:val="center"/>
              <w:rPr>
                <w:rFonts w:hint="eastAsia" w:ascii="仿宋" w:hAnsi="仿宋" w:eastAsia="仿宋" w:cs="宋体"/>
                <w:sz w:val="18"/>
                <w:szCs w:val="22"/>
                <w:lang w:eastAsia="zh-CN" w:bidi="ar"/>
              </w:rPr>
            </w:pPr>
            <w:r>
              <w:rPr>
                <w:rFonts w:hint="eastAsia" w:ascii="仿宋" w:hAnsi="仿宋" w:eastAsia="仿宋" w:cs="宋体"/>
                <w:sz w:val="18"/>
                <w:szCs w:val="22"/>
                <w:lang w:eastAsia="zh-CN" w:bidi="ar"/>
              </w:rPr>
              <w:t>100%</w:t>
            </w:r>
          </w:p>
        </w:tc>
      </w:tr>
    </w:tbl>
    <w:p w14:paraId="31127243">
      <w:pPr>
        <w:widowControl w:val="0"/>
        <w:overflowPunct w:val="0"/>
        <w:snapToGrid/>
        <w:spacing w:line="408" w:lineRule="auto"/>
        <w:ind w:firstLine="548" w:firstLineChars="200"/>
        <w:jc w:val="both"/>
        <w:outlineLvl w:val="2"/>
        <w:rPr>
          <w:rFonts w:hint="eastAsia" w:ascii="仿宋" w:hAnsi="仿宋" w:eastAsia="仿宋" w:cs="仿宋"/>
          <w:bCs/>
          <w:color w:val="auto"/>
          <w:spacing w:val="-3"/>
          <w:sz w:val="28"/>
          <w:szCs w:val="28"/>
          <w:lang w:eastAsia="zh-CN"/>
        </w:rPr>
      </w:pPr>
      <w:bookmarkStart w:id="61" w:name="_Toc181558002"/>
      <w:bookmarkStart w:id="62" w:name="_Toc915"/>
      <w:bookmarkStart w:id="63" w:name="_Toc208840320"/>
      <w:r>
        <w:rPr>
          <w:rFonts w:hint="eastAsia" w:ascii="仿宋" w:hAnsi="仿宋" w:eastAsia="仿宋" w:cs="仿宋"/>
          <w:bCs/>
          <w:color w:val="auto"/>
          <w:spacing w:val="-3"/>
          <w:sz w:val="28"/>
          <w:szCs w:val="28"/>
          <w:lang w:eastAsia="zh-CN"/>
        </w:rPr>
        <w:t>2.</w:t>
      </w:r>
      <w:r>
        <w:rPr>
          <w:rFonts w:ascii="仿宋" w:hAnsi="仿宋" w:eastAsia="仿宋" w:cs="仿宋"/>
          <w:bCs/>
          <w:color w:val="auto"/>
          <w:spacing w:val="-3"/>
          <w:sz w:val="28"/>
          <w:szCs w:val="28"/>
          <w:lang w:eastAsia="zh-CN"/>
        </w:rPr>
        <w:t>项目支出</w:t>
      </w:r>
      <w:bookmarkEnd w:id="61"/>
      <w:bookmarkEnd w:id="62"/>
      <w:bookmarkEnd w:id="63"/>
    </w:p>
    <w:p w14:paraId="2BB63468">
      <w:pPr>
        <w:widowControl w:val="0"/>
        <w:overflowPunct w:val="0"/>
        <w:snapToGrid/>
        <w:spacing w:line="408" w:lineRule="auto"/>
        <w:ind w:firstLine="552" w:firstLineChars="200"/>
        <w:jc w:val="both"/>
        <w:rPr>
          <w:rFonts w:hint="eastAsia" w:ascii="仿宋" w:hAnsi="仿宋" w:eastAsia="仿宋" w:cs="仿宋"/>
          <w:color w:val="auto"/>
          <w:spacing w:val="-2"/>
          <w:sz w:val="28"/>
          <w:szCs w:val="28"/>
          <w:lang w:eastAsia="zh-CN"/>
        </w:rPr>
      </w:pPr>
      <w:r>
        <w:rPr>
          <w:rFonts w:ascii="仿宋" w:hAnsi="仿宋" w:eastAsia="仿宋" w:cs="仿宋"/>
          <w:color w:val="auto"/>
          <w:spacing w:val="-2"/>
          <w:sz w:val="28"/>
          <w:szCs w:val="28"/>
          <w:lang w:eastAsia="zh-CN"/>
        </w:rPr>
        <w:t>202</w:t>
      </w:r>
      <w:r>
        <w:rPr>
          <w:rFonts w:hint="eastAsia" w:ascii="仿宋" w:hAnsi="仿宋" w:eastAsia="仿宋" w:cs="仿宋"/>
          <w:color w:val="auto"/>
          <w:spacing w:val="-2"/>
          <w:sz w:val="28"/>
          <w:szCs w:val="28"/>
          <w:lang w:eastAsia="zh-CN"/>
        </w:rPr>
        <w:t>4年项目支出全年预算数为</w:t>
      </w:r>
      <w:r>
        <w:rPr>
          <w:rFonts w:ascii="仿宋" w:hAnsi="仿宋" w:eastAsia="仿宋" w:cs="仿宋"/>
          <w:color w:val="auto"/>
          <w:spacing w:val="-2"/>
          <w:sz w:val="28"/>
          <w:szCs w:val="28"/>
          <w:lang w:eastAsia="zh-CN"/>
        </w:rPr>
        <w:t>48,367.23</w:t>
      </w:r>
      <w:r>
        <w:rPr>
          <w:rFonts w:hint="eastAsia" w:ascii="仿宋" w:hAnsi="仿宋" w:eastAsia="仿宋" w:cs="仿宋"/>
          <w:color w:val="auto"/>
          <w:spacing w:val="-2"/>
          <w:sz w:val="28"/>
          <w:szCs w:val="28"/>
          <w:lang w:eastAsia="zh-CN"/>
        </w:rPr>
        <w:t>万元，实际支出数（决算数）</w:t>
      </w:r>
      <w:r>
        <w:rPr>
          <w:rFonts w:ascii="仿宋" w:hAnsi="仿宋" w:eastAsia="仿宋" w:cs="仿宋"/>
          <w:color w:val="auto"/>
          <w:spacing w:val="-2"/>
          <w:sz w:val="28"/>
          <w:szCs w:val="28"/>
          <w:lang w:eastAsia="zh-CN"/>
        </w:rPr>
        <w:t>48,366.98</w:t>
      </w:r>
      <w:r>
        <w:rPr>
          <w:rFonts w:hint="eastAsia" w:ascii="仿宋" w:hAnsi="仿宋" w:eastAsia="仿宋" w:cs="仿宋"/>
          <w:color w:val="auto"/>
          <w:spacing w:val="-2"/>
          <w:sz w:val="28"/>
          <w:szCs w:val="28"/>
          <w:lang w:eastAsia="zh-CN"/>
        </w:rPr>
        <w:t>万元</w:t>
      </w:r>
      <w:r>
        <w:rPr>
          <w:rFonts w:ascii="仿宋" w:hAnsi="仿宋" w:eastAsia="仿宋" w:cs="仿宋"/>
          <w:color w:val="auto"/>
          <w:spacing w:val="-2"/>
          <w:sz w:val="28"/>
          <w:szCs w:val="28"/>
          <w:lang w:eastAsia="zh-CN"/>
        </w:rPr>
        <w:t>。</w:t>
      </w:r>
      <w:r>
        <w:rPr>
          <w:rFonts w:hint="eastAsia" w:ascii="仿宋" w:hAnsi="仿宋" w:eastAsia="仿宋" w:cs="仿宋"/>
          <w:color w:val="auto"/>
          <w:spacing w:val="-2"/>
          <w:sz w:val="28"/>
          <w:szCs w:val="28"/>
          <w:lang w:eastAsia="zh-CN"/>
        </w:rPr>
        <w:t>2024</w:t>
      </w:r>
      <w:r>
        <w:rPr>
          <w:rFonts w:ascii="仿宋" w:hAnsi="仿宋" w:eastAsia="仿宋" w:cs="仿宋"/>
          <w:color w:val="auto"/>
          <w:spacing w:val="-2"/>
          <w:sz w:val="28"/>
          <w:szCs w:val="28"/>
          <w:lang w:eastAsia="zh-CN"/>
        </w:rPr>
        <w:t>年</w:t>
      </w:r>
      <w:r>
        <w:rPr>
          <w:rFonts w:hint="eastAsia" w:ascii="仿宋" w:hAnsi="仿宋" w:eastAsia="仿宋" w:cs="仿宋"/>
          <w:color w:val="auto"/>
          <w:spacing w:val="-2"/>
          <w:sz w:val="28"/>
          <w:szCs w:val="28"/>
          <w:lang w:eastAsia="zh-CN"/>
        </w:rPr>
        <w:t>石狮市城市管理和综合执法局项目支出</w:t>
      </w:r>
      <w:r>
        <w:rPr>
          <w:rFonts w:ascii="仿宋" w:hAnsi="仿宋" w:eastAsia="仿宋" w:cs="仿宋"/>
          <w:color w:val="auto"/>
          <w:spacing w:val="-2"/>
          <w:sz w:val="28"/>
          <w:szCs w:val="28"/>
          <w:lang w:eastAsia="zh-CN"/>
        </w:rPr>
        <w:t>明细如表</w:t>
      </w:r>
      <w:r>
        <w:rPr>
          <w:rFonts w:hint="eastAsia" w:ascii="仿宋" w:hAnsi="仿宋" w:eastAsia="仿宋" w:cs="仿宋"/>
          <w:color w:val="auto"/>
          <w:spacing w:val="-2"/>
          <w:sz w:val="28"/>
          <w:szCs w:val="28"/>
          <w:lang w:eastAsia="zh-CN"/>
        </w:rPr>
        <w:t>6</w:t>
      </w:r>
      <w:r>
        <w:rPr>
          <w:rFonts w:ascii="仿宋" w:hAnsi="仿宋" w:eastAsia="仿宋" w:cs="仿宋"/>
          <w:color w:val="auto"/>
          <w:spacing w:val="-2"/>
          <w:sz w:val="28"/>
          <w:szCs w:val="28"/>
          <w:lang w:eastAsia="zh-CN"/>
        </w:rPr>
        <w:t>所示</w:t>
      </w:r>
      <w:r>
        <w:rPr>
          <w:rFonts w:hint="eastAsia" w:ascii="仿宋" w:hAnsi="仿宋" w:eastAsia="仿宋" w:cs="仿宋"/>
          <w:color w:val="auto"/>
          <w:spacing w:val="-2"/>
          <w:sz w:val="28"/>
          <w:szCs w:val="28"/>
          <w:lang w:eastAsia="zh-CN"/>
        </w:rPr>
        <w:t>。</w:t>
      </w:r>
    </w:p>
    <w:p w14:paraId="080538E0">
      <w:pPr>
        <w:widowControl w:val="0"/>
        <w:overflowPunct w:val="0"/>
        <w:spacing w:line="408" w:lineRule="auto"/>
        <w:jc w:val="center"/>
        <w:rPr>
          <w:rFonts w:hint="eastAsia" w:ascii="仿宋" w:hAnsi="仿宋" w:eastAsia="仿宋" w:cs="仿宋"/>
          <w:sz w:val="28"/>
          <w:szCs w:val="24"/>
          <w:lang w:eastAsia="zh-CN"/>
        </w:rPr>
      </w:pPr>
      <w:bookmarkStart w:id="64" w:name="_Toc22100"/>
      <w:r>
        <w:rPr>
          <w:rFonts w:hint="eastAsia" w:ascii="仿宋" w:hAnsi="仿宋" w:eastAsia="仿宋" w:cs="仿宋"/>
          <w:color w:val="333333"/>
          <w:spacing w:val="-2"/>
          <w:sz w:val="28"/>
          <w:szCs w:val="24"/>
          <w:lang w:eastAsia="zh-CN"/>
          <w14:textOutline w14:w="5105" w14:cap="sq" w14:cmpd="sng" w14:algn="ctr">
            <w14:solidFill>
              <w14:srgbClr w14:val="333333"/>
            </w14:solidFill>
            <w14:prstDash w14:val="solid"/>
            <w14:bevel/>
          </w14:textOutline>
        </w:rPr>
        <w:t>表6    石狮市城市管理和综合执法局2024</w:t>
      </w:r>
      <w:r>
        <w:rPr>
          <w:rFonts w:ascii="仿宋" w:hAnsi="仿宋" w:eastAsia="仿宋" w:cs="仿宋"/>
          <w:color w:val="333333"/>
          <w:spacing w:val="-2"/>
          <w:sz w:val="28"/>
          <w:szCs w:val="24"/>
          <w:lang w:eastAsia="zh-CN"/>
          <w14:textOutline w14:w="5105" w14:cap="sq" w14:cmpd="sng" w14:algn="ctr">
            <w14:solidFill>
              <w14:srgbClr w14:val="333333"/>
            </w14:solidFill>
            <w14:prstDash w14:val="solid"/>
            <w14:bevel/>
          </w14:textOutline>
        </w:rPr>
        <w:t>年项目支出明细表</w:t>
      </w:r>
      <w:bookmarkEnd w:id="64"/>
    </w:p>
    <w:p w14:paraId="4B639A9A">
      <w:pPr>
        <w:widowControl w:val="0"/>
        <w:overflowPunct w:val="0"/>
        <w:ind w:firstLine="556"/>
        <w:jc w:val="right"/>
        <w:rPr>
          <w:rFonts w:hint="eastAsia" w:ascii="仿宋" w:hAnsi="仿宋" w:eastAsia="仿宋" w:cs="仿宋"/>
          <w:color w:val="333333"/>
          <w:spacing w:val="-2"/>
          <w:sz w:val="24"/>
          <w:szCs w:val="28"/>
          <w14:textOutline w14:w="5105" w14:cap="sq" w14:cmpd="sng" w14:algn="ctr">
            <w14:solidFill>
              <w14:srgbClr w14:val="333333"/>
            </w14:solidFill>
            <w14:prstDash w14:val="solid"/>
            <w14:bevel/>
          </w14:textOutline>
        </w:rPr>
      </w:pPr>
      <w:r>
        <w:rPr>
          <w:rFonts w:ascii="仿宋" w:hAnsi="仿宋" w:eastAsia="仿宋" w:cs="仿宋"/>
          <w:bCs/>
          <w:color w:val="333333"/>
          <w:spacing w:val="-2"/>
          <w:sz w:val="24"/>
          <w:szCs w:val="28"/>
          <w14:textOutline w14:w="5105" w14:cap="sq" w14:cmpd="sng" w14:algn="ctr">
            <w14:solidFill>
              <w14:srgbClr w14:val="333333"/>
            </w14:solidFill>
            <w14:prstDash w14:val="solid"/>
            <w14:bevel/>
          </w14:textOutline>
        </w:rPr>
        <w:t>单位：万元</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6"/>
        <w:gridCol w:w="3156"/>
        <w:gridCol w:w="1933"/>
      </w:tblGrid>
      <w:tr w14:paraId="7229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340" w:type="pct"/>
            <w:shd w:val="clear" w:color="auto" w:fill="D8D8D8" w:themeFill="background1" w:themeFillShade="D9"/>
            <w:vAlign w:val="center"/>
          </w:tcPr>
          <w:p w14:paraId="472EECBF">
            <w:pPr>
              <w:widowControl w:val="0"/>
              <w:overflowPunct w:val="0"/>
              <w:spacing w:line="408" w:lineRule="auto"/>
              <w:jc w:val="center"/>
              <w:textAlignment w:val="center"/>
              <w:rPr>
                <w:rFonts w:hint="eastAsia" w:ascii="仿宋" w:hAnsi="仿宋" w:eastAsia="仿宋" w:cs="宋体"/>
                <w:b/>
                <w:sz w:val="18"/>
                <w:szCs w:val="22"/>
                <w:lang w:eastAsia="zh-CN" w:bidi="ar"/>
              </w:rPr>
            </w:pPr>
            <w:r>
              <w:rPr>
                <w:rFonts w:hint="eastAsia" w:ascii="仿宋" w:hAnsi="仿宋" w:eastAsia="仿宋" w:cs="宋体"/>
                <w:b/>
                <w:sz w:val="18"/>
                <w:szCs w:val="22"/>
                <w:lang w:eastAsia="zh-CN" w:bidi="ar"/>
              </w:rPr>
              <w:t>支出项目</w:t>
            </w:r>
          </w:p>
        </w:tc>
        <w:tc>
          <w:tcPr>
            <w:tcW w:w="1650" w:type="pct"/>
            <w:shd w:val="clear" w:color="auto" w:fill="D8D8D8" w:themeFill="background1" w:themeFillShade="D9"/>
            <w:vAlign w:val="center"/>
          </w:tcPr>
          <w:p w14:paraId="6E3D3D51">
            <w:pPr>
              <w:widowControl w:val="0"/>
              <w:overflowPunct w:val="0"/>
              <w:spacing w:line="408" w:lineRule="auto"/>
              <w:jc w:val="center"/>
              <w:textAlignment w:val="center"/>
              <w:rPr>
                <w:rFonts w:hint="eastAsia" w:ascii="仿宋" w:hAnsi="仿宋" w:eastAsia="仿宋" w:cs="宋体"/>
                <w:b/>
                <w:sz w:val="18"/>
                <w:szCs w:val="22"/>
                <w:lang w:eastAsia="zh-CN" w:bidi="ar"/>
              </w:rPr>
            </w:pPr>
            <w:r>
              <w:rPr>
                <w:rFonts w:hint="eastAsia" w:ascii="仿宋" w:hAnsi="仿宋" w:eastAsia="仿宋" w:cs="宋体"/>
                <w:b/>
                <w:sz w:val="18"/>
                <w:szCs w:val="22"/>
                <w:lang w:eastAsia="zh-CN" w:bidi="ar"/>
              </w:rPr>
              <w:t>金额</w:t>
            </w:r>
          </w:p>
        </w:tc>
        <w:tc>
          <w:tcPr>
            <w:tcW w:w="1010" w:type="pct"/>
            <w:shd w:val="clear" w:color="auto" w:fill="D8D8D8" w:themeFill="background1" w:themeFillShade="D9"/>
            <w:noWrap/>
            <w:vAlign w:val="center"/>
          </w:tcPr>
          <w:p w14:paraId="3E6635C7">
            <w:pPr>
              <w:widowControl w:val="0"/>
              <w:overflowPunct w:val="0"/>
              <w:spacing w:line="408" w:lineRule="auto"/>
              <w:jc w:val="center"/>
              <w:textAlignment w:val="center"/>
              <w:rPr>
                <w:rFonts w:hint="eastAsia" w:ascii="仿宋" w:hAnsi="仿宋" w:eastAsia="仿宋" w:cs="宋体"/>
                <w:b/>
                <w:sz w:val="18"/>
                <w:szCs w:val="22"/>
                <w:lang w:eastAsia="zh-CN" w:bidi="ar"/>
              </w:rPr>
            </w:pPr>
            <w:r>
              <w:rPr>
                <w:rFonts w:hint="eastAsia" w:ascii="仿宋" w:hAnsi="仿宋" w:eastAsia="仿宋" w:cs="宋体"/>
                <w:b/>
                <w:sz w:val="18"/>
                <w:szCs w:val="22"/>
                <w:lang w:eastAsia="zh-CN" w:bidi="ar"/>
              </w:rPr>
              <w:t>占比</w:t>
            </w:r>
          </w:p>
        </w:tc>
      </w:tr>
      <w:tr w14:paraId="60BDE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vAlign w:val="center"/>
          </w:tcPr>
          <w:p w14:paraId="49FA2B5F">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商品和服务支出</w:t>
            </w:r>
          </w:p>
        </w:tc>
        <w:tc>
          <w:tcPr>
            <w:tcW w:w="1650" w:type="pct"/>
            <w:vAlign w:val="center"/>
          </w:tcPr>
          <w:p w14:paraId="1D5EC8D6">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25,263.57</w:t>
            </w:r>
          </w:p>
        </w:tc>
        <w:tc>
          <w:tcPr>
            <w:tcW w:w="1010" w:type="pct"/>
            <w:noWrap/>
            <w:vAlign w:val="center"/>
          </w:tcPr>
          <w:p w14:paraId="584B6DBE">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52.23%</w:t>
            </w:r>
          </w:p>
        </w:tc>
      </w:tr>
      <w:tr w14:paraId="6E43E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vAlign w:val="center"/>
          </w:tcPr>
          <w:p w14:paraId="71648B13">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资本性支出</w:t>
            </w:r>
          </w:p>
        </w:tc>
        <w:tc>
          <w:tcPr>
            <w:tcW w:w="1650" w:type="pct"/>
            <w:vAlign w:val="center"/>
          </w:tcPr>
          <w:p w14:paraId="39384F1D">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84.87</w:t>
            </w:r>
          </w:p>
        </w:tc>
        <w:tc>
          <w:tcPr>
            <w:tcW w:w="1010" w:type="pct"/>
            <w:noWrap/>
            <w:vAlign w:val="center"/>
          </w:tcPr>
          <w:p w14:paraId="403FE513">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0.18%</w:t>
            </w:r>
          </w:p>
        </w:tc>
      </w:tr>
      <w:tr w14:paraId="58E3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noWrap/>
            <w:vAlign w:val="center"/>
          </w:tcPr>
          <w:p w14:paraId="3DDDDDB0">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对企业补助</w:t>
            </w:r>
          </w:p>
        </w:tc>
        <w:tc>
          <w:tcPr>
            <w:tcW w:w="1650" w:type="pct"/>
            <w:noWrap/>
            <w:vAlign w:val="center"/>
          </w:tcPr>
          <w:p w14:paraId="038E75BE">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23,000.00</w:t>
            </w:r>
          </w:p>
        </w:tc>
        <w:tc>
          <w:tcPr>
            <w:tcW w:w="1010" w:type="pct"/>
            <w:noWrap/>
            <w:vAlign w:val="center"/>
          </w:tcPr>
          <w:p w14:paraId="0B47B479">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47.55%</w:t>
            </w:r>
          </w:p>
        </w:tc>
      </w:tr>
      <w:tr w14:paraId="2C47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noWrap/>
            <w:vAlign w:val="center"/>
          </w:tcPr>
          <w:p w14:paraId="1E47BE35">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对个人和家庭的补助</w:t>
            </w:r>
          </w:p>
        </w:tc>
        <w:tc>
          <w:tcPr>
            <w:tcW w:w="1650" w:type="pct"/>
            <w:noWrap/>
            <w:vAlign w:val="center"/>
          </w:tcPr>
          <w:p w14:paraId="4158C1F5">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18.54</w:t>
            </w:r>
          </w:p>
        </w:tc>
        <w:tc>
          <w:tcPr>
            <w:tcW w:w="1010" w:type="pct"/>
            <w:noWrap/>
            <w:vAlign w:val="center"/>
          </w:tcPr>
          <w:p w14:paraId="0515B185">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0.04%</w:t>
            </w:r>
          </w:p>
        </w:tc>
      </w:tr>
      <w:tr w14:paraId="5A7B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340" w:type="pct"/>
            <w:noWrap/>
            <w:vAlign w:val="center"/>
          </w:tcPr>
          <w:p w14:paraId="5CD4C81C">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合计</w:t>
            </w:r>
          </w:p>
        </w:tc>
        <w:tc>
          <w:tcPr>
            <w:tcW w:w="1650" w:type="pct"/>
            <w:noWrap/>
            <w:vAlign w:val="center"/>
          </w:tcPr>
          <w:p w14:paraId="6A0DBAC1">
            <w:pPr>
              <w:jc w:val="center"/>
              <w:textAlignment w:val="center"/>
              <w:rPr>
                <w:rFonts w:hint="eastAsia" w:ascii="仿宋" w:hAnsi="仿宋" w:eastAsia="仿宋" w:cs="宋体"/>
                <w:color w:val="auto"/>
                <w:sz w:val="18"/>
                <w:szCs w:val="22"/>
                <w:lang w:eastAsia="zh-CN" w:bidi="ar"/>
              </w:rPr>
            </w:pPr>
            <w:r>
              <w:rPr>
                <w:rFonts w:ascii="仿宋" w:hAnsi="仿宋" w:eastAsia="仿宋" w:cs="宋体"/>
                <w:color w:val="auto"/>
                <w:sz w:val="18"/>
                <w:szCs w:val="22"/>
                <w:lang w:eastAsia="zh-CN" w:bidi="ar"/>
              </w:rPr>
              <w:t>48,366.98</w:t>
            </w:r>
          </w:p>
        </w:tc>
        <w:tc>
          <w:tcPr>
            <w:tcW w:w="1010" w:type="pct"/>
            <w:noWrap/>
            <w:vAlign w:val="center"/>
          </w:tcPr>
          <w:p w14:paraId="2BC25D20">
            <w:pPr>
              <w:jc w:val="center"/>
              <w:textAlignment w:val="center"/>
              <w:rPr>
                <w:rFonts w:hint="eastAsia" w:ascii="仿宋" w:hAnsi="仿宋" w:eastAsia="仿宋" w:cs="宋体"/>
                <w:color w:val="auto"/>
                <w:sz w:val="18"/>
                <w:szCs w:val="22"/>
                <w:lang w:eastAsia="zh-CN" w:bidi="ar"/>
              </w:rPr>
            </w:pPr>
            <w:r>
              <w:rPr>
                <w:rFonts w:hint="eastAsia" w:ascii="仿宋" w:hAnsi="仿宋" w:eastAsia="仿宋" w:cs="宋体"/>
                <w:color w:val="auto"/>
                <w:sz w:val="18"/>
                <w:szCs w:val="22"/>
                <w:lang w:eastAsia="zh-CN" w:bidi="ar"/>
              </w:rPr>
              <w:t>100.00%</w:t>
            </w:r>
          </w:p>
        </w:tc>
      </w:tr>
    </w:tbl>
    <w:p w14:paraId="486149E8">
      <w:pPr>
        <w:widowControl w:val="0"/>
        <w:overflowPunct w:val="0"/>
        <w:snapToGrid/>
        <w:spacing w:line="408" w:lineRule="auto"/>
        <w:ind w:firstLine="544" w:firstLineChars="200"/>
        <w:jc w:val="both"/>
        <w:outlineLvl w:val="2"/>
        <w:rPr>
          <w:rFonts w:hint="eastAsia" w:ascii="仿宋" w:hAnsi="仿宋" w:eastAsia="仿宋" w:cs="仿宋"/>
          <w:color w:val="auto"/>
          <w:sz w:val="28"/>
          <w:szCs w:val="28"/>
          <w:lang w:eastAsia="zh-CN"/>
        </w:rPr>
      </w:pPr>
      <w:bookmarkStart w:id="65" w:name="_Toc181558003"/>
      <w:bookmarkStart w:id="66" w:name="_Toc19018"/>
      <w:bookmarkStart w:id="67" w:name="_Toc208840321"/>
      <w:bookmarkStart w:id="68" w:name="_Toc10931"/>
      <w:r>
        <w:rPr>
          <w:rFonts w:hint="eastAsia" w:ascii="仿宋" w:hAnsi="仿宋" w:eastAsia="仿宋" w:cs="仿宋"/>
          <w:color w:val="auto"/>
          <w:spacing w:val="-4"/>
          <w:sz w:val="28"/>
          <w:szCs w:val="28"/>
          <w:lang w:eastAsia="zh-CN"/>
        </w:rPr>
        <w:t>3.“三公”经费的使用和管理情况</w:t>
      </w:r>
      <w:bookmarkEnd w:id="65"/>
      <w:bookmarkEnd w:id="66"/>
      <w:bookmarkEnd w:id="67"/>
    </w:p>
    <w:p w14:paraId="575D315B">
      <w:pPr>
        <w:widowControl w:val="0"/>
        <w:overflowPunct w:val="0"/>
        <w:snapToGrid/>
        <w:spacing w:line="408" w:lineRule="auto"/>
        <w:ind w:firstLine="528"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pacing w:val="-8"/>
          <w:sz w:val="28"/>
          <w:szCs w:val="28"/>
          <w:lang w:eastAsia="zh-CN"/>
        </w:rPr>
        <w:t>2024年度石狮市城市管理和综合执法局一般公共预算财政拨款“三公”经费、“公用经费”、“政府采购支出”情况</w:t>
      </w:r>
      <w:r>
        <w:rPr>
          <w:rFonts w:hint="eastAsia" w:ascii="仿宋" w:hAnsi="仿宋" w:eastAsia="仿宋" w:cs="仿宋"/>
          <w:color w:val="auto"/>
          <w:spacing w:val="-4"/>
          <w:sz w:val="28"/>
          <w:szCs w:val="28"/>
          <w:lang w:eastAsia="zh-CN"/>
        </w:rPr>
        <w:t>如下表7所示。</w:t>
      </w:r>
    </w:p>
    <w:p w14:paraId="2D3B555D">
      <w:pPr>
        <w:widowControl w:val="0"/>
        <w:overflowPunct w:val="0"/>
        <w:spacing w:line="408" w:lineRule="auto"/>
        <w:jc w:val="center"/>
        <w:rPr>
          <w:rFonts w:hint="eastAsia" w:ascii="仿宋" w:hAnsi="仿宋" w:eastAsia="仿宋" w:cs="仿宋"/>
          <w:color w:val="333333"/>
          <w:spacing w:val="-2"/>
          <w:sz w:val="28"/>
          <w:szCs w:val="24"/>
          <w:lang w:eastAsia="zh-CN"/>
          <w14:textOutline w14:w="5105" w14:cap="sq" w14:cmpd="sng" w14:algn="ctr">
            <w14:solidFill>
              <w14:srgbClr w14:val="333333"/>
            </w14:solidFill>
            <w14:prstDash w14:val="solid"/>
            <w14:bevel/>
          </w14:textOutline>
        </w:rPr>
      </w:pPr>
      <w:r>
        <w:rPr>
          <w:rFonts w:hint="eastAsia" w:ascii="仿宋" w:hAnsi="仿宋" w:eastAsia="仿宋" w:cs="仿宋"/>
          <w:color w:val="333333"/>
          <w:spacing w:val="-2"/>
          <w:sz w:val="28"/>
          <w:szCs w:val="24"/>
          <w:lang w:eastAsia="zh-CN"/>
          <w14:textOutline w14:w="5105" w14:cap="sq" w14:cmpd="sng" w14:algn="ctr">
            <w14:solidFill>
              <w14:srgbClr w14:val="333333"/>
            </w14:solidFill>
            <w14:prstDash w14:val="solid"/>
            <w14:bevel/>
          </w14:textOutline>
        </w:rPr>
        <w:t>表7  2024年</w:t>
      </w:r>
      <w:r>
        <w:rPr>
          <w:rFonts w:hint="eastAsia" w:ascii="仿宋" w:hAnsi="仿宋" w:eastAsia="仿宋" w:cs="仿宋"/>
          <w:spacing w:val="-3"/>
          <w:sz w:val="28"/>
          <w:szCs w:val="24"/>
          <w:lang w:eastAsia="zh-CN"/>
          <w14:textOutline w14:w="5105" w14:cap="sq" w14:cmpd="sng" w14:algn="ctr">
            <w14:solidFill>
              <w14:srgbClr w14:val="000000"/>
            </w14:solidFill>
            <w14:prstDash w14:val="solid"/>
            <w14:bevel/>
          </w14:textOutline>
        </w:rPr>
        <w:t>石狮市城市管理和综合执法局“三公”经费</w:t>
      </w:r>
      <w:r>
        <w:rPr>
          <w:rFonts w:hint="eastAsia" w:ascii="仿宋" w:hAnsi="仿宋" w:eastAsia="仿宋" w:cs="仿宋"/>
          <w:color w:val="333333"/>
          <w:spacing w:val="-2"/>
          <w:sz w:val="28"/>
          <w:szCs w:val="24"/>
          <w:lang w:eastAsia="zh-CN"/>
          <w14:textOutline w14:w="5105" w14:cap="sq" w14:cmpd="sng" w14:algn="ctr">
            <w14:solidFill>
              <w14:srgbClr w14:val="333333"/>
            </w14:solidFill>
            <w14:prstDash w14:val="solid"/>
            <w14:bevel/>
          </w14:textOutline>
        </w:rPr>
        <w:t>、公用经费、政府采购支出表</w:t>
      </w:r>
      <w:bookmarkEnd w:id="68"/>
    </w:p>
    <w:p w14:paraId="58469A70">
      <w:pPr>
        <w:widowControl w:val="0"/>
        <w:overflowPunct w:val="0"/>
        <w:ind w:firstLine="556"/>
        <w:jc w:val="right"/>
        <w:rPr>
          <w:rFonts w:hint="eastAsia" w:ascii="仿宋" w:hAnsi="仿宋" w:eastAsia="仿宋"/>
          <w:bCs/>
          <w:color w:val="auto"/>
          <w:sz w:val="24"/>
        </w:rPr>
      </w:pPr>
      <w:r>
        <w:rPr>
          <w:rFonts w:hint="eastAsia" w:ascii="仿宋" w:hAnsi="仿宋" w:eastAsia="仿宋" w:cs="仿宋"/>
          <w:bCs/>
          <w:color w:val="333333"/>
          <w:spacing w:val="-2"/>
          <w:sz w:val="24"/>
          <w:lang w:eastAsia="zh-CN"/>
          <w14:textOutline w14:w="5105" w14:cap="sq" w14:cmpd="sng" w14:algn="ctr">
            <w14:solidFill>
              <w14:srgbClr w14:val="333333"/>
            </w14:solidFill>
            <w14:prstDash w14:val="solid"/>
            <w14:bevel/>
          </w14:textOutline>
        </w:rPr>
        <w:t>单位：万元</w:t>
      </w:r>
    </w:p>
    <w:tbl>
      <w:tblPr>
        <w:tblStyle w:val="91"/>
        <w:tblW w:w="48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21"/>
        <w:gridCol w:w="3056"/>
        <w:gridCol w:w="2870"/>
      </w:tblGrid>
      <w:tr w14:paraId="2CF6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830" w:type="pct"/>
            <w:shd w:val="clear" w:color="auto" w:fill="D8D8D8" w:themeFill="background1" w:themeFillShade="D9"/>
            <w:vAlign w:val="center"/>
          </w:tcPr>
          <w:p w14:paraId="279FA9BC">
            <w:pPr>
              <w:widowControl w:val="0"/>
              <w:overflowPunct w:val="0"/>
              <w:spacing w:line="408" w:lineRule="auto"/>
              <w:jc w:val="center"/>
              <w:textAlignment w:val="center"/>
              <w:rPr>
                <w:rFonts w:hint="eastAsia" w:ascii="仿宋" w:hAnsi="仿宋" w:eastAsia="仿宋" w:cs="仿宋"/>
                <w:b/>
                <w:bCs/>
                <w:sz w:val="18"/>
                <w:szCs w:val="22"/>
                <w:lang w:eastAsia="zh-CN" w:bidi="ar"/>
              </w:rPr>
            </w:pPr>
            <w:r>
              <w:rPr>
                <w:rFonts w:hint="eastAsia" w:ascii="仿宋" w:hAnsi="仿宋" w:eastAsia="仿宋" w:cs="仿宋"/>
                <w:b/>
                <w:bCs/>
                <w:sz w:val="18"/>
                <w:szCs w:val="22"/>
                <w:lang w:eastAsia="zh-CN" w:bidi="ar"/>
              </w:rPr>
              <w:t>项目</w:t>
            </w:r>
          </w:p>
        </w:tc>
        <w:tc>
          <w:tcPr>
            <w:tcW w:w="1635" w:type="pct"/>
            <w:shd w:val="clear" w:color="auto" w:fill="D8D8D8" w:themeFill="background1" w:themeFillShade="D9"/>
            <w:vAlign w:val="center"/>
          </w:tcPr>
          <w:p w14:paraId="333F4C1E">
            <w:pPr>
              <w:widowControl w:val="0"/>
              <w:overflowPunct w:val="0"/>
              <w:spacing w:line="408" w:lineRule="auto"/>
              <w:jc w:val="center"/>
              <w:textAlignment w:val="center"/>
              <w:rPr>
                <w:rFonts w:hint="eastAsia" w:ascii="仿宋" w:hAnsi="仿宋" w:eastAsia="仿宋" w:cs="仿宋"/>
                <w:b/>
                <w:bCs/>
                <w:sz w:val="18"/>
                <w:szCs w:val="22"/>
                <w:lang w:eastAsia="zh-CN" w:bidi="ar"/>
              </w:rPr>
            </w:pPr>
            <w:r>
              <w:rPr>
                <w:rFonts w:hint="eastAsia" w:ascii="仿宋" w:hAnsi="仿宋" w:eastAsia="仿宋" w:cs="仿宋"/>
                <w:b/>
                <w:bCs/>
                <w:sz w:val="18"/>
                <w:szCs w:val="22"/>
                <w:lang w:eastAsia="zh-CN" w:bidi="ar"/>
              </w:rPr>
              <w:t>2024年预算数</w:t>
            </w:r>
          </w:p>
        </w:tc>
        <w:tc>
          <w:tcPr>
            <w:tcW w:w="1535" w:type="pct"/>
            <w:shd w:val="clear" w:color="auto" w:fill="D8D8D8" w:themeFill="background1" w:themeFillShade="D9"/>
            <w:vAlign w:val="center"/>
          </w:tcPr>
          <w:p w14:paraId="1E57E4EE">
            <w:pPr>
              <w:widowControl w:val="0"/>
              <w:overflowPunct w:val="0"/>
              <w:spacing w:line="408" w:lineRule="auto"/>
              <w:jc w:val="center"/>
              <w:textAlignment w:val="center"/>
              <w:rPr>
                <w:rFonts w:hint="eastAsia" w:ascii="仿宋" w:hAnsi="仿宋" w:eastAsia="仿宋" w:cs="仿宋"/>
                <w:b/>
                <w:bCs/>
                <w:sz w:val="18"/>
                <w:szCs w:val="22"/>
                <w:lang w:eastAsia="zh-CN" w:bidi="ar"/>
              </w:rPr>
            </w:pPr>
            <w:r>
              <w:rPr>
                <w:rFonts w:hint="eastAsia" w:ascii="仿宋" w:hAnsi="仿宋" w:eastAsia="仿宋" w:cs="仿宋"/>
                <w:b/>
                <w:bCs/>
                <w:sz w:val="18"/>
                <w:szCs w:val="22"/>
                <w:lang w:eastAsia="zh-CN" w:bidi="ar"/>
              </w:rPr>
              <w:t>2024年实际支出数</w:t>
            </w:r>
          </w:p>
        </w:tc>
      </w:tr>
      <w:tr w14:paraId="35B4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830" w:type="pct"/>
            <w:vAlign w:val="center"/>
          </w:tcPr>
          <w:p w14:paraId="7E8CF756">
            <w:pPr>
              <w:widowControl w:val="0"/>
              <w:overflowPunct w:val="0"/>
              <w:spacing w:line="408" w:lineRule="auto"/>
              <w:jc w:val="center"/>
              <w:textAlignment w:val="center"/>
              <w:rPr>
                <w:rFonts w:hint="eastAsia" w:ascii="仿宋" w:hAnsi="仿宋" w:eastAsia="仿宋" w:cs="仿宋"/>
                <w:sz w:val="18"/>
                <w:szCs w:val="22"/>
                <w:lang w:eastAsia="zh-CN" w:bidi="ar"/>
              </w:rPr>
            </w:pPr>
            <w:r>
              <w:rPr>
                <w:rFonts w:hint="eastAsia" w:ascii="仿宋" w:hAnsi="仿宋" w:eastAsia="仿宋" w:cs="仿宋"/>
                <w:sz w:val="18"/>
                <w:szCs w:val="22"/>
                <w:lang w:eastAsia="zh-CN" w:bidi="ar"/>
              </w:rPr>
              <w:t>“三公”经费支出</w:t>
            </w:r>
          </w:p>
        </w:tc>
        <w:tc>
          <w:tcPr>
            <w:tcW w:w="1635" w:type="pct"/>
            <w:vAlign w:val="center"/>
          </w:tcPr>
          <w:p w14:paraId="00F99083">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1.00</w:t>
            </w:r>
          </w:p>
        </w:tc>
        <w:tc>
          <w:tcPr>
            <w:tcW w:w="1535" w:type="pct"/>
            <w:vAlign w:val="center"/>
          </w:tcPr>
          <w:p w14:paraId="0129A538">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0.00</w:t>
            </w:r>
          </w:p>
        </w:tc>
      </w:tr>
      <w:tr w14:paraId="4C71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830" w:type="pct"/>
            <w:vAlign w:val="center"/>
          </w:tcPr>
          <w:p w14:paraId="57A09380">
            <w:pPr>
              <w:widowControl w:val="0"/>
              <w:overflowPunct w:val="0"/>
              <w:spacing w:line="408" w:lineRule="auto"/>
              <w:jc w:val="center"/>
              <w:textAlignment w:val="center"/>
              <w:rPr>
                <w:rFonts w:hint="eastAsia" w:ascii="仿宋" w:hAnsi="仿宋" w:eastAsia="仿宋" w:cs="仿宋"/>
                <w:sz w:val="18"/>
                <w:szCs w:val="22"/>
                <w:lang w:eastAsia="zh-CN" w:bidi="ar"/>
              </w:rPr>
            </w:pPr>
            <w:r>
              <w:rPr>
                <w:rFonts w:hint="eastAsia" w:ascii="仿宋" w:hAnsi="仿宋" w:eastAsia="仿宋" w:cs="仿宋"/>
                <w:sz w:val="18"/>
                <w:szCs w:val="22"/>
                <w:lang w:eastAsia="zh-CN" w:bidi="ar"/>
              </w:rPr>
              <w:t>公用经费支出</w:t>
            </w:r>
          </w:p>
        </w:tc>
        <w:tc>
          <w:tcPr>
            <w:tcW w:w="1635" w:type="pct"/>
            <w:vAlign w:val="center"/>
          </w:tcPr>
          <w:p w14:paraId="46478285">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14.58</w:t>
            </w:r>
          </w:p>
        </w:tc>
        <w:tc>
          <w:tcPr>
            <w:tcW w:w="1535" w:type="pct"/>
            <w:vAlign w:val="center"/>
          </w:tcPr>
          <w:p w14:paraId="40670D2C">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13.54</w:t>
            </w:r>
          </w:p>
        </w:tc>
      </w:tr>
      <w:tr w14:paraId="5436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830" w:type="pct"/>
            <w:vAlign w:val="center"/>
          </w:tcPr>
          <w:p w14:paraId="29939436">
            <w:pPr>
              <w:widowControl w:val="0"/>
              <w:overflowPunct w:val="0"/>
              <w:spacing w:line="408" w:lineRule="auto"/>
              <w:jc w:val="center"/>
              <w:textAlignment w:val="center"/>
              <w:rPr>
                <w:rFonts w:hint="eastAsia" w:ascii="仿宋" w:hAnsi="仿宋" w:eastAsia="仿宋" w:cs="仿宋"/>
                <w:sz w:val="18"/>
                <w:szCs w:val="22"/>
                <w:lang w:eastAsia="zh-CN" w:bidi="ar"/>
              </w:rPr>
            </w:pPr>
            <w:r>
              <w:rPr>
                <w:rFonts w:hint="eastAsia" w:ascii="仿宋" w:hAnsi="仿宋" w:eastAsia="仿宋" w:cs="仿宋"/>
                <w:sz w:val="18"/>
                <w:szCs w:val="22"/>
                <w:lang w:eastAsia="zh-CN" w:bidi="ar"/>
              </w:rPr>
              <w:t>政府采购支出</w:t>
            </w:r>
          </w:p>
        </w:tc>
        <w:tc>
          <w:tcPr>
            <w:tcW w:w="1635" w:type="pct"/>
            <w:vAlign w:val="center"/>
          </w:tcPr>
          <w:p w14:paraId="1DA99431">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7,832.20</w:t>
            </w:r>
          </w:p>
        </w:tc>
        <w:tc>
          <w:tcPr>
            <w:tcW w:w="1535" w:type="pct"/>
            <w:vAlign w:val="center"/>
          </w:tcPr>
          <w:p w14:paraId="0DA6D49A">
            <w:pPr>
              <w:widowControl w:val="0"/>
              <w:overflowPunct w:val="0"/>
              <w:spacing w:line="408" w:lineRule="auto"/>
              <w:jc w:val="center"/>
              <w:textAlignment w:val="center"/>
              <w:rPr>
                <w:rFonts w:hint="eastAsia" w:ascii="仿宋" w:hAnsi="仿宋" w:eastAsia="仿宋" w:cs="仿宋"/>
                <w:color w:val="auto"/>
                <w:sz w:val="18"/>
                <w:szCs w:val="22"/>
                <w:lang w:eastAsia="zh-CN" w:bidi="ar"/>
              </w:rPr>
            </w:pPr>
            <w:r>
              <w:rPr>
                <w:rFonts w:hint="eastAsia" w:ascii="仿宋" w:hAnsi="仿宋" w:eastAsia="仿宋" w:cs="仿宋"/>
                <w:color w:val="auto"/>
                <w:sz w:val="18"/>
                <w:szCs w:val="22"/>
                <w:lang w:eastAsia="zh-CN" w:bidi="ar"/>
              </w:rPr>
              <w:t>7,832.20</w:t>
            </w:r>
          </w:p>
        </w:tc>
      </w:tr>
    </w:tbl>
    <w:p w14:paraId="535514DB">
      <w:pPr>
        <w:widowControl w:val="0"/>
        <w:overflowPunct w:val="0"/>
        <w:snapToGrid/>
        <w:spacing w:line="408" w:lineRule="auto"/>
        <w:ind w:firstLine="558" w:firstLineChars="200"/>
        <w:outlineLvl w:val="0"/>
        <w:rPr>
          <w:rFonts w:hint="eastAsia" w:ascii="仿宋" w:hAnsi="仿宋" w:eastAsia="仿宋" w:cs="仿宋"/>
          <w:b/>
          <w:color w:val="auto"/>
          <w:spacing w:val="-1"/>
          <w:sz w:val="28"/>
          <w:szCs w:val="28"/>
          <w:lang w:eastAsia="zh-CN"/>
          <w14:textOutline w14:w="5105" w14:cap="sq" w14:cmpd="sng" w14:algn="ctr">
            <w14:solidFill>
              <w14:srgbClr w14:val="333333"/>
            </w14:solidFill>
            <w14:prstDash w14:val="solid"/>
            <w14:bevel/>
          </w14:textOutline>
        </w:rPr>
      </w:pPr>
      <w:bookmarkStart w:id="69" w:name="_Toc181558004"/>
      <w:bookmarkStart w:id="70" w:name="_Toc208840322"/>
      <w:r>
        <w:rPr>
          <w:rFonts w:hint="eastAsia" w:ascii="仿宋" w:hAnsi="仿宋" w:eastAsia="仿宋" w:cs="仿宋"/>
          <w:b/>
          <w:color w:val="auto"/>
          <w:spacing w:val="-1"/>
          <w:sz w:val="28"/>
          <w:szCs w:val="28"/>
          <w:lang w:eastAsia="zh-CN"/>
          <w14:textOutline w14:w="5105" w14:cap="sq" w14:cmpd="sng" w14:algn="ctr">
            <w14:solidFill>
              <w14:srgbClr w14:val="333333"/>
            </w14:solidFill>
            <w14:prstDash w14:val="solid"/>
            <w14:bevel/>
          </w14:textOutline>
        </w:rPr>
        <w:t>三、部门年度总体目标</w:t>
      </w:r>
      <w:bookmarkEnd w:id="69"/>
      <w:bookmarkEnd w:id="70"/>
    </w:p>
    <w:p w14:paraId="020DFE63">
      <w:pPr>
        <w:widowControl w:val="0"/>
        <w:overflowPunct w:val="0"/>
        <w:snapToGrid/>
        <w:spacing w:line="408" w:lineRule="auto"/>
        <w:ind w:firstLine="528" w:firstLineChars="200"/>
        <w:jc w:val="both"/>
        <w:rPr>
          <w:rFonts w:hint="eastAsia" w:ascii="仿宋" w:hAnsi="仿宋" w:eastAsia="仿宋" w:cs="仿宋"/>
          <w:color w:val="auto"/>
          <w:spacing w:val="-8"/>
          <w:sz w:val="28"/>
          <w:szCs w:val="28"/>
          <w:lang w:eastAsia="zh-CN"/>
        </w:rPr>
      </w:pPr>
      <w:bookmarkStart w:id="71" w:name="_Toc181558005"/>
      <w:bookmarkStart w:id="72" w:name="_Toc28947"/>
      <w:r>
        <w:rPr>
          <w:rFonts w:hint="eastAsia" w:ascii="仿宋" w:hAnsi="仿宋" w:eastAsia="仿宋" w:cs="仿宋"/>
          <w:color w:val="auto"/>
          <w:spacing w:val="-8"/>
          <w:sz w:val="28"/>
          <w:szCs w:val="28"/>
          <w:lang w:eastAsia="zh-CN"/>
        </w:rPr>
        <w:t>（1）部门年度目标</w:t>
      </w:r>
      <w:bookmarkEnd w:id="71"/>
    </w:p>
    <w:p w14:paraId="6DE4D3DC">
      <w:pPr>
        <w:widowControl w:val="0"/>
        <w:overflowPunct w:val="0"/>
        <w:snapToGrid/>
        <w:spacing w:line="408" w:lineRule="auto"/>
        <w:ind w:firstLine="528" w:firstLineChars="200"/>
        <w:jc w:val="both"/>
        <w:rPr>
          <w:rFonts w:hint="eastAsia" w:ascii="仿宋" w:hAnsi="仿宋" w:eastAsia="仿宋" w:cs="仿宋"/>
          <w:color w:val="auto"/>
          <w:spacing w:val="-8"/>
          <w:sz w:val="28"/>
          <w:szCs w:val="28"/>
          <w:lang w:eastAsia="zh-CN"/>
        </w:rPr>
      </w:pPr>
      <w:r>
        <w:rPr>
          <w:rFonts w:ascii="仿宋" w:hAnsi="仿宋" w:eastAsia="仿宋" w:cs="仿宋"/>
          <w:color w:val="auto"/>
          <w:spacing w:val="-8"/>
          <w:sz w:val="28"/>
          <w:szCs w:val="28"/>
          <w:lang w:eastAsia="zh-CN"/>
        </w:rPr>
        <w:t>2024</w:t>
      </w:r>
      <w:r>
        <w:rPr>
          <w:rFonts w:hint="eastAsia" w:ascii="仿宋" w:hAnsi="仿宋" w:eastAsia="仿宋" w:cs="仿宋"/>
          <w:color w:val="auto"/>
          <w:spacing w:val="-8"/>
          <w:sz w:val="28"/>
          <w:szCs w:val="28"/>
          <w:lang w:eastAsia="zh-CN"/>
        </w:rPr>
        <w:t>年石狮市城市管理和综合执法局年度总体目标、</w:t>
      </w:r>
      <w:r>
        <w:rPr>
          <w:rFonts w:ascii="仿宋" w:hAnsi="仿宋" w:eastAsia="仿宋" w:cs="仿宋"/>
          <w:color w:val="auto"/>
          <w:spacing w:val="-8"/>
          <w:sz w:val="28"/>
          <w:szCs w:val="28"/>
          <w:lang w:eastAsia="zh-CN"/>
        </w:rPr>
        <w:t>加快</w:t>
      </w:r>
      <w:r>
        <w:rPr>
          <w:rFonts w:hint="eastAsia" w:ascii="仿宋" w:hAnsi="仿宋" w:eastAsia="仿宋" w:cs="仿宋"/>
          <w:color w:val="auto"/>
          <w:spacing w:val="-8"/>
          <w:sz w:val="28"/>
          <w:szCs w:val="28"/>
          <w:lang w:eastAsia="zh-CN"/>
        </w:rPr>
        <w:t>涉水项目建设进度、加强节水型公司、节水型小区的建设，</w:t>
      </w:r>
      <w:r>
        <w:rPr>
          <w:rFonts w:ascii="仿宋" w:hAnsi="仿宋" w:eastAsia="仿宋" w:cs="仿宋"/>
          <w:color w:val="auto"/>
          <w:spacing w:val="-8"/>
          <w:sz w:val="28"/>
          <w:szCs w:val="28"/>
          <w:lang w:eastAsia="zh-CN"/>
        </w:rPr>
        <w:t>积极争创国家节水城市</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lang w:eastAsia="zh-CN"/>
        </w:rPr>
        <w:t>积极开展“世界水日”“中国水周”“城市节水宣传周”等宣传活动，确保创建工作顺利完成</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lang w:eastAsia="zh-CN"/>
        </w:rPr>
        <w:t>提升生活污水治理效能</w:t>
      </w:r>
      <w:r>
        <w:rPr>
          <w:rFonts w:hint="eastAsia" w:ascii="仿宋" w:hAnsi="仿宋" w:eastAsia="仿宋" w:cs="仿宋"/>
          <w:color w:val="auto"/>
          <w:spacing w:val="-8"/>
          <w:sz w:val="28"/>
          <w:szCs w:val="28"/>
          <w:lang w:eastAsia="zh-CN"/>
        </w:rPr>
        <w:t>，筑牢水旱灾害防线，提升应急处突能力；突出抓好水库水质保护。进一步</w:t>
      </w:r>
      <w:r>
        <w:rPr>
          <w:rFonts w:ascii="仿宋" w:hAnsi="仿宋" w:eastAsia="仿宋" w:cs="仿宋"/>
          <w:color w:val="auto"/>
          <w:spacing w:val="-8"/>
          <w:sz w:val="28"/>
          <w:szCs w:val="28"/>
          <w:lang w:eastAsia="zh-CN"/>
        </w:rPr>
        <w:t>聚焦违法建设查处</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lang w:eastAsia="zh-CN"/>
        </w:rPr>
        <w:t>完善常态化管理制度，制定包容审慎监管执法“四张清单”工作制度，加强与其他部门联动、信息共享，整合无人机、日常巡查、物业管理、群众举报等多方合力，及时发现、制止、拆除，将违建遏制在萌芽状态。持续开展隐患排查整治。</w:t>
      </w:r>
      <w:r>
        <w:rPr>
          <w:rFonts w:hint="eastAsia" w:ascii="仿宋" w:hAnsi="仿宋" w:eastAsia="仿宋" w:cs="仿宋"/>
          <w:color w:val="auto"/>
          <w:spacing w:val="-8"/>
          <w:sz w:val="28"/>
          <w:szCs w:val="28"/>
          <w:lang w:eastAsia="zh-CN"/>
        </w:rPr>
        <w:t>组织开展城管领域安全生产和消防安全检查，重点盯紧重点行业，持续强化重点部位隐患排查治理力度，确保不留死角。</w:t>
      </w:r>
      <w:r>
        <w:rPr>
          <w:rFonts w:ascii="仿宋" w:hAnsi="仿宋" w:eastAsia="仿宋" w:cs="仿宋"/>
          <w:color w:val="auto"/>
          <w:spacing w:val="-8"/>
          <w:sz w:val="28"/>
          <w:szCs w:val="28"/>
          <w:lang w:eastAsia="zh-CN"/>
        </w:rPr>
        <w:t>巩固提升城镇燃气安全</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lang w:eastAsia="zh-CN"/>
        </w:rPr>
        <w:t>强化燃气隐患排查</w:t>
      </w:r>
      <w:r>
        <w:rPr>
          <w:rFonts w:hint="eastAsia" w:ascii="仿宋" w:hAnsi="仿宋" w:eastAsia="仿宋" w:cs="仿宋"/>
          <w:color w:val="auto"/>
          <w:spacing w:val="-8"/>
          <w:sz w:val="28"/>
          <w:szCs w:val="28"/>
          <w:lang w:eastAsia="zh-CN"/>
        </w:rPr>
        <w:t>。</w:t>
      </w:r>
    </w:p>
    <w:p w14:paraId="7EA08C17">
      <w:pPr>
        <w:widowControl w:val="0"/>
        <w:overflowPunct w:val="0"/>
        <w:snapToGrid/>
        <w:spacing w:line="408" w:lineRule="auto"/>
        <w:ind w:firstLine="528" w:firstLineChars="200"/>
        <w:jc w:val="both"/>
        <w:rPr>
          <w:rFonts w:hint="eastAsia" w:ascii="仿宋" w:hAnsi="仿宋" w:eastAsia="仿宋" w:cs="仿宋"/>
          <w:color w:val="auto"/>
          <w:spacing w:val="-8"/>
          <w:sz w:val="28"/>
          <w:szCs w:val="28"/>
          <w:lang w:eastAsia="zh-CN"/>
        </w:rPr>
      </w:pPr>
      <w:bookmarkStart w:id="73" w:name="_Toc181558006"/>
      <w:r>
        <w:rPr>
          <w:rFonts w:hint="eastAsia" w:ascii="仿宋" w:hAnsi="仿宋" w:eastAsia="仿宋" w:cs="仿宋"/>
          <w:color w:val="auto"/>
          <w:spacing w:val="-8"/>
          <w:sz w:val="28"/>
          <w:szCs w:val="28"/>
          <w:lang w:eastAsia="zh-CN"/>
        </w:rPr>
        <w:t>（2）具体绩效目标</w:t>
      </w:r>
      <w:bookmarkEnd w:id="73"/>
    </w:p>
    <w:p w14:paraId="702B5825">
      <w:pPr>
        <w:widowControl w:val="0"/>
        <w:overflowPunct w:val="0"/>
        <w:snapToGrid/>
        <w:spacing w:line="408" w:lineRule="auto"/>
        <w:ind w:firstLine="530" w:firstLineChars="200"/>
        <w:jc w:val="center"/>
        <w:rPr>
          <w:rFonts w:hint="eastAsia" w:ascii="仿宋" w:hAnsi="仿宋" w:eastAsia="仿宋" w:cs="仿宋"/>
          <w:b/>
          <w:bCs/>
          <w:color w:val="auto"/>
          <w:spacing w:val="-8"/>
          <w:sz w:val="28"/>
          <w:szCs w:val="28"/>
          <w:lang w:eastAsia="zh-CN"/>
        </w:rPr>
      </w:pPr>
      <w:r>
        <w:rPr>
          <w:rFonts w:hint="eastAsia" w:ascii="仿宋" w:hAnsi="仿宋" w:eastAsia="仿宋" w:cs="仿宋"/>
          <w:b/>
          <w:bCs/>
          <w:color w:val="auto"/>
          <w:spacing w:val="-8"/>
          <w:sz w:val="28"/>
          <w:szCs w:val="28"/>
          <w:lang w:eastAsia="zh-CN"/>
        </w:rPr>
        <w:t xml:space="preserve">表8  </w:t>
      </w:r>
      <w:r>
        <w:rPr>
          <w:rFonts w:ascii="仿宋" w:hAnsi="仿宋" w:eastAsia="仿宋" w:cs="仿宋"/>
          <w:b/>
          <w:bCs/>
          <w:color w:val="auto"/>
          <w:spacing w:val="-8"/>
          <w:sz w:val="28"/>
          <w:szCs w:val="28"/>
          <w:lang w:eastAsia="zh-CN"/>
        </w:rPr>
        <w:t>202</w:t>
      </w:r>
      <w:r>
        <w:rPr>
          <w:rFonts w:hint="eastAsia" w:ascii="仿宋" w:hAnsi="仿宋" w:eastAsia="仿宋" w:cs="仿宋"/>
          <w:b/>
          <w:bCs/>
          <w:color w:val="auto"/>
          <w:spacing w:val="-8"/>
          <w:sz w:val="28"/>
          <w:szCs w:val="28"/>
          <w:lang w:eastAsia="zh-CN"/>
        </w:rPr>
        <w:t>4年度石狮市城市管理和综合执法局部门整体绩效目标表</w:t>
      </w:r>
    </w:p>
    <w:tbl>
      <w:tblPr>
        <w:tblStyle w:val="9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3"/>
        <w:gridCol w:w="2045"/>
        <w:gridCol w:w="3267"/>
        <w:gridCol w:w="2390"/>
      </w:tblGrid>
      <w:tr w14:paraId="746B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shd w:val="clear" w:color="auto" w:fill="D8D8D8" w:themeFill="background1" w:themeFillShade="D9"/>
            <w:vAlign w:val="center"/>
          </w:tcPr>
          <w:p w14:paraId="49E18524">
            <w:pPr>
              <w:widowControl w:val="0"/>
              <w:overflowPunct w:val="0"/>
              <w:spacing w:line="408" w:lineRule="auto"/>
              <w:jc w:val="center"/>
              <w:rPr>
                <w:rFonts w:hint="eastAsia" w:ascii="仿宋" w:hAnsi="仿宋" w:eastAsia="仿宋" w:cs="仿宋"/>
                <w:b/>
                <w:color w:val="auto"/>
                <w:spacing w:val="-8"/>
                <w:sz w:val="18"/>
                <w:szCs w:val="28"/>
                <w:lang w:eastAsia="zh-CN"/>
              </w:rPr>
            </w:pPr>
            <w:r>
              <w:rPr>
                <w:rFonts w:hint="eastAsia" w:ascii="仿宋" w:hAnsi="仿宋" w:eastAsia="仿宋" w:cs="仿宋"/>
                <w:b/>
                <w:color w:val="auto"/>
                <w:spacing w:val="-8"/>
                <w:sz w:val="18"/>
                <w:szCs w:val="28"/>
                <w:lang w:eastAsia="zh-CN"/>
              </w:rPr>
              <w:t>一级指标</w:t>
            </w:r>
          </w:p>
        </w:tc>
        <w:tc>
          <w:tcPr>
            <w:tcW w:w="1069" w:type="pct"/>
            <w:shd w:val="clear" w:color="auto" w:fill="D8D8D8" w:themeFill="background1" w:themeFillShade="D9"/>
            <w:vAlign w:val="center"/>
          </w:tcPr>
          <w:p w14:paraId="6BBDA019">
            <w:pPr>
              <w:widowControl w:val="0"/>
              <w:overflowPunct w:val="0"/>
              <w:spacing w:line="408" w:lineRule="auto"/>
              <w:jc w:val="center"/>
              <w:rPr>
                <w:rFonts w:hint="eastAsia" w:ascii="仿宋" w:hAnsi="仿宋" w:eastAsia="仿宋" w:cs="仿宋"/>
                <w:b/>
                <w:color w:val="auto"/>
                <w:spacing w:val="-8"/>
                <w:sz w:val="18"/>
                <w:szCs w:val="28"/>
                <w:lang w:eastAsia="zh-CN"/>
              </w:rPr>
            </w:pPr>
            <w:r>
              <w:rPr>
                <w:rFonts w:hint="eastAsia" w:ascii="仿宋" w:hAnsi="仿宋" w:eastAsia="仿宋" w:cs="仿宋"/>
                <w:b/>
                <w:color w:val="auto"/>
                <w:spacing w:val="-8"/>
                <w:sz w:val="18"/>
                <w:szCs w:val="28"/>
                <w:lang w:eastAsia="zh-CN"/>
              </w:rPr>
              <w:t>二级指标</w:t>
            </w:r>
          </w:p>
        </w:tc>
        <w:tc>
          <w:tcPr>
            <w:tcW w:w="1708" w:type="pct"/>
            <w:shd w:val="clear" w:color="auto" w:fill="D8D8D8" w:themeFill="background1" w:themeFillShade="D9"/>
            <w:vAlign w:val="center"/>
          </w:tcPr>
          <w:p w14:paraId="64B3E01B">
            <w:pPr>
              <w:widowControl w:val="0"/>
              <w:overflowPunct w:val="0"/>
              <w:spacing w:line="408" w:lineRule="auto"/>
              <w:jc w:val="center"/>
              <w:rPr>
                <w:rFonts w:hint="eastAsia" w:ascii="仿宋" w:hAnsi="仿宋" w:eastAsia="仿宋" w:cs="仿宋"/>
                <w:b/>
                <w:color w:val="auto"/>
                <w:spacing w:val="-8"/>
                <w:sz w:val="18"/>
                <w:szCs w:val="28"/>
                <w:lang w:eastAsia="zh-CN"/>
              </w:rPr>
            </w:pPr>
            <w:r>
              <w:rPr>
                <w:rFonts w:hint="eastAsia" w:ascii="仿宋" w:hAnsi="仿宋" w:eastAsia="仿宋" w:cs="仿宋"/>
                <w:b/>
                <w:color w:val="auto"/>
                <w:spacing w:val="-8"/>
                <w:sz w:val="18"/>
                <w:szCs w:val="28"/>
                <w:lang w:eastAsia="zh-CN"/>
              </w:rPr>
              <w:t>三级指标</w:t>
            </w:r>
          </w:p>
        </w:tc>
        <w:tc>
          <w:tcPr>
            <w:tcW w:w="1249" w:type="pct"/>
            <w:shd w:val="clear" w:color="auto" w:fill="D8D8D8" w:themeFill="background1" w:themeFillShade="D9"/>
            <w:vAlign w:val="center"/>
          </w:tcPr>
          <w:p w14:paraId="63A963EB">
            <w:pPr>
              <w:widowControl w:val="0"/>
              <w:overflowPunct w:val="0"/>
              <w:spacing w:line="408" w:lineRule="auto"/>
              <w:jc w:val="center"/>
              <w:rPr>
                <w:rFonts w:hint="eastAsia" w:ascii="仿宋" w:hAnsi="仿宋" w:eastAsia="仿宋" w:cs="仿宋"/>
                <w:b/>
                <w:color w:val="auto"/>
                <w:spacing w:val="-8"/>
                <w:sz w:val="18"/>
                <w:szCs w:val="28"/>
                <w:lang w:eastAsia="zh-CN"/>
              </w:rPr>
            </w:pPr>
            <w:r>
              <w:rPr>
                <w:rFonts w:hint="eastAsia" w:ascii="仿宋" w:hAnsi="仿宋" w:eastAsia="仿宋" w:cs="仿宋"/>
                <w:b/>
                <w:color w:val="auto"/>
                <w:spacing w:val="-8"/>
                <w:sz w:val="18"/>
                <w:szCs w:val="28"/>
                <w:lang w:eastAsia="zh-CN"/>
              </w:rPr>
              <w:t>年度指标值</w:t>
            </w:r>
          </w:p>
        </w:tc>
      </w:tr>
      <w:tr w14:paraId="273B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4A20E60A">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一般性支出情况</w:t>
            </w:r>
          </w:p>
        </w:tc>
        <w:tc>
          <w:tcPr>
            <w:tcW w:w="1069" w:type="pct"/>
            <w:vAlign w:val="center"/>
          </w:tcPr>
          <w:p w14:paraId="6B25D9D5">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一般性支出情况</w:t>
            </w:r>
          </w:p>
        </w:tc>
        <w:tc>
          <w:tcPr>
            <w:tcW w:w="1708" w:type="pct"/>
            <w:vAlign w:val="center"/>
          </w:tcPr>
          <w:p w14:paraId="2622B62B">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“三公</w:t>
            </w:r>
            <w:r>
              <w:rPr>
                <w:rFonts w:ascii="仿宋" w:hAnsi="仿宋" w:eastAsia="仿宋" w:cs="仿宋"/>
                <w:color w:val="auto"/>
                <w:spacing w:val="-8"/>
                <w:sz w:val="18"/>
                <w:szCs w:val="28"/>
                <w:lang w:eastAsia="zh-CN"/>
              </w:rPr>
              <w:t>”</w:t>
            </w:r>
            <w:r>
              <w:rPr>
                <w:rFonts w:hint="eastAsia" w:ascii="仿宋" w:hAnsi="仿宋" w:eastAsia="仿宋" w:cs="仿宋"/>
                <w:color w:val="auto"/>
                <w:spacing w:val="-8"/>
                <w:sz w:val="18"/>
                <w:szCs w:val="28"/>
                <w:lang w:eastAsia="zh-CN"/>
              </w:rPr>
              <w:t>经费控制率</w:t>
            </w:r>
          </w:p>
        </w:tc>
        <w:tc>
          <w:tcPr>
            <w:tcW w:w="1249" w:type="pct"/>
            <w:vAlign w:val="center"/>
          </w:tcPr>
          <w:p w14:paraId="1CB357C8">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≤100%</w:t>
            </w:r>
          </w:p>
        </w:tc>
      </w:tr>
      <w:tr w14:paraId="1A37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27AEDA54">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一般性支出情况</w:t>
            </w:r>
          </w:p>
        </w:tc>
        <w:tc>
          <w:tcPr>
            <w:tcW w:w="1069" w:type="pct"/>
            <w:vAlign w:val="center"/>
          </w:tcPr>
          <w:p w14:paraId="79FA8B0C">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一般性支出情况</w:t>
            </w:r>
          </w:p>
        </w:tc>
        <w:tc>
          <w:tcPr>
            <w:tcW w:w="1708" w:type="pct"/>
            <w:vAlign w:val="center"/>
          </w:tcPr>
          <w:p w14:paraId="1BB556F4">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“三公</w:t>
            </w:r>
            <w:r>
              <w:rPr>
                <w:rFonts w:ascii="仿宋" w:hAnsi="仿宋" w:eastAsia="仿宋" w:cs="仿宋"/>
                <w:color w:val="auto"/>
                <w:spacing w:val="-8"/>
                <w:sz w:val="18"/>
                <w:szCs w:val="28"/>
                <w:lang w:eastAsia="zh-CN"/>
              </w:rPr>
              <w:t>”</w:t>
            </w:r>
            <w:r>
              <w:rPr>
                <w:rFonts w:hint="eastAsia" w:ascii="仿宋" w:hAnsi="仿宋" w:eastAsia="仿宋" w:cs="仿宋"/>
                <w:color w:val="auto"/>
                <w:spacing w:val="-8"/>
                <w:sz w:val="18"/>
                <w:szCs w:val="28"/>
                <w:lang w:eastAsia="zh-CN"/>
              </w:rPr>
              <w:t>经费违规使用次数</w:t>
            </w:r>
          </w:p>
        </w:tc>
        <w:tc>
          <w:tcPr>
            <w:tcW w:w="1249" w:type="pct"/>
            <w:vAlign w:val="center"/>
          </w:tcPr>
          <w:p w14:paraId="16D59168">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≤0次</w:t>
            </w:r>
          </w:p>
        </w:tc>
      </w:tr>
      <w:tr w14:paraId="76843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6F063E1F">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一般性支出情况</w:t>
            </w:r>
          </w:p>
        </w:tc>
        <w:tc>
          <w:tcPr>
            <w:tcW w:w="1069" w:type="pct"/>
            <w:vAlign w:val="center"/>
          </w:tcPr>
          <w:p w14:paraId="5D8A1F8D">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一般性支出情况</w:t>
            </w:r>
          </w:p>
        </w:tc>
        <w:tc>
          <w:tcPr>
            <w:tcW w:w="1708" w:type="pct"/>
            <w:vAlign w:val="center"/>
          </w:tcPr>
          <w:p w14:paraId="16E93A78">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会议费、差旅费超标准使用次数</w:t>
            </w:r>
          </w:p>
        </w:tc>
        <w:tc>
          <w:tcPr>
            <w:tcW w:w="1249" w:type="pct"/>
            <w:vAlign w:val="center"/>
          </w:tcPr>
          <w:p w14:paraId="0C74C3B2">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≤0次</w:t>
            </w:r>
          </w:p>
        </w:tc>
      </w:tr>
      <w:tr w14:paraId="3A48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4A18E82E">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成本指标</w:t>
            </w:r>
          </w:p>
        </w:tc>
        <w:tc>
          <w:tcPr>
            <w:tcW w:w="1069" w:type="pct"/>
            <w:vAlign w:val="center"/>
          </w:tcPr>
          <w:p w14:paraId="3890080D">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经济成本指标</w:t>
            </w:r>
          </w:p>
        </w:tc>
        <w:tc>
          <w:tcPr>
            <w:tcW w:w="1708" w:type="pct"/>
            <w:vAlign w:val="center"/>
          </w:tcPr>
          <w:p w14:paraId="08919E50">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总金额</w:t>
            </w:r>
          </w:p>
        </w:tc>
        <w:tc>
          <w:tcPr>
            <w:tcW w:w="1249" w:type="pct"/>
            <w:vAlign w:val="center"/>
          </w:tcPr>
          <w:p w14:paraId="55731065">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=38367.08万元</w:t>
            </w:r>
          </w:p>
        </w:tc>
      </w:tr>
      <w:tr w14:paraId="476CC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153D3632">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效益指标</w:t>
            </w:r>
          </w:p>
        </w:tc>
        <w:tc>
          <w:tcPr>
            <w:tcW w:w="1069" w:type="pct"/>
            <w:vAlign w:val="center"/>
          </w:tcPr>
          <w:p w14:paraId="6854CBAB">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社会效益指标</w:t>
            </w:r>
          </w:p>
        </w:tc>
        <w:tc>
          <w:tcPr>
            <w:tcW w:w="1708" w:type="pct"/>
            <w:vAlign w:val="center"/>
          </w:tcPr>
          <w:p w14:paraId="18163F1B">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单位正常运转率</w:t>
            </w:r>
          </w:p>
        </w:tc>
        <w:tc>
          <w:tcPr>
            <w:tcW w:w="1249" w:type="pct"/>
            <w:vAlign w:val="center"/>
          </w:tcPr>
          <w:p w14:paraId="287FBC70">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≥95%</w:t>
            </w:r>
          </w:p>
        </w:tc>
      </w:tr>
      <w:tr w14:paraId="1B5C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34503908">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满意度指标</w:t>
            </w:r>
          </w:p>
        </w:tc>
        <w:tc>
          <w:tcPr>
            <w:tcW w:w="1069" w:type="pct"/>
            <w:vAlign w:val="center"/>
          </w:tcPr>
          <w:p w14:paraId="04A8C5CC">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服务对象满意度指标</w:t>
            </w:r>
          </w:p>
        </w:tc>
        <w:tc>
          <w:tcPr>
            <w:tcW w:w="1708" w:type="pct"/>
            <w:vAlign w:val="center"/>
          </w:tcPr>
          <w:p w14:paraId="59B8C713">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服务对象满意度</w:t>
            </w:r>
          </w:p>
        </w:tc>
        <w:tc>
          <w:tcPr>
            <w:tcW w:w="1249" w:type="pct"/>
            <w:vAlign w:val="center"/>
          </w:tcPr>
          <w:p w14:paraId="20BA04F0">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≥95%</w:t>
            </w:r>
          </w:p>
        </w:tc>
      </w:tr>
      <w:tr w14:paraId="5FA5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395BC28F">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产出指标</w:t>
            </w:r>
          </w:p>
        </w:tc>
        <w:tc>
          <w:tcPr>
            <w:tcW w:w="1069" w:type="pct"/>
            <w:vAlign w:val="center"/>
          </w:tcPr>
          <w:p w14:paraId="1043B3C8">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数量指标</w:t>
            </w:r>
          </w:p>
        </w:tc>
        <w:tc>
          <w:tcPr>
            <w:tcW w:w="1708" w:type="pct"/>
            <w:vAlign w:val="center"/>
          </w:tcPr>
          <w:p w14:paraId="1054AC3E">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主管及下属单位数量</w:t>
            </w:r>
          </w:p>
        </w:tc>
        <w:tc>
          <w:tcPr>
            <w:tcW w:w="1249" w:type="pct"/>
            <w:vAlign w:val="center"/>
          </w:tcPr>
          <w:p w14:paraId="1B607CED">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=5个</w:t>
            </w:r>
          </w:p>
        </w:tc>
      </w:tr>
      <w:tr w14:paraId="5D88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6160789C">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产出指标</w:t>
            </w:r>
          </w:p>
        </w:tc>
        <w:tc>
          <w:tcPr>
            <w:tcW w:w="1069" w:type="pct"/>
            <w:vAlign w:val="center"/>
          </w:tcPr>
          <w:p w14:paraId="4CFFD582">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质量指标</w:t>
            </w:r>
          </w:p>
        </w:tc>
        <w:tc>
          <w:tcPr>
            <w:tcW w:w="1708" w:type="pct"/>
            <w:vAlign w:val="center"/>
          </w:tcPr>
          <w:p w14:paraId="0DAEB818">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项目完成率</w:t>
            </w:r>
          </w:p>
        </w:tc>
        <w:tc>
          <w:tcPr>
            <w:tcW w:w="1249" w:type="pct"/>
            <w:vAlign w:val="center"/>
          </w:tcPr>
          <w:p w14:paraId="02D9185C">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≥95%</w:t>
            </w:r>
          </w:p>
        </w:tc>
      </w:tr>
      <w:tr w14:paraId="041F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74" w:type="pct"/>
            <w:vAlign w:val="center"/>
          </w:tcPr>
          <w:p w14:paraId="4DE38769">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产出指标</w:t>
            </w:r>
          </w:p>
        </w:tc>
        <w:tc>
          <w:tcPr>
            <w:tcW w:w="1069" w:type="pct"/>
            <w:vAlign w:val="center"/>
          </w:tcPr>
          <w:p w14:paraId="2CCE978B">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时效指标</w:t>
            </w:r>
          </w:p>
        </w:tc>
        <w:tc>
          <w:tcPr>
            <w:tcW w:w="1708" w:type="pct"/>
            <w:vAlign w:val="center"/>
          </w:tcPr>
          <w:p w14:paraId="0C988584">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项目起止</w:t>
            </w:r>
          </w:p>
        </w:tc>
        <w:tc>
          <w:tcPr>
            <w:tcW w:w="1249" w:type="pct"/>
            <w:vAlign w:val="center"/>
          </w:tcPr>
          <w:p w14:paraId="5246E082">
            <w:pPr>
              <w:widowControl w:val="0"/>
              <w:overflowPunct w:val="0"/>
              <w:spacing w:line="408" w:lineRule="auto"/>
              <w:jc w:val="center"/>
              <w:rPr>
                <w:rFonts w:hint="eastAsia" w:ascii="仿宋" w:hAnsi="仿宋" w:eastAsia="仿宋" w:cs="仿宋"/>
                <w:color w:val="auto"/>
                <w:spacing w:val="-8"/>
                <w:sz w:val="18"/>
                <w:szCs w:val="28"/>
                <w:lang w:eastAsia="zh-CN"/>
              </w:rPr>
            </w:pPr>
            <w:r>
              <w:rPr>
                <w:rFonts w:hint="eastAsia" w:ascii="仿宋" w:hAnsi="仿宋" w:eastAsia="仿宋" w:cs="仿宋"/>
                <w:color w:val="auto"/>
                <w:spacing w:val="-8"/>
                <w:sz w:val="18"/>
                <w:szCs w:val="28"/>
                <w:lang w:eastAsia="zh-CN"/>
              </w:rPr>
              <w:t>=12月</w:t>
            </w:r>
          </w:p>
        </w:tc>
      </w:tr>
      <w:bookmarkEnd w:id="72"/>
    </w:tbl>
    <w:p w14:paraId="52211FF0">
      <w:pPr>
        <w:widowControl w:val="0"/>
        <w:overflowPunct w:val="0"/>
        <w:snapToGrid/>
        <w:spacing w:line="408" w:lineRule="auto"/>
        <w:ind w:firstLine="530" w:firstLineChars="200"/>
        <w:outlineLvl w:val="0"/>
        <w:rPr>
          <w:rFonts w:hint="eastAsia" w:ascii="仿宋" w:hAnsi="仿宋" w:eastAsia="仿宋" w:cs="仿宋"/>
          <w:b/>
          <w:color w:val="auto"/>
          <w:sz w:val="28"/>
          <w:szCs w:val="28"/>
          <w:lang w:eastAsia="zh-CN"/>
        </w:rPr>
      </w:pPr>
      <w:bookmarkStart w:id="74" w:name="bookmark21"/>
      <w:bookmarkEnd w:id="74"/>
      <w:bookmarkStart w:id="75" w:name="bookmark20"/>
      <w:bookmarkEnd w:id="75"/>
      <w:bookmarkStart w:id="76" w:name="_Toc181558007"/>
      <w:bookmarkStart w:id="77" w:name="_Toc208840323"/>
      <w:r>
        <w:rPr>
          <w:rFonts w:hint="eastAsia" w:ascii="仿宋" w:hAnsi="仿宋" w:eastAsia="仿宋" w:cs="仿宋"/>
          <w:b/>
          <w:color w:val="auto"/>
          <w:spacing w:val="-8"/>
          <w:sz w:val="28"/>
          <w:szCs w:val="28"/>
          <w:lang w:eastAsia="zh-CN"/>
          <w14:textOutline w14:w="5105" w14:cap="sq" w14:cmpd="sng" w14:algn="ctr">
            <w14:solidFill>
              <w14:srgbClr w14:val="333333"/>
            </w14:solidFill>
            <w14:prstDash w14:val="solid"/>
            <w14:bevel/>
          </w14:textOutline>
        </w:rPr>
        <w:t>四、评价思路</w:t>
      </w:r>
      <w:bookmarkEnd w:id="76"/>
      <w:bookmarkEnd w:id="77"/>
    </w:p>
    <w:p w14:paraId="5BD32017">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78" w:name="_Toc181558008"/>
      <w:bookmarkStart w:id="79" w:name="_Toc208840324"/>
      <w:r>
        <w:rPr>
          <w:rFonts w:hint="eastAsia" w:ascii="仿宋" w:hAnsi="仿宋" w:eastAsia="仿宋" w:cs="仿宋"/>
          <w:b/>
          <w:color w:val="auto"/>
          <w:spacing w:val="3"/>
          <w:sz w:val="28"/>
          <w:szCs w:val="28"/>
          <w:lang w:eastAsia="zh-CN"/>
        </w:rPr>
        <w:t>（一）评价目的</w:t>
      </w:r>
      <w:bookmarkEnd w:id="78"/>
      <w:bookmarkEnd w:id="79"/>
    </w:p>
    <w:p w14:paraId="4D82ED65">
      <w:pPr>
        <w:widowControl w:val="0"/>
        <w:overflowPunct w:val="0"/>
        <w:snapToGrid/>
        <w:spacing w:line="408" w:lineRule="auto"/>
        <w:ind w:firstLine="572" w:firstLineChars="200"/>
        <w:jc w:val="both"/>
        <w:rPr>
          <w:rFonts w:hint="eastAsia" w:ascii="仿宋" w:hAnsi="仿宋" w:eastAsia="仿宋" w:cs="仿宋"/>
          <w:color w:val="auto"/>
          <w:sz w:val="28"/>
          <w:szCs w:val="28"/>
          <w:lang w:eastAsia="zh-CN"/>
        </w:rPr>
      </w:pPr>
      <w:bookmarkStart w:id="80" w:name="_Toc17906"/>
      <w:bookmarkStart w:id="81" w:name="_Toc10724"/>
      <w:r>
        <w:rPr>
          <w:rFonts w:hint="eastAsia" w:ascii="仿宋" w:hAnsi="仿宋" w:eastAsia="仿宋" w:cs="仿宋"/>
          <w:color w:val="auto"/>
          <w:spacing w:val="3"/>
          <w:sz w:val="28"/>
          <w:szCs w:val="28"/>
          <w:lang w:eastAsia="zh-CN"/>
        </w:rPr>
        <w:t>为深入贯彻落实中共中央、国务院《关于全面实施预算绩效管理的意</w:t>
      </w:r>
      <w:bookmarkEnd w:id="80"/>
      <w:bookmarkEnd w:id="81"/>
      <w:r>
        <w:rPr>
          <w:rFonts w:hint="eastAsia" w:ascii="仿宋" w:hAnsi="仿宋" w:eastAsia="仿宋" w:cs="仿宋"/>
          <w:color w:val="auto"/>
          <w:spacing w:val="-2"/>
          <w:sz w:val="28"/>
          <w:szCs w:val="28"/>
          <w:lang w:eastAsia="zh-CN"/>
        </w:rPr>
        <w:t>见》相关要求，根据财政局安排，对2024</w:t>
      </w:r>
      <w:r>
        <w:rPr>
          <w:rFonts w:hint="eastAsia" w:ascii="仿宋" w:hAnsi="仿宋" w:eastAsia="仿宋" w:cs="仿宋"/>
          <w:color w:val="auto"/>
          <w:spacing w:val="-3"/>
          <w:sz w:val="28"/>
          <w:szCs w:val="28"/>
          <w:lang w:eastAsia="zh-CN"/>
        </w:rPr>
        <w:t>年度石狮市城市管理和综合执法局</w:t>
      </w:r>
      <w:r>
        <w:rPr>
          <w:rFonts w:hint="eastAsia" w:ascii="仿宋" w:hAnsi="仿宋" w:eastAsia="仿宋" w:cs="仿宋"/>
          <w:color w:val="auto"/>
          <w:spacing w:val="3"/>
          <w:sz w:val="28"/>
          <w:szCs w:val="28"/>
          <w:lang w:eastAsia="zh-CN"/>
        </w:rPr>
        <w:t>部门整体支出绩效情况开展评价，以全面反映部门在预算管理中的状况，促进部门总结经验、发现问题、提出建议、改进工作，为部门科学决策、规范管理提供参考，进一步加强预算管理，提高财政资源配置效</w:t>
      </w:r>
      <w:r>
        <w:rPr>
          <w:rFonts w:hint="eastAsia" w:ascii="仿宋" w:hAnsi="仿宋" w:eastAsia="仿宋" w:cs="仿宋"/>
          <w:color w:val="auto"/>
          <w:spacing w:val="-4"/>
          <w:sz w:val="28"/>
          <w:szCs w:val="28"/>
          <w:lang w:eastAsia="zh-CN"/>
        </w:rPr>
        <w:t>率和使用效益。</w:t>
      </w:r>
    </w:p>
    <w:p w14:paraId="32DA09C5">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82" w:name="bookmark22"/>
      <w:bookmarkEnd w:id="82"/>
      <w:bookmarkStart w:id="83" w:name="_Toc181558009"/>
      <w:bookmarkStart w:id="84" w:name="_Toc208840325"/>
      <w:r>
        <w:rPr>
          <w:rFonts w:hint="eastAsia" w:ascii="仿宋" w:hAnsi="仿宋" w:eastAsia="仿宋" w:cs="仿宋"/>
          <w:b/>
          <w:color w:val="auto"/>
          <w:spacing w:val="3"/>
          <w:sz w:val="28"/>
          <w:szCs w:val="28"/>
          <w:lang w:eastAsia="zh-CN"/>
        </w:rPr>
        <w:t>（二）评价对象及范围</w:t>
      </w:r>
      <w:bookmarkEnd w:id="83"/>
      <w:bookmarkEnd w:id="84"/>
    </w:p>
    <w:p w14:paraId="71B5886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85" w:name="_Toc23609"/>
      <w:bookmarkStart w:id="86" w:name="_Toc15650"/>
      <w:r>
        <w:rPr>
          <w:rFonts w:hint="eastAsia" w:ascii="仿宋" w:hAnsi="仿宋" w:eastAsia="仿宋" w:cs="仿宋"/>
          <w:color w:val="auto"/>
          <w:spacing w:val="3"/>
          <w:sz w:val="28"/>
          <w:szCs w:val="28"/>
          <w:lang w:eastAsia="zh-CN"/>
        </w:rPr>
        <w:t>评价对象为石狮市城市管理和综合执法局。</w:t>
      </w:r>
      <w:bookmarkEnd w:id="85"/>
      <w:bookmarkEnd w:id="86"/>
    </w:p>
    <w:p w14:paraId="5C3DEBD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87" w:name="_Toc12666"/>
      <w:bookmarkStart w:id="88" w:name="_Toc20004"/>
      <w:r>
        <w:rPr>
          <w:rFonts w:hint="eastAsia" w:ascii="仿宋" w:hAnsi="仿宋" w:eastAsia="仿宋" w:cs="仿宋"/>
          <w:color w:val="auto"/>
          <w:spacing w:val="3"/>
          <w:sz w:val="28"/>
          <w:szCs w:val="28"/>
          <w:lang w:eastAsia="zh-CN"/>
        </w:rPr>
        <w:t>评价时间范围：2024年1月至2024年12月。</w:t>
      </w:r>
      <w:bookmarkEnd w:id="87"/>
      <w:bookmarkEnd w:id="88"/>
    </w:p>
    <w:p w14:paraId="4E8CB76C">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89" w:name="bookmark23"/>
      <w:bookmarkEnd w:id="89"/>
      <w:bookmarkStart w:id="90" w:name="_Toc181558010"/>
      <w:bookmarkStart w:id="91" w:name="_Toc208840326"/>
      <w:r>
        <w:rPr>
          <w:rFonts w:hint="eastAsia" w:ascii="仿宋" w:hAnsi="仿宋" w:eastAsia="仿宋" w:cs="仿宋"/>
          <w:b/>
          <w:color w:val="auto"/>
          <w:spacing w:val="3"/>
          <w:sz w:val="28"/>
          <w:szCs w:val="28"/>
          <w:lang w:eastAsia="zh-CN"/>
        </w:rPr>
        <w:t>（三）评价依据</w:t>
      </w:r>
      <w:bookmarkEnd w:id="90"/>
      <w:bookmarkEnd w:id="91"/>
    </w:p>
    <w:p w14:paraId="076585C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92" w:name="_Toc31953"/>
      <w:bookmarkStart w:id="93" w:name="_Toc998"/>
      <w:bookmarkStart w:id="94" w:name="_Toc2579"/>
      <w:r>
        <w:rPr>
          <w:rFonts w:hint="eastAsia" w:ascii="仿宋" w:hAnsi="仿宋" w:eastAsia="仿宋" w:cs="仿宋"/>
          <w:color w:val="auto"/>
          <w:spacing w:val="3"/>
          <w:sz w:val="28"/>
          <w:szCs w:val="28"/>
          <w:lang w:eastAsia="zh-CN"/>
        </w:rPr>
        <w:t>1.《中华人民共和国预算法》；</w:t>
      </w:r>
      <w:bookmarkEnd w:id="92"/>
      <w:bookmarkEnd w:id="93"/>
      <w:bookmarkEnd w:id="94"/>
    </w:p>
    <w:p w14:paraId="5CCABB9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2.《中共中央、国务院关于全面实施预算绩效管理的意见》（中发〔2018〕34号）；</w:t>
      </w:r>
    </w:p>
    <w:p w14:paraId="688BCA4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95" w:name="_Toc29253"/>
      <w:r>
        <w:rPr>
          <w:rFonts w:hint="eastAsia" w:ascii="仿宋" w:hAnsi="仿宋" w:eastAsia="仿宋" w:cs="仿宋"/>
          <w:color w:val="auto"/>
          <w:spacing w:val="3"/>
          <w:sz w:val="28"/>
          <w:szCs w:val="28"/>
          <w:lang w:eastAsia="zh-CN"/>
        </w:rPr>
        <w:t>3.《财政部关于印发〈预算绩效评价共性指标体系框架〉的通知》</w:t>
      </w:r>
      <w:bookmarkEnd w:id="95"/>
      <w:r>
        <w:rPr>
          <w:rFonts w:hint="eastAsia" w:ascii="仿宋" w:hAnsi="仿宋" w:eastAsia="仿宋" w:cs="仿宋"/>
          <w:color w:val="auto"/>
          <w:spacing w:val="3"/>
          <w:sz w:val="28"/>
          <w:szCs w:val="28"/>
          <w:lang w:eastAsia="zh-CN"/>
        </w:rPr>
        <w:t>（财预〔2013〕53号）；</w:t>
      </w:r>
    </w:p>
    <w:p w14:paraId="55DBDCA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4.《财政部关于印发〈项目支出绩效评价管理办法〉的通知》（财预〔2020〕10号）；</w:t>
      </w:r>
    </w:p>
    <w:p w14:paraId="6EAC20B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96" w:name="_Toc7635"/>
      <w:bookmarkStart w:id="97" w:name="_Toc29396"/>
      <w:r>
        <w:rPr>
          <w:rFonts w:hint="eastAsia" w:ascii="仿宋" w:hAnsi="仿宋" w:eastAsia="仿宋" w:cs="仿宋"/>
          <w:color w:val="auto"/>
          <w:spacing w:val="3"/>
          <w:sz w:val="28"/>
          <w:szCs w:val="28"/>
          <w:lang w:eastAsia="zh-CN"/>
        </w:rPr>
        <w:t>5.《中共福建省委福建省人民政府印发〈关于全面实施预算绩效管</w:t>
      </w:r>
      <w:bookmarkEnd w:id="96"/>
      <w:bookmarkEnd w:id="97"/>
      <w:r>
        <w:rPr>
          <w:rFonts w:hint="eastAsia" w:ascii="仿宋" w:hAnsi="仿宋" w:eastAsia="仿宋" w:cs="仿宋"/>
          <w:color w:val="auto"/>
          <w:spacing w:val="3"/>
          <w:sz w:val="28"/>
          <w:szCs w:val="28"/>
          <w:lang w:eastAsia="zh-CN"/>
        </w:rPr>
        <w:t>理的实施意见〉的通知》（闽委发〔2019〕5号）；</w:t>
      </w:r>
    </w:p>
    <w:p w14:paraId="5C6F317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98" w:name="_Toc9619"/>
      <w:r>
        <w:rPr>
          <w:rFonts w:hint="eastAsia" w:ascii="仿宋" w:hAnsi="仿宋" w:eastAsia="仿宋" w:cs="仿宋"/>
          <w:color w:val="auto"/>
          <w:spacing w:val="3"/>
          <w:sz w:val="28"/>
          <w:szCs w:val="28"/>
          <w:lang w:eastAsia="zh-CN"/>
        </w:rPr>
        <w:t>6.《福建省财政厅转发财政部关于加强地方预算执行管理加快支出</w:t>
      </w:r>
      <w:bookmarkEnd w:id="98"/>
      <w:bookmarkStart w:id="99" w:name="_Toc10883"/>
      <w:r>
        <w:rPr>
          <w:rFonts w:hint="eastAsia" w:ascii="仿宋" w:hAnsi="仿宋" w:eastAsia="仿宋" w:cs="仿宋"/>
          <w:color w:val="auto"/>
          <w:spacing w:val="3"/>
          <w:sz w:val="28"/>
          <w:szCs w:val="28"/>
          <w:lang w:eastAsia="zh-CN"/>
        </w:rPr>
        <w:t>进度的通知》（闽财预〔2018〕20号）；</w:t>
      </w:r>
      <w:bookmarkEnd w:id="99"/>
    </w:p>
    <w:p w14:paraId="30C8A1B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00" w:name="_Toc31990"/>
      <w:r>
        <w:rPr>
          <w:rFonts w:hint="eastAsia" w:ascii="仿宋" w:hAnsi="仿宋" w:eastAsia="仿宋" w:cs="仿宋"/>
          <w:color w:val="auto"/>
          <w:spacing w:val="3"/>
          <w:sz w:val="28"/>
          <w:szCs w:val="28"/>
          <w:lang w:eastAsia="zh-CN"/>
        </w:rPr>
        <w:t>7.《福建省财政厅关于全面实施预算绩效管理若干措施的通知》（闽</w:t>
      </w:r>
      <w:bookmarkEnd w:id="100"/>
      <w:bookmarkStart w:id="101" w:name="_Toc24483"/>
      <w:r>
        <w:rPr>
          <w:rFonts w:hint="eastAsia" w:ascii="仿宋" w:hAnsi="仿宋" w:eastAsia="仿宋" w:cs="仿宋"/>
          <w:color w:val="auto"/>
          <w:spacing w:val="3"/>
          <w:sz w:val="28"/>
          <w:szCs w:val="28"/>
          <w:lang w:eastAsia="zh-CN"/>
        </w:rPr>
        <w:t>财绩〔2019〕2号）；</w:t>
      </w:r>
      <w:bookmarkEnd w:id="101"/>
    </w:p>
    <w:p w14:paraId="1BF1491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02" w:name="_Toc27873"/>
      <w:r>
        <w:rPr>
          <w:rFonts w:hint="eastAsia" w:ascii="仿宋" w:hAnsi="仿宋" w:eastAsia="仿宋" w:cs="仿宋"/>
          <w:color w:val="auto"/>
          <w:spacing w:val="3"/>
          <w:sz w:val="28"/>
          <w:szCs w:val="28"/>
          <w:lang w:eastAsia="zh-CN"/>
        </w:rPr>
        <w:t>8.《泉州市财政局关于印发〈委托第三方参与财政支出绩效评价工</w:t>
      </w:r>
      <w:bookmarkEnd w:id="102"/>
      <w:bookmarkStart w:id="103" w:name="_Toc26009"/>
      <w:bookmarkStart w:id="104" w:name="_Toc3655"/>
      <w:r>
        <w:rPr>
          <w:rFonts w:hint="eastAsia" w:ascii="仿宋" w:hAnsi="仿宋" w:eastAsia="仿宋" w:cs="仿宋"/>
          <w:color w:val="auto"/>
          <w:spacing w:val="3"/>
          <w:sz w:val="28"/>
          <w:szCs w:val="28"/>
          <w:lang w:eastAsia="zh-CN"/>
        </w:rPr>
        <w:t>作管理暂行规定〉的通知》（泉财预〔2017〕228号）；</w:t>
      </w:r>
      <w:bookmarkEnd w:id="103"/>
      <w:bookmarkEnd w:id="104"/>
    </w:p>
    <w:p w14:paraId="128CEB9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05" w:name="_Toc13829"/>
      <w:r>
        <w:rPr>
          <w:rFonts w:hint="eastAsia" w:ascii="仿宋" w:hAnsi="仿宋" w:eastAsia="仿宋" w:cs="仿宋"/>
          <w:color w:val="auto"/>
          <w:spacing w:val="3"/>
          <w:sz w:val="28"/>
          <w:szCs w:val="28"/>
          <w:lang w:eastAsia="zh-CN"/>
        </w:rPr>
        <w:t>9.经济社会发展目标、部门职责相关规定、部门发展规划、年度工作计划、重点任务及重大政策和项目安排情况、相关行业政策、行业标准及专业技术规范、预算管理制度及办法，项目及资金管理办法、财务和会计资料、审计报告等资料。</w:t>
      </w:r>
      <w:bookmarkEnd w:id="105"/>
    </w:p>
    <w:p w14:paraId="4337C917">
      <w:pPr>
        <w:widowControl w:val="0"/>
        <w:overflowPunct w:val="0"/>
        <w:snapToGrid/>
        <w:spacing w:line="408" w:lineRule="auto"/>
        <w:ind w:firstLine="554" w:firstLineChars="200"/>
        <w:jc w:val="both"/>
        <w:outlineLvl w:val="1"/>
        <w:rPr>
          <w:rFonts w:hint="eastAsia" w:ascii="仿宋" w:hAnsi="仿宋" w:eastAsia="仿宋" w:cs="仿宋"/>
          <w:b/>
          <w:color w:val="auto"/>
          <w:spacing w:val="-2"/>
          <w:sz w:val="28"/>
          <w:szCs w:val="28"/>
          <w:lang w:eastAsia="zh-CN"/>
        </w:rPr>
      </w:pPr>
      <w:bookmarkStart w:id="106" w:name="bookmark24"/>
      <w:bookmarkEnd w:id="106"/>
      <w:bookmarkStart w:id="107" w:name="_Toc181558011"/>
      <w:bookmarkStart w:id="108" w:name="_Toc208840327"/>
      <w:r>
        <w:rPr>
          <w:rFonts w:hint="eastAsia" w:ascii="仿宋" w:hAnsi="仿宋" w:eastAsia="仿宋" w:cs="仿宋"/>
          <w:b/>
          <w:color w:val="auto"/>
          <w:spacing w:val="-2"/>
          <w:sz w:val="28"/>
          <w:szCs w:val="28"/>
          <w:lang w:eastAsia="zh-CN"/>
        </w:rPr>
        <w:t>（四）评价原则</w:t>
      </w:r>
      <w:bookmarkEnd w:id="107"/>
      <w:bookmarkEnd w:id="108"/>
    </w:p>
    <w:p w14:paraId="4E2A562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1.具体性原则。所制定的目标必须具体明确，不能含糊不清，模棱两可。设计指标时，尽量予以量化，减少定性的数量，如确实需要设置定性指标时，可以考虑专家评议、问卷、随机走访周边群众、实地观察等方式收集资料，然后予以确认。</w:t>
      </w:r>
    </w:p>
    <w:p w14:paraId="4937744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2.可衡量性原则。所制定的目标必须能够通过某定量或定性的方法予以衡量和判定。</w:t>
      </w:r>
    </w:p>
    <w:p w14:paraId="6F7583EA">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09" w:name="_Toc18949"/>
      <w:r>
        <w:rPr>
          <w:rFonts w:hint="eastAsia" w:ascii="仿宋" w:hAnsi="仿宋" w:eastAsia="仿宋" w:cs="仿宋"/>
          <w:color w:val="auto"/>
          <w:spacing w:val="3"/>
          <w:sz w:val="28"/>
          <w:szCs w:val="28"/>
          <w:lang w:eastAsia="zh-CN"/>
        </w:rPr>
        <w:t>3.可实现性原则。所制定的目标必须符合实际，并且可以通过执行</w:t>
      </w:r>
      <w:bookmarkEnd w:id="109"/>
      <w:r>
        <w:rPr>
          <w:rFonts w:hint="eastAsia" w:ascii="仿宋" w:hAnsi="仿宋" w:eastAsia="仿宋" w:cs="仿宋"/>
          <w:color w:val="auto"/>
          <w:spacing w:val="3"/>
          <w:sz w:val="28"/>
          <w:szCs w:val="28"/>
          <w:lang w:eastAsia="zh-CN"/>
        </w:rPr>
        <w:t>人的努力而实现，不能把目标定得太高太难。</w:t>
      </w:r>
    </w:p>
    <w:p w14:paraId="0A528EF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4.相关性原则。确定的绩效评价指标应当与专项资金立项依据文件、绩效目标有直接的联系，能够恰当反映目标的实现程度，而与立项依据文件、绩效目标无关的指标不应列入评价体系。设计指标要充分考虑项目设立时预期达到的目的。</w:t>
      </w:r>
    </w:p>
    <w:p w14:paraId="1C433D0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10" w:name="_Toc7760"/>
      <w:bookmarkStart w:id="111" w:name="_Toc10271"/>
      <w:bookmarkStart w:id="112" w:name="_Toc23071"/>
      <w:r>
        <w:rPr>
          <w:rFonts w:hint="eastAsia" w:ascii="仿宋" w:hAnsi="仿宋" w:eastAsia="仿宋" w:cs="仿宋"/>
          <w:color w:val="auto"/>
          <w:spacing w:val="3"/>
          <w:sz w:val="28"/>
          <w:szCs w:val="28"/>
          <w:lang w:eastAsia="zh-CN"/>
        </w:rPr>
        <w:t>5.时限性原则。绩效目标的实现有时间限制。</w:t>
      </w:r>
      <w:bookmarkEnd w:id="110"/>
      <w:bookmarkEnd w:id="111"/>
      <w:bookmarkEnd w:id="112"/>
    </w:p>
    <w:p w14:paraId="5A88D7D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6.经济性原则。指标需要的数据容易获取，获取成本低，符合成本效益原则。</w:t>
      </w:r>
    </w:p>
    <w:p w14:paraId="4ECDF41A">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13" w:name="_Toc32070"/>
      <w:r>
        <w:rPr>
          <w:rFonts w:hint="eastAsia" w:ascii="仿宋" w:hAnsi="仿宋" w:eastAsia="仿宋" w:cs="仿宋"/>
          <w:color w:val="auto"/>
          <w:spacing w:val="3"/>
          <w:sz w:val="28"/>
          <w:szCs w:val="28"/>
          <w:lang w:eastAsia="zh-CN"/>
        </w:rPr>
        <w:t>7.可比性原则。为了便于纵向和横向的比较，所选指标尽量考虑共</w:t>
      </w:r>
      <w:bookmarkEnd w:id="113"/>
      <w:r>
        <w:rPr>
          <w:rFonts w:hint="eastAsia" w:ascii="仿宋" w:hAnsi="仿宋" w:eastAsia="仿宋" w:cs="仿宋"/>
          <w:color w:val="auto"/>
          <w:spacing w:val="3"/>
          <w:sz w:val="28"/>
          <w:szCs w:val="28"/>
          <w:lang w:eastAsia="zh-CN"/>
        </w:rPr>
        <w:t>性的指标，以便于评价结果可以相互比较。</w:t>
      </w:r>
    </w:p>
    <w:p w14:paraId="4E1A79D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8.分级分类原则。指标不要设计过多，尽量以最少的指标涵盖主要评价内容，指标之间避免或减少重复性，必要时可以采用关键指标法进行筛选。</w:t>
      </w:r>
    </w:p>
    <w:p w14:paraId="68C0F243">
      <w:pPr>
        <w:widowControl w:val="0"/>
        <w:overflowPunct w:val="0"/>
        <w:snapToGrid/>
        <w:spacing w:line="408" w:lineRule="auto"/>
        <w:ind w:firstLine="572" w:firstLineChars="200"/>
        <w:jc w:val="both"/>
        <w:rPr>
          <w:rFonts w:hint="eastAsia" w:ascii="仿宋" w:hAnsi="仿宋" w:eastAsia="仿宋" w:cs="仿宋"/>
          <w:color w:val="auto"/>
          <w:sz w:val="28"/>
          <w:szCs w:val="28"/>
          <w:lang w:eastAsia="zh-CN"/>
        </w:rPr>
      </w:pPr>
      <w:bookmarkStart w:id="114" w:name="_Toc29983"/>
      <w:r>
        <w:rPr>
          <w:rFonts w:hint="eastAsia" w:ascii="仿宋" w:hAnsi="仿宋" w:eastAsia="仿宋" w:cs="仿宋"/>
          <w:color w:val="auto"/>
          <w:spacing w:val="3"/>
          <w:sz w:val="28"/>
          <w:szCs w:val="28"/>
          <w:lang w:eastAsia="zh-CN"/>
        </w:rPr>
        <w:t>9.系统性原则。所选择的指标应加以提炼，尽可能涵盖主要评价内</w:t>
      </w:r>
      <w:bookmarkEnd w:id="114"/>
      <w:r>
        <w:rPr>
          <w:rFonts w:hint="eastAsia" w:ascii="仿宋" w:hAnsi="仿宋" w:eastAsia="仿宋" w:cs="仿宋"/>
          <w:color w:val="auto"/>
          <w:spacing w:val="3"/>
          <w:sz w:val="28"/>
          <w:szCs w:val="28"/>
          <w:lang w:eastAsia="zh-CN"/>
        </w:rPr>
        <w:t>容，主要部分应以细化指标予以反映。当项目支出明细很多时，应适当根据项目特征对项目进行归类，指标设计时应重点考虑那些金额大、可衡量和项目预期总目标贴合的明细支出，并对其进行深入了解，从中</w:t>
      </w:r>
      <w:r>
        <w:rPr>
          <w:rFonts w:hint="eastAsia" w:ascii="仿宋" w:hAnsi="仿宋" w:eastAsia="仿宋" w:cs="仿宋"/>
          <w:color w:val="auto"/>
          <w:spacing w:val="-1"/>
          <w:sz w:val="28"/>
          <w:szCs w:val="28"/>
          <w:lang w:eastAsia="zh-CN"/>
        </w:rPr>
        <w:t>挖掘出可以反映这些明细项目的指标。</w:t>
      </w:r>
    </w:p>
    <w:p w14:paraId="4D1AE74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10.可理解性原则。指标的设定和命名应通俗易懂，必要时应加以备注，执行人在执行时不容易产生歧义。</w:t>
      </w:r>
    </w:p>
    <w:p w14:paraId="1C278110">
      <w:pPr>
        <w:widowControl w:val="0"/>
        <w:overflowPunct w:val="0"/>
        <w:snapToGrid/>
        <w:spacing w:line="408" w:lineRule="auto"/>
        <w:ind w:firstLine="554" w:firstLineChars="200"/>
        <w:jc w:val="both"/>
        <w:outlineLvl w:val="1"/>
        <w:rPr>
          <w:rFonts w:hint="eastAsia" w:ascii="仿宋" w:hAnsi="仿宋" w:eastAsia="仿宋" w:cs="仿宋"/>
          <w:b/>
          <w:bCs/>
          <w:color w:val="auto"/>
          <w:sz w:val="28"/>
          <w:szCs w:val="28"/>
          <w:lang w:eastAsia="zh-CN"/>
        </w:rPr>
      </w:pPr>
      <w:bookmarkStart w:id="115" w:name="bookmark25"/>
      <w:bookmarkEnd w:id="115"/>
      <w:bookmarkStart w:id="116" w:name="_Toc181558012"/>
      <w:bookmarkStart w:id="117" w:name="_Toc208840328"/>
      <w:r>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t>（五）评价方法</w:t>
      </w:r>
      <w:bookmarkEnd w:id="116"/>
      <w:bookmarkEnd w:id="117"/>
    </w:p>
    <w:p w14:paraId="328EF65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绩效评价方法是指在绩效评价实施过程中为了取得被评价的预算支出项目、单位基础数据和资金使用绩效情况，完成绩效评价任务而采取的各种手段。整体绩效评价的方法主要包括成本效益分析法、比较法、因素分析法、最低成本法、公众评判法、标杆管理法等。根据评价对象的具体情况，可采用一种或多种方法。</w:t>
      </w:r>
    </w:p>
    <w:p w14:paraId="318E266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18" w:name="_Toc2649"/>
      <w:r>
        <w:rPr>
          <w:rFonts w:hint="eastAsia" w:ascii="仿宋" w:hAnsi="仿宋" w:eastAsia="仿宋" w:cs="仿宋"/>
          <w:color w:val="auto"/>
          <w:spacing w:val="3"/>
          <w:sz w:val="28"/>
          <w:szCs w:val="28"/>
          <w:lang w:eastAsia="zh-CN"/>
        </w:rPr>
        <w:t>1.成本效益分析法，是指将投入与产出、效益进行关联性分析的方</w:t>
      </w:r>
      <w:bookmarkEnd w:id="118"/>
      <w:r>
        <w:rPr>
          <w:rFonts w:hint="eastAsia" w:ascii="仿宋" w:hAnsi="仿宋" w:eastAsia="仿宋" w:cs="仿宋"/>
          <w:color w:val="auto"/>
          <w:spacing w:val="3"/>
          <w:sz w:val="28"/>
          <w:szCs w:val="28"/>
          <w:lang w:eastAsia="zh-CN"/>
        </w:rPr>
        <w:t>法。</w:t>
      </w:r>
    </w:p>
    <w:p w14:paraId="3564F8D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19" w:name="_Toc3340"/>
      <w:r>
        <w:rPr>
          <w:rFonts w:hint="eastAsia" w:ascii="仿宋" w:hAnsi="仿宋" w:eastAsia="仿宋" w:cs="仿宋"/>
          <w:color w:val="auto"/>
          <w:spacing w:val="3"/>
          <w:sz w:val="28"/>
          <w:szCs w:val="28"/>
          <w:lang w:eastAsia="zh-CN"/>
        </w:rPr>
        <w:t>2.比较法，是指将实施情况与绩效目标、历史情况、不同部门和地</w:t>
      </w:r>
      <w:bookmarkEnd w:id="119"/>
      <w:r>
        <w:rPr>
          <w:rFonts w:hint="eastAsia" w:ascii="仿宋" w:hAnsi="仿宋" w:eastAsia="仿宋" w:cs="仿宋"/>
          <w:color w:val="auto"/>
          <w:spacing w:val="3"/>
          <w:sz w:val="28"/>
          <w:szCs w:val="28"/>
          <w:lang w:eastAsia="zh-CN"/>
        </w:rPr>
        <w:t>区同类情况进行比较的方法。</w:t>
      </w:r>
    </w:p>
    <w:p w14:paraId="7DAC2B3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20" w:name="_Toc30639"/>
      <w:r>
        <w:rPr>
          <w:rFonts w:hint="eastAsia" w:ascii="仿宋" w:hAnsi="仿宋" w:eastAsia="仿宋" w:cs="仿宋"/>
          <w:color w:val="auto"/>
          <w:spacing w:val="3"/>
          <w:sz w:val="28"/>
          <w:szCs w:val="28"/>
          <w:lang w:eastAsia="zh-CN"/>
        </w:rPr>
        <w:t>3.因素分析法，是指综合分析影响绩效目标实现、实施效果的内外</w:t>
      </w:r>
      <w:bookmarkEnd w:id="120"/>
      <w:r>
        <w:rPr>
          <w:rFonts w:hint="eastAsia" w:ascii="仿宋" w:hAnsi="仿宋" w:eastAsia="仿宋" w:cs="仿宋"/>
          <w:color w:val="auto"/>
          <w:spacing w:val="3"/>
          <w:sz w:val="28"/>
          <w:szCs w:val="28"/>
          <w:lang w:eastAsia="zh-CN"/>
        </w:rPr>
        <w:t>部因素的方法。</w:t>
      </w:r>
    </w:p>
    <w:p w14:paraId="5103FE7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21" w:name="_Toc31102"/>
      <w:r>
        <w:rPr>
          <w:rFonts w:hint="eastAsia" w:ascii="仿宋" w:hAnsi="仿宋" w:eastAsia="仿宋" w:cs="仿宋"/>
          <w:color w:val="auto"/>
          <w:spacing w:val="3"/>
          <w:sz w:val="28"/>
          <w:szCs w:val="28"/>
          <w:lang w:eastAsia="zh-CN"/>
        </w:rPr>
        <w:t>4.最低成本法，是指在绩效目标确定的前提下，成本最小者为优的</w:t>
      </w:r>
      <w:bookmarkEnd w:id="121"/>
      <w:r>
        <w:rPr>
          <w:rFonts w:hint="eastAsia" w:ascii="仿宋" w:hAnsi="仿宋" w:eastAsia="仿宋" w:cs="仿宋"/>
          <w:color w:val="auto"/>
          <w:spacing w:val="3"/>
          <w:sz w:val="28"/>
          <w:szCs w:val="28"/>
          <w:lang w:eastAsia="zh-CN"/>
        </w:rPr>
        <w:t>方法。</w:t>
      </w:r>
    </w:p>
    <w:p w14:paraId="2146926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5.公众评判法，是指通过专家评估、公众问卷及抽样调查等方式的方法。</w:t>
      </w:r>
    </w:p>
    <w:p w14:paraId="2B6BF5A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6.标杆管理法，是指以国内外同行业中较高的绩效水平为标杆</w:t>
      </w:r>
      <w:bookmarkStart w:id="122" w:name="bookmark26"/>
      <w:bookmarkEnd w:id="122"/>
      <w:r>
        <w:rPr>
          <w:rFonts w:hint="eastAsia" w:ascii="仿宋" w:hAnsi="仿宋" w:eastAsia="仿宋" w:cs="仿宋"/>
          <w:color w:val="auto"/>
          <w:spacing w:val="3"/>
          <w:sz w:val="28"/>
          <w:szCs w:val="28"/>
          <w:lang w:eastAsia="zh-CN"/>
        </w:rPr>
        <w:t>评判的方法。</w:t>
      </w:r>
    </w:p>
    <w:p w14:paraId="67BAE46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本次绩效评价采用了比较法、因素分析法、公众评判法等评价方法。</w:t>
      </w:r>
    </w:p>
    <w:p w14:paraId="07D8FEC4">
      <w:pPr>
        <w:widowControl w:val="0"/>
        <w:overflowPunct w:val="0"/>
        <w:snapToGrid/>
        <w:spacing w:line="408" w:lineRule="auto"/>
        <w:ind w:firstLine="554" w:firstLineChars="200"/>
        <w:jc w:val="both"/>
        <w:outlineLvl w:val="1"/>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pPr>
      <w:bookmarkStart w:id="123" w:name="bookmark27"/>
      <w:bookmarkEnd w:id="123"/>
      <w:bookmarkStart w:id="124" w:name="_Toc181558013"/>
      <w:bookmarkStart w:id="125" w:name="_Toc208840329"/>
      <w:r>
        <w:rPr>
          <w:rFonts w:hint="eastAsia" w:ascii="仿宋" w:hAnsi="仿宋" w:eastAsia="仿宋" w:cs="仿宋"/>
          <w:b/>
          <w:bCs/>
          <w:color w:val="auto"/>
          <w:spacing w:val="-2"/>
          <w:sz w:val="28"/>
          <w:szCs w:val="28"/>
          <w:lang w:eastAsia="zh-CN"/>
          <w14:textOutline w14:w="5105" w14:cap="sq" w14:cmpd="sng" w14:algn="ctr">
            <w14:solidFill>
              <w14:srgbClr w14:val="333333"/>
            </w14:solidFill>
            <w14:prstDash w14:val="solid"/>
            <w14:bevel/>
          </w14:textOutline>
        </w:rPr>
        <w:t>（六）绩效标准</w:t>
      </w:r>
      <w:bookmarkEnd w:id="124"/>
      <w:bookmarkEnd w:id="125"/>
    </w:p>
    <w:p w14:paraId="2AB2534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绩效标准，是设定、审核绩效指标时所依据或参考的标准，通常包括计划标准、行业标准、历史标准等，也可用于对绩效指标完成情况进行比较。</w:t>
      </w:r>
    </w:p>
    <w:p w14:paraId="1631E63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26" w:name="_Toc9982"/>
      <w:r>
        <w:rPr>
          <w:rFonts w:hint="eastAsia" w:ascii="仿宋" w:hAnsi="仿宋" w:eastAsia="仿宋" w:cs="仿宋"/>
          <w:color w:val="auto"/>
          <w:spacing w:val="3"/>
          <w:sz w:val="28"/>
          <w:szCs w:val="28"/>
          <w:lang w:eastAsia="zh-CN"/>
        </w:rPr>
        <w:t>1.计划标准，指以预先制定的目标、计划、预算、定额等作为评价</w:t>
      </w:r>
      <w:bookmarkEnd w:id="126"/>
      <w:r>
        <w:rPr>
          <w:rFonts w:hint="eastAsia" w:ascii="仿宋" w:hAnsi="仿宋" w:eastAsia="仿宋" w:cs="仿宋"/>
          <w:color w:val="auto"/>
          <w:spacing w:val="3"/>
          <w:sz w:val="28"/>
          <w:szCs w:val="28"/>
          <w:lang w:eastAsia="zh-CN"/>
        </w:rPr>
        <w:t>标准。</w:t>
      </w:r>
    </w:p>
    <w:p w14:paraId="1358DB5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27" w:name="_Toc30280"/>
      <w:bookmarkStart w:id="128" w:name="_Toc5615"/>
      <w:bookmarkStart w:id="129" w:name="_Toc14653"/>
      <w:r>
        <w:rPr>
          <w:rFonts w:hint="eastAsia" w:ascii="仿宋" w:hAnsi="仿宋" w:eastAsia="仿宋" w:cs="仿宋"/>
          <w:color w:val="auto"/>
          <w:spacing w:val="3"/>
          <w:sz w:val="28"/>
          <w:szCs w:val="28"/>
          <w:lang w:eastAsia="zh-CN"/>
        </w:rPr>
        <w:t>2.行业标准，指参照国家公布的行业指标数据制定的评价标准。</w:t>
      </w:r>
      <w:bookmarkEnd w:id="127"/>
      <w:bookmarkEnd w:id="128"/>
      <w:bookmarkEnd w:id="129"/>
    </w:p>
    <w:p w14:paraId="52E4586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3.历史标准，指参照历史数据制定的评价标准。为体现绩效改进原则，在可实现的条件下应当确定相对较高的评价标准。</w:t>
      </w:r>
    </w:p>
    <w:p w14:paraId="1D20243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30" w:name="_Toc26961"/>
      <w:bookmarkStart w:id="131" w:name="_Toc19926"/>
      <w:bookmarkStart w:id="132" w:name="_Toc23446"/>
      <w:r>
        <w:rPr>
          <w:rFonts w:hint="eastAsia" w:ascii="仿宋" w:hAnsi="仿宋" w:eastAsia="仿宋" w:cs="仿宋"/>
          <w:color w:val="auto"/>
          <w:spacing w:val="3"/>
          <w:sz w:val="28"/>
          <w:szCs w:val="28"/>
          <w:lang w:eastAsia="zh-CN"/>
        </w:rPr>
        <w:t>4.省财政部门和部门单位确认或认可的其他标准。</w:t>
      </w:r>
      <w:bookmarkEnd w:id="130"/>
      <w:bookmarkEnd w:id="131"/>
      <w:bookmarkEnd w:id="132"/>
    </w:p>
    <w:p w14:paraId="751904D3">
      <w:pPr>
        <w:widowControl w:val="0"/>
        <w:overflowPunct w:val="0"/>
        <w:snapToGrid/>
        <w:spacing w:line="408" w:lineRule="auto"/>
        <w:ind w:firstLine="558" w:firstLineChars="200"/>
        <w:jc w:val="both"/>
        <w:outlineLvl w:val="1"/>
        <w:rPr>
          <w:rFonts w:hint="eastAsia" w:ascii="仿宋" w:hAnsi="仿宋" w:eastAsia="仿宋" w:cs="仿宋"/>
          <w:b/>
          <w:bCs/>
          <w:color w:val="auto"/>
          <w:spacing w:val="-1"/>
          <w:sz w:val="28"/>
          <w:szCs w:val="28"/>
          <w:lang w:eastAsia="zh-CN"/>
          <w14:textOutline w14:w="5105" w14:cap="sq" w14:cmpd="sng" w14:algn="ctr">
            <w14:solidFill>
              <w14:srgbClr w14:val="000000"/>
            </w14:solidFill>
            <w14:prstDash w14:val="solid"/>
            <w14:bevel/>
          </w14:textOutline>
        </w:rPr>
      </w:pPr>
      <w:bookmarkStart w:id="133" w:name="bookmark28"/>
      <w:bookmarkEnd w:id="133"/>
      <w:bookmarkStart w:id="134" w:name="_Toc181558014"/>
      <w:bookmarkStart w:id="135" w:name="_Toc208840330"/>
      <w:r>
        <w:rPr>
          <w:rFonts w:hint="eastAsia" w:ascii="仿宋" w:hAnsi="仿宋" w:eastAsia="仿宋" w:cs="仿宋"/>
          <w:b/>
          <w:bCs/>
          <w:color w:val="auto"/>
          <w:spacing w:val="-1"/>
          <w:sz w:val="28"/>
          <w:szCs w:val="28"/>
          <w:lang w:eastAsia="zh-CN"/>
          <w14:textOutline w14:w="5105" w14:cap="sq" w14:cmpd="sng" w14:algn="ctr">
            <w14:solidFill>
              <w14:srgbClr w14:val="000000"/>
            </w14:solidFill>
            <w14:prstDash w14:val="solid"/>
            <w14:bevel/>
          </w14:textOutline>
        </w:rPr>
        <w:t>（七）评价思路及关注点</w:t>
      </w:r>
      <w:bookmarkEnd w:id="134"/>
      <w:bookmarkEnd w:id="135"/>
    </w:p>
    <w:p w14:paraId="5BDB061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本次评价依据部门整体支出绩效目标，从部门财政管理工作绩效、部门职能履行、部门履职效果、年度工作重点任务实施情况，以及财政管理、审计发现的问题，梳理评价内容。重点关注和分析部门开展预算绩效管理工作的规范性和执行力；部门履职中重大任务、重点工作完成情况和取得的效果，以及部门在推进事业发展中重大改革创新举措取得的成效。</w:t>
      </w:r>
    </w:p>
    <w:p w14:paraId="7C86834A">
      <w:pPr>
        <w:widowControl w:val="0"/>
        <w:overflowPunct w:val="0"/>
        <w:snapToGrid/>
        <w:spacing w:line="408" w:lineRule="auto"/>
        <w:ind w:firstLine="558" w:firstLineChars="200"/>
        <w:jc w:val="both"/>
        <w:outlineLvl w:val="1"/>
        <w:rPr>
          <w:rFonts w:hint="eastAsia" w:ascii="仿宋" w:hAnsi="仿宋" w:eastAsia="仿宋" w:cs="仿宋"/>
          <w:b/>
          <w:bCs/>
          <w:color w:val="auto"/>
          <w:sz w:val="28"/>
          <w:lang w:eastAsia="zh-CN"/>
        </w:rPr>
      </w:pPr>
      <w:bookmarkStart w:id="136" w:name="bookmark29"/>
      <w:bookmarkEnd w:id="136"/>
      <w:bookmarkStart w:id="137" w:name="_Toc181558015"/>
      <w:bookmarkStart w:id="138" w:name="_Toc208840331"/>
      <w:r>
        <w:rPr>
          <w:rFonts w:hint="eastAsia" w:ascii="仿宋" w:hAnsi="仿宋" w:eastAsia="仿宋" w:cs="仿宋"/>
          <w:b/>
          <w:bCs/>
          <w:color w:val="auto"/>
          <w:spacing w:val="-1"/>
          <w:sz w:val="28"/>
          <w:szCs w:val="28"/>
          <w:lang w:eastAsia="zh-CN"/>
          <w14:textOutline w14:w="5105" w14:cap="sq" w14:cmpd="sng" w14:algn="ctr">
            <w14:solidFill>
              <w14:srgbClr w14:val="000000"/>
            </w14:solidFill>
            <w14:prstDash w14:val="solid"/>
            <w14:bevel/>
          </w14:textOutline>
        </w:rPr>
        <w:t>（八）绩效评价数据来源</w:t>
      </w:r>
      <w:bookmarkEnd w:id="137"/>
      <w:bookmarkEnd w:id="138"/>
    </w:p>
    <w:p w14:paraId="4F679848">
      <w:pPr>
        <w:widowControl w:val="0"/>
        <w:overflowPunct w:val="0"/>
        <w:snapToGrid/>
        <w:spacing w:line="408" w:lineRule="auto"/>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2024年度部门整体绩效评价中所用到的数据均来源于石狮市城市管理和综合执法局</w:t>
      </w:r>
      <w:r>
        <w:rPr>
          <w:rFonts w:hint="eastAsia" w:ascii="仿宋" w:hAnsi="仿宋" w:eastAsia="仿宋" w:cs="仿宋"/>
          <w:color w:val="auto"/>
          <w:spacing w:val="3"/>
          <w:sz w:val="28"/>
          <w:szCs w:val="28"/>
          <w:lang w:eastAsia="zh-CN"/>
        </w:rPr>
        <w:t>提供的资料和数据表，包括：部门预决算及说明、部门预算批</w:t>
      </w:r>
      <w:r>
        <w:rPr>
          <w:rFonts w:hint="eastAsia" w:ascii="仿宋" w:hAnsi="仿宋" w:eastAsia="仿宋" w:cs="仿宋"/>
          <w:color w:val="auto"/>
          <w:spacing w:val="1"/>
          <w:sz w:val="28"/>
          <w:szCs w:val="28"/>
          <w:lang w:eastAsia="zh-CN"/>
        </w:rPr>
        <w:t>复文件、部门整体支出及专项支出的绩效自评表、自评报告</w:t>
      </w:r>
      <w:r>
        <w:rPr>
          <w:rFonts w:hint="eastAsia" w:ascii="仿宋" w:hAnsi="仿宋" w:eastAsia="仿宋" w:cs="仿宋"/>
          <w:color w:val="auto"/>
          <w:sz w:val="28"/>
          <w:szCs w:val="28"/>
          <w:lang w:eastAsia="zh-CN"/>
        </w:rPr>
        <w:t>和绩效目标</w:t>
      </w:r>
      <w:r>
        <w:rPr>
          <w:rFonts w:hint="eastAsia" w:ascii="仿宋" w:hAnsi="仿宋" w:eastAsia="仿宋" w:cs="仿宋"/>
          <w:color w:val="auto"/>
          <w:spacing w:val="-3"/>
          <w:sz w:val="28"/>
          <w:szCs w:val="28"/>
          <w:lang w:eastAsia="zh-CN"/>
        </w:rPr>
        <w:t>表、部门年度计划及工作总结、资金下达文件、部门制</w:t>
      </w:r>
      <w:r>
        <w:rPr>
          <w:rFonts w:hint="eastAsia" w:ascii="仿宋" w:hAnsi="仿宋" w:eastAsia="仿宋" w:cs="仿宋"/>
          <w:color w:val="auto"/>
          <w:spacing w:val="-4"/>
          <w:sz w:val="28"/>
          <w:szCs w:val="28"/>
          <w:lang w:eastAsia="zh-CN"/>
        </w:rPr>
        <w:t>度文件、审计报告等材料。</w:t>
      </w:r>
    </w:p>
    <w:p w14:paraId="5449D94C">
      <w:pPr>
        <w:widowControl w:val="0"/>
        <w:overflowPunct w:val="0"/>
        <w:snapToGrid/>
        <w:spacing w:line="408" w:lineRule="auto"/>
        <w:ind w:firstLine="558" w:firstLineChars="200"/>
        <w:jc w:val="both"/>
        <w:outlineLvl w:val="1"/>
        <w:rPr>
          <w:rFonts w:hint="eastAsia" w:ascii="仿宋" w:hAnsi="仿宋" w:eastAsia="仿宋" w:cs="仿宋"/>
          <w:b/>
          <w:bCs/>
          <w:color w:val="auto"/>
          <w:spacing w:val="-2"/>
          <w:position w:val="26"/>
          <w:sz w:val="28"/>
          <w:szCs w:val="28"/>
          <w:lang w:eastAsia="zh-CN"/>
        </w:rPr>
      </w:pPr>
      <w:bookmarkStart w:id="139" w:name="bookmark30"/>
      <w:bookmarkEnd w:id="139"/>
      <w:bookmarkStart w:id="140" w:name="_Toc181558016"/>
      <w:bookmarkStart w:id="141" w:name="_Toc208840332"/>
      <w:r>
        <w:rPr>
          <w:rFonts w:hint="eastAsia" w:ascii="仿宋" w:hAnsi="仿宋" w:eastAsia="仿宋" w:cs="仿宋"/>
          <w:b/>
          <w:bCs/>
          <w:color w:val="auto"/>
          <w:spacing w:val="-1"/>
          <w:sz w:val="28"/>
          <w:szCs w:val="28"/>
          <w:lang w:eastAsia="zh-CN"/>
          <w14:textOutline w14:w="5105" w14:cap="sq" w14:cmpd="sng" w14:algn="ctr">
            <w14:solidFill>
              <w14:srgbClr w14:val="000000"/>
            </w14:solidFill>
            <w14:prstDash w14:val="solid"/>
            <w14:bevel/>
          </w14:textOutline>
        </w:rPr>
        <w:t>（九）评价工作开展情况</w:t>
      </w:r>
      <w:bookmarkEnd w:id="140"/>
      <w:bookmarkEnd w:id="141"/>
    </w:p>
    <w:p w14:paraId="30221BF7">
      <w:pPr>
        <w:widowControl w:val="0"/>
        <w:overflowPunct w:val="0"/>
        <w:snapToGrid/>
        <w:spacing w:line="408" w:lineRule="auto"/>
        <w:ind w:firstLine="564" w:firstLineChars="200"/>
        <w:jc w:val="both"/>
        <w:rPr>
          <w:rFonts w:hint="eastAsia" w:ascii="仿宋" w:hAnsi="仿宋" w:eastAsia="仿宋" w:cs="仿宋"/>
          <w:color w:val="auto"/>
          <w:spacing w:val="1"/>
          <w:sz w:val="28"/>
          <w:szCs w:val="28"/>
          <w:lang w:eastAsia="zh-CN"/>
        </w:rPr>
      </w:pPr>
      <w:r>
        <w:rPr>
          <w:rFonts w:hint="eastAsia" w:ascii="仿宋" w:hAnsi="仿宋" w:eastAsia="仿宋" w:cs="仿宋"/>
          <w:color w:val="auto"/>
          <w:spacing w:val="1"/>
          <w:sz w:val="28"/>
          <w:szCs w:val="28"/>
          <w:lang w:eastAsia="zh-CN"/>
        </w:rPr>
        <w:t>1.按要求对2024年度部门整体绩效评价工作进行调研方案设计；</w:t>
      </w:r>
    </w:p>
    <w:p w14:paraId="2797A707">
      <w:pPr>
        <w:widowControl w:val="0"/>
        <w:overflowPunct w:val="0"/>
        <w:snapToGrid/>
        <w:spacing w:line="408" w:lineRule="auto"/>
        <w:ind w:firstLine="564"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1"/>
          <w:sz w:val="28"/>
          <w:szCs w:val="28"/>
          <w:lang w:eastAsia="zh-CN"/>
        </w:rPr>
        <w:t>2.绩效评价工作组成员到石狮市城市管理和综合执法局进行实地调研和座谈，查阅单位有关档案，收集数据、资料等，依据评</w:t>
      </w:r>
      <w:r>
        <w:rPr>
          <w:rFonts w:hint="eastAsia" w:ascii="仿宋" w:hAnsi="仿宋" w:eastAsia="仿宋" w:cs="仿宋"/>
          <w:color w:val="auto"/>
          <w:spacing w:val="3"/>
          <w:sz w:val="28"/>
          <w:szCs w:val="28"/>
          <w:lang w:eastAsia="zh-CN"/>
        </w:rPr>
        <w:t>价工作规范，制订评价工作方案；</w:t>
      </w:r>
    </w:p>
    <w:p w14:paraId="7FEF784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3.拟定2024年度部门整体绩效评价指标体系，与财政局相关部门商讨指标体系，根据反馈意见，修订绩效评价指标体系；</w:t>
      </w:r>
    </w:p>
    <w:p w14:paraId="20E6399A">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4.根据修订后的指标体系以及绩效评价过程中出现的问题，绩效评价工作组与财政局及石狮市城市管理和综合执法局进行讨论，补充搜集绩效评价所需的数据和资料；</w:t>
      </w:r>
    </w:p>
    <w:p w14:paraId="3B3C7B8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5.归纳、分析、综合数据与资料，对2024年度部门整体绩效进行分析，完成2024年度部门整体绩效评价报告初稿；</w:t>
      </w:r>
    </w:p>
    <w:p w14:paraId="1A5B8E7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42" w:name="_Toc10283"/>
      <w:r>
        <w:rPr>
          <w:rFonts w:hint="eastAsia" w:ascii="仿宋" w:hAnsi="仿宋" w:eastAsia="仿宋" w:cs="仿宋"/>
          <w:color w:val="auto"/>
          <w:spacing w:val="3"/>
          <w:sz w:val="28"/>
          <w:szCs w:val="28"/>
          <w:lang w:eastAsia="zh-CN"/>
        </w:rPr>
        <w:t>6.征询财政局的意见，对初稿进行修改</w:t>
      </w:r>
      <w:bookmarkEnd w:id="142"/>
      <w:r>
        <w:rPr>
          <w:rFonts w:hint="eastAsia" w:ascii="仿宋" w:hAnsi="仿宋" w:eastAsia="仿宋" w:cs="仿宋"/>
          <w:color w:val="auto"/>
          <w:spacing w:val="3"/>
          <w:sz w:val="28"/>
          <w:szCs w:val="28"/>
          <w:lang w:eastAsia="zh-CN"/>
        </w:rPr>
        <w:t>调整，完成《2024年度石狮市城市管理和综合执法局部门整体支出绩效评价报告》修订稿；</w:t>
      </w:r>
    </w:p>
    <w:p w14:paraId="457502F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43" w:name="_Toc18250"/>
      <w:r>
        <w:rPr>
          <w:rFonts w:hint="eastAsia" w:ascii="仿宋" w:hAnsi="仿宋" w:eastAsia="仿宋" w:cs="仿宋"/>
          <w:color w:val="auto"/>
          <w:spacing w:val="3"/>
          <w:sz w:val="28"/>
          <w:szCs w:val="28"/>
          <w:lang w:eastAsia="zh-CN"/>
        </w:rPr>
        <w:t>7.组织专家评审。根据绩效评价报告修订稿，组织外部专家</w:t>
      </w:r>
      <w:bookmarkEnd w:id="143"/>
      <w:r>
        <w:rPr>
          <w:rFonts w:hint="eastAsia" w:ascii="仿宋" w:hAnsi="仿宋" w:eastAsia="仿宋" w:cs="仿宋"/>
          <w:color w:val="auto"/>
          <w:spacing w:val="3"/>
          <w:sz w:val="28"/>
          <w:szCs w:val="28"/>
          <w:lang w:eastAsia="zh-CN"/>
        </w:rPr>
        <w:t>对报告进行专家评审，根据专家评审意见对报告进行再次优化；</w:t>
      </w:r>
    </w:p>
    <w:p w14:paraId="35004747">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bookmarkStart w:id="144" w:name="_Toc26015"/>
      <w:r>
        <w:rPr>
          <w:rFonts w:hint="eastAsia" w:ascii="仿宋" w:hAnsi="仿宋" w:eastAsia="仿宋" w:cs="仿宋"/>
          <w:color w:val="auto"/>
          <w:spacing w:val="3"/>
          <w:sz w:val="28"/>
          <w:szCs w:val="28"/>
          <w:lang w:eastAsia="zh-CN"/>
        </w:rPr>
        <w:t>8.提交绩效评价报告。根据各方意见对评价报告进行优化完善定稿</w:t>
      </w:r>
      <w:bookmarkEnd w:id="144"/>
      <w:r>
        <w:rPr>
          <w:rFonts w:hint="eastAsia" w:ascii="仿宋" w:hAnsi="仿宋" w:eastAsia="仿宋" w:cs="仿宋"/>
          <w:color w:val="auto"/>
          <w:spacing w:val="3"/>
          <w:sz w:val="28"/>
          <w:szCs w:val="28"/>
          <w:lang w:eastAsia="zh-CN"/>
        </w:rPr>
        <w:t>；对评价报告装订成册，在规定时间内提交评价报告终稿。</w:t>
      </w:r>
      <w:bookmarkStart w:id="145" w:name="bookmark31"/>
      <w:bookmarkEnd w:id="145"/>
      <w:bookmarkStart w:id="146" w:name="bookmark32"/>
      <w:bookmarkEnd w:id="146"/>
      <w:bookmarkStart w:id="147" w:name="bookmark33"/>
      <w:bookmarkEnd w:id="147"/>
    </w:p>
    <w:p w14:paraId="66BB3E71">
      <w:pPr>
        <w:widowControl w:val="0"/>
        <w:overflowPunct w:val="0"/>
        <w:snapToGrid/>
        <w:spacing w:line="408" w:lineRule="auto"/>
        <w:ind w:firstLine="550" w:firstLineChars="200"/>
        <w:outlineLvl w:val="0"/>
        <w:rPr>
          <w:rFonts w:hint="eastAsia" w:ascii="仿宋" w:hAnsi="仿宋" w:eastAsia="仿宋" w:cs="仿宋"/>
          <w:b/>
          <w:bCs/>
          <w:color w:val="auto"/>
          <w:sz w:val="28"/>
          <w:szCs w:val="28"/>
          <w:lang w:eastAsia="zh-CN"/>
        </w:rPr>
      </w:pPr>
      <w:bookmarkStart w:id="148" w:name="_Toc181558017"/>
      <w:bookmarkStart w:id="149" w:name="_Toc208840333"/>
      <w:r>
        <w:rPr>
          <w:rFonts w:hint="eastAsia" w:ascii="仿宋" w:hAnsi="仿宋" w:eastAsia="仿宋" w:cs="仿宋"/>
          <w:b/>
          <w:bCs/>
          <w:color w:val="auto"/>
          <w:spacing w:val="-3"/>
          <w:sz w:val="28"/>
          <w:szCs w:val="28"/>
          <w:lang w:eastAsia="zh-CN"/>
          <w14:textOutline w14:w="5105" w14:cap="sq" w14:cmpd="sng" w14:algn="ctr">
            <w14:solidFill>
              <w14:srgbClr w14:val="000000"/>
            </w14:solidFill>
            <w14:prstDash w14:val="solid"/>
            <w14:bevel/>
          </w14:textOutline>
        </w:rPr>
        <w:t>五、指标体系</w:t>
      </w:r>
      <w:bookmarkEnd w:id="148"/>
      <w:bookmarkEnd w:id="149"/>
    </w:p>
    <w:p w14:paraId="3857521D">
      <w:pPr>
        <w:widowControl w:val="0"/>
        <w:overflowPunct w:val="0"/>
        <w:snapToGrid/>
        <w:spacing w:line="408" w:lineRule="auto"/>
        <w:ind w:firstLine="558" w:firstLineChars="200"/>
        <w:jc w:val="both"/>
        <w:outlineLvl w:val="1"/>
        <w:rPr>
          <w:rFonts w:hint="eastAsia" w:ascii="仿宋" w:hAnsi="仿宋" w:eastAsia="仿宋" w:cs="仿宋"/>
          <w:b/>
          <w:color w:val="auto"/>
          <w:sz w:val="28"/>
          <w:szCs w:val="28"/>
          <w:lang w:eastAsia="zh-CN"/>
        </w:rPr>
      </w:pPr>
      <w:bookmarkStart w:id="150" w:name="_Toc181558018"/>
      <w:bookmarkStart w:id="151" w:name="_Toc208840334"/>
      <w:r>
        <w:rPr>
          <w:rFonts w:hint="eastAsia" w:ascii="仿宋" w:hAnsi="仿宋" w:eastAsia="仿宋" w:cs="仿宋"/>
          <w:b/>
          <w:color w:val="auto"/>
          <w:spacing w:val="-1"/>
          <w:sz w:val="28"/>
          <w:szCs w:val="28"/>
          <w:lang w:eastAsia="zh-CN"/>
          <w14:textOutline w14:w="5105" w14:cap="sq" w14:cmpd="sng" w14:algn="ctr">
            <w14:solidFill>
              <w14:srgbClr w14:val="333333"/>
            </w14:solidFill>
            <w14:prstDash w14:val="solid"/>
            <w14:bevel/>
          </w14:textOutline>
        </w:rPr>
        <w:t>（一）评价指标分值分布</w:t>
      </w:r>
      <w:bookmarkEnd w:id="150"/>
      <w:bookmarkEnd w:id="151"/>
    </w:p>
    <w:p w14:paraId="08F5ECF1">
      <w:pPr>
        <w:widowControl w:val="0"/>
        <w:overflowPunct w:val="0"/>
        <w:snapToGrid/>
        <w:spacing w:line="408" w:lineRule="auto"/>
        <w:ind w:firstLine="556" w:firstLineChars="200"/>
        <w:jc w:val="both"/>
        <w:rPr>
          <w:rFonts w:hint="eastAsia" w:ascii="仿宋" w:hAnsi="仿宋" w:eastAsia="仿宋" w:cs="仿宋"/>
          <w:color w:val="auto"/>
          <w:spacing w:val="-1"/>
          <w:sz w:val="28"/>
          <w:szCs w:val="28"/>
          <w:lang w:eastAsia="zh-CN"/>
        </w:rPr>
      </w:pPr>
      <w:r>
        <w:rPr>
          <w:rFonts w:hint="eastAsia" w:ascii="仿宋" w:hAnsi="仿宋" w:eastAsia="仿宋" w:cs="仿宋"/>
          <w:color w:val="auto"/>
          <w:spacing w:val="-1"/>
          <w:sz w:val="28"/>
          <w:szCs w:val="28"/>
          <w:lang w:eastAsia="zh-CN"/>
        </w:rPr>
        <w:t>本次绩效评价指标体系总体依据《预算绩效评价共性指标体系框架》（财预〔2013〕53号）的相关规定设计，在参考“部门整体支出项目绩效评价指标体系”的一级和二级指标内容的前提下，结合部门当年度实际工作任务对三级指标进行细化和调整，并采用层次分析法，结合以往经验确定三级指标的权重。</w:t>
      </w:r>
    </w:p>
    <w:p w14:paraId="5D8F9B30">
      <w:pPr>
        <w:widowControl w:val="0"/>
        <w:overflowPunct w:val="0"/>
        <w:snapToGrid/>
        <w:spacing w:line="408" w:lineRule="auto"/>
        <w:ind w:firstLine="558" w:firstLineChars="200"/>
        <w:jc w:val="both"/>
        <w:outlineLvl w:val="1"/>
        <w:rPr>
          <w:rFonts w:hint="eastAsia" w:ascii="仿宋" w:hAnsi="仿宋" w:eastAsia="仿宋" w:cs="仿宋"/>
          <w:b/>
          <w:color w:val="auto"/>
          <w:spacing w:val="-1"/>
          <w:sz w:val="28"/>
          <w:szCs w:val="28"/>
          <w:lang w:eastAsia="zh-CN"/>
          <w14:textOutline w14:w="5105" w14:cap="sq" w14:cmpd="sng" w14:algn="ctr">
            <w14:solidFill>
              <w14:srgbClr w14:val="333333"/>
            </w14:solidFill>
            <w14:prstDash w14:val="solid"/>
            <w14:bevel/>
          </w14:textOutline>
        </w:rPr>
      </w:pPr>
      <w:bookmarkStart w:id="152" w:name="_Toc181558019"/>
      <w:bookmarkStart w:id="153" w:name="_Toc208840335"/>
      <w:r>
        <w:rPr>
          <w:rFonts w:hint="eastAsia" w:ascii="仿宋" w:hAnsi="仿宋" w:eastAsia="仿宋" w:cs="仿宋"/>
          <w:b/>
          <w:color w:val="auto"/>
          <w:spacing w:val="-1"/>
          <w:sz w:val="28"/>
          <w:szCs w:val="28"/>
          <w:lang w:eastAsia="zh-CN"/>
          <w14:textOutline w14:w="5105" w14:cap="sq" w14:cmpd="sng" w14:algn="ctr">
            <w14:solidFill>
              <w14:srgbClr w14:val="333333"/>
            </w14:solidFill>
            <w14:prstDash w14:val="solid"/>
            <w14:bevel/>
          </w14:textOutline>
        </w:rPr>
        <w:t>（二）评价等级</w:t>
      </w:r>
      <w:bookmarkEnd w:id="152"/>
      <w:bookmarkEnd w:id="153"/>
    </w:p>
    <w:p w14:paraId="69415EC5">
      <w:pPr>
        <w:widowControl w:val="0"/>
        <w:overflowPunct w:val="0"/>
        <w:snapToGrid/>
        <w:spacing w:line="408" w:lineRule="auto"/>
        <w:ind w:firstLine="556" w:firstLineChars="200"/>
        <w:jc w:val="both"/>
        <w:rPr>
          <w:rFonts w:hint="eastAsia" w:ascii="仿宋" w:hAnsi="仿宋" w:eastAsia="仿宋" w:cs="仿宋"/>
          <w:color w:val="auto"/>
          <w:spacing w:val="-1"/>
          <w:sz w:val="28"/>
          <w:szCs w:val="28"/>
          <w:lang w:eastAsia="zh-CN"/>
        </w:rPr>
      </w:pPr>
      <w:bookmarkStart w:id="154" w:name="_Toc22776"/>
      <w:r>
        <w:rPr>
          <w:rFonts w:hint="eastAsia" w:ascii="仿宋" w:hAnsi="仿宋" w:eastAsia="仿宋" w:cs="仿宋"/>
          <w:color w:val="auto"/>
          <w:spacing w:val="-1"/>
          <w:sz w:val="28"/>
          <w:szCs w:val="28"/>
          <w:lang w:eastAsia="zh-CN"/>
        </w:rPr>
        <w:t>评价结果包括综合评分和评级，分为四个等级：高于或等于90（含）为“优”；80分（含）～90分为“良”；60分（含）～80分为“中”；低于60分为“差”</w:t>
      </w:r>
      <w:bookmarkEnd w:id="154"/>
      <w:r>
        <w:rPr>
          <w:rFonts w:hint="eastAsia" w:ascii="仿宋" w:hAnsi="仿宋" w:eastAsia="仿宋" w:cs="仿宋"/>
          <w:color w:val="auto"/>
          <w:spacing w:val="-1"/>
          <w:sz w:val="28"/>
          <w:szCs w:val="28"/>
          <w:lang w:eastAsia="zh-CN"/>
        </w:rPr>
        <w:t>。</w:t>
      </w:r>
    </w:p>
    <w:p w14:paraId="0BDD9FB5">
      <w:pPr>
        <w:widowControl w:val="0"/>
        <w:overflowPunct w:val="0"/>
        <w:snapToGrid/>
        <w:spacing w:line="408" w:lineRule="auto"/>
        <w:ind w:firstLine="556" w:firstLineChars="200"/>
        <w:jc w:val="both"/>
        <w:rPr>
          <w:rFonts w:hint="eastAsia" w:ascii="仿宋" w:hAnsi="仿宋" w:eastAsia="仿宋" w:cs="仿宋"/>
          <w:color w:val="auto"/>
          <w:spacing w:val="-1"/>
          <w:sz w:val="28"/>
          <w:szCs w:val="28"/>
          <w:lang w:eastAsia="zh-CN"/>
        </w:rPr>
      </w:pPr>
    </w:p>
    <w:p w14:paraId="5044AB0F">
      <w:pPr>
        <w:widowControl w:val="0"/>
        <w:overflowPunct w:val="0"/>
        <w:snapToGrid/>
        <w:spacing w:line="408" w:lineRule="auto"/>
        <w:ind w:firstLine="556" w:firstLineChars="200"/>
        <w:jc w:val="both"/>
        <w:rPr>
          <w:rFonts w:hint="eastAsia" w:ascii="仿宋" w:hAnsi="仿宋" w:eastAsia="仿宋" w:cs="仿宋"/>
          <w:color w:val="auto"/>
          <w:spacing w:val="-1"/>
          <w:sz w:val="28"/>
          <w:szCs w:val="28"/>
          <w:lang w:eastAsia="zh-CN"/>
        </w:rPr>
      </w:pPr>
    </w:p>
    <w:p w14:paraId="75634326">
      <w:pPr>
        <w:widowControl w:val="0"/>
        <w:overflowPunct w:val="0"/>
        <w:snapToGrid/>
        <w:spacing w:line="408" w:lineRule="auto"/>
        <w:ind w:firstLine="556" w:firstLineChars="200"/>
        <w:jc w:val="both"/>
        <w:rPr>
          <w:rFonts w:hint="eastAsia" w:ascii="仿宋" w:hAnsi="仿宋" w:eastAsia="仿宋" w:cs="仿宋"/>
          <w:color w:val="auto"/>
          <w:spacing w:val="-1"/>
          <w:sz w:val="28"/>
          <w:szCs w:val="28"/>
          <w:lang w:eastAsia="zh-CN"/>
        </w:rPr>
      </w:pPr>
    </w:p>
    <w:p w14:paraId="7C140DCD">
      <w:pPr>
        <w:widowControl w:val="0"/>
        <w:overflowPunct w:val="0"/>
        <w:snapToGrid/>
        <w:spacing w:line="408" w:lineRule="auto"/>
        <w:ind w:firstLine="556" w:firstLineChars="200"/>
        <w:jc w:val="both"/>
        <w:rPr>
          <w:rFonts w:hint="eastAsia" w:ascii="仿宋" w:hAnsi="仿宋" w:eastAsia="仿宋" w:cs="仿宋"/>
          <w:color w:val="auto"/>
          <w:spacing w:val="-1"/>
          <w:sz w:val="28"/>
          <w:szCs w:val="28"/>
          <w:lang w:eastAsia="zh-CN"/>
        </w:rPr>
      </w:pPr>
    </w:p>
    <w:p w14:paraId="28625B33">
      <w:pPr>
        <w:widowControl w:val="0"/>
        <w:overflowPunct w:val="0"/>
        <w:snapToGrid/>
        <w:spacing w:line="408" w:lineRule="auto"/>
        <w:ind w:firstLine="556" w:firstLineChars="200"/>
        <w:jc w:val="both"/>
        <w:rPr>
          <w:rFonts w:hint="eastAsia" w:ascii="仿宋" w:hAnsi="仿宋" w:eastAsia="仿宋" w:cs="仿宋"/>
          <w:color w:val="auto"/>
          <w:spacing w:val="-1"/>
          <w:sz w:val="28"/>
          <w:szCs w:val="28"/>
          <w:lang w:eastAsia="zh-CN"/>
        </w:rPr>
      </w:pPr>
    </w:p>
    <w:p w14:paraId="60517264">
      <w:pPr>
        <w:widowControl w:val="0"/>
        <w:overflowPunct w:val="0"/>
        <w:snapToGrid/>
        <w:spacing w:line="408" w:lineRule="auto"/>
        <w:ind w:firstLine="556" w:firstLineChars="200"/>
        <w:jc w:val="both"/>
        <w:rPr>
          <w:rFonts w:hint="eastAsia" w:ascii="仿宋" w:hAnsi="仿宋" w:eastAsia="仿宋" w:cs="仿宋"/>
          <w:color w:val="auto"/>
          <w:spacing w:val="-1"/>
          <w:sz w:val="28"/>
          <w:szCs w:val="28"/>
          <w:lang w:eastAsia="zh-CN"/>
        </w:rPr>
      </w:pPr>
    </w:p>
    <w:p w14:paraId="2F9E4F61">
      <w:pPr>
        <w:widowControl w:val="0"/>
        <w:overflowPunct w:val="0"/>
        <w:spacing w:line="408" w:lineRule="auto"/>
        <w:ind w:firstLine="274" w:firstLineChars="100"/>
        <w:jc w:val="both"/>
        <w:rPr>
          <w:rFonts w:hint="eastAsia" w:ascii="仿宋" w:hAnsi="仿宋" w:eastAsia="仿宋" w:cs="仿宋"/>
          <w:bCs/>
          <w:spacing w:val="-3"/>
          <w:sz w:val="28"/>
          <w:szCs w:val="24"/>
          <w:lang w:eastAsia="zh-CN"/>
          <w14:textOutline w14:w="5105" w14:cap="sq" w14:cmpd="sng" w14:algn="ctr">
            <w14:solidFill>
              <w14:srgbClr w14:val="000000"/>
            </w14:solidFill>
            <w14:prstDash w14:val="solid"/>
            <w14:bevel/>
          </w14:textOutline>
        </w:rPr>
      </w:pPr>
      <w:r>
        <w:rPr>
          <w:rFonts w:hint="eastAsia" w:ascii="仿宋" w:hAnsi="仿宋" w:eastAsia="仿宋" w:cs="仿宋"/>
          <w:bCs/>
          <w:spacing w:val="-3"/>
          <w:sz w:val="28"/>
          <w:szCs w:val="24"/>
          <w:lang w:eastAsia="zh-CN"/>
          <w14:textOutline w14:w="5105" w14:cap="sq" w14:cmpd="sng" w14:algn="ctr">
            <w14:solidFill>
              <w14:srgbClr w14:val="000000"/>
            </w14:solidFill>
            <w14:prstDash w14:val="solid"/>
            <w14:bevel/>
          </w14:textOutline>
        </w:rPr>
        <w:t>2024</w:t>
      </w:r>
      <w:r>
        <w:rPr>
          <w:rFonts w:ascii="仿宋" w:hAnsi="仿宋" w:eastAsia="仿宋" w:cs="仿宋"/>
          <w:bCs/>
          <w:spacing w:val="-3"/>
          <w:sz w:val="28"/>
          <w:szCs w:val="24"/>
          <w:lang w:eastAsia="zh-CN"/>
          <w14:textOutline w14:w="5105" w14:cap="sq" w14:cmpd="sng" w14:algn="ctr">
            <w14:solidFill>
              <w14:srgbClr w14:val="000000"/>
            </w14:solidFill>
            <w14:prstDash w14:val="solid"/>
            <w14:bevel/>
          </w14:textOutline>
        </w:rPr>
        <w:t>年度</w:t>
      </w:r>
      <w:r>
        <w:rPr>
          <w:rFonts w:hint="eastAsia" w:ascii="仿宋" w:hAnsi="仿宋" w:eastAsia="仿宋" w:cs="仿宋"/>
          <w:bCs/>
          <w:spacing w:val="-3"/>
          <w:sz w:val="28"/>
          <w:szCs w:val="24"/>
          <w:lang w:eastAsia="zh-CN"/>
          <w14:textOutline w14:w="5105" w14:cap="sq" w14:cmpd="sng" w14:algn="ctr">
            <w14:solidFill>
              <w14:srgbClr w14:val="000000"/>
            </w14:solidFill>
            <w14:prstDash w14:val="solid"/>
            <w14:bevel/>
          </w14:textOutline>
        </w:rPr>
        <w:t>石狮市城市管理和综合执法局</w:t>
      </w:r>
      <w:r>
        <w:rPr>
          <w:rFonts w:ascii="仿宋" w:hAnsi="仿宋" w:eastAsia="仿宋" w:cs="仿宋"/>
          <w:bCs/>
          <w:spacing w:val="-3"/>
          <w:sz w:val="28"/>
          <w:szCs w:val="24"/>
          <w:lang w:eastAsia="zh-CN"/>
          <w14:textOutline w14:w="5105" w14:cap="sq" w14:cmpd="sng" w14:algn="ctr">
            <w14:solidFill>
              <w14:srgbClr w14:val="000000"/>
            </w14:solidFill>
            <w14:prstDash w14:val="solid"/>
            <w14:bevel/>
          </w14:textOutline>
        </w:rPr>
        <w:t>部门整体支出绩效评价指标体系表</w:t>
      </w:r>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678"/>
        <w:gridCol w:w="1118"/>
        <w:gridCol w:w="2463"/>
        <w:gridCol w:w="4460"/>
      </w:tblGrid>
      <w:tr w14:paraId="1A3B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shd w:val="clear" w:color="auto" w:fill="D8D8D8" w:themeFill="background1" w:themeFillShade="D9"/>
            <w:vAlign w:val="center"/>
          </w:tcPr>
          <w:p w14:paraId="6758090A">
            <w:pPr>
              <w:widowControl w:val="0"/>
              <w:overflowPunct w:val="0"/>
              <w:spacing w:line="408" w:lineRule="auto"/>
              <w:jc w:val="center"/>
              <w:rPr>
                <w:rFonts w:hint="eastAsia" w:ascii="仿宋" w:hAnsi="仿宋" w:eastAsia="仿宋"/>
                <w:b/>
                <w:sz w:val="18"/>
                <w:lang w:eastAsia="zh-CN"/>
              </w:rPr>
            </w:pPr>
            <w:r>
              <w:rPr>
                <w:rFonts w:hint="eastAsia" w:ascii="仿宋" w:hAnsi="仿宋" w:eastAsia="仿宋"/>
                <w:b/>
                <w:sz w:val="18"/>
                <w:lang w:eastAsia="zh-CN"/>
              </w:rPr>
              <w:t>一级指标</w:t>
            </w:r>
          </w:p>
        </w:tc>
        <w:tc>
          <w:tcPr>
            <w:tcW w:w="374" w:type="pct"/>
            <w:shd w:val="clear" w:color="auto" w:fill="D8D8D8" w:themeFill="background1" w:themeFillShade="D9"/>
            <w:vAlign w:val="center"/>
          </w:tcPr>
          <w:p w14:paraId="375FA571">
            <w:pPr>
              <w:widowControl w:val="0"/>
              <w:overflowPunct w:val="0"/>
              <w:spacing w:line="408" w:lineRule="auto"/>
              <w:jc w:val="center"/>
              <w:rPr>
                <w:rFonts w:hint="eastAsia" w:ascii="仿宋" w:hAnsi="仿宋" w:eastAsia="仿宋"/>
                <w:b/>
                <w:sz w:val="18"/>
                <w:lang w:eastAsia="zh-CN"/>
              </w:rPr>
            </w:pPr>
            <w:r>
              <w:rPr>
                <w:rFonts w:hint="eastAsia" w:ascii="仿宋" w:hAnsi="仿宋" w:eastAsia="仿宋"/>
                <w:b/>
                <w:sz w:val="18"/>
                <w:lang w:eastAsia="zh-CN"/>
              </w:rPr>
              <w:t>二级指标</w:t>
            </w:r>
          </w:p>
        </w:tc>
        <w:tc>
          <w:tcPr>
            <w:tcW w:w="604" w:type="pct"/>
            <w:shd w:val="clear" w:color="auto" w:fill="D8D8D8" w:themeFill="background1" w:themeFillShade="D9"/>
            <w:vAlign w:val="center"/>
          </w:tcPr>
          <w:p w14:paraId="6B5AAD99">
            <w:pPr>
              <w:widowControl w:val="0"/>
              <w:overflowPunct w:val="0"/>
              <w:spacing w:line="408" w:lineRule="auto"/>
              <w:jc w:val="center"/>
              <w:rPr>
                <w:rFonts w:hint="eastAsia" w:ascii="仿宋" w:hAnsi="仿宋" w:eastAsia="仿宋"/>
                <w:b/>
                <w:sz w:val="18"/>
                <w:lang w:eastAsia="zh-CN"/>
              </w:rPr>
            </w:pPr>
            <w:r>
              <w:rPr>
                <w:rFonts w:hint="eastAsia" w:ascii="仿宋" w:hAnsi="仿宋" w:eastAsia="仿宋"/>
                <w:b/>
                <w:sz w:val="18"/>
                <w:lang w:eastAsia="zh-CN"/>
              </w:rPr>
              <w:t>三级指标</w:t>
            </w:r>
          </w:p>
        </w:tc>
        <w:tc>
          <w:tcPr>
            <w:tcW w:w="1307" w:type="pct"/>
            <w:shd w:val="clear" w:color="auto" w:fill="D8D8D8" w:themeFill="background1" w:themeFillShade="D9"/>
            <w:vAlign w:val="center"/>
          </w:tcPr>
          <w:p w14:paraId="10C2C6B6">
            <w:pPr>
              <w:widowControl w:val="0"/>
              <w:overflowPunct w:val="0"/>
              <w:spacing w:line="408" w:lineRule="auto"/>
              <w:jc w:val="center"/>
              <w:rPr>
                <w:rFonts w:hint="eastAsia" w:ascii="仿宋" w:hAnsi="仿宋" w:eastAsia="仿宋"/>
                <w:b/>
                <w:sz w:val="18"/>
                <w:lang w:eastAsia="zh-CN"/>
              </w:rPr>
            </w:pPr>
            <w:r>
              <w:rPr>
                <w:rFonts w:hint="eastAsia" w:ascii="仿宋" w:hAnsi="仿宋" w:eastAsia="仿宋"/>
                <w:b/>
                <w:sz w:val="18"/>
                <w:lang w:eastAsia="zh-CN"/>
              </w:rPr>
              <w:t>指标解释</w:t>
            </w:r>
          </w:p>
        </w:tc>
        <w:tc>
          <w:tcPr>
            <w:tcW w:w="2350" w:type="pct"/>
            <w:shd w:val="clear" w:color="auto" w:fill="D8D8D8" w:themeFill="background1" w:themeFillShade="D9"/>
            <w:vAlign w:val="center"/>
          </w:tcPr>
          <w:p w14:paraId="1B4DFEF9">
            <w:pPr>
              <w:widowControl w:val="0"/>
              <w:overflowPunct w:val="0"/>
              <w:spacing w:line="408" w:lineRule="auto"/>
              <w:jc w:val="center"/>
              <w:rPr>
                <w:rFonts w:hint="eastAsia" w:ascii="仿宋" w:hAnsi="仿宋" w:eastAsia="仿宋"/>
                <w:b/>
                <w:sz w:val="18"/>
                <w:lang w:eastAsia="zh-CN"/>
              </w:rPr>
            </w:pPr>
            <w:r>
              <w:rPr>
                <w:rFonts w:hint="eastAsia" w:ascii="仿宋" w:hAnsi="仿宋" w:eastAsia="仿宋"/>
                <w:b/>
                <w:sz w:val="18"/>
                <w:lang w:eastAsia="zh-CN"/>
              </w:rPr>
              <w:t>评分标准</w:t>
            </w:r>
          </w:p>
        </w:tc>
      </w:tr>
      <w:tr w14:paraId="40E6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restart"/>
            <w:vAlign w:val="center"/>
          </w:tcPr>
          <w:p w14:paraId="7233A91A">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决策(15%）</w:t>
            </w:r>
          </w:p>
        </w:tc>
        <w:tc>
          <w:tcPr>
            <w:tcW w:w="374" w:type="pct"/>
            <w:vMerge w:val="restart"/>
            <w:vAlign w:val="center"/>
          </w:tcPr>
          <w:p w14:paraId="42EB40D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目标设定（6分）</w:t>
            </w:r>
          </w:p>
        </w:tc>
        <w:tc>
          <w:tcPr>
            <w:tcW w:w="604" w:type="pct"/>
            <w:vAlign w:val="center"/>
          </w:tcPr>
          <w:p w14:paraId="562304EB">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绩效目标合理性（3分）</w:t>
            </w:r>
          </w:p>
        </w:tc>
        <w:tc>
          <w:tcPr>
            <w:tcW w:w="1307" w:type="pct"/>
            <w:vAlign w:val="center"/>
          </w:tcPr>
          <w:p w14:paraId="18808789">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部门所设立的整体绩效目标依据是否充分，是否符合客观实际，用以反映和考核部门整体绩效目标与部门履职、年度工作任务的相符性情况。</w:t>
            </w:r>
          </w:p>
        </w:tc>
        <w:tc>
          <w:tcPr>
            <w:tcW w:w="2350" w:type="pct"/>
            <w:vAlign w:val="center"/>
          </w:tcPr>
          <w:p w14:paraId="15DC564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是否符合国家法律法规；</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是否符合国民经济和社会发展总体规划；</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是否符合部门</w:t>
            </w:r>
            <w:r>
              <w:rPr>
                <w:rFonts w:ascii="仿宋" w:hAnsi="仿宋" w:eastAsia="仿宋"/>
                <w:bCs/>
                <w:sz w:val="18"/>
                <w:lang w:eastAsia="zh-CN"/>
              </w:rPr>
              <w:t>“</w:t>
            </w:r>
            <w:r>
              <w:rPr>
                <w:rFonts w:hint="eastAsia" w:ascii="仿宋" w:hAnsi="仿宋" w:eastAsia="仿宋"/>
                <w:bCs/>
                <w:sz w:val="18"/>
                <w:lang w:eastAsia="zh-CN"/>
              </w:rPr>
              <w:t>三定</w:t>
            </w:r>
            <w:r>
              <w:rPr>
                <w:rFonts w:ascii="仿宋" w:hAnsi="仿宋" w:eastAsia="仿宋"/>
                <w:bCs/>
                <w:sz w:val="18"/>
                <w:lang w:eastAsia="zh-CN"/>
              </w:rPr>
              <w:t>”</w:t>
            </w:r>
            <w:r>
              <w:rPr>
                <w:rFonts w:hint="eastAsia" w:ascii="仿宋" w:hAnsi="仿宋" w:eastAsia="仿宋"/>
                <w:bCs/>
                <w:sz w:val="18"/>
                <w:lang w:eastAsia="zh-CN"/>
              </w:rPr>
              <w:t>方案确定的职责；</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是否符合部门制定的中长期实施规划或年度工作计划。</w:t>
            </w:r>
            <w:r>
              <w:rPr>
                <w:rFonts w:hint="eastAsia" w:ascii="仿宋" w:hAnsi="仿宋" w:eastAsia="仿宋"/>
                <w:bCs/>
                <w:sz w:val="18"/>
                <w:lang w:eastAsia="zh-CN"/>
              </w:rPr>
              <w:br w:type="textWrapping"/>
            </w:r>
            <w:r>
              <w:rPr>
                <w:rFonts w:hint="eastAsia" w:ascii="仿宋" w:hAnsi="仿宋" w:eastAsia="仿宋"/>
                <w:bCs/>
                <w:sz w:val="18"/>
                <w:lang w:eastAsia="zh-CN"/>
              </w:rPr>
              <w:t>一项不符扣0.75分。</w:t>
            </w:r>
          </w:p>
        </w:tc>
      </w:tr>
      <w:tr w14:paraId="092B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7281BBF0">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7613DE38">
            <w:pPr>
              <w:widowControl w:val="0"/>
              <w:overflowPunct w:val="0"/>
              <w:spacing w:line="408" w:lineRule="auto"/>
              <w:rPr>
                <w:rFonts w:hint="eastAsia" w:ascii="仿宋" w:hAnsi="仿宋" w:eastAsia="仿宋"/>
                <w:bCs/>
                <w:sz w:val="18"/>
                <w:lang w:eastAsia="zh-CN"/>
              </w:rPr>
            </w:pPr>
          </w:p>
        </w:tc>
        <w:tc>
          <w:tcPr>
            <w:tcW w:w="604" w:type="pct"/>
            <w:vAlign w:val="center"/>
          </w:tcPr>
          <w:p w14:paraId="73410A3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绩效目标明确性（3分）</w:t>
            </w:r>
          </w:p>
        </w:tc>
        <w:tc>
          <w:tcPr>
            <w:tcW w:w="1307" w:type="pct"/>
            <w:tcBorders>
              <w:bottom w:val="single" w:color="auto" w:sz="4" w:space="0"/>
            </w:tcBorders>
            <w:vAlign w:val="center"/>
          </w:tcPr>
          <w:p w14:paraId="2132EF2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部门依据整体绩效目标所设定的绩效指标是否清晰、细化、可衡量，用以反映和考核部门整体绩效目标的细化情况，并涵盖绩效目标全部内容，反映项目预期产出和效益。</w:t>
            </w:r>
          </w:p>
        </w:tc>
        <w:tc>
          <w:tcPr>
            <w:tcW w:w="2350" w:type="pct"/>
            <w:vAlign w:val="center"/>
          </w:tcPr>
          <w:p w14:paraId="3A0C692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是否将部门整体的绩效目标细化分解为具体的工作任务；</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是否通过清晰、可衡量的指标予以体现；</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是否与部门年度的任务数或计划数相对应；</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是否与本年度部门预算资金相匹配。</w:t>
            </w:r>
            <w:r>
              <w:rPr>
                <w:rFonts w:hint="eastAsia" w:ascii="仿宋" w:hAnsi="仿宋" w:eastAsia="仿宋"/>
                <w:bCs/>
                <w:sz w:val="18"/>
                <w:lang w:eastAsia="zh-CN"/>
              </w:rPr>
              <w:br w:type="textWrapping"/>
            </w:r>
            <w:r>
              <w:rPr>
                <w:rFonts w:hint="eastAsia" w:ascii="仿宋" w:hAnsi="仿宋" w:eastAsia="仿宋"/>
                <w:bCs/>
                <w:sz w:val="18"/>
                <w:lang w:eastAsia="zh-CN"/>
              </w:rPr>
              <w:t>一项不符扣0.75分。</w:t>
            </w:r>
          </w:p>
        </w:tc>
      </w:tr>
      <w:tr w14:paraId="5E6B6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723B9B9C">
            <w:pPr>
              <w:widowControl w:val="0"/>
              <w:overflowPunct w:val="0"/>
              <w:spacing w:line="408" w:lineRule="auto"/>
              <w:rPr>
                <w:rFonts w:hint="eastAsia" w:ascii="仿宋" w:hAnsi="仿宋" w:eastAsia="仿宋"/>
                <w:bCs/>
                <w:sz w:val="18"/>
                <w:lang w:eastAsia="zh-CN"/>
              </w:rPr>
            </w:pPr>
          </w:p>
        </w:tc>
        <w:tc>
          <w:tcPr>
            <w:tcW w:w="374" w:type="pct"/>
            <w:vMerge w:val="restart"/>
            <w:vAlign w:val="center"/>
          </w:tcPr>
          <w:p w14:paraId="73CDA48F">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预算配置（9分）</w:t>
            </w:r>
          </w:p>
        </w:tc>
        <w:tc>
          <w:tcPr>
            <w:tcW w:w="604" w:type="pct"/>
            <w:vAlign w:val="center"/>
          </w:tcPr>
          <w:p w14:paraId="332EE993">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在职人员控制率（3分）</w:t>
            </w:r>
          </w:p>
        </w:tc>
        <w:tc>
          <w:tcPr>
            <w:tcW w:w="1307" w:type="pct"/>
            <w:tcBorders>
              <w:bottom w:val="single" w:color="auto" w:sz="4" w:space="0"/>
            </w:tcBorders>
            <w:vAlign w:val="center"/>
          </w:tcPr>
          <w:p w14:paraId="29C38E56">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部门本年度实际在职人员数与编制数的比率,用以反映和考核部门对人员成本的控制程度。</w:t>
            </w:r>
          </w:p>
        </w:tc>
        <w:tc>
          <w:tcPr>
            <w:tcW w:w="2350" w:type="pct"/>
            <w:vAlign w:val="center"/>
          </w:tcPr>
          <w:p w14:paraId="4E383C3A">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评价要点：在职人员控制率=（在职人员数/编制数）</w:t>
            </w:r>
            <w:r>
              <w:rPr>
                <w:rFonts w:ascii="仿宋" w:hAnsi="仿宋" w:eastAsia="仿宋"/>
                <w:bCs/>
                <w:sz w:val="18"/>
                <w:lang w:eastAsia="zh-CN"/>
              </w:rPr>
              <w:t>×</w:t>
            </w:r>
            <w:r>
              <w:rPr>
                <w:rFonts w:hint="eastAsia" w:ascii="仿宋" w:hAnsi="仿宋" w:eastAsia="仿宋"/>
                <w:bCs/>
                <w:sz w:val="18"/>
                <w:lang w:eastAsia="zh-CN"/>
              </w:rPr>
              <w:t>100%。</w:t>
            </w:r>
            <w:r>
              <w:rPr>
                <w:rFonts w:hint="eastAsia" w:ascii="仿宋" w:hAnsi="仿宋" w:eastAsia="仿宋"/>
                <w:bCs/>
                <w:sz w:val="18"/>
                <w:lang w:eastAsia="zh-CN"/>
              </w:rPr>
              <w:br w:type="textWrapping"/>
            </w: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在职人员控制率</w:t>
            </w:r>
            <w:r>
              <w:rPr>
                <w:rFonts w:ascii="仿宋" w:hAnsi="仿宋" w:eastAsia="仿宋"/>
                <w:bCs/>
                <w:sz w:val="18"/>
                <w:lang w:eastAsia="zh-CN"/>
              </w:rPr>
              <w:t>≤</w:t>
            </w:r>
            <w:r>
              <w:rPr>
                <w:rFonts w:hint="eastAsia" w:ascii="仿宋" w:hAnsi="仿宋" w:eastAsia="仿宋"/>
                <w:bCs/>
                <w:sz w:val="18"/>
                <w:lang w:eastAsia="zh-CN"/>
              </w:rPr>
              <w:t>100%，得满分；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在职人员控制率≧115%，得0分；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100%＜在职人员控制率＜115%之间，得分=（115%－某部门在职人员控制率）/15%×指标分值。</w:t>
            </w:r>
          </w:p>
        </w:tc>
      </w:tr>
      <w:tr w14:paraId="0C2F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592B20B5">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6692B52A">
            <w:pPr>
              <w:widowControl w:val="0"/>
              <w:overflowPunct w:val="0"/>
              <w:spacing w:line="408" w:lineRule="auto"/>
              <w:rPr>
                <w:rFonts w:hint="eastAsia" w:ascii="仿宋" w:hAnsi="仿宋" w:eastAsia="仿宋"/>
                <w:bCs/>
                <w:sz w:val="18"/>
                <w:lang w:eastAsia="zh-CN"/>
              </w:rPr>
            </w:pPr>
          </w:p>
        </w:tc>
        <w:tc>
          <w:tcPr>
            <w:tcW w:w="604" w:type="pct"/>
            <w:vAlign w:val="center"/>
          </w:tcPr>
          <w:p w14:paraId="253CFE4D">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“三公”经费变动率（3分）</w:t>
            </w:r>
          </w:p>
        </w:tc>
        <w:tc>
          <w:tcPr>
            <w:tcW w:w="1307" w:type="pct"/>
            <w:tcBorders>
              <w:top w:val="single" w:color="auto" w:sz="4" w:space="0"/>
            </w:tcBorders>
            <w:vAlign w:val="center"/>
          </w:tcPr>
          <w:p w14:paraId="2FF494F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部门本年度</w:t>
            </w:r>
            <w:r>
              <w:rPr>
                <w:rFonts w:ascii="仿宋" w:hAnsi="仿宋" w:eastAsia="仿宋"/>
                <w:bCs/>
                <w:sz w:val="18"/>
                <w:lang w:eastAsia="zh-CN"/>
              </w:rPr>
              <w:t>“</w:t>
            </w:r>
            <w:r>
              <w:rPr>
                <w:rFonts w:hint="eastAsia" w:ascii="仿宋" w:hAnsi="仿宋" w:eastAsia="仿宋"/>
                <w:bCs/>
                <w:sz w:val="18"/>
                <w:lang w:eastAsia="zh-CN"/>
              </w:rPr>
              <w:t>三公</w:t>
            </w:r>
            <w:r>
              <w:rPr>
                <w:rFonts w:ascii="仿宋" w:hAnsi="仿宋" w:eastAsia="仿宋"/>
                <w:bCs/>
                <w:sz w:val="18"/>
                <w:lang w:eastAsia="zh-CN"/>
              </w:rPr>
              <w:t>”</w:t>
            </w:r>
            <w:r>
              <w:rPr>
                <w:rFonts w:hint="eastAsia" w:ascii="仿宋" w:hAnsi="仿宋" w:eastAsia="仿宋"/>
                <w:bCs/>
                <w:sz w:val="18"/>
                <w:lang w:eastAsia="zh-CN"/>
              </w:rPr>
              <w:t>经费预算数与上年度</w:t>
            </w:r>
            <w:r>
              <w:rPr>
                <w:rFonts w:ascii="仿宋" w:hAnsi="仿宋" w:eastAsia="仿宋"/>
                <w:bCs/>
                <w:sz w:val="18"/>
                <w:lang w:eastAsia="zh-CN"/>
              </w:rPr>
              <w:t>“</w:t>
            </w:r>
            <w:r>
              <w:rPr>
                <w:rFonts w:hint="eastAsia" w:ascii="仿宋" w:hAnsi="仿宋" w:eastAsia="仿宋"/>
                <w:bCs/>
                <w:sz w:val="18"/>
                <w:lang w:eastAsia="zh-CN"/>
              </w:rPr>
              <w:t>三公</w:t>
            </w:r>
            <w:r>
              <w:rPr>
                <w:rFonts w:ascii="仿宋" w:hAnsi="仿宋" w:eastAsia="仿宋"/>
                <w:bCs/>
                <w:sz w:val="18"/>
                <w:lang w:eastAsia="zh-CN"/>
              </w:rPr>
              <w:t>”</w:t>
            </w:r>
            <w:r>
              <w:rPr>
                <w:rFonts w:hint="eastAsia" w:ascii="仿宋" w:hAnsi="仿宋" w:eastAsia="仿宋"/>
                <w:bCs/>
                <w:sz w:val="18"/>
                <w:lang w:eastAsia="zh-CN"/>
              </w:rPr>
              <w:t>经费预算数的变动比率，用以反映和考核部门对控制重点行政成本的努力程度。</w:t>
            </w:r>
          </w:p>
        </w:tc>
        <w:tc>
          <w:tcPr>
            <w:tcW w:w="2350" w:type="pct"/>
            <w:vAlign w:val="center"/>
          </w:tcPr>
          <w:p w14:paraId="5504463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“三公”经费变动率=[（本年度“三公”经费总额-上年度“三公”经费总额）/上年度“三公”经费总额]×100%。</w:t>
            </w:r>
          </w:p>
          <w:p w14:paraId="20057396">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变动率</w:t>
            </w:r>
            <w:r>
              <w:rPr>
                <w:rFonts w:ascii="仿宋" w:hAnsi="仿宋" w:eastAsia="仿宋"/>
                <w:bCs/>
                <w:sz w:val="18"/>
                <w:lang w:eastAsia="zh-CN"/>
              </w:rPr>
              <w:t>≤</w:t>
            </w:r>
            <w:r>
              <w:rPr>
                <w:rFonts w:hint="eastAsia" w:ascii="仿宋" w:hAnsi="仿宋" w:eastAsia="仿宋"/>
                <w:bCs/>
                <w:sz w:val="18"/>
                <w:lang w:eastAsia="zh-CN"/>
              </w:rPr>
              <w:t>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变动率每超过10个百分点扣1分，扣完为止。</w:t>
            </w:r>
          </w:p>
        </w:tc>
      </w:tr>
      <w:tr w14:paraId="64AE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26BBC0EE">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0BE54295">
            <w:pPr>
              <w:widowControl w:val="0"/>
              <w:overflowPunct w:val="0"/>
              <w:spacing w:line="408" w:lineRule="auto"/>
              <w:rPr>
                <w:rFonts w:hint="eastAsia" w:ascii="仿宋" w:hAnsi="仿宋" w:eastAsia="仿宋"/>
                <w:bCs/>
                <w:sz w:val="18"/>
                <w:lang w:eastAsia="zh-CN"/>
              </w:rPr>
            </w:pPr>
          </w:p>
        </w:tc>
        <w:tc>
          <w:tcPr>
            <w:tcW w:w="604" w:type="pct"/>
            <w:vAlign w:val="center"/>
          </w:tcPr>
          <w:p w14:paraId="7537F29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结转结余变动率（3分）</w:t>
            </w:r>
          </w:p>
        </w:tc>
        <w:tc>
          <w:tcPr>
            <w:tcW w:w="1307" w:type="pct"/>
            <w:vAlign w:val="center"/>
          </w:tcPr>
          <w:p w14:paraId="7E6382D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部门本年度</w:t>
            </w:r>
            <w:r>
              <w:rPr>
                <w:rFonts w:ascii="仿宋" w:hAnsi="仿宋" w:eastAsia="仿宋"/>
                <w:bCs/>
                <w:sz w:val="18"/>
                <w:lang w:eastAsia="zh-CN"/>
              </w:rPr>
              <w:t>“</w:t>
            </w:r>
            <w:r>
              <w:rPr>
                <w:rFonts w:hint="eastAsia" w:ascii="仿宋" w:hAnsi="仿宋" w:eastAsia="仿宋"/>
                <w:bCs/>
                <w:sz w:val="18"/>
                <w:lang w:eastAsia="zh-CN"/>
              </w:rPr>
              <w:t>结转结余</w:t>
            </w:r>
            <w:r>
              <w:rPr>
                <w:rFonts w:ascii="仿宋" w:hAnsi="仿宋" w:eastAsia="仿宋"/>
                <w:bCs/>
                <w:sz w:val="18"/>
                <w:lang w:eastAsia="zh-CN"/>
              </w:rPr>
              <w:t>”</w:t>
            </w:r>
            <w:r>
              <w:rPr>
                <w:rFonts w:hint="eastAsia" w:ascii="仿宋" w:hAnsi="仿宋" w:eastAsia="仿宋"/>
                <w:bCs/>
                <w:sz w:val="18"/>
                <w:lang w:eastAsia="zh-CN"/>
              </w:rPr>
              <w:t>金额与上年度</w:t>
            </w:r>
            <w:r>
              <w:rPr>
                <w:rFonts w:ascii="仿宋" w:hAnsi="仿宋" w:eastAsia="仿宋"/>
                <w:bCs/>
                <w:sz w:val="18"/>
                <w:lang w:eastAsia="zh-CN"/>
              </w:rPr>
              <w:t>“</w:t>
            </w:r>
            <w:r>
              <w:rPr>
                <w:rFonts w:hint="eastAsia" w:ascii="仿宋" w:hAnsi="仿宋" w:eastAsia="仿宋"/>
                <w:bCs/>
                <w:sz w:val="18"/>
                <w:lang w:eastAsia="zh-CN"/>
              </w:rPr>
              <w:t>结转结余</w:t>
            </w:r>
            <w:r>
              <w:rPr>
                <w:rFonts w:ascii="仿宋" w:hAnsi="仿宋" w:eastAsia="仿宋"/>
                <w:bCs/>
                <w:sz w:val="18"/>
                <w:lang w:eastAsia="zh-CN"/>
              </w:rPr>
              <w:t>”</w:t>
            </w:r>
            <w:r>
              <w:rPr>
                <w:rFonts w:hint="eastAsia" w:ascii="仿宋" w:hAnsi="仿宋" w:eastAsia="仿宋"/>
                <w:bCs/>
                <w:sz w:val="18"/>
                <w:lang w:eastAsia="zh-CN"/>
              </w:rPr>
              <w:t>金额的变动比率，用以反映和考核部门资金的结余程度。</w:t>
            </w:r>
          </w:p>
        </w:tc>
        <w:tc>
          <w:tcPr>
            <w:tcW w:w="2350" w:type="pct"/>
            <w:vAlign w:val="center"/>
          </w:tcPr>
          <w:p w14:paraId="4A9F849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hint="eastAsia" w:ascii="仿宋" w:hAnsi="仿宋" w:eastAsia="仿宋"/>
                <w:bCs/>
                <w:sz w:val="18"/>
                <w:lang w:eastAsia="zh-CN"/>
              </w:rPr>
              <w:t>结转结余变动率=[（本年度累计结转结余资金总额-上年度累计结转结余资金总额）/上年度累计结转结余资金总额]×100%。</w:t>
            </w:r>
            <w:r>
              <w:rPr>
                <w:rFonts w:hint="eastAsia" w:ascii="仿宋" w:hAnsi="仿宋" w:eastAsia="仿宋"/>
                <w:bCs/>
                <w:sz w:val="18"/>
                <w:lang w:eastAsia="zh-CN"/>
              </w:rPr>
              <w:br w:type="textWrapping"/>
            </w:r>
            <w:r>
              <w:rPr>
                <w:rFonts w:hint="eastAsia" w:ascii="仿宋" w:hAnsi="仿宋" w:eastAsia="仿宋"/>
                <w:bCs/>
                <w:sz w:val="18"/>
                <w:lang w:eastAsia="zh-CN"/>
              </w:rPr>
              <w:t>结转结余变动率＜0，得满分；</w:t>
            </w:r>
            <w:r>
              <w:rPr>
                <w:rFonts w:hint="eastAsia" w:ascii="仿宋" w:hAnsi="仿宋" w:eastAsia="仿宋"/>
                <w:bCs/>
                <w:sz w:val="18"/>
                <w:lang w:eastAsia="zh-CN"/>
              </w:rPr>
              <w:br w:type="textWrapping"/>
            </w:r>
            <w:r>
              <w:rPr>
                <w:rFonts w:hint="eastAsia" w:ascii="仿宋" w:hAnsi="仿宋" w:eastAsia="仿宋"/>
                <w:bCs/>
                <w:sz w:val="18"/>
                <w:lang w:eastAsia="zh-CN"/>
              </w:rPr>
              <w:t>结转结余变动率≧0，不得分。</w:t>
            </w:r>
          </w:p>
        </w:tc>
      </w:tr>
      <w:tr w14:paraId="36D6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restart"/>
            <w:vAlign w:val="center"/>
          </w:tcPr>
          <w:p w14:paraId="137A6D19">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过程（24%）</w:t>
            </w:r>
          </w:p>
        </w:tc>
        <w:tc>
          <w:tcPr>
            <w:tcW w:w="374" w:type="pct"/>
            <w:vMerge w:val="restart"/>
            <w:vAlign w:val="center"/>
          </w:tcPr>
          <w:p w14:paraId="5AB80A82">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预算执行（9分）</w:t>
            </w:r>
          </w:p>
        </w:tc>
        <w:tc>
          <w:tcPr>
            <w:tcW w:w="604" w:type="pct"/>
            <w:vAlign w:val="center"/>
          </w:tcPr>
          <w:p w14:paraId="6178006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预算执行率（2分）</w:t>
            </w:r>
          </w:p>
        </w:tc>
        <w:tc>
          <w:tcPr>
            <w:tcW w:w="1307" w:type="pct"/>
            <w:vAlign w:val="center"/>
          </w:tcPr>
          <w:p w14:paraId="53B568A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项目预算资金是否按照计划执行，用以反映或考核项目预算执行情况</w:t>
            </w:r>
          </w:p>
        </w:tc>
        <w:tc>
          <w:tcPr>
            <w:tcW w:w="2350" w:type="pct"/>
            <w:vAlign w:val="center"/>
          </w:tcPr>
          <w:p w14:paraId="717DCA8D">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（预算执行率=（年度部门实际支出资金/年度部门全年预算资金）×100%）。</w:t>
            </w:r>
          </w:p>
          <w:p w14:paraId="01D0804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90%≤预算执行率</w:t>
            </w:r>
            <w:r>
              <w:rPr>
                <w:rFonts w:ascii="仿宋" w:hAnsi="仿宋" w:eastAsia="仿宋"/>
                <w:bCs/>
                <w:sz w:val="18"/>
                <w:lang w:eastAsia="zh-CN"/>
              </w:rPr>
              <w:t>≤</w:t>
            </w:r>
            <w:r>
              <w:rPr>
                <w:rFonts w:hint="eastAsia" w:ascii="仿宋" w:hAnsi="仿宋" w:eastAsia="仿宋"/>
                <w:bCs/>
                <w:sz w:val="18"/>
                <w:lang w:eastAsia="zh-CN"/>
              </w:rPr>
              <w:t>100%，得2分；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70%≤预算执行率﹤90%，得1分；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预算执行率﹤70%，得0分；</w:t>
            </w:r>
          </w:p>
        </w:tc>
      </w:tr>
      <w:tr w14:paraId="217E4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4B5BB6EC">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18854D1C">
            <w:pPr>
              <w:widowControl w:val="0"/>
              <w:overflowPunct w:val="0"/>
              <w:spacing w:line="408" w:lineRule="auto"/>
              <w:rPr>
                <w:rFonts w:hint="eastAsia" w:ascii="仿宋" w:hAnsi="仿宋" w:eastAsia="仿宋"/>
                <w:bCs/>
                <w:sz w:val="18"/>
                <w:lang w:eastAsia="zh-CN"/>
              </w:rPr>
            </w:pPr>
          </w:p>
        </w:tc>
        <w:tc>
          <w:tcPr>
            <w:tcW w:w="604" w:type="pct"/>
            <w:vAlign w:val="center"/>
          </w:tcPr>
          <w:p w14:paraId="4CEBE8B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预算调整率（2分）</w:t>
            </w:r>
          </w:p>
        </w:tc>
        <w:tc>
          <w:tcPr>
            <w:tcW w:w="1307" w:type="pct"/>
            <w:vAlign w:val="center"/>
          </w:tcPr>
          <w:p w14:paraId="114A86A6">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部门本年度预算调整数与预算数的比率,用以反映和考核部门预算的调整程度。</w:t>
            </w:r>
          </w:p>
        </w:tc>
        <w:tc>
          <w:tcPr>
            <w:tcW w:w="2350" w:type="pct"/>
            <w:vAlign w:val="center"/>
          </w:tcPr>
          <w:p w14:paraId="731C588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评价要点：支出预算调整率=（支出预算调整数/全年支出预算数）</w:t>
            </w:r>
            <w:r>
              <w:rPr>
                <w:rFonts w:ascii="仿宋" w:hAnsi="仿宋" w:eastAsia="仿宋"/>
                <w:bCs/>
                <w:sz w:val="18"/>
                <w:lang w:eastAsia="zh-CN"/>
              </w:rPr>
              <w:t>×</w:t>
            </w:r>
            <w:r>
              <w:rPr>
                <w:rFonts w:hint="eastAsia" w:ascii="仿宋" w:hAnsi="仿宋" w:eastAsia="仿宋"/>
                <w:bCs/>
                <w:sz w:val="18"/>
                <w:lang w:eastAsia="zh-CN"/>
              </w:rPr>
              <w:t>100%。</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预算调整率=0，得满分；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调整率≧10%，得0分；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0＜预算调整率＜10%,得分=（10%-预算调整率）/10%×该指标分值；</w:t>
            </w:r>
          </w:p>
        </w:tc>
      </w:tr>
      <w:tr w14:paraId="22F8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036A99D2">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2B9BC1E4">
            <w:pPr>
              <w:widowControl w:val="0"/>
              <w:overflowPunct w:val="0"/>
              <w:spacing w:line="408" w:lineRule="auto"/>
              <w:rPr>
                <w:rFonts w:hint="eastAsia" w:ascii="仿宋" w:hAnsi="仿宋" w:eastAsia="仿宋"/>
                <w:bCs/>
                <w:sz w:val="18"/>
                <w:lang w:eastAsia="zh-CN"/>
              </w:rPr>
            </w:pPr>
          </w:p>
        </w:tc>
        <w:tc>
          <w:tcPr>
            <w:tcW w:w="604" w:type="pct"/>
            <w:vAlign w:val="center"/>
          </w:tcPr>
          <w:p w14:paraId="116A0EF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结转结余率（3分）</w:t>
            </w:r>
          </w:p>
        </w:tc>
        <w:tc>
          <w:tcPr>
            <w:tcW w:w="1307" w:type="pct"/>
            <w:vAlign w:val="center"/>
          </w:tcPr>
          <w:p w14:paraId="2CCBCF2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部门本年度结转结余总额与支出预算数的比率，反映和评价单位对本年度结转结余资金的实际控制程度。</w:t>
            </w:r>
          </w:p>
        </w:tc>
        <w:tc>
          <w:tcPr>
            <w:tcW w:w="2350" w:type="pct"/>
            <w:vAlign w:val="center"/>
          </w:tcPr>
          <w:p w14:paraId="21D5D279">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评价要点：结转结余率=结转结余总额/全年支出预算数</w:t>
            </w:r>
            <w:r>
              <w:rPr>
                <w:rFonts w:ascii="仿宋" w:hAnsi="仿宋" w:eastAsia="仿宋"/>
                <w:bCs/>
                <w:sz w:val="18"/>
                <w:lang w:eastAsia="zh-CN"/>
              </w:rPr>
              <w:t>×</w:t>
            </w:r>
            <w:r>
              <w:rPr>
                <w:rFonts w:hint="eastAsia" w:ascii="仿宋" w:hAnsi="仿宋" w:eastAsia="仿宋"/>
                <w:bCs/>
                <w:sz w:val="18"/>
                <w:lang w:eastAsia="zh-CN"/>
              </w:rPr>
              <w:t>100%。</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结转结余率=0，得满分；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结转结余率≧50%，得0分；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0%＜结转结余率＜50%，得分=（50%-结转结余率）/50%×该指标分值。</w:t>
            </w:r>
          </w:p>
        </w:tc>
      </w:tr>
      <w:tr w14:paraId="73E1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2553460E">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06B35DB5">
            <w:pPr>
              <w:widowControl w:val="0"/>
              <w:overflowPunct w:val="0"/>
              <w:spacing w:line="408" w:lineRule="auto"/>
              <w:rPr>
                <w:rFonts w:hint="eastAsia" w:ascii="仿宋" w:hAnsi="仿宋" w:eastAsia="仿宋"/>
                <w:bCs/>
                <w:sz w:val="18"/>
                <w:lang w:eastAsia="zh-CN"/>
              </w:rPr>
            </w:pPr>
          </w:p>
        </w:tc>
        <w:tc>
          <w:tcPr>
            <w:tcW w:w="604" w:type="pct"/>
            <w:vAlign w:val="center"/>
          </w:tcPr>
          <w:p w14:paraId="2A1E9B5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公用经费控制率（2分）</w:t>
            </w:r>
          </w:p>
        </w:tc>
        <w:tc>
          <w:tcPr>
            <w:tcW w:w="1307" w:type="pct"/>
            <w:vAlign w:val="center"/>
          </w:tcPr>
          <w:p w14:paraId="7339D6A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部门本年度</w:t>
            </w:r>
            <w:r>
              <w:rPr>
                <w:rFonts w:ascii="仿宋" w:hAnsi="仿宋" w:eastAsia="仿宋"/>
                <w:bCs/>
                <w:sz w:val="18"/>
                <w:lang w:eastAsia="zh-CN"/>
              </w:rPr>
              <w:t>“</w:t>
            </w:r>
            <w:r>
              <w:rPr>
                <w:rFonts w:hint="eastAsia" w:ascii="仿宋" w:hAnsi="仿宋" w:eastAsia="仿宋"/>
                <w:bCs/>
                <w:sz w:val="18"/>
                <w:lang w:eastAsia="zh-CN"/>
              </w:rPr>
              <w:t>三公</w:t>
            </w:r>
            <w:r>
              <w:rPr>
                <w:rFonts w:ascii="仿宋" w:hAnsi="仿宋" w:eastAsia="仿宋"/>
                <w:bCs/>
                <w:sz w:val="18"/>
                <w:lang w:eastAsia="zh-CN"/>
              </w:rPr>
              <w:t>”</w:t>
            </w:r>
            <w:r>
              <w:rPr>
                <w:rFonts w:hint="eastAsia" w:ascii="仿宋" w:hAnsi="仿宋" w:eastAsia="仿宋"/>
                <w:bCs/>
                <w:sz w:val="18"/>
                <w:lang w:eastAsia="zh-CN"/>
              </w:rPr>
              <w:t>经费实际支出数与预算安排数的比率,用以反映和考核部门对</w:t>
            </w:r>
            <w:r>
              <w:rPr>
                <w:rFonts w:ascii="仿宋" w:hAnsi="仿宋" w:eastAsia="仿宋"/>
                <w:bCs/>
                <w:sz w:val="18"/>
                <w:lang w:eastAsia="zh-CN"/>
              </w:rPr>
              <w:t>“</w:t>
            </w:r>
            <w:r>
              <w:rPr>
                <w:rFonts w:hint="eastAsia" w:ascii="仿宋" w:hAnsi="仿宋" w:eastAsia="仿宋"/>
                <w:bCs/>
                <w:sz w:val="18"/>
                <w:lang w:eastAsia="zh-CN"/>
              </w:rPr>
              <w:t>三公</w:t>
            </w:r>
            <w:r>
              <w:rPr>
                <w:rFonts w:ascii="仿宋" w:hAnsi="仿宋" w:eastAsia="仿宋"/>
                <w:bCs/>
                <w:sz w:val="18"/>
                <w:lang w:eastAsia="zh-CN"/>
              </w:rPr>
              <w:t>”</w:t>
            </w:r>
            <w:r>
              <w:rPr>
                <w:rFonts w:hint="eastAsia" w:ascii="仿宋" w:hAnsi="仿宋" w:eastAsia="仿宋"/>
                <w:bCs/>
                <w:sz w:val="18"/>
                <w:lang w:eastAsia="zh-CN"/>
              </w:rPr>
              <w:t>经费的实际控制程度。</w:t>
            </w:r>
          </w:p>
        </w:tc>
        <w:tc>
          <w:tcPr>
            <w:tcW w:w="2350" w:type="pct"/>
            <w:vAlign w:val="center"/>
          </w:tcPr>
          <w:p w14:paraId="0CECCF83">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评价要点：公用经费控制率=（实际支出公用经费总额/预算安排公用经费总额）</w:t>
            </w:r>
            <w:r>
              <w:rPr>
                <w:rFonts w:ascii="仿宋" w:hAnsi="仿宋" w:eastAsia="仿宋"/>
                <w:bCs/>
                <w:sz w:val="18"/>
                <w:lang w:eastAsia="zh-CN"/>
              </w:rPr>
              <w:t>×</w:t>
            </w:r>
            <w:r>
              <w:rPr>
                <w:rFonts w:hint="eastAsia" w:ascii="仿宋" w:hAnsi="仿宋" w:eastAsia="仿宋"/>
                <w:bCs/>
                <w:sz w:val="18"/>
                <w:lang w:eastAsia="zh-CN"/>
              </w:rPr>
              <w:t>100%。</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公用经费控制率≦100%，得满分；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公用经费控制率≧105%，得0分；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100%＜公用经费控制率&lt;105%，得分=（105%-公用经费控制率）/5%×该指标分值。</w:t>
            </w:r>
          </w:p>
        </w:tc>
      </w:tr>
      <w:tr w14:paraId="3E63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31865F4F">
            <w:pPr>
              <w:widowControl w:val="0"/>
              <w:overflowPunct w:val="0"/>
              <w:spacing w:line="408" w:lineRule="auto"/>
              <w:rPr>
                <w:rFonts w:hint="eastAsia" w:ascii="仿宋" w:hAnsi="仿宋" w:eastAsia="仿宋"/>
                <w:bCs/>
                <w:sz w:val="18"/>
                <w:lang w:eastAsia="zh-CN"/>
              </w:rPr>
            </w:pPr>
          </w:p>
        </w:tc>
        <w:tc>
          <w:tcPr>
            <w:tcW w:w="374" w:type="pct"/>
            <w:vMerge w:val="restart"/>
            <w:vAlign w:val="center"/>
          </w:tcPr>
          <w:p w14:paraId="0B0332A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预算管理（15分）</w:t>
            </w:r>
          </w:p>
        </w:tc>
        <w:tc>
          <w:tcPr>
            <w:tcW w:w="604" w:type="pct"/>
            <w:vAlign w:val="center"/>
          </w:tcPr>
          <w:p w14:paraId="14BA885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管理制度健全性（1.5分）</w:t>
            </w:r>
          </w:p>
        </w:tc>
        <w:tc>
          <w:tcPr>
            <w:tcW w:w="1307" w:type="pct"/>
            <w:vAlign w:val="center"/>
          </w:tcPr>
          <w:p w14:paraId="530DEF89">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部门为加强预算管理、规范财务行为而制定的管理制度是否健全完整，用以反映和考核部门预算管理制度对完成主要职责或促进事业发展的保障情况。</w:t>
            </w:r>
          </w:p>
        </w:tc>
        <w:tc>
          <w:tcPr>
            <w:tcW w:w="2350" w:type="pct"/>
            <w:vAlign w:val="center"/>
          </w:tcPr>
          <w:p w14:paraId="58AB4AD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是否已制定或具有预算资金管理办法、内部财务管理制度、会计核算制度等管理制度；</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相关管理制度是否合法、合规、完整；</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相关管理制度是否得到有效执行。</w:t>
            </w:r>
            <w:r>
              <w:rPr>
                <w:rFonts w:hint="eastAsia" w:ascii="仿宋" w:hAnsi="仿宋" w:eastAsia="仿宋"/>
                <w:bCs/>
                <w:sz w:val="18"/>
                <w:lang w:eastAsia="zh-CN"/>
              </w:rPr>
              <w:br w:type="textWrapping"/>
            </w:r>
            <w:r>
              <w:rPr>
                <w:rFonts w:hint="eastAsia" w:ascii="仿宋" w:hAnsi="仿宋" w:eastAsia="仿宋"/>
                <w:bCs/>
                <w:sz w:val="18"/>
                <w:lang w:eastAsia="zh-CN"/>
              </w:rPr>
              <w:t>一项不符合扣0.5分。</w:t>
            </w:r>
          </w:p>
        </w:tc>
      </w:tr>
      <w:tr w14:paraId="5467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162CE0E3">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52BC2EDE">
            <w:pPr>
              <w:widowControl w:val="0"/>
              <w:overflowPunct w:val="0"/>
              <w:spacing w:line="408" w:lineRule="auto"/>
              <w:rPr>
                <w:rFonts w:hint="eastAsia" w:ascii="仿宋" w:hAnsi="仿宋" w:eastAsia="仿宋"/>
                <w:bCs/>
                <w:sz w:val="18"/>
                <w:lang w:eastAsia="zh-CN"/>
              </w:rPr>
            </w:pPr>
          </w:p>
        </w:tc>
        <w:tc>
          <w:tcPr>
            <w:tcW w:w="604" w:type="pct"/>
            <w:vAlign w:val="center"/>
          </w:tcPr>
          <w:p w14:paraId="185EE2A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政府采购管理（1分）</w:t>
            </w:r>
          </w:p>
        </w:tc>
        <w:tc>
          <w:tcPr>
            <w:tcW w:w="1307" w:type="pct"/>
            <w:vAlign w:val="center"/>
          </w:tcPr>
          <w:p w14:paraId="0B29D8A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主要评价部门（单位）本年度政府采购是否执行政府采购相关规定和要求，用以反映和考核部门（单位）政府采购预算执行情况。</w:t>
            </w:r>
          </w:p>
        </w:tc>
        <w:tc>
          <w:tcPr>
            <w:tcW w:w="2350" w:type="pct"/>
            <w:vAlign w:val="center"/>
          </w:tcPr>
          <w:p w14:paraId="5F68D95A">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是否按照规定编制政府采购预算；</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是否编制了政府采购计划表，编制是否准确；</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政府采购预算资金申请是否合规；</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是否存在政府采购未按规定公开招标、违规采购等违规行为。</w:t>
            </w:r>
            <w:r>
              <w:rPr>
                <w:rFonts w:hint="eastAsia" w:ascii="仿宋" w:hAnsi="仿宋" w:eastAsia="仿宋"/>
                <w:bCs/>
                <w:sz w:val="18"/>
                <w:lang w:eastAsia="zh-CN"/>
              </w:rPr>
              <w:br w:type="textWrapping"/>
            </w:r>
            <w:r>
              <w:rPr>
                <w:rFonts w:hint="eastAsia" w:ascii="仿宋" w:hAnsi="仿宋" w:eastAsia="仿宋"/>
                <w:bCs/>
                <w:sz w:val="18"/>
                <w:lang w:eastAsia="zh-CN"/>
              </w:rPr>
              <w:t>一项不符合扣0.25分。</w:t>
            </w:r>
          </w:p>
        </w:tc>
      </w:tr>
      <w:tr w14:paraId="2FFE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181D147E">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2EA7DE0C">
            <w:pPr>
              <w:widowControl w:val="0"/>
              <w:overflowPunct w:val="0"/>
              <w:spacing w:line="408" w:lineRule="auto"/>
              <w:rPr>
                <w:rFonts w:hint="eastAsia" w:ascii="仿宋" w:hAnsi="仿宋" w:eastAsia="仿宋"/>
                <w:bCs/>
                <w:sz w:val="18"/>
                <w:lang w:eastAsia="zh-CN"/>
              </w:rPr>
            </w:pPr>
          </w:p>
        </w:tc>
        <w:tc>
          <w:tcPr>
            <w:tcW w:w="604" w:type="pct"/>
            <w:vAlign w:val="center"/>
          </w:tcPr>
          <w:p w14:paraId="78FE35A4">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会计核算规范性（4分）</w:t>
            </w:r>
          </w:p>
        </w:tc>
        <w:tc>
          <w:tcPr>
            <w:tcW w:w="1307" w:type="pct"/>
            <w:vAlign w:val="center"/>
          </w:tcPr>
          <w:p w14:paraId="4B5CD92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主要评价部门（单位）财务会计核算是否规范，是否符合会计准则的相关规定，是否符合财务管理制度，用以反映和考核部门（单位）财务会计核算情况。</w:t>
            </w:r>
          </w:p>
        </w:tc>
        <w:tc>
          <w:tcPr>
            <w:tcW w:w="2350" w:type="pct"/>
            <w:vAlign w:val="center"/>
          </w:tcPr>
          <w:p w14:paraId="440286E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是否遵循会计准则，会计科目使用正确，记账凭证填写规范；</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会计报表、财务报告编制是否准确、及时；</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应缴财政款年末是否按规定年终清缴后无余额；</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是否存在截留、挤占、挪用、虚列支出的情况。</w:t>
            </w:r>
            <w:r>
              <w:rPr>
                <w:rFonts w:hint="eastAsia" w:ascii="仿宋" w:hAnsi="仿宋" w:eastAsia="仿宋"/>
                <w:bCs/>
                <w:sz w:val="18"/>
                <w:lang w:eastAsia="zh-CN"/>
              </w:rPr>
              <w:br w:type="textWrapping"/>
            </w:r>
            <w:r>
              <w:rPr>
                <w:rFonts w:hint="eastAsia" w:ascii="仿宋" w:hAnsi="仿宋" w:eastAsia="仿宋"/>
                <w:bCs/>
                <w:sz w:val="18"/>
                <w:lang w:eastAsia="zh-CN"/>
              </w:rPr>
              <w:t>一项不符扣1分，扣完为止。</w:t>
            </w:r>
          </w:p>
        </w:tc>
      </w:tr>
      <w:tr w14:paraId="2899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43A23928">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41779995">
            <w:pPr>
              <w:widowControl w:val="0"/>
              <w:overflowPunct w:val="0"/>
              <w:spacing w:line="408" w:lineRule="auto"/>
              <w:rPr>
                <w:rFonts w:hint="eastAsia" w:ascii="仿宋" w:hAnsi="仿宋" w:eastAsia="仿宋"/>
                <w:bCs/>
                <w:sz w:val="18"/>
                <w:lang w:eastAsia="zh-CN"/>
              </w:rPr>
            </w:pPr>
          </w:p>
        </w:tc>
        <w:tc>
          <w:tcPr>
            <w:tcW w:w="604" w:type="pct"/>
            <w:vAlign w:val="center"/>
          </w:tcPr>
          <w:p w14:paraId="244BD21B">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预决算信息公开性（1分）</w:t>
            </w:r>
          </w:p>
        </w:tc>
        <w:tc>
          <w:tcPr>
            <w:tcW w:w="1307" w:type="pct"/>
            <w:vAlign w:val="center"/>
          </w:tcPr>
          <w:p w14:paraId="0BC81BA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是否按照政府信息公开有关规定及预决算批复文件中要求的格式、时限公开相关预决算信息，用以反映和评价部门预决算管理的公开透明情况。</w:t>
            </w:r>
          </w:p>
        </w:tc>
        <w:tc>
          <w:tcPr>
            <w:tcW w:w="2350" w:type="pct"/>
            <w:vAlign w:val="center"/>
          </w:tcPr>
          <w:p w14:paraId="16D94782">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按要求的格式、时限公开预算（0.5分）；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按要求的格式、时限公开决算（0.5分）；</w:t>
            </w:r>
          </w:p>
        </w:tc>
      </w:tr>
      <w:tr w14:paraId="00F7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138A33B5">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37EE5FB3">
            <w:pPr>
              <w:widowControl w:val="0"/>
              <w:overflowPunct w:val="0"/>
              <w:spacing w:line="408" w:lineRule="auto"/>
              <w:rPr>
                <w:rFonts w:hint="eastAsia" w:ascii="仿宋" w:hAnsi="仿宋" w:eastAsia="仿宋"/>
                <w:bCs/>
                <w:sz w:val="18"/>
                <w:lang w:eastAsia="zh-CN"/>
              </w:rPr>
            </w:pPr>
          </w:p>
        </w:tc>
        <w:tc>
          <w:tcPr>
            <w:tcW w:w="604" w:type="pct"/>
            <w:vAlign w:val="center"/>
          </w:tcPr>
          <w:p w14:paraId="4EDA31AA">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合同管理规范性（3分）</w:t>
            </w:r>
          </w:p>
        </w:tc>
        <w:tc>
          <w:tcPr>
            <w:tcW w:w="1307" w:type="pct"/>
            <w:vAlign w:val="center"/>
          </w:tcPr>
          <w:p w14:paraId="23B0263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主要评价部门（单位）合同的签订是否符合《中华人民共和国民法典》的相关规定。</w:t>
            </w:r>
          </w:p>
        </w:tc>
        <w:tc>
          <w:tcPr>
            <w:tcW w:w="2350" w:type="pct"/>
            <w:vAlign w:val="center"/>
          </w:tcPr>
          <w:p w14:paraId="37B6F58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单位的合同管理是否规范；</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内容和权责是否明确；</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双方是否按照合同条款，履行合同的权利和义务。</w:t>
            </w:r>
            <w:r>
              <w:rPr>
                <w:rFonts w:hint="eastAsia" w:ascii="仿宋" w:hAnsi="仿宋" w:eastAsia="仿宋"/>
                <w:bCs/>
                <w:sz w:val="18"/>
                <w:lang w:eastAsia="zh-CN"/>
              </w:rPr>
              <w:br w:type="textWrapping"/>
            </w:r>
            <w:r>
              <w:rPr>
                <w:rFonts w:hint="eastAsia" w:ascii="仿宋" w:hAnsi="仿宋" w:eastAsia="仿宋"/>
                <w:bCs/>
                <w:sz w:val="18"/>
                <w:lang w:eastAsia="zh-CN"/>
              </w:rPr>
              <w:t>一项不符扣1分，扣完为止。</w:t>
            </w:r>
          </w:p>
        </w:tc>
      </w:tr>
      <w:tr w14:paraId="6C1D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238BE5CC">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48FB9349">
            <w:pPr>
              <w:widowControl w:val="0"/>
              <w:overflowPunct w:val="0"/>
              <w:spacing w:line="408" w:lineRule="auto"/>
              <w:rPr>
                <w:rFonts w:hint="eastAsia" w:ascii="仿宋" w:hAnsi="仿宋" w:eastAsia="仿宋"/>
                <w:bCs/>
                <w:sz w:val="18"/>
                <w:lang w:eastAsia="zh-CN"/>
              </w:rPr>
            </w:pPr>
          </w:p>
        </w:tc>
        <w:tc>
          <w:tcPr>
            <w:tcW w:w="604" w:type="pct"/>
            <w:vAlign w:val="center"/>
          </w:tcPr>
          <w:p w14:paraId="764E2421">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资产管理完整性(1.5分）</w:t>
            </w:r>
          </w:p>
        </w:tc>
        <w:tc>
          <w:tcPr>
            <w:tcW w:w="1307" w:type="pct"/>
            <w:vAlign w:val="center"/>
          </w:tcPr>
          <w:p w14:paraId="2ECD0EF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主要评价部门（单位）对于单位资产的管理是否完整，是否做到账实相符。</w:t>
            </w:r>
          </w:p>
        </w:tc>
        <w:tc>
          <w:tcPr>
            <w:tcW w:w="2350" w:type="pct"/>
            <w:vAlign w:val="center"/>
          </w:tcPr>
          <w:p w14:paraId="0BC3A85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抽查主管单位和下级单位资产管理制度是否健全、完整、合法；</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抽查主管单位和下级单位资产管理是否账实相符；</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主管单位是否有建立必要的资产管理制度。</w:t>
            </w:r>
            <w:r>
              <w:rPr>
                <w:rFonts w:hint="eastAsia" w:ascii="仿宋" w:hAnsi="仿宋" w:eastAsia="仿宋"/>
                <w:bCs/>
                <w:sz w:val="18"/>
                <w:lang w:eastAsia="zh-CN"/>
              </w:rPr>
              <w:br w:type="textWrapping"/>
            </w:r>
            <w:r>
              <w:rPr>
                <w:rFonts w:hint="eastAsia" w:ascii="仿宋" w:hAnsi="仿宋" w:eastAsia="仿宋"/>
                <w:bCs/>
                <w:sz w:val="18"/>
                <w:lang w:eastAsia="zh-CN"/>
              </w:rPr>
              <w:t>一项不符扣0.5分，扣完为止。</w:t>
            </w:r>
          </w:p>
        </w:tc>
      </w:tr>
      <w:tr w14:paraId="1956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55484A48">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515681F3">
            <w:pPr>
              <w:widowControl w:val="0"/>
              <w:overflowPunct w:val="0"/>
              <w:spacing w:line="408" w:lineRule="auto"/>
              <w:rPr>
                <w:rFonts w:hint="eastAsia" w:ascii="仿宋" w:hAnsi="仿宋" w:eastAsia="仿宋"/>
                <w:bCs/>
                <w:sz w:val="18"/>
                <w:lang w:eastAsia="zh-CN"/>
              </w:rPr>
            </w:pPr>
          </w:p>
        </w:tc>
        <w:tc>
          <w:tcPr>
            <w:tcW w:w="604" w:type="pct"/>
            <w:vAlign w:val="center"/>
          </w:tcPr>
          <w:p w14:paraId="7EC4204A">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绩效自评合规性（3分）</w:t>
            </w:r>
          </w:p>
        </w:tc>
        <w:tc>
          <w:tcPr>
            <w:tcW w:w="1307" w:type="pct"/>
            <w:vAlign w:val="center"/>
          </w:tcPr>
          <w:p w14:paraId="4517AEF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主要评价部门（单位）是否按要求开展绩效自评工作；绩效自评报告是否报送及时，绩效自评是否真实可靠。</w:t>
            </w:r>
          </w:p>
        </w:tc>
        <w:tc>
          <w:tcPr>
            <w:tcW w:w="2350" w:type="pct"/>
            <w:vAlign w:val="center"/>
          </w:tcPr>
          <w:p w14:paraId="38A126B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是否按要求开展绩效自评工作；</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绩效自评报告是否报送及时；</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绩效自评报告是否完整，数据是否全面、真实、准确，绩效指标是否细化量化和科学合理；</w:t>
            </w:r>
            <w:r>
              <w:rPr>
                <w:rFonts w:hint="eastAsia" w:ascii="仿宋" w:hAnsi="仿宋" w:eastAsia="仿宋"/>
                <w:bCs/>
                <w:sz w:val="18"/>
                <w:lang w:eastAsia="zh-CN"/>
              </w:rPr>
              <w:br w:type="textWrapping"/>
            </w:r>
            <w:r>
              <w:rPr>
                <w:rFonts w:hint="eastAsia" w:ascii="仿宋" w:hAnsi="仿宋" w:eastAsia="仿宋"/>
                <w:bCs/>
                <w:sz w:val="18"/>
                <w:lang w:eastAsia="zh-CN"/>
              </w:rPr>
              <w:t>一项不符扣1分，扣完为止。</w:t>
            </w:r>
          </w:p>
        </w:tc>
      </w:tr>
      <w:tr w14:paraId="38F43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restart"/>
            <w:vAlign w:val="center"/>
          </w:tcPr>
          <w:p w14:paraId="2FE39306">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产出（34%）</w:t>
            </w:r>
          </w:p>
        </w:tc>
        <w:tc>
          <w:tcPr>
            <w:tcW w:w="374" w:type="pct"/>
            <w:vMerge w:val="restart"/>
            <w:vAlign w:val="center"/>
          </w:tcPr>
          <w:p w14:paraId="488C1603">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产出数量(21分）</w:t>
            </w:r>
          </w:p>
        </w:tc>
        <w:tc>
          <w:tcPr>
            <w:tcW w:w="604" w:type="pct"/>
            <w:vAlign w:val="center"/>
          </w:tcPr>
          <w:p w14:paraId="413539D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查处违法建设案件数量（3分）</w:t>
            </w:r>
          </w:p>
        </w:tc>
        <w:tc>
          <w:tcPr>
            <w:tcW w:w="1307" w:type="pct"/>
            <w:vAlign w:val="center"/>
          </w:tcPr>
          <w:p w14:paraId="31F8FB9F">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主要评价部门（单位）在所管辖范围内查处违法违规建设建造案件的数量。</w:t>
            </w:r>
          </w:p>
        </w:tc>
        <w:tc>
          <w:tcPr>
            <w:tcW w:w="2350" w:type="pct"/>
            <w:vAlign w:val="center"/>
          </w:tcPr>
          <w:p w14:paraId="37D9C8A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违法建设案件数量</w:t>
            </w:r>
            <w:r>
              <w:rPr>
                <w:rFonts w:ascii="仿宋" w:hAnsi="仿宋" w:eastAsia="仿宋"/>
                <w:bCs/>
                <w:sz w:val="18"/>
                <w:lang w:eastAsia="zh-CN"/>
              </w:rPr>
              <w:t>≥</w:t>
            </w:r>
            <w:r>
              <w:rPr>
                <w:rFonts w:hint="eastAsia" w:ascii="仿宋" w:hAnsi="仿宋" w:eastAsia="仿宋"/>
                <w:bCs/>
                <w:sz w:val="18"/>
                <w:lang w:eastAsia="zh-CN"/>
              </w:rPr>
              <w:t>130宗，得3分；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130宗&gt;违法建设案件数量</w:t>
            </w:r>
            <w:r>
              <w:rPr>
                <w:rFonts w:ascii="仿宋" w:hAnsi="仿宋" w:eastAsia="仿宋"/>
                <w:bCs/>
                <w:sz w:val="18"/>
                <w:lang w:eastAsia="zh-CN"/>
              </w:rPr>
              <w:t>≥</w:t>
            </w:r>
            <w:r>
              <w:rPr>
                <w:rFonts w:hint="eastAsia" w:ascii="仿宋" w:hAnsi="仿宋" w:eastAsia="仿宋"/>
                <w:bCs/>
                <w:sz w:val="18"/>
                <w:lang w:eastAsia="zh-CN"/>
              </w:rPr>
              <w:t>120宗，得2分；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120宗&gt;违法建设案件数量</w:t>
            </w:r>
            <w:r>
              <w:rPr>
                <w:rFonts w:ascii="仿宋" w:hAnsi="仿宋" w:eastAsia="仿宋"/>
                <w:bCs/>
                <w:sz w:val="18"/>
                <w:lang w:eastAsia="zh-CN"/>
              </w:rPr>
              <w:t>≥</w:t>
            </w:r>
            <w:r>
              <w:rPr>
                <w:rFonts w:hint="eastAsia" w:ascii="仿宋" w:hAnsi="仿宋" w:eastAsia="仿宋"/>
                <w:bCs/>
                <w:sz w:val="18"/>
                <w:lang w:eastAsia="zh-CN"/>
              </w:rPr>
              <w:t>110宗，得1分；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110宗&gt;违法建设案件数量，得0分。</w:t>
            </w:r>
          </w:p>
        </w:tc>
      </w:tr>
      <w:tr w14:paraId="2299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0B7C6CE0">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3F6984AC">
            <w:pPr>
              <w:widowControl w:val="0"/>
              <w:overflowPunct w:val="0"/>
              <w:spacing w:line="408" w:lineRule="auto"/>
              <w:rPr>
                <w:rFonts w:hint="eastAsia" w:ascii="仿宋" w:hAnsi="仿宋" w:eastAsia="仿宋"/>
                <w:bCs/>
                <w:sz w:val="18"/>
                <w:lang w:eastAsia="zh-CN"/>
              </w:rPr>
            </w:pPr>
          </w:p>
        </w:tc>
        <w:tc>
          <w:tcPr>
            <w:tcW w:w="604" w:type="pct"/>
            <w:vAlign w:val="center"/>
          </w:tcPr>
          <w:p w14:paraId="4E13964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完成人行道与路面修复面积（3分）</w:t>
            </w:r>
          </w:p>
        </w:tc>
        <w:tc>
          <w:tcPr>
            <w:tcW w:w="1307" w:type="pct"/>
            <w:vAlign w:val="center"/>
          </w:tcPr>
          <w:p w14:paraId="6078C276">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主要评价部门（单位）本年度在所管辖范围内对人行道与路面修复的面积。</w:t>
            </w:r>
          </w:p>
        </w:tc>
        <w:tc>
          <w:tcPr>
            <w:tcW w:w="2350" w:type="pct"/>
            <w:vAlign w:val="center"/>
          </w:tcPr>
          <w:p w14:paraId="13C90A34">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修复面积</w:t>
            </w:r>
            <w:r>
              <w:rPr>
                <w:rFonts w:ascii="仿宋" w:hAnsi="仿宋" w:eastAsia="仿宋"/>
                <w:bCs/>
                <w:sz w:val="18"/>
                <w:lang w:eastAsia="zh-CN"/>
              </w:rPr>
              <w:t>≥</w:t>
            </w:r>
            <w:r>
              <w:rPr>
                <w:rFonts w:hint="eastAsia" w:ascii="仿宋" w:hAnsi="仿宋" w:eastAsia="仿宋"/>
                <w:bCs/>
                <w:sz w:val="18"/>
                <w:lang w:eastAsia="zh-CN"/>
              </w:rPr>
              <w:t>10000平方米，得3分；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10000平方米&gt;修复面积</w:t>
            </w:r>
            <w:r>
              <w:rPr>
                <w:rFonts w:ascii="仿宋" w:hAnsi="仿宋" w:eastAsia="仿宋"/>
                <w:bCs/>
                <w:sz w:val="18"/>
                <w:lang w:eastAsia="zh-CN"/>
              </w:rPr>
              <w:t>≥</w:t>
            </w:r>
            <w:r>
              <w:rPr>
                <w:rFonts w:hint="eastAsia" w:ascii="仿宋" w:hAnsi="仿宋" w:eastAsia="仿宋"/>
                <w:bCs/>
                <w:sz w:val="18"/>
                <w:lang w:eastAsia="zh-CN"/>
              </w:rPr>
              <w:t>9500平方米，得2分；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9500平方米&gt;修复面积</w:t>
            </w:r>
            <w:r>
              <w:rPr>
                <w:rFonts w:ascii="仿宋" w:hAnsi="仿宋" w:eastAsia="仿宋"/>
                <w:bCs/>
                <w:sz w:val="18"/>
                <w:lang w:eastAsia="zh-CN"/>
              </w:rPr>
              <w:t>≥</w:t>
            </w:r>
            <w:r>
              <w:rPr>
                <w:rFonts w:hint="eastAsia" w:ascii="仿宋" w:hAnsi="仿宋" w:eastAsia="仿宋"/>
                <w:bCs/>
                <w:sz w:val="18"/>
                <w:lang w:eastAsia="zh-CN"/>
              </w:rPr>
              <w:t>9000平方米，得1分；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9000平方米&gt;修复面积，得0分。</w:t>
            </w:r>
          </w:p>
        </w:tc>
      </w:tr>
      <w:tr w14:paraId="2AE2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6733AB0D">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44360569">
            <w:pPr>
              <w:widowControl w:val="0"/>
              <w:overflowPunct w:val="0"/>
              <w:spacing w:line="408" w:lineRule="auto"/>
              <w:rPr>
                <w:rFonts w:hint="eastAsia" w:ascii="仿宋" w:hAnsi="仿宋" w:eastAsia="仿宋"/>
                <w:bCs/>
                <w:sz w:val="18"/>
                <w:lang w:eastAsia="zh-CN"/>
              </w:rPr>
            </w:pPr>
          </w:p>
        </w:tc>
        <w:tc>
          <w:tcPr>
            <w:tcW w:w="604" w:type="pct"/>
            <w:vAlign w:val="center"/>
          </w:tcPr>
          <w:p w14:paraId="677A785D">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路灯亮灯率（3分）</w:t>
            </w:r>
          </w:p>
        </w:tc>
        <w:tc>
          <w:tcPr>
            <w:tcW w:w="1307" w:type="pct"/>
            <w:vAlign w:val="center"/>
          </w:tcPr>
          <w:p w14:paraId="6068853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主要评价部门（单位）本年度在所管辖范围内路灯的亮灯率、故障率情况。</w:t>
            </w:r>
          </w:p>
        </w:tc>
        <w:tc>
          <w:tcPr>
            <w:tcW w:w="2350" w:type="pct"/>
            <w:vAlign w:val="center"/>
          </w:tcPr>
          <w:p w14:paraId="24CB6B5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亮灯率</w:t>
            </w:r>
            <w:r>
              <w:rPr>
                <w:rFonts w:ascii="仿宋" w:hAnsi="仿宋" w:eastAsia="仿宋"/>
                <w:bCs/>
                <w:sz w:val="18"/>
                <w:lang w:eastAsia="zh-CN"/>
              </w:rPr>
              <w:t>≥</w:t>
            </w:r>
            <w:r>
              <w:rPr>
                <w:rFonts w:hint="eastAsia" w:ascii="仿宋" w:hAnsi="仿宋" w:eastAsia="仿宋"/>
                <w:bCs/>
                <w:sz w:val="18"/>
                <w:lang w:eastAsia="zh-CN"/>
              </w:rPr>
              <w:t>99%，得3分；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99%&gt;亮灯率</w:t>
            </w:r>
            <w:r>
              <w:rPr>
                <w:rFonts w:ascii="仿宋" w:hAnsi="仿宋" w:eastAsia="仿宋"/>
                <w:bCs/>
                <w:sz w:val="18"/>
                <w:lang w:eastAsia="zh-CN"/>
              </w:rPr>
              <w:t>≥</w:t>
            </w:r>
            <w:r>
              <w:rPr>
                <w:rFonts w:hint="eastAsia" w:ascii="仿宋" w:hAnsi="仿宋" w:eastAsia="仿宋"/>
                <w:bCs/>
                <w:sz w:val="18"/>
                <w:lang w:eastAsia="zh-CN"/>
              </w:rPr>
              <w:t>95%，得2分；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95%&gt;亮灯率</w:t>
            </w:r>
            <w:r>
              <w:rPr>
                <w:rFonts w:ascii="仿宋" w:hAnsi="仿宋" w:eastAsia="仿宋"/>
                <w:bCs/>
                <w:sz w:val="18"/>
                <w:lang w:eastAsia="zh-CN"/>
              </w:rPr>
              <w:t>≥</w:t>
            </w:r>
            <w:r>
              <w:rPr>
                <w:rFonts w:hint="eastAsia" w:ascii="仿宋" w:hAnsi="仿宋" w:eastAsia="仿宋"/>
                <w:bCs/>
                <w:sz w:val="18"/>
                <w:lang w:eastAsia="zh-CN"/>
              </w:rPr>
              <w:t>90%，得1分；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905&gt;亮灯率，得0分。</w:t>
            </w:r>
          </w:p>
        </w:tc>
      </w:tr>
      <w:tr w14:paraId="270D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59F4F40A">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2542FE99">
            <w:pPr>
              <w:widowControl w:val="0"/>
              <w:overflowPunct w:val="0"/>
              <w:spacing w:line="408" w:lineRule="auto"/>
              <w:rPr>
                <w:rFonts w:hint="eastAsia" w:ascii="仿宋" w:hAnsi="仿宋" w:eastAsia="仿宋"/>
                <w:bCs/>
                <w:sz w:val="18"/>
                <w:lang w:eastAsia="zh-CN"/>
              </w:rPr>
            </w:pPr>
          </w:p>
        </w:tc>
        <w:tc>
          <w:tcPr>
            <w:tcW w:w="604" w:type="pct"/>
            <w:vAlign w:val="center"/>
          </w:tcPr>
          <w:p w14:paraId="162DFAB1">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累计维修路灯数量（3分）</w:t>
            </w:r>
          </w:p>
        </w:tc>
        <w:tc>
          <w:tcPr>
            <w:tcW w:w="1307" w:type="pct"/>
            <w:vAlign w:val="center"/>
          </w:tcPr>
          <w:p w14:paraId="7CF71A3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主要评价部门（单位）本年度在所管辖范围内累计修复路灯的数量。</w:t>
            </w:r>
          </w:p>
        </w:tc>
        <w:tc>
          <w:tcPr>
            <w:tcW w:w="2350" w:type="pct"/>
            <w:vAlign w:val="center"/>
          </w:tcPr>
          <w:p w14:paraId="2EB66A02">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累计修复路灯数量</w:t>
            </w:r>
            <w:r>
              <w:rPr>
                <w:rFonts w:ascii="仿宋" w:hAnsi="仿宋" w:eastAsia="仿宋"/>
                <w:bCs/>
                <w:sz w:val="18"/>
                <w:lang w:eastAsia="zh-CN"/>
              </w:rPr>
              <w:t>≥</w:t>
            </w:r>
            <w:r>
              <w:rPr>
                <w:rFonts w:hint="eastAsia" w:ascii="仿宋" w:hAnsi="仿宋" w:eastAsia="仿宋"/>
                <w:bCs/>
                <w:sz w:val="18"/>
                <w:lang w:eastAsia="zh-CN"/>
              </w:rPr>
              <w:t>4000处，得3分；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4000处&gt;累计修复路灯数量</w:t>
            </w:r>
            <w:r>
              <w:rPr>
                <w:rFonts w:ascii="仿宋" w:hAnsi="仿宋" w:eastAsia="仿宋"/>
                <w:bCs/>
                <w:sz w:val="18"/>
                <w:lang w:eastAsia="zh-CN"/>
              </w:rPr>
              <w:t>≥</w:t>
            </w:r>
            <w:r>
              <w:rPr>
                <w:rFonts w:hint="eastAsia" w:ascii="仿宋" w:hAnsi="仿宋" w:eastAsia="仿宋"/>
                <w:bCs/>
                <w:sz w:val="18"/>
                <w:lang w:eastAsia="zh-CN"/>
              </w:rPr>
              <w:t>3900处，得2分；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3900处&gt;累计修复路灯数量</w:t>
            </w:r>
            <w:r>
              <w:rPr>
                <w:rFonts w:ascii="仿宋" w:hAnsi="仿宋" w:eastAsia="仿宋"/>
                <w:bCs/>
                <w:sz w:val="18"/>
                <w:lang w:eastAsia="zh-CN"/>
              </w:rPr>
              <w:t>≥</w:t>
            </w:r>
            <w:r>
              <w:rPr>
                <w:rFonts w:hint="eastAsia" w:ascii="仿宋" w:hAnsi="仿宋" w:eastAsia="仿宋"/>
                <w:bCs/>
                <w:sz w:val="18"/>
                <w:lang w:eastAsia="zh-CN"/>
              </w:rPr>
              <w:t>3800处，得1分；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3800处&gt;累计修复路灯数量，得0分。</w:t>
            </w:r>
          </w:p>
        </w:tc>
      </w:tr>
      <w:tr w14:paraId="01A6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4DC4457E">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7DAAC544">
            <w:pPr>
              <w:widowControl w:val="0"/>
              <w:overflowPunct w:val="0"/>
              <w:spacing w:line="408" w:lineRule="auto"/>
              <w:rPr>
                <w:rFonts w:hint="eastAsia" w:ascii="仿宋" w:hAnsi="仿宋" w:eastAsia="仿宋"/>
                <w:bCs/>
                <w:sz w:val="18"/>
                <w:lang w:eastAsia="zh-CN"/>
              </w:rPr>
            </w:pPr>
          </w:p>
        </w:tc>
        <w:tc>
          <w:tcPr>
            <w:tcW w:w="604" w:type="pct"/>
            <w:vAlign w:val="center"/>
          </w:tcPr>
          <w:p w14:paraId="1B5EC162">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现场督察餐饮企业数量（3分）</w:t>
            </w:r>
          </w:p>
        </w:tc>
        <w:tc>
          <w:tcPr>
            <w:tcW w:w="1307" w:type="pct"/>
            <w:vAlign w:val="center"/>
          </w:tcPr>
          <w:p w14:paraId="1D2D93D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主要评价部门（单位）本年度在所管辖范围内开展现场督察餐饮企业的数量。</w:t>
            </w:r>
          </w:p>
        </w:tc>
        <w:tc>
          <w:tcPr>
            <w:tcW w:w="2350" w:type="pct"/>
            <w:vAlign w:val="center"/>
          </w:tcPr>
          <w:p w14:paraId="788E2ECB">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现场督察</w:t>
            </w:r>
            <w:r>
              <w:rPr>
                <w:rFonts w:ascii="仿宋" w:hAnsi="仿宋" w:eastAsia="仿宋"/>
                <w:bCs/>
                <w:sz w:val="18"/>
                <w:lang w:eastAsia="zh-CN"/>
              </w:rPr>
              <w:t>≥</w:t>
            </w:r>
            <w:r>
              <w:rPr>
                <w:rFonts w:hint="eastAsia" w:ascii="仿宋" w:hAnsi="仿宋" w:eastAsia="仿宋"/>
                <w:bCs/>
                <w:sz w:val="18"/>
                <w:lang w:eastAsia="zh-CN"/>
              </w:rPr>
              <w:t>3000家，得3分；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3000家&gt;现场督察</w:t>
            </w:r>
            <w:r>
              <w:rPr>
                <w:rFonts w:ascii="仿宋" w:hAnsi="仿宋" w:eastAsia="仿宋"/>
                <w:bCs/>
                <w:sz w:val="18"/>
                <w:lang w:eastAsia="zh-CN"/>
              </w:rPr>
              <w:t>≥</w:t>
            </w:r>
            <w:r>
              <w:rPr>
                <w:rFonts w:hint="eastAsia" w:ascii="仿宋" w:hAnsi="仿宋" w:eastAsia="仿宋"/>
                <w:bCs/>
                <w:sz w:val="18"/>
                <w:lang w:eastAsia="zh-CN"/>
              </w:rPr>
              <w:t>2900家，得2分；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2900家&gt;现场督察</w:t>
            </w:r>
            <w:r>
              <w:rPr>
                <w:rFonts w:ascii="仿宋" w:hAnsi="仿宋" w:eastAsia="仿宋"/>
                <w:bCs/>
                <w:sz w:val="18"/>
                <w:lang w:eastAsia="zh-CN"/>
              </w:rPr>
              <w:t>≥</w:t>
            </w:r>
            <w:r>
              <w:rPr>
                <w:rFonts w:hint="eastAsia" w:ascii="仿宋" w:hAnsi="仿宋" w:eastAsia="仿宋"/>
                <w:bCs/>
                <w:sz w:val="18"/>
                <w:lang w:eastAsia="zh-CN"/>
              </w:rPr>
              <w:t>2800家，得1分；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2800家&gt;现场督察，得0分。</w:t>
            </w:r>
          </w:p>
        </w:tc>
      </w:tr>
      <w:tr w14:paraId="7F7C5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5B4F1198">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0362E451">
            <w:pPr>
              <w:widowControl w:val="0"/>
              <w:overflowPunct w:val="0"/>
              <w:spacing w:line="408" w:lineRule="auto"/>
              <w:rPr>
                <w:rFonts w:hint="eastAsia" w:ascii="仿宋" w:hAnsi="仿宋" w:eastAsia="仿宋"/>
                <w:bCs/>
                <w:sz w:val="18"/>
                <w:lang w:eastAsia="zh-CN"/>
              </w:rPr>
            </w:pPr>
          </w:p>
        </w:tc>
        <w:tc>
          <w:tcPr>
            <w:tcW w:w="604" w:type="pct"/>
            <w:vAlign w:val="center"/>
          </w:tcPr>
          <w:p w14:paraId="03DDAC2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开展环境卫生专项整治活动的次数（3分）</w:t>
            </w:r>
          </w:p>
        </w:tc>
        <w:tc>
          <w:tcPr>
            <w:tcW w:w="1307" w:type="pct"/>
            <w:vAlign w:val="center"/>
          </w:tcPr>
          <w:p w14:paraId="6A230F64">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主要评价部门（单位）本年度在所管辖范围内开展环境卫生专项整治活动的次数。</w:t>
            </w:r>
          </w:p>
        </w:tc>
        <w:tc>
          <w:tcPr>
            <w:tcW w:w="2350" w:type="pct"/>
            <w:vAlign w:val="center"/>
          </w:tcPr>
          <w:p w14:paraId="5E124F62">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开展环境卫生整治</w:t>
            </w:r>
            <w:r>
              <w:rPr>
                <w:rFonts w:ascii="仿宋" w:hAnsi="仿宋" w:eastAsia="仿宋"/>
                <w:bCs/>
                <w:sz w:val="18"/>
                <w:lang w:eastAsia="zh-CN"/>
              </w:rPr>
              <w:t>≥</w:t>
            </w:r>
            <w:r>
              <w:rPr>
                <w:rFonts w:hint="eastAsia" w:ascii="仿宋" w:hAnsi="仿宋" w:eastAsia="仿宋"/>
                <w:bCs/>
                <w:sz w:val="18"/>
                <w:lang w:eastAsia="zh-CN"/>
              </w:rPr>
              <w:t>500场，得3分；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500场&gt;开展环境卫生整治</w:t>
            </w:r>
            <w:r>
              <w:rPr>
                <w:rFonts w:ascii="仿宋" w:hAnsi="仿宋" w:eastAsia="仿宋"/>
                <w:bCs/>
                <w:sz w:val="18"/>
                <w:lang w:eastAsia="zh-CN"/>
              </w:rPr>
              <w:t>≥</w:t>
            </w:r>
            <w:r>
              <w:rPr>
                <w:rFonts w:hint="eastAsia" w:ascii="仿宋" w:hAnsi="仿宋" w:eastAsia="仿宋"/>
                <w:bCs/>
                <w:sz w:val="18"/>
                <w:lang w:eastAsia="zh-CN"/>
              </w:rPr>
              <w:t>450场，得2分；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450场&gt;开展环境卫生整治</w:t>
            </w:r>
            <w:r>
              <w:rPr>
                <w:rFonts w:ascii="仿宋" w:hAnsi="仿宋" w:eastAsia="仿宋"/>
                <w:bCs/>
                <w:sz w:val="18"/>
                <w:lang w:eastAsia="zh-CN"/>
              </w:rPr>
              <w:t>≥</w:t>
            </w:r>
            <w:r>
              <w:rPr>
                <w:rFonts w:hint="eastAsia" w:ascii="仿宋" w:hAnsi="仿宋" w:eastAsia="仿宋"/>
                <w:bCs/>
                <w:sz w:val="18"/>
                <w:lang w:eastAsia="zh-CN"/>
              </w:rPr>
              <w:t>400场，得1分；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400场&gt;开展环境卫生整治，得0分。</w:t>
            </w:r>
          </w:p>
        </w:tc>
      </w:tr>
      <w:tr w14:paraId="0499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611E138F">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59E14245">
            <w:pPr>
              <w:widowControl w:val="0"/>
              <w:overflowPunct w:val="0"/>
              <w:spacing w:line="408" w:lineRule="auto"/>
              <w:rPr>
                <w:rFonts w:hint="eastAsia" w:ascii="仿宋" w:hAnsi="仿宋" w:eastAsia="仿宋"/>
                <w:bCs/>
                <w:sz w:val="18"/>
                <w:lang w:eastAsia="zh-CN"/>
              </w:rPr>
            </w:pPr>
          </w:p>
        </w:tc>
        <w:tc>
          <w:tcPr>
            <w:tcW w:w="604" w:type="pct"/>
            <w:vAlign w:val="center"/>
          </w:tcPr>
          <w:p w14:paraId="31B82B6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整治占道经营次数（3分）</w:t>
            </w:r>
          </w:p>
        </w:tc>
        <w:tc>
          <w:tcPr>
            <w:tcW w:w="1307" w:type="pct"/>
            <w:vAlign w:val="center"/>
          </w:tcPr>
          <w:p w14:paraId="0166F70D">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主要评价部门（单位）本年度在所管辖范围内开展整治占道经营的次数。</w:t>
            </w:r>
          </w:p>
        </w:tc>
        <w:tc>
          <w:tcPr>
            <w:tcW w:w="2350" w:type="pct"/>
            <w:vAlign w:val="center"/>
          </w:tcPr>
          <w:p w14:paraId="66206A43">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整治占道经营</w:t>
            </w:r>
            <w:r>
              <w:rPr>
                <w:rFonts w:ascii="仿宋" w:hAnsi="仿宋" w:eastAsia="仿宋"/>
                <w:bCs/>
                <w:sz w:val="18"/>
                <w:lang w:eastAsia="zh-CN"/>
              </w:rPr>
              <w:t>≥</w:t>
            </w:r>
            <w:r>
              <w:rPr>
                <w:rFonts w:hint="eastAsia" w:ascii="仿宋" w:hAnsi="仿宋" w:eastAsia="仿宋"/>
                <w:bCs/>
                <w:sz w:val="18"/>
                <w:lang w:eastAsia="zh-CN"/>
              </w:rPr>
              <w:t>6000起，得3分；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6000起&gt;整治占道经营</w:t>
            </w:r>
            <w:r>
              <w:rPr>
                <w:rFonts w:ascii="仿宋" w:hAnsi="仿宋" w:eastAsia="仿宋"/>
                <w:bCs/>
                <w:sz w:val="18"/>
                <w:lang w:eastAsia="zh-CN"/>
              </w:rPr>
              <w:t>≥</w:t>
            </w:r>
            <w:r>
              <w:rPr>
                <w:rFonts w:hint="eastAsia" w:ascii="仿宋" w:hAnsi="仿宋" w:eastAsia="仿宋"/>
                <w:bCs/>
                <w:sz w:val="18"/>
                <w:lang w:eastAsia="zh-CN"/>
              </w:rPr>
              <w:t>5900起，得2分；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5900起&gt;整治占道经营</w:t>
            </w:r>
            <w:r>
              <w:rPr>
                <w:rFonts w:ascii="仿宋" w:hAnsi="仿宋" w:eastAsia="仿宋"/>
                <w:bCs/>
                <w:sz w:val="18"/>
                <w:lang w:eastAsia="zh-CN"/>
              </w:rPr>
              <w:t>≥</w:t>
            </w:r>
            <w:r>
              <w:rPr>
                <w:rFonts w:hint="eastAsia" w:ascii="仿宋" w:hAnsi="仿宋" w:eastAsia="仿宋"/>
                <w:bCs/>
                <w:sz w:val="18"/>
                <w:lang w:eastAsia="zh-CN"/>
              </w:rPr>
              <w:t>5800起，得1分；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5800起&gt;整治占道经营，得0分。</w:t>
            </w:r>
          </w:p>
        </w:tc>
      </w:tr>
      <w:tr w14:paraId="3C9D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10589D28">
            <w:pPr>
              <w:widowControl w:val="0"/>
              <w:overflowPunct w:val="0"/>
              <w:spacing w:line="408" w:lineRule="auto"/>
              <w:rPr>
                <w:rFonts w:hint="eastAsia" w:ascii="仿宋" w:hAnsi="仿宋" w:eastAsia="仿宋"/>
                <w:bCs/>
                <w:sz w:val="18"/>
                <w:lang w:eastAsia="zh-CN"/>
              </w:rPr>
            </w:pPr>
          </w:p>
        </w:tc>
        <w:tc>
          <w:tcPr>
            <w:tcW w:w="374" w:type="pct"/>
            <w:vMerge w:val="restart"/>
            <w:vAlign w:val="center"/>
          </w:tcPr>
          <w:p w14:paraId="3291AE5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产出质量（13分）</w:t>
            </w:r>
          </w:p>
        </w:tc>
        <w:tc>
          <w:tcPr>
            <w:tcW w:w="604" w:type="pct"/>
            <w:vAlign w:val="center"/>
          </w:tcPr>
          <w:p w14:paraId="19DA4342">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绿化浇洒采节水方式（2分）</w:t>
            </w:r>
          </w:p>
        </w:tc>
        <w:tc>
          <w:tcPr>
            <w:tcW w:w="1307" w:type="pct"/>
            <w:vAlign w:val="center"/>
          </w:tcPr>
          <w:p w14:paraId="6552F3E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主要评价部门（单位）本年度在对绿化浇洒时是否采用节水的方式进行浇洒。</w:t>
            </w:r>
          </w:p>
        </w:tc>
        <w:tc>
          <w:tcPr>
            <w:tcW w:w="2350" w:type="pct"/>
            <w:vAlign w:val="center"/>
          </w:tcPr>
          <w:p w14:paraId="3A64805F">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采用节水型灌溉方式，得2分；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未采用节水型灌溉方式，但有人监督，得1分；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未采用节水型灌溉方式，且无人监督，得0分。</w:t>
            </w:r>
          </w:p>
        </w:tc>
      </w:tr>
      <w:tr w14:paraId="0536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057562AC">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03571157">
            <w:pPr>
              <w:widowControl w:val="0"/>
              <w:overflowPunct w:val="0"/>
              <w:spacing w:line="408" w:lineRule="auto"/>
              <w:rPr>
                <w:rFonts w:hint="eastAsia" w:ascii="仿宋" w:hAnsi="仿宋" w:eastAsia="仿宋"/>
                <w:bCs/>
                <w:sz w:val="18"/>
                <w:lang w:eastAsia="zh-CN"/>
              </w:rPr>
            </w:pPr>
          </w:p>
        </w:tc>
        <w:tc>
          <w:tcPr>
            <w:tcW w:w="604" w:type="pct"/>
            <w:vAlign w:val="center"/>
          </w:tcPr>
          <w:p w14:paraId="3E40FA91">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非居民计划用水超标情况（2分）</w:t>
            </w:r>
          </w:p>
        </w:tc>
        <w:tc>
          <w:tcPr>
            <w:tcW w:w="1307" w:type="pct"/>
            <w:vAlign w:val="center"/>
          </w:tcPr>
          <w:p w14:paraId="5DD95CD9">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主要评价部门（单位）本年度非居民计划用水是否存在超标。</w:t>
            </w:r>
          </w:p>
        </w:tc>
        <w:tc>
          <w:tcPr>
            <w:tcW w:w="2350" w:type="pct"/>
            <w:vAlign w:val="center"/>
          </w:tcPr>
          <w:p w14:paraId="76CBD84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非居民计划用水未超标，得2分；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非居民计划用水超标，得1分；</w:t>
            </w:r>
          </w:p>
        </w:tc>
      </w:tr>
      <w:tr w14:paraId="3B57D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08DAF206">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528395DD">
            <w:pPr>
              <w:widowControl w:val="0"/>
              <w:overflowPunct w:val="0"/>
              <w:spacing w:line="408" w:lineRule="auto"/>
              <w:rPr>
                <w:rFonts w:hint="eastAsia" w:ascii="仿宋" w:hAnsi="仿宋" w:eastAsia="仿宋"/>
                <w:bCs/>
                <w:sz w:val="18"/>
                <w:lang w:eastAsia="zh-CN"/>
              </w:rPr>
            </w:pPr>
          </w:p>
        </w:tc>
        <w:tc>
          <w:tcPr>
            <w:tcW w:w="604" w:type="pct"/>
            <w:vAlign w:val="center"/>
          </w:tcPr>
          <w:p w14:paraId="1D19164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路灯维护检查情况（3分）</w:t>
            </w:r>
          </w:p>
        </w:tc>
        <w:tc>
          <w:tcPr>
            <w:tcW w:w="1307" w:type="pct"/>
            <w:vAlign w:val="center"/>
          </w:tcPr>
          <w:p w14:paraId="66787736">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主要评价部门（单位）在2024年度巡逻过程中对路灯的亮灯检查情况。</w:t>
            </w:r>
          </w:p>
        </w:tc>
        <w:tc>
          <w:tcPr>
            <w:tcW w:w="2350" w:type="pct"/>
            <w:vAlign w:val="center"/>
          </w:tcPr>
          <w:p w14:paraId="36822F2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检查过程中路灯几乎没有不亮，得3分；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检查过程中路灯较少不亮，得2分；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检查过程中路灯较多不亮，得1分；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检查过程中路灯很多不亮，得0分。</w:t>
            </w:r>
          </w:p>
        </w:tc>
      </w:tr>
      <w:tr w14:paraId="040A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330DB9CD">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309DC930">
            <w:pPr>
              <w:widowControl w:val="0"/>
              <w:overflowPunct w:val="0"/>
              <w:spacing w:line="408" w:lineRule="auto"/>
              <w:rPr>
                <w:rFonts w:hint="eastAsia" w:ascii="仿宋" w:hAnsi="仿宋" w:eastAsia="仿宋"/>
                <w:bCs/>
                <w:sz w:val="18"/>
                <w:lang w:eastAsia="zh-CN"/>
              </w:rPr>
            </w:pPr>
          </w:p>
        </w:tc>
        <w:tc>
          <w:tcPr>
            <w:tcW w:w="604" w:type="pct"/>
            <w:vAlign w:val="center"/>
          </w:tcPr>
          <w:p w14:paraId="303BF681">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环卫考评情况（3分）</w:t>
            </w:r>
          </w:p>
        </w:tc>
        <w:tc>
          <w:tcPr>
            <w:tcW w:w="1307" w:type="pct"/>
            <w:vAlign w:val="center"/>
          </w:tcPr>
          <w:p w14:paraId="076C71F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主要评价部门（单位）是否有对管辖范围内对环卫一体化的考评情况。</w:t>
            </w:r>
          </w:p>
        </w:tc>
        <w:tc>
          <w:tcPr>
            <w:tcW w:w="2350" w:type="pct"/>
            <w:vAlign w:val="center"/>
          </w:tcPr>
          <w:p w14:paraId="665C753B">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没有需要整改的环卫事件，得3分；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有需要整改的环卫事件，但按时整改，得2分；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有需要整改的环卫事件，但存在超时整改，得1分；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有需要整改的环卫事件，但没有整改，得0分。</w:t>
            </w:r>
          </w:p>
        </w:tc>
      </w:tr>
      <w:tr w14:paraId="5B55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1828C2BB">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6EC342EB">
            <w:pPr>
              <w:widowControl w:val="0"/>
              <w:overflowPunct w:val="0"/>
              <w:spacing w:line="408" w:lineRule="auto"/>
              <w:rPr>
                <w:rFonts w:hint="eastAsia" w:ascii="仿宋" w:hAnsi="仿宋" w:eastAsia="仿宋"/>
                <w:bCs/>
                <w:sz w:val="18"/>
                <w:lang w:eastAsia="zh-CN"/>
              </w:rPr>
            </w:pPr>
          </w:p>
        </w:tc>
        <w:tc>
          <w:tcPr>
            <w:tcW w:w="604" w:type="pct"/>
            <w:vAlign w:val="center"/>
          </w:tcPr>
          <w:p w14:paraId="53EB1A0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2024年度单位绩效考评结果（3分）</w:t>
            </w:r>
          </w:p>
        </w:tc>
        <w:tc>
          <w:tcPr>
            <w:tcW w:w="1307" w:type="pct"/>
            <w:vAlign w:val="center"/>
          </w:tcPr>
          <w:p w14:paraId="7D530EC1">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主要评价部门（单位）在2024年度单位绩效考评结果情况。</w:t>
            </w:r>
          </w:p>
        </w:tc>
        <w:tc>
          <w:tcPr>
            <w:tcW w:w="2350" w:type="pct"/>
            <w:vAlign w:val="center"/>
          </w:tcPr>
          <w:p w14:paraId="7669FE7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获得优秀，得3分；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获得良好，得2分；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获得合格，得1分；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获得不合规，得0分。</w:t>
            </w:r>
          </w:p>
        </w:tc>
      </w:tr>
      <w:tr w14:paraId="3D202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restart"/>
            <w:vAlign w:val="center"/>
          </w:tcPr>
          <w:p w14:paraId="6A2E131F">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效益（27%）</w:t>
            </w:r>
          </w:p>
        </w:tc>
        <w:tc>
          <w:tcPr>
            <w:tcW w:w="374" w:type="pct"/>
            <w:vMerge w:val="restart"/>
            <w:vAlign w:val="center"/>
          </w:tcPr>
          <w:p w14:paraId="04A074B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社会效益（11分）</w:t>
            </w:r>
          </w:p>
        </w:tc>
        <w:tc>
          <w:tcPr>
            <w:tcW w:w="604" w:type="pct"/>
            <w:vAlign w:val="center"/>
          </w:tcPr>
          <w:p w14:paraId="1AAA4BE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开展安全生产检查的次数（3分）</w:t>
            </w:r>
          </w:p>
        </w:tc>
        <w:tc>
          <w:tcPr>
            <w:tcW w:w="1307" w:type="pct"/>
            <w:vAlign w:val="center"/>
          </w:tcPr>
          <w:p w14:paraId="122E91F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主要评价部门（单位）对所管辖范围内企业进行安全生产检查的次数。</w:t>
            </w:r>
          </w:p>
        </w:tc>
        <w:tc>
          <w:tcPr>
            <w:tcW w:w="2350" w:type="pct"/>
            <w:vAlign w:val="center"/>
          </w:tcPr>
          <w:p w14:paraId="1FA2A1A6">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安全生产检查</w:t>
            </w:r>
            <w:r>
              <w:rPr>
                <w:rFonts w:ascii="仿宋" w:hAnsi="仿宋" w:eastAsia="仿宋"/>
                <w:bCs/>
                <w:sz w:val="18"/>
                <w:lang w:eastAsia="zh-CN"/>
              </w:rPr>
              <w:t>≥</w:t>
            </w:r>
            <w:r>
              <w:rPr>
                <w:rFonts w:hint="eastAsia" w:ascii="仿宋" w:hAnsi="仿宋" w:eastAsia="仿宋"/>
                <w:bCs/>
                <w:sz w:val="18"/>
                <w:lang w:eastAsia="zh-CN"/>
              </w:rPr>
              <w:t>300场，得3分；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300场&gt;安全生产检查</w:t>
            </w:r>
            <w:r>
              <w:rPr>
                <w:rFonts w:ascii="仿宋" w:hAnsi="仿宋" w:eastAsia="仿宋"/>
                <w:bCs/>
                <w:sz w:val="18"/>
                <w:lang w:eastAsia="zh-CN"/>
              </w:rPr>
              <w:t>≥</w:t>
            </w:r>
            <w:r>
              <w:rPr>
                <w:rFonts w:hint="eastAsia" w:ascii="仿宋" w:hAnsi="仿宋" w:eastAsia="仿宋"/>
                <w:bCs/>
                <w:sz w:val="18"/>
                <w:lang w:eastAsia="zh-CN"/>
              </w:rPr>
              <w:t>290场，得2分；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290场&gt;安全生产检查</w:t>
            </w:r>
            <w:r>
              <w:rPr>
                <w:rFonts w:ascii="仿宋" w:hAnsi="仿宋" w:eastAsia="仿宋"/>
                <w:bCs/>
                <w:sz w:val="18"/>
                <w:lang w:eastAsia="zh-CN"/>
              </w:rPr>
              <w:t>≥</w:t>
            </w:r>
            <w:r>
              <w:rPr>
                <w:rFonts w:hint="eastAsia" w:ascii="仿宋" w:hAnsi="仿宋" w:eastAsia="仿宋"/>
                <w:bCs/>
                <w:sz w:val="18"/>
                <w:lang w:eastAsia="zh-CN"/>
              </w:rPr>
              <w:t>280场，得1分；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280场&gt;安全生产检查，得0分。</w:t>
            </w:r>
          </w:p>
        </w:tc>
      </w:tr>
      <w:tr w14:paraId="032B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166689D5">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76C27EE7">
            <w:pPr>
              <w:widowControl w:val="0"/>
              <w:overflowPunct w:val="0"/>
              <w:spacing w:line="408" w:lineRule="auto"/>
              <w:rPr>
                <w:rFonts w:hint="eastAsia" w:ascii="仿宋" w:hAnsi="仿宋" w:eastAsia="仿宋"/>
                <w:bCs/>
                <w:sz w:val="18"/>
                <w:lang w:eastAsia="zh-CN"/>
              </w:rPr>
            </w:pPr>
          </w:p>
        </w:tc>
        <w:tc>
          <w:tcPr>
            <w:tcW w:w="604" w:type="pct"/>
            <w:vAlign w:val="center"/>
          </w:tcPr>
          <w:p w14:paraId="1E8B4B8C">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开展应急演练活动次数（3分）</w:t>
            </w:r>
          </w:p>
        </w:tc>
        <w:tc>
          <w:tcPr>
            <w:tcW w:w="1307" w:type="pct"/>
            <w:vAlign w:val="center"/>
          </w:tcPr>
          <w:p w14:paraId="60DDF56D">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主要评价部门（单位）对所管辖范围内开展安全应急演练活动的次数。</w:t>
            </w:r>
          </w:p>
        </w:tc>
        <w:tc>
          <w:tcPr>
            <w:tcW w:w="2350" w:type="pct"/>
            <w:vAlign w:val="center"/>
          </w:tcPr>
          <w:p w14:paraId="3E1D3FF3">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应急演练活动</w:t>
            </w:r>
            <w:r>
              <w:rPr>
                <w:rFonts w:ascii="仿宋" w:hAnsi="仿宋" w:eastAsia="仿宋"/>
                <w:bCs/>
                <w:sz w:val="18"/>
                <w:lang w:eastAsia="zh-CN"/>
              </w:rPr>
              <w:t>≥</w:t>
            </w:r>
            <w:r>
              <w:rPr>
                <w:rFonts w:hint="eastAsia" w:ascii="仿宋" w:hAnsi="仿宋" w:eastAsia="仿宋"/>
                <w:bCs/>
                <w:sz w:val="18"/>
                <w:lang w:eastAsia="zh-CN"/>
              </w:rPr>
              <w:t>20场，得3分；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20场&gt;应急演练活动</w:t>
            </w:r>
            <w:r>
              <w:rPr>
                <w:rFonts w:ascii="仿宋" w:hAnsi="仿宋" w:eastAsia="仿宋"/>
                <w:bCs/>
                <w:sz w:val="18"/>
                <w:lang w:eastAsia="zh-CN"/>
              </w:rPr>
              <w:t>≥</w:t>
            </w:r>
            <w:r>
              <w:rPr>
                <w:rFonts w:hint="eastAsia" w:ascii="仿宋" w:hAnsi="仿宋" w:eastAsia="仿宋"/>
                <w:bCs/>
                <w:sz w:val="18"/>
                <w:lang w:eastAsia="zh-CN"/>
              </w:rPr>
              <w:t>18场，得2分；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18场&gt;应急演练活动</w:t>
            </w:r>
            <w:r>
              <w:rPr>
                <w:rFonts w:ascii="仿宋" w:hAnsi="仿宋" w:eastAsia="仿宋"/>
                <w:bCs/>
                <w:sz w:val="18"/>
                <w:lang w:eastAsia="zh-CN"/>
              </w:rPr>
              <w:t>≥</w:t>
            </w:r>
            <w:r>
              <w:rPr>
                <w:rFonts w:hint="eastAsia" w:ascii="仿宋" w:hAnsi="仿宋" w:eastAsia="仿宋"/>
                <w:bCs/>
                <w:sz w:val="18"/>
                <w:lang w:eastAsia="zh-CN"/>
              </w:rPr>
              <w:t>16场，得1分；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16场&gt;应急演练活动，得0分。</w:t>
            </w:r>
          </w:p>
        </w:tc>
      </w:tr>
      <w:tr w14:paraId="4278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2601E42E">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319B87C4">
            <w:pPr>
              <w:widowControl w:val="0"/>
              <w:overflowPunct w:val="0"/>
              <w:spacing w:line="408" w:lineRule="auto"/>
              <w:rPr>
                <w:rFonts w:hint="eastAsia" w:ascii="仿宋" w:hAnsi="仿宋" w:eastAsia="仿宋"/>
                <w:bCs/>
                <w:sz w:val="18"/>
                <w:lang w:eastAsia="zh-CN"/>
              </w:rPr>
            </w:pPr>
          </w:p>
        </w:tc>
        <w:tc>
          <w:tcPr>
            <w:tcW w:w="604" w:type="pct"/>
            <w:vAlign w:val="center"/>
          </w:tcPr>
          <w:p w14:paraId="36B42685">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节水城市创建情况（2分）</w:t>
            </w:r>
          </w:p>
        </w:tc>
        <w:tc>
          <w:tcPr>
            <w:tcW w:w="1307" w:type="pct"/>
            <w:vAlign w:val="center"/>
          </w:tcPr>
          <w:p w14:paraId="38369EA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主要评价部门（单位）是否推动节水城市创建。</w:t>
            </w:r>
          </w:p>
        </w:tc>
        <w:tc>
          <w:tcPr>
            <w:tcW w:w="2350" w:type="pct"/>
            <w:vAlign w:val="center"/>
          </w:tcPr>
          <w:p w14:paraId="22701F9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推动力度较大，得2分；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推动力度一般，得1分；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没推动，得0分；</w:t>
            </w:r>
          </w:p>
        </w:tc>
      </w:tr>
      <w:tr w14:paraId="25B39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2C34D14C">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014E0E0E">
            <w:pPr>
              <w:widowControl w:val="0"/>
              <w:overflowPunct w:val="0"/>
              <w:spacing w:line="408" w:lineRule="auto"/>
              <w:rPr>
                <w:rFonts w:hint="eastAsia" w:ascii="仿宋" w:hAnsi="仿宋" w:eastAsia="仿宋"/>
                <w:bCs/>
                <w:sz w:val="18"/>
                <w:lang w:eastAsia="zh-CN"/>
              </w:rPr>
            </w:pPr>
          </w:p>
        </w:tc>
        <w:tc>
          <w:tcPr>
            <w:tcW w:w="604" w:type="pct"/>
            <w:vAlign w:val="center"/>
          </w:tcPr>
          <w:p w14:paraId="2A7DE07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中心区生活污水收集情况（3分）</w:t>
            </w:r>
          </w:p>
        </w:tc>
        <w:tc>
          <w:tcPr>
            <w:tcW w:w="1307" w:type="pct"/>
            <w:vAlign w:val="center"/>
          </w:tcPr>
          <w:p w14:paraId="3A19039B">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主要评价部门（单位）对中心区生活污水收集率情况，相比去年是否有所提高。</w:t>
            </w:r>
          </w:p>
        </w:tc>
        <w:tc>
          <w:tcPr>
            <w:tcW w:w="2350" w:type="pct"/>
            <w:vAlign w:val="center"/>
          </w:tcPr>
          <w:p w14:paraId="6CAC367F">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污水收集率</w:t>
            </w:r>
            <w:r>
              <w:rPr>
                <w:rFonts w:ascii="仿宋" w:hAnsi="仿宋" w:eastAsia="仿宋"/>
                <w:bCs/>
                <w:sz w:val="18"/>
                <w:lang w:eastAsia="zh-CN"/>
              </w:rPr>
              <w:t>≥</w:t>
            </w:r>
            <w:r>
              <w:rPr>
                <w:rFonts w:hint="eastAsia" w:ascii="仿宋" w:hAnsi="仿宋" w:eastAsia="仿宋"/>
                <w:bCs/>
                <w:sz w:val="18"/>
                <w:lang w:eastAsia="zh-CN"/>
              </w:rPr>
              <w:t>70%，得3分；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70%&gt;污水收集率</w:t>
            </w:r>
            <w:r>
              <w:rPr>
                <w:rFonts w:ascii="仿宋" w:hAnsi="仿宋" w:eastAsia="仿宋"/>
                <w:bCs/>
                <w:sz w:val="18"/>
                <w:lang w:eastAsia="zh-CN"/>
              </w:rPr>
              <w:t>≥</w:t>
            </w:r>
            <w:r>
              <w:rPr>
                <w:rFonts w:hint="eastAsia" w:ascii="仿宋" w:hAnsi="仿宋" w:eastAsia="仿宋"/>
                <w:bCs/>
                <w:sz w:val="18"/>
                <w:lang w:eastAsia="zh-CN"/>
              </w:rPr>
              <w:t>65%，得2分；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65%&gt;污水收集率</w:t>
            </w:r>
            <w:r>
              <w:rPr>
                <w:rFonts w:ascii="仿宋" w:hAnsi="仿宋" w:eastAsia="仿宋"/>
                <w:bCs/>
                <w:sz w:val="18"/>
                <w:lang w:eastAsia="zh-CN"/>
              </w:rPr>
              <w:t>≥</w:t>
            </w:r>
            <w:r>
              <w:rPr>
                <w:rFonts w:hint="eastAsia" w:ascii="仿宋" w:hAnsi="仿宋" w:eastAsia="仿宋"/>
                <w:bCs/>
                <w:sz w:val="18"/>
                <w:lang w:eastAsia="zh-CN"/>
              </w:rPr>
              <w:t>60%，得1分；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60&gt;污水收集率，得0分。</w:t>
            </w:r>
          </w:p>
        </w:tc>
      </w:tr>
      <w:tr w14:paraId="7E4A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76E49614">
            <w:pPr>
              <w:widowControl w:val="0"/>
              <w:overflowPunct w:val="0"/>
              <w:spacing w:line="408" w:lineRule="auto"/>
              <w:rPr>
                <w:rFonts w:hint="eastAsia" w:ascii="仿宋" w:hAnsi="仿宋" w:eastAsia="仿宋"/>
                <w:bCs/>
                <w:sz w:val="18"/>
                <w:lang w:eastAsia="zh-CN"/>
              </w:rPr>
            </w:pPr>
          </w:p>
        </w:tc>
        <w:tc>
          <w:tcPr>
            <w:tcW w:w="374" w:type="pct"/>
            <w:vMerge w:val="restart"/>
            <w:vAlign w:val="center"/>
          </w:tcPr>
          <w:p w14:paraId="3A5E6F02">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生态效益（12分）</w:t>
            </w:r>
          </w:p>
        </w:tc>
        <w:tc>
          <w:tcPr>
            <w:tcW w:w="604" w:type="pct"/>
            <w:vAlign w:val="center"/>
          </w:tcPr>
          <w:p w14:paraId="53D56F6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促进当地水资源节约情况（4分）</w:t>
            </w:r>
          </w:p>
        </w:tc>
        <w:tc>
          <w:tcPr>
            <w:tcW w:w="1307" w:type="pct"/>
            <w:vAlign w:val="center"/>
          </w:tcPr>
          <w:p w14:paraId="3E1E92F0">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主要评价部门（单位）是否促进了当地水资源的节约利用。</w:t>
            </w:r>
          </w:p>
        </w:tc>
        <w:tc>
          <w:tcPr>
            <w:tcW w:w="2350" w:type="pct"/>
            <w:vAlign w:val="center"/>
          </w:tcPr>
          <w:p w14:paraId="35F7CB98">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有大幅度促进，得4分；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有较大促进，得3分；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有一定程度促进，得2分；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小幅度促进，得1分；</w:t>
            </w:r>
            <w:r>
              <w:rPr>
                <w:rFonts w:hint="eastAsia" w:ascii="仿宋" w:hAnsi="仿宋" w:eastAsia="仿宋"/>
                <w:bCs/>
                <w:sz w:val="18"/>
                <w:lang w:eastAsia="zh-CN"/>
              </w:rPr>
              <w:br w:type="textWrapping"/>
            </w:r>
            <w:r>
              <w:rPr>
                <w:rFonts w:ascii="仿宋" w:hAnsi="仿宋" w:eastAsia="仿宋"/>
                <w:bCs/>
                <w:sz w:val="18"/>
                <w:lang w:eastAsia="zh-CN"/>
              </w:rPr>
              <w:t>⑤</w:t>
            </w:r>
            <w:r>
              <w:rPr>
                <w:rFonts w:hint="eastAsia" w:ascii="仿宋" w:hAnsi="仿宋" w:eastAsia="仿宋"/>
                <w:bCs/>
                <w:sz w:val="18"/>
                <w:lang w:eastAsia="zh-CN"/>
              </w:rPr>
              <w:t>没促进，得0分。</w:t>
            </w:r>
          </w:p>
        </w:tc>
      </w:tr>
      <w:tr w14:paraId="44D0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02B37AE6">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3A7E710B">
            <w:pPr>
              <w:widowControl w:val="0"/>
              <w:overflowPunct w:val="0"/>
              <w:spacing w:line="408" w:lineRule="auto"/>
              <w:rPr>
                <w:rFonts w:hint="eastAsia" w:ascii="仿宋" w:hAnsi="仿宋" w:eastAsia="仿宋"/>
                <w:bCs/>
                <w:sz w:val="18"/>
                <w:lang w:eastAsia="zh-CN"/>
              </w:rPr>
            </w:pPr>
          </w:p>
        </w:tc>
        <w:tc>
          <w:tcPr>
            <w:tcW w:w="604" w:type="pct"/>
            <w:vAlign w:val="center"/>
          </w:tcPr>
          <w:p w14:paraId="1FC38246">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促进当地环境卫生情况（4分）</w:t>
            </w:r>
          </w:p>
        </w:tc>
        <w:tc>
          <w:tcPr>
            <w:tcW w:w="1307" w:type="pct"/>
            <w:vAlign w:val="center"/>
          </w:tcPr>
          <w:p w14:paraId="2A6988A7">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主要评价部门（单位）是否促进了当地环境卫生情况。</w:t>
            </w:r>
          </w:p>
        </w:tc>
        <w:tc>
          <w:tcPr>
            <w:tcW w:w="2350" w:type="pct"/>
            <w:vAlign w:val="center"/>
          </w:tcPr>
          <w:p w14:paraId="2DAC449D">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有大幅度促进，得4分；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有较大促进，得3分；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有一定程度促进，得2分；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小幅度促进，得1分；</w:t>
            </w:r>
            <w:r>
              <w:rPr>
                <w:rFonts w:hint="eastAsia" w:ascii="仿宋" w:hAnsi="仿宋" w:eastAsia="仿宋"/>
                <w:bCs/>
                <w:sz w:val="18"/>
                <w:lang w:eastAsia="zh-CN"/>
              </w:rPr>
              <w:br w:type="textWrapping"/>
            </w:r>
            <w:r>
              <w:rPr>
                <w:rFonts w:ascii="仿宋" w:hAnsi="仿宋" w:eastAsia="仿宋"/>
                <w:bCs/>
                <w:sz w:val="18"/>
                <w:lang w:eastAsia="zh-CN"/>
              </w:rPr>
              <w:t>⑤</w:t>
            </w:r>
            <w:r>
              <w:rPr>
                <w:rFonts w:hint="eastAsia" w:ascii="仿宋" w:hAnsi="仿宋" w:eastAsia="仿宋"/>
                <w:bCs/>
                <w:sz w:val="18"/>
                <w:lang w:eastAsia="zh-CN"/>
              </w:rPr>
              <w:t>没促进，得0分。</w:t>
            </w:r>
          </w:p>
        </w:tc>
      </w:tr>
      <w:tr w14:paraId="1AB5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2051F2A2">
            <w:pPr>
              <w:widowControl w:val="0"/>
              <w:overflowPunct w:val="0"/>
              <w:spacing w:line="408" w:lineRule="auto"/>
              <w:rPr>
                <w:rFonts w:hint="eastAsia" w:ascii="仿宋" w:hAnsi="仿宋" w:eastAsia="仿宋"/>
                <w:bCs/>
                <w:sz w:val="18"/>
                <w:lang w:eastAsia="zh-CN"/>
              </w:rPr>
            </w:pPr>
          </w:p>
        </w:tc>
        <w:tc>
          <w:tcPr>
            <w:tcW w:w="374" w:type="pct"/>
            <w:vMerge w:val="continue"/>
            <w:vAlign w:val="center"/>
          </w:tcPr>
          <w:p w14:paraId="02D5EB99">
            <w:pPr>
              <w:widowControl w:val="0"/>
              <w:overflowPunct w:val="0"/>
              <w:spacing w:line="408" w:lineRule="auto"/>
              <w:rPr>
                <w:rFonts w:hint="eastAsia" w:ascii="仿宋" w:hAnsi="仿宋" w:eastAsia="仿宋"/>
                <w:bCs/>
                <w:sz w:val="18"/>
                <w:lang w:eastAsia="zh-CN"/>
              </w:rPr>
            </w:pPr>
          </w:p>
        </w:tc>
        <w:tc>
          <w:tcPr>
            <w:tcW w:w="604" w:type="pct"/>
            <w:vAlign w:val="center"/>
          </w:tcPr>
          <w:p w14:paraId="63BC0FA4">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促进当地绿化情况（4分）</w:t>
            </w:r>
          </w:p>
        </w:tc>
        <w:tc>
          <w:tcPr>
            <w:tcW w:w="1307" w:type="pct"/>
            <w:vAlign w:val="center"/>
          </w:tcPr>
          <w:p w14:paraId="40B0F639">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主要评价部门（单位）是否促进了当地园林绿化情况。</w:t>
            </w:r>
          </w:p>
        </w:tc>
        <w:tc>
          <w:tcPr>
            <w:tcW w:w="2350" w:type="pct"/>
            <w:vAlign w:val="center"/>
          </w:tcPr>
          <w:p w14:paraId="5FE2CBE9">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有大幅度促进，得4分；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有较大促进，得3分；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有一定程度促进，得2分；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小幅度促进，得1分；</w:t>
            </w:r>
            <w:r>
              <w:rPr>
                <w:rFonts w:hint="eastAsia" w:ascii="仿宋" w:hAnsi="仿宋" w:eastAsia="仿宋"/>
                <w:bCs/>
                <w:sz w:val="18"/>
                <w:lang w:eastAsia="zh-CN"/>
              </w:rPr>
              <w:br w:type="textWrapping"/>
            </w:r>
            <w:r>
              <w:rPr>
                <w:rFonts w:ascii="仿宋" w:hAnsi="仿宋" w:eastAsia="仿宋"/>
                <w:bCs/>
                <w:sz w:val="18"/>
                <w:lang w:eastAsia="zh-CN"/>
              </w:rPr>
              <w:t>⑤</w:t>
            </w:r>
            <w:r>
              <w:rPr>
                <w:rFonts w:hint="eastAsia" w:ascii="仿宋" w:hAnsi="仿宋" w:eastAsia="仿宋"/>
                <w:bCs/>
                <w:sz w:val="18"/>
                <w:lang w:eastAsia="zh-CN"/>
              </w:rPr>
              <w:t>没促进，得0分。</w:t>
            </w:r>
          </w:p>
        </w:tc>
      </w:tr>
      <w:tr w14:paraId="0A3A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65" w:type="pct"/>
            <w:vMerge w:val="continue"/>
            <w:vAlign w:val="center"/>
          </w:tcPr>
          <w:p w14:paraId="43565D21">
            <w:pPr>
              <w:widowControl w:val="0"/>
              <w:overflowPunct w:val="0"/>
              <w:spacing w:line="408" w:lineRule="auto"/>
              <w:rPr>
                <w:rFonts w:hint="eastAsia" w:ascii="仿宋" w:hAnsi="仿宋" w:eastAsia="仿宋"/>
                <w:bCs/>
                <w:sz w:val="18"/>
                <w:lang w:eastAsia="zh-CN"/>
              </w:rPr>
            </w:pPr>
          </w:p>
        </w:tc>
        <w:tc>
          <w:tcPr>
            <w:tcW w:w="374" w:type="pct"/>
            <w:vAlign w:val="center"/>
          </w:tcPr>
          <w:p w14:paraId="633F91AE">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满意度（4分）</w:t>
            </w:r>
          </w:p>
        </w:tc>
        <w:tc>
          <w:tcPr>
            <w:tcW w:w="604" w:type="pct"/>
            <w:vAlign w:val="center"/>
          </w:tcPr>
          <w:p w14:paraId="18C4A01F">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群众对城管局的满意度情况（4分）</w:t>
            </w:r>
          </w:p>
        </w:tc>
        <w:tc>
          <w:tcPr>
            <w:tcW w:w="1307" w:type="pct"/>
            <w:vAlign w:val="center"/>
          </w:tcPr>
          <w:p w14:paraId="4A3F8BEB">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主要评价群众对于城管局的工作是否感到满意。</w:t>
            </w:r>
          </w:p>
        </w:tc>
        <w:tc>
          <w:tcPr>
            <w:tcW w:w="2350" w:type="pct"/>
            <w:vAlign w:val="center"/>
          </w:tcPr>
          <w:p w14:paraId="02E79B3B">
            <w:pPr>
              <w:widowControl w:val="0"/>
              <w:overflowPunct w:val="0"/>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非常满意；</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基本满意；</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有一定投诉；</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不满意。</w:t>
            </w:r>
            <w:r>
              <w:rPr>
                <w:rFonts w:hint="eastAsia" w:ascii="仿宋" w:hAnsi="仿宋" w:eastAsia="仿宋"/>
                <w:bCs/>
                <w:sz w:val="18"/>
                <w:lang w:eastAsia="zh-CN"/>
              </w:rPr>
              <w:br w:type="textWrapping"/>
            </w:r>
            <w:r>
              <w:rPr>
                <w:rFonts w:hint="eastAsia" w:ascii="仿宋" w:hAnsi="仿宋" w:eastAsia="仿宋"/>
                <w:bCs/>
                <w:sz w:val="18"/>
                <w:lang w:eastAsia="zh-CN"/>
              </w:rPr>
              <w:t>非常满意4分，基本满意3分，有一定投诉2分，不满意1分。</w:t>
            </w:r>
          </w:p>
        </w:tc>
      </w:tr>
    </w:tbl>
    <w:p w14:paraId="0BD57335">
      <w:pPr>
        <w:widowControl w:val="0"/>
        <w:overflowPunct w:val="0"/>
        <w:snapToGrid/>
        <w:spacing w:line="408" w:lineRule="auto"/>
        <w:ind w:firstLine="574" w:firstLineChars="200"/>
        <w:outlineLvl w:val="0"/>
        <w:rPr>
          <w:rFonts w:hint="eastAsia" w:ascii="仿宋" w:hAnsi="仿宋" w:eastAsia="仿宋" w:cs="仿宋"/>
          <w:b/>
          <w:bCs/>
          <w:color w:val="auto"/>
          <w:spacing w:val="3"/>
          <w:sz w:val="28"/>
          <w:szCs w:val="28"/>
          <w:lang w:eastAsia="zh-CN"/>
        </w:rPr>
      </w:pPr>
      <w:bookmarkStart w:id="155" w:name="bookmark34"/>
      <w:bookmarkEnd w:id="155"/>
      <w:bookmarkStart w:id="156" w:name="_Toc11331"/>
      <w:bookmarkStart w:id="157" w:name="_Toc181558020"/>
      <w:bookmarkStart w:id="158" w:name="_Toc208840336"/>
      <w:r>
        <w:rPr>
          <w:rFonts w:hint="eastAsia" w:ascii="仿宋" w:hAnsi="仿宋" w:eastAsia="仿宋" w:cs="仿宋"/>
          <w:b/>
          <w:bCs/>
          <w:color w:val="auto"/>
          <w:spacing w:val="3"/>
          <w:sz w:val="28"/>
          <w:szCs w:val="28"/>
          <w:lang w:eastAsia="zh-CN"/>
        </w:rPr>
        <w:t>六、绩效指标分析</w:t>
      </w:r>
      <w:bookmarkEnd w:id="156"/>
      <w:bookmarkEnd w:id="157"/>
      <w:bookmarkEnd w:id="158"/>
    </w:p>
    <w:p w14:paraId="16B1617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的绩效指标体系涵盖了</w:t>
      </w:r>
      <w:r>
        <w:rPr>
          <w:rFonts w:hint="eastAsia" w:ascii="仿宋" w:hAnsi="仿宋" w:eastAsia="仿宋" w:cs="仿宋"/>
          <w:color w:val="auto"/>
          <w:spacing w:val="3"/>
          <w:sz w:val="28"/>
          <w:szCs w:val="28"/>
          <w:lang w:eastAsia="zh-CN"/>
        </w:rPr>
        <w:t>决策</w:t>
      </w:r>
      <w:r>
        <w:rPr>
          <w:rFonts w:ascii="仿宋" w:hAnsi="仿宋" w:eastAsia="仿宋" w:cs="仿宋"/>
          <w:color w:val="auto"/>
          <w:spacing w:val="3"/>
          <w:sz w:val="28"/>
          <w:szCs w:val="28"/>
          <w:lang w:eastAsia="zh-CN"/>
        </w:rPr>
        <w:t>、过程、产出、效益和满意度等多个维度，旨在全面、系统地评估该局的工作绩效。以下是对各项指标分数、得分情况和完成情况的详细分析，并在此基础上提出存在的问题与改进建议。</w:t>
      </w:r>
    </w:p>
    <w:p w14:paraId="2DF48C57">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159" w:name="_Toc208840337"/>
      <w:bookmarkStart w:id="160" w:name="_Toc181558021"/>
      <w:r>
        <w:rPr>
          <w:rFonts w:ascii="仿宋" w:hAnsi="仿宋" w:eastAsia="仿宋" w:cs="仿宋"/>
          <w:b/>
          <w:bCs/>
          <w:color w:val="auto"/>
          <w:spacing w:val="3"/>
          <w:sz w:val="28"/>
          <w:szCs w:val="28"/>
          <w:lang w:eastAsia="zh-CN"/>
        </w:rPr>
        <w:t>（一）</w:t>
      </w:r>
      <w:r>
        <w:rPr>
          <w:rFonts w:hint="eastAsia" w:ascii="仿宋" w:hAnsi="仿宋" w:eastAsia="仿宋" w:cs="仿宋"/>
          <w:b/>
          <w:bCs/>
          <w:color w:val="auto"/>
          <w:spacing w:val="3"/>
          <w:sz w:val="28"/>
          <w:szCs w:val="28"/>
          <w:lang w:eastAsia="zh-CN"/>
        </w:rPr>
        <w:t>决策</w:t>
      </w:r>
      <w:r>
        <w:rPr>
          <w:rFonts w:ascii="仿宋" w:hAnsi="仿宋" w:eastAsia="仿宋" w:cs="仿宋"/>
          <w:b/>
          <w:bCs/>
          <w:color w:val="auto"/>
          <w:spacing w:val="3"/>
          <w:sz w:val="28"/>
          <w:szCs w:val="28"/>
          <w:lang w:eastAsia="zh-CN"/>
        </w:rPr>
        <w:t>（总分1</w:t>
      </w:r>
      <w:r>
        <w:rPr>
          <w:rFonts w:hint="eastAsia" w:ascii="仿宋" w:hAnsi="仿宋" w:eastAsia="仿宋" w:cs="仿宋"/>
          <w:b/>
          <w:bCs/>
          <w:color w:val="auto"/>
          <w:spacing w:val="3"/>
          <w:sz w:val="28"/>
          <w:szCs w:val="28"/>
          <w:lang w:eastAsia="zh-CN"/>
        </w:rPr>
        <w:t>5</w:t>
      </w:r>
      <w:r>
        <w:rPr>
          <w:rFonts w:ascii="仿宋" w:hAnsi="仿宋" w:eastAsia="仿宋" w:cs="仿宋"/>
          <w:b/>
          <w:bCs/>
          <w:color w:val="auto"/>
          <w:spacing w:val="3"/>
          <w:sz w:val="28"/>
          <w:szCs w:val="28"/>
          <w:lang w:eastAsia="zh-CN"/>
        </w:rPr>
        <w:t>分，得分</w:t>
      </w:r>
      <w:r>
        <w:rPr>
          <w:rFonts w:hint="eastAsia" w:ascii="仿宋" w:hAnsi="仿宋" w:eastAsia="仿宋" w:cs="仿宋"/>
          <w:b/>
          <w:bCs/>
          <w:color w:val="auto"/>
          <w:spacing w:val="3"/>
          <w:sz w:val="28"/>
          <w:szCs w:val="28"/>
          <w:lang w:eastAsia="zh-CN"/>
        </w:rPr>
        <w:t>14</w:t>
      </w:r>
      <w:r>
        <w:rPr>
          <w:rFonts w:ascii="仿宋" w:hAnsi="仿宋" w:eastAsia="仿宋" w:cs="仿宋"/>
          <w:b/>
          <w:bCs/>
          <w:color w:val="auto"/>
          <w:spacing w:val="3"/>
          <w:sz w:val="28"/>
          <w:szCs w:val="28"/>
          <w:lang w:eastAsia="zh-CN"/>
        </w:rPr>
        <w:t>分）</w:t>
      </w:r>
      <w:bookmarkEnd w:id="159"/>
      <w:bookmarkEnd w:id="160"/>
    </w:p>
    <w:p w14:paraId="19B8B974">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61" w:name="_Toc208840338"/>
      <w:bookmarkStart w:id="162" w:name="_Toc181558022"/>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目标设定（总分</w:t>
      </w:r>
      <w:r>
        <w:rPr>
          <w:rFonts w:hint="eastAsia" w:ascii="仿宋" w:hAnsi="仿宋" w:eastAsia="仿宋" w:cs="仿宋"/>
          <w:color w:val="auto"/>
          <w:spacing w:val="3"/>
          <w:sz w:val="28"/>
          <w:szCs w:val="28"/>
          <w:lang w:eastAsia="zh-CN"/>
        </w:rPr>
        <w:t>6</w:t>
      </w:r>
      <w:r>
        <w:rPr>
          <w:rFonts w:ascii="仿宋" w:hAnsi="仿宋" w:eastAsia="仿宋" w:cs="仿宋"/>
          <w:color w:val="auto"/>
          <w:spacing w:val="3"/>
          <w:sz w:val="28"/>
          <w:szCs w:val="28"/>
          <w:lang w:eastAsia="zh-CN"/>
        </w:rPr>
        <w:t>分，得分</w:t>
      </w:r>
      <w:r>
        <w:rPr>
          <w:rFonts w:hint="eastAsia" w:ascii="仿宋" w:hAnsi="仿宋" w:eastAsia="仿宋" w:cs="仿宋"/>
          <w:color w:val="auto"/>
          <w:spacing w:val="3"/>
          <w:sz w:val="28"/>
          <w:szCs w:val="28"/>
          <w:lang w:eastAsia="zh-CN"/>
        </w:rPr>
        <w:t>5</w:t>
      </w:r>
      <w:r>
        <w:rPr>
          <w:rFonts w:ascii="仿宋" w:hAnsi="仿宋" w:eastAsia="仿宋" w:cs="仿宋"/>
          <w:color w:val="auto"/>
          <w:spacing w:val="3"/>
          <w:sz w:val="28"/>
          <w:szCs w:val="28"/>
          <w:lang w:eastAsia="zh-CN"/>
        </w:rPr>
        <w:t>分）</w:t>
      </w:r>
      <w:bookmarkEnd w:id="161"/>
      <w:bookmarkEnd w:id="162"/>
    </w:p>
    <w:p w14:paraId="5EAF546E">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绩效目标合理性（</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0746F02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根据工作职能制定了年度</w:t>
      </w:r>
      <w:r>
        <w:rPr>
          <w:rFonts w:hint="eastAsia" w:ascii="仿宋" w:hAnsi="仿宋" w:eastAsia="仿宋" w:cs="仿宋"/>
          <w:color w:val="auto"/>
          <w:spacing w:val="3"/>
          <w:sz w:val="28"/>
          <w:szCs w:val="28"/>
          <w:lang w:eastAsia="zh-CN"/>
        </w:rPr>
        <w:t>绩效</w:t>
      </w:r>
      <w:r>
        <w:rPr>
          <w:rFonts w:ascii="仿宋" w:hAnsi="仿宋" w:eastAsia="仿宋" w:cs="仿宋"/>
          <w:color w:val="auto"/>
          <w:spacing w:val="3"/>
          <w:sz w:val="28"/>
          <w:szCs w:val="28"/>
          <w:lang w:eastAsia="zh-CN"/>
        </w:rPr>
        <w:t>目标，</w:t>
      </w:r>
      <w:r>
        <w:rPr>
          <w:rFonts w:hint="eastAsia" w:ascii="仿宋" w:hAnsi="仿宋" w:eastAsia="仿宋" w:cs="仿宋"/>
          <w:color w:val="auto"/>
          <w:spacing w:val="3"/>
          <w:sz w:val="28"/>
          <w:szCs w:val="28"/>
          <w:lang w:eastAsia="zh-CN"/>
        </w:rPr>
        <w:t>但是在部分绩效指标及目标值的设置方面存在不合理之处。例如“城市路灯电费及维护经费项目”的绩效目标中，“安全生产事故数量”的目标值为“大于等于0”，该目标设置不合理，安全生产事故数量指标为反向指标，应当越小越好，设置目标值时应当“小于等于”而非“大于等于”</w:t>
      </w:r>
      <w:r>
        <w:rPr>
          <w:rFonts w:ascii="仿宋" w:hAnsi="仿宋" w:eastAsia="仿宋" w:cs="仿宋"/>
          <w:color w:val="auto"/>
          <w:spacing w:val="3"/>
          <w:sz w:val="28"/>
          <w:szCs w:val="28"/>
          <w:lang w:eastAsia="zh-CN"/>
        </w:rPr>
        <w:t>。根据评分标准，本项得</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，扣1分</w:t>
      </w:r>
      <w:r>
        <w:rPr>
          <w:rFonts w:ascii="仿宋" w:hAnsi="仿宋" w:eastAsia="仿宋" w:cs="仿宋"/>
          <w:color w:val="auto"/>
          <w:spacing w:val="3"/>
          <w:sz w:val="28"/>
          <w:szCs w:val="28"/>
          <w:lang w:eastAsia="zh-CN"/>
        </w:rPr>
        <w:t>。</w:t>
      </w:r>
    </w:p>
    <w:p w14:paraId="4776F89B">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绩效目标明确性（</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3A2C2B4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根据石狮市城市管理和综合执法局提供的绩效目标表</w:t>
      </w:r>
      <w:bookmarkStart w:id="163" w:name="_Hlk181531046"/>
      <w:r>
        <w:rPr>
          <w:rFonts w:hint="eastAsia" w:ascii="仿宋" w:hAnsi="仿宋" w:eastAsia="仿宋" w:cs="仿宋"/>
          <w:color w:val="auto"/>
          <w:spacing w:val="3"/>
          <w:sz w:val="28"/>
          <w:szCs w:val="28"/>
          <w:lang w:eastAsia="zh-CN"/>
        </w:rPr>
        <w:t>。石狮市城市管理和综合执法局所设置的绩效指标、绩效目标值能够做到清晰、细化、可衡量，能够反映和考核部门整体绩效目标的明细化情况</w:t>
      </w:r>
      <w:r>
        <w:rPr>
          <w:rFonts w:ascii="仿宋" w:hAnsi="仿宋" w:eastAsia="仿宋" w:cs="仿宋"/>
          <w:color w:val="auto"/>
          <w:spacing w:val="3"/>
          <w:sz w:val="28"/>
          <w:szCs w:val="28"/>
          <w:lang w:eastAsia="zh-CN"/>
        </w:rPr>
        <w:t>。</w:t>
      </w:r>
      <w:bookmarkEnd w:id="163"/>
      <w:r>
        <w:rPr>
          <w:rFonts w:ascii="仿宋" w:hAnsi="仿宋" w:eastAsia="仿宋" w:cs="仿宋"/>
          <w:color w:val="auto"/>
          <w:spacing w:val="3"/>
          <w:sz w:val="28"/>
          <w:szCs w:val="28"/>
          <w:lang w:eastAsia="zh-CN"/>
        </w:rPr>
        <w:t>根据评分标准，本项得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4B840107">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64" w:name="_Toc181558023"/>
      <w:bookmarkStart w:id="165" w:name="_Toc208840339"/>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预算配置（总分</w:t>
      </w:r>
      <w:r>
        <w:rPr>
          <w:rFonts w:hint="eastAsia" w:ascii="仿宋" w:hAnsi="仿宋" w:eastAsia="仿宋" w:cs="仿宋"/>
          <w:color w:val="auto"/>
          <w:spacing w:val="3"/>
          <w:sz w:val="28"/>
          <w:szCs w:val="28"/>
          <w:lang w:eastAsia="zh-CN"/>
        </w:rPr>
        <w:t>9</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，得分9分</w:t>
      </w:r>
      <w:r>
        <w:rPr>
          <w:rFonts w:ascii="仿宋" w:hAnsi="仿宋" w:eastAsia="仿宋" w:cs="仿宋"/>
          <w:color w:val="auto"/>
          <w:spacing w:val="3"/>
          <w:sz w:val="28"/>
          <w:szCs w:val="28"/>
          <w:lang w:eastAsia="zh-CN"/>
        </w:rPr>
        <w:t>）</w:t>
      </w:r>
      <w:bookmarkEnd w:id="164"/>
      <w:bookmarkEnd w:id="165"/>
    </w:p>
    <w:p w14:paraId="22284E06">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在职人员控制率（</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7F4605E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202</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年的编制数为</w:t>
      </w:r>
      <w:r>
        <w:rPr>
          <w:rFonts w:hint="eastAsia" w:ascii="仿宋" w:hAnsi="仿宋" w:eastAsia="仿宋" w:cs="仿宋"/>
          <w:color w:val="auto"/>
          <w:spacing w:val="3"/>
          <w:sz w:val="28"/>
          <w:szCs w:val="28"/>
          <w:lang w:eastAsia="zh-CN"/>
        </w:rPr>
        <w:t>9</w:t>
      </w:r>
      <w:r>
        <w:rPr>
          <w:rFonts w:ascii="仿宋" w:hAnsi="仿宋" w:eastAsia="仿宋" w:cs="仿宋"/>
          <w:color w:val="auto"/>
          <w:spacing w:val="3"/>
          <w:sz w:val="28"/>
          <w:szCs w:val="28"/>
          <w:lang w:eastAsia="zh-CN"/>
        </w:rPr>
        <w:t>人</w:t>
      </w:r>
      <w:r>
        <w:rPr>
          <w:rFonts w:hint="eastAsia" w:ascii="仿宋" w:hAnsi="仿宋" w:eastAsia="仿宋" w:cs="仿宋"/>
          <w:color w:val="auto"/>
          <w:spacing w:val="3"/>
          <w:sz w:val="28"/>
          <w:szCs w:val="28"/>
          <w:lang w:eastAsia="zh-CN"/>
        </w:rPr>
        <w:t>，截至2024年12月31日在编</w:t>
      </w:r>
      <w:r>
        <w:rPr>
          <w:rFonts w:ascii="仿宋" w:hAnsi="仿宋" w:eastAsia="仿宋" w:cs="仿宋"/>
          <w:color w:val="auto"/>
          <w:spacing w:val="3"/>
          <w:sz w:val="28"/>
          <w:szCs w:val="28"/>
          <w:lang w:eastAsia="zh-CN"/>
        </w:rPr>
        <w:t>人员数为</w:t>
      </w:r>
      <w:r>
        <w:rPr>
          <w:rFonts w:hint="eastAsia" w:ascii="仿宋" w:hAnsi="仿宋" w:eastAsia="仿宋" w:cs="仿宋"/>
          <w:color w:val="auto"/>
          <w:spacing w:val="3"/>
          <w:sz w:val="28"/>
          <w:szCs w:val="28"/>
          <w:lang w:eastAsia="zh-CN"/>
        </w:rPr>
        <w:t>9</w:t>
      </w:r>
      <w:r>
        <w:rPr>
          <w:rFonts w:ascii="仿宋" w:hAnsi="仿宋" w:eastAsia="仿宋" w:cs="仿宋"/>
          <w:color w:val="auto"/>
          <w:spacing w:val="3"/>
          <w:sz w:val="28"/>
          <w:szCs w:val="28"/>
          <w:lang w:eastAsia="zh-CN"/>
        </w:rPr>
        <w:t>人</w:t>
      </w:r>
      <w:r>
        <w:rPr>
          <w:rFonts w:hint="eastAsia" w:ascii="仿宋" w:hAnsi="仿宋" w:eastAsia="仿宋" w:cs="仿宋"/>
          <w:color w:val="auto"/>
          <w:spacing w:val="3"/>
          <w:sz w:val="28"/>
          <w:szCs w:val="28"/>
          <w:lang w:eastAsia="zh-CN"/>
        </w:rPr>
        <w:t>；下属单位编制数157人，下属单位在职人员135人</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在职人员控制率</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144</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166</w:t>
      </w:r>
      <w:r>
        <w:rPr>
          <w:rFonts w:ascii="仿宋" w:hAnsi="仿宋" w:eastAsia="仿宋" w:cs="仿宋"/>
          <w:color w:val="auto"/>
          <w:spacing w:val="3"/>
          <w:sz w:val="28"/>
          <w:szCs w:val="28"/>
          <w:lang w:eastAsia="zh-CN"/>
        </w:rPr>
        <w:t>*100%</w:t>
      </w:r>
      <w:r>
        <w:rPr>
          <w:rFonts w:hint="eastAsia" w:ascii="仿宋" w:hAnsi="仿宋" w:eastAsia="仿宋" w:cs="仿宋"/>
          <w:color w:val="auto"/>
          <w:spacing w:val="3"/>
          <w:sz w:val="28"/>
          <w:szCs w:val="28"/>
          <w:lang w:eastAsia="zh-CN"/>
        </w:rPr>
        <w:t>=86.75</w:t>
      </w:r>
      <w:r>
        <w:rPr>
          <w:rFonts w:ascii="仿宋" w:hAnsi="仿宋" w:eastAsia="仿宋" w:cs="仿宋"/>
          <w:color w:val="auto"/>
          <w:spacing w:val="3"/>
          <w:sz w:val="28"/>
          <w:szCs w:val="28"/>
          <w:lang w:eastAsia="zh-CN"/>
        </w:rPr>
        <w:t>%。根据评分标准，该指标得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3C5D8B4B">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“三公”经费</w:t>
      </w:r>
      <w:r>
        <w:rPr>
          <w:rFonts w:ascii="仿宋" w:hAnsi="仿宋" w:eastAsia="仿宋" w:cs="仿宋"/>
          <w:color w:val="auto"/>
          <w:spacing w:val="3"/>
          <w:sz w:val="28"/>
          <w:szCs w:val="28"/>
          <w:lang w:eastAsia="zh-CN"/>
        </w:rPr>
        <w:t>变动率（</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6BB5996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石狮市城市管理和综合执法局2024年“三公”经费实际支出0元，上年度“三公”经费实际支出0.51万元，“三公”经费变动率</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0</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0.51</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0.51 *100%=-100</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“三公”经费使用幅度大幅下降</w:t>
      </w:r>
      <w:r>
        <w:rPr>
          <w:rFonts w:ascii="仿宋" w:hAnsi="仿宋" w:eastAsia="仿宋" w:cs="仿宋"/>
          <w:color w:val="auto"/>
          <w:spacing w:val="3"/>
          <w:sz w:val="28"/>
          <w:szCs w:val="28"/>
          <w:lang w:eastAsia="zh-CN"/>
        </w:rPr>
        <w:t>，符合财务管理要求。根据评分标准，该指标得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30CA15FA">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（3）结转结余变动率（</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53B9D57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根据</w:t>
      </w: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202</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年部门资金结余情况表，</w:t>
      </w:r>
      <w:r>
        <w:rPr>
          <w:rFonts w:hint="eastAsia" w:ascii="仿宋" w:hAnsi="仿宋" w:eastAsia="仿宋" w:cs="仿宋"/>
          <w:color w:val="auto"/>
          <w:spacing w:val="3"/>
          <w:sz w:val="28"/>
          <w:szCs w:val="28"/>
          <w:lang w:eastAsia="zh-CN"/>
        </w:rPr>
        <w:t>上年度</w:t>
      </w:r>
      <w:r>
        <w:rPr>
          <w:rFonts w:ascii="仿宋" w:hAnsi="仿宋" w:eastAsia="仿宋" w:cs="仿宋"/>
          <w:color w:val="auto"/>
          <w:spacing w:val="3"/>
          <w:sz w:val="28"/>
          <w:szCs w:val="28"/>
          <w:lang w:eastAsia="zh-CN"/>
        </w:rPr>
        <w:t>结转结余资金总额为1.92万元，202</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年结转结余资金总额为1.74万元。结转结余变动率=(1.74-1.92)/1.92</w:t>
      </w:r>
      <w:r>
        <w:rPr>
          <w:rFonts w:hint="eastAsia" w:ascii="仿宋" w:hAnsi="仿宋" w:eastAsia="仿宋" w:cs="仿宋"/>
          <w:color w:val="auto"/>
          <w:spacing w:val="3"/>
          <w:sz w:val="28"/>
          <w:szCs w:val="28"/>
          <w:lang w:eastAsia="zh-CN"/>
        </w:rPr>
        <w:t>*100%</w:t>
      </w:r>
      <w:r>
        <w:rPr>
          <w:rFonts w:ascii="仿宋" w:hAnsi="仿宋" w:eastAsia="仿宋" w:cs="仿宋"/>
          <w:color w:val="auto"/>
          <w:spacing w:val="3"/>
          <w:sz w:val="28"/>
          <w:szCs w:val="28"/>
          <w:lang w:eastAsia="zh-CN"/>
        </w:rPr>
        <w:t>=-9.38%%。结转结余资金有所</w:t>
      </w:r>
      <w:r>
        <w:rPr>
          <w:rFonts w:hint="eastAsia" w:ascii="仿宋" w:hAnsi="仿宋" w:eastAsia="仿宋" w:cs="仿宋"/>
          <w:color w:val="auto"/>
          <w:spacing w:val="3"/>
          <w:sz w:val="28"/>
          <w:szCs w:val="28"/>
          <w:lang w:eastAsia="zh-CN"/>
        </w:rPr>
        <w:t>降低</w:t>
      </w:r>
      <w:r>
        <w:rPr>
          <w:rFonts w:ascii="仿宋" w:hAnsi="仿宋" w:eastAsia="仿宋" w:cs="仿宋"/>
          <w:color w:val="auto"/>
          <w:spacing w:val="3"/>
          <w:sz w:val="28"/>
          <w:szCs w:val="28"/>
          <w:lang w:eastAsia="zh-CN"/>
        </w:rPr>
        <w:t>，反映出资金</w:t>
      </w:r>
      <w:r>
        <w:rPr>
          <w:rFonts w:hint="eastAsia" w:ascii="仿宋" w:hAnsi="仿宋" w:eastAsia="仿宋" w:cs="仿宋"/>
          <w:color w:val="auto"/>
          <w:spacing w:val="3"/>
          <w:sz w:val="28"/>
          <w:szCs w:val="28"/>
          <w:lang w:eastAsia="zh-CN"/>
        </w:rPr>
        <w:t>管理及资</w:t>
      </w:r>
      <w:r>
        <w:rPr>
          <w:rFonts w:ascii="仿宋" w:hAnsi="仿宋" w:eastAsia="仿宋" w:cs="仿宋"/>
          <w:color w:val="auto"/>
          <w:spacing w:val="3"/>
          <w:sz w:val="28"/>
          <w:szCs w:val="28"/>
          <w:lang w:eastAsia="zh-CN"/>
        </w:rPr>
        <w:t>金使用的合理性和有效性。根据评分标准，该指标得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1B3FE2B2">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166" w:name="_Toc181558024"/>
      <w:bookmarkStart w:id="167" w:name="_Toc208840340"/>
      <w:r>
        <w:rPr>
          <w:rFonts w:ascii="仿宋" w:hAnsi="仿宋" w:eastAsia="仿宋" w:cs="仿宋"/>
          <w:b/>
          <w:color w:val="auto"/>
          <w:spacing w:val="3"/>
          <w:sz w:val="28"/>
          <w:szCs w:val="28"/>
          <w:lang w:eastAsia="zh-CN"/>
        </w:rPr>
        <w:t>（二）过程（总分</w:t>
      </w:r>
      <w:r>
        <w:rPr>
          <w:rFonts w:hint="eastAsia" w:ascii="仿宋" w:hAnsi="仿宋" w:eastAsia="仿宋" w:cs="仿宋"/>
          <w:b/>
          <w:color w:val="auto"/>
          <w:spacing w:val="3"/>
          <w:sz w:val="28"/>
          <w:szCs w:val="28"/>
          <w:lang w:eastAsia="zh-CN"/>
        </w:rPr>
        <w:t>24</w:t>
      </w:r>
      <w:r>
        <w:rPr>
          <w:rFonts w:ascii="仿宋" w:hAnsi="仿宋" w:eastAsia="仿宋" w:cs="仿宋"/>
          <w:b/>
          <w:color w:val="auto"/>
          <w:spacing w:val="3"/>
          <w:sz w:val="28"/>
          <w:szCs w:val="28"/>
          <w:lang w:eastAsia="zh-CN"/>
        </w:rPr>
        <w:t>分，得分1</w:t>
      </w:r>
      <w:r>
        <w:rPr>
          <w:rFonts w:hint="eastAsia" w:ascii="仿宋" w:hAnsi="仿宋" w:eastAsia="仿宋" w:cs="仿宋"/>
          <w:b/>
          <w:color w:val="auto"/>
          <w:spacing w:val="3"/>
          <w:sz w:val="28"/>
          <w:szCs w:val="28"/>
          <w:lang w:eastAsia="zh-CN"/>
        </w:rPr>
        <w:t>4</w:t>
      </w:r>
      <w:r>
        <w:rPr>
          <w:rFonts w:ascii="仿宋" w:hAnsi="仿宋" w:eastAsia="仿宋" w:cs="仿宋"/>
          <w:b/>
          <w:color w:val="auto"/>
          <w:spacing w:val="3"/>
          <w:sz w:val="28"/>
          <w:szCs w:val="28"/>
          <w:lang w:eastAsia="zh-CN"/>
        </w:rPr>
        <w:t>.</w:t>
      </w:r>
      <w:r>
        <w:rPr>
          <w:rFonts w:hint="eastAsia" w:ascii="仿宋" w:hAnsi="仿宋" w:eastAsia="仿宋" w:cs="仿宋"/>
          <w:b/>
          <w:color w:val="auto"/>
          <w:spacing w:val="3"/>
          <w:sz w:val="28"/>
          <w:szCs w:val="28"/>
          <w:lang w:eastAsia="zh-CN"/>
        </w:rPr>
        <w:t>4</w:t>
      </w:r>
      <w:r>
        <w:rPr>
          <w:rFonts w:ascii="仿宋" w:hAnsi="仿宋" w:eastAsia="仿宋" w:cs="仿宋"/>
          <w:b/>
          <w:color w:val="auto"/>
          <w:spacing w:val="3"/>
          <w:sz w:val="28"/>
          <w:szCs w:val="28"/>
          <w:lang w:eastAsia="zh-CN"/>
        </w:rPr>
        <w:t>9分）</w:t>
      </w:r>
      <w:bookmarkEnd w:id="166"/>
      <w:bookmarkEnd w:id="167"/>
    </w:p>
    <w:p w14:paraId="7CE888AC">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68" w:name="_Toc181558025"/>
      <w:bookmarkStart w:id="169" w:name="_Toc208840341"/>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预算执行（总分</w:t>
      </w:r>
      <w:r>
        <w:rPr>
          <w:rFonts w:hint="eastAsia" w:ascii="仿宋" w:hAnsi="仿宋" w:eastAsia="仿宋" w:cs="仿宋"/>
          <w:color w:val="auto"/>
          <w:spacing w:val="3"/>
          <w:sz w:val="28"/>
          <w:szCs w:val="28"/>
          <w:lang w:eastAsia="zh-CN"/>
        </w:rPr>
        <w:t>9</w:t>
      </w:r>
      <w:r>
        <w:rPr>
          <w:rFonts w:ascii="仿宋" w:hAnsi="仿宋" w:eastAsia="仿宋" w:cs="仿宋"/>
          <w:color w:val="auto"/>
          <w:spacing w:val="3"/>
          <w:sz w:val="28"/>
          <w:szCs w:val="28"/>
          <w:lang w:eastAsia="zh-CN"/>
        </w:rPr>
        <w:t>分，得分</w:t>
      </w:r>
      <w:r>
        <w:rPr>
          <w:rFonts w:hint="eastAsia" w:ascii="仿宋" w:hAnsi="仿宋" w:eastAsia="仿宋" w:cs="仿宋"/>
          <w:color w:val="auto"/>
          <w:spacing w:val="3"/>
          <w:sz w:val="28"/>
          <w:szCs w:val="28"/>
          <w:lang w:eastAsia="zh-CN"/>
        </w:rPr>
        <w:t>5</w:t>
      </w:r>
      <w:r>
        <w:rPr>
          <w:rFonts w:ascii="仿宋" w:hAnsi="仿宋" w:eastAsia="仿宋" w:cs="仿宋"/>
          <w:color w:val="auto"/>
          <w:spacing w:val="3"/>
          <w:sz w:val="28"/>
          <w:szCs w:val="28"/>
          <w:lang w:eastAsia="zh-CN"/>
        </w:rPr>
        <w:t>.99分）</w:t>
      </w:r>
      <w:bookmarkEnd w:id="168"/>
      <w:bookmarkEnd w:id="169"/>
    </w:p>
    <w:p w14:paraId="7FD02FA8">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（1）预算执行率（</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70C145ED">
      <w:pPr>
        <w:widowControl w:val="0"/>
        <w:overflowPunct w:val="0"/>
        <w:snapToGrid/>
        <w:spacing w:line="408" w:lineRule="auto"/>
        <w:ind w:firstLine="572" w:firstLineChars="200"/>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202</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年度支出完成数与支出预算数的比较显示，全年预算数为55,123.27</w:t>
      </w:r>
      <w:r>
        <w:rPr>
          <w:rFonts w:hint="eastAsia" w:ascii="仿宋" w:hAnsi="仿宋" w:eastAsia="仿宋" w:cs="仿宋"/>
          <w:color w:val="auto"/>
          <w:spacing w:val="3"/>
          <w:sz w:val="28"/>
          <w:szCs w:val="28"/>
          <w:lang w:eastAsia="zh-CN"/>
        </w:rPr>
        <w:t>万元，全年支出执行数为</w:t>
      </w:r>
      <w:r>
        <w:rPr>
          <w:rFonts w:ascii="仿宋" w:hAnsi="仿宋" w:eastAsia="仿宋" w:cs="仿宋"/>
          <w:color w:val="auto"/>
          <w:spacing w:val="3"/>
          <w:sz w:val="28"/>
          <w:szCs w:val="28"/>
          <w:lang w:eastAsia="zh-CN"/>
        </w:rPr>
        <w:t>48,604.62</w:t>
      </w:r>
      <w:r>
        <w:rPr>
          <w:rFonts w:hint="eastAsia" w:ascii="仿宋" w:hAnsi="仿宋" w:eastAsia="仿宋" w:cs="仿宋"/>
          <w:color w:val="auto"/>
          <w:spacing w:val="3"/>
          <w:sz w:val="28"/>
          <w:szCs w:val="28"/>
          <w:lang w:eastAsia="zh-CN"/>
        </w:rPr>
        <w:t>万</w:t>
      </w:r>
      <w:r>
        <w:rPr>
          <w:rFonts w:ascii="仿宋" w:hAnsi="仿宋" w:eastAsia="仿宋" w:cs="仿宋"/>
          <w:color w:val="auto"/>
          <w:spacing w:val="3"/>
          <w:sz w:val="28"/>
          <w:szCs w:val="28"/>
          <w:lang w:eastAsia="zh-CN"/>
        </w:rPr>
        <w:t>元，预算执行率=（全年支出执行数/全年预算数）=（48,604.62/55,123.27）×100%=88.17%。根据评分标准，该指标得</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，扣1分</w:t>
      </w:r>
      <w:r>
        <w:rPr>
          <w:rFonts w:ascii="仿宋" w:hAnsi="仿宋" w:eastAsia="仿宋" w:cs="仿宋"/>
          <w:color w:val="auto"/>
          <w:spacing w:val="3"/>
          <w:sz w:val="28"/>
          <w:szCs w:val="28"/>
          <w:lang w:eastAsia="zh-CN"/>
        </w:rPr>
        <w:t>。</w:t>
      </w:r>
    </w:p>
    <w:p w14:paraId="41A485B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（2）预算调整率（</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分）：得分为0分</w:t>
      </w:r>
    </w:p>
    <w:p w14:paraId="5FAA979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全年</w:t>
      </w:r>
      <w:r>
        <w:rPr>
          <w:rFonts w:hint="eastAsia" w:ascii="仿宋" w:hAnsi="仿宋" w:eastAsia="仿宋" w:cs="仿宋"/>
          <w:color w:val="auto"/>
          <w:spacing w:val="3"/>
          <w:sz w:val="28"/>
          <w:szCs w:val="28"/>
          <w:lang w:eastAsia="zh-CN"/>
        </w:rPr>
        <w:t>支出</w:t>
      </w:r>
      <w:r>
        <w:rPr>
          <w:rFonts w:ascii="仿宋" w:hAnsi="仿宋" w:eastAsia="仿宋" w:cs="仿宋"/>
          <w:color w:val="auto"/>
          <w:spacing w:val="3"/>
          <w:sz w:val="28"/>
          <w:szCs w:val="28"/>
          <w:lang w:eastAsia="zh-CN"/>
        </w:rPr>
        <w:t>预算数48,606.35</w:t>
      </w:r>
      <w:r>
        <w:rPr>
          <w:rFonts w:hint="eastAsia" w:ascii="仿宋" w:hAnsi="仿宋" w:eastAsia="仿宋" w:cs="仿宋"/>
          <w:color w:val="auto"/>
          <w:spacing w:val="3"/>
          <w:sz w:val="28"/>
          <w:szCs w:val="28"/>
          <w:lang w:eastAsia="zh-CN"/>
        </w:rPr>
        <w:t>万元，年初支出预算数</w:t>
      </w:r>
      <w:r>
        <w:rPr>
          <w:rFonts w:ascii="仿宋" w:hAnsi="仿宋" w:eastAsia="仿宋" w:cs="仿宋"/>
          <w:color w:val="auto"/>
          <w:spacing w:val="3"/>
          <w:sz w:val="28"/>
          <w:szCs w:val="28"/>
          <w:lang w:eastAsia="zh-CN"/>
        </w:rPr>
        <w:t>19,407.91</w:t>
      </w:r>
      <w:r>
        <w:rPr>
          <w:rFonts w:hint="eastAsia" w:ascii="仿宋" w:hAnsi="仿宋" w:eastAsia="仿宋" w:cs="仿宋"/>
          <w:color w:val="auto"/>
          <w:spacing w:val="3"/>
          <w:sz w:val="28"/>
          <w:szCs w:val="28"/>
          <w:lang w:eastAsia="zh-CN"/>
        </w:rPr>
        <w:t>万元，调整支出</w:t>
      </w:r>
      <w:r>
        <w:rPr>
          <w:rFonts w:ascii="仿宋" w:hAnsi="仿宋" w:eastAsia="仿宋" w:cs="仿宋"/>
          <w:color w:val="auto"/>
          <w:spacing w:val="3"/>
          <w:sz w:val="28"/>
          <w:szCs w:val="28"/>
          <w:lang w:eastAsia="zh-CN"/>
        </w:rPr>
        <w:t>29,198.44万元，支出预算调整率</w:t>
      </w:r>
      <w:r>
        <w:rPr>
          <w:rFonts w:hint="eastAsia" w:ascii="仿宋" w:hAnsi="仿宋" w:eastAsia="仿宋" w:cs="仿宋"/>
          <w:color w:val="auto"/>
          <w:spacing w:val="3"/>
          <w:sz w:val="28"/>
          <w:szCs w:val="28"/>
          <w:lang w:eastAsia="zh-CN"/>
        </w:rPr>
        <w:t>为</w:t>
      </w:r>
      <w:r>
        <w:rPr>
          <w:rFonts w:ascii="仿宋" w:hAnsi="仿宋" w:eastAsia="仿宋" w:cs="仿宋"/>
          <w:color w:val="auto"/>
          <w:spacing w:val="3"/>
          <w:sz w:val="28"/>
          <w:szCs w:val="28"/>
          <w:lang w:eastAsia="zh-CN"/>
        </w:rPr>
        <w:t>29,198.44/48,606.35</w:t>
      </w:r>
      <w:r>
        <w:rPr>
          <w:rFonts w:hint="eastAsia" w:ascii="仿宋" w:hAnsi="仿宋" w:eastAsia="仿宋" w:cs="仿宋"/>
          <w:color w:val="auto"/>
          <w:spacing w:val="3"/>
          <w:sz w:val="28"/>
          <w:szCs w:val="28"/>
          <w:lang w:eastAsia="zh-CN"/>
        </w:rPr>
        <w:t>*100%=</w:t>
      </w:r>
      <w:r>
        <w:rPr>
          <w:rFonts w:ascii="仿宋" w:hAnsi="仿宋" w:eastAsia="仿宋" w:cs="仿宋"/>
          <w:color w:val="auto"/>
          <w:spacing w:val="3"/>
          <w:sz w:val="28"/>
          <w:szCs w:val="28"/>
          <w:lang w:eastAsia="zh-CN"/>
        </w:rPr>
        <w:t>60.07%。由于单位年初预算无法具体反映年度开支事项，导致年中追加资金，使得预算调整率较高。预算调整率</w:t>
      </w:r>
      <w:r>
        <w:rPr>
          <w:rFonts w:hint="eastAsia" w:ascii="仿宋" w:hAnsi="仿宋" w:eastAsia="仿宋" w:cs="仿宋"/>
          <w:color w:val="auto"/>
          <w:spacing w:val="3"/>
          <w:sz w:val="28"/>
          <w:szCs w:val="28"/>
          <w:lang w:eastAsia="zh-CN"/>
        </w:rPr>
        <w:t>为</w:t>
      </w:r>
      <w:r>
        <w:rPr>
          <w:rFonts w:ascii="仿宋" w:hAnsi="仿宋" w:eastAsia="仿宋" w:cs="仿宋"/>
          <w:color w:val="auto"/>
          <w:spacing w:val="3"/>
          <w:sz w:val="28"/>
          <w:szCs w:val="28"/>
          <w:lang w:eastAsia="zh-CN"/>
        </w:rPr>
        <w:t>96.31%，表明预算编制不够精准，需加强预算管理的科学性和预见性。根据评分标准，该指标得</w:t>
      </w:r>
      <w:r>
        <w:rPr>
          <w:rFonts w:hint="eastAsia" w:ascii="仿宋" w:hAnsi="仿宋" w:eastAsia="仿宋" w:cs="仿宋"/>
          <w:color w:val="auto"/>
          <w:spacing w:val="3"/>
          <w:sz w:val="28"/>
          <w:szCs w:val="28"/>
          <w:lang w:eastAsia="zh-CN"/>
        </w:rPr>
        <w:t>0</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，扣2分</w:t>
      </w:r>
      <w:r>
        <w:rPr>
          <w:rFonts w:ascii="仿宋" w:hAnsi="仿宋" w:eastAsia="仿宋" w:cs="仿宋"/>
          <w:color w:val="auto"/>
          <w:spacing w:val="3"/>
          <w:sz w:val="28"/>
          <w:szCs w:val="28"/>
          <w:lang w:eastAsia="zh-CN"/>
        </w:rPr>
        <w:t>。</w:t>
      </w:r>
    </w:p>
    <w:p w14:paraId="2E8775F2">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（3）结转结余率（</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2.99</w:t>
      </w:r>
      <w:r>
        <w:rPr>
          <w:rFonts w:ascii="仿宋" w:hAnsi="仿宋" w:eastAsia="仿宋" w:cs="仿宋"/>
          <w:color w:val="auto"/>
          <w:spacing w:val="3"/>
          <w:sz w:val="28"/>
          <w:szCs w:val="28"/>
          <w:lang w:eastAsia="zh-CN"/>
        </w:rPr>
        <w:t>分</w:t>
      </w:r>
    </w:p>
    <w:p w14:paraId="1DC48DD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202</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年结转结余资金总额为1.74万元，全年</w:t>
      </w:r>
      <w:r>
        <w:rPr>
          <w:rFonts w:hint="eastAsia" w:ascii="仿宋" w:hAnsi="仿宋" w:eastAsia="仿宋" w:cs="仿宋"/>
          <w:color w:val="auto"/>
          <w:spacing w:val="3"/>
          <w:sz w:val="28"/>
          <w:szCs w:val="28"/>
          <w:lang w:eastAsia="zh-CN"/>
        </w:rPr>
        <w:t>支出</w:t>
      </w:r>
      <w:r>
        <w:rPr>
          <w:rFonts w:ascii="仿宋" w:hAnsi="仿宋" w:eastAsia="仿宋" w:cs="仿宋"/>
          <w:color w:val="auto"/>
          <w:spacing w:val="3"/>
          <w:sz w:val="28"/>
          <w:szCs w:val="28"/>
          <w:lang w:eastAsia="zh-CN"/>
        </w:rPr>
        <w:t>预算数为</w:t>
      </w:r>
      <w:r>
        <w:rPr>
          <w:rFonts w:hint="eastAsia" w:ascii="仿宋" w:hAnsi="仿宋" w:eastAsia="仿宋" w:cs="仿宋"/>
          <w:color w:val="auto"/>
          <w:spacing w:val="3"/>
          <w:sz w:val="28"/>
          <w:szCs w:val="28"/>
          <w:lang w:eastAsia="zh-CN"/>
        </w:rPr>
        <w:t>48,606.35</w:t>
      </w:r>
      <w:r>
        <w:rPr>
          <w:rFonts w:ascii="仿宋" w:hAnsi="仿宋" w:eastAsia="仿宋" w:cs="仿宋"/>
          <w:color w:val="auto"/>
          <w:spacing w:val="3"/>
          <w:sz w:val="28"/>
          <w:szCs w:val="28"/>
          <w:lang w:eastAsia="zh-CN"/>
        </w:rPr>
        <w:t>万元，结转结余率=（1.74/</w:t>
      </w:r>
      <w:r>
        <w:rPr>
          <w:rFonts w:hint="eastAsia" w:ascii="仿宋" w:hAnsi="仿宋" w:eastAsia="仿宋" w:cs="仿宋"/>
          <w:color w:val="auto"/>
          <w:spacing w:val="3"/>
          <w:sz w:val="28"/>
          <w:szCs w:val="28"/>
          <w:lang w:eastAsia="zh-CN"/>
        </w:rPr>
        <w:t>48,606.35</w:t>
      </w:r>
      <w:r>
        <w:rPr>
          <w:rFonts w:ascii="仿宋" w:hAnsi="仿宋" w:eastAsia="仿宋" w:cs="仿宋"/>
          <w:color w:val="auto"/>
          <w:spacing w:val="3"/>
          <w:sz w:val="28"/>
          <w:szCs w:val="28"/>
          <w:lang w:eastAsia="zh-CN"/>
        </w:rPr>
        <w:t>）×100%=0.0036%。根据评分标准，该指标得</w:t>
      </w:r>
      <w:r>
        <w:rPr>
          <w:rFonts w:hint="eastAsia" w:ascii="仿宋" w:hAnsi="仿宋" w:eastAsia="仿宋" w:cs="仿宋"/>
          <w:color w:val="auto"/>
          <w:spacing w:val="3"/>
          <w:sz w:val="28"/>
          <w:szCs w:val="28"/>
          <w:lang w:eastAsia="zh-CN"/>
        </w:rPr>
        <w:t>2.99</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，扣0.01分</w:t>
      </w:r>
      <w:r>
        <w:rPr>
          <w:rFonts w:ascii="仿宋" w:hAnsi="仿宋" w:eastAsia="仿宋" w:cs="仿宋"/>
          <w:color w:val="auto"/>
          <w:spacing w:val="3"/>
          <w:sz w:val="28"/>
          <w:szCs w:val="28"/>
          <w:lang w:eastAsia="zh-CN"/>
        </w:rPr>
        <w:t>。</w:t>
      </w:r>
    </w:p>
    <w:p w14:paraId="18818104">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（4）公用经费控制率（</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3B3F341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202</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年公用经费预算安排数为14.58万元，实际支出为13.54万元，公用经费控制率为13.54</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14.58</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92.87%，公用经费控制得当，远低于控制标准。根据评分标准，此项得</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02BF4F8C">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70" w:name="_Toc181558026"/>
      <w:bookmarkStart w:id="171" w:name="_Toc208840342"/>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预算管理（总分</w:t>
      </w:r>
      <w:r>
        <w:rPr>
          <w:rFonts w:hint="eastAsia" w:ascii="仿宋" w:hAnsi="仿宋" w:eastAsia="仿宋" w:cs="仿宋"/>
          <w:color w:val="auto"/>
          <w:spacing w:val="3"/>
          <w:sz w:val="28"/>
          <w:szCs w:val="28"/>
          <w:lang w:eastAsia="zh-CN"/>
        </w:rPr>
        <w:t>15</w:t>
      </w:r>
      <w:r>
        <w:rPr>
          <w:rFonts w:ascii="仿宋" w:hAnsi="仿宋" w:eastAsia="仿宋" w:cs="仿宋"/>
          <w:color w:val="auto"/>
          <w:spacing w:val="3"/>
          <w:sz w:val="28"/>
          <w:szCs w:val="28"/>
          <w:lang w:eastAsia="zh-CN"/>
        </w:rPr>
        <w:t>分，得分</w:t>
      </w:r>
      <w:r>
        <w:rPr>
          <w:rFonts w:hint="eastAsia" w:ascii="仿宋" w:hAnsi="仿宋" w:eastAsia="仿宋" w:cs="仿宋"/>
          <w:color w:val="auto"/>
          <w:spacing w:val="3"/>
          <w:sz w:val="28"/>
          <w:szCs w:val="28"/>
          <w:lang w:eastAsia="zh-CN"/>
        </w:rPr>
        <w:t>13</w:t>
      </w:r>
      <w:r>
        <w:rPr>
          <w:rFonts w:ascii="仿宋" w:hAnsi="仿宋" w:eastAsia="仿宋" w:cs="仿宋"/>
          <w:color w:val="auto"/>
          <w:spacing w:val="3"/>
          <w:sz w:val="28"/>
          <w:szCs w:val="28"/>
          <w:lang w:eastAsia="zh-CN"/>
        </w:rPr>
        <w:t>分）</w:t>
      </w:r>
      <w:bookmarkEnd w:id="170"/>
      <w:bookmarkEnd w:id="171"/>
    </w:p>
    <w:p w14:paraId="005B6FE0">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（1）管理制度健全性（</w:t>
      </w:r>
      <w:r>
        <w:rPr>
          <w:rFonts w:hint="eastAsia" w:ascii="仿宋" w:hAnsi="仿宋" w:eastAsia="仿宋" w:cs="仿宋"/>
          <w:color w:val="auto"/>
          <w:spacing w:val="3"/>
          <w:sz w:val="28"/>
          <w:szCs w:val="28"/>
          <w:lang w:eastAsia="zh-CN"/>
        </w:rPr>
        <w:t>1.5</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1.5</w:t>
      </w:r>
      <w:r>
        <w:rPr>
          <w:rFonts w:ascii="仿宋" w:hAnsi="仿宋" w:eastAsia="仿宋" w:cs="仿宋"/>
          <w:color w:val="auto"/>
          <w:spacing w:val="3"/>
          <w:sz w:val="28"/>
          <w:szCs w:val="28"/>
          <w:lang w:eastAsia="zh-CN"/>
        </w:rPr>
        <w:t>分</w:t>
      </w:r>
    </w:p>
    <w:p w14:paraId="4EDF98D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为加强财务管理和会计核算，规范财务行为，降低行政成本，防止国有资产流失，提高资金使用效益并强化财务监督，</w:t>
      </w: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制定了《</w:t>
      </w:r>
      <w:r>
        <w:rPr>
          <w:rFonts w:hint="eastAsia" w:ascii="仿宋" w:hAnsi="仿宋" w:eastAsia="仿宋" w:cs="仿宋"/>
          <w:color w:val="auto"/>
          <w:spacing w:val="3"/>
          <w:sz w:val="28"/>
          <w:szCs w:val="28"/>
          <w:lang w:eastAsia="zh-CN"/>
        </w:rPr>
        <w:t>石狮市城市管理局工作管理制度汇编</w:t>
      </w:r>
      <w:r>
        <w:rPr>
          <w:rFonts w:ascii="仿宋" w:hAnsi="仿宋" w:eastAsia="仿宋" w:cs="仿宋"/>
          <w:color w:val="auto"/>
          <w:spacing w:val="3"/>
          <w:sz w:val="28"/>
          <w:szCs w:val="28"/>
          <w:lang w:eastAsia="zh-CN"/>
        </w:rPr>
        <w:t>》。该制度对预算管理、收支管理、固定资产管理、资金管理、审批管理、会计档案管理等进行了严格规定</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1.5</w:t>
      </w:r>
      <w:r>
        <w:rPr>
          <w:rFonts w:ascii="仿宋" w:hAnsi="仿宋" w:eastAsia="仿宋" w:cs="仿宋"/>
          <w:color w:val="auto"/>
          <w:spacing w:val="3"/>
          <w:sz w:val="28"/>
          <w:szCs w:val="28"/>
          <w:lang w:eastAsia="zh-CN"/>
        </w:rPr>
        <w:t>分。</w:t>
      </w:r>
    </w:p>
    <w:p w14:paraId="72F6CD2E">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（2）政府采购管理（</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012A5B4B">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石狮市城市管理和综合执法局政府采购符合政府采购相关规定</w:t>
      </w:r>
      <w:r>
        <w:rPr>
          <w:rFonts w:ascii="仿宋" w:hAnsi="仿宋" w:eastAsia="仿宋" w:cs="仿宋"/>
          <w:color w:val="auto"/>
          <w:spacing w:val="3"/>
          <w:sz w:val="28"/>
          <w:szCs w:val="28"/>
          <w:lang w:eastAsia="zh-CN"/>
        </w:rPr>
        <w:t>，采购程序、采购审批程序、采购方式</w:t>
      </w:r>
      <w:r>
        <w:rPr>
          <w:rFonts w:hint="eastAsia" w:ascii="仿宋" w:hAnsi="仿宋" w:eastAsia="仿宋" w:cs="仿宋"/>
          <w:color w:val="auto"/>
          <w:spacing w:val="3"/>
          <w:sz w:val="28"/>
          <w:szCs w:val="28"/>
          <w:lang w:eastAsia="zh-CN"/>
        </w:rPr>
        <w:t>符合规定</w:t>
      </w:r>
      <w:r>
        <w:rPr>
          <w:rFonts w:ascii="仿宋" w:hAnsi="仿宋" w:eastAsia="仿宋" w:cs="仿宋"/>
          <w:color w:val="auto"/>
          <w:spacing w:val="3"/>
          <w:sz w:val="28"/>
          <w:szCs w:val="28"/>
          <w:lang w:eastAsia="zh-CN"/>
        </w:rPr>
        <w:t>。根据评分标准，得</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50FD1035">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（3）会计核算规范性（</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1763916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石狮市城市管理和综合执法局，在会计核算规范性上存在不足</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在在建工程方面，石狮市城市管理和综合执法局资产负债表上在建工程余额较多，</w:t>
      </w:r>
      <w:r>
        <w:rPr>
          <w:rFonts w:hint="eastAsia" w:ascii="仿宋" w:hAnsi="仿宋" w:eastAsia="仿宋" w:cs="仿宋"/>
          <w:color w:val="000000" w:themeColor="text1"/>
          <w:spacing w:val="3"/>
          <w:sz w:val="28"/>
          <w:szCs w:val="28"/>
          <w:lang w:eastAsia="zh-CN"/>
          <w14:textFill>
            <w14:solidFill>
              <w14:schemeClr w14:val="tx1"/>
            </w14:solidFill>
          </w14:textFill>
        </w:rPr>
        <w:t>由于历史遗留问题，但账上仍挂着大量在建工程，暂时还未处理。</w:t>
      </w:r>
      <w:r>
        <w:rPr>
          <w:rFonts w:ascii="仿宋" w:hAnsi="仿宋" w:eastAsia="仿宋" w:cs="仿宋"/>
          <w:color w:val="auto"/>
          <w:spacing w:val="3"/>
          <w:sz w:val="28"/>
          <w:szCs w:val="28"/>
          <w:lang w:eastAsia="zh-CN"/>
        </w:rPr>
        <w:t>根据评分标准，得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，扣1分</w:t>
      </w:r>
      <w:r>
        <w:rPr>
          <w:rFonts w:ascii="仿宋" w:hAnsi="仿宋" w:eastAsia="仿宋" w:cs="仿宋"/>
          <w:color w:val="auto"/>
          <w:spacing w:val="3"/>
          <w:sz w:val="28"/>
          <w:szCs w:val="28"/>
          <w:lang w:eastAsia="zh-CN"/>
        </w:rPr>
        <w:t>。</w:t>
      </w:r>
    </w:p>
    <w:p w14:paraId="61CEF589">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（4）预决算信息公开性（</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5BAE7B0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石狮市城市管理和综合执法局按照规定在政府信息公开网上公开相关的预算及决算信息</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4FB2E22F">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（5）合同管理规范性（</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1C9BFDB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合同的签订管理方面，符合法律法规对合同的相关规定。在签订合同时有明确约定双方的权利和义务，有约定付款方式及付款进度等相关信息。但在合同执行方面，未能严格按照合同约定执行付款</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在2024年11月-12#凭证中，付“8月污水处理费”</w:t>
      </w:r>
      <w:r>
        <w:rPr>
          <w:rFonts w:ascii="仿宋" w:hAnsi="仿宋" w:eastAsia="仿宋" w:cs="仿宋"/>
          <w:color w:val="auto"/>
          <w:spacing w:val="3"/>
          <w:sz w:val="28"/>
          <w:szCs w:val="28"/>
          <w:lang w:eastAsia="zh-CN"/>
        </w:rPr>
        <w:t>7,702,410.44</w:t>
      </w:r>
      <w:r>
        <w:rPr>
          <w:rFonts w:hint="eastAsia" w:ascii="仿宋" w:hAnsi="仿宋" w:eastAsia="仿宋" w:cs="仿宋"/>
          <w:color w:val="auto"/>
          <w:spacing w:val="3"/>
          <w:sz w:val="28"/>
          <w:szCs w:val="28"/>
          <w:lang w:eastAsia="zh-CN"/>
        </w:rPr>
        <w:t>元，但是根据合同约定付款应当“每月支付”支付时间不晚于当月25日。故在付款程序上未能按照合同约定的付款方式来付款。</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，扣1分</w:t>
      </w:r>
      <w:r>
        <w:rPr>
          <w:rFonts w:ascii="仿宋" w:hAnsi="仿宋" w:eastAsia="仿宋" w:cs="仿宋"/>
          <w:color w:val="auto"/>
          <w:spacing w:val="3"/>
          <w:sz w:val="28"/>
          <w:szCs w:val="28"/>
          <w:lang w:eastAsia="zh-CN"/>
        </w:rPr>
        <w:t>。</w:t>
      </w:r>
    </w:p>
    <w:p w14:paraId="27612AC0">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（6）资产管理完整性（</w:t>
      </w:r>
      <w:r>
        <w:rPr>
          <w:rFonts w:hint="eastAsia" w:ascii="仿宋" w:hAnsi="仿宋" w:eastAsia="仿宋" w:cs="仿宋"/>
          <w:color w:val="auto"/>
          <w:spacing w:val="3"/>
          <w:sz w:val="28"/>
          <w:szCs w:val="28"/>
          <w:lang w:eastAsia="zh-CN"/>
        </w:rPr>
        <w:t>1.5</w:t>
      </w:r>
      <w:r>
        <w:rPr>
          <w:rFonts w:ascii="仿宋" w:hAnsi="仿宋" w:eastAsia="仿宋" w:cs="仿宋"/>
          <w:color w:val="auto"/>
          <w:spacing w:val="3"/>
          <w:sz w:val="28"/>
          <w:szCs w:val="28"/>
          <w:lang w:eastAsia="zh-CN"/>
        </w:rPr>
        <w:t>分）：得分为</w:t>
      </w:r>
      <w:r>
        <w:rPr>
          <w:rFonts w:hint="eastAsia" w:ascii="仿宋" w:hAnsi="仿宋" w:eastAsia="仿宋" w:cs="仿宋"/>
          <w:color w:val="auto"/>
          <w:spacing w:val="3"/>
          <w:sz w:val="28"/>
          <w:szCs w:val="28"/>
          <w:lang w:eastAsia="zh-CN"/>
        </w:rPr>
        <w:t>1.5</w:t>
      </w:r>
      <w:r>
        <w:rPr>
          <w:rFonts w:ascii="仿宋" w:hAnsi="仿宋" w:eastAsia="仿宋" w:cs="仿宋"/>
          <w:color w:val="auto"/>
          <w:spacing w:val="3"/>
          <w:sz w:val="28"/>
          <w:szCs w:val="28"/>
          <w:lang w:eastAsia="zh-CN"/>
        </w:rPr>
        <w:t>分</w:t>
      </w:r>
    </w:p>
    <w:p w14:paraId="55B1D65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主管单位和下级单位资产管理制度较为健全</w:t>
      </w:r>
      <w:r>
        <w:rPr>
          <w:rFonts w:hint="eastAsia" w:ascii="仿宋" w:hAnsi="仿宋" w:eastAsia="仿宋" w:cs="仿宋"/>
          <w:color w:val="auto"/>
          <w:spacing w:val="3"/>
          <w:sz w:val="28"/>
          <w:szCs w:val="28"/>
          <w:lang w:eastAsia="zh-CN"/>
        </w:rPr>
        <w:t>，主管单位和下属单位有定期对相关资产进行必要的盘点，相关资产能够做到账实相符</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1.5</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w:t>
      </w:r>
    </w:p>
    <w:p w14:paraId="227902EE">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7</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绩效自评合规性（</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17721BD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绩效自评工资方面有按照相关要求开展绩效自评工作；有及时在预算一体化系统上填报绩效监控表，绩效自评表，有按时开展绩效自评工作并及时撰写绩效自评报告，绩效自评信息具备真实性。</w:t>
      </w:r>
      <w:r>
        <w:rPr>
          <w:rFonts w:ascii="仿宋" w:hAnsi="仿宋" w:eastAsia="仿宋" w:cs="仿宋"/>
          <w:color w:val="auto"/>
          <w:spacing w:val="3"/>
          <w:sz w:val="28"/>
          <w:szCs w:val="28"/>
          <w:lang w:eastAsia="zh-CN"/>
        </w:rPr>
        <w:t>根据评分标准，得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w:t>
      </w:r>
    </w:p>
    <w:p w14:paraId="0FA29D23">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172" w:name="_Toc181558027"/>
      <w:bookmarkStart w:id="173" w:name="_Toc208840343"/>
      <w:r>
        <w:rPr>
          <w:rFonts w:hint="eastAsia" w:ascii="仿宋" w:hAnsi="仿宋" w:eastAsia="仿宋" w:cs="仿宋"/>
          <w:b/>
          <w:color w:val="auto"/>
          <w:spacing w:val="3"/>
          <w:sz w:val="28"/>
          <w:szCs w:val="28"/>
          <w:lang w:eastAsia="zh-CN"/>
        </w:rPr>
        <w:t>（三）产出（总分34分，得分27分）</w:t>
      </w:r>
      <w:bookmarkEnd w:id="172"/>
      <w:bookmarkEnd w:id="173"/>
    </w:p>
    <w:p w14:paraId="6C730AA0">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74" w:name="_Toc181558028"/>
      <w:bookmarkStart w:id="175" w:name="_Toc208840344"/>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产出数量（总分</w:t>
      </w:r>
      <w:r>
        <w:rPr>
          <w:rFonts w:hint="eastAsia" w:ascii="仿宋" w:hAnsi="仿宋" w:eastAsia="仿宋" w:cs="仿宋"/>
          <w:color w:val="auto"/>
          <w:spacing w:val="3"/>
          <w:sz w:val="28"/>
          <w:szCs w:val="28"/>
          <w:lang w:eastAsia="zh-CN"/>
        </w:rPr>
        <w:t>21</w:t>
      </w:r>
      <w:r>
        <w:rPr>
          <w:rFonts w:ascii="仿宋" w:hAnsi="仿宋" w:eastAsia="仿宋" w:cs="仿宋"/>
          <w:color w:val="auto"/>
          <w:spacing w:val="3"/>
          <w:sz w:val="28"/>
          <w:szCs w:val="28"/>
          <w:lang w:eastAsia="zh-CN"/>
        </w:rPr>
        <w:t>分，得分</w:t>
      </w:r>
      <w:r>
        <w:rPr>
          <w:rFonts w:hint="eastAsia" w:ascii="仿宋" w:hAnsi="仿宋" w:eastAsia="仿宋" w:cs="仿宋"/>
          <w:color w:val="auto"/>
          <w:spacing w:val="3"/>
          <w:sz w:val="28"/>
          <w:szCs w:val="28"/>
          <w:lang w:eastAsia="zh-CN"/>
        </w:rPr>
        <w:t>21</w:t>
      </w:r>
      <w:r>
        <w:rPr>
          <w:rFonts w:ascii="仿宋" w:hAnsi="仿宋" w:eastAsia="仿宋" w:cs="仿宋"/>
          <w:color w:val="auto"/>
          <w:spacing w:val="3"/>
          <w:sz w:val="28"/>
          <w:szCs w:val="28"/>
          <w:lang w:eastAsia="zh-CN"/>
        </w:rPr>
        <w:t>分）</w:t>
      </w:r>
      <w:bookmarkEnd w:id="174"/>
      <w:bookmarkEnd w:id="175"/>
    </w:p>
    <w:p w14:paraId="146B7DD6">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查处违法建设案件数量（</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7AC728D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w:t>
      </w:r>
      <w:r>
        <w:rPr>
          <w:rFonts w:ascii="仿宋" w:hAnsi="仿宋" w:eastAsia="仿宋" w:cs="仿宋"/>
          <w:color w:val="auto"/>
          <w:spacing w:val="3"/>
          <w:sz w:val="28"/>
          <w:szCs w:val="28"/>
          <w:lang w:eastAsia="zh-CN"/>
        </w:rPr>
        <w:t>2024</w:t>
      </w:r>
      <w:r>
        <w:rPr>
          <w:rFonts w:hint="eastAsia" w:ascii="仿宋" w:hAnsi="仿宋" w:eastAsia="仿宋" w:cs="仿宋"/>
          <w:color w:val="auto"/>
          <w:spacing w:val="3"/>
          <w:sz w:val="28"/>
          <w:szCs w:val="28"/>
          <w:lang w:eastAsia="zh-CN"/>
        </w:rPr>
        <w:t>年度持续加大力度对违法违建项目进行巡查，共查处新增违法建设案件</w:t>
      </w:r>
      <w:r>
        <w:rPr>
          <w:rFonts w:ascii="仿宋" w:hAnsi="仿宋" w:eastAsia="仿宋" w:cs="仿宋"/>
          <w:color w:val="auto"/>
          <w:spacing w:val="3"/>
          <w:sz w:val="28"/>
          <w:szCs w:val="28"/>
          <w:lang w:eastAsia="zh-CN"/>
        </w:rPr>
        <w:t>139</w:t>
      </w:r>
      <w:r>
        <w:rPr>
          <w:rFonts w:hint="eastAsia" w:ascii="仿宋" w:hAnsi="仿宋" w:eastAsia="仿宋" w:cs="仿宋"/>
          <w:color w:val="auto"/>
          <w:spacing w:val="3"/>
          <w:sz w:val="28"/>
          <w:szCs w:val="28"/>
          <w:lang w:eastAsia="zh-CN"/>
        </w:rPr>
        <w:t>宗，违建面积达到15,906.00平方米；组织拆除违法建设</w:t>
      </w:r>
      <w:r>
        <w:rPr>
          <w:rFonts w:ascii="仿宋" w:hAnsi="仿宋" w:eastAsia="仿宋" w:cs="仿宋"/>
          <w:color w:val="auto"/>
          <w:spacing w:val="3"/>
          <w:sz w:val="28"/>
          <w:szCs w:val="28"/>
          <w:lang w:eastAsia="zh-CN"/>
        </w:rPr>
        <w:t>71</w:t>
      </w:r>
      <w:r>
        <w:rPr>
          <w:rFonts w:hint="eastAsia" w:ascii="仿宋" w:hAnsi="仿宋" w:eastAsia="仿宋" w:cs="仿宋"/>
          <w:color w:val="auto"/>
          <w:spacing w:val="3"/>
          <w:sz w:val="28"/>
          <w:szCs w:val="28"/>
          <w:lang w:eastAsia="zh-CN"/>
        </w:rPr>
        <w:t>宗，拆除面积达到5,431.00平方米</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4575F554">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完成人行道与路面修复面积（</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595166D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石狮市城市管理和综合执法局2024年度完成修复人行道约3,303.00㎡、路面约12,732.00㎡，合计修复路面及人行道面积达到16,035.00㎡</w:t>
      </w:r>
      <w:r>
        <w:rPr>
          <w:rFonts w:ascii="仿宋" w:hAnsi="仿宋" w:eastAsia="仿宋" w:cs="仿宋"/>
          <w:color w:val="auto"/>
          <w:spacing w:val="3"/>
          <w:sz w:val="28"/>
          <w:szCs w:val="28"/>
          <w:lang w:eastAsia="zh-CN"/>
        </w:rPr>
        <w:t>。根据评分标准，得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22E413D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路灯亮灯率（</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22D9D3A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石狮市城市管理和综合执法局2024年度通过加大巡逻力度，及时发现并维护不亮的路灯，使得路灯亮灯率达到99%</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1998ADFE">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（4）</w:t>
      </w:r>
      <w:r>
        <w:rPr>
          <w:rFonts w:hint="eastAsia" w:ascii="仿宋" w:hAnsi="仿宋" w:eastAsia="仿宋" w:cs="仿宋"/>
          <w:color w:val="auto"/>
          <w:spacing w:val="3"/>
          <w:sz w:val="28"/>
          <w:szCs w:val="28"/>
          <w:lang w:eastAsia="zh-CN"/>
        </w:rPr>
        <w:t>累计维修路灯数量（</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1157AF56">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石狮市城市管理和综合执法局2024年度开展重点路段照明设施重点巡查，保证亮灯率，累计维修路灯</w:t>
      </w:r>
      <w:r>
        <w:rPr>
          <w:rFonts w:ascii="仿宋" w:hAnsi="仿宋" w:eastAsia="仿宋" w:cs="仿宋"/>
          <w:color w:val="auto"/>
          <w:spacing w:val="3"/>
          <w:sz w:val="28"/>
          <w:szCs w:val="28"/>
          <w:lang w:eastAsia="zh-CN"/>
        </w:rPr>
        <w:t>4240</w:t>
      </w:r>
      <w:r>
        <w:rPr>
          <w:rFonts w:hint="eastAsia" w:ascii="仿宋" w:hAnsi="仿宋" w:eastAsia="仿宋" w:cs="仿宋"/>
          <w:color w:val="auto"/>
          <w:spacing w:val="3"/>
          <w:sz w:val="28"/>
          <w:szCs w:val="28"/>
          <w:lang w:eastAsia="zh-CN"/>
        </w:rPr>
        <w:t>盏</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6BEE2359">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（5）</w:t>
      </w:r>
      <w:r>
        <w:rPr>
          <w:rFonts w:hint="eastAsia" w:ascii="仿宋" w:hAnsi="仿宋" w:eastAsia="仿宋" w:cs="仿宋"/>
          <w:color w:val="auto"/>
          <w:spacing w:val="3"/>
          <w:sz w:val="28"/>
          <w:szCs w:val="28"/>
          <w:lang w:eastAsia="zh-CN"/>
        </w:rPr>
        <w:t>现场督察餐饮企业数量（</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29CEF483">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石狮市城市管理和综合执法局截至2024年度开展</w:t>
      </w:r>
      <w:r>
        <w:rPr>
          <w:rFonts w:ascii="仿宋" w:hAnsi="仿宋" w:eastAsia="仿宋" w:cs="仿宋"/>
          <w:color w:val="auto"/>
          <w:spacing w:val="3"/>
          <w:sz w:val="28"/>
          <w:szCs w:val="28"/>
          <w:lang w:eastAsia="zh-CN"/>
        </w:rPr>
        <w:t>重点整治</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未规范安装使用油烟净化设备导致漏油跑烟、在禁止区域从事露天烧烤产生的油烟扰民等问题，</w:t>
      </w:r>
      <w:r>
        <w:rPr>
          <w:rFonts w:hint="eastAsia" w:ascii="仿宋" w:hAnsi="仿宋" w:eastAsia="仿宋" w:cs="仿宋"/>
          <w:color w:val="auto"/>
          <w:spacing w:val="3"/>
          <w:sz w:val="28"/>
          <w:szCs w:val="28"/>
          <w:lang w:eastAsia="zh-CN"/>
        </w:rPr>
        <w:t>2024年度</w:t>
      </w:r>
      <w:r>
        <w:rPr>
          <w:rFonts w:ascii="仿宋" w:hAnsi="仿宋" w:eastAsia="仿宋" w:cs="仿宋"/>
          <w:color w:val="auto"/>
          <w:spacing w:val="3"/>
          <w:sz w:val="28"/>
          <w:szCs w:val="28"/>
          <w:lang w:eastAsia="zh-CN"/>
        </w:rPr>
        <w:t>多次开展现场督查，出动执法人员4870人次，检查餐饮企业</w:t>
      </w:r>
      <w:r>
        <w:rPr>
          <w:rFonts w:hint="eastAsia" w:ascii="仿宋" w:hAnsi="仿宋" w:eastAsia="仿宋" w:cs="仿宋"/>
          <w:color w:val="auto"/>
          <w:spacing w:val="3"/>
          <w:sz w:val="28"/>
          <w:szCs w:val="28"/>
          <w:lang w:eastAsia="zh-CN"/>
        </w:rPr>
        <w:t>3,165</w:t>
      </w:r>
      <w:r>
        <w:rPr>
          <w:rFonts w:ascii="仿宋" w:hAnsi="仿宋" w:eastAsia="仿宋" w:cs="仿宋"/>
          <w:color w:val="auto"/>
          <w:spacing w:val="3"/>
          <w:sz w:val="28"/>
          <w:szCs w:val="28"/>
          <w:lang w:eastAsia="zh-CN"/>
        </w:rPr>
        <w:t>家</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0386FDB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（6）</w:t>
      </w:r>
      <w:r>
        <w:rPr>
          <w:rFonts w:hint="eastAsia" w:ascii="仿宋" w:hAnsi="仿宋" w:eastAsia="仿宋" w:cs="仿宋"/>
          <w:color w:val="auto"/>
          <w:spacing w:val="3"/>
          <w:sz w:val="28"/>
          <w:szCs w:val="28"/>
          <w:lang w:eastAsia="zh-CN"/>
        </w:rPr>
        <w:t>开展环境卫生专项整治活动的次数（</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6CC00AD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石狮市城市管理和综合执法局2024年度开展做好主次干道环卫保障，提升沿海道路保洁水平行动，共计开展环境卫生专项整治活动约548场，累计清理卫生死角22,003处，清理空地杂物16,548处</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1E6C4D72">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7</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整治占道经营次数（</w:t>
      </w: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3BE3CD94">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石狮市城市管理和综合执法局在2024年度，</w:t>
      </w:r>
      <w:r>
        <w:rPr>
          <w:rFonts w:ascii="仿宋" w:hAnsi="仿宋" w:eastAsia="仿宋" w:cs="仿宋"/>
          <w:color w:val="auto"/>
          <w:spacing w:val="3"/>
          <w:sz w:val="28"/>
          <w:szCs w:val="28"/>
          <w:lang w:eastAsia="zh-CN"/>
        </w:rPr>
        <w:t>共整治占道经营</w:t>
      </w:r>
      <w:r>
        <w:rPr>
          <w:rFonts w:hint="eastAsia" w:ascii="仿宋" w:hAnsi="仿宋" w:eastAsia="仿宋" w:cs="仿宋"/>
          <w:color w:val="auto"/>
          <w:spacing w:val="3"/>
          <w:sz w:val="28"/>
          <w:szCs w:val="28"/>
          <w:lang w:eastAsia="zh-CN"/>
        </w:rPr>
        <w:t>6,660起、堆物堆料2,444起、乱拉乱挂1,287起、占用停车位132</w:t>
      </w:r>
      <w:r>
        <w:rPr>
          <w:rFonts w:ascii="仿宋" w:hAnsi="仿宋" w:eastAsia="仿宋" w:cs="仿宋"/>
          <w:color w:val="auto"/>
          <w:spacing w:val="3"/>
          <w:sz w:val="28"/>
          <w:szCs w:val="28"/>
          <w:lang w:eastAsia="zh-CN"/>
        </w:rPr>
        <w:t>起。根据评分标准，此项得</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w:t>
      </w:r>
    </w:p>
    <w:p w14:paraId="2D528554">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76" w:name="_Toc181558029"/>
      <w:bookmarkStart w:id="177" w:name="_Toc208840345"/>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产出质量（总分</w:t>
      </w:r>
      <w:r>
        <w:rPr>
          <w:rFonts w:hint="eastAsia" w:ascii="仿宋" w:hAnsi="仿宋" w:eastAsia="仿宋" w:cs="仿宋"/>
          <w:color w:val="auto"/>
          <w:spacing w:val="3"/>
          <w:sz w:val="28"/>
          <w:szCs w:val="28"/>
          <w:lang w:eastAsia="zh-CN"/>
        </w:rPr>
        <w:t>13</w:t>
      </w:r>
      <w:r>
        <w:rPr>
          <w:rFonts w:ascii="仿宋" w:hAnsi="仿宋" w:eastAsia="仿宋" w:cs="仿宋"/>
          <w:color w:val="auto"/>
          <w:spacing w:val="3"/>
          <w:sz w:val="28"/>
          <w:szCs w:val="28"/>
          <w:lang w:eastAsia="zh-CN"/>
        </w:rPr>
        <w:t>分，得分</w:t>
      </w:r>
      <w:r>
        <w:rPr>
          <w:rFonts w:hint="eastAsia" w:ascii="仿宋" w:hAnsi="仿宋" w:eastAsia="仿宋" w:cs="仿宋"/>
          <w:color w:val="auto"/>
          <w:spacing w:val="3"/>
          <w:sz w:val="28"/>
          <w:szCs w:val="28"/>
          <w:lang w:eastAsia="zh-CN"/>
        </w:rPr>
        <w:t>6</w:t>
      </w:r>
      <w:r>
        <w:rPr>
          <w:rFonts w:ascii="仿宋" w:hAnsi="仿宋" w:eastAsia="仿宋" w:cs="仿宋"/>
          <w:color w:val="auto"/>
          <w:spacing w:val="3"/>
          <w:sz w:val="28"/>
          <w:szCs w:val="28"/>
          <w:lang w:eastAsia="zh-CN"/>
        </w:rPr>
        <w:t>分）</w:t>
      </w:r>
      <w:bookmarkEnd w:id="176"/>
      <w:bookmarkEnd w:id="177"/>
    </w:p>
    <w:p w14:paraId="51D1A3D5">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绿化浇洒采节水方式（2分）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728704A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石狮市城市管理和综合执法局2024年度在节水型居民小区管理指标中“是否采用节水型灌溉方式”来浇灌绿植，城管局未采用节水型灌溉方式，但有人监督</w:t>
      </w:r>
      <w:r>
        <w:rPr>
          <w:rFonts w:ascii="仿宋" w:hAnsi="仿宋" w:eastAsia="仿宋" w:cs="仿宋"/>
          <w:color w:val="auto"/>
          <w:spacing w:val="3"/>
          <w:sz w:val="28"/>
          <w:szCs w:val="28"/>
          <w:lang w:eastAsia="zh-CN"/>
        </w:rPr>
        <w:t>。根据评分标准，此项得</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，扣1分</w:t>
      </w:r>
      <w:r>
        <w:rPr>
          <w:rFonts w:ascii="仿宋" w:hAnsi="仿宋" w:eastAsia="仿宋" w:cs="仿宋"/>
          <w:color w:val="auto"/>
          <w:spacing w:val="3"/>
          <w:sz w:val="28"/>
          <w:szCs w:val="28"/>
          <w:lang w:eastAsia="zh-CN"/>
        </w:rPr>
        <w:t>。</w:t>
      </w:r>
    </w:p>
    <w:p w14:paraId="40CB936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非居民计划用水超标情况（2分）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5CE2AA9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石狮市城市管理和综合执法局在2024年度内虽然设定了非居民计划用水的指标，但各个月份均出现超标情况</w:t>
      </w:r>
      <w:r>
        <w:rPr>
          <w:rFonts w:ascii="仿宋" w:hAnsi="仿宋" w:eastAsia="仿宋" w:cs="仿宋"/>
          <w:color w:val="auto"/>
          <w:spacing w:val="3"/>
          <w:sz w:val="28"/>
          <w:szCs w:val="28"/>
          <w:lang w:eastAsia="zh-CN"/>
        </w:rPr>
        <w:t>。根据评分标准</w:t>
      </w:r>
      <w:r>
        <w:rPr>
          <w:rFonts w:hint="eastAsia" w:ascii="仿宋" w:hAnsi="仿宋" w:eastAsia="仿宋" w:cs="仿宋"/>
          <w:color w:val="auto"/>
          <w:spacing w:val="3"/>
          <w:sz w:val="28"/>
          <w:szCs w:val="28"/>
          <w:lang w:eastAsia="zh-CN"/>
        </w:rPr>
        <w:t>，此项</w:t>
      </w:r>
      <w:r>
        <w:rPr>
          <w:rFonts w:ascii="仿宋" w:hAnsi="仿宋" w:eastAsia="仿宋" w:cs="仿宋"/>
          <w:color w:val="auto"/>
          <w:spacing w:val="3"/>
          <w:sz w:val="28"/>
          <w:szCs w:val="28"/>
          <w:lang w:eastAsia="zh-CN"/>
        </w:rPr>
        <w:t>得</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，扣1分</w:t>
      </w:r>
      <w:r>
        <w:rPr>
          <w:rFonts w:ascii="仿宋" w:hAnsi="仿宋" w:eastAsia="仿宋" w:cs="仿宋"/>
          <w:color w:val="auto"/>
          <w:spacing w:val="3"/>
          <w:sz w:val="28"/>
          <w:szCs w:val="28"/>
          <w:lang w:eastAsia="zh-CN"/>
        </w:rPr>
        <w:t>。</w:t>
      </w:r>
    </w:p>
    <w:p w14:paraId="7EB62F79">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路灯维护检查情况（3分）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2E483B0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石狮市城市管理和综合执法局在2024年度内虽然道路路灯亮灯率能够达到99%，但是通过查看巡逻检查记录发现，各个月份的巡逻记录都能发现路灯不亮的情况，路灯故障率较高</w:t>
      </w:r>
      <w:r>
        <w:rPr>
          <w:rFonts w:ascii="仿宋" w:hAnsi="仿宋" w:eastAsia="仿宋" w:cs="仿宋"/>
          <w:color w:val="auto"/>
          <w:spacing w:val="3"/>
          <w:sz w:val="28"/>
          <w:szCs w:val="28"/>
          <w:lang w:eastAsia="zh-CN"/>
        </w:rPr>
        <w:t>。根据评分标准</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此项得</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，扣1分</w:t>
      </w:r>
      <w:r>
        <w:rPr>
          <w:rFonts w:ascii="仿宋" w:hAnsi="仿宋" w:eastAsia="仿宋" w:cs="仿宋"/>
          <w:color w:val="auto"/>
          <w:spacing w:val="3"/>
          <w:sz w:val="28"/>
          <w:szCs w:val="28"/>
          <w:lang w:eastAsia="zh-CN"/>
        </w:rPr>
        <w:t>。</w:t>
      </w:r>
    </w:p>
    <w:p w14:paraId="240C6D8E">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环卫考评情况（3分）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0BD3B26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石狮市城市管理和综合执法局在2024年度内通过“环卫一体化监督考评app系统”对环卫一体化的承包方开展监督检查考评工作。但是经评价小组查看发现，有部分需要整改的工作存在超时整改的情况</w:t>
      </w:r>
      <w:r>
        <w:rPr>
          <w:rFonts w:ascii="仿宋" w:hAnsi="仿宋" w:eastAsia="仿宋" w:cs="仿宋"/>
          <w:color w:val="auto"/>
          <w:spacing w:val="3"/>
          <w:sz w:val="28"/>
          <w:szCs w:val="28"/>
          <w:lang w:eastAsia="zh-CN"/>
        </w:rPr>
        <w:t>。根据评分标准</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此项得</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，扣2分</w:t>
      </w:r>
      <w:r>
        <w:rPr>
          <w:rFonts w:ascii="仿宋" w:hAnsi="仿宋" w:eastAsia="仿宋" w:cs="仿宋"/>
          <w:color w:val="auto"/>
          <w:spacing w:val="3"/>
          <w:sz w:val="28"/>
          <w:szCs w:val="28"/>
          <w:lang w:eastAsia="zh-CN"/>
        </w:rPr>
        <w:t>。</w:t>
      </w:r>
    </w:p>
    <w:p w14:paraId="5370271B">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5</w:t>
      </w:r>
      <w:r>
        <w:rPr>
          <w:rFonts w:ascii="仿宋" w:hAnsi="仿宋" w:eastAsia="仿宋" w:cs="仿宋"/>
          <w:color w:val="auto"/>
          <w:spacing w:val="3"/>
          <w:sz w:val="28"/>
          <w:szCs w:val="28"/>
          <w:lang w:eastAsia="zh-CN"/>
        </w:rPr>
        <w:t>）2024</w:t>
      </w:r>
      <w:r>
        <w:rPr>
          <w:rFonts w:hint="eastAsia" w:ascii="仿宋" w:hAnsi="仿宋" w:eastAsia="仿宋" w:cs="仿宋"/>
          <w:color w:val="auto"/>
          <w:spacing w:val="3"/>
          <w:sz w:val="28"/>
          <w:szCs w:val="28"/>
          <w:lang w:eastAsia="zh-CN"/>
        </w:rPr>
        <w:t>年度单位绩效考评结果（3分）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p>
    <w:p w14:paraId="1099232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石狮市机关效能建设领导小组关于</w:t>
      </w:r>
      <w:r>
        <w:rPr>
          <w:rFonts w:ascii="仿宋" w:hAnsi="仿宋" w:eastAsia="仿宋" w:cs="仿宋"/>
          <w:color w:val="auto"/>
          <w:spacing w:val="3"/>
          <w:sz w:val="28"/>
          <w:szCs w:val="28"/>
          <w:lang w:eastAsia="zh-CN"/>
        </w:rPr>
        <w:t>2024</w:t>
      </w:r>
      <w:r>
        <w:rPr>
          <w:rFonts w:hint="eastAsia" w:ascii="仿宋" w:hAnsi="仿宋" w:eastAsia="仿宋" w:cs="仿宋"/>
          <w:color w:val="auto"/>
          <w:spacing w:val="3"/>
          <w:sz w:val="28"/>
          <w:szCs w:val="28"/>
          <w:lang w:eastAsia="zh-CN"/>
        </w:rPr>
        <w:t>年度市直单位绩效考评情况的通报，石狮市城市管理和综合执法局在2024年度绩效考评成绩为“合格”。</w:t>
      </w:r>
      <w:r>
        <w:rPr>
          <w:rFonts w:ascii="仿宋" w:hAnsi="仿宋" w:eastAsia="仿宋" w:cs="仿宋"/>
          <w:color w:val="auto"/>
          <w:spacing w:val="3"/>
          <w:sz w:val="28"/>
          <w:szCs w:val="28"/>
          <w:lang w:eastAsia="zh-CN"/>
        </w:rPr>
        <w:t>根据评分标准</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此项得</w:t>
      </w:r>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，扣2分</w:t>
      </w:r>
      <w:r>
        <w:rPr>
          <w:rFonts w:ascii="仿宋" w:hAnsi="仿宋" w:eastAsia="仿宋" w:cs="仿宋"/>
          <w:color w:val="auto"/>
          <w:spacing w:val="3"/>
          <w:sz w:val="28"/>
          <w:szCs w:val="28"/>
          <w:lang w:eastAsia="zh-CN"/>
        </w:rPr>
        <w:t>。</w:t>
      </w:r>
    </w:p>
    <w:p w14:paraId="5DE68208">
      <w:pPr>
        <w:widowControl w:val="0"/>
        <w:overflowPunct w:val="0"/>
        <w:snapToGrid/>
        <w:spacing w:line="408" w:lineRule="auto"/>
        <w:ind w:firstLine="574" w:firstLineChars="200"/>
        <w:jc w:val="both"/>
        <w:outlineLvl w:val="1"/>
        <w:rPr>
          <w:rFonts w:hint="eastAsia" w:ascii="仿宋" w:hAnsi="仿宋" w:eastAsia="仿宋" w:cs="仿宋"/>
          <w:b/>
          <w:bCs/>
          <w:color w:val="auto"/>
          <w:spacing w:val="3"/>
          <w:sz w:val="28"/>
          <w:szCs w:val="28"/>
          <w:lang w:eastAsia="zh-CN"/>
        </w:rPr>
      </w:pPr>
      <w:bookmarkStart w:id="178" w:name="_Toc181558031"/>
      <w:bookmarkStart w:id="179" w:name="_Toc208840346"/>
      <w:r>
        <w:rPr>
          <w:rFonts w:ascii="仿宋" w:hAnsi="仿宋" w:eastAsia="仿宋" w:cs="仿宋"/>
          <w:b/>
          <w:bCs/>
          <w:color w:val="auto"/>
          <w:spacing w:val="3"/>
          <w:sz w:val="28"/>
          <w:szCs w:val="28"/>
          <w:lang w:eastAsia="zh-CN"/>
        </w:rPr>
        <w:t>（四）效益（</w:t>
      </w:r>
      <w:r>
        <w:rPr>
          <w:rFonts w:hint="eastAsia" w:ascii="仿宋" w:hAnsi="仿宋" w:eastAsia="仿宋" w:cs="仿宋"/>
          <w:b/>
          <w:bCs/>
          <w:color w:val="auto"/>
          <w:spacing w:val="3"/>
          <w:sz w:val="28"/>
          <w:szCs w:val="28"/>
          <w:lang w:eastAsia="zh-CN"/>
        </w:rPr>
        <w:t>总分27</w:t>
      </w:r>
      <w:r>
        <w:rPr>
          <w:rFonts w:ascii="仿宋" w:hAnsi="仿宋" w:eastAsia="仿宋" w:cs="仿宋"/>
          <w:b/>
          <w:bCs/>
          <w:color w:val="auto"/>
          <w:spacing w:val="3"/>
          <w:sz w:val="28"/>
          <w:szCs w:val="28"/>
          <w:lang w:eastAsia="zh-CN"/>
        </w:rPr>
        <w:t>分，得分</w:t>
      </w:r>
      <w:r>
        <w:rPr>
          <w:rFonts w:hint="eastAsia" w:ascii="仿宋" w:hAnsi="仿宋" w:eastAsia="仿宋" w:cs="仿宋"/>
          <w:b/>
          <w:bCs/>
          <w:color w:val="auto"/>
          <w:spacing w:val="3"/>
          <w:sz w:val="28"/>
          <w:szCs w:val="28"/>
          <w:lang w:eastAsia="zh-CN"/>
        </w:rPr>
        <w:t>25</w:t>
      </w:r>
      <w:r>
        <w:rPr>
          <w:rFonts w:ascii="仿宋" w:hAnsi="仿宋" w:eastAsia="仿宋" w:cs="仿宋"/>
          <w:b/>
          <w:bCs/>
          <w:color w:val="auto"/>
          <w:spacing w:val="3"/>
          <w:sz w:val="28"/>
          <w:szCs w:val="28"/>
          <w:lang w:eastAsia="zh-CN"/>
        </w:rPr>
        <w:t>分）</w:t>
      </w:r>
      <w:bookmarkEnd w:id="178"/>
      <w:bookmarkEnd w:id="179"/>
    </w:p>
    <w:p w14:paraId="6F175833">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80" w:name="_Toc181558032"/>
      <w:bookmarkStart w:id="181" w:name="_Toc208840347"/>
      <w:r>
        <w:rPr>
          <w:rFonts w:hint="eastAsia" w:ascii="仿宋" w:hAnsi="仿宋" w:eastAsia="仿宋" w:cs="仿宋"/>
          <w:color w:val="auto"/>
          <w:spacing w:val="3"/>
          <w:sz w:val="28"/>
          <w:szCs w:val="28"/>
          <w:lang w:eastAsia="zh-CN"/>
        </w:rPr>
        <w:t>1.</w:t>
      </w:r>
      <w:r>
        <w:rPr>
          <w:rFonts w:ascii="仿宋" w:hAnsi="仿宋" w:eastAsia="仿宋" w:cs="仿宋"/>
          <w:color w:val="auto"/>
          <w:spacing w:val="3"/>
          <w:sz w:val="28"/>
          <w:szCs w:val="28"/>
          <w:lang w:eastAsia="zh-CN"/>
        </w:rPr>
        <w:t>社会效益（总分</w:t>
      </w:r>
      <w:r>
        <w:rPr>
          <w:rFonts w:hint="eastAsia" w:ascii="仿宋" w:hAnsi="仿宋" w:eastAsia="仿宋" w:cs="仿宋"/>
          <w:color w:val="auto"/>
          <w:spacing w:val="3"/>
          <w:sz w:val="28"/>
          <w:szCs w:val="28"/>
          <w:lang w:eastAsia="zh-CN"/>
        </w:rPr>
        <w:t>11</w:t>
      </w:r>
      <w:r>
        <w:rPr>
          <w:rFonts w:ascii="仿宋" w:hAnsi="仿宋" w:eastAsia="仿宋" w:cs="仿宋"/>
          <w:color w:val="auto"/>
          <w:spacing w:val="3"/>
          <w:sz w:val="28"/>
          <w:szCs w:val="28"/>
          <w:lang w:eastAsia="zh-CN"/>
        </w:rPr>
        <w:t>分，得分</w:t>
      </w:r>
      <w:r>
        <w:rPr>
          <w:rFonts w:hint="eastAsia" w:ascii="仿宋" w:hAnsi="仿宋" w:eastAsia="仿宋" w:cs="仿宋"/>
          <w:color w:val="auto"/>
          <w:spacing w:val="3"/>
          <w:sz w:val="28"/>
          <w:szCs w:val="28"/>
          <w:lang w:eastAsia="zh-CN"/>
        </w:rPr>
        <w:t>11</w:t>
      </w:r>
      <w:r>
        <w:rPr>
          <w:rFonts w:ascii="仿宋" w:hAnsi="仿宋" w:eastAsia="仿宋" w:cs="仿宋"/>
          <w:color w:val="auto"/>
          <w:spacing w:val="3"/>
          <w:sz w:val="28"/>
          <w:szCs w:val="28"/>
          <w:lang w:eastAsia="zh-CN"/>
        </w:rPr>
        <w:t>分）</w:t>
      </w:r>
      <w:bookmarkEnd w:id="180"/>
      <w:bookmarkEnd w:id="181"/>
    </w:p>
    <w:p w14:paraId="6D9FA0EC">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开展安全生产检查的次数（3分）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1FED7C71">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石狮市城市管理和综合执法局在2024年度开展城镇燃气安全专项整治活动，着力</w:t>
      </w:r>
      <w:r>
        <w:rPr>
          <w:rFonts w:ascii="仿宋" w:hAnsi="仿宋" w:eastAsia="仿宋" w:cs="仿宋"/>
          <w:color w:val="auto"/>
          <w:spacing w:val="3"/>
          <w:sz w:val="28"/>
          <w:szCs w:val="28"/>
          <w:lang w:eastAsia="zh-CN"/>
        </w:rPr>
        <w:t>防范化解重大安全风险</w:t>
      </w:r>
      <w:r>
        <w:rPr>
          <w:rFonts w:hint="eastAsia" w:ascii="仿宋" w:hAnsi="仿宋" w:eastAsia="仿宋" w:cs="仿宋"/>
          <w:color w:val="auto"/>
          <w:spacing w:val="3"/>
          <w:sz w:val="28"/>
          <w:szCs w:val="28"/>
          <w:lang w:eastAsia="zh-CN"/>
        </w:rPr>
        <w:t>。2024年度累计开展安全生产检查310余场，发出整改通知单90余份，排查安全隐患600余项，全部落实整改</w:t>
      </w:r>
      <w:r>
        <w:rPr>
          <w:rFonts w:ascii="仿宋" w:hAnsi="仿宋" w:eastAsia="仿宋" w:cs="仿宋"/>
          <w:color w:val="auto"/>
          <w:spacing w:val="3"/>
          <w:sz w:val="28"/>
          <w:szCs w:val="28"/>
          <w:lang w:eastAsia="zh-CN"/>
        </w:rPr>
        <w:t>。根据评分标准，此项得分</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74CBB485">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开展应急演练活动次数（3分）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45D9385E">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石狮市城市管理和综合执法局在2024年度为深化宣传安全生产教育及安全应急演练教育，开展应急演练活动23次，培训从业人员、小区物业、第三方施工3场次</w:t>
      </w:r>
      <w:r>
        <w:rPr>
          <w:rFonts w:ascii="仿宋" w:hAnsi="仿宋" w:eastAsia="仿宋" w:cs="仿宋"/>
          <w:color w:val="auto"/>
          <w:spacing w:val="3"/>
          <w:sz w:val="28"/>
          <w:szCs w:val="28"/>
          <w:lang w:eastAsia="zh-CN"/>
        </w:rPr>
        <w:t>。根据评分标准，此项得分</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39545746">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（3）</w:t>
      </w:r>
      <w:r>
        <w:rPr>
          <w:rFonts w:hint="eastAsia" w:ascii="仿宋" w:hAnsi="仿宋" w:eastAsia="仿宋" w:cs="仿宋"/>
          <w:color w:val="auto"/>
          <w:spacing w:val="3"/>
          <w:sz w:val="28"/>
          <w:szCs w:val="28"/>
          <w:lang w:eastAsia="zh-CN"/>
        </w:rPr>
        <w:t>节水城市创建情况（2分）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73A4EC3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石狮市城市管理和综合执法局在2024年度已经按照《国家节水型城市申报与评选管理办法》，已通过申报材料预审、社会满意度调查等，</w:t>
      </w:r>
      <w:r>
        <w:rPr>
          <w:rFonts w:ascii="仿宋" w:hAnsi="仿宋" w:eastAsia="仿宋" w:cs="仿宋"/>
          <w:color w:val="auto"/>
          <w:spacing w:val="3"/>
          <w:sz w:val="28"/>
          <w:szCs w:val="28"/>
          <w:lang w:eastAsia="zh-CN"/>
        </w:rPr>
        <w:t>2024</w:t>
      </w:r>
      <w:r>
        <w:rPr>
          <w:rFonts w:hint="eastAsia" w:ascii="仿宋" w:hAnsi="仿宋" w:eastAsia="仿宋" w:cs="仿宋"/>
          <w:color w:val="auto"/>
          <w:spacing w:val="3"/>
          <w:sz w:val="28"/>
          <w:szCs w:val="28"/>
          <w:lang w:eastAsia="zh-CN"/>
        </w:rPr>
        <w:t>年度已提前做好创建内页资料的收集、整理、归档和自查自纠；积极开展“世界水日”“中国水周”“城市节水宣传周”等宣传活动。</w:t>
      </w:r>
      <w:r>
        <w:rPr>
          <w:rFonts w:ascii="仿宋" w:hAnsi="仿宋" w:eastAsia="仿宋" w:cs="仿宋"/>
          <w:color w:val="auto"/>
          <w:spacing w:val="3"/>
          <w:sz w:val="28"/>
          <w:szCs w:val="28"/>
          <w:lang w:eastAsia="zh-CN"/>
        </w:rPr>
        <w:t>根据评分标准，此项得分</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19063D37">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ascii="仿宋" w:hAnsi="仿宋" w:eastAsia="仿宋" w:cs="仿宋"/>
          <w:color w:val="auto"/>
          <w:spacing w:val="3"/>
          <w:sz w:val="28"/>
          <w:szCs w:val="28"/>
          <w:lang w:eastAsia="zh-CN"/>
        </w:rPr>
        <w:t>（4）</w:t>
      </w:r>
      <w:r>
        <w:rPr>
          <w:rFonts w:hint="eastAsia" w:ascii="仿宋" w:hAnsi="仿宋" w:eastAsia="仿宋" w:cs="仿宋"/>
          <w:color w:val="auto"/>
          <w:spacing w:val="3"/>
          <w:sz w:val="28"/>
          <w:szCs w:val="28"/>
          <w:lang w:eastAsia="zh-CN"/>
        </w:rPr>
        <w:t>中心区生活污水收集情况（3分）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1F6734F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石狮市城市管理和综合执法局在2024年度，城市生活污水集中收集率达到70%。</w:t>
      </w:r>
      <w:r>
        <w:rPr>
          <w:rFonts w:ascii="仿宋" w:hAnsi="仿宋" w:eastAsia="仿宋" w:cs="仿宋"/>
          <w:color w:val="auto"/>
          <w:spacing w:val="3"/>
          <w:sz w:val="28"/>
          <w:szCs w:val="28"/>
          <w:lang w:eastAsia="zh-CN"/>
        </w:rPr>
        <w:t>根据评分标准</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得分</w:t>
      </w:r>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分。</w:t>
      </w:r>
    </w:p>
    <w:p w14:paraId="55685E65">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82" w:name="_Toc208840348"/>
      <w:bookmarkStart w:id="183" w:name="_Toc181558033"/>
      <w:r>
        <w:rPr>
          <w:rFonts w:hint="eastAsia" w:ascii="仿宋" w:hAnsi="仿宋" w:eastAsia="仿宋" w:cs="仿宋"/>
          <w:color w:val="auto"/>
          <w:spacing w:val="3"/>
          <w:sz w:val="28"/>
          <w:szCs w:val="28"/>
          <w:lang w:eastAsia="zh-CN"/>
        </w:rPr>
        <w:t>2.生态效益</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总分12</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，得分12分</w:t>
      </w:r>
      <w:r>
        <w:rPr>
          <w:rFonts w:ascii="仿宋" w:hAnsi="仿宋" w:eastAsia="仿宋" w:cs="仿宋"/>
          <w:color w:val="auto"/>
          <w:spacing w:val="3"/>
          <w:sz w:val="28"/>
          <w:szCs w:val="28"/>
          <w:lang w:eastAsia="zh-CN"/>
        </w:rPr>
        <w:t>）</w:t>
      </w:r>
      <w:bookmarkEnd w:id="182"/>
    </w:p>
    <w:p w14:paraId="1FFA2109">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（1）促进当地水资源节约情况（</w:t>
      </w:r>
      <w:r>
        <w:rPr>
          <w:rFonts w:ascii="仿宋" w:hAnsi="仿宋" w:eastAsia="仿宋" w:cs="仿宋"/>
          <w:color w:val="auto"/>
          <w:spacing w:val="3"/>
          <w:sz w:val="28"/>
          <w:szCs w:val="28"/>
          <w:lang w:eastAsia="zh-CN"/>
        </w:rPr>
        <w:t>4</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分</w:t>
      </w:r>
    </w:p>
    <w:p w14:paraId="59D20FAA">
      <w:pPr>
        <w:widowControl w:val="0"/>
        <w:overflowPunct w:val="0"/>
        <w:snapToGrid/>
        <w:spacing w:line="360"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经评价小组走访调查，石狮市城市管理和综合执法局目前正在申报“石狮市节水型城市创建”项目，目前已经建设20家以上的节水型单位或企业，已经建设10个以上的节水型小区，能够大幅促进当地水资源的节约利用。评价小组发放58份问卷，有53份认为能够大幅促进当地水资源的节约利用。</w:t>
      </w:r>
      <w:r>
        <w:rPr>
          <w:rFonts w:ascii="仿宋" w:hAnsi="仿宋" w:eastAsia="仿宋" w:cs="仿宋"/>
          <w:color w:val="auto"/>
          <w:spacing w:val="3"/>
          <w:sz w:val="28"/>
          <w:szCs w:val="28"/>
          <w:lang w:eastAsia="zh-CN"/>
        </w:rPr>
        <w:t>根据评分标准</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得分</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分。</w:t>
      </w:r>
    </w:p>
    <w:p w14:paraId="6AAFCBD7">
      <w:pPr>
        <w:spacing w:line="360" w:lineRule="auto"/>
        <w:ind w:firstLine="572" w:firstLineChars="200"/>
        <w:outlineLvl w:val="3"/>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（2）促进当地环境卫生情况（</w:t>
      </w:r>
      <w:r>
        <w:rPr>
          <w:rFonts w:ascii="仿宋" w:hAnsi="仿宋" w:eastAsia="仿宋" w:cs="仿宋"/>
          <w:color w:val="auto"/>
          <w:spacing w:val="3"/>
          <w:sz w:val="28"/>
          <w:szCs w:val="28"/>
          <w:lang w:eastAsia="zh-CN"/>
        </w:rPr>
        <w:t>4</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4分</w:t>
      </w:r>
    </w:p>
    <w:p w14:paraId="752BE433">
      <w:pPr>
        <w:widowControl w:val="0"/>
        <w:overflowPunct w:val="0"/>
        <w:snapToGrid/>
        <w:spacing w:line="360"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经评价小组走访调查，石狮市城市管理和综合执法局目前正在开展“环卫一体化”项目及“农村环境整治（沿海五镇主要道路清扫保洁绿化养护项目）”项目，该项目都包含对当地环境卫生的整治，能够有效促进当地环境卫生情况。评价小组发放58份问卷，有55份认为能够大幅促进当地环境卫生情况。</w:t>
      </w:r>
      <w:r>
        <w:rPr>
          <w:rFonts w:ascii="仿宋" w:hAnsi="仿宋" w:eastAsia="仿宋" w:cs="仿宋"/>
          <w:color w:val="auto"/>
          <w:spacing w:val="3"/>
          <w:sz w:val="28"/>
          <w:szCs w:val="28"/>
          <w:lang w:eastAsia="zh-CN"/>
        </w:rPr>
        <w:t>根据评分标准</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得分</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分。</w:t>
      </w:r>
    </w:p>
    <w:p w14:paraId="2FDE645A">
      <w:pPr>
        <w:spacing w:line="360" w:lineRule="auto"/>
        <w:ind w:firstLine="572" w:firstLineChars="200"/>
        <w:outlineLvl w:val="3"/>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（3）促进当地绿化情况（</w:t>
      </w:r>
      <w:r>
        <w:rPr>
          <w:rFonts w:ascii="仿宋" w:hAnsi="仿宋" w:eastAsia="仿宋" w:cs="仿宋"/>
          <w:color w:val="auto"/>
          <w:spacing w:val="3"/>
          <w:sz w:val="28"/>
          <w:szCs w:val="28"/>
          <w:lang w:eastAsia="zh-CN"/>
        </w:rPr>
        <w:t>4</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4分</w:t>
      </w:r>
    </w:p>
    <w:p w14:paraId="01BC92DC">
      <w:pPr>
        <w:widowControl w:val="0"/>
        <w:overflowPunct w:val="0"/>
        <w:snapToGrid/>
        <w:spacing w:line="360"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经评价小组走访调查，石狮市城市管理和综合执法局目前正在开展“农村环境整治（沿海五镇主要道路清扫保洁绿化养护项目）”项目，该项目不仅整治环境卫生，也对道路绿植绿化进行专项的养护工作，能够有效促进当地绿化情况。评价小组发放58份问卷，有51份认为能够大幅促进当地绿化情况。</w:t>
      </w:r>
      <w:r>
        <w:rPr>
          <w:rFonts w:ascii="仿宋" w:hAnsi="仿宋" w:eastAsia="仿宋" w:cs="仿宋"/>
          <w:color w:val="auto"/>
          <w:spacing w:val="3"/>
          <w:sz w:val="28"/>
          <w:szCs w:val="28"/>
          <w:lang w:eastAsia="zh-CN"/>
        </w:rPr>
        <w:t>根据评分标准</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得分</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分。</w:t>
      </w:r>
    </w:p>
    <w:p w14:paraId="3A5AC44F">
      <w:pPr>
        <w:widowControl w:val="0"/>
        <w:overflowPunct w:val="0"/>
        <w:snapToGrid/>
        <w:spacing w:line="408" w:lineRule="auto"/>
        <w:ind w:firstLine="572" w:firstLineChars="200"/>
        <w:jc w:val="both"/>
        <w:outlineLvl w:val="2"/>
        <w:rPr>
          <w:rFonts w:hint="eastAsia" w:ascii="仿宋" w:hAnsi="仿宋" w:eastAsia="仿宋" w:cs="仿宋"/>
          <w:color w:val="auto"/>
          <w:spacing w:val="3"/>
          <w:sz w:val="28"/>
          <w:szCs w:val="28"/>
          <w:lang w:eastAsia="zh-CN"/>
        </w:rPr>
      </w:pPr>
      <w:bookmarkStart w:id="184" w:name="_Toc208840349"/>
      <w:r>
        <w:rPr>
          <w:rFonts w:hint="eastAsia" w:ascii="仿宋" w:hAnsi="仿宋" w:eastAsia="仿宋" w:cs="仿宋"/>
          <w:color w:val="auto"/>
          <w:spacing w:val="3"/>
          <w:sz w:val="28"/>
          <w:szCs w:val="28"/>
          <w:lang w:eastAsia="zh-CN"/>
        </w:rPr>
        <w:t>3.</w:t>
      </w:r>
      <w:r>
        <w:rPr>
          <w:rFonts w:ascii="仿宋" w:hAnsi="仿宋" w:eastAsia="仿宋" w:cs="仿宋"/>
          <w:color w:val="auto"/>
          <w:spacing w:val="3"/>
          <w:sz w:val="28"/>
          <w:szCs w:val="28"/>
          <w:lang w:eastAsia="zh-CN"/>
        </w:rPr>
        <w:t>满意度（</w:t>
      </w:r>
      <w:r>
        <w:rPr>
          <w:rFonts w:hint="eastAsia" w:ascii="仿宋" w:hAnsi="仿宋" w:eastAsia="仿宋" w:cs="仿宋"/>
          <w:color w:val="auto"/>
          <w:spacing w:val="3"/>
          <w:sz w:val="28"/>
          <w:szCs w:val="28"/>
          <w:lang w:eastAsia="zh-CN"/>
        </w:rPr>
        <w:t>总分4</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，得分2分</w:t>
      </w:r>
      <w:r>
        <w:rPr>
          <w:rFonts w:ascii="仿宋" w:hAnsi="仿宋" w:eastAsia="仿宋" w:cs="仿宋"/>
          <w:color w:val="auto"/>
          <w:spacing w:val="3"/>
          <w:sz w:val="28"/>
          <w:szCs w:val="28"/>
          <w:lang w:eastAsia="zh-CN"/>
        </w:rPr>
        <w:t>）</w:t>
      </w:r>
      <w:bookmarkEnd w:id="183"/>
      <w:bookmarkEnd w:id="184"/>
    </w:p>
    <w:p w14:paraId="4729E1FE">
      <w:pPr>
        <w:widowControl w:val="0"/>
        <w:overflowPunct w:val="0"/>
        <w:snapToGrid/>
        <w:spacing w:line="408" w:lineRule="auto"/>
        <w:ind w:firstLine="572" w:firstLineChars="200"/>
        <w:jc w:val="both"/>
        <w:outlineLvl w:val="3"/>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（1）满意度（4分）</w:t>
      </w:r>
      <w:r>
        <w:rPr>
          <w:rFonts w:ascii="仿宋" w:hAnsi="仿宋" w:eastAsia="仿宋" w:cs="仿宋"/>
          <w:color w:val="auto"/>
          <w:spacing w:val="3"/>
          <w:sz w:val="28"/>
          <w:szCs w:val="28"/>
          <w:lang w:eastAsia="zh-CN"/>
        </w:rPr>
        <w:t>：得分为</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p>
    <w:p w14:paraId="2CCFAF35">
      <w:pPr>
        <w:widowControl w:val="0"/>
        <w:overflowPunct w:val="0"/>
        <w:snapToGrid/>
        <w:spacing w:line="408" w:lineRule="auto"/>
        <w:ind w:firstLine="572" w:firstLineChars="200"/>
        <w:jc w:val="both"/>
        <w:rPr>
          <w:rFonts w:hint="eastAsia" w:ascii="仿宋" w:hAnsi="仿宋" w:eastAsia="仿宋" w:cs="仿宋"/>
          <w:color w:val="auto"/>
          <w:spacing w:val="-2"/>
          <w:sz w:val="28"/>
          <w:szCs w:val="28"/>
          <w:lang w:eastAsia="zh-CN"/>
          <w14:textOutline w14:w="5105" w14:cap="sq" w14:cmpd="sng" w14:algn="ctr">
            <w14:solidFill>
              <w14:srgbClr w14:val="000000"/>
            </w14:solidFill>
            <w14:prstDash w14:val="solid"/>
            <w14:bevel/>
          </w14:textOutline>
        </w:rPr>
      </w:pPr>
      <w:r>
        <w:rPr>
          <w:rFonts w:hint="eastAsia" w:ascii="仿宋" w:hAnsi="仿宋" w:eastAsia="仿宋" w:cs="仿宋"/>
          <w:color w:val="auto"/>
          <w:spacing w:val="3"/>
          <w:sz w:val="28"/>
          <w:szCs w:val="28"/>
          <w:lang w:eastAsia="zh-CN"/>
        </w:rPr>
        <w:t>通过评价小组调查了解，在2024年度对于道路路灯维护项目上，2024年共计投诉</w:t>
      </w:r>
      <w:r>
        <w:rPr>
          <w:rFonts w:ascii="仿宋" w:hAnsi="仿宋" w:eastAsia="仿宋" w:cs="仿宋"/>
          <w:color w:val="auto"/>
          <w:spacing w:val="3"/>
          <w:sz w:val="28"/>
          <w:szCs w:val="28"/>
          <w:lang w:eastAsia="zh-CN"/>
        </w:rPr>
        <w:t>237</w:t>
      </w:r>
      <w:r>
        <w:rPr>
          <w:rFonts w:hint="eastAsia" w:ascii="仿宋" w:hAnsi="仿宋" w:eastAsia="仿宋" w:cs="仿宋"/>
          <w:color w:val="auto"/>
          <w:spacing w:val="3"/>
          <w:sz w:val="28"/>
          <w:szCs w:val="28"/>
          <w:lang w:eastAsia="zh-CN"/>
        </w:rPr>
        <w:t>件，其中不满意</w:t>
      </w: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件</w:t>
      </w:r>
      <w:r>
        <w:rPr>
          <w:rFonts w:ascii="仿宋" w:hAnsi="仿宋" w:eastAsia="仿宋" w:cs="仿宋"/>
          <w:color w:val="auto"/>
          <w:spacing w:val="3"/>
          <w:sz w:val="28"/>
          <w:szCs w:val="28"/>
          <w:lang w:eastAsia="zh-CN"/>
        </w:rPr>
        <w:t>。根据评分标准，此项得分</w:t>
      </w:r>
      <w:r>
        <w:rPr>
          <w:rFonts w:hint="eastAsia" w:ascii="仿宋" w:hAnsi="仿宋" w:eastAsia="仿宋" w:cs="仿宋"/>
          <w:color w:val="auto"/>
          <w:spacing w:val="3"/>
          <w:sz w:val="28"/>
          <w:szCs w:val="28"/>
          <w:lang w:eastAsia="zh-CN"/>
        </w:rPr>
        <w:t>2</w:t>
      </w:r>
      <w:r>
        <w:rPr>
          <w:rFonts w:ascii="仿宋" w:hAnsi="仿宋" w:eastAsia="仿宋" w:cs="仿宋"/>
          <w:color w:val="auto"/>
          <w:spacing w:val="3"/>
          <w:sz w:val="28"/>
          <w:szCs w:val="28"/>
          <w:lang w:eastAsia="zh-CN"/>
        </w:rPr>
        <w:t>分</w:t>
      </w:r>
      <w:r>
        <w:rPr>
          <w:rFonts w:hint="eastAsia" w:ascii="仿宋" w:hAnsi="仿宋" w:eastAsia="仿宋" w:cs="仿宋"/>
          <w:color w:val="auto"/>
          <w:spacing w:val="3"/>
          <w:sz w:val="28"/>
          <w:szCs w:val="28"/>
          <w:lang w:eastAsia="zh-CN"/>
        </w:rPr>
        <w:t>，扣2分</w:t>
      </w:r>
      <w:r>
        <w:rPr>
          <w:rFonts w:ascii="仿宋" w:hAnsi="仿宋" w:eastAsia="仿宋" w:cs="仿宋"/>
          <w:color w:val="auto"/>
          <w:spacing w:val="3"/>
          <w:sz w:val="28"/>
          <w:szCs w:val="28"/>
          <w:lang w:eastAsia="zh-CN"/>
        </w:rPr>
        <w:t>。</w:t>
      </w:r>
    </w:p>
    <w:p w14:paraId="3681473E">
      <w:pPr>
        <w:widowControl w:val="0"/>
        <w:overflowPunct w:val="0"/>
        <w:snapToGrid/>
        <w:spacing w:line="408" w:lineRule="auto"/>
        <w:ind w:firstLine="554" w:firstLineChars="200"/>
        <w:outlineLvl w:val="0"/>
        <w:rPr>
          <w:rFonts w:hint="eastAsia" w:ascii="仿宋" w:hAnsi="仿宋" w:eastAsia="仿宋" w:cs="仿宋"/>
          <w:b/>
          <w:color w:val="auto"/>
          <w:sz w:val="28"/>
          <w:szCs w:val="28"/>
          <w:lang w:eastAsia="zh-CN"/>
        </w:rPr>
      </w:pPr>
      <w:bookmarkStart w:id="185" w:name="bookmark35"/>
      <w:bookmarkEnd w:id="185"/>
      <w:bookmarkStart w:id="186" w:name="_Toc11487"/>
      <w:bookmarkStart w:id="187" w:name="_Toc181558034"/>
      <w:bookmarkStart w:id="188" w:name="_Toc208840350"/>
      <w:r>
        <w:rPr>
          <w:rFonts w:hint="eastAsia" w:ascii="仿宋" w:hAnsi="仿宋" w:eastAsia="仿宋" w:cs="仿宋"/>
          <w:b/>
          <w:color w:val="auto"/>
          <w:spacing w:val="-2"/>
          <w:sz w:val="28"/>
          <w:szCs w:val="28"/>
          <w:lang w:eastAsia="zh-CN"/>
          <w14:textOutline w14:w="5105" w14:cap="sq" w14:cmpd="sng" w14:algn="ctr">
            <w14:solidFill>
              <w14:srgbClr w14:val="333333"/>
            </w14:solidFill>
            <w14:prstDash w14:val="solid"/>
            <w14:bevel/>
          </w14:textOutline>
        </w:rPr>
        <w:t>七、评价结论及绩效分析</w:t>
      </w:r>
      <w:bookmarkEnd w:id="186"/>
      <w:bookmarkEnd w:id="187"/>
      <w:bookmarkEnd w:id="188"/>
    </w:p>
    <w:p w14:paraId="1896D7D6">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189" w:name="bookmark36"/>
      <w:bookmarkEnd w:id="189"/>
      <w:bookmarkStart w:id="190" w:name="_Toc19472"/>
      <w:bookmarkStart w:id="191" w:name="_Toc181558035"/>
      <w:bookmarkStart w:id="192" w:name="_Toc208840351"/>
      <w:r>
        <w:rPr>
          <w:rFonts w:hint="eastAsia" w:ascii="仿宋" w:hAnsi="仿宋" w:eastAsia="仿宋" w:cs="仿宋"/>
          <w:b/>
          <w:color w:val="auto"/>
          <w:spacing w:val="3"/>
          <w:sz w:val="28"/>
          <w:szCs w:val="28"/>
          <w:lang w:eastAsia="zh-CN"/>
        </w:rPr>
        <w:t>（一）绩效评价结论</w:t>
      </w:r>
      <w:bookmarkEnd w:id="190"/>
      <w:bookmarkEnd w:id="191"/>
      <w:bookmarkEnd w:id="192"/>
    </w:p>
    <w:p w14:paraId="6DE2FD10">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评价小组通过评价指标体系及评分标准，从决策、管理、履职产出、履职效益以及满意度五个方面着手，对2024年度石狮市城市管理和综合执法局部门整体支出进行客观评价，最终评分结果：总得分为</w:t>
      </w:r>
      <w:r>
        <w:rPr>
          <w:rFonts w:ascii="仿宋" w:hAnsi="仿宋" w:eastAsia="仿宋" w:cs="仿宋"/>
          <w:color w:val="auto"/>
          <w:spacing w:val="3"/>
          <w:sz w:val="28"/>
          <w:szCs w:val="28"/>
          <w:lang w:eastAsia="zh-CN"/>
        </w:rPr>
        <w:t>8</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9</w:t>
      </w:r>
      <w:r>
        <w:rPr>
          <w:rFonts w:ascii="仿宋" w:hAnsi="仿宋" w:eastAsia="仿宋" w:cs="仿宋"/>
          <w:color w:val="auto"/>
          <w:spacing w:val="3"/>
          <w:sz w:val="28"/>
          <w:szCs w:val="28"/>
          <w:lang w:eastAsia="zh-CN"/>
        </w:rPr>
        <w:t>9</w:t>
      </w:r>
      <w:r>
        <w:rPr>
          <w:rFonts w:hint="eastAsia" w:ascii="仿宋" w:hAnsi="仿宋" w:eastAsia="仿宋" w:cs="仿宋"/>
          <w:color w:val="auto"/>
          <w:spacing w:val="3"/>
          <w:sz w:val="28"/>
          <w:szCs w:val="28"/>
          <w:lang w:eastAsia="zh-CN"/>
        </w:rPr>
        <w:t>分，评价等级为“良好”。</w:t>
      </w:r>
    </w:p>
    <w:p w14:paraId="3813443A">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193" w:name="_Toc181558036"/>
      <w:bookmarkStart w:id="194" w:name="_Toc11279"/>
      <w:bookmarkStart w:id="195" w:name="_Toc208840352"/>
      <w:r>
        <w:rPr>
          <w:rFonts w:hint="eastAsia" w:ascii="仿宋" w:hAnsi="仿宋" w:eastAsia="仿宋" w:cs="仿宋"/>
          <w:b/>
          <w:color w:val="auto"/>
          <w:spacing w:val="3"/>
          <w:sz w:val="28"/>
          <w:szCs w:val="28"/>
          <w:lang w:eastAsia="zh-CN"/>
        </w:rPr>
        <w:t>（二）扣分项目</w:t>
      </w:r>
      <w:bookmarkEnd w:id="193"/>
      <w:bookmarkEnd w:id="194"/>
      <w:bookmarkEnd w:id="195"/>
    </w:p>
    <w:p w14:paraId="562D30D2">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2024年度石狮市城市管理和综合执法局部门整体支出绩效评价扣分项目有绩效目标合理性扣</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分，预算执行率扣</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分，预算调整率扣</w:t>
      </w: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分，结转结余率扣</w:t>
      </w:r>
      <w:r>
        <w:rPr>
          <w:rFonts w:ascii="仿宋" w:hAnsi="仿宋" w:eastAsia="仿宋" w:cs="仿宋"/>
          <w:color w:val="auto"/>
          <w:spacing w:val="3"/>
          <w:sz w:val="28"/>
          <w:szCs w:val="28"/>
          <w:lang w:eastAsia="zh-CN"/>
        </w:rPr>
        <w:t>0.01</w:t>
      </w:r>
      <w:r>
        <w:rPr>
          <w:rFonts w:hint="eastAsia" w:ascii="仿宋" w:hAnsi="仿宋" w:eastAsia="仿宋" w:cs="仿宋"/>
          <w:color w:val="auto"/>
          <w:spacing w:val="3"/>
          <w:sz w:val="28"/>
          <w:szCs w:val="28"/>
          <w:lang w:eastAsia="zh-CN"/>
        </w:rPr>
        <w:t>分，会计核算规范性扣1分，合同管理规范性扣</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分，绿化浇洒采节水方式扣</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分，非居民计划用水超标情况扣</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分，路灯维护检查情况扣</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分，环卫考评情况扣</w:t>
      </w: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分，</w:t>
      </w:r>
      <w:r>
        <w:rPr>
          <w:rFonts w:ascii="仿宋" w:hAnsi="仿宋" w:eastAsia="仿宋" w:cs="仿宋"/>
          <w:color w:val="auto"/>
          <w:spacing w:val="3"/>
          <w:sz w:val="28"/>
          <w:szCs w:val="28"/>
          <w:lang w:eastAsia="zh-CN"/>
        </w:rPr>
        <w:t>2024</w:t>
      </w:r>
      <w:r>
        <w:rPr>
          <w:rFonts w:hint="eastAsia" w:ascii="仿宋" w:hAnsi="仿宋" w:eastAsia="仿宋" w:cs="仿宋"/>
          <w:color w:val="auto"/>
          <w:spacing w:val="3"/>
          <w:sz w:val="28"/>
          <w:szCs w:val="28"/>
          <w:lang w:eastAsia="zh-CN"/>
        </w:rPr>
        <w:t>年度单位绩效考评结果扣</w:t>
      </w: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分，群众对城管局的满意度情况扣</w:t>
      </w: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分，共计扣</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5</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0</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分</w:t>
      </w:r>
      <w:bookmarkStart w:id="196" w:name="_Toc6291"/>
      <w:bookmarkStart w:id="197" w:name="_Toc181558037"/>
      <w:r>
        <w:rPr>
          <w:rFonts w:hint="eastAsia" w:ascii="仿宋" w:hAnsi="仿宋" w:eastAsia="仿宋" w:cs="仿宋"/>
          <w:color w:val="auto"/>
          <w:spacing w:val="3"/>
          <w:sz w:val="28"/>
          <w:szCs w:val="28"/>
          <w:lang w:eastAsia="zh-CN"/>
        </w:rPr>
        <w:t>，得分</w:t>
      </w:r>
      <w:r>
        <w:rPr>
          <w:rFonts w:ascii="仿宋" w:hAnsi="仿宋" w:eastAsia="仿宋" w:cs="仿宋"/>
          <w:color w:val="auto"/>
          <w:spacing w:val="3"/>
          <w:sz w:val="28"/>
          <w:szCs w:val="28"/>
          <w:lang w:eastAsia="zh-CN"/>
        </w:rPr>
        <w:t>8</w:t>
      </w:r>
      <w:r>
        <w:rPr>
          <w:rFonts w:hint="eastAsia" w:ascii="仿宋" w:hAnsi="仿宋" w:eastAsia="仿宋" w:cs="仿宋"/>
          <w:color w:val="auto"/>
          <w:spacing w:val="3"/>
          <w:sz w:val="28"/>
          <w:szCs w:val="28"/>
          <w:lang w:eastAsia="zh-CN"/>
        </w:rPr>
        <w:t>4</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9</w:t>
      </w:r>
      <w:r>
        <w:rPr>
          <w:rFonts w:ascii="仿宋" w:hAnsi="仿宋" w:eastAsia="仿宋" w:cs="仿宋"/>
          <w:color w:val="auto"/>
          <w:spacing w:val="3"/>
          <w:sz w:val="28"/>
          <w:szCs w:val="28"/>
          <w:lang w:eastAsia="zh-CN"/>
        </w:rPr>
        <w:t>9</w:t>
      </w:r>
      <w:r>
        <w:rPr>
          <w:rFonts w:hint="eastAsia" w:ascii="仿宋" w:hAnsi="仿宋" w:eastAsia="仿宋" w:cs="仿宋"/>
          <w:color w:val="auto"/>
          <w:spacing w:val="3"/>
          <w:sz w:val="28"/>
          <w:szCs w:val="28"/>
          <w:lang w:eastAsia="zh-CN"/>
        </w:rPr>
        <w:t>分。</w:t>
      </w:r>
    </w:p>
    <w:p w14:paraId="1EB6DAA2">
      <w:pPr>
        <w:widowControl w:val="0"/>
        <w:overflowPunct w:val="0"/>
        <w:snapToGrid/>
        <w:spacing w:line="408" w:lineRule="auto"/>
        <w:ind w:firstLine="550" w:firstLineChars="200"/>
        <w:jc w:val="both"/>
        <w:outlineLvl w:val="0"/>
        <w:rPr>
          <w:rFonts w:hint="eastAsia" w:ascii="仿宋" w:hAnsi="仿宋" w:eastAsia="仿宋" w:cs="仿宋"/>
          <w:b/>
          <w:color w:val="auto"/>
          <w:spacing w:val="-1"/>
          <w:sz w:val="28"/>
          <w:szCs w:val="28"/>
          <w:lang w:eastAsia="zh-CN"/>
          <w14:textOutline w14:w="5105" w14:cap="sq" w14:cmpd="sng" w14:algn="ctr">
            <w14:solidFill>
              <w14:srgbClr w14:val="000000"/>
            </w14:solidFill>
            <w14:prstDash w14:val="solid"/>
            <w14:bevel/>
          </w14:textOutline>
        </w:rPr>
      </w:pPr>
      <w:bookmarkStart w:id="198" w:name="_Toc208840353"/>
      <w:r>
        <w:rPr>
          <w:rFonts w:hint="eastAsia" w:ascii="仿宋" w:hAnsi="仿宋" w:eastAsia="仿宋" w:cs="仿宋"/>
          <w:b/>
          <w:color w:val="auto"/>
          <w:spacing w:val="-3"/>
          <w:sz w:val="28"/>
          <w:szCs w:val="28"/>
          <w:lang w:eastAsia="zh-CN"/>
          <w14:textOutline w14:w="5105" w14:cap="sq" w14:cmpd="sng" w14:algn="ctr">
            <w14:solidFill>
              <w14:srgbClr w14:val="000000"/>
            </w14:solidFill>
            <w14:prstDash w14:val="solid"/>
            <w14:bevel/>
          </w14:textOutline>
        </w:rPr>
        <w:t>八、</w:t>
      </w:r>
      <w:r>
        <w:rPr>
          <w:rFonts w:hint="eastAsia" w:ascii="仿宋" w:hAnsi="仿宋" w:eastAsia="仿宋" w:cs="仿宋"/>
          <w:b/>
          <w:color w:val="auto"/>
          <w:spacing w:val="-1"/>
          <w:sz w:val="28"/>
          <w:szCs w:val="28"/>
          <w:lang w:eastAsia="zh-CN"/>
          <w14:textOutline w14:w="5105" w14:cap="sq" w14:cmpd="sng" w14:algn="ctr">
            <w14:solidFill>
              <w14:srgbClr w14:val="000000"/>
            </w14:solidFill>
            <w14:prstDash w14:val="solid"/>
            <w14:bevel/>
          </w14:textOutline>
        </w:rPr>
        <w:t>主要成效</w:t>
      </w:r>
      <w:bookmarkEnd w:id="196"/>
      <w:bookmarkEnd w:id="197"/>
      <w:bookmarkEnd w:id="198"/>
    </w:p>
    <w:p w14:paraId="67EE335E">
      <w:pPr>
        <w:widowControl w:val="0"/>
        <w:overflowPunct w:val="0"/>
        <w:snapToGrid/>
        <w:spacing w:line="408" w:lineRule="auto"/>
        <w:ind w:firstLine="572" w:firstLineChars="200"/>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石狮市城市管理和综合执法局取得的主要成效表现在：</w:t>
      </w:r>
      <w:r>
        <w:rPr>
          <w:rFonts w:hint="eastAsia" w:ascii="仿宋" w:hAnsi="仿宋" w:eastAsia="仿宋" w:cs="仿宋"/>
          <w:b/>
          <w:bCs/>
          <w:color w:val="auto"/>
          <w:spacing w:val="3"/>
          <w:sz w:val="28"/>
          <w:szCs w:val="28"/>
          <w:lang w:eastAsia="zh-CN"/>
        </w:rPr>
        <w:t>（一）严厉查处违法违规违建项目。</w:t>
      </w:r>
      <w:r>
        <w:rPr>
          <w:rFonts w:ascii="仿宋" w:hAnsi="仿宋" w:eastAsia="仿宋" w:cs="仿宋"/>
          <w:color w:val="auto"/>
          <w:spacing w:val="3"/>
          <w:sz w:val="28"/>
          <w:szCs w:val="28"/>
          <w:lang w:eastAsia="zh-CN"/>
        </w:rPr>
        <w:t>2024</w:t>
      </w:r>
      <w:r>
        <w:rPr>
          <w:rFonts w:hint="eastAsia" w:ascii="仿宋" w:hAnsi="仿宋" w:eastAsia="仿宋" w:cs="仿宋"/>
          <w:color w:val="auto"/>
          <w:spacing w:val="3"/>
          <w:sz w:val="28"/>
          <w:szCs w:val="28"/>
          <w:lang w:eastAsia="zh-CN"/>
        </w:rPr>
        <w:t>年以来，共查处新增违法建设案件</w:t>
      </w:r>
      <w:r>
        <w:rPr>
          <w:rFonts w:ascii="仿宋" w:hAnsi="仿宋" w:eastAsia="仿宋" w:cs="仿宋"/>
          <w:color w:val="auto"/>
          <w:spacing w:val="3"/>
          <w:sz w:val="28"/>
          <w:szCs w:val="28"/>
          <w:lang w:eastAsia="zh-CN"/>
        </w:rPr>
        <w:t>139</w:t>
      </w:r>
      <w:r>
        <w:rPr>
          <w:rFonts w:hint="eastAsia" w:ascii="仿宋" w:hAnsi="仿宋" w:eastAsia="仿宋" w:cs="仿宋"/>
          <w:color w:val="auto"/>
          <w:spacing w:val="3"/>
          <w:sz w:val="28"/>
          <w:szCs w:val="28"/>
          <w:lang w:eastAsia="zh-CN"/>
        </w:rPr>
        <w:t>宗，违建面积</w:t>
      </w:r>
      <w:r>
        <w:rPr>
          <w:rFonts w:ascii="仿宋" w:hAnsi="仿宋" w:eastAsia="仿宋" w:cs="仿宋"/>
          <w:color w:val="auto"/>
          <w:spacing w:val="3"/>
          <w:sz w:val="28"/>
          <w:szCs w:val="28"/>
          <w:lang w:eastAsia="zh-CN"/>
        </w:rPr>
        <w:t>15906</w:t>
      </w:r>
      <w:r>
        <w:rPr>
          <w:rFonts w:hint="eastAsia" w:ascii="仿宋" w:hAnsi="仿宋" w:eastAsia="仿宋" w:cs="仿宋"/>
          <w:color w:val="auto"/>
          <w:spacing w:val="3"/>
          <w:sz w:val="28"/>
          <w:szCs w:val="28"/>
          <w:lang w:eastAsia="zh-CN"/>
        </w:rPr>
        <w:t>平方米；组织拆除违法建设</w:t>
      </w:r>
      <w:r>
        <w:rPr>
          <w:rFonts w:ascii="仿宋" w:hAnsi="仿宋" w:eastAsia="仿宋" w:cs="仿宋"/>
          <w:color w:val="auto"/>
          <w:spacing w:val="3"/>
          <w:sz w:val="28"/>
          <w:szCs w:val="28"/>
          <w:lang w:eastAsia="zh-CN"/>
        </w:rPr>
        <w:t>71</w:t>
      </w:r>
      <w:r>
        <w:rPr>
          <w:rFonts w:hint="eastAsia" w:ascii="仿宋" w:hAnsi="仿宋" w:eastAsia="仿宋" w:cs="仿宋"/>
          <w:color w:val="auto"/>
          <w:spacing w:val="3"/>
          <w:sz w:val="28"/>
          <w:szCs w:val="28"/>
          <w:lang w:eastAsia="zh-CN"/>
        </w:rPr>
        <w:t>宗（含跟踪发现继续抢建的违建），拆除面积</w:t>
      </w:r>
      <w:r>
        <w:rPr>
          <w:rFonts w:ascii="仿宋" w:hAnsi="仿宋" w:eastAsia="仿宋" w:cs="仿宋"/>
          <w:color w:val="auto"/>
          <w:spacing w:val="3"/>
          <w:sz w:val="28"/>
          <w:szCs w:val="28"/>
          <w:lang w:eastAsia="zh-CN"/>
        </w:rPr>
        <w:t>5431</w:t>
      </w:r>
      <w:r>
        <w:rPr>
          <w:rFonts w:hint="eastAsia" w:ascii="仿宋" w:hAnsi="仿宋" w:eastAsia="仿宋" w:cs="仿宋"/>
          <w:color w:val="auto"/>
          <w:spacing w:val="3"/>
          <w:sz w:val="28"/>
          <w:szCs w:val="28"/>
          <w:lang w:eastAsia="zh-CN"/>
        </w:rPr>
        <w:t>平方米；违法建设立案处罚</w:t>
      </w:r>
      <w:r>
        <w:rPr>
          <w:rFonts w:ascii="仿宋" w:hAnsi="仿宋" w:eastAsia="仿宋" w:cs="仿宋"/>
          <w:color w:val="auto"/>
          <w:spacing w:val="3"/>
          <w:sz w:val="28"/>
          <w:szCs w:val="28"/>
          <w:lang w:eastAsia="zh-CN"/>
        </w:rPr>
        <w:t>27</w:t>
      </w:r>
      <w:r>
        <w:rPr>
          <w:rFonts w:hint="eastAsia" w:ascii="仿宋" w:hAnsi="仿宋" w:eastAsia="仿宋" w:cs="仿宋"/>
          <w:color w:val="auto"/>
          <w:spacing w:val="3"/>
          <w:sz w:val="28"/>
          <w:szCs w:val="28"/>
          <w:lang w:eastAsia="zh-CN"/>
        </w:rPr>
        <w:t>起，处罚金额</w:t>
      </w:r>
      <w:r>
        <w:rPr>
          <w:rFonts w:ascii="仿宋" w:hAnsi="仿宋" w:eastAsia="仿宋" w:cs="仿宋"/>
          <w:color w:val="auto"/>
          <w:spacing w:val="3"/>
          <w:sz w:val="28"/>
          <w:szCs w:val="28"/>
          <w:lang w:eastAsia="zh-CN"/>
        </w:rPr>
        <w:t>197.108672</w:t>
      </w:r>
      <w:r>
        <w:rPr>
          <w:rFonts w:hint="eastAsia" w:ascii="仿宋" w:hAnsi="仿宋" w:eastAsia="仿宋" w:cs="仿宋"/>
          <w:color w:val="auto"/>
          <w:spacing w:val="3"/>
          <w:sz w:val="28"/>
          <w:szCs w:val="28"/>
          <w:lang w:eastAsia="zh-CN"/>
        </w:rPr>
        <w:t>万元；立案查处违法占地</w:t>
      </w:r>
      <w:r>
        <w:rPr>
          <w:rFonts w:ascii="仿宋" w:hAnsi="仿宋" w:eastAsia="仿宋" w:cs="仿宋"/>
          <w:color w:val="auto"/>
          <w:spacing w:val="3"/>
          <w:sz w:val="28"/>
          <w:szCs w:val="28"/>
          <w:lang w:eastAsia="zh-CN"/>
        </w:rPr>
        <w:t>1</w:t>
      </w:r>
      <w:r>
        <w:rPr>
          <w:rFonts w:hint="eastAsia" w:ascii="仿宋" w:hAnsi="仿宋" w:eastAsia="仿宋" w:cs="仿宋"/>
          <w:color w:val="auto"/>
          <w:spacing w:val="3"/>
          <w:sz w:val="28"/>
          <w:szCs w:val="28"/>
          <w:lang w:eastAsia="zh-CN"/>
        </w:rPr>
        <w:t>宗，破坏林地</w:t>
      </w:r>
      <w:r>
        <w:rPr>
          <w:rFonts w:ascii="仿宋" w:hAnsi="仿宋" w:eastAsia="仿宋" w:cs="仿宋"/>
          <w:color w:val="auto"/>
          <w:spacing w:val="3"/>
          <w:sz w:val="28"/>
          <w:szCs w:val="28"/>
          <w:lang w:eastAsia="zh-CN"/>
        </w:rPr>
        <w:t>2</w:t>
      </w:r>
      <w:r>
        <w:rPr>
          <w:rFonts w:hint="eastAsia" w:ascii="仿宋" w:hAnsi="仿宋" w:eastAsia="仿宋" w:cs="仿宋"/>
          <w:color w:val="auto"/>
          <w:spacing w:val="3"/>
          <w:sz w:val="28"/>
          <w:szCs w:val="28"/>
          <w:lang w:eastAsia="zh-CN"/>
        </w:rPr>
        <w:t>宗，处罚金额</w:t>
      </w:r>
      <w:r>
        <w:rPr>
          <w:rFonts w:ascii="仿宋" w:hAnsi="仿宋" w:eastAsia="仿宋" w:cs="仿宋"/>
          <w:color w:val="auto"/>
          <w:spacing w:val="3"/>
          <w:sz w:val="28"/>
          <w:szCs w:val="28"/>
          <w:lang w:eastAsia="zh-CN"/>
        </w:rPr>
        <w:t>19.31</w:t>
      </w:r>
      <w:r>
        <w:rPr>
          <w:rFonts w:hint="eastAsia" w:ascii="仿宋" w:hAnsi="仿宋" w:eastAsia="仿宋" w:cs="仿宋"/>
          <w:color w:val="auto"/>
          <w:spacing w:val="3"/>
          <w:sz w:val="28"/>
          <w:szCs w:val="28"/>
          <w:lang w:eastAsia="zh-CN"/>
        </w:rPr>
        <w:t>万元。做到及时发现、及时制止、及时拆除，切实为城市更新建设提供良好环境。</w:t>
      </w:r>
      <w:r>
        <w:rPr>
          <w:rFonts w:hint="eastAsia" w:ascii="仿宋" w:hAnsi="仿宋" w:eastAsia="仿宋" w:cs="仿宋"/>
          <w:b/>
          <w:bCs/>
          <w:color w:val="auto"/>
          <w:spacing w:val="3"/>
          <w:sz w:val="28"/>
          <w:szCs w:val="28"/>
          <w:lang w:eastAsia="zh-CN"/>
        </w:rPr>
        <w:t>（二）强化市政设施管养</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对市政、公路设施加强常态化巡查工作，确保市政、公路设施运行正常。主要完成修复人行道约3303㎡、路面约12732㎡，维护公交站319座、路名牌143座；开展重点路段照明设施重点巡查，保证亮灯率，累计维修路灯4240盏，处理路灯杆漏电跳闸、路灯控制箱故障、电缆故障1086处；结合新一轮桥梁管养工作，完善桥梁巡查制度，累计完成桥梁常规定期检测94座、木栈桥大修3座等</w:t>
      </w:r>
      <w:r>
        <w:rPr>
          <w:rFonts w:hint="eastAsia" w:ascii="仿宋" w:hAnsi="仿宋" w:eastAsia="仿宋" w:cs="仿宋"/>
          <w:color w:val="auto"/>
          <w:spacing w:val="3"/>
          <w:sz w:val="28"/>
          <w:szCs w:val="28"/>
          <w:lang w:eastAsia="zh-CN"/>
        </w:rPr>
        <w:t>。</w:t>
      </w:r>
      <w:r>
        <w:rPr>
          <w:rFonts w:hint="eastAsia" w:ascii="仿宋" w:hAnsi="仿宋" w:eastAsia="仿宋" w:cs="仿宋"/>
          <w:b/>
          <w:bCs/>
          <w:color w:val="auto"/>
          <w:spacing w:val="3"/>
          <w:sz w:val="28"/>
          <w:szCs w:val="28"/>
          <w:lang w:eastAsia="zh-CN"/>
        </w:rPr>
        <w:t>（三）持续优化市容环境。</w:t>
      </w:r>
      <w:r>
        <w:rPr>
          <w:rFonts w:hint="eastAsia" w:ascii="仿宋" w:hAnsi="仿宋" w:eastAsia="仿宋" w:cs="仿宋"/>
          <w:color w:val="auto"/>
          <w:spacing w:val="3"/>
          <w:sz w:val="28"/>
          <w:szCs w:val="28"/>
          <w:lang w:eastAsia="zh-CN"/>
        </w:rPr>
        <w:t>重点整治未规范安装使用油烟净化设备导致漏油跑烟、在禁止区域从事露天烧烤产生的油烟扰民等问题，开展现场督查，出动执法人员</w:t>
      </w:r>
      <w:r>
        <w:rPr>
          <w:rFonts w:ascii="仿宋" w:hAnsi="仿宋" w:eastAsia="仿宋" w:cs="仿宋"/>
          <w:color w:val="auto"/>
          <w:spacing w:val="3"/>
          <w:sz w:val="28"/>
          <w:szCs w:val="28"/>
          <w:lang w:eastAsia="zh-CN"/>
        </w:rPr>
        <w:t>4870</w:t>
      </w:r>
      <w:r>
        <w:rPr>
          <w:rFonts w:hint="eastAsia" w:ascii="仿宋" w:hAnsi="仿宋" w:eastAsia="仿宋" w:cs="仿宋"/>
          <w:color w:val="auto"/>
          <w:spacing w:val="3"/>
          <w:sz w:val="28"/>
          <w:szCs w:val="28"/>
          <w:lang w:eastAsia="zh-CN"/>
        </w:rPr>
        <w:t>人次，检查餐饮企业</w:t>
      </w:r>
      <w:r>
        <w:rPr>
          <w:rFonts w:ascii="仿宋" w:hAnsi="仿宋" w:eastAsia="仿宋" w:cs="仿宋"/>
          <w:color w:val="auto"/>
          <w:spacing w:val="3"/>
          <w:sz w:val="28"/>
          <w:szCs w:val="28"/>
          <w:lang w:eastAsia="zh-CN"/>
        </w:rPr>
        <w:t>3165</w:t>
      </w:r>
      <w:r>
        <w:rPr>
          <w:rFonts w:hint="eastAsia" w:ascii="仿宋" w:hAnsi="仿宋" w:eastAsia="仿宋" w:cs="仿宋"/>
          <w:color w:val="auto"/>
          <w:spacing w:val="3"/>
          <w:sz w:val="28"/>
          <w:szCs w:val="28"/>
          <w:lang w:eastAsia="zh-CN"/>
        </w:rPr>
        <w:t>家，发现整改问题</w:t>
      </w:r>
      <w:r>
        <w:rPr>
          <w:rFonts w:ascii="仿宋" w:hAnsi="仿宋" w:eastAsia="仿宋" w:cs="仿宋"/>
          <w:color w:val="auto"/>
          <w:spacing w:val="3"/>
          <w:sz w:val="28"/>
          <w:szCs w:val="28"/>
          <w:lang w:eastAsia="zh-CN"/>
        </w:rPr>
        <w:t>176</w:t>
      </w:r>
      <w:r>
        <w:rPr>
          <w:rFonts w:hint="eastAsia" w:ascii="仿宋" w:hAnsi="仿宋" w:eastAsia="仿宋" w:cs="仿宋"/>
          <w:color w:val="auto"/>
          <w:spacing w:val="3"/>
          <w:sz w:val="28"/>
          <w:szCs w:val="28"/>
          <w:lang w:eastAsia="zh-CN"/>
        </w:rPr>
        <w:t>个，发布宣传报道</w:t>
      </w:r>
      <w:r>
        <w:rPr>
          <w:rFonts w:ascii="仿宋" w:hAnsi="仿宋" w:eastAsia="仿宋" w:cs="仿宋"/>
          <w:color w:val="auto"/>
          <w:spacing w:val="3"/>
          <w:sz w:val="28"/>
          <w:szCs w:val="28"/>
          <w:lang w:eastAsia="zh-CN"/>
        </w:rPr>
        <w:t>130</w:t>
      </w:r>
      <w:r>
        <w:rPr>
          <w:rFonts w:hint="eastAsia" w:ascii="仿宋" w:hAnsi="仿宋" w:eastAsia="仿宋" w:cs="仿宋"/>
          <w:color w:val="auto"/>
          <w:spacing w:val="3"/>
          <w:sz w:val="28"/>
          <w:szCs w:val="28"/>
          <w:lang w:eastAsia="zh-CN"/>
        </w:rPr>
        <w:t>篇；2024年度共整治占道经营</w:t>
      </w:r>
      <w:r>
        <w:rPr>
          <w:rFonts w:ascii="仿宋" w:hAnsi="仿宋" w:eastAsia="仿宋" w:cs="仿宋"/>
          <w:color w:val="auto"/>
          <w:spacing w:val="3"/>
          <w:sz w:val="28"/>
          <w:szCs w:val="28"/>
          <w:lang w:eastAsia="zh-CN"/>
        </w:rPr>
        <w:t>6660</w:t>
      </w:r>
      <w:r>
        <w:rPr>
          <w:rFonts w:hint="eastAsia" w:ascii="仿宋" w:hAnsi="仿宋" w:eastAsia="仿宋" w:cs="仿宋"/>
          <w:color w:val="auto"/>
          <w:spacing w:val="3"/>
          <w:sz w:val="28"/>
          <w:szCs w:val="28"/>
          <w:lang w:eastAsia="zh-CN"/>
        </w:rPr>
        <w:t>起、堆物堆料</w:t>
      </w:r>
      <w:r>
        <w:rPr>
          <w:rFonts w:ascii="仿宋" w:hAnsi="仿宋" w:eastAsia="仿宋" w:cs="仿宋"/>
          <w:color w:val="auto"/>
          <w:spacing w:val="3"/>
          <w:sz w:val="28"/>
          <w:szCs w:val="28"/>
          <w:lang w:eastAsia="zh-CN"/>
        </w:rPr>
        <w:t>2444</w:t>
      </w:r>
      <w:r>
        <w:rPr>
          <w:rFonts w:hint="eastAsia" w:ascii="仿宋" w:hAnsi="仿宋" w:eastAsia="仿宋" w:cs="仿宋"/>
          <w:color w:val="auto"/>
          <w:spacing w:val="3"/>
          <w:sz w:val="28"/>
          <w:szCs w:val="28"/>
          <w:lang w:eastAsia="zh-CN"/>
        </w:rPr>
        <w:t>起、乱拉乱挂</w:t>
      </w:r>
      <w:r>
        <w:rPr>
          <w:rFonts w:ascii="仿宋" w:hAnsi="仿宋" w:eastAsia="仿宋" w:cs="仿宋"/>
          <w:color w:val="auto"/>
          <w:spacing w:val="3"/>
          <w:sz w:val="28"/>
          <w:szCs w:val="28"/>
          <w:lang w:eastAsia="zh-CN"/>
        </w:rPr>
        <w:t>1287</w:t>
      </w:r>
      <w:r>
        <w:rPr>
          <w:rFonts w:hint="eastAsia" w:ascii="仿宋" w:hAnsi="仿宋" w:eastAsia="仿宋" w:cs="仿宋"/>
          <w:color w:val="auto"/>
          <w:spacing w:val="3"/>
          <w:sz w:val="28"/>
          <w:szCs w:val="28"/>
          <w:lang w:eastAsia="zh-CN"/>
        </w:rPr>
        <w:t>起、占用停车位</w:t>
      </w:r>
      <w:r>
        <w:rPr>
          <w:rFonts w:ascii="仿宋" w:hAnsi="仿宋" w:eastAsia="仿宋" w:cs="仿宋"/>
          <w:color w:val="auto"/>
          <w:spacing w:val="3"/>
          <w:sz w:val="28"/>
          <w:szCs w:val="28"/>
          <w:lang w:eastAsia="zh-CN"/>
        </w:rPr>
        <w:t>132</w:t>
      </w:r>
      <w:r>
        <w:rPr>
          <w:rFonts w:hint="eastAsia" w:ascii="仿宋" w:hAnsi="仿宋" w:eastAsia="仿宋" w:cs="仿宋"/>
          <w:color w:val="auto"/>
          <w:spacing w:val="3"/>
          <w:sz w:val="28"/>
          <w:szCs w:val="28"/>
          <w:lang w:eastAsia="zh-CN"/>
        </w:rPr>
        <w:t>起，检查户外广告</w:t>
      </w:r>
      <w:r>
        <w:rPr>
          <w:rFonts w:ascii="仿宋" w:hAnsi="仿宋" w:eastAsia="仿宋" w:cs="仿宋"/>
          <w:color w:val="auto"/>
          <w:spacing w:val="3"/>
          <w:sz w:val="28"/>
          <w:szCs w:val="28"/>
          <w:lang w:eastAsia="zh-CN"/>
        </w:rPr>
        <w:t>3381</w:t>
      </w:r>
      <w:r>
        <w:rPr>
          <w:rFonts w:hint="eastAsia" w:ascii="仿宋" w:hAnsi="仿宋" w:eastAsia="仿宋" w:cs="仿宋"/>
          <w:color w:val="auto"/>
          <w:spacing w:val="3"/>
          <w:sz w:val="28"/>
          <w:szCs w:val="28"/>
          <w:lang w:eastAsia="zh-CN"/>
        </w:rPr>
        <w:t>块次，已整改隐患</w:t>
      </w:r>
      <w:r>
        <w:rPr>
          <w:rFonts w:ascii="仿宋" w:hAnsi="仿宋" w:eastAsia="仿宋" w:cs="仿宋"/>
          <w:color w:val="auto"/>
          <w:spacing w:val="3"/>
          <w:sz w:val="28"/>
          <w:szCs w:val="28"/>
          <w:lang w:eastAsia="zh-CN"/>
        </w:rPr>
        <w:t>218</w:t>
      </w:r>
      <w:r>
        <w:rPr>
          <w:rFonts w:hint="eastAsia" w:ascii="仿宋" w:hAnsi="仿宋" w:eastAsia="仿宋" w:cs="仿宋"/>
          <w:color w:val="auto"/>
          <w:spacing w:val="3"/>
          <w:sz w:val="28"/>
          <w:szCs w:val="28"/>
          <w:lang w:eastAsia="zh-CN"/>
        </w:rPr>
        <w:t>块。</w:t>
      </w:r>
      <w:r>
        <w:rPr>
          <w:rFonts w:hint="eastAsia" w:ascii="仿宋" w:hAnsi="仿宋" w:eastAsia="仿宋" w:cs="仿宋"/>
          <w:b/>
          <w:bCs/>
          <w:color w:val="auto"/>
          <w:spacing w:val="3"/>
          <w:sz w:val="28"/>
          <w:szCs w:val="28"/>
          <w:lang w:eastAsia="zh-CN"/>
        </w:rPr>
        <w:t>（四）提升环境卫生管理</w:t>
      </w:r>
      <w:r>
        <w:rPr>
          <w:rFonts w:hint="eastAsia" w:ascii="仿宋" w:hAnsi="仿宋" w:eastAsia="仿宋" w:cs="仿宋"/>
          <w:color w:val="auto"/>
          <w:spacing w:val="3"/>
          <w:sz w:val="28"/>
          <w:szCs w:val="28"/>
          <w:lang w:eastAsia="zh-CN"/>
        </w:rPr>
        <w:t>。加强两镇两办、村居日常监督，将薄弱村居卫生死角、房前屋后乱堆乱放、主次干道、空地整治等作为常态保洁内容。</w:t>
      </w:r>
      <w:r>
        <w:rPr>
          <w:rFonts w:ascii="仿宋" w:hAnsi="仿宋" w:eastAsia="仿宋" w:cs="仿宋"/>
          <w:color w:val="auto"/>
          <w:spacing w:val="3"/>
          <w:sz w:val="28"/>
          <w:szCs w:val="28"/>
          <w:lang w:eastAsia="zh-CN"/>
        </w:rPr>
        <w:t>2024</w:t>
      </w:r>
      <w:r>
        <w:rPr>
          <w:rFonts w:hint="eastAsia" w:ascii="仿宋" w:hAnsi="仿宋" w:eastAsia="仿宋" w:cs="仿宋"/>
          <w:color w:val="auto"/>
          <w:spacing w:val="3"/>
          <w:sz w:val="28"/>
          <w:szCs w:val="28"/>
          <w:lang w:eastAsia="zh-CN"/>
        </w:rPr>
        <w:t>年累计清理卫生死角</w:t>
      </w:r>
      <w:r>
        <w:rPr>
          <w:rFonts w:ascii="仿宋" w:hAnsi="仿宋" w:eastAsia="仿宋" w:cs="仿宋"/>
          <w:color w:val="auto"/>
          <w:spacing w:val="3"/>
          <w:sz w:val="28"/>
          <w:szCs w:val="28"/>
          <w:lang w:eastAsia="zh-CN"/>
        </w:rPr>
        <w:t>22003</w:t>
      </w:r>
      <w:r>
        <w:rPr>
          <w:rFonts w:hint="eastAsia" w:ascii="仿宋" w:hAnsi="仿宋" w:eastAsia="仿宋" w:cs="仿宋"/>
          <w:color w:val="auto"/>
          <w:spacing w:val="3"/>
          <w:sz w:val="28"/>
          <w:szCs w:val="28"/>
          <w:lang w:eastAsia="zh-CN"/>
        </w:rPr>
        <w:t>处，清理空地杂物</w:t>
      </w:r>
      <w:r>
        <w:rPr>
          <w:rFonts w:ascii="仿宋" w:hAnsi="仿宋" w:eastAsia="仿宋" w:cs="仿宋"/>
          <w:color w:val="auto"/>
          <w:spacing w:val="3"/>
          <w:sz w:val="28"/>
          <w:szCs w:val="28"/>
          <w:lang w:eastAsia="zh-CN"/>
        </w:rPr>
        <w:t>16548</w:t>
      </w:r>
      <w:r>
        <w:rPr>
          <w:rFonts w:hint="eastAsia" w:ascii="仿宋" w:hAnsi="仿宋" w:eastAsia="仿宋" w:cs="仿宋"/>
          <w:color w:val="auto"/>
          <w:spacing w:val="3"/>
          <w:sz w:val="28"/>
          <w:szCs w:val="28"/>
          <w:lang w:eastAsia="zh-CN"/>
        </w:rPr>
        <w:t>处，清除“牛皮癣”</w:t>
      </w:r>
      <w:r>
        <w:rPr>
          <w:rFonts w:ascii="仿宋" w:hAnsi="仿宋" w:eastAsia="仿宋" w:cs="仿宋"/>
          <w:color w:val="auto"/>
          <w:spacing w:val="3"/>
          <w:sz w:val="28"/>
          <w:szCs w:val="28"/>
          <w:lang w:eastAsia="zh-CN"/>
        </w:rPr>
        <w:t>249947</w:t>
      </w:r>
      <w:r>
        <w:rPr>
          <w:rFonts w:hint="eastAsia" w:ascii="仿宋" w:hAnsi="仿宋" w:eastAsia="仿宋" w:cs="仿宋"/>
          <w:color w:val="auto"/>
          <w:spacing w:val="3"/>
          <w:sz w:val="28"/>
          <w:szCs w:val="28"/>
          <w:lang w:eastAsia="zh-CN"/>
        </w:rPr>
        <w:t>张，清掏雨水箅</w:t>
      </w:r>
      <w:r>
        <w:rPr>
          <w:rFonts w:ascii="仿宋" w:hAnsi="仿宋" w:eastAsia="仿宋" w:cs="仿宋"/>
          <w:color w:val="auto"/>
          <w:spacing w:val="3"/>
          <w:sz w:val="28"/>
          <w:szCs w:val="28"/>
          <w:lang w:eastAsia="zh-CN"/>
        </w:rPr>
        <w:t>15800</w:t>
      </w:r>
      <w:r>
        <w:rPr>
          <w:rFonts w:hint="eastAsia" w:ascii="仿宋" w:hAnsi="仿宋" w:eastAsia="仿宋" w:cs="仿宋"/>
          <w:color w:val="auto"/>
          <w:spacing w:val="3"/>
          <w:sz w:val="28"/>
          <w:szCs w:val="28"/>
          <w:lang w:eastAsia="zh-CN"/>
        </w:rPr>
        <w:t>人次、清洗果皮箱垃圾桶</w:t>
      </w:r>
      <w:r>
        <w:rPr>
          <w:rFonts w:ascii="仿宋" w:hAnsi="仿宋" w:eastAsia="仿宋" w:cs="仿宋"/>
          <w:color w:val="auto"/>
          <w:spacing w:val="3"/>
          <w:sz w:val="28"/>
          <w:szCs w:val="28"/>
          <w:lang w:eastAsia="zh-CN"/>
        </w:rPr>
        <w:t>209963</w:t>
      </w:r>
      <w:r>
        <w:rPr>
          <w:rFonts w:hint="eastAsia" w:ascii="仿宋" w:hAnsi="仿宋" w:eastAsia="仿宋" w:cs="仿宋"/>
          <w:color w:val="auto"/>
          <w:spacing w:val="3"/>
          <w:sz w:val="28"/>
          <w:szCs w:val="28"/>
          <w:lang w:eastAsia="zh-CN"/>
        </w:rPr>
        <w:t>个，清洗公交站、指示牌等</w:t>
      </w:r>
      <w:r>
        <w:rPr>
          <w:rFonts w:ascii="仿宋" w:hAnsi="仿宋" w:eastAsia="仿宋" w:cs="仿宋"/>
          <w:color w:val="auto"/>
          <w:spacing w:val="3"/>
          <w:sz w:val="28"/>
          <w:szCs w:val="28"/>
          <w:lang w:eastAsia="zh-CN"/>
        </w:rPr>
        <w:t>4620</w:t>
      </w:r>
      <w:r>
        <w:rPr>
          <w:rFonts w:hint="eastAsia" w:ascii="仿宋" w:hAnsi="仿宋" w:eastAsia="仿宋" w:cs="仿宋"/>
          <w:color w:val="auto"/>
          <w:spacing w:val="3"/>
          <w:sz w:val="28"/>
          <w:szCs w:val="28"/>
          <w:lang w:eastAsia="zh-CN"/>
        </w:rPr>
        <w:t>次，开展环境卫生专项整治活动约</w:t>
      </w:r>
      <w:r>
        <w:rPr>
          <w:rFonts w:ascii="仿宋" w:hAnsi="仿宋" w:eastAsia="仿宋" w:cs="仿宋"/>
          <w:color w:val="auto"/>
          <w:spacing w:val="3"/>
          <w:sz w:val="28"/>
          <w:szCs w:val="28"/>
          <w:lang w:eastAsia="zh-CN"/>
        </w:rPr>
        <w:t>548</w:t>
      </w:r>
      <w:r>
        <w:rPr>
          <w:rFonts w:hint="eastAsia" w:ascii="仿宋" w:hAnsi="仿宋" w:eastAsia="仿宋" w:cs="仿宋"/>
          <w:color w:val="auto"/>
          <w:spacing w:val="3"/>
          <w:sz w:val="28"/>
          <w:szCs w:val="28"/>
          <w:lang w:eastAsia="zh-CN"/>
        </w:rPr>
        <w:t>场。</w:t>
      </w:r>
      <w:r>
        <w:rPr>
          <w:rFonts w:hint="eastAsia" w:ascii="仿宋" w:hAnsi="仿宋" w:eastAsia="仿宋" w:cs="仿宋"/>
          <w:b/>
          <w:bCs/>
          <w:color w:val="auto"/>
          <w:spacing w:val="3"/>
          <w:sz w:val="28"/>
          <w:szCs w:val="28"/>
          <w:lang w:eastAsia="zh-CN"/>
        </w:rPr>
        <w:t>（五）护好城市绿化成果</w:t>
      </w:r>
      <w:r>
        <w:rPr>
          <w:rFonts w:hint="eastAsia" w:ascii="仿宋" w:hAnsi="仿宋" w:eastAsia="仿宋" w:cs="仿宋"/>
          <w:color w:val="auto"/>
          <w:spacing w:val="3"/>
          <w:sz w:val="28"/>
          <w:szCs w:val="28"/>
          <w:lang w:eastAsia="zh-CN"/>
        </w:rPr>
        <w:t>。共计种植时花约</w:t>
      </w:r>
      <w:r>
        <w:rPr>
          <w:rFonts w:ascii="仿宋" w:hAnsi="仿宋" w:eastAsia="仿宋" w:cs="仿宋"/>
          <w:color w:val="auto"/>
          <w:spacing w:val="3"/>
          <w:sz w:val="28"/>
          <w:szCs w:val="28"/>
          <w:lang w:eastAsia="zh-CN"/>
        </w:rPr>
        <w:t>210</w:t>
      </w:r>
      <w:r>
        <w:rPr>
          <w:rFonts w:hint="eastAsia" w:ascii="仿宋" w:hAnsi="仿宋" w:eastAsia="仿宋" w:cs="仿宋"/>
          <w:color w:val="auto"/>
          <w:spacing w:val="3"/>
          <w:sz w:val="28"/>
          <w:szCs w:val="28"/>
          <w:lang w:eastAsia="zh-CN"/>
        </w:rPr>
        <w:t>万株；不断开展绿化巡查工作，累计补植超</w:t>
      </w:r>
      <w:r>
        <w:rPr>
          <w:rFonts w:ascii="仿宋" w:hAnsi="仿宋" w:eastAsia="仿宋" w:cs="仿宋"/>
          <w:color w:val="auto"/>
          <w:spacing w:val="3"/>
          <w:sz w:val="28"/>
          <w:szCs w:val="28"/>
          <w:lang w:eastAsia="zh-CN"/>
        </w:rPr>
        <w:t>53000</w:t>
      </w:r>
      <w:r>
        <w:rPr>
          <w:rFonts w:hint="eastAsia" w:ascii="仿宋" w:hAnsi="仿宋" w:eastAsia="仿宋" w:cs="仿宋"/>
          <w:color w:val="auto"/>
          <w:spacing w:val="3"/>
          <w:sz w:val="28"/>
          <w:szCs w:val="28"/>
          <w:lang w:eastAsia="zh-CN"/>
        </w:rPr>
        <w:t>平方米、时花约</w:t>
      </w:r>
      <w:r>
        <w:rPr>
          <w:rFonts w:ascii="仿宋" w:hAnsi="仿宋" w:eastAsia="仿宋" w:cs="仿宋"/>
          <w:color w:val="auto"/>
          <w:spacing w:val="3"/>
          <w:sz w:val="28"/>
          <w:szCs w:val="28"/>
          <w:lang w:eastAsia="zh-CN"/>
        </w:rPr>
        <w:t>83</w:t>
      </w:r>
      <w:r>
        <w:rPr>
          <w:rFonts w:hint="eastAsia" w:ascii="仿宋" w:hAnsi="仿宋" w:eastAsia="仿宋" w:cs="仿宋"/>
          <w:color w:val="auto"/>
          <w:spacing w:val="3"/>
          <w:sz w:val="28"/>
          <w:szCs w:val="28"/>
          <w:lang w:eastAsia="zh-CN"/>
        </w:rPr>
        <w:t>万株，进行空树池补种</w:t>
      </w:r>
      <w:r>
        <w:rPr>
          <w:rFonts w:ascii="仿宋" w:hAnsi="仿宋" w:eastAsia="仿宋" w:cs="仿宋"/>
          <w:color w:val="auto"/>
          <w:spacing w:val="3"/>
          <w:sz w:val="28"/>
          <w:szCs w:val="28"/>
          <w:lang w:eastAsia="zh-CN"/>
        </w:rPr>
        <w:t>318</w:t>
      </w:r>
      <w:r>
        <w:rPr>
          <w:rFonts w:hint="eastAsia" w:ascii="仿宋" w:hAnsi="仿宋" w:eastAsia="仿宋" w:cs="仿宋"/>
          <w:color w:val="auto"/>
          <w:spacing w:val="3"/>
          <w:sz w:val="28"/>
          <w:szCs w:val="28"/>
          <w:lang w:eastAsia="zh-CN"/>
        </w:rPr>
        <w:t>棵。结合防台防汛要求，开展绿化加固专项工作，累计采购杉木</w:t>
      </w:r>
      <w:r>
        <w:rPr>
          <w:rFonts w:ascii="仿宋" w:hAnsi="仿宋" w:eastAsia="仿宋" w:cs="仿宋"/>
          <w:color w:val="auto"/>
          <w:spacing w:val="3"/>
          <w:sz w:val="28"/>
          <w:szCs w:val="28"/>
          <w:lang w:eastAsia="zh-CN"/>
        </w:rPr>
        <w:t>5000</w:t>
      </w:r>
      <w:r>
        <w:rPr>
          <w:rFonts w:hint="eastAsia" w:ascii="仿宋" w:hAnsi="仿宋" w:eastAsia="仿宋" w:cs="仿宋"/>
          <w:color w:val="auto"/>
          <w:spacing w:val="3"/>
          <w:sz w:val="28"/>
          <w:szCs w:val="28"/>
          <w:lang w:eastAsia="zh-CN"/>
        </w:rPr>
        <w:t>根，加固乔木近</w:t>
      </w:r>
      <w:r>
        <w:rPr>
          <w:rFonts w:ascii="仿宋" w:hAnsi="仿宋" w:eastAsia="仿宋" w:cs="仿宋"/>
          <w:color w:val="auto"/>
          <w:spacing w:val="3"/>
          <w:sz w:val="28"/>
          <w:szCs w:val="28"/>
          <w:lang w:eastAsia="zh-CN"/>
        </w:rPr>
        <w:t>1200</w:t>
      </w:r>
      <w:r>
        <w:rPr>
          <w:rFonts w:hint="eastAsia" w:ascii="仿宋" w:hAnsi="仿宋" w:eastAsia="仿宋" w:cs="仿宋"/>
          <w:color w:val="auto"/>
          <w:spacing w:val="3"/>
          <w:sz w:val="28"/>
          <w:szCs w:val="28"/>
          <w:lang w:eastAsia="zh-CN"/>
        </w:rPr>
        <w:t>株。</w:t>
      </w:r>
    </w:p>
    <w:p w14:paraId="38359808">
      <w:pPr>
        <w:widowControl w:val="0"/>
        <w:overflowPunct w:val="0"/>
        <w:snapToGrid/>
        <w:spacing w:line="408" w:lineRule="auto"/>
        <w:ind w:firstLine="546" w:firstLineChars="200"/>
        <w:outlineLvl w:val="0"/>
        <w:rPr>
          <w:rFonts w:hint="eastAsia" w:ascii="仿宋" w:hAnsi="仿宋" w:eastAsia="仿宋" w:cs="仿宋"/>
          <w:b/>
          <w:color w:val="auto"/>
          <w:spacing w:val="-4"/>
          <w:sz w:val="28"/>
          <w:szCs w:val="28"/>
          <w:lang w:eastAsia="zh-CN"/>
          <w14:textOutline w14:w="5105" w14:cap="sq" w14:cmpd="sng" w14:algn="ctr">
            <w14:solidFill>
              <w14:srgbClr w14:val="000000"/>
            </w14:solidFill>
            <w14:prstDash w14:val="solid"/>
            <w14:bevel/>
          </w14:textOutline>
        </w:rPr>
      </w:pPr>
      <w:bookmarkStart w:id="199" w:name="bookmark47"/>
      <w:bookmarkEnd w:id="199"/>
      <w:bookmarkStart w:id="200" w:name="bookmark48"/>
      <w:bookmarkEnd w:id="200"/>
      <w:bookmarkStart w:id="201" w:name="_Toc7666"/>
      <w:bookmarkStart w:id="202" w:name="_Toc181558038"/>
      <w:bookmarkStart w:id="203" w:name="_Toc208840354"/>
      <w:r>
        <w:rPr>
          <w:rFonts w:hint="eastAsia" w:ascii="仿宋" w:hAnsi="仿宋" w:eastAsia="仿宋" w:cs="仿宋"/>
          <w:b/>
          <w:color w:val="auto"/>
          <w:spacing w:val="-4"/>
          <w:sz w:val="28"/>
          <w:szCs w:val="28"/>
          <w:lang w:eastAsia="zh-CN"/>
          <w14:textOutline w14:w="5105" w14:cap="sq" w14:cmpd="sng" w14:algn="ctr">
            <w14:solidFill>
              <w14:srgbClr w14:val="000000"/>
            </w14:solidFill>
            <w14:prstDash w14:val="solid"/>
            <w14:bevel/>
          </w14:textOutline>
        </w:rPr>
        <w:t>九、存在问题</w:t>
      </w:r>
      <w:bookmarkEnd w:id="201"/>
      <w:bookmarkEnd w:id="202"/>
      <w:bookmarkEnd w:id="203"/>
    </w:p>
    <w:p w14:paraId="7B16408C">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04" w:name="_Toc181558039"/>
      <w:bookmarkStart w:id="205" w:name="_Toc208840355"/>
      <w:r>
        <w:rPr>
          <w:rFonts w:hint="eastAsia" w:ascii="仿宋" w:hAnsi="仿宋" w:eastAsia="仿宋" w:cs="仿宋"/>
          <w:b/>
          <w:color w:val="auto"/>
          <w:spacing w:val="3"/>
          <w:sz w:val="28"/>
          <w:szCs w:val="28"/>
          <w:lang w:eastAsia="zh-CN"/>
        </w:rPr>
        <w:t>（一）部分绩效目标设置不合理</w:t>
      </w:r>
      <w:bookmarkEnd w:id="204"/>
      <w:bookmarkEnd w:id="205"/>
    </w:p>
    <w:p w14:paraId="0812FFB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2024年石狮市城市管理和综合执法局在绩效目标表中部分绩效目标设置存在不合理。在“城市路灯电费及维护经费项目”的绩效目标中，“安全生产事故数量”的目标值为“大于等于</w:t>
      </w:r>
      <w:r>
        <w:rPr>
          <w:rFonts w:ascii="仿宋" w:hAnsi="仿宋" w:eastAsia="仿宋" w:cs="仿宋"/>
          <w:color w:val="auto"/>
          <w:spacing w:val="3"/>
          <w:sz w:val="28"/>
          <w:szCs w:val="28"/>
          <w:lang w:eastAsia="zh-CN"/>
        </w:rPr>
        <w:t>0”</w:t>
      </w:r>
      <w:r>
        <w:rPr>
          <w:rFonts w:hint="eastAsia" w:ascii="仿宋" w:hAnsi="仿宋" w:eastAsia="仿宋" w:cs="仿宋"/>
          <w:color w:val="auto"/>
          <w:spacing w:val="3"/>
          <w:sz w:val="28"/>
          <w:szCs w:val="28"/>
          <w:lang w:eastAsia="zh-CN"/>
        </w:rPr>
        <w:t>，该目标设置不合理，安全生产事故数量指标为反向指标，应当越小越好，设置目标值时应当“小于等于”而非“大于等于”。绩效目标设置存在不合理。</w:t>
      </w:r>
    </w:p>
    <w:p w14:paraId="1481DB7A">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06" w:name="_Toc181558040"/>
      <w:bookmarkStart w:id="207" w:name="_Toc208840356"/>
      <w:r>
        <w:rPr>
          <w:rFonts w:hint="eastAsia" w:ascii="仿宋" w:hAnsi="仿宋" w:eastAsia="仿宋" w:cs="仿宋"/>
          <w:b/>
          <w:color w:val="auto"/>
          <w:spacing w:val="3"/>
          <w:sz w:val="28"/>
          <w:szCs w:val="28"/>
          <w:lang w:eastAsia="zh-CN"/>
        </w:rPr>
        <w:t>（二）预算调整率偏高，预算编制不够精准</w:t>
      </w:r>
      <w:bookmarkEnd w:id="206"/>
      <w:bookmarkEnd w:id="207"/>
    </w:p>
    <w:p w14:paraId="54CD94F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2024年石狮市城市管理和综合执法局全年支出预算数为</w:t>
      </w:r>
      <w:r>
        <w:rPr>
          <w:rFonts w:ascii="仿宋" w:hAnsi="仿宋" w:eastAsia="仿宋" w:cs="仿宋"/>
          <w:color w:val="auto"/>
          <w:spacing w:val="3"/>
          <w:sz w:val="28"/>
          <w:szCs w:val="28"/>
          <w:lang w:eastAsia="zh-CN"/>
        </w:rPr>
        <w:t>48,606.35</w:t>
      </w:r>
      <w:r>
        <w:rPr>
          <w:rFonts w:hint="eastAsia" w:ascii="仿宋" w:hAnsi="仿宋" w:eastAsia="仿宋" w:cs="仿宋"/>
          <w:color w:val="auto"/>
          <w:spacing w:val="3"/>
          <w:sz w:val="28"/>
          <w:szCs w:val="28"/>
          <w:lang w:eastAsia="zh-CN"/>
        </w:rPr>
        <w:t>万元，调整支出数为</w:t>
      </w:r>
      <w:r>
        <w:rPr>
          <w:rFonts w:ascii="仿宋" w:hAnsi="仿宋" w:eastAsia="仿宋" w:cs="仿宋"/>
          <w:color w:val="auto"/>
          <w:spacing w:val="3"/>
          <w:sz w:val="28"/>
          <w:szCs w:val="28"/>
          <w:lang w:eastAsia="zh-CN"/>
        </w:rPr>
        <w:t>29,198.44</w:t>
      </w:r>
      <w:r>
        <w:rPr>
          <w:rFonts w:hint="eastAsia" w:ascii="仿宋" w:hAnsi="仿宋" w:eastAsia="仿宋" w:cs="仿宋"/>
          <w:color w:val="auto"/>
          <w:spacing w:val="3"/>
          <w:sz w:val="28"/>
          <w:szCs w:val="28"/>
          <w:lang w:eastAsia="zh-CN"/>
        </w:rPr>
        <w:t>万元，支出预算调整率为</w:t>
      </w:r>
      <w:r>
        <w:rPr>
          <w:rFonts w:ascii="仿宋" w:hAnsi="仿宋" w:eastAsia="仿宋" w:cs="仿宋"/>
          <w:color w:val="auto"/>
          <w:spacing w:val="3"/>
          <w:sz w:val="28"/>
          <w:szCs w:val="28"/>
          <w:lang w:eastAsia="zh-CN"/>
        </w:rPr>
        <w:t>60.07%</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lang w:eastAsia="zh-CN"/>
        </w:rPr>
        <w:t>29,198.44/48,606.35</w:t>
      </w:r>
      <w:r>
        <w:rPr>
          <w:rFonts w:hint="eastAsia" w:ascii="仿宋" w:hAnsi="仿宋" w:eastAsia="仿宋" w:cs="仿宋"/>
          <w:color w:val="auto"/>
          <w:spacing w:val="3"/>
          <w:sz w:val="28"/>
          <w:szCs w:val="28"/>
          <w:lang w:eastAsia="zh-CN"/>
        </w:rPr>
        <w:t>）。单位年初预算不够精准，导致年中追加资金，使得预算调整率较高。预算编制不够科学。</w:t>
      </w:r>
    </w:p>
    <w:p w14:paraId="6DD97431">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08" w:name="_Toc181558041"/>
      <w:bookmarkStart w:id="209" w:name="_Toc208840357"/>
      <w:r>
        <w:rPr>
          <w:rFonts w:hint="eastAsia" w:ascii="仿宋" w:hAnsi="仿宋" w:eastAsia="仿宋" w:cs="仿宋"/>
          <w:b/>
          <w:color w:val="auto"/>
          <w:spacing w:val="3"/>
          <w:sz w:val="28"/>
          <w:szCs w:val="28"/>
          <w:lang w:eastAsia="zh-CN"/>
        </w:rPr>
        <w:t>（三）</w:t>
      </w:r>
      <w:bookmarkEnd w:id="208"/>
      <w:r>
        <w:rPr>
          <w:rFonts w:hint="eastAsia" w:ascii="仿宋" w:hAnsi="仿宋" w:eastAsia="仿宋" w:cs="仿宋"/>
          <w:b/>
          <w:color w:val="auto"/>
          <w:spacing w:val="3"/>
          <w:sz w:val="28"/>
          <w:szCs w:val="28"/>
          <w:lang w:eastAsia="zh-CN"/>
        </w:rPr>
        <w:t>会计核算不够规范</w:t>
      </w:r>
      <w:bookmarkEnd w:id="209"/>
    </w:p>
    <w:p w14:paraId="58D53908">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石狮市城市管理和综合执法局资产负债表上在建工程余额较多且处于长期挂账情况，</w:t>
      </w:r>
      <w:r>
        <w:rPr>
          <w:rFonts w:hint="eastAsia" w:ascii="仿宋" w:hAnsi="仿宋" w:eastAsia="仿宋" w:cs="仿宋"/>
          <w:color w:val="000000" w:themeColor="text1"/>
          <w:spacing w:val="3"/>
          <w:sz w:val="28"/>
          <w:szCs w:val="28"/>
          <w:lang w:eastAsia="zh-CN"/>
          <w14:textFill>
            <w14:solidFill>
              <w14:schemeClr w14:val="tx1"/>
            </w14:solidFill>
          </w14:textFill>
        </w:rPr>
        <w:t>由于历史遗留问题，账上在建工程仍处于长期挂账状态，且目前暂时还未处理，挂账金额较大</w:t>
      </w:r>
      <w:r>
        <w:rPr>
          <w:rFonts w:hint="eastAsia" w:ascii="仿宋" w:hAnsi="仿宋" w:eastAsia="仿宋" w:cs="仿宋"/>
          <w:color w:val="auto"/>
          <w:spacing w:val="3"/>
          <w:sz w:val="28"/>
          <w:szCs w:val="28"/>
          <w:lang w:eastAsia="zh-CN"/>
        </w:rPr>
        <w:t>。</w:t>
      </w:r>
    </w:p>
    <w:p w14:paraId="4D5DF006">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10" w:name="_Toc208840358"/>
      <w:r>
        <w:rPr>
          <w:rFonts w:hint="eastAsia" w:ascii="仿宋" w:hAnsi="仿宋" w:eastAsia="仿宋" w:cs="仿宋"/>
          <w:b/>
          <w:color w:val="auto"/>
          <w:spacing w:val="3"/>
          <w:sz w:val="28"/>
          <w:szCs w:val="28"/>
          <w:lang w:eastAsia="zh-CN"/>
        </w:rPr>
        <w:t>（四）对污水水质监测过度依赖承包方</w:t>
      </w:r>
      <w:bookmarkEnd w:id="210"/>
    </w:p>
    <w:p w14:paraId="27CDEB4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与污水处理厂所签订的合同中表明“甲方有权随时指定代表或委派监督员或委托一家具有法定资格的水质检测机构在进水检测点和出水检测点自行采取水样，对污水处理厂水质检测项目和周期中的指标进行抽查”，但经过走访调研发现石狮市市政公用事业发展中心并没有定期亲自检查污水处理厂的水质情况，而是依赖污水处理厂的水质检测，对承包方过于依赖。</w:t>
      </w:r>
    </w:p>
    <w:p w14:paraId="21C8A9A3">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11" w:name="_Toc181558042"/>
      <w:bookmarkStart w:id="212" w:name="_Toc208840359"/>
      <w:r>
        <w:rPr>
          <w:rFonts w:hint="eastAsia" w:ascii="仿宋" w:hAnsi="仿宋" w:eastAsia="仿宋" w:cs="仿宋"/>
          <w:b/>
          <w:color w:val="auto"/>
          <w:spacing w:val="3"/>
          <w:sz w:val="28"/>
          <w:szCs w:val="28"/>
          <w:lang w:eastAsia="zh-CN"/>
        </w:rPr>
        <w:t>（五）</w:t>
      </w:r>
      <w:bookmarkEnd w:id="211"/>
      <w:bookmarkStart w:id="213" w:name="_Toc28134"/>
      <w:r>
        <w:rPr>
          <w:rFonts w:hint="eastAsia" w:ascii="仿宋" w:hAnsi="仿宋" w:eastAsia="仿宋" w:cs="仿宋"/>
          <w:b/>
          <w:color w:val="auto"/>
          <w:spacing w:val="3"/>
          <w:sz w:val="28"/>
          <w:szCs w:val="28"/>
          <w:lang w:eastAsia="zh-CN"/>
        </w:rPr>
        <w:t>路灯维护存在滞后性</w:t>
      </w:r>
      <w:bookmarkEnd w:id="212"/>
    </w:p>
    <w:p w14:paraId="2A20A2B1">
      <w:pPr>
        <w:widowControl w:val="0"/>
        <w:overflowPunct w:val="0"/>
        <w:snapToGrid/>
        <w:spacing w:line="408" w:lineRule="auto"/>
        <w:ind w:firstLine="572" w:firstLineChars="200"/>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道路路灯维护项目中，虽然对路灯有进行巡逻检查，发现路灯不亮就进行上报检修。但通过检查查看日常的巡逻记录发现路灯不亮的问题频繁发生，群众投诉也有200多起，路灯维护存在滞后性，即“巡逻发现路灯不亮，群众投诉路灯不亮”才进行路灯维修。无法有效做到事先排查检修维护。</w:t>
      </w:r>
    </w:p>
    <w:p w14:paraId="410E16EC">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14" w:name="_Toc208840360"/>
      <w:r>
        <w:rPr>
          <w:rFonts w:hint="eastAsia" w:ascii="仿宋" w:hAnsi="仿宋" w:eastAsia="仿宋" w:cs="仿宋"/>
          <w:b/>
          <w:color w:val="auto"/>
          <w:spacing w:val="3"/>
          <w:sz w:val="28"/>
          <w:szCs w:val="28"/>
          <w:lang w:eastAsia="zh-CN"/>
        </w:rPr>
        <w:t>（六）对承包方的监督力度不足，考评成效不明显</w:t>
      </w:r>
      <w:bookmarkEnd w:id="214"/>
    </w:p>
    <w:p w14:paraId="54924588">
      <w:pPr>
        <w:widowControl w:val="0"/>
        <w:overflowPunct w:val="0"/>
        <w:snapToGrid/>
        <w:spacing w:line="408" w:lineRule="auto"/>
        <w:ind w:firstLine="572" w:firstLineChars="200"/>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环卫一体化项目中，虽然对承包方开展考评监督，但承包方仍然存在超时整改的情况。在“农村环境整治（沿海五镇主要道路清扫保洁绿化养护）”项目中，虽然也有对承包方开展考评工作，但是根据考评记录表显示，承包方考评成绩较低，大多数为80多分，少部分为70多分，考评成效不明显，承包方在绿化工作仍然有较多不到位的地方，例如“未按月计划要求按时按质的完成当月计划路段的拔草除草、打草、清杂工作”“未按月计划要求按时按质地完成当月计划路段的支撑桩、护树架的整改工作”等不足之处，对承包方监督力度存在不足，使得承包方内部工作管理存在不足。</w:t>
      </w:r>
    </w:p>
    <w:p w14:paraId="0A825E88">
      <w:pPr>
        <w:widowControl w:val="0"/>
        <w:overflowPunct w:val="0"/>
        <w:snapToGrid/>
        <w:spacing w:line="408" w:lineRule="auto"/>
        <w:ind w:firstLine="554" w:firstLineChars="200"/>
        <w:outlineLvl w:val="0"/>
        <w:rPr>
          <w:rFonts w:hint="eastAsia" w:ascii="仿宋" w:hAnsi="仿宋" w:eastAsia="仿宋" w:cs="仿宋"/>
          <w:b/>
          <w:color w:val="auto"/>
          <w:spacing w:val="-2"/>
          <w:sz w:val="28"/>
          <w:szCs w:val="28"/>
          <w:lang w:eastAsia="zh-CN"/>
          <w14:textOutline w14:w="5105" w14:cap="sq" w14:cmpd="sng" w14:algn="ctr">
            <w14:solidFill>
              <w14:srgbClr w14:val="000000"/>
            </w14:solidFill>
            <w14:prstDash w14:val="solid"/>
            <w14:bevel/>
          </w14:textOutline>
        </w:rPr>
      </w:pPr>
      <w:bookmarkStart w:id="215" w:name="_Toc181558044"/>
      <w:bookmarkStart w:id="216" w:name="_Toc208840361"/>
      <w:r>
        <w:rPr>
          <w:rFonts w:hint="eastAsia" w:ascii="仿宋" w:hAnsi="仿宋" w:eastAsia="仿宋" w:cs="仿宋"/>
          <w:b/>
          <w:color w:val="auto"/>
          <w:spacing w:val="-2"/>
          <w:sz w:val="28"/>
          <w:szCs w:val="28"/>
          <w:lang w:eastAsia="zh-CN"/>
          <w14:textOutline w14:w="5105" w14:cap="sq" w14:cmpd="sng" w14:algn="ctr">
            <w14:solidFill>
              <w14:srgbClr w14:val="000000"/>
            </w14:solidFill>
            <w14:prstDash w14:val="solid"/>
            <w14:bevel/>
          </w14:textOutline>
        </w:rPr>
        <w:t>十、提出建议</w:t>
      </w:r>
      <w:bookmarkEnd w:id="213"/>
      <w:bookmarkEnd w:id="215"/>
      <w:bookmarkEnd w:id="216"/>
    </w:p>
    <w:p w14:paraId="46713F01">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17" w:name="_Toc181558045"/>
      <w:bookmarkStart w:id="218" w:name="_Toc208840362"/>
      <w:r>
        <w:rPr>
          <w:rFonts w:hint="eastAsia" w:ascii="仿宋" w:hAnsi="仿宋" w:eastAsia="仿宋" w:cs="仿宋"/>
          <w:b/>
          <w:color w:val="auto"/>
          <w:spacing w:val="3"/>
          <w:sz w:val="28"/>
          <w:szCs w:val="28"/>
          <w:lang w:eastAsia="zh-CN"/>
        </w:rPr>
        <w:t>（一）加强绩效指标设置水平，提高绩效自评效益</w:t>
      </w:r>
      <w:bookmarkEnd w:id="217"/>
      <w:bookmarkEnd w:id="218"/>
    </w:p>
    <w:p w14:paraId="018ADAAA">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设置绩效目标时应当依据《中央部门项目支出核心绩效目标和指标设置及取值指引》的相关规定来进行绩效指标的设置。在设定绩效目标之前要先理解绩效目标的用途及含义，以及要明确需要评价的目标，才能设置合理正确的绩效指标。绩效目标应当通过具体绩效指标予以细化、量化描述。在绩效自评时，要结合自身情况进行合理地设置目标值，然后再一步去设置二级指标与三级指标。因此需要进一步加强绩效指标的建设水平，提高绩效自评、绩效管理效益。</w:t>
      </w:r>
    </w:p>
    <w:p w14:paraId="46F3624E">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19" w:name="_Toc181558046"/>
      <w:bookmarkStart w:id="220" w:name="_Toc208840363"/>
      <w:r>
        <w:rPr>
          <w:rFonts w:hint="eastAsia" w:ascii="仿宋" w:hAnsi="仿宋" w:eastAsia="仿宋" w:cs="仿宋"/>
          <w:b/>
          <w:color w:val="auto"/>
          <w:spacing w:val="3"/>
          <w:sz w:val="28"/>
          <w:szCs w:val="28"/>
          <w:lang w:eastAsia="zh-CN"/>
        </w:rPr>
        <w:t>（二）加强预算的科学性，降低预算调整率</w:t>
      </w:r>
      <w:bookmarkEnd w:id="219"/>
      <w:bookmarkEnd w:id="220"/>
    </w:p>
    <w:p w14:paraId="020F2D2C">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应着力优化预算编制工作。要紧密结合年度工作计划，进行充分的前期谋划，提升预算编制的精准性和有效性。关键在于推动预算编制向项目化、精细化转变，对各项支出进行科学分解与细化，确保预算安排合理合规。必须强化预算约束刚性，严格遵循量入为出原则，保障预算资金专款专用。同时，需根据年度工作实际，统筹安排资金，合理规划支付进度，并对财政资金的申请、审批、使用及监管等全流程制定明确规范。</w:t>
      </w:r>
    </w:p>
    <w:p w14:paraId="1B449FF8">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21" w:name="_Toc181558047"/>
      <w:bookmarkStart w:id="222" w:name="_Toc208840364"/>
      <w:r>
        <w:rPr>
          <w:rFonts w:hint="eastAsia" w:ascii="仿宋" w:hAnsi="仿宋" w:eastAsia="仿宋" w:cs="仿宋"/>
          <w:b/>
          <w:color w:val="auto"/>
          <w:spacing w:val="3"/>
          <w:sz w:val="28"/>
          <w:szCs w:val="28"/>
          <w:lang w:eastAsia="zh-CN"/>
        </w:rPr>
        <w:t>（三）加强财务核算规范性</w:t>
      </w:r>
      <w:bookmarkEnd w:id="221"/>
      <w:bookmarkEnd w:id="222"/>
    </w:p>
    <w:p w14:paraId="32B99C4D">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石狮市城市管理和综合执法局应着力健全并持续完善财务内部控制体系。核心在于提升会计信息质量，为此必须强化会计处理的准确性与时效性。</w:t>
      </w:r>
    </w:p>
    <w:p w14:paraId="15AE1117">
      <w:pPr>
        <w:widowControl w:val="0"/>
        <w:overflowPunct w:val="0"/>
        <w:snapToGrid/>
        <w:spacing w:line="408" w:lineRule="auto"/>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确保单据及时审批，并于审批后即时录入财务系统。定期执行资产清查，确保会计账簿记录与实物资产状况相符。实现总账与明细账、系统账与台账数据的准确一致。决算报表预算数与预算公开一致确保会计报表编制严谨，严格遵循会计体系的内在逻辑与勾稽关系，保障其准确性。</w:t>
      </w:r>
    </w:p>
    <w:p w14:paraId="51D24E09">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23" w:name="_Toc208840365"/>
      <w:r>
        <w:rPr>
          <w:rFonts w:hint="eastAsia" w:ascii="仿宋" w:hAnsi="仿宋" w:eastAsia="仿宋" w:cs="仿宋"/>
          <w:b/>
          <w:color w:val="auto"/>
          <w:spacing w:val="3"/>
          <w:sz w:val="28"/>
          <w:szCs w:val="28"/>
          <w:lang w:eastAsia="zh-CN"/>
        </w:rPr>
        <w:t>（四）加强主观能动性，降低对承包方的依赖</w:t>
      </w:r>
      <w:bookmarkEnd w:id="223"/>
    </w:p>
    <w:p w14:paraId="0C088F55">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要加强对项目的精细化管理，建立内部技术专家库，加强对项目的全流程进行把控。做到参与到项目全流程中去，掌握底层逻辑。派驻人员对项目进行定期检查监督，做到对项目的深入管理，降低对承包方的依赖。</w:t>
      </w:r>
    </w:p>
    <w:p w14:paraId="3F6F5E1C">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24" w:name="_Toc181558048"/>
      <w:bookmarkStart w:id="225" w:name="_Toc208840366"/>
      <w:r>
        <w:rPr>
          <w:rFonts w:hint="eastAsia" w:ascii="仿宋" w:hAnsi="仿宋" w:eastAsia="仿宋" w:cs="仿宋"/>
          <w:b/>
          <w:color w:val="auto"/>
          <w:spacing w:val="3"/>
          <w:sz w:val="28"/>
          <w:szCs w:val="28"/>
          <w:lang w:eastAsia="zh-CN"/>
        </w:rPr>
        <w:t>（五）加强</w:t>
      </w:r>
      <w:bookmarkEnd w:id="224"/>
      <w:r>
        <w:rPr>
          <w:rFonts w:hint="eastAsia" w:ascii="仿宋" w:hAnsi="仿宋" w:eastAsia="仿宋" w:cs="仿宋"/>
          <w:b/>
          <w:color w:val="auto"/>
          <w:spacing w:val="3"/>
          <w:sz w:val="28"/>
          <w:szCs w:val="28"/>
          <w:lang w:eastAsia="zh-CN"/>
        </w:rPr>
        <w:t>对路灯维护的预防性措施</w:t>
      </w:r>
      <w:bookmarkEnd w:id="225"/>
    </w:p>
    <w:p w14:paraId="2E7A34C9">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石狮市城市管理和综合执法局在路灯维护方面加强事前预防性措施，提升路灯系统的预防性维护水平构建“监测</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预警</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干预”三位一体的主动防护体系，通过技术升级、管理优化和机制创新降低故障率。可以使用智能化监测网络做到故障提前预警，加强硬件层防护升级做到延长设备寿命，利用</w:t>
      </w:r>
      <w:r>
        <w:rPr>
          <w:rFonts w:ascii="仿宋" w:hAnsi="仿宋" w:eastAsia="仿宋" w:cs="仿宋"/>
          <w:color w:val="auto"/>
          <w:spacing w:val="3"/>
          <w:sz w:val="28"/>
          <w:szCs w:val="28"/>
          <w:lang w:eastAsia="zh-CN"/>
        </w:rPr>
        <w:t>AI</w:t>
      </w:r>
      <w:r>
        <w:rPr>
          <w:rFonts w:hint="eastAsia" w:ascii="仿宋" w:hAnsi="仿宋" w:eastAsia="仿宋" w:cs="仿宋"/>
          <w:color w:val="auto"/>
          <w:spacing w:val="3"/>
          <w:sz w:val="28"/>
          <w:szCs w:val="28"/>
          <w:lang w:eastAsia="zh-CN"/>
        </w:rPr>
        <w:t>、大数据预测模型对路灯不亮的情况进行AI模拟演练，做到提前发现隐患。将防范做到事前，降低路灯不亮的情况，提高路灯亮灯率。</w:t>
      </w:r>
    </w:p>
    <w:p w14:paraId="2147C9FB">
      <w:pPr>
        <w:widowControl w:val="0"/>
        <w:overflowPunct w:val="0"/>
        <w:snapToGrid/>
        <w:spacing w:line="408" w:lineRule="auto"/>
        <w:ind w:firstLine="574" w:firstLineChars="200"/>
        <w:jc w:val="both"/>
        <w:outlineLvl w:val="1"/>
        <w:rPr>
          <w:rFonts w:hint="eastAsia" w:ascii="仿宋" w:hAnsi="仿宋" w:eastAsia="仿宋" w:cs="仿宋"/>
          <w:b/>
          <w:color w:val="auto"/>
          <w:spacing w:val="3"/>
          <w:sz w:val="28"/>
          <w:szCs w:val="28"/>
          <w:lang w:eastAsia="zh-CN"/>
        </w:rPr>
      </w:pPr>
      <w:bookmarkStart w:id="226" w:name="_Toc208840367"/>
      <w:r>
        <w:rPr>
          <w:rFonts w:hint="eastAsia" w:ascii="仿宋" w:hAnsi="仿宋" w:eastAsia="仿宋" w:cs="仿宋"/>
          <w:b/>
          <w:color w:val="auto"/>
          <w:spacing w:val="3"/>
          <w:sz w:val="28"/>
          <w:szCs w:val="28"/>
          <w:lang w:eastAsia="zh-CN"/>
        </w:rPr>
        <w:t>（六）加强对承包方的监督力度，提高承包方内部管理</w:t>
      </w:r>
      <w:bookmarkEnd w:id="226"/>
    </w:p>
    <w:p w14:paraId="5A1C562F">
      <w:pPr>
        <w:widowControl w:val="0"/>
        <w:overflowPunct w:val="0"/>
        <w:snapToGrid/>
        <w:spacing w:line="408" w:lineRule="auto"/>
        <w:ind w:firstLine="572" w:firstLineChars="200"/>
        <w:jc w:val="both"/>
        <w:rPr>
          <w:rFonts w:hint="eastAsia" w:ascii="仿宋" w:hAnsi="仿宋" w:eastAsia="仿宋" w:cs="仿宋"/>
          <w:color w:val="auto"/>
          <w:spacing w:val="3"/>
          <w:sz w:val="28"/>
          <w:szCs w:val="28"/>
          <w:lang w:eastAsia="zh-CN"/>
        </w:rPr>
      </w:pPr>
      <w:r>
        <w:rPr>
          <w:rFonts w:hint="eastAsia" w:ascii="仿宋" w:hAnsi="仿宋" w:eastAsia="仿宋" w:cs="仿宋"/>
          <w:color w:val="auto"/>
          <w:spacing w:val="3"/>
          <w:sz w:val="28"/>
          <w:szCs w:val="28"/>
          <w:lang w:eastAsia="zh-CN"/>
        </w:rPr>
        <w:t>石狮市城市管理和综合执法局应当加强对承包方的监督力度并提升其内部管理能力，根据项目的实际情况构建</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刚性约束</w:t>
      </w:r>
      <w:r>
        <w:rPr>
          <w:rFonts w:ascii="仿宋" w:hAnsi="仿宋" w:eastAsia="仿宋" w:cs="仿宋"/>
          <w:color w:val="auto"/>
          <w:spacing w:val="3"/>
          <w:sz w:val="28"/>
          <w:szCs w:val="28"/>
          <w:lang w:eastAsia="zh-CN"/>
        </w:rPr>
        <w:t>+</w:t>
      </w:r>
      <w:r>
        <w:rPr>
          <w:rFonts w:hint="eastAsia" w:ascii="仿宋" w:hAnsi="仿宋" w:eastAsia="仿宋" w:cs="仿宋"/>
          <w:color w:val="auto"/>
          <w:spacing w:val="3"/>
          <w:sz w:val="28"/>
          <w:szCs w:val="28"/>
          <w:lang w:eastAsia="zh-CN"/>
        </w:rPr>
        <w:t>柔性赋能”的双轨机制，通过数字化监管、能力共建、绩效驱动、风险联防实现闭环管理。加强考评奖惩机制，来提高承包方对考评的重视程度，以加强对内部的管理能力。</w:t>
      </w:r>
    </w:p>
    <w:p w14:paraId="0C23252A">
      <w:pPr>
        <w:widowControl w:val="0"/>
        <w:overflowPunct w:val="0"/>
        <w:snapToGrid/>
        <w:spacing w:line="408" w:lineRule="auto"/>
        <w:ind w:firstLine="554" w:firstLineChars="200"/>
        <w:outlineLvl w:val="0"/>
        <w:rPr>
          <w:rFonts w:hint="eastAsia" w:ascii="仿宋" w:hAnsi="仿宋" w:eastAsia="仿宋" w:cs="仿宋"/>
          <w:b/>
          <w:color w:val="auto"/>
          <w:sz w:val="28"/>
          <w:szCs w:val="28"/>
          <w:lang w:eastAsia="zh-CN"/>
        </w:rPr>
      </w:pPr>
      <w:bookmarkStart w:id="227" w:name="bookmark63"/>
      <w:bookmarkEnd w:id="227"/>
      <w:bookmarkStart w:id="228" w:name="_Toc28973"/>
      <w:bookmarkStart w:id="229" w:name="_Toc181558050"/>
      <w:bookmarkStart w:id="230" w:name="_Toc208840368"/>
      <w:r>
        <w:rPr>
          <w:rFonts w:hint="eastAsia" w:ascii="仿宋" w:hAnsi="仿宋" w:eastAsia="仿宋" w:cs="仿宋"/>
          <w:b/>
          <w:color w:val="auto"/>
          <w:spacing w:val="-2"/>
          <w:sz w:val="28"/>
          <w:szCs w:val="28"/>
          <w:lang w:eastAsia="zh-CN"/>
          <w14:textOutline w14:w="5105" w14:cap="sq" w14:cmpd="sng" w14:algn="ctr">
            <w14:solidFill>
              <w14:srgbClr w14:val="000000"/>
            </w14:solidFill>
            <w14:prstDash w14:val="solid"/>
            <w14:bevel/>
          </w14:textOutline>
        </w:rPr>
        <w:t>十一、其他需说明事项</w:t>
      </w:r>
      <w:bookmarkEnd w:id="228"/>
      <w:bookmarkEnd w:id="229"/>
      <w:bookmarkEnd w:id="230"/>
    </w:p>
    <w:p w14:paraId="3B5578CD">
      <w:pPr>
        <w:widowControl w:val="0"/>
        <w:overflowPunct w:val="0"/>
        <w:snapToGrid/>
        <w:spacing w:line="408" w:lineRule="auto"/>
        <w:ind w:firstLine="556" w:firstLineChars="200"/>
        <w:jc w:val="both"/>
        <w:rPr>
          <w:rFonts w:hint="eastAsia" w:ascii="仿宋" w:hAnsi="仿宋" w:eastAsia="仿宋" w:cs="仿宋"/>
          <w:color w:val="auto"/>
          <w:sz w:val="28"/>
          <w:lang w:eastAsia="zh-CN"/>
        </w:rPr>
      </w:pPr>
      <w:r>
        <w:rPr>
          <w:rFonts w:hint="eastAsia" w:ascii="仿宋" w:hAnsi="仿宋" w:eastAsia="仿宋" w:cs="仿宋"/>
          <w:color w:val="auto"/>
          <w:spacing w:val="-1"/>
          <w:sz w:val="28"/>
          <w:szCs w:val="28"/>
          <w:lang w:eastAsia="zh-CN"/>
        </w:rPr>
        <w:t>本绩效评价报告是在石狮市城市管理和综合执法局所提供资料及</w:t>
      </w:r>
      <w:r>
        <w:rPr>
          <w:rFonts w:hint="eastAsia" w:ascii="仿宋" w:hAnsi="仿宋" w:eastAsia="仿宋" w:cs="仿宋"/>
          <w:color w:val="auto"/>
          <w:spacing w:val="-2"/>
          <w:sz w:val="28"/>
          <w:szCs w:val="28"/>
          <w:lang w:eastAsia="zh-CN"/>
        </w:rPr>
        <w:t>回收的问卷统计数据基础上形成的，石狮市城市管理和综合执法局须对所提</w:t>
      </w:r>
      <w:r>
        <w:rPr>
          <w:rFonts w:hint="eastAsia" w:ascii="仿宋" w:hAnsi="仿宋" w:eastAsia="仿宋" w:cs="仿宋"/>
          <w:color w:val="auto"/>
          <w:spacing w:val="-1"/>
          <w:sz w:val="28"/>
          <w:szCs w:val="28"/>
          <w:lang w:eastAsia="zh-CN"/>
        </w:rPr>
        <w:t>供资料的真实性、准确性和完整性负责。</w:t>
      </w:r>
    </w:p>
    <w:p w14:paraId="59082152">
      <w:pPr>
        <w:widowControl w:val="0"/>
        <w:overflowPunct w:val="0"/>
        <w:snapToGrid/>
        <w:spacing w:line="408" w:lineRule="auto"/>
        <w:ind w:firstLine="560" w:firstLineChars="200"/>
        <w:jc w:val="both"/>
        <w:rPr>
          <w:rFonts w:hint="eastAsia" w:ascii="仿宋" w:hAnsi="仿宋" w:eastAsia="仿宋" w:cs="仿宋"/>
          <w:color w:val="auto"/>
          <w:spacing w:val="-2"/>
          <w:sz w:val="28"/>
          <w:szCs w:val="28"/>
          <w:lang w:eastAsia="zh-CN"/>
        </w:rPr>
      </w:pPr>
      <w:bookmarkStart w:id="231" w:name="bookmark65"/>
      <w:bookmarkEnd w:id="231"/>
      <w:bookmarkStart w:id="232" w:name="bookmark64"/>
      <w:bookmarkEnd w:id="232"/>
      <w:r>
        <w:rPr>
          <w:rFonts w:hint="eastAsia" w:ascii="仿宋" w:hAnsi="仿宋" w:eastAsia="仿宋"/>
          <w:sz w:val="28"/>
          <w:lang w:eastAsia="zh-CN"/>
        </w:rPr>
        <w:t xml:space="preserve">                                    </w:t>
      </w:r>
      <w:r>
        <w:rPr>
          <w:rFonts w:hint="eastAsia" w:ascii="仿宋" w:hAnsi="仿宋" w:eastAsia="仿宋" w:cs="仿宋"/>
          <w:color w:val="auto"/>
          <w:spacing w:val="-2"/>
          <w:sz w:val="28"/>
          <w:szCs w:val="28"/>
          <w:lang w:eastAsia="zh-CN"/>
        </w:rPr>
        <w:t>泉州市启程财务咨询有限公司</w:t>
      </w:r>
    </w:p>
    <w:p w14:paraId="27F32041">
      <w:pPr>
        <w:widowControl w:val="0"/>
        <w:overflowPunct w:val="0"/>
        <w:snapToGrid/>
        <w:spacing w:line="408" w:lineRule="auto"/>
        <w:ind w:firstLine="552" w:firstLineChars="200"/>
        <w:jc w:val="both"/>
        <w:rPr>
          <w:rFonts w:hint="eastAsia" w:ascii="Times New Roman" w:hAnsi="仿宋_GB2312" w:eastAsia="宋体" w:cs="仿宋_GB2312"/>
          <w:color w:val="auto"/>
          <w:spacing w:val="4"/>
          <w:sz w:val="28"/>
          <w:szCs w:val="32"/>
          <w:lang w:eastAsia="zh-CN"/>
        </w:rPr>
      </w:pPr>
      <w:r>
        <w:rPr>
          <w:rFonts w:hint="eastAsia" w:ascii="仿宋" w:hAnsi="仿宋" w:eastAsia="仿宋" w:cs="仿宋"/>
          <w:color w:val="auto"/>
          <w:spacing w:val="-2"/>
          <w:sz w:val="28"/>
          <w:szCs w:val="28"/>
          <w:lang w:eastAsia="zh-CN"/>
        </w:rPr>
        <w:t xml:space="preserve">                                           2025年7月25日</w:t>
      </w:r>
    </w:p>
    <w:p w14:paraId="352932CF">
      <w:pPr>
        <w:widowControl w:val="0"/>
        <w:overflowPunct w:val="0"/>
        <w:snapToGrid/>
        <w:spacing w:line="360" w:lineRule="auto"/>
        <w:ind w:firstLine="552" w:firstLineChars="200"/>
        <w:rPr>
          <w:rFonts w:hint="eastAsia" w:ascii="仿宋" w:hAnsi="仿宋" w:eastAsia="仿宋" w:cs="仿宋"/>
          <w:color w:val="auto"/>
          <w:spacing w:val="-2"/>
          <w:sz w:val="28"/>
          <w:szCs w:val="28"/>
          <w:lang w:eastAsia="zh-CN"/>
          <w14:textOutline w14:w="5105" w14:cap="sq" w14:cmpd="sng" w14:algn="ctr">
            <w14:solidFill>
              <w14:srgbClr w14:val="000000"/>
            </w14:solidFill>
            <w14:prstDash w14:val="solid"/>
            <w14:bevel/>
          </w14:textOutline>
        </w:rPr>
        <w:sectPr>
          <w:footerReference r:id="rId9" w:type="default"/>
          <w:pgSz w:w="11906" w:h="16839"/>
          <w:pgMar w:top="1134" w:right="964" w:bottom="1134" w:left="1593" w:header="0" w:footer="987" w:gutter="0"/>
          <w:pgNumType w:start="1"/>
          <w:cols w:space="720" w:num="1"/>
        </w:sectPr>
      </w:pPr>
    </w:p>
    <w:p w14:paraId="088EF6D6">
      <w:pPr>
        <w:spacing w:line="408" w:lineRule="auto"/>
        <w:ind w:firstLine="422" w:firstLineChars="200"/>
        <w:outlineLvl w:val="0"/>
        <w:rPr>
          <w:rFonts w:hint="eastAsia" w:ascii="仿宋" w:hAnsi="仿宋" w:eastAsia="仿宋"/>
          <w:b/>
          <w:szCs w:val="16"/>
          <w:lang w:eastAsia="zh-CN"/>
        </w:rPr>
      </w:pPr>
      <w:bookmarkStart w:id="233" w:name="bookmark69"/>
      <w:bookmarkEnd w:id="233"/>
      <w:bookmarkStart w:id="234" w:name="_Toc208840369"/>
      <w:bookmarkStart w:id="235" w:name="_Toc179818221"/>
      <w:bookmarkStart w:id="236" w:name="_Toc181558051"/>
      <w:r>
        <w:rPr>
          <w:rFonts w:hint="eastAsia" w:ascii="仿宋" w:hAnsi="仿宋" w:eastAsia="仿宋"/>
          <w:b/>
          <w:szCs w:val="16"/>
          <w:lang w:eastAsia="zh-CN"/>
        </w:rPr>
        <w:t>附件一：调查问卷</w:t>
      </w:r>
      <w:bookmarkEnd w:id="234"/>
      <w:bookmarkEnd w:id="235"/>
      <w:bookmarkEnd w:id="236"/>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1"/>
        <w:gridCol w:w="650"/>
      </w:tblGrid>
      <w:tr w14:paraId="09D61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4653" w:type="pct"/>
            <w:shd w:val="clear" w:color="auto" w:fill="D8D8D8" w:themeFill="background1" w:themeFillShade="D9"/>
            <w:vAlign w:val="center"/>
          </w:tcPr>
          <w:p w14:paraId="6FA015BA">
            <w:pPr>
              <w:spacing w:line="408" w:lineRule="auto"/>
              <w:jc w:val="center"/>
              <w:rPr>
                <w:rFonts w:hint="eastAsia" w:ascii="仿宋" w:hAnsi="仿宋" w:eastAsia="仿宋"/>
                <w:b/>
                <w:sz w:val="18"/>
              </w:rPr>
            </w:pPr>
            <w:r>
              <w:rPr>
                <w:rFonts w:hint="eastAsia" w:ascii="仿宋" w:hAnsi="仿宋" w:eastAsia="仿宋"/>
                <w:b/>
                <w:sz w:val="18"/>
              </w:rPr>
              <w:t>调查项目</w:t>
            </w:r>
          </w:p>
        </w:tc>
        <w:tc>
          <w:tcPr>
            <w:tcW w:w="347" w:type="pct"/>
            <w:shd w:val="clear" w:color="auto" w:fill="D8D8D8" w:themeFill="background1" w:themeFillShade="D9"/>
            <w:vAlign w:val="center"/>
          </w:tcPr>
          <w:p w14:paraId="6B6E844B">
            <w:pPr>
              <w:spacing w:line="408" w:lineRule="auto"/>
              <w:jc w:val="center"/>
              <w:rPr>
                <w:rFonts w:hint="eastAsia" w:ascii="仿宋" w:hAnsi="仿宋" w:eastAsia="仿宋"/>
                <w:b/>
                <w:sz w:val="18"/>
              </w:rPr>
            </w:pPr>
            <w:r>
              <w:rPr>
                <w:rFonts w:hint="eastAsia" w:ascii="仿宋" w:hAnsi="仿宋" w:eastAsia="仿宋"/>
                <w:b/>
                <w:sz w:val="18"/>
              </w:rPr>
              <w:t>选择</w:t>
            </w:r>
          </w:p>
        </w:tc>
      </w:tr>
      <w:tr w14:paraId="0381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653" w:type="pct"/>
            <w:vAlign w:val="center"/>
          </w:tcPr>
          <w:p w14:paraId="75570702">
            <w:pPr>
              <w:spacing w:line="408" w:lineRule="auto"/>
              <w:rPr>
                <w:rFonts w:hint="eastAsia" w:ascii="仿宋" w:hAnsi="仿宋" w:eastAsia="仿宋"/>
                <w:sz w:val="18"/>
                <w:lang w:eastAsia="zh-CN"/>
              </w:rPr>
            </w:pPr>
            <w:r>
              <w:rPr>
                <w:rFonts w:hint="eastAsia" w:ascii="仿宋" w:hAnsi="仿宋" w:eastAsia="仿宋"/>
                <w:sz w:val="18"/>
                <w:lang w:eastAsia="zh-CN"/>
              </w:rPr>
              <w:t>（1）你认为石狮市城市管理和综合执法局的工作是否提高了道路路灯的亮灯率？</w:t>
            </w:r>
            <w:r>
              <w:rPr>
                <w:rFonts w:hint="eastAsia" w:ascii="仿宋" w:hAnsi="仿宋" w:eastAsia="仿宋"/>
                <w:sz w:val="18"/>
                <w:lang w:eastAsia="zh-CN"/>
              </w:rPr>
              <w:br w:type="textWrapping"/>
            </w:r>
            <w:r>
              <w:rPr>
                <w:rFonts w:hint="eastAsia" w:ascii="仿宋" w:hAnsi="仿宋" w:eastAsia="仿宋"/>
                <w:sz w:val="18"/>
                <w:lang w:eastAsia="zh-CN"/>
              </w:rPr>
              <w:t>A：有明显提高</w:t>
            </w:r>
            <w:r>
              <w:rPr>
                <w:rFonts w:hint="eastAsia" w:ascii="仿宋" w:hAnsi="仿宋" w:eastAsia="仿宋"/>
                <w:sz w:val="18"/>
                <w:lang w:eastAsia="zh-CN"/>
              </w:rPr>
              <w:br w:type="textWrapping"/>
            </w:r>
            <w:r>
              <w:rPr>
                <w:rFonts w:hint="eastAsia" w:ascii="仿宋" w:hAnsi="仿宋" w:eastAsia="仿宋"/>
                <w:sz w:val="18"/>
                <w:lang w:eastAsia="zh-CN"/>
              </w:rPr>
              <w:t>B：有一定提高</w:t>
            </w:r>
            <w:r>
              <w:rPr>
                <w:rFonts w:hint="eastAsia" w:ascii="仿宋" w:hAnsi="仿宋" w:eastAsia="仿宋"/>
                <w:sz w:val="18"/>
                <w:lang w:eastAsia="zh-CN"/>
              </w:rPr>
              <w:br w:type="textWrapping"/>
            </w:r>
            <w:r>
              <w:rPr>
                <w:rFonts w:hint="eastAsia" w:ascii="仿宋" w:hAnsi="仿宋" w:eastAsia="仿宋"/>
                <w:sz w:val="18"/>
                <w:lang w:eastAsia="zh-CN"/>
              </w:rPr>
              <w:t>C：有小幅度提高</w:t>
            </w:r>
          </w:p>
        </w:tc>
        <w:tc>
          <w:tcPr>
            <w:tcW w:w="347" w:type="pct"/>
            <w:vAlign w:val="center"/>
          </w:tcPr>
          <w:p w14:paraId="26B4DCA7">
            <w:pPr>
              <w:spacing w:line="408" w:lineRule="auto"/>
              <w:rPr>
                <w:rFonts w:hint="eastAsia" w:ascii="仿宋" w:hAnsi="仿宋" w:eastAsia="仿宋"/>
                <w:sz w:val="18"/>
                <w:lang w:eastAsia="zh-CN"/>
              </w:rPr>
            </w:pPr>
          </w:p>
        </w:tc>
      </w:tr>
      <w:tr w14:paraId="69C6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653" w:type="pct"/>
            <w:vAlign w:val="center"/>
          </w:tcPr>
          <w:p w14:paraId="21289B99">
            <w:pPr>
              <w:spacing w:line="408" w:lineRule="auto"/>
              <w:rPr>
                <w:rFonts w:hint="eastAsia" w:ascii="仿宋" w:hAnsi="仿宋" w:eastAsia="仿宋"/>
                <w:sz w:val="18"/>
                <w:lang w:eastAsia="zh-CN"/>
              </w:rPr>
            </w:pPr>
            <w:r>
              <w:rPr>
                <w:rFonts w:hint="eastAsia" w:ascii="仿宋" w:hAnsi="仿宋" w:eastAsia="仿宋"/>
                <w:sz w:val="18"/>
                <w:lang w:eastAsia="zh-CN"/>
              </w:rPr>
              <w:t>（2）你认为石狮市城市管理和综合执法局的工作是否促进了当地商铺的安全生产及占道经营情况？</w:t>
            </w:r>
            <w:r>
              <w:rPr>
                <w:rFonts w:hint="eastAsia" w:ascii="仿宋" w:hAnsi="仿宋" w:eastAsia="仿宋"/>
                <w:sz w:val="18"/>
                <w:lang w:eastAsia="zh-CN"/>
              </w:rPr>
              <w:br w:type="textWrapping"/>
            </w:r>
            <w:r>
              <w:rPr>
                <w:rFonts w:hint="eastAsia" w:ascii="仿宋" w:hAnsi="仿宋" w:eastAsia="仿宋"/>
                <w:sz w:val="18"/>
                <w:lang w:eastAsia="zh-CN"/>
              </w:rPr>
              <w:t>A：有大幅度促进</w:t>
            </w:r>
            <w:r>
              <w:rPr>
                <w:rFonts w:hint="eastAsia" w:ascii="仿宋" w:hAnsi="仿宋" w:eastAsia="仿宋"/>
                <w:sz w:val="18"/>
                <w:lang w:eastAsia="zh-CN"/>
              </w:rPr>
              <w:br w:type="textWrapping"/>
            </w:r>
            <w:r>
              <w:rPr>
                <w:rFonts w:hint="eastAsia" w:ascii="仿宋" w:hAnsi="仿宋" w:eastAsia="仿宋"/>
                <w:sz w:val="18"/>
                <w:lang w:eastAsia="zh-CN"/>
              </w:rPr>
              <w:t>B：有较大促进</w:t>
            </w:r>
            <w:r>
              <w:rPr>
                <w:rFonts w:hint="eastAsia" w:ascii="仿宋" w:hAnsi="仿宋" w:eastAsia="仿宋"/>
                <w:sz w:val="18"/>
                <w:lang w:eastAsia="zh-CN"/>
              </w:rPr>
              <w:br w:type="textWrapping"/>
            </w:r>
            <w:r>
              <w:rPr>
                <w:rFonts w:hint="eastAsia" w:ascii="仿宋" w:hAnsi="仿宋" w:eastAsia="仿宋"/>
                <w:sz w:val="18"/>
                <w:lang w:eastAsia="zh-CN"/>
              </w:rPr>
              <w:t>C：有一定程度促进</w:t>
            </w:r>
            <w:r>
              <w:rPr>
                <w:rFonts w:hint="eastAsia" w:ascii="仿宋" w:hAnsi="仿宋" w:eastAsia="仿宋"/>
                <w:sz w:val="18"/>
                <w:lang w:eastAsia="zh-CN"/>
              </w:rPr>
              <w:br w:type="textWrapping"/>
            </w:r>
            <w:r>
              <w:rPr>
                <w:rFonts w:hint="eastAsia" w:ascii="仿宋" w:hAnsi="仿宋" w:eastAsia="仿宋"/>
                <w:sz w:val="18"/>
                <w:lang w:eastAsia="zh-CN"/>
              </w:rPr>
              <w:t>D：小幅度促进</w:t>
            </w:r>
          </w:p>
        </w:tc>
        <w:tc>
          <w:tcPr>
            <w:tcW w:w="347" w:type="pct"/>
            <w:vAlign w:val="center"/>
          </w:tcPr>
          <w:p w14:paraId="2DE5F3CE">
            <w:pPr>
              <w:spacing w:line="408" w:lineRule="auto"/>
              <w:rPr>
                <w:rFonts w:hint="eastAsia" w:ascii="仿宋" w:hAnsi="仿宋" w:eastAsia="仿宋"/>
                <w:sz w:val="18"/>
                <w:lang w:eastAsia="zh-CN"/>
              </w:rPr>
            </w:pPr>
          </w:p>
        </w:tc>
      </w:tr>
      <w:tr w14:paraId="596D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653" w:type="pct"/>
            <w:vAlign w:val="center"/>
          </w:tcPr>
          <w:p w14:paraId="118ACA30">
            <w:pPr>
              <w:spacing w:line="408" w:lineRule="auto"/>
              <w:rPr>
                <w:rFonts w:hint="eastAsia" w:ascii="仿宋" w:hAnsi="仿宋" w:eastAsia="仿宋"/>
                <w:sz w:val="18"/>
                <w:lang w:eastAsia="zh-CN"/>
              </w:rPr>
            </w:pPr>
            <w:r>
              <w:rPr>
                <w:rFonts w:hint="eastAsia" w:ascii="仿宋" w:hAnsi="仿宋" w:eastAsia="仿宋"/>
                <w:sz w:val="18"/>
                <w:lang w:eastAsia="zh-CN"/>
              </w:rPr>
              <w:t>（3）你认为石狮市城市管理和综合执法局的工作是否促进了当地水资源的节约？</w:t>
            </w:r>
            <w:r>
              <w:rPr>
                <w:rFonts w:hint="eastAsia" w:ascii="仿宋" w:hAnsi="仿宋" w:eastAsia="仿宋"/>
                <w:sz w:val="18"/>
                <w:lang w:eastAsia="zh-CN"/>
              </w:rPr>
              <w:br w:type="textWrapping"/>
            </w:r>
            <w:r>
              <w:rPr>
                <w:rFonts w:hint="eastAsia" w:ascii="仿宋" w:hAnsi="仿宋" w:eastAsia="仿宋"/>
                <w:sz w:val="18"/>
                <w:lang w:eastAsia="zh-CN"/>
              </w:rPr>
              <w:t>A：有大幅度促进</w:t>
            </w:r>
            <w:r>
              <w:rPr>
                <w:rFonts w:hint="eastAsia" w:ascii="仿宋" w:hAnsi="仿宋" w:eastAsia="仿宋"/>
                <w:sz w:val="18"/>
                <w:lang w:eastAsia="zh-CN"/>
              </w:rPr>
              <w:br w:type="textWrapping"/>
            </w:r>
            <w:r>
              <w:rPr>
                <w:rFonts w:hint="eastAsia" w:ascii="仿宋" w:hAnsi="仿宋" w:eastAsia="仿宋"/>
                <w:sz w:val="18"/>
                <w:lang w:eastAsia="zh-CN"/>
              </w:rPr>
              <w:t>B：有较大促进</w:t>
            </w:r>
            <w:r>
              <w:rPr>
                <w:rFonts w:hint="eastAsia" w:ascii="仿宋" w:hAnsi="仿宋" w:eastAsia="仿宋"/>
                <w:sz w:val="18"/>
                <w:lang w:eastAsia="zh-CN"/>
              </w:rPr>
              <w:br w:type="textWrapping"/>
            </w:r>
            <w:r>
              <w:rPr>
                <w:rFonts w:hint="eastAsia" w:ascii="仿宋" w:hAnsi="仿宋" w:eastAsia="仿宋"/>
                <w:sz w:val="18"/>
                <w:lang w:eastAsia="zh-CN"/>
              </w:rPr>
              <w:t>C：有一定程度促进</w:t>
            </w:r>
            <w:r>
              <w:rPr>
                <w:rFonts w:hint="eastAsia" w:ascii="仿宋" w:hAnsi="仿宋" w:eastAsia="仿宋"/>
                <w:sz w:val="18"/>
                <w:lang w:eastAsia="zh-CN"/>
              </w:rPr>
              <w:br w:type="textWrapping"/>
            </w:r>
            <w:r>
              <w:rPr>
                <w:rFonts w:hint="eastAsia" w:ascii="仿宋" w:hAnsi="仿宋" w:eastAsia="仿宋"/>
                <w:sz w:val="18"/>
                <w:lang w:eastAsia="zh-CN"/>
              </w:rPr>
              <w:t>D：小幅度促进</w:t>
            </w:r>
          </w:p>
        </w:tc>
        <w:tc>
          <w:tcPr>
            <w:tcW w:w="347" w:type="pct"/>
            <w:vAlign w:val="center"/>
          </w:tcPr>
          <w:p w14:paraId="147B4E09">
            <w:pPr>
              <w:spacing w:line="408" w:lineRule="auto"/>
              <w:rPr>
                <w:rFonts w:hint="eastAsia" w:ascii="仿宋" w:hAnsi="仿宋" w:eastAsia="仿宋"/>
                <w:sz w:val="18"/>
                <w:lang w:eastAsia="zh-CN"/>
              </w:rPr>
            </w:pPr>
          </w:p>
        </w:tc>
      </w:tr>
      <w:tr w14:paraId="2A71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653" w:type="pct"/>
            <w:vAlign w:val="center"/>
          </w:tcPr>
          <w:p w14:paraId="54B14836">
            <w:pPr>
              <w:spacing w:line="408" w:lineRule="auto"/>
              <w:rPr>
                <w:rFonts w:hint="eastAsia" w:ascii="仿宋" w:hAnsi="仿宋" w:eastAsia="仿宋"/>
                <w:sz w:val="18"/>
                <w:lang w:eastAsia="zh-CN"/>
              </w:rPr>
            </w:pPr>
            <w:r>
              <w:rPr>
                <w:rFonts w:hint="eastAsia" w:ascii="仿宋" w:hAnsi="仿宋" w:eastAsia="仿宋"/>
                <w:sz w:val="18"/>
                <w:lang w:eastAsia="zh-CN"/>
              </w:rPr>
              <w:t>（4）你认为石狮市城市管理和综合执法局的工作是否促进了当地环境卫生优化？</w:t>
            </w:r>
            <w:r>
              <w:rPr>
                <w:rFonts w:hint="eastAsia" w:ascii="仿宋" w:hAnsi="仿宋" w:eastAsia="仿宋"/>
                <w:sz w:val="18"/>
                <w:lang w:eastAsia="zh-CN"/>
              </w:rPr>
              <w:br w:type="textWrapping"/>
            </w:r>
            <w:r>
              <w:rPr>
                <w:rFonts w:hint="eastAsia" w:ascii="仿宋" w:hAnsi="仿宋" w:eastAsia="仿宋"/>
                <w:sz w:val="18"/>
                <w:lang w:eastAsia="zh-CN"/>
              </w:rPr>
              <w:t>A：有大幅度促进</w:t>
            </w:r>
            <w:r>
              <w:rPr>
                <w:rFonts w:hint="eastAsia" w:ascii="仿宋" w:hAnsi="仿宋" w:eastAsia="仿宋"/>
                <w:sz w:val="18"/>
                <w:lang w:eastAsia="zh-CN"/>
              </w:rPr>
              <w:br w:type="textWrapping"/>
            </w:r>
            <w:r>
              <w:rPr>
                <w:rFonts w:hint="eastAsia" w:ascii="仿宋" w:hAnsi="仿宋" w:eastAsia="仿宋"/>
                <w:sz w:val="18"/>
                <w:lang w:eastAsia="zh-CN"/>
              </w:rPr>
              <w:t>B：有较大促进</w:t>
            </w:r>
            <w:r>
              <w:rPr>
                <w:rFonts w:hint="eastAsia" w:ascii="仿宋" w:hAnsi="仿宋" w:eastAsia="仿宋"/>
                <w:sz w:val="18"/>
                <w:lang w:eastAsia="zh-CN"/>
              </w:rPr>
              <w:br w:type="textWrapping"/>
            </w:r>
            <w:r>
              <w:rPr>
                <w:rFonts w:hint="eastAsia" w:ascii="仿宋" w:hAnsi="仿宋" w:eastAsia="仿宋"/>
                <w:sz w:val="18"/>
                <w:lang w:eastAsia="zh-CN"/>
              </w:rPr>
              <w:t>C：有一定程度促进</w:t>
            </w:r>
            <w:r>
              <w:rPr>
                <w:rFonts w:hint="eastAsia" w:ascii="仿宋" w:hAnsi="仿宋" w:eastAsia="仿宋"/>
                <w:sz w:val="18"/>
                <w:lang w:eastAsia="zh-CN"/>
              </w:rPr>
              <w:br w:type="textWrapping"/>
            </w:r>
            <w:r>
              <w:rPr>
                <w:rFonts w:hint="eastAsia" w:ascii="仿宋" w:hAnsi="仿宋" w:eastAsia="仿宋"/>
                <w:sz w:val="18"/>
                <w:lang w:eastAsia="zh-CN"/>
              </w:rPr>
              <w:t>D：小幅度促进</w:t>
            </w:r>
          </w:p>
        </w:tc>
        <w:tc>
          <w:tcPr>
            <w:tcW w:w="347" w:type="pct"/>
            <w:vAlign w:val="center"/>
          </w:tcPr>
          <w:p w14:paraId="302C316F">
            <w:pPr>
              <w:spacing w:line="408" w:lineRule="auto"/>
              <w:rPr>
                <w:rFonts w:hint="eastAsia" w:ascii="仿宋" w:hAnsi="仿宋" w:eastAsia="仿宋"/>
                <w:sz w:val="18"/>
                <w:lang w:eastAsia="zh-CN"/>
              </w:rPr>
            </w:pPr>
          </w:p>
        </w:tc>
      </w:tr>
      <w:tr w14:paraId="5CC0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653" w:type="pct"/>
            <w:vAlign w:val="center"/>
          </w:tcPr>
          <w:p w14:paraId="568F47C0">
            <w:pPr>
              <w:spacing w:line="408" w:lineRule="auto"/>
              <w:rPr>
                <w:rFonts w:hint="eastAsia" w:ascii="仿宋" w:hAnsi="仿宋" w:eastAsia="仿宋"/>
                <w:sz w:val="18"/>
                <w:lang w:eastAsia="zh-CN"/>
              </w:rPr>
            </w:pPr>
            <w:r>
              <w:rPr>
                <w:rFonts w:hint="eastAsia" w:ascii="仿宋" w:hAnsi="仿宋" w:eastAsia="仿宋"/>
                <w:sz w:val="18"/>
                <w:lang w:eastAsia="zh-CN"/>
              </w:rPr>
              <w:t>（5）你认为石狮市城市管理和综合执法局的工作是否促进当地绿化绿植的增加？</w:t>
            </w:r>
            <w:r>
              <w:rPr>
                <w:rFonts w:hint="eastAsia" w:ascii="仿宋" w:hAnsi="仿宋" w:eastAsia="仿宋"/>
                <w:sz w:val="18"/>
                <w:lang w:eastAsia="zh-CN"/>
              </w:rPr>
              <w:br w:type="textWrapping"/>
            </w:r>
            <w:r>
              <w:rPr>
                <w:rFonts w:hint="eastAsia" w:ascii="仿宋" w:hAnsi="仿宋" w:eastAsia="仿宋"/>
                <w:sz w:val="18"/>
                <w:lang w:eastAsia="zh-CN"/>
              </w:rPr>
              <w:t>A：有大幅度促进</w:t>
            </w:r>
            <w:r>
              <w:rPr>
                <w:rFonts w:hint="eastAsia" w:ascii="仿宋" w:hAnsi="仿宋" w:eastAsia="仿宋"/>
                <w:sz w:val="18"/>
                <w:lang w:eastAsia="zh-CN"/>
              </w:rPr>
              <w:br w:type="textWrapping"/>
            </w:r>
            <w:r>
              <w:rPr>
                <w:rFonts w:hint="eastAsia" w:ascii="仿宋" w:hAnsi="仿宋" w:eastAsia="仿宋"/>
                <w:sz w:val="18"/>
                <w:lang w:eastAsia="zh-CN"/>
              </w:rPr>
              <w:t>B：有较大促进</w:t>
            </w:r>
            <w:r>
              <w:rPr>
                <w:rFonts w:hint="eastAsia" w:ascii="仿宋" w:hAnsi="仿宋" w:eastAsia="仿宋"/>
                <w:sz w:val="18"/>
                <w:lang w:eastAsia="zh-CN"/>
              </w:rPr>
              <w:br w:type="textWrapping"/>
            </w:r>
            <w:r>
              <w:rPr>
                <w:rFonts w:hint="eastAsia" w:ascii="仿宋" w:hAnsi="仿宋" w:eastAsia="仿宋"/>
                <w:sz w:val="18"/>
                <w:lang w:eastAsia="zh-CN"/>
              </w:rPr>
              <w:t>C：有一定程度促进</w:t>
            </w:r>
            <w:r>
              <w:rPr>
                <w:rFonts w:hint="eastAsia" w:ascii="仿宋" w:hAnsi="仿宋" w:eastAsia="仿宋"/>
                <w:sz w:val="18"/>
                <w:lang w:eastAsia="zh-CN"/>
              </w:rPr>
              <w:br w:type="textWrapping"/>
            </w:r>
            <w:r>
              <w:rPr>
                <w:rFonts w:hint="eastAsia" w:ascii="仿宋" w:hAnsi="仿宋" w:eastAsia="仿宋"/>
                <w:sz w:val="18"/>
                <w:lang w:eastAsia="zh-CN"/>
              </w:rPr>
              <w:t>D：小幅度促进</w:t>
            </w:r>
          </w:p>
        </w:tc>
        <w:tc>
          <w:tcPr>
            <w:tcW w:w="347" w:type="pct"/>
            <w:vAlign w:val="center"/>
          </w:tcPr>
          <w:p w14:paraId="51C063C5">
            <w:pPr>
              <w:spacing w:line="408" w:lineRule="auto"/>
              <w:rPr>
                <w:rFonts w:hint="eastAsia" w:ascii="仿宋" w:hAnsi="仿宋" w:eastAsia="仿宋"/>
                <w:sz w:val="18"/>
                <w:lang w:eastAsia="zh-CN"/>
              </w:rPr>
            </w:pPr>
          </w:p>
        </w:tc>
      </w:tr>
      <w:tr w14:paraId="3481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653" w:type="pct"/>
            <w:vAlign w:val="center"/>
          </w:tcPr>
          <w:p w14:paraId="5B3B1461">
            <w:pPr>
              <w:spacing w:line="408" w:lineRule="auto"/>
              <w:rPr>
                <w:rFonts w:hint="eastAsia" w:ascii="仿宋" w:hAnsi="仿宋" w:eastAsia="仿宋"/>
                <w:sz w:val="18"/>
                <w:lang w:eastAsia="zh-CN"/>
              </w:rPr>
            </w:pPr>
            <w:r>
              <w:rPr>
                <w:rFonts w:hint="eastAsia" w:ascii="仿宋" w:hAnsi="仿宋" w:eastAsia="仿宋"/>
                <w:sz w:val="18"/>
                <w:lang w:eastAsia="zh-CN"/>
              </w:rPr>
              <w:t>（6）你对石狮市城市管理和综合执法局的工作及对人民群众的贡献是否感到满意？</w:t>
            </w:r>
            <w:r>
              <w:rPr>
                <w:rFonts w:hint="eastAsia" w:ascii="仿宋" w:hAnsi="仿宋" w:eastAsia="仿宋"/>
                <w:sz w:val="18"/>
                <w:lang w:eastAsia="zh-CN"/>
              </w:rPr>
              <w:br w:type="textWrapping"/>
            </w:r>
            <w:r>
              <w:rPr>
                <w:rFonts w:hint="eastAsia" w:ascii="仿宋" w:hAnsi="仿宋" w:eastAsia="仿宋"/>
                <w:sz w:val="18"/>
                <w:lang w:eastAsia="zh-CN"/>
              </w:rPr>
              <w:t>A：非常满意</w:t>
            </w:r>
            <w:r>
              <w:rPr>
                <w:rFonts w:hint="eastAsia" w:ascii="仿宋" w:hAnsi="仿宋" w:eastAsia="仿宋"/>
                <w:sz w:val="18"/>
                <w:lang w:eastAsia="zh-CN"/>
              </w:rPr>
              <w:br w:type="textWrapping"/>
            </w:r>
            <w:r>
              <w:rPr>
                <w:rFonts w:hint="eastAsia" w:ascii="仿宋" w:hAnsi="仿宋" w:eastAsia="仿宋"/>
                <w:sz w:val="18"/>
                <w:lang w:eastAsia="zh-CN"/>
              </w:rPr>
              <w:t>B：基本满意</w:t>
            </w:r>
            <w:r>
              <w:rPr>
                <w:rFonts w:hint="eastAsia" w:ascii="仿宋" w:hAnsi="仿宋" w:eastAsia="仿宋"/>
                <w:sz w:val="18"/>
                <w:lang w:eastAsia="zh-CN"/>
              </w:rPr>
              <w:br w:type="textWrapping"/>
            </w:r>
            <w:r>
              <w:rPr>
                <w:rFonts w:hint="eastAsia" w:ascii="仿宋" w:hAnsi="仿宋" w:eastAsia="仿宋"/>
                <w:sz w:val="18"/>
                <w:lang w:eastAsia="zh-CN"/>
              </w:rPr>
              <w:t>C：有一定投诉</w:t>
            </w:r>
            <w:r>
              <w:rPr>
                <w:rFonts w:hint="eastAsia" w:ascii="仿宋" w:hAnsi="仿宋" w:eastAsia="仿宋"/>
                <w:sz w:val="18"/>
                <w:lang w:eastAsia="zh-CN"/>
              </w:rPr>
              <w:br w:type="textWrapping"/>
            </w:r>
            <w:r>
              <w:rPr>
                <w:rFonts w:hint="eastAsia" w:ascii="仿宋" w:hAnsi="仿宋" w:eastAsia="仿宋"/>
                <w:sz w:val="18"/>
                <w:lang w:eastAsia="zh-CN"/>
              </w:rPr>
              <w:t>D：不满意</w:t>
            </w:r>
          </w:p>
        </w:tc>
        <w:tc>
          <w:tcPr>
            <w:tcW w:w="347" w:type="pct"/>
            <w:vAlign w:val="center"/>
          </w:tcPr>
          <w:p w14:paraId="0489C61A">
            <w:pPr>
              <w:spacing w:line="408" w:lineRule="auto"/>
              <w:rPr>
                <w:rFonts w:hint="eastAsia" w:ascii="仿宋" w:hAnsi="仿宋" w:eastAsia="仿宋"/>
                <w:sz w:val="18"/>
                <w:lang w:eastAsia="zh-CN"/>
              </w:rPr>
            </w:pPr>
          </w:p>
        </w:tc>
      </w:tr>
    </w:tbl>
    <w:p w14:paraId="680DBE4F">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724AD2EF">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3B8B0CCA">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607685DC">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3DFA3904">
      <w:pPr>
        <w:spacing w:line="408" w:lineRule="auto"/>
        <w:ind w:firstLine="422" w:firstLineChars="200"/>
        <w:outlineLvl w:val="0"/>
        <w:rPr>
          <w:rFonts w:hint="eastAsia" w:ascii="仿宋" w:hAnsi="仿宋" w:eastAsia="仿宋"/>
          <w:b/>
          <w:szCs w:val="16"/>
          <w:lang w:eastAsia="zh-CN"/>
        </w:rPr>
      </w:pPr>
      <w:bookmarkStart w:id="237" w:name="_Toc208840370"/>
      <w:bookmarkStart w:id="238" w:name="_Toc181558052"/>
      <w:bookmarkStart w:id="239" w:name="_Toc179818222"/>
      <w:r>
        <w:rPr>
          <w:rFonts w:hint="eastAsia" w:ascii="仿宋" w:hAnsi="仿宋" w:eastAsia="仿宋"/>
          <w:b/>
          <w:szCs w:val="16"/>
          <w:lang w:eastAsia="zh-CN"/>
        </w:rPr>
        <w:t>附件二：访谈相关照片</w:t>
      </w:r>
      <w:bookmarkEnd w:id="237"/>
      <w:bookmarkEnd w:id="238"/>
      <w:bookmarkEnd w:id="239"/>
    </w:p>
    <w:p w14:paraId="436A1E1A">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r>
        <w:drawing>
          <wp:inline distT="0" distB="0" distL="0" distR="0">
            <wp:extent cx="2466975" cy="1849755"/>
            <wp:effectExtent l="0" t="0" r="0" b="0"/>
            <wp:docPr id="14972375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23751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74510" cy="1855815"/>
                    </a:xfrm>
                    <a:prstGeom prst="rect">
                      <a:avLst/>
                    </a:prstGeom>
                    <a:noFill/>
                    <a:ln>
                      <a:noFill/>
                    </a:ln>
                  </pic:spPr>
                </pic:pic>
              </a:graphicData>
            </a:graphic>
          </wp:inline>
        </w:drawing>
      </w:r>
      <w:r>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t xml:space="preserve">  </w:t>
      </w:r>
      <w:r>
        <w:drawing>
          <wp:inline distT="0" distB="0" distL="0" distR="0">
            <wp:extent cx="2556510" cy="1842135"/>
            <wp:effectExtent l="0" t="0" r="0" b="5715"/>
            <wp:docPr id="7058632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863297"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72453" cy="1853397"/>
                    </a:xfrm>
                    <a:prstGeom prst="rect">
                      <a:avLst/>
                    </a:prstGeom>
                    <a:noFill/>
                    <a:ln>
                      <a:noFill/>
                    </a:ln>
                  </pic:spPr>
                </pic:pic>
              </a:graphicData>
            </a:graphic>
          </wp:inline>
        </w:drawing>
      </w:r>
    </w:p>
    <w:p w14:paraId="5911A881">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r>
        <w:drawing>
          <wp:inline distT="0" distB="0" distL="0" distR="0">
            <wp:extent cx="2456180" cy="1671320"/>
            <wp:effectExtent l="0" t="0" r="1270" b="5080"/>
            <wp:docPr id="16352611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261115"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66885" cy="1678721"/>
                    </a:xfrm>
                    <a:prstGeom prst="rect">
                      <a:avLst/>
                    </a:prstGeom>
                    <a:noFill/>
                    <a:ln>
                      <a:noFill/>
                    </a:ln>
                  </pic:spPr>
                </pic:pic>
              </a:graphicData>
            </a:graphic>
          </wp:inline>
        </w:drawing>
      </w:r>
      <w:r>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t xml:space="preserve">  </w:t>
      </w:r>
      <w:r>
        <w:drawing>
          <wp:inline distT="0" distB="0" distL="0" distR="0">
            <wp:extent cx="2566035" cy="1642745"/>
            <wp:effectExtent l="0" t="0" r="5715" b="0"/>
            <wp:docPr id="14223231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32311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3869" cy="1660564"/>
                    </a:xfrm>
                    <a:prstGeom prst="rect">
                      <a:avLst/>
                    </a:prstGeom>
                    <a:noFill/>
                    <a:ln>
                      <a:noFill/>
                    </a:ln>
                  </pic:spPr>
                </pic:pic>
              </a:graphicData>
            </a:graphic>
          </wp:inline>
        </w:drawing>
      </w:r>
    </w:p>
    <w:p w14:paraId="157A4DA2">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r>
        <w:drawing>
          <wp:inline distT="0" distB="0" distL="0" distR="0">
            <wp:extent cx="2457450" cy="1842770"/>
            <wp:effectExtent l="0" t="0" r="0" b="5080"/>
            <wp:docPr id="49503865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038659"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66326" cy="1849677"/>
                    </a:xfrm>
                    <a:prstGeom prst="rect">
                      <a:avLst/>
                    </a:prstGeom>
                    <a:noFill/>
                    <a:ln>
                      <a:noFill/>
                    </a:ln>
                  </pic:spPr>
                </pic:pic>
              </a:graphicData>
            </a:graphic>
          </wp:inline>
        </w:drawing>
      </w:r>
      <w:r>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t xml:space="preserve">  </w:t>
      </w:r>
      <w:r>
        <w:drawing>
          <wp:inline distT="0" distB="0" distL="0" distR="0">
            <wp:extent cx="2564765" cy="1840865"/>
            <wp:effectExtent l="0" t="0" r="6985" b="6985"/>
            <wp:docPr id="6515044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504449"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69221" cy="1843762"/>
                    </a:xfrm>
                    <a:prstGeom prst="rect">
                      <a:avLst/>
                    </a:prstGeom>
                    <a:noFill/>
                    <a:ln>
                      <a:noFill/>
                    </a:ln>
                  </pic:spPr>
                </pic:pic>
              </a:graphicData>
            </a:graphic>
          </wp:inline>
        </w:drawing>
      </w:r>
    </w:p>
    <w:p w14:paraId="1001017E">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11A2F6BF">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33E0CB2A">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51DED290">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6C40C304">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0B864F17">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3A94E8B7">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7DB099A1">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7B02BDEE">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333D4AD3">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516C41C4">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4123D020">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p w14:paraId="15F41FE3">
      <w:pPr>
        <w:spacing w:line="408" w:lineRule="auto"/>
        <w:ind w:firstLine="422" w:firstLineChars="200"/>
        <w:outlineLvl w:val="0"/>
        <w:rPr>
          <w:rFonts w:hint="eastAsia" w:ascii="仿宋" w:hAnsi="仿宋" w:eastAsia="仿宋"/>
          <w:b/>
          <w:szCs w:val="16"/>
          <w:lang w:eastAsia="zh-CN"/>
        </w:rPr>
      </w:pPr>
      <w:bookmarkStart w:id="240" w:name="_Toc179818223"/>
      <w:bookmarkStart w:id="241" w:name="_Toc181558053"/>
      <w:bookmarkStart w:id="242" w:name="_Toc208840371"/>
      <w:r>
        <w:rPr>
          <w:rFonts w:hint="eastAsia" w:ascii="仿宋" w:hAnsi="仿宋" w:eastAsia="仿宋"/>
          <w:b/>
          <w:szCs w:val="16"/>
          <w:lang w:eastAsia="zh-CN"/>
        </w:rPr>
        <w:t>附件三：绩效评价指标体系及得分情况表</w:t>
      </w:r>
      <w:bookmarkEnd w:id="240"/>
      <w:bookmarkEnd w:id="241"/>
      <w:bookmarkEnd w:id="242"/>
    </w:p>
    <w:tbl>
      <w:tblPr>
        <w:tblStyle w:val="9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147"/>
        <w:gridCol w:w="1479"/>
        <w:gridCol w:w="2009"/>
        <w:gridCol w:w="2789"/>
        <w:gridCol w:w="486"/>
        <w:gridCol w:w="577"/>
      </w:tblGrid>
      <w:tr w14:paraId="522C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shd w:val="clear" w:color="auto" w:fill="D8D8D8" w:themeFill="background1" w:themeFillShade="D9"/>
            <w:vAlign w:val="center"/>
          </w:tcPr>
          <w:p w14:paraId="51780D26">
            <w:pPr>
              <w:spacing w:line="408" w:lineRule="auto"/>
              <w:jc w:val="center"/>
              <w:rPr>
                <w:rFonts w:hint="eastAsia" w:ascii="仿宋" w:hAnsi="仿宋" w:eastAsia="仿宋"/>
                <w:b/>
                <w:sz w:val="18"/>
              </w:rPr>
            </w:pPr>
            <w:r>
              <w:rPr>
                <w:rFonts w:hint="eastAsia" w:ascii="仿宋" w:hAnsi="仿宋" w:eastAsia="仿宋"/>
                <w:b/>
                <w:sz w:val="18"/>
              </w:rPr>
              <w:t>一级指标</w:t>
            </w:r>
          </w:p>
        </w:tc>
        <w:tc>
          <w:tcPr>
            <w:tcW w:w="612" w:type="pct"/>
            <w:shd w:val="clear" w:color="auto" w:fill="D8D8D8" w:themeFill="background1" w:themeFillShade="D9"/>
            <w:vAlign w:val="center"/>
          </w:tcPr>
          <w:p w14:paraId="059D41CD">
            <w:pPr>
              <w:spacing w:line="408" w:lineRule="auto"/>
              <w:jc w:val="center"/>
              <w:rPr>
                <w:rFonts w:hint="eastAsia" w:ascii="仿宋" w:hAnsi="仿宋" w:eastAsia="仿宋"/>
                <w:b/>
                <w:sz w:val="18"/>
              </w:rPr>
            </w:pPr>
            <w:r>
              <w:rPr>
                <w:rFonts w:hint="eastAsia" w:ascii="仿宋" w:hAnsi="仿宋" w:eastAsia="仿宋"/>
                <w:b/>
                <w:sz w:val="18"/>
              </w:rPr>
              <w:t>二级指标</w:t>
            </w:r>
          </w:p>
        </w:tc>
        <w:tc>
          <w:tcPr>
            <w:tcW w:w="789" w:type="pct"/>
            <w:shd w:val="clear" w:color="auto" w:fill="D8D8D8" w:themeFill="background1" w:themeFillShade="D9"/>
            <w:vAlign w:val="center"/>
          </w:tcPr>
          <w:p w14:paraId="7CF20486">
            <w:pPr>
              <w:spacing w:line="408" w:lineRule="auto"/>
              <w:jc w:val="center"/>
              <w:rPr>
                <w:rFonts w:hint="eastAsia" w:ascii="仿宋" w:hAnsi="仿宋" w:eastAsia="仿宋"/>
                <w:b/>
                <w:sz w:val="18"/>
              </w:rPr>
            </w:pPr>
            <w:r>
              <w:rPr>
                <w:rFonts w:hint="eastAsia" w:ascii="仿宋" w:hAnsi="仿宋" w:eastAsia="仿宋"/>
                <w:b/>
                <w:sz w:val="18"/>
              </w:rPr>
              <w:t>三级指标</w:t>
            </w:r>
          </w:p>
        </w:tc>
        <w:tc>
          <w:tcPr>
            <w:tcW w:w="1072" w:type="pct"/>
            <w:shd w:val="clear" w:color="auto" w:fill="D8D8D8" w:themeFill="background1" w:themeFillShade="D9"/>
            <w:vAlign w:val="center"/>
          </w:tcPr>
          <w:p w14:paraId="6BA48B94">
            <w:pPr>
              <w:spacing w:line="408" w:lineRule="auto"/>
              <w:jc w:val="center"/>
              <w:rPr>
                <w:rFonts w:hint="eastAsia" w:ascii="仿宋" w:hAnsi="仿宋" w:eastAsia="仿宋"/>
                <w:b/>
                <w:sz w:val="18"/>
              </w:rPr>
            </w:pPr>
            <w:r>
              <w:rPr>
                <w:rFonts w:hint="eastAsia" w:ascii="仿宋" w:hAnsi="仿宋" w:eastAsia="仿宋"/>
                <w:b/>
                <w:sz w:val="18"/>
              </w:rPr>
              <w:t>指标解释</w:t>
            </w:r>
          </w:p>
        </w:tc>
        <w:tc>
          <w:tcPr>
            <w:tcW w:w="1488" w:type="pct"/>
            <w:shd w:val="clear" w:color="auto" w:fill="D8D8D8" w:themeFill="background1" w:themeFillShade="D9"/>
            <w:vAlign w:val="center"/>
          </w:tcPr>
          <w:p w14:paraId="228B9332">
            <w:pPr>
              <w:spacing w:line="408" w:lineRule="auto"/>
              <w:jc w:val="center"/>
              <w:rPr>
                <w:rFonts w:hint="eastAsia" w:ascii="仿宋" w:hAnsi="仿宋" w:eastAsia="仿宋"/>
                <w:b/>
                <w:sz w:val="18"/>
              </w:rPr>
            </w:pPr>
            <w:r>
              <w:rPr>
                <w:rFonts w:hint="eastAsia" w:ascii="仿宋" w:hAnsi="仿宋" w:eastAsia="仿宋"/>
                <w:b/>
                <w:sz w:val="18"/>
              </w:rPr>
              <w:t>评分标准</w:t>
            </w:r>
          </w:p>
        </w:tc>
        <w:tc>
          <w:tcPr>
            <w:tcW w:w="259" w:type="pct"/>
            <w:shd w:val="clear" w:color="auto" w:fill="D8D8D8" w:themeFill="background1" w:themeFillShade="D9"/>
            <w:vAlign w:val="center"/>
          </w:tcPr>
          <w:p w14:paraId="5F9AA454">
            <w:pPr>
              <w:spacing w:line="408" w:lineRule="auto"/>
              <w:jc w:val="center"/>
              <w:rPr>
                <w:rFonts w:hint="eastAsia" w:ascii="仿宋" w:hAnsi="仿宋" w:eastAsia="仿宋"/>
                <w:b/>
                <w:sz w:val="18"/>
              </w:rPr>
            </w:pPr>
            <w:r>
              <w:rPr>
                <w:rFonts w:hint="eastAsia" w:ascii="仿宋" w:hAnsi="仿宋" w:eastAsia="仿宋"/>
                <w:b/>
                <w:sz w:val="18"/>
              </w:rPr>
              <w:t>分值</w:t>
            </w:r>
          </w:p>
        </w:tc>
        <w:tc>
          <w:tcPr>
            <w:tcW w:w="308" w:type="pct"/>
            <w:shd w:val="clear" w:color="auto" w:fill="D8D8D8" w:themeFill="background1" w:themeFillShade="D9"/>
            <w:vAlign w:val="center"/>
          </w:tcPr>
          <w:p w14:paraId="4A9F0913">
            <w:pPr>
              <w:spacing w:line="408" w:lineRule="auto"/>
              <w:jc w:val="center"/>
              <w:rPr>
                <w:rFonts w:hint="eastAsia" w:ascii="仿宋" w:hAnsi="仿宋" w:eastAsia="仿宋"/>
                <w:b/>
                <w:sz w:val="18"/>
              </w:rPr>
            </w:pPr>
            <w:r>
              <w:rPr>
                <w:rFonts w:hint="eastAsia" w:ascii="仿宋" w:hAnsi="仿宋" w:eastAsia="仿宋"/>
                <w:b/>
                <w:sz w:val="18"/>
              </w:rPr>
              <w:t>得分</w:t>
            </w:r>
          </w:p>
        </w:tc>
      </w:tr>
      <w:tr w14:paraId="5B00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restart"/>
            <w:vAlign w:val="center"/>
          </w:tcPr>
          <w:p w14:paraId="7D1F366E">
            <w:pPr>
              <w:spacing w:line="408" w:lineRule="auto"/>
              <w:rPr>
                <w:rFonts w:hint="eastAsia" w:ascii="仿宋" w:hAnsi="仿宋" w:eastAsia="仿宋"/>
                <w:bCs/>
                <w:sz w:val="18"/>
              </w:rPr>
            </w:pPr>
            <w:r>
              <w:rPr>
                <w:rFonts w:hint="eastAsia" w:ascii="仿宋" w:hAnsi="仿宋" w:eastAsia="仿宋"/>
                <w:bCs/>
                <w:sz w:val="18"/>
              </w:rPr>
              <w:t>决策(15%）</w:t>
            </w:r>
          </w:p>
        </w:tc>
        <w:tc>
          <w:tcPr>
            <w:tcW w:w="612" w:type="pct"/>
            <w:vMerge w:val="restart"/>
            <w:vAlign w:val="center"/>
          </w:tcPr>
          <w:p w14:paraId="31782627">
            <w:pPr>
              <w:spacing w:line="408" w:lineRule="auto"/>
              <w:rPr>
                <w:rFonts w:hint="eastAsia" w:ascii="仿宋" w:hAnsi="仿宋" w:eastAsia="仿宋"/>
                <w:bCs/>
                <w:sz w:val="18"/>
              </w:rPr>
            </w:pPr>
            <w:r>
              <w:rPr>
                <w:rFonts w:hint="eastAsia" w:ascii="仿宋" w:hAnsi="仿宋" w:eastAsia="仿宋"/>
                <w:bCs/>
                <w:sz w:val="18"/>
              </w:rPr>
              <w:t>目标设定（6分）</w:t>
            </w:r>
          </w:p>
        </w:tc>
        <w:tc>
          <w:tcPr>
            <w:tcW w:w="789" w:type="pct"/>
            <w:vAlign w:val="center"/>
          </w:tcPr>
          <w:p w14:paraId="695C7A4F">
            <w:pPr>
              <w:spacing w:line="408" w:lineRule="auto"/>
              <w:rPr>
                <w:rFonts w:hint="eastAsia" w:ascii="仿宋" w:hAnsi="仿宋" w:eastAsia="仿宋"/>
                <w:bCs/>
                <w:sz w:val="18"/>
                <w:lang w:eastAsia="zh-CN"/>
              </w:rPr>
            </w:pPr>
            <w:r>
              <w:rPr>
                <w:rFonts w:hint="eastAsia" w:ascii="仿宋" w:hAnsi="仿宋" w:eastAsia="仿宋"/>
                <w:bCs/>
                <w:sz w:val="18"/>
                <w:lang w:eastAsia="zh-CN"/>
              </w:rPr>
              <w:t>绩效目标合理性（3分）</w:t>
            </w:r>
          </w:p>
        </w:tc>
        <w:tc>
          <w:tcPr>
            <w:tcW w:w="1072" w:type="pct"/>
            <w:vAlign w:val="center"/>
          </w:tcPr>
          <w:p w14:paraId="1BCD283B">
            <w:pPr>
              <w:spacing w:line="408" w:lineRule="auto"/>
              <w:rPr>
                <w:rFonts w:hint="eastAsia" w:ascii="仿宋" w:hAnsi="仿宋" w:eastAsia="仿宋"/>
                <w:bCs/>
                <w:sz w:val="18"/>
                <w:lang w:eastAsia="zh-CN"/>
              </w:rPr>
            </w:pPr>
            <w:r>
              <w:rPr>
                <w:rFonts w:hint="eastAsia" w:ascii="仿宋" w:hAnsi="仿宋" w:eastAsia="仿宋"/>
                <w:bCs/>
                <w:sz w:val="18"/>
                <w:lang w:eastAsia="zh-CN"/>
              </w:rPr>
              <w:t>部门所设立的整体绩效目标依据是否充分，是否符合客观实际，用以反映和考核部门整体绩效目标与部门履职、年度工作任务的相符性情况。</w:t>
            </w:r>
          </w:p>
        </w:tc>
        <w:tc>
          <w:tcPr>
            <w:tcW w:w="1488" w:type="pct"/>
            <w:vAlign w:val="center"/>
          </w:tcPr>
          <w:p w14:paraId="288D18C1">
            <w:pPr>
              <w:spacing w:line="408" w:lineRule="auto"/>
              <w:rPr>
                <w:rFonts w:hint="eastAsia" w:ascii="仿宋" w:hAnsi="仿宋" w:eastAsia="仿宋"/>
                <w:bCs/>
                <w:sz w:val="18"/>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是否符合国家法律法规；</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是否符合国民经济和社会发展总体规划；</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是否符合部门</w:t>
            </w:r>
            <w:r>
              <w:rPr>
                <w:rFonts w:ascii="仿宋" w:hAnsi="仿宋" w:eastAsia="仿宋"/>
                <w:bCs/>
                <w:sz w:val="18"/>
                <w:lang w:eastAsia="zh-CN"/>
              </w:rPr>
              <w:t>“</w:t>
            </w:r>
            <w:r>
              <w:rPr>
                <w:rFonts w:hint="eastAsia" w:ascii="仿宋" w:hAnsi="仿宋" w:eastAsia="仿宋"/>
                <w:bCs/>
                <w:sz w:val="18"/>
                <w:lang w:eastAsia="zh-CN"/>
              </w:rPr>
              <w:t>三定</w:t>
            </w:r>
            <w:r>
              <w:rPr>
                <w:rFonts w:ascii="仿宋" w:hAnsi="仿宋" w:eastAsia="仿宋"/>
                <w:bCs/>
                <w:sz w:val="18"/>
                <w:lang w:eastAsia="zh-CN"/>
              </w:rPr>
              <w:t>”</w:t>
            </w:r>
            <w:r>
              <w:rPr>
                <w:rFonts w:hint="eastAsia" w:ascii="仿宋" w:hAnsi="仿宋" w:eastAsia="仿宋"/>
                <w:bCs/>
                <w:sz w:val="18"/>
                <w:lang w:eastAsia="zh-CN"/>
              </w:rPr>
              <w:t>方案确定的职责；</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是否符合部门制定的中长期实施规划或年度工作计划。</w:t>
            </w:r>
            <w:r>
              <w:rPr>
                <w:rFonts w:hint="eastAsia" w:ascii="仿宋" w:hAnsi="仿宋" w:eastAsia="仿宋"/>
                <w:bCs/>
                <w:sz w:val="18"/>
                <w:lang w:eastAsia="zh-CN"/>
              </w:rPr>
              <w:br w:type="textWrapping"/>
            </w:r>
            <w:r>
              <w:rPr>
                <w:rFonts w:hint="eastAsia" w:ascii="仿宋" w:hAnsi="仿宋" w:eastAsia="仿宋"/>
                <w:bCs/>
                <w:sz w:val="18"/>
              </w:rPr>
              <w:t>一项不符扣0.75分。</w:t>
            </w:r>
          </w:p>
        </w:tc>
        <w:tc>
          <w:tcPr>
            <w:tcW w:w="259" w:type="pct"/>
            <w:vAlign w:val="center"/>
          </w:tcPr>
          <w:p w14:paraId="47FB7C3B">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15D9AE4A">
            <w:pPr>
              <w:spacing w:line="408" w:lineRule="auto"/>
              <w:jc w:val="right"/>
              <w:rPr>
                <w:rFonts w:hint="eastAsia" w:ascii="仿宋" w:hAnsi="仿宋" w:eastAsia="仿宋"/>
                <w:bCs/>
                <w:sz w:val="18"/>
              </w:rPr>
            </w:pPr>
            <w:r>
              <w:rPr>
                <w:rFonts w:hint="eastAsia" w:ascii="仿宋" w:hAnsi="仿宋" w:eastAsia="仿宋"/>
                <w:bCs/>
                <w:sz w:val="18"/>
              </w:rPr>
              <w:t>2</w:t>
            </w:r>
          </w:p>
        </w:tc>
      </w:tr>
      <w:tr w14:paraId="4A9B9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2CBE1CB4">
            <w:pPr>
              <w:spacing w:line="408" w:lineRule="auto"/>
              <w:rPr>
                <w:rFonts w:hint="eastAsia" w:ascii="仿宋" w:hAnsi="仿宋" w:eastAsia="仿宋"/>
                <w:bCs/>
                <w:sz w:val="18"/>
              </w:rPr>
            </w:pPr>
          </w:p>
        </w:tc>
        <w:tc>
          <w:tcPr>
            <w:tcW w:w="612" w:type="pct"/>
            <w:vMerge w:val="continue"/>
            <w:vAlign w:val="center"/>
          </w:tcPr>
          <w:p w14:paraId="145FF56B">
            <w:pPr>
              <w:spacing w:line="408" w:lineRule="auto"/>
              <w:rPr>
                <w:rFonts w:hint="eastAsia" w:ascii="仿宋" w:hAnsi="仿宋" w:eastAsia="仿宋"/>
                <w:bCs/>
                <w:sz w:val="18"/>
              </w:rPr>
            </w:pPr>
          </w:p>
        </w:tc>
        <w:tc>
          <w:tcPr>
            <w:tcW w:w="789" w:type="pct"/>
            <w:vAlign w:val="center"/>
          </w:tcPr>
          <w:p w14:paraId="4056BD0C">
            <w:pPr>
              <w:spacing w:line="408" w:lineRule="auto"/>
              <w:rPr>
                <w:rFonts w:hint="eastAsia" w:ascii="仿宋" w:hAnsi="仿宋" w:eastAsia="仿宋"/>
                <w:bCs/>
                <w:sz w:val="18"/>
                <w:lang w:eastAsia="zh-CN"/>
              </w:rPr>
            </w:pPr>
            <w:r>
              <w:rPr>
                <w:rFonts w:hint="eastAsia" w:ascii="仿宋" w:hAnsi="仿宋" w:eastAsia="仿宋"/>
                <w:bCs/>
                <w:sz w:val="18"/>
                <w:lang w:eastAsia="zh-CN"/>
              </w:rPr>
              <w:t>绩效目标明确性（3分）</w:t>
            </w:r>
          </w:p>
        </w:tc>
        <w:tc>
          <w:tcPr>
            <w:tcW w:w="1072" w:type="pct"/>
            <w:vAlign w:val="center"/>
          </w:tcPr>
          <w:p w14:paraId="5A9F5185">
            <w:pPr>
              <w:spacing w:line="408" w:lineRule="auto"/>
              <w:rPr>
                <w:rFonts w:hint="eastAsia" w:ascii="仿宋" w:hAnsi="仿宋" w:eastAsia="仿宋"/>
                <w:bCs/>
                <w:sz w:val="18"/>
                <w:lang w:eastAsia="zh-CN"/>
              </w:rPr>
            </w:pPr>
            <w:r>
              <w:rPr>
                <w:rFonts w:hint="eastAsia" w:ascii="仿宋" w:hAnsi="仿宋" w:eastAsia="仿宋"/>
                <w:bCs/>
                <w:sz w:val="18"/>
                <w:lang w:eastAsia="zh-CN"/>
              </w:rPr>
              <w:t>部门依据整体绩效目标所设定的绩效指标是否清晰、细化、可衡量，用以反映和考核部门整体绩效目标的细化情况，并涵盖绩效目标全部内容，反映项目预期产出和效益。</w:t>
            </w:r>
          </w:p>
        </w:tc>
        <w:tc>
          <w:tcPr>
            <w:tcW w:w="1488" w:type="pct"/>
            <w:vAlign w:val="center"/>
          </w:tcPr>
          <w:p w14:paraId="2D074531">
            <w:pPr>
              <w:spacing w:line="408" w:lineRule="auto"/>
              <w:rPr>
                <w:rFonts w:hint="eastAsia" w:ascii="仿宋" w:hAnsi="仿宋" w:eastAsia="仿宋"/>
                <w:bCs/>
                <w:sz w:val="18"/>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是否将部门整体的绩效目标细化分解为具体的工作任务；</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是否通过清晰、可衡量的指标予以体现；</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是否与部门年度的任务数或计划数相对应；</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是否与本年度部门预算资金相匹配。</w:t>
            </w:r>
            <w:r>
              <w:rPr>
                <w:rFonts w:hint="eastAsia" w:ascii="仿宋" w:hAnsi="仿宋" w:eastAsia="仿宋"/>
                <w:bCs/>
                <w:sz w:val="18"/>
                <w:lang w:eastAsia="zh-CN"/>
              </w:rPr>
              <w:br w:type="textWrapping"/>
            </w:r>
            <w:r>
              <w:rPr>
                <w:rFonts w:hint="eastAsia" w:ascii="仿宋" w:hAnsi="仿宋" w:eastAsia="仿宋"/>
                <w:bCs/>
                <w:sz w:val="18"/>
              </w:rPr>
              <w:t>一项不符扣0.75分。</w:t>
            </w:r>
          </w:p>
        </w:tc>
        <w:tc>
          <w:tcPr>
            <w:tcW w:w="259" w:type="pct"/>
            <w:vAlign w:val="center"/>
          </w:tcPr>
          <w:p w14:paraId="0AF63588">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227055E2">
            <w:pPr>
              <w:spacing w:line="408" w:lineRule="auto"/>
              <w:jc w:val="right"/>
              <w:rPr>
                <w:rFonts w:hint="eastAsia" w:ascii="仿宋" w:hAnsi="仿宋" w:eastAsia="仿宋"/>
                <w:bCs/>
                <w:sz w:val="18"/>
              </w:rPr>
            </w:pPr>
            <w:r>
              <w:rPr>
                <w:rFonts w:hint="eastAsia" w:ascii="仿宋" w:hAnsi="仿宋" w:eastAsia="仿宋"/>
                <w:bCs/>
                <w:sz w:val="18"/>
              </w:rPr>
              <w:t>3</w:t>
            </w:r>
          </w:p>
        </w:tc>
      </w:tr>
      <w:tr w14:paraId="2038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4D0DD552">
            <w:pPr>
              <w:spacing w:line="408" w:lineRule="auto"/>
              <w:rPr>
                <w:rFonts w:hint="eastAsia" w:ascii="仿宋" w:hAnsi="仿宋" w:eastAsia="仿宋"/>
                <w:bCs/>
                <w:sz w:val="18"/>
              </w:rPr>
            </w:pPr>
          </w:p>
        </w:tc>
        <w:tc>
          <w:tcPr>
            <w:tcW w:w="612" w:type="pct"/>
            <w:vMerge w:val="restart"/>
            <w:vAlign w:val="center"/>
          </w:tcPr>
          <w:p w14:paraId="26BD7904">
            <w:pPr>
              <w:spacing w:line="408" w:lineRule="auto"/>
              <w:rPr>
                <w:rFonts w:hint="eastAsia" w:ascii="仿宋" w:hAnsi="仿宋" w:eastAsia="仿宋"/>
                <w:bCs/>
                <w:sz w:val="18"/>
              </w:rPr>
            </w:pPr>
            <w:r>
              <w:rPr>
                <w:rFonts w:hint="eastAsia" w:ascii="仿宋" w:hAnsi="仿宋" w:eastAsia="仿宋"/>
                <w:bCs/>
                <w:sz w:val="18"/>
              </w:rPr>
              <w:t>预算配置（9分）</w:t>
            </w:r>
          </w:p>
        </w:tc>
        <w:tc>
          <w:tcPr>
            <w:tcW w:w="789" w:type="pct"/>
            <w:vAlign w:val="center"/>
          </w:tcPr>
          <w:p w14:paraId="4DD85A35">
            <w:pPr>
              <w:spacing w:line="408" w:lineRule="auto"/>
              <w:rPr>
                <w:rFonts w:hint="eastAsia" w:ascii="仿宋" w:hAnsi="仿宋" w:eastAsia="仿宋"/>
                <w:bCs/>
                <w:sz w:val="18"/>
                <w:lang w:eastAsia="zh-CN"/>
              </w:rPr>
            </w:pPr>
            <w:r>
              <w:rPr>
                <w:rFonts w:hint="eastAsia" w:ascii="仿宋" w:hAnsi="仿宋" w:eastAsia="仿宋"/>
                <w:bCs/>
                <w:sz w:val="18"/>
                <w:lang w:eastAsia="zh-CN"/>
              </w:rPr>
              <w:t>在职人员控制率（3分）</w:t>
            </w:r>
          </w:p>
        </w:tc>
        <w:tc>
          <w:tcPr>
            <w:tcW w:w="1072" w:type="pct"/>
            <w:vAlign w:val="center"/>
          </w:tcPr>
          <w:p w14:paraId="00096F3C">
            <w:pPr>
              <w:spacing w:line="408" w:lineRule="auto"/>
              <w:rPr>
                <w:rFonts w:hint="eastAsia" w:ascii="仿宋" w:hAnsi="仿宋" w:eastAsia="仿宋"/>
                <w:bCs/>
                <w:sz w:val="18"/>
                <w:lang w:eastAsia="zh-CN"/>
              </w:rPr>
            </w:pPr>
            <w:r>
              <w:rPr>
                <w:rFonts w:hint="eastAsia" w:ascii="仿宋" w:hAnsi="仿宋" w:eastAsia="仿宋"/>
                <w:bCs/>
                <w:sz w:val="18"/>
                <w:lang w:eastAsia="zh-CN"/>
              </w:rPr>
              <w:t>部门本年度实际在职人员数与编制数的比率,用以反映和考核部门对人员成本的控制程度。</w:t>
            </w:r>
          </w:p>
        </w:tc>
        <w:tc>
          <w:tcPr>
            <w:tcW w:w="1488" w:type="pct"/>
            <w:vAlign w:val="center"/>
          </w:tcPr>
          <w:p w14:paraId="04FD0B52">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评价要点：在职人员控制率=（在职人员数/编制数）</w:t>
            </w:r>
            <w:r>
              <w:rPr>
                <w:rFonts w:ascii="仿宋" w:hAnsi="仿宋" w:eastAsia="仿宋"/>
                <w:bCs/>
                <w:sz w:val="18"/>
                <w:lang w:eastAsia="zh-CN"/>
              </w:rPr>
              <w:t>×</w:t>
            </w:r>
            <w:r>
              <w:rPr>
                <w:rFonts w:hint="eastAsia" w:ascii="仿宋" w:hAnsi="仿宋" w:eastAsia="仿宋"/>
                <w:bCs/>
                <w:sz w:val="18"/>
                <w:lang w:eastAsia="zh-CN"/>
              </w:rPr>
              <w:t>100%。</w:t>
            </w:r>
            <w:r>
              <w:rPr>
                <w:rFonts w:hint="eastAsia" w:ascii="仿宋" w:hAnsi="仿宋" w:eastAsia="仿宋"/>
                <w:bCs/>
                <w:sz w:val="18"/>
                <w:lang w:eastAsia="zh-CN"/>
              </w:rPr>
              <w:br w:type="textWrapping"/>
            </w: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在职人员控制率</w:t>
            </w:r>
            <w:r>
              <w:rPr>
                <w:rFonts w:ascii="仿宋" w:hAnsi="仿宋" w:eastAsia="仿宋"/>
                <w:bCs/>
                <w:sz w:val="18"/>
                <w:lang w:eastAsia="zh-CN"/>
              </w:rPr>
              <w:t>≤</w:t>
            </w:r>
            <w:r>
              <w:rPr>
                <w:rFonts w:hint="eastAsia" w:ascii="仿宋" w:hAnsi="仿宋" w:eastAsia="仿宋"/>
                <w:bCs/>
                <w:sz w:val="18"/>
                <w:lang w:eastAsia="zh-CN"/>
              </w:rPr>
              <w:t>100%，得满分；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在职人员控制率≧115%，得0分；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100%＜在职人员控制率＜115%之间，得分=（115%－某部门在职人员控制率）/15%×指标分值。</w:t>
            </w:r>
          </w:p>
        </w:tc>
        <w:tc>
          <w:tcPr>
            <w:tcW w:w="259" w:type="pct"/>
            <w:vAlign w:val="center"/>
          </w:tcPr>
          <w:p w14:paraId="7AA7F6F1">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18B98537">
            <w:pPr>
              <w:spacing w:line="408" w:lineRule="auto"/>
              <w:jc w:val="right"/>
              <w:rPr>
                <w:rFonts w:hint="eastAsia" w:ascii="仿宋" w:hAnsi="仿宋" w:eastAsia="仿宋"/>
                <w:bCs/>
                <w:sz w:val="18"/>
              </w:rPr>
            </w:pPr>
            <w:r>
              <w:rPr>
                <w:rFonts w:hint="eastAsia" w:ascii="仿宋" w:hAnsi="仿宋" w:eastAsia="仿宋"/>
                <w:bCs/>
                <w:sz w:val="18"/>
              </w:rPr>
              <w:t>3</w:t>
            </w:r>
          </w:p>
        </w:tc>
      </w:tr>
      <w:tr w14:paraId="769A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2C11F4E1">
            <w:pPr>
              <w:spacing w:line="408" w:lineRule="auto"/>
              <w:rPr>
                <w:rFonts w:hint="eastAsia" w:ascii="仿宋" w:hAnsi="仿宋" w:eastAsia="仿宋"/>
                <w:bCs/>
                <w:sz w:val="18"/>
              </w:rPr>
            </w:pPr>
          </w:p>
        </w:tc>
        <w:tc>
          <w:tcPr>
            <w:tcW w:w="612" w:type="pct"/>
            <w:vMerge w:val="continue"/>
            <w:vAlign w:val="center"/>
          </w:tcPr>
          <w:p w14:paraId="47EC3547">
            <w:pPr>
              <w:spacing w:line="408" w:lineRule="auto"/>
              <w:rPr>
                <w:rFonts w:hint="eastAsia" w:ascii="仿宋" w:hAnsi="仿宋" w:eastAsia="仿宋"/>
                <w:bCs/>
                <w:sz w:val="18"/>
              </w:rPr>
            </w:pPr>
          </w:p>
        </w:tc>
        <w:tc>
          <w:tcPr>
            <w:tcW w:w="789" w:type="pct"/>
            <w:vAlign w:val="center"/>
          </w:tcPr>
          <w:p w14:paraId="4BC4C0F4">
            <w:pPr>
              <w:spacing w:line="408" w:lineRule="auto"/>
              <w:rPr>
                <w:rFonts w:hint="eastAsia" w:ascii="仿宋" w:hAnsi="仿宋" w:eastAsia="仿宋"/>
                <w:bCs/>
                <w:sz w:val="18"/>
                <w:lang w:eastAsia="zh-CN"/>
              </w:rPr>
            </w:pPr>
            <w:r>
              <w:rPr>
                <w:rFonts w:hint="eastAsia" w:ascii="仿宋" w:hAnsi="仿宋" w:eastAsia="仿宋"/>
                <w:bCs/>
                <w:sz w:val="18"/>
                <w:lang w:eastAsia="zh-CN"/>
              </w:rPr>
              <w:t>“三公”经费变动率（3分）</w:t>
            </w:r>
          </w:p>
        </w:tc>
        <w:tc>
          <w:tcPr>
            <w:tcW w:w="1072" w:type="pct"/>
            <w:vAlign w:val="center"/>
          </w:tcPr>
          <w:p w14:paraId="562B3A83">
            <w:pPr>
              <w:spacing w:line="408" w:lineRule="auto"/>
              <w:rPr>
                <w:rFonts w:hint="eastAsia" w:ascii="仿宋" w:hAnsi="仿宋" w:eastAsia="仿宋"/>
                <w:bCs/>
                <w:sz w:val="18"/>
                <w:lang w:eastAsia="zh-CN"/>
              </w:rPr>
            </w:pPr>
            <w:r>
              <w:rPr>
                <w:rFonts w:hint="eastAsia" w:ascii="仿宋" w:hAnsi="仿宋" w:eastAsia="仿宋"/>
                <w:bCs/>
                <w:sz w:val="18"/>
                <w:lang w:eastAsia="zh-CN"/>
              </w:rPr>
              <w:t>部门本年度</w:t>
            </w:r>
            <w:r>
              <w:rPr>
                <w:rFonts w:ascii="仿宋" w:hAnsi="仿宋" w:eastAsia="仿宋"/>
                <w:bCs/>
                <w:sz w:val="18"/>
                <w:lang w:eastAsia="zh-CN"/>
              </w:rPr>
              <w:t>“</w:t>
            </w:r>
            <w:r>
              <w:rPr>
                <w:rFonts w:hint="eastAsia" w:ascii="仿宋" w:hAnsi="仿宋" w:eastAsia="仿宋"/>
                <w:bCs/>
                <w:sz w:val="18"/>
                <w:lang w:eastAsia="zh-CN"/>
              </w:rPr>
              <w:t>三公</w:t>
            </w:r>
            <w:r>
              <w:rPr>
                <w:rFonts w:ascii="仿宋" w:hAnsi="仿宋" w:eastAsia="仿宋"/>
                <w:bCs/>
                <w:sz w:val="18"/>
                <w:lang w:eastAsia="zh-CN"/>
              </w:rPr>
              <w:t>”</w:t>
            </w:r>
            <w:r>
              <w:rPr>
                <w:rFonts w:hint="eastAsia" w:ascii="仿宋" w:hAnsi="仿宋" w:eastAsia="仿宋"/>
                <w:bCs/>
                <w:sz w:val="18"/>
                <w:lang w:eastAsia="zh-CN"/>
              </w:rPr>
              <w:t>经费预算数与上年度</w:t>
            </w:r>
            <w:r>
              <w:rPr>
                <w:rFonts w:ascii="仿宋" w:hAnsi="仿宋" w:eastAsia="仿宋"/>
                <w:bCs/>
                <w:sz w:val="18"/>
                <w:lang w:eastAsia="zh-CN"/>
              </w:rPr>
              <w:t>“</w:t>
            </w:r>
            <w:r>
              <w:rPr>
                <w:rFonts w:hint="eastAsia" w:ascii="仿宋" w:hAnsi="仿宋" w:eastAsia="仿宋"/>
                <w:bCs/>
                <w:sz w:val="18"/>
                <w:lang w:eastAsia="zh-CN"/>
              </w:rPr>
              <w:t>三公</w:t>
            </w:r>
            <w:r>
              <w:rPr>
                <w:rFonts w:ascii="仿宋" w:hAnsi="仿宋" w:eastAsia="仿宋"/>
                <w:bCs/>
                <w:sz w:val="18"/>
                <w:lang w:eastAsia="zh-CN"/>
              </w:rPr>
              <w:t>”</w:t>
            </w:r>
            <w:r>
              <w:rPr>
                <w:rFonts w:hint="eastAsia" w:ascii="仿宋" w:hAnsi="仿宋" w:eastAsia="仿宋"/>
                <w:bCs/>
                <w:sz w:val="18"/>
                <w:lang w:eastAsia="zh-CN"/>
              </w:rPr>
              <w:t>经费预算数的变动比率，用以反映和考核部门对控制重点行政成本的努力程度。</w:t>
            </w:r>
          </w:p>
        </w:tc>
        <w:tc>
          <w:tcPr>
            <w:tcW w:w="1488" w:type="pct"/>
            <w:vAlign w:val="center"/>
          </w:tcPr>
          <w:p w14:paraId="5370A6AE">
            <w:pPr>
              <w:spacing w:line="408" w:lineRule="auto"/>
              <w:rPr>
                <w:rFonts w:hint="eastAsia" w:ascii="仿宋" w:hAnsi="仿宋" w:eastAsia="仿宋"/>
                <w:bCs/>
                <w:sz w:val="18"/>
                <w:lang w:eastAsia="zh-CN"/>
              </w:rPr>
            </w:pPr>
            <w:r>
              <w:rPr>
                <w:rFonts w:hint="eastAsia" w:ascii="仿宋" w:hAnsi="仿宋" w:eastAsia="仿宋"/>
                <w:bCs/>
                <w:sz w:val="18"/>
                <w:lang w:eastAsia="zh-CN"/>
              </w:rPr>
              <w:t>“三公”经费变动率=[（本年度“三公”经费总额-上年度“三公”经费总额）/上年度“三公”经费总额]×100%。</w:t>
            </w:r>
          </w:p>
          <w:p w14:paraId="23B73B0D">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变动率</w:t>
            </w:r>
            <w:r>
              <w:rPr>
                <w:rFonts w:ascii="仿宋" w:hAnsi="仿宋" w:eastAsia="仿宋"/>
                <w:bCs/>
                <w:sz w:val="18"/>
                <w:lang w:eastAsia="zh-CN"/>
              </w:rPr>
              <w:t>≤</w:t>
            </w:r>
            <w:r>
              <w:rPr>
                <w:rFonts w:hint="eastAsia" w:ascii="仿宋" w:hAnsi="仿宋" w:eastAsia="仿宋"/>
                <w:bCs/>
                <w:sz w:val="18"/>
                <w:lang w:eastAsia="zh-CN"/>
              </w:rPr>
              <w:t>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变动率每超过10个百分点扣1分，扣完为止。</w:t>
            </w:r>
          </w:p>
        </w:tc>
        <w:tc>
          <w:tcPr>
            <w:tcW w:w="259" w:type="pct"/>
            <w:vAlign w:val="center"/>
          </w:tcPr>
          <w:p w14:paraId="47613365">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76FD8314">
            <w:pPr>
              <w:spacing w:line="408" w:lineRule="auto"/>
              <w:jc w:val="right"/>
              <w:rPr>
                <w:rFonts w:hint="eastAsia" w:ascii="仿宋" w:hAnsi="仿宋" w:eastAsia="仿宋"/>
                <w:bCs/>
                <w:sz w:val="18"/>
              </w:rPr>
            </w:pPr>
            <w:r>
              <w:rPr>
                <w:rFonts w:hint="eastAsia" w:ascii="仿宋" w:hAnsi="仿宋" w:eastAsia="仿宋"/>
                <w:bCs/>
                <w:sz w:val="18"/>
              </w:rPr>
              <w:t>3</w:t>
            </w:r>
          </w:p>
        </w:tc>
      </w:tr>
      <w:tr w14:paraId="1407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21CDBF50">
            <w:pPr>
              <w:spacing w:line="408" w:lineRule="auto"/>
              <w:rPr>
                <w:rFonts w:hint="eastAsia" w:ascii="仿宋" w:hAnsi="仿宋" w:eastAsia="仿宋"/>
                <w:bCs/>
                <w:sz w:val="18"/>
              </w:rPr>
            </w:pPr>
          </w:p>
        </w:tc>
        <w:tc>
          <w:tcPr>
            <w:tcW w:w="612" w:type="pct"/>
            <w:vMerge w:val="continue"/>
            <w:vAlign w:val="center"/>
          </w:tcPr>
          <w:p w14:paraId="6D312C1D">
            <w:pPr>
              <w:spacing w:line="408" w:lineRule="auto"/>
              <w:rPr>
                <w:rFonts w:hint="eastAsia" w:ascii="仿宋" w:hAnsi="仿宋" w:eastAsia="仿宋"/>
                <w:bCs/>
                <w:sz w:val="18"/>
              </w:rPr>
            </w:pPr>
          </w:p>
        </w:tc>
        <w:tc>
          <w:tcPr>
            <w:tcW w:w="789" w:type="pct"/>
            <w:vAlign w:val="center"/>
          </w:tcPr>
          <w:p w14:paraId="12763C64">
            <w:pPr>
              <w:spacing w:line="408" w:lineRule="auto"/>
              <w:rPr>
                <w:rFonts w:hint="eastAsia" w:ascii="仿宋" w:hAnsi="仿宋" w:eastAsia="仿宋"/>
                <w:bCs/>
                <w:sz w:val="18"/>
                <w:lang w:eastAsia="zh-CN"/>
              </w:rPr>
            </w:pPr>
            <w:r>
              <w:rPr>
                <w:rFonts w:hint="eastAsia" w:ascii="仿宋" w:hAnsi="仿宋" w:eastAsia="仿宋"/>
                <w:bCs/>
                <w:sz w:val="18"/>
                <w:lang w:eastAsia="zh-CN"/>
              </w:rPr>
              <w:t>结转结余变动率（3分）</w:t>
            </w:r>
          </w:p>
        </w:tc>
        <w:tc>
          <w:tcPr>
            <w:tcW w:w="1072" w:type="pct"/>
            <w:vAlign w:val="center"/>
          </w:tcPr>
          <w:p w14:paraId="5CF77283">
            <w:pPr>
              <w:spacing w:line="408" w:lineRule="auto"/>
              <w:rPr>
                <w:rFonts w:hint="eastAsia" w:ascii="仿宋" w:hAnsi="仿宋" w:eastAsia="仿宋"/>
                <w:bCs/>
                <w:sz w:val="18"/>
                <w:lang w:eastAsia="zh-CN"/>
              </w:rPr>
            </w:pPr>
            <w:r>
              <w:rPr>
                <w:rFonts w:hint="eastAsia" w:ascii="仿宋" w:hAnsi="仿宋" w:eastAsia="仿宋"/>
                <w:bCs/>
                <w:sz w:val="18"/>
                <w:lang w:eastAsia="zh-CN"/>
              </w:rPr>
              <w:t>部门本年度</w:t>
            </w:r>
            <w:r>
              <w:rPr>
                <w:rFonts w:ascii="仿宋" w:hAnsi="仿宋" w:eastAsia="仿宋"/>
                <w:bCs/>
                <w:sz w:val="18"/>
                <w:lang w:eastAsia="zh-CN"/>
              </w:rPr>
              <w:t>“</w:t>
            </w:r>
            <w:r>
              <w:rPr>
                <w:rFonts w:hint="eastAsia" w:ascii="仿宋" w:hAnsi="仿宋" w:eastAsia="仿宋"/>
                <w:bCs/>
                <w:sz w:val="18"/>
                <w:lang w:eastAsia="zh-CN"/>
              </w:rPr>
              <w:t>结转结余</w:t>
            </w:r>
            <w:r>
              <w:rPr>
                <w:rFonts w:ascii="仿宋" w:hAnsi="仿宋" w:eastAsia="仿宋"/>
                <w:bCs/>
                <w:sz w:val="18"/>
                <w:lang w:eastAsia="zh-CN"/>
              </w:rPr>
              <w:t>”</w:t>
            </w:r>
            <w:r>
              <w:rPr>
                <w:rFonts w:hint="eastAsia" w:ascii="仿宋" w:hAnsi="仿宋" w:eastAsia="仿宋"/>
                <w:bCs/>
                <w:sz w:val="18"/>
                <w:lang w:eastAsia="zh-CN"/>
              </w:rPr>
              <w:t>金额与上年度</w:t>
            </w:r>
            <w:r>
              <w:rPr>
                <w:rFonts w:ascii="仿宋" w:hAnsi="仿宋" w:eastAsia="仿宋"/>
                <w:bCs/>
                <w:sz w:val="18"/>
                <w:lang w:eastAsia="zh-CN"/>
              </w:rPr>
              <w:t>“</w:t>
            </w:r>
            <w:r>
              <w:rPr>
                <w:rFonts w:hint="eastAsia" w:ascii="仿宋" w:hAnsi="仿宋" w:eastAsia="仿宋"/>
                <w:bCs/>
                <w:sz w:val="18"/>
                <w:lang w:eastAsia="zh-CN"/>
              </w:rPr>
              <w:t>结转结余</w:t>
            </w:r>
            <w:r>
              <w:rPr>
                <w:rFonts w:ascii="仿宋" w:hAnsi="仿宋" w:eastAsia="仿宋"/>
                <w:bCs/>
                <w:sz w:val="18"/>
                <w:lang w:eastAsia="zh-CN"/>
              </w:rPr>
              <w:t>”</w:t>
            </w:r>
            <w:r>
              <w:rPr>
                <w:rFonts w:hint="eastAsia" w:ascii="仿宋" w:hAnsi="仿宋" w:eastAsia="仿宋"/>
                <w:bCs/>
                <w:sz w:val="18"/>
                <w:lang w:eastAsia="zh-CN"/>
              </w:rPr>
              <w:t>金额的变动比率，用以反映和考核部门资金的结余程度。</w:t>
            </w:r>
          </w:p>
        </w:tc>
        <w:tc>
          <w:tcPr>
            <w:tcW w:w="1488" w:type="pct"/>
            <w:vAlign w:val="center"/>
          </w:tcPr>
          <w:p w14:paraId="1BF0EF8C">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hint="eastAsia" w:ascii="仿宋" w:hAnsi="仿宋" w:eastAsia="仿宋"/>
                <w:bCs/>
                <w:sz w:val="18"/>
                <w:lang w:eastAsia="zh-CN"/>
              </w:rPr>
              <w:t>结转结余变动率=[（本年度累计结转结余资金总额-上年度累计结转结余资金总额）/上年度累计结转结余资金总额]×100%。</w:t>
            </w:r>
            <w:r>
              <w:rPr>
                <w:rFonts w:hint="eastAsia" w:ascii="仿宋" w:hAnsi="仿宋" w:eastAsia="仿宋"/>
                <w:bCs/>
                <w:sz w:val="18"/>
                <w:lang w:eastAsia="zh-CN"/>
              </w:rPr>
              <w:br w:type="textWrapping"/>
            </w:r>
            <w:r>
              <w:rPr>
                <w:rFonts w:hint="eastAsia" w:ascii="仿宋" w:hAnsi="仿宋" w:eastAsia="仿宋"/>
                <w:bCs/>
                <w:sz w:val="18"/>
                <w:lang w:eastAsia="zh-CN"/>
              </w:rPr>
              <w:t>结转结余变动率＜0，得满分；</w:t>
            </w:r>
            <w:r>
              <w:rPr>
                <w:rFonts w:hint="eastAsia" w:ascii="仿宋" w:hAnsi="仿宋" w:eastAsia="仿宋"/>
                <w:bCs/>
                <w:sz w:val="18"/>
                <w:lang w:eastAsia="zh-CN"/>
              </w:rPr>
              <w:br w:type="textWrapping"/>
            </w:r>
            <w:r>
              <w:rPr>
                <w:rFonts w:hint="eastAsia" w:ascii="仿宋" w:hAnsi="仿宋" w:eastAsia="仿宋"/>
                <w:bCs/>
                <w:sz w:val="18"/>
                <w:lang w:eastAsia="zh-CN"/>
              </w:rPr>
              <w:t>结转结余变动率≧0，不得分。</w:t>
            </w:r>
          </w:p>
        </w:tc>
        <w:tc>
          <w:tcPr>
            <w:tcW w:w="259" w:type="pct"/>
            <w:vAlign w:val="center"/>
          </w:tcPr>
          <w:p w14:paraId="05228D2D">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198EBD7C">
            <w:pPr>
              <w:spacing w:line="408" w:lineRule="auto"/>
              <w:jc w:val="right"/>
              <w:rPr>
                <w:rFonts w:hint="eastAsia" w:ascii="仿宋" w:hAnsi="仿宋" w:eastAsia="仿宋"/>
                <w:bCs/>
                <w:sz w:val="18"/>
              </w:rPr>
            </w:pPr>
            <w:r>
              <w:rPr>
                <w:rFonts w:hint="eastAsia" w:ascii="仿宋" w:hAnsi="仿宋" w:eastAsia="仿宋"/>
                <w:bCs/>
                <w:sz w:val="18"/>
              </w:rPr>
              <w:t>3</w:t>
            </w:r>
          </w:p>
        </w:tc>
      </w:tr>
      <w:tr w14:paraId="2787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restart"/>
            <w:vAlign w:val="center"/>
          </w:tcPr>
          <w:p w14:paraId="0FE07252">
            <w:pPr>
              <w:spacing w:line="408" w:lineRule="auto"/>
              <w:rPr>
                <w:rFonts w:hint="eastAsia" w:ascii="仿宋" w:hAnsi="仿宋" w:eastAsia="仿宋"/>
                <w:bCs/>
                <w:sz w:val="18"/>
              </w:rPr>
            </w:pPr>
            <w:r>
              <w:rPr>
                <w:rFonts w:hint="eastAsia" w:ascii="仿宋" w:hAnsi="仿宋" w:eastAsia="仿宋"/>
                <w:bCs/>
                <w:sz w:val="18"/>
              </w:rPr>
              <w:t>过程（24%）</w:t>
            </w:r>
          </w:p>
        </w:tc>
        <w:tc>
          <w:tcPr>
            <w:tcW w:w="612" w:type="pct"/>
            <w:vMerge w:val="restart"/>
            <w:vAlign w:val="center"/>
          </w:tcPr>
          <w:p w14:paraId="308E6C36">
            <w:pPr>
              <w:spacing w:line="408" w:lineRule="auto"/>
              <w:rPr>
                <w:rFonts w:hint="eastAsia" w:ascii="仿宋" w:hAnsi="仿宋" w:eastAsia="仿宋"/>
                <w:bCs/>
                <w:sz w:val="18"/>
              </w:rPr>
            </w:pPr>
            <w:r>
              <w:rPr>
                <w:rFonts w:hint="eastAsia" w:ascii="仿宋" w:hAnsi="仿宋" w:eastAsia="仿宋"/>
                <w:bCs/>
                <w:sz w:val="18"/>
              </w:rPr>
              <w:t>预算执行（9分）</w:t>
            </w:r>
          </w:p>
        </w:tc>
        <w:tc>
          <w:tcPr>
            <w:tcW w:w="789" w:type="pct"/>
            <w:vAlign w:val="center"/>
          </w:tcPr>
          <w:p w14:paraId="62DA24D6">
            <w:pPr>
              <w:spacing w:line="408" w:lineRule="auto"/>
              <w:rPr>
                <w:rFonts w:hint="eastAsia" w:ascii="仿宋" w:hAnsi="仿宋" w:eastAsia="仿宋"/>
                <w:bCs/>
                <w:sz w:val="18"/>
              </w:rPr>
            </w:pPr>
            <w:r>
              <w:rPr>
                <w:rFonts w:hint="eastAsia" w:ascii="仿宋" w:hAnsi="仿宋" w:eastAsia="仿宋"/>
                <w:bCs/>
                <w:sz w:val="18"/>
              </w:rPr>
              <w:t>预算执行率（2分）</w:t>
            </w:r>
          </w:p>
        </w:tc>
        <w:tc>
          <w:tcPr>
            <w:tcW w:w="1072" w:type="pct"/>
            <w:vAlign w:val="center"/>
          </w:tcPr>
          <w:p w14:paraId="65C4220C">
            <w:pPr>
              <w:spacing w:line="408" w:lineRule="auto"/>
              <w:rPr>
                <w:rFonts w:hint="eastAsia" w:ascii="仿宋" w:hAnsi="仿宋" w:eastAsia="仿宋"/>
                <w:bCs/>
                <w:sz w:val="18"/>
                <w:lang w:eastAsia="zh-CN"/>
              </w:rPr>
            </w:pPr>
            <w:r>
              <w:rPr>
                <w:rFonts w:hint="eastAsia" w:ascii="仿宋" w:hAnsi="仿宋" w:eastAsia="仿宋"/>
                <w:bCs/>
                <w:sz w:val="18"/>
                <w:lang w:eastAsia="zh-CN"/>
              </w:rPr>
              <w:t>项目预算资金是否按照计划执行，用以反映或考核项目预算执行情况</w:t>
            </w:r>
          </w:p>
        </w:tc>
        <w:tc>
          <w:tcPr>
            <w:tcW w:w="1488" w:type="pct"/>
            <w:vAlign w:val="center"/>
          </w:tcPr>
          <w:p w14:paraId="305B0D50">
            <w:pPr>
              <w:spacing w:line="408" w:lineRule="auto"/>
              <w:rPr>
                <w:rFonts w:hint="eastAsia" w:ascii="仿宋" w:hAnsi="仿宋" w:eastAsia="仿宋"/>
                <w:bCs/>
                <w:sz w:val="18"/>
                <w:lang w:eastAsia="zh-CN"/>
              </w:rPr>
            </w:pPr>
            <w:r>
              <w:rPr>
                <w:rFonts w:hint="eastAsia" w:ascii="仿宋" w:hAnsi="仿宋" w:eastAsia="仿宋"/>
                <w:bCs/>
                <w:sz w:val="18"/>
                <w:lang w:eastAsia="zh-CN"/>
              </w:rPr>
              <w:t>（预算执行率=（年度部门实际支出资金/年度部门全年预算资金）×100%）。</w:t>
            </w:r>
          </w:p>
          <w:p w14:paraId="301A7F92">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90%≤预算执行率</w:t>
            </w:r>
            <w:r>
              <w:rPr>
                <w:rFonts w:ascii="仿宋" w:hAnsi="仿宋" w:eastAsia="仿宋"/>
                <w:bCs/>
                <w:sz w:val="18"/>
                <w:lang w:eastAsia="zh-CN"/>
              </w:rPr>
              <w:t>≤</w:t>
            </w:r>
            <w:r>
              <w:rPr>
                <w:rFonts w:hint="eastAsia" w:ascii="仿宋" w:hAnsi="仿宋" w:eastAsia="仿宋"/>
                <w:bCs/>
                <w:sz w:val="18"/>
                <w:lang w:eastAsia="zh-CN"/>
              </w:rPr>
              <w:t>100%，得2分；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70%≤预算执行率﹤90%，得1分；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预算执行率﹤70%，得0分；</w:t>
            </w:r>
          </w:p>
        </w:tc>
        <w:tc>
          <w:tcPr>
            <w:tcW w:w="259" w:type="pct"/>
            <w:vAlign w:val="center"/>
          </w:tcPr>
          <w:p w14:paraId="039CBEC9">
            <w:pPr>
              <w:spacing w:line="408" w:lineRule="auto"/>
              <w:jc w:val="right"/>
              <w:rPr>
                <w:rFonts w:hint="eastAsia" w:ascii="仿宋" w:hAnsi="仿宋" w:eastAsia="仿宋"/>
                <w:bCs/>
                <w:sz w:val="18"/>
              </w:rPr>
            </w:pPr>
            <w:r>
              <w:rPr>
                <w:rFonts w:hint="eastAsia" w:ascii="仿宋" w:hAnsi="仿宋" w:eastAsia="仿宋"/>
                <w:bCs/>
                <w:sz w:val="18"/>
              </w:rPr>
              <w:t>2</w:t>
            </w:r>
          </w:p>
        </w:tc>
        <w:tc>
          <w:tcPr>
            <w:tcW w:w="308" w:type="pct"/>
            <w:vAlign w:val="center"/>
          </w:tcPr>
          <w:p w14:paraId="2F4FE815">
            <w:pPr>
              <w:spacing w:line="408" w:lineRule="auto"/>
              <w:jc w:val="right"/>
              <w:rPr>
                <w:rFonts w:hint="eastAsia" w:ascii="仿宋" w:hAnsi="仿宋" w:eastAsia="仿宋"/>
                <w:bCs/>
                <w:sz w:val="18"/>
              </w:rPr>
            </w:pPr>
            <w:r>
              <w:rPr>
                <w:rFonts w:hint="eastAsia" w:ascii="仿宋" w:hAnsi="仿宋" w:eastAsia="仿宋"/>
                <w:bCs/>
                <w:sz w:val="18"/>
              </w:rPr>
              <w:t>1</w:t>
            </w:r>
          </w:p>
        </w:tc>
      </w:tr>
      <w:tr w14:paraId="4D8A3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095254DA">
            <w:pPr>
              <w:spacing w:line="408" w:lineRule="auto"/>
              <w:rPr>
                <w:rFonts w:hint="eastAsia" w:ascii="仿宋" w:hAnsi="仿宋" w:eastAsia="仿宋"/>
                <w:bCs/>
                <w:sz w:val="18"/>
              </w:rPr>
            </w:pPr>
          </w:p>
        </w:tc>
        <w:tc>
          <w:tcPr>
            <w:tcW w:w="612" w:type="pct"/>
            <w:vMerge w:val="continue"/>
            <w:vAlign w:val="center"/>
          </w:tcPr>
          <w:p w14:paraId="368DD842">
            <w:pPr>
              <w:spacing w:line="408" w:lineRule="auto"/>
              <w:rPr>
                <w:rFonts w:hint="eastAsia" w:ascii="仿宋" w:hAnsi="仿宋" w:eastAsia="仿宋"/>
                <w:bCs/>
                <w:sz w:val="18"/>
              </w:rPr>
            </w:pPr>
          </w:p>
        </w:tc>
        <w:tc>
          <w:tcPr>
            <w:tcW w:w="789" w:type="pct"/>
            <w:vAlign w:val="center"/>
          </w:tcPr>
          <w:p w14:paraId="7AAE2421">
            <w:pPr>
              <w:spacing w:line="408" w:lineRule="auto"/>
              <w:rPr>
                <w:rFonts w:hint="eastAsia" w:ascii="仿宋" w:hAnsi="仿宋" w:eastAsia="仿宋"/>
                <w:bCs/>
                <w:sz w:val="18"/>
              </w:rPr>
            </w:pPr>
            <w:r>
              <w:rPr>
                <w:rFonts w:hint="eastAsia" w:ascii="仿宋" w:hAnsi="仿宋" w:eastAsia="仿宋"/>
                <w:bCs/>
                <w:sz w:val="18"/>
              </w:rPr>
              <w:t>预算调整率（2分）</w:t>
            </w:r>
          </w:p>
        </w:tc>
        <w:tc>
          <w:tcPr>
            <w:tcW w:w="1072" w:type="pct"/>
            <w:vAlign w:val="center"/>
          </w:tcPr>
          <w:p w14:paraId="05AD031F">
            <w:pPr>
              <w:spacing w:line="408" w:lineRule="auto"/>
              <w:rPr>
                <w:rFonts w:hint="eastAsia" w:ascii="仿宋" w:hAnsi="仿宋" w:eastAsia="仿宋"/>
                <w:bCs/>
                <w:sz w:val="18"/>
                <w:lang w:eastAsia="zh-CN"/>
              </w:rPr>
            </w:pPr>
            <w:r>
              <w:rPr>
                <w:rFonts w:hint="eastAsia" w:ascii="仿宋" w:hAnsi="仿宋" w:eastAsia="仿宋"/>
                <w:bCs/>
                <w:sz w:val="18"/>
                <w:lang w:eastAsia="zh-CN"/>
              </w:rPr>
              <w:t>部门本年度预算调整数与预算数的比率,用以反映和考核部门预算的调整程度。</w:t>
            </w:r>
          </w:p>
        </w:tc>
        <w:tc>
          <w:tcPr>
            <w:tcW w:w="1488" w:type="pct"/>
            <w:vAlign w:val="center"/>
          </w:tcPr>
          <w:p w14:paraId="595D7CEC">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评价要点：支出预算调整率=（支出预算调整数/全年支出预算数）</w:t>
            </w:r>
            <w:r>
              <w:rPr>
                <w:rFonts w:ascii="仿宋" w:hAnsi="仿宋" w:eastAsia="仿宋"/>
                <w:bCs/>
                <w:sz w:val="18"/>
                <w:lang w:eastAsia="zh-CN"/>
              </w:rPr>
              <w:t>×</w:t>
            </w:r>
            <w:r>
              <w:rPr>
                <w:rFonts w:hint="eastAsia" w:ascii="仿宋" w:hAnsi="仿宋" w:eastAsia="仿宋"/>
                <w:bCs/>
                <w:sz w:val="18"/>
                <w:lang w:eastAsia="zh-CN"/>
              </w:rPr>
              <w:t>100%。</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预算调整率=0，得满分；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调整率≧10%，得0分；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0＜预算调整率＜10%,得分=（10%-预算调整率）/10%×该指标分值；</w:t>
            </w:r>
          </w:p>
        </w:tc>
        <w:tc>
          <w:tcPr>
            <w:tcW w:w="259" w:type="pct"/>
            <w:vAlign w:val="center"/>
          </w:tcPr>
          <w:p w14:paraId="728E6091">
            <w:pPr>
              <w:spacing w:line="408" w:lineRule="auto"/>
              <w:jc w:val="right"/>
              <w:rPr>
                <w:rFonts w:hint="eastAsia" w:ascii="仿宋" w:hAnsi="仿宋" w:eastAsia="仿宋"/>
                <w:bCs/>
                <w:sz w:val="18"/>
              </w:rPr>
            </w:pPr>
            <w:r>
              <w:rPr>
                <w:rFonts w:hint="eastAsia" w:ascii="仿宋" w:hAnsi="仿宋" w:eastAsia="仿宋"/>
                <w:bCs/>
                <w:sz w:val="18"/>
              </w:rPr>
              <w:t>2</w:t>
            </w:r>
          </w:p>
        </w:tc>
        <w:tc>
          <w:tcPr>
            <w:tcW w:w="308" w:type="pct"/>
            <w:vAlign w:val="center"/>
          </w:tcPr>
          <w:p w14:paraId="5B1B9E06">
            <w:pPr>
              <w:spacing w:line="408" w:lineRule="auto"/>
              <w:jc w:val="right"/>
              <w:rPr>
                <w:rFonts w:hint="eastAsia" w:ascii="仿宋" w:hAnsi="仿宋" w:eastAsia="仿宋"/>
                <w:bCs/>
                <w:sz w:val="18"/>
              </w:rPr>
            </w:pPr>
            <w:r>
              <w:rPr>
                <w:rFonts w:hint="eastAsia" w:ascii="仿宋" w:hAnsi="仿宋" w:eastAsia="仿宋"/>
                <w:bCs/>
                <w:sz w:val="18"/>
              </w:rPr>
              <w:t>0</w:t>
            </w:r>
          </w:p>
        </w:tc>
      </w:tr>
      <w:tr w14:paraId="7265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4A4883D0">
            <w:pPr>
              <w:spacing w:line="408" w:lineRule="auto"/>
              <w:rPr>
                <w:rFonts w:hint="eastAsia" w:ascii="仿宋" w:hAnsi="仿宋" w:eastAsia="仿宋"/>
                <w:bCs/>
                <w:sz w:val="18"/>
              </w:rPr>
            </w:pPr>
          </w:p>
        </w:tc>
        <w:tc>
          <w:tcPr>
            <w:tcW w:w="612" w:type="pct"/>
            <w:vMerge w:val="continue"/>
            <w:vAlign w:val="center"/>
          </w:tcPr>
          <w:p w14:paraId="5AF59C66">
            <w:pPr>
              <w:spacing w:line="408" w:lineRule="auto"/>
              <w:rPr>
                <w:rFonts w:hint="eastAsia" w:ascii="仿宋" w:hAnsi="仿宋" w:eastAsia="仿宋"/>
                <w:bCs/>
                <w:sz w:val="18"/>
              </w:rPr>
            </w:pPr>
          </w:p>
        </w:tc>
        <w:tc>
          <w:tcPr>
            <w:tcW w:w="789" w:type="pct"/>
            <w:vAlign w:val="center"/>
          </w:tcPr>
          <w:p w14:paraId="1B7DED18">
            <w:pPr>
              <w:spacing w:line="408" w:lineRule="auto"/>
              <w:rPr>
                <w:rFonts w:hint="eastAsia" w:ascii="仿宋" w:hAnsi="仿宋" w:eastAsia="仿宋"/>
                <w:bCs/>
                <w:sz w:val="18"/>
              </w:rPr>
            </w:pPr>
            <w:r>
              <w:rPr>
                <w:rFonts w:hint="eastAsia" w:ascii="仿宋" w:hAnsi="仿宋" w:eastAsia="仿宋"/>
                <w:bCs/>
                <w:sz w:val="18"/>
              </w:rPr>
              <w:t>结转结余率（3分）</w:t>
            </w:r>
          </w:p>
        </w:tc>
        <w:tc>
          <w:tcPr>
            <w:tcW w:w="1072" w:type="pct"/>
            <w:vAlign w:val="center"/>
          </w:tcPr>
          <w:p w14:paraId="48FD64BF">
            <w:pPr>
              <w:spacing w:line="408" w:lineRule="auto"/>
              <w:rPr>
                <w:rFonts w:hint="eastAsia" w:ascii="仿宋" w:hAnsi="仿宋" w:eastAsia="仿宋"/>
                <w:bCs/>
                <w:sz w:val="18"/>
                <w:lang w:eastAsia="zh-CN"/>
              </w:rPr>
            </w:pPr>
            <w:r>
              <w:rPr>
                <w:rFonts w:hint="eastAsia" w:ascii="仿宋" w:hAnsi="仿宋" w:eastAsia="仿宋"/>
                <w:bCs/>
                <w:sz w:val="18"/>
                <w:lang w:eastAsia="zh-CN"/>
              </w:rPr>
              <w:t>部门本年度结转结余总额与支出预算数的比率，反映和评价单位对本年度结转结余资金的实际控制程度。</w:t>
            </w:r>
          </w:p>
        </w:tc>
        <w:tc>
          <w:tcPr>
            <w:tcW w:w="1488" w:type="pct"/>
            <w:vAlign w:val="center"/>
          </w:tcPr>
          <w:p w14:paraId="3C0EC19D">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评价要点：结转结余率=结转结余总额/全年支出预算数</w:t>
            </w:r>
            <w:r>
              <w:rPr>
                <w:rFonts w:ascii="仿宋" w:hAnsi="仿宋" w:eastAsia="仿宋"/>
                <w:bCs/>
                <w:sz w:val="18"/>
                <w:lang w:eastAsia="zh-CN"/>
              </w:rPr>
              <w:t>×</w:t>
            </w:r>
            <w:r>
              <w:rPr>
                <w:rFonts w:hint="eastAsia" w:ascii="仿宋" w:hAnsi="仿宋" w:eastAsia="仿宋"/>
                <w:bCs/>
                <w:sz w:val="18"/>
                <w:lang w:eastAsia="zh-CN"/>
              </w:rPr>
              <w:t>100%。</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结转结余率=0，得满分；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结转结余率≧50%，得0分；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0%＜结转结余率＜50%，得分=（50%-结转结余率）/50%×该指标分值。</w:t>
            </w:r>
          </w:p>
        </w:tc>
        <w:tc>
          <w:tcPr>
            <w:tcW w:w="259" w:type="pct"/>
            <w:vAlign w:val="center"/>
          </w:tcPr>
          <w:p w14:paraId="1D266FCA">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669B645C">
            <w:pPr>
              <w:spacing w:line="408" w:lineRule="auto"/>
              <w:jc w:val="right"/>
              <w:rPr>
                <w:rFonts w:hint="eastAsia" w:ascii="仿宋" w:hAnsi="仿宋" w:eastAsia="仿宋"/>
                <w:bCs/>
                <w:sz w:val="18"/>
              </w:rPr>
            </w:pPr>
            <w:r>
              <w:rPr>
                <w:rFonts w:hint="eastAsia" w:ascii="仿宋" w:hAnsi="仿宋" w:eastAsia="仿宋"/>
                <w:bCs/>
                <w:sz w:val="18"/>
              </w:rPr>
              <w:t>2.99</w:t>
            </w:r>
          </w:p>
        </w:tc>
      </w:tr>
      <w:tr w14:paraId="6E33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4DD9CADB">
            <w:pPr>
              <w:spacing w:line="408" w:lineRule="auto"/>
              <w:rPr>
                <w:rFonts w:hint="eastAsia" w:ascii="仿宋" w:hAnsi="仿宋" w:eastAsia="仿宋"/>
                <w:bCs/>
                <w:sz w:val="18"/>
              </w:rPr>
            </w:pPr>
          </w:p>
        </w:tc>
        <w:tc>
          <w:tcPr>
            <w:tcW w:w="612" w:type="pct"/>
            <w:vMerge w:val="continue"/>
            <w:vAlign w:val="center"/>
          </w:tcPr>
          <w:p w14:paraId="37480934">
            <w:pPr>
              <w:spacing w:line="408" w:lineRule="auto"/>
              <w:rPr>
                <w:rFonts w:hint="eastAsia" w:ascii="仿宋" w:hAnsi="仿宋" w:eastAsia="仿宋"/>
                <w:bCs/>
                <w:sz w:val="18"/>
              </w:rPr>
            </w:pPr>
          </w:p>
        </w:tc>
        <w:tc>
          <w:tcPr>
            <w:tcW w:w="789" w:type="pct"/>
            <w:vAlign w:val="center"/>
          </w:tcPr>
          <w:p w14:paraId="6195DAF8">
            <w:pPr>
              <w:spacing w:line="408" w:lineRule="auto"/>
              <w:rPr>
                <w:rFonts w:hint="eastAsia" w:ascii="仿宋" w:hAnsi="仿宋" w:eastAsia="仿宋"/>
                <w:bCs/>
                <w:sz w:val="18"/>
                <w:lang w:eastAsia="zh-CN"/>
              </w:rPr>
            </w:pPr>
            <w:r>
              <w:rPr>
                <w:rFonts w:hint="eastAsia" w:ascii="仿宋" w:hAnsi="仿宋" w:eastAsia="仿宋"/>
                <w:bCs/>
                <w:sz w:val="18"/>
                <w:lang w:eastAsia="zh-CN"/>
              </w:rPr>
              <w:t>公用经费控制率（2分）</w:t>
            </w:r>
          </w:p>
        </w:tc>
        <w:tc>
          <w:tcPr>
            <w:tcW w:w="1072" w:type="pct"/>
            <w:vAlign w:val="center"/>
          </w:tcPr>
          <w:p w14:paraId="4CFE3615">
            <w:pPr>
              <w:spacing w:line="408" w:lineRule="auto"/>
              <w:rPr>
                <w:rFonts w:hint="eastAsia" w:ascii="仿宋" w:hAnsi="仿宋" w:eastAsia="仿宋"/>
                <w:bCs/>
                <w:sz w:val="18"/>
                <w:lang w:eastAsia="zh-CN"/>
              </w:rPr>
            </w:pPr>
            <w:r>
              <w:rPr>
                <w:rFonts w:hint="eastAsia" w:ascii="仿宋" w:hAnsi="仿宋" w:eastAsia="仿宋"/>
                <w:bCs/>
                <w:sz w:val="18"/>
                <w:lang w:eastAsia="zh-CN"/>
              </w:rPr>
              <w:t>部门本年度</w:t>
            </w:r>
            <w:r>
              <w:rPr>
                <w:rFonts w:ascii="仿宋" w:hAnsi="仿宋" w:eastAsia="仿宋"/>
                <w:bCs/>
                <w:sz w:val="18"/>
                <w:lang w:eastAsia="zh-CN"/>
              </w:rPr>
              <w:t>“</w:t>
            </w:r>
            <w:r>
              <w:rPr>
                <w:rFonts w:hint="eastAsia" w:ascii="仿宋" w:hAnsi="仿宋" w:eastAsia="仿宋"/>
                <w:bCs/>
                <w:sz w:val="18"/>
                <w:lang w:eastAsia="zh-CN"/>
              </w:rPr>
              <w:t>三公</w:t>
            </w:r>
            <w:r>
              <w:rPr>
                <w:rFonts w:ascii="仿宋" w:hAnsi="仿宋" w:eastAsia="仿宋"/>
                <w:bCs/>
                <w:sz w:val="18"/>
                <w:lang w:eastAsia="zh-CN"/>
              </w:rPr>
              <w:t>”</w:t>
            </w:r>
            <w:r>
              <w:rPr>
                <w:rFonts w:hint="eastAsia" w:ascii="仿宋" w:hAnsi="仿宋" w:eastAsia="仿宋"/>
                <w:bCs/>
                <w:sz w:val="18"/>
                <w:lang w:eastAsia="zh-CN"/>
              </w:rPr>
              <w:t>经费实际支出数与预算安排数的比率,用以反映和考核部门对</w:t>
            </w:r>
            <w:r>
              <w:rPr>
                <w:rFonts w:ascii="仿宋" w:hAnsi="仿宋" w:eastAsia="仿宋"/>
                <w:bCs/>
                <w:sz w:val="18"/>
                <w:lang w:eastAsia="zh-CN"/>
              </w:rPr>
              <w:t>“</w:t>
            </w:r>
            <w:r>
              <w:rPr>
                <w:rFonts w:hint="eastAsia" w:ascii="仿宋" w:hAnsi="仿宋" w:eastAsia="仿宋"/>
                <w:bCs/>
                <w:sz w:val="18"/>
                <w:lang w:eastAsia="zh-CN"/>
              </w:rPr>
              <w:t>三公</w:t>
            </w:r>
            <w:r>
              <w:rPr>
                <w:rFonts w:ascii="仿宋" w:hAnsi="仿宋" w:eastAsia="仿宋"/>
                <w:bCs/>
                <w:sz w:val="18"/>
                <w:lang w:eastAsia="zh-CN"/>
              </w:rPr>
              <w:t>”</w:t>
            </w:r>
            <w:r>
              <w:rPr>
                <w:rFonts w:hint="eastAsia" w:ascii="仿宋" w:hAnsi="仿宋" w:eastAsia="仿宋"/>
                <w:bCs/>
                <w:sz w:val="18"/>
                <w:lang w:eastAsia="zh-CN"/>
              </w:rPr>
              <w:t>经费的实际控制程度。</w:t>
            </w:r>
          </w:p>
        </w:tc>
        <w:tc>
          <w:tcPr>
            <w:tcW w:w="1488" w:type="pct"/>
            <w:vAlign w:val="center"/>
          </w:tcPr>
          <w:p w14:paraId="4F6DA33D">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评价要点：公用经费控制率=（实际支出公用经费总额/预算安排公用经费总额）</w:t>
            </w:r>
            <w:r>
              <w:rPr>
                <w:rFonts w:ascii="仿宋" w:hAnsi="仿宋" w:eastAsia="仿宋"/>
                <w:bCs/>
                <w:sz w:val="18"/>
                <w:lang w:eastAsia="zh-CN"/>
              </w:rPr>
              <w:t>×</w:t>
            </w:r>
            <w:r>
              <w:rPr>
                <w:rFonts w:hint="eastAsia" w:ascii="仿宋" w:hAnsi="仿宋" w:eastAsia="仿宋"/>
                <w:bCs/>
                <w:sz w:val="18"/>
                <w:lang w:eastAsia="zh-CN"/>
              </w:rPr>
              <w:t>100%。</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公用经费控制率≦100%，得满分；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公用经费控制率≧105%，得0分；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100%＜公用经费控制率&lt;105%，得分=（105%-公用经费控制率）/5%×该指标分值。</w:t>
            </w:r>
          </w:p>
        </w:tc>
        <w:tc>
          <w:tcPr>
            <w:tcW w:w="259" w:type="pct"/>
            <w:vAlign w:val="center"/>
          </w:tcPr>
          <w:p w14:paraId="3C1C2C4F">
            <w:pPr>
              <w:spacing w:line="408" w:lineRule="auto"/>
              <w:jc w:val="right"/>
              <w:rPr>
                <w:rFonts w:hint="eastAsia" w:ascii="仿宋" w:hAnsi="仿宋" w:eastAsia="仿宋"/>
                <w:bCs/>
                <w:sz w:val="18"/>
              </w:rPr>
            </w:pPr>
            <w:r>
              <w:rPr>
                <w:rFonts w:hint="eastAsia" w:ascii="仿宋" w:hAnsi="仿宋" w:eastAsia="仿宋"/>
                <w:bCs/>
                <w:sz w:val="18"/>
              </w:rPr>
              <w:t>2</w:t>
            </w:r>
          </w:p>
        </w:tc>
        <w:tc>
          <w:tcPr>
            <w:tcW w:w="308" w:type="pct"/>
            <w:vAlign w:val="center"/>
          </w:tcPr>
          <w:p w14:paraId="1FDCA1AD">
            <w:pPr>
              <w:spacing w:line="408" w:lineRule="auto"/>
              <w:jc w:val="right"/>
              <w:rPr>
                <w:rFonts w:hint="eastAsia" w:ascii="仿宋" w:hAnsi="仿宋" w:eastAsia="仿宋"/>
                <w:bCs/>
                <w:sz w:val="18"/>
              </w:rPr>
            </w:pPr>
            <w:r>
              <w:rPr>
                <w:rFonts w:hint="eastAsia" w:ascii="仿宋" w:hAnsi="仿宋" w:eastAsia="仿宋"/>
                <w:bCs/>
                <w:sz w:val="18"/>
              </w:rPr>
              <w:t>2</w:t>
            </w:r>
          </w:p>
        </w:tc>
      </w:tr>
      <w:tr w14:paraId="028C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3C8DED14">
            <w:pPr>
              <w:spacing w:line="408" w:lineRule="auto"/>
              <w:rPr>
                <w:rFonts w:hint="eastAsia" w:ascii="仿宋" w:hAnsi="仿宋" w:eastAsia="仿宋"/>
                <w:bCs/>
                <w:sz w:val="18"/>
              </w:rPr>
            </w:pPr>
          </w:p>
        </w:tc>
        <w:tc>
          <w:tcPr>
            <w:tcW w:w="612" w:type="pct"/>
            <w:vMerge w:val="restart"/>
            <w:vAlign w:val="center"/>
          </w:tcPr>
          <w:p w14:paraId="2BCCFCE5">
            <w:pPr>
              <w:spacing w:line="408" w:lineRule="auto"/>
              <w:rPr>
                <w:rFonts w:hint="eastAsia" w:ascii="仿宋" w:hAnsi="仿宋" w:eastAsia="仿宋"/>
                <w:bCs/>
                <w:sz w:val="18"/>
              </w:rPr>
            </w:pPr>
            <w:r>
              <w:rPr>
                <w:rFonts w:hint="eastAsia" w:ascii="仿宋" w:hAnsi="仿宋" w:eastAsia="仿宋"/>
                <w:bCs/>
                <w:sz w:val="18"/>
              </w:rPr>
              <w:t>预算管理（15分）</w:t>
            </w:r>
          </w:p>
        </w:tc>
        <w:tc>
          <w:tcPr>
            <w:tcW w:w="789" w:type="pct"/>
            <w:vAlign w:val="center"/>
          </w:tcPr>
          <w:p w14:paraId="720EB4DB">
            <w:pPr>
              <w:spacing w:line="408" w:lineRule="auto"/>
              <w:rPr>
                <w:rFonts w:hint="eastAsia" w:ascii="仿宋" w:hAnsi="仿宋" w:eastAsia="仿宋"/>
                <w:bCs/>
                <w:sz w:val="18"/>
              </w:rPr>
            </w:pPr>
            <w:r>
              <w:rPr>
                <w:rFonts w:hint="eastAsia" w:ascii="仿宋" w:hAnsi="仿宋" w:eastAsia="仿宋"/>
                <w:bCs/>
                <w:sz w:val="18"/>
              </w:rPr>
              <w:t>管理制度健全性（1.5分）</w:t>
            </w:r>
          </w:p>
        </w:tc>
        <w:tc>
          <w:tcPr>
            <w:tcW w:w="1072" w:type="pct"/>
            <w:vAlign w:val="center"/>
          </w:tcPr>
          <w:p w14:paraId="393D2354">
            <w:pPr>
              <w:spacing w:line="408" w:lineRule="auto"/>
              <w:rPr>
                <w:rFonts w:hint="eastAsia" w:ascii="仿宋" w:hAnsi="仿宋" w:eastAsia="仿宋"/>
                <w:bCs/>
                <w:sz w:val="18"/>
                <w:lang w:eastAsia="zh-CN"/>
              </w:rPr>
            </w:pPr>
            <w:r>
              <w:rPr>
                <w:rFonts w:hint="eastAsia" w:ascii="仿宋" w:hAnsi="仿宋" w:eastAsia="仿宋"/>
                <w:bCs/>
                <w:sz w:val="18"/>
                <w:lang w:eastAsia="zh-CN"/>
              </w:rPr>
              <w:t>部门为加强预算管理、规范财务行为而制定的管理制度是否健全完整，用以反映和考核部门预算管理制度对完成主要职责或促进事业发展的保障情况。</w:t>
            </w:r>
          </w:p>
        </w:tc>
        <w:tc>
          <w:tcPr>
            <w:tcW w:w="1488" w:type="pct"/>
            <w:vAlign w:val="center"/>
          </w:tcPr>
          <w:p w14:paraId="79812B66">
            <w:pPr>
              <w:spacing w:line="408" w:lineRule="auto"/>
              <w:rPr>
                <w:rFonts w:hint="eastAsia" w:ascii="仿宋" w:hAnsi="仿宋" w:eastAsia="仿宋"/>
                <w:bCs/>
                <w:sz w:val="18"/>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是否已制定或具有预算资金管理办法、内部财务管理制度、会计核算制度等管理制度；</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相关管理制度是否合法、合规、完整；</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相关管理制度是否得到有效执行。</w:t>
            </w:r>
            <w:r>
              <w:rPr>
                <w:rFonts w:hint="eastAsia" w:ascii="仿宋" w:hAnsi="仿宋" w:eastAsia="仿宋"/>
                <w:bCs/>
                <w:sz w:val="18"/>
                <w:lang w:eastAsia="zh-CN"/>
              </w:rPr>
              <w:br w:type="textWrapping"/>
            </w:r>
            <w:r>
              <w:rPr>
                <w:rFonts w:hint="eastAsia" w:ascii="仿宋" w:hAnsi="仿宋" w:eastAsia="仿宋"/>
                <w:bCs/>
                <w:sz w:val="18"/>
              </w:rPr>
              <w:t>一项不符合扣0.5分。</w:t>
            </w:r>
          </w:p>
        </w:tc>
        <w:tc>
          <w:tcPr>
            <w:tcW w:w="259" w:type="pct"/>
            <w:vAlign w:val="center"/>
          </w:tcPr>
          <w:p w14:paraId="6B6AD8BF">
            <w:pPr>
              <w:spacing w:line="408" w:lineRule="auto"/>
              <w:jc w:val="right"/>
              <w:rPr>
                <w:rFonts w:hint="eastAsia" w:ascii="仿宋" w:hAnsi="仿宋" w:eastAsia="仿宋"/>
                <w:bCs/>
                <w:sz w:val="18"/>
              </w:rPr>
            </w:pPr>
            <w:r>
              <w:rPr>
                <w:rFonts w:hint="eastAsia" w:ascii="仿宋" w:hAnsi="仿宋" w:eastAsia="仿宋"/>
                <w:bCs/>
                <w:sz w:val="18"/>
              </w:rPr>
              <w:t>1.5</w:t>
            </w:r>
          </w:p>
        </w:tc>
        <w:tc>
          <w:tcPr>
            <w:tcW w:w="308" w:type="pct"/>
            <w:vAlign w:val="center"/>
          </w:tcPr>
          <w:p w14:paraId="7D09F86A">
            <w:pPr>
              <w:spacing w:line="408" w:lineRule="auto"/>
              <w:jc w:val="right"/>
              <w:rPr>
                <w:rFonts w:hint="eastAsia" w:ascii="仿宋" w:hAnsi="仿宋" w:eastAsia="仿宋"/>
                <w:bCs/>
                <w:sz w:val="18"/>
              </w:rPr>
            </w:pPr>
            <w:r>
              <w:rPr>
                <w:rFonts w:hint="eastAsia" w:ascii="仿宋" w:hAnsi="仿宋" w:eastAsia="仿宋"/>
                <w:bCs/>
                <w:sz w:val="18"/>
              </w:rPr>
              <w:t>1.5</w:t>
            </w:r>
          </w:p>
        </w:tc>
      </w:tr>
      <w:tr w14:paraId="7EAD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506B5ADD">
            <w:pPr>
              <w:spacing w:line="408" w:lineRule="auto"/>
              <w:rPr>
                <w:rFonts w:hint="eastAsia" w:ascii="仿宋" w:hAnsi="仿宋" w:eastAsia="仿宋"/>
                <w:bCs/>
                <w:sz w:val="18"/>
              </w:rPr>
            </w:pPr>
          </w:p>
        </w:tc>
        <w:tc>
          <w:tcPr>
            <w:tcW w:w="612" w:type="pct"/>
            <w:vMerge w:val="continue"/>
            <w:vAlign w:val="center"/>
          </w:tcPr>
          <w:p w14:paraId="41899EF6">
            <w:pPr>
              <w:spacing w:line="408" w:lineRule="auto"/>
              <w:rPr>
                <w:rFonts w:hint="eastAsia" w:ascii="仿宋" w:hAnsi="仿宋" w:eastAsia="仿宋"/>
                <w:bCs/>
                <w:sz w:val="18"/>
              </w:rPr>
            </w:pPr>
          </w:p>
        </w:tc>
        <w:tc>
          <w:tcPr>
            <w:tcW w:w="789" w:type="pct"/>
            <w:vAlign w:val="center"/>
          </w:tcPr>
          <w:p w14:paraId="57A42991">
            <w:pPr>
              <w:spacing w:line="408" w:lineRule="auto"/>
              <w:rPr>
                <w:rFonts w:hint="eastAsia" w:ascii="仿宋" w:hAnsi="仿宋" w:eastAsia="仿宋"/>
                <w:bCs/>
                <w:sz w:val="18"/>
              </w:rPr>
            </w:pPr>
            <w:r>
              <w:rPr>
                <w:rFonts w:hint="eastAsia" w:ascii="仿宋" w:hAnsi="仿宋" w:eastAsia="仿宋"/>
                <w:bCs/>
                <w:sz w:val="18"/>
              </w:rPr>
              <w:t>政府采购管理（1分）</w:t>
            </w:r>
          </w:p>
        </w:tc>
        <w:tc>
          <w:tcPr>
            <w:tcW w:w="1072" w:type="pct"/>
            <w:vAlign w:val="center"/>
          </w:tcPr>
          <w:p w14:paraId="4FDB9696">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主要评价部门（单位）本年度政府采购是否执行政府采购相关规定和要求，用以反映和考核部门（单位）政府采购预算执行情况。</w:t>
            </w:r>
          </w:p>
        </w:tc>
        <w:tc>
          <w:tcPr>
            <w:tcW w:w="1488" w:type="pct"/>
            <w:vAlign w:val="center"/>
          </w:tcPr>
          <w:p w14:paraId="362CDC73">
            <w:pPr>
              <w:spacing w:line="408" w:lineRule="auto"/>
              <w:rPr>
                <w:rFonts w:hint="eastAsia" w:ascii="仿宋" w:hAnsi="仿宋" w:eastAsia="仿宋"/>
                <w:bCs/>
                <w:sz w:val="18"/>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是否按照规定编制政府采购预算；</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是否编制了政府采购计划表，编制是否准确；</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政府采购预算资金申请是否合规；</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是否存在政府采购未按规定公开招标、违规采购等违规行为。</w:t>
            </w:r>
            <w:r>
              <w:rPr>
                <w:rFonts w:hint="eastAsia" w:ascii="仿宋" w:hAnsi="仿宋" w:eastAsia="仿宋"/>
                <w:bCs/>
                <w:sz w:val="18"/>
                <w:lang w:eastAsia="zh-CN"/>
              </w:rPr>
              <w:br w:type="textWrapping"/>
            </w:r>
            <w:r>
              <w:rPr>
                <w:rFonts w:hint="eastAsia" w:ascii="仿宋" w:hAnsi="仿宋" w:eastAsia="仿宋"/>
                <w:bCs/>
                <w:sz w:val="18"/>
              </w:rPr>
              <w:t>一项不符合扣0.25分。</w:t>
            </w:r>
          </w:p>
        </w:tc>
        <w:tc>
          <w:tcPr>
            <w:tcW w:w="259" w:type="pct"/>
            <w:vAlign w:val="center"/>
          </w:tcPr>
          <w:p w14:paraId="7211E717">
            <w:pPr>
              <w:spacing w:line="408" w:lineRule="auto"/>
              <w:jc w:val="right"/>
              <w:rPr>
                <w:rFonts w:hint="eastAsia" w:ascii="仿宋" w:hAnsi="仿宋" w:eastAsia="仿宋"/>
                <w:bCs/>
                <w:sz w:val="18"/>
              </w:rPr>
            </w:pPr>
            <w:r>
              <w:rPr>
                <w:rFonts w:hint="eastAsia" w:ascii="仿宋" w:hAnsi="仿宋" w:eastAsia="仿宋"/>
                <w:bCs/>
                <w:sz w:val="18"/>
              </w:rPr>
              <w:t>1</w:t>
            </w:r>
          </w:p>
        </w:tc>
        <w:tc>
          <w:tcPr>
            <w:tcW w:w="308" w:type="pct"/>
            <w:vAlign w:val="center"/>
          </w:tcPr>
          <w:p w14:paraId="33DB49DA">
            <w:pPr>
              <w:spacing w:line="408" w:lineRule="auto"/>
              <w:jc w:val="right"/>
              <w:rPr>
                <w:rFonts w:hint="eastAsia" w:ascii="仿宋" w:hAnsi="仿宋" w:eastAsia="仿宋"/>
                <w:bCs/>
                <w:sz w:val="18"/>
              </w:rPr>
            </w:pPr>
            <w:r>
              <w:rPr>
                <w:rFonts w:hint="eastAsia" w:ascii="仿宋" w:hAnsi="仿宋" w:eastAsia="仿宋"/>
                <w:bCs/>
                <w:sz w:val="18"/>
              </w:rPr>
              <w:t>1</w:t>
            </w:r>
          </w:p>
        </w:tc>
      </w:tr>
      <w:tr w14:paraId="66875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4F7DCBE8">
            <w:pPr>
              <w:spacing w:line="408" w:lineRule="auto"/>
              <w:rPr>
                <w:rFonts w:hint="eastAsia" w:ascii="仿宋" w:hAnsi="仿宋" w:eastAsia="仿宋"/>
                <w:bCs/>
                <w:sz w:val="18"/>
              </w:rPr>
            </w:pPr>
          </w:p>
        </w:tc>
        <w:tc>
          <w:tcPr>
            <w:tcW w:w="612" w:type="pct"/>
            <w:vMerge w:val="continue"/>
            <w:vAlign w:val="center"/>
          </w:tcPr>
          <w:p w14:paraId="28046238">
            <w:pPr>
              <w:spacing w:line="408" w:lineRule="auto"/>
              <w:rPr>
                <w:rFonts w:hint="eastAsia" w:ascii="仿宋" w:hAnsi="仿宋" w:eastAsia="仿宋"/>
                <w:bCs/>
                <w:sz w:val="18"/>
              </w:rPr>
            </w:pPr>
          </w:p>
        </w:tc>
        <w:tc>
          <w:tcPr>
            <w:tcW w:w="789" w:type="pct"/>
            <w:vAlign w:val="center"/>
          </w:tcPr>
          <w:p w14:paraId="4B38B724">
            <w:pPr>
              <w:spacing w:line="408" w:lineRule="auto"/>
              <w:rPr>
                <w:rFonts w:hint="eastAsia" w:ascii="仿宋" w:hAnsi="仿宋" w:eastAsia="仿宋"/>
                <w:bCs/>
                <w:sz w:val="18"/>
                <w:lang w:eastAsia="zh-CN"/>
              </w:rPr>
            </w:pPr>
            <w:r>
              <w:rPr>
                <w:rFonts w:hint="eastAsia" w:ascii="仿宋" w:hAnsi="仿宋" w:eastAsia="仿宋"/>
                <w:bCs/>
                <w:sz w:val="18"/>
                <w:lang w:eastAsia="zh-CN"/>
              </w:rPr>
              <w:t>会计核算规范性（4分）</w:t>
            </w:r>
          </w:p>
        </w:tc>
        <w:tc>
          <w:tcPr>
            <w:tcW w:w="1072" w:type="pct"/>
            <w:vAlign w:val="center"/>
          </w:tcPr>
          <w:p w14:paraId="59D6ADC7">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主要评价部门（单位）财务会计核算是否规范，是否符合会计准则的相关规定，是否符合财务管理制度，用以反映和考核部门（单位）财务会计核算情况。</w:t>
            </w:r>
          </w:p>
        </w:tc>
        <w:tc>
          <w:tcPr>
            <w:tcW w:w="1488" w:type="pct"/>
            <w:vAlign w:val="center"/>
          </w:tcPr>
          <w:p w14:paraId="1BD592FF">
            <w:pPr>
              <w:spacing w:line="408" w:lineRule="auto"/>
              <w:rPr>
                <w:rFonts w:hint="eastAsia" w:ascii="仿宋" w:hAnsi="仿宋" w:eastAsia="仿宋"/>
                <w:bCs/>
                <w:sz w:val="18"/>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是否遵循会计准则，会计科目使用正确，记账凭证填写规范；</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会计报表、财务报告编制是否准确、及时；</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应缴财政款年末是否按规定年终清缴后无余额；</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是否存在截留、挤占、挪用、虚列支出的情况。</w:t>
            </w:r>
            <w:r>
              <w:rPr>
                <w:rFonts w:hint="eastAsia" w:ascii="仿宋" w:hAnsi="仿宋" w:eastAsia="仿宋"/>
                <w:bCs/>
                <w:sz w:val="18"/>
                <w:lang w:eastAsia="zh-CN"/>
              </w:rPr>
              <w:br w:type="textWrapping"/>
            </w:r>
            <w:r>
              <w:rPr>
                <w:rFonts w:hint="eastAsia" w:ascii="仿宋" w:hAnsi="仿宋" w:eastAsia="仿宋"/>
                <w:bCs/>
                <w:sz w:val="18"/>
              </w:rPr>
              <w:t>一项不符扣1分，扣完为止。</w:t>
            </w:r>
          </w:p>
        </w:tc>
        <w:tc>
          <w:tcPr>
            <w:tcW w:w="259" w:type="pct"/>
            <w:vAlign w:val="center"/>
          </w:tcPr>
          <w:p w14:paraId="6B750319">
            <w:pPr>
              <w:spacing w:line="408" w:lineRule="auto"/>
              <w:jc w:val="right"/>
              <w:rPr>
                <w:rFonts w:hint="eastAsia" w:ascii="仿宋" w:hAnsi="仿宋" w:eastAsia="仿宋"/>
                <w:bCs/>
                <w:sz w:val="18"/>
              </w:rPr>
            </w:pPr>
            <w:r>
              <w:rPr>
                <w:rFonts w:hint="eastAsia" w:ascii="仿宋" w:hAnsi="仿宋" w:eastAsia="仿宋"/>
                <w:bCs/>
                <w:sz w:val="18"/>
              </w:rPr>
              <w:t>4</w:t>
            </w:r>
          </w:p>
        </w:tc>
        <w:tc>
          <w:tcPr>
            <w:tcW w:w="308" w:type="pct"/>
            <w:vAlign w:val="center"/>
          </w:tcPr>
          <w:p w14:paraId="0304B459">
            <w:pPr>
              <w:spacing w:line="408" w:lineRule="auto"/>
              <w:jc w:val="right"/>
              <w:rPr>
                <w:rFonts w:hint="eastAsia" w:ascii="仿宋" w:hAnsi="仿宋" w:eastAsia="仿宋"/>
                <w:bCs/>
                <w:sz w:val="18"/>
                <w:lang w:eastAsia="zh-CN"/>
              </w:rPr>
            </w:pPr>
            <w:r>
              <w:rPr>
                <w:rFonts w:hint="eastAsia" w:ascii="仿宋" w:hAnsi="仿宋" w:eastAsia="仿宋"/>
                <w:bCs/>
                <w:sz w:val="18"/>
                <w:lang w:eastAsia="zh-CN"/>
              </w:rPr>
              <w:t>3</w:t>
            </w:r>
          </w:p>
        </w:tc>
      </w:tr>
      <w:tr w14:paraId="0A44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71B81076">
            <w:pPr>
              <w:spacing w:line="408" w:lineRule="auto"/>
              <w:rPr>
                <w:rFonts w:hint="eastAsia" w:ascii="仿宋" w:hAnsi="仿宋" w:eastAsia="仿宋"/>
                <w:bCs/>
                <w:sz w:val="18"/>
              </w:rPr>
            </w:pPr>
          </w:p>
        </w:tc>
        <w:tc>
          <w:tcPr>
            <w:tcW w:w="612" w:type="pct"/>
            <w:vMerge w:val="continue"/>
            <w:vAlign w:val="center"/>
          </w:tcPr>
          <w:p w14:paraId="3D5C71F5">
            <w:pPr>
              <w:spacing w:line="408" w:lineRule="auto"/>
              <w:rPr>
                <w:rFonts w:hint="eastAsia" w:ascii="仿宋" w:hAnsi="仿宋" w:eastAsia="仿宋"/>
                <w:bCs/>
                <w:sz w:val="18"/>
              </w:rPr>
            </w:pPr>
          </w:p>
        </w:tc>
        <w:tc>
          <w:tcPr>
            <w:tcW w:w="789" w:type="pct"/>
            <w:vAlign w:val="center"/>
          </w:tcPr>
          <w:p w14:paraId="1E8C9DD8">
            <w:pPr>
              <w:spacing w:line="408" w:lineRule="auto"/>
              <w:rPr>
                <w:rFonts w:hint="eastAsia" w:ascii="仿宋" w:hAnsi="仿宋" w:eastAsia="仿宋"/>
                <w:bCs/>
                <w:sz w:val="18"/>
                <w:lang w:eastAsia="zh-CN"/>
              </w:rPr>
            </w:pPr>
            <w:r>
              <w:rPr>
                <w:rFonts w:hint="eastAsia" w:ascii="仿宋" w:hAnsi="仿宋" w:eastAsia="仿宋"/>
                <w:bCs/>
                <w:sz w:val="18"/>
                <w:lang w:eastAsia="zh-CN"/>
              </w:rPr>
              <w:t>预决算信息公开性（1分）</w:t>
            </w:r>
          </w:p>
        </w:tc>
        <w:tc>
          <w:tcPr>
            <w:tcW w:w="1072" w:type="pct"/>
            <w:vAlign w:val="center"/>
          </w:tcPr>
          <w:p w14:paraId="13903925">
            <w:pPr>
              <w:spacing w:line="408" w:lineRule="auto"/>
              <w:rPr>
                <w:rFonts w:hint="eastAsia" w:ascii="仿宋" w:hAnsi="仿宋" w:eastAsia="仿宋"/>
                <w:bCs/>
                <w:sz w:val="18"/>
                <w:lang w:eastAsia="zh-CN"/>
              </w:rPr>
            </w:pPr>
            <w:r>
              <w:rPr>
                <w:rFonts w:hint="eastAsia" w:ascii="仿宋" w:hAnsi="仿宋" w:eastAsia="仿宋"/>
                <w:bCs/>
                <w:sz w:val="18"/>
                <w:lang w:eastAsia="zh-CN"/>
              </w:rPr>
              <w:t>是否按照政府信息公开有关规定及预决算批复文件中要求的格式、时限公开相关预决算信息，用以反映和评价部门预决算管理的公开透明情况。</w:t>
            </w:r>
          </w:p>
        </w:tc>
        <w:tc>
          <w:tcPr>
            <w:tcW w:w="1488" w:type="pct"/>
            <w:vAlign w:val="center"/>
          </w:tcPr>
          <w:p w14:paraId="1EECF378">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按要求的格式、时限公开预算（0.5分）；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按要求的格式、时限公开决算（0.5分）；</w:t>
            </w:r>
          </w:p>
        </w:tc>
        <w:tc>
          <w:tcPr>
            <w:tcW w:w="259" w:type="pct"/>
            <w:vAlign w:val="center"/>
          </w:tcPr>
          <w:p w14:paraId="034510D3">
            <w:pPr>
              <w:spacing w:line="408" w:lineRule="auto"/>
              <w:jc w:val="right"/>
              <w:rPr>
                <w:rFonts w:hint="eastAsia" w:ascii="仿宋" w:hAnsi="仿宋" w:eastAsia="仿宋"/>
                <w:bCs/>
                <w:sz w:val="18"/>
              </w:rPr>
            </w:pPr>
            <w:r>
              <w:rPr>
                <w:rFonts w:hint="eastAsia" w:ascii="仿宋" w:hAnsi="仿宋" w:eastAsia="仿宋"/>
                <w:bCs/>
                <w:sz w:val="18"/>
              </w:rPr>
              <w:t>1</w:t>
            </w:r>
          </w:p>
        </w:tc>
        <w:tc>
          <w:tcPr>
            <w:tcW w:w="308" w:type="pct"/>
            <w:vAlign w:val="center"/>
          </w:tcPr>
          <w:p w14:paraId="0BA3140C">
            <w:pPr>
              <w:spacing w:line="408" w:lineRule="auto"/>
              <w:jc w:val="right"/>
              <w:rPr>
                <w:rFonts w:hint="eastAsia" w:ascii="仿宋" w:hAnsi="仿宋" w:eastAsia="仿宋"/>
                <w:bCs/>
                <w:sz w:val="18"/>
              </w:rPr>
            </w:pPr>
            <w:r>
              <w:rPr>
                <w:rFonts w:hint="eastAsia" w:ascii="仿宋" w:hAnsi="仿宋" w:eastAsia="仿宋"/>
                <w:bCs/>
                <w:sz w:val="18"/>
              </w:rPr>
              <w:t>1</w:t>
            </w:r>
          </w:p>
        </w:tc>
      </w:tr>
      <w:tr w14:paraId="7329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09060956">
            <w:pPr>
              <w:spacing w:line="408" w:lineRule="auto"/>
              <w:rPr>
                <w:rFonts w:hint="eastAsia" w:ascii="仿宋" w:hAnsi="仿宋" w:eastAsia="仿宋"/>
                <w:bCs/>
                <w:sz w:val="18"/>
              </w:rPr>
            </w:pPr>
          </w:p>
        </w:tc>
        <w:tc>
          <w:tcPr>
            <w:tcW w:w="612" w:type="pct"/>
            <w:vMerge w:val="continue"/>
            <w:vAlign w:val="center"/>
          </w:tcPr>
          <w:p w14:paraId="47A0E470">
            <w:pPr>
              <w:spacing w:line="408" w:lineRule="auto"/>
              <w:rPr>
                <w:rFonts w:hint="eastAsia" w:ascii="仿宋" w:hAnsi="仿宋" w:eastAsia="仿宋"/>
                <w:bCs/>
                <w:sz w:val="18"/>
              </w:rPr>
            </w:pPr>
          </w:p>
        </w:tc>
        <w:tc>
          <w:tcPr>
            <w:tcW w:w="789" w:type="pct"/>
            <w:vAlign w:val="center"/>
          </w:tcPr>
          <w:p w14:paraId="02687878">
            <w:pPr>
              <w:spacing w:line="408" w:lineRule="auto"/>
              <w:rPr>
                <w:rFonts w:hint="eastAsia" w:ascii="仿宋" w:hAnsi="仿宋" w:eastAsia="仿宋"/>
                <w:bCs/>
                <w:sz w:val="18"/>
                <w:lang w:eastAsia="zh-CN"/>
              </w:rPr>
            </w:pPr>
            <w:r>
              <w:rPr>
                <w:rFonts w:hint="eastAsia" w:ascii="仿宋" w:hAnsi="仿宋" w:eastAsia="仿宋"/>
                <w:bCs/>
                <w:sz w:val="18"/>
                <w:lang w:eastAsia="zh-CN"/>
              </w:rPr>
              <w:t>合同管理规范性（3分）</w:t>
            </w:r>
          </w:p>
        </w:tc>
        <w:tc>
          <w:tcPr>
            <w:tcW w:w="1072" w:type="pct"/>
            <w:vAlign w:val="center"/>
          </w:tcPr>
          <w:p w14:paraId="7CE24B56">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主要评价部门（单位）合同的签订是否符合《中华人民共和国民法典》的相关规定。</w:t>
            </w:r>
          </w:p>
        </w:tc>
        <w:tc>
          <w:tcPr>
            <w:tcW w:w="1488" w:type="pct"/>
            <w:vAlign w:val="center"/>
          </w:tcPr>
          <w:p w14:paraId="107127D8">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单位的合同管理是否规范；</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内容和权责是否明确；</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双方是否按照合同条款，履行合同的权利和义务。</w:t>
            </w:r>
            <w:r>
              <w:rPr>
                <w:rFonts w:hint="eastAsia" w:ascii="仿宋" w:hAnsi="仿宋" w:eastAsia="仿宋"/>
                <w:bCs/>
                <w:sz w:val="18"/>
                <w:lang w:eastAsia="zh-CN"/>
              </w:rPr>
              <w:br w:type="textWrapping"/>
            </w:r>
            <w:r>
              <w:rPr>
                <w:rFonts w:hint="eastAsia" w:ascii="仿宋" w:hAnsi="仿宋" w:eastAsia="仿宋"/>
                <w:bCs/>
                <w:sz w:val="18"/>
                <w:lang w:eastAsia="zh-CN"/>
              </w:rPr>
              <w:t>一项不符扣1分，扣完为止。</w:t>
            </w:r>
          </w:p>
        </w:tc>
        <w:tc>
          <w:tcPr>
            <w:tcW w:w="259" w:type="pct"/>
            <w:vAlign w:val="center"/>
          </w:tcPr>
          <w:p w14:paraId="60124EC7">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396502CF">
            <w:pPr>
              <w:spacing w:line="408" w:lineRule="auto"/>
              <w:jc w:val="right"/>
              <w:rPr>
                <w:rFonts w:hint="eastAsia" w:ascii="仿宋" w:hAnsi="仿宋" w:eastAsia="仿宋"/>
                <w:bCs/>
                <w:sz w:val="18"/>
              </w:rPr>
            </w:pPr>
            <w:r>
              <w:rPr>
                <w:rFonts w:hint="eastAsia" w:ascii="仿宋" w:hAnsi="仿宋" w:eastAsia="仿宋"/>
                <w:bCs/>
                <w:sz w:val="18"/>
              </w:rPr>
              <w:t>2</w:t>
            </w:r>
          </w:p>
        </w:tc>
      </w:tr>
      <w:tr w14:paraId="298E4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1A8E0C96">
            <w:pPr>
              <w:spacing w:line="408" w:lineRule="auto"/>
              <w:rPr>
                <w:rFonts w:hint="eastAsia" w:ascii="仿宋" w:hAnsi="仿宋" w:eastAsia="仿宋"/>
                <w:bCs/>
                <w:sz w:val="18"/>
              </w:rPr>
            </w:pPr>
          </w:p>
        </w:tc>
        <w:tc>
          <w:tcPr>
            <w:tcW w:w="612" w:type="pct"/>
            <w:vMerge w:val="continue"/>
            <w:vAlign w:val="center"/>
          </w:tcPr>
          <w:p w14:paraId="5685A83D">
            <w:pPr>
              <w:spacing w:line="408" w:lineRule="auto"/>
              <w:rPr>
                <w:rFonts w:hint="eastAsia" w:ascii="仿宋" w:hAnsi="仿宋" w:eastAsia="仿宋"/>
                <w:bCs/>
                <w:sz w:val="18"/>
              </w:rPr>
            </w:pPr>
          </w:p>
        </w:tc>
        <w:tc>
          <w:tcPr>
            <w:tcW w:w="789" w:type="pct"/>
            <w:vAlign w:val="center"/>
          </w:tcPr>
          <w:p w14:paraId="60940C84">
            <w:pPr>
              <w:spacing w:line="408" w:lineRule="auto"/>
              <w:rPr>
                <w:rFonts w:hint="eastAsia" w:ascii="仿宋" w:hAnsi="仿宋" w:eastAsia="仿宋"/>
                <w:bCs/>
                <w:sz w:val="18"/>
              </w:rPr>
            </w:pPr>
            <w:r>
              <w:rPr>
                <w:rFonts w:hint="eastAsia" w:ascii="仿宋" w:hAnsi="仿宋" w:eastAsia="仿宋"/>
                <w:bCs/>
                <w:sz w:val="18"/>
              </w:rPr>
              <w:t>资产管理完整性(1.5分）</w:t>
            </w:r>
          </w:p>
        </w:tc>
        <w:tc>
          <w:tcPr>
            <w:tcW w:w="1072" w:type="pct"/>
            <w:vAlign w:val="center"/>
          </w:tcPr>
          <w:p w14:paraId="2AB1146C">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主要评价部门（单位）对于单位资产的管理是否完整，是否做到账实相符。</w:t>
            </w:r>
          </w:p>
        </w:tc>
        <w:tc>
          <w:tcPr>
            <w:tcW w:w="1488" w:type="pct"/>
            <w:vAlign w:val="center"/>
          </w:tcPr>
          <w:p w14:paraId="66693F5C">
            <w:pPr>
              <w:spacing w:line="408" w:lineRule="auto"/>
              <w:rPr>
                <w:rFonts w:hint="eastAsia" w:ascii="仿宋" w:hAnsi="仿宋" w:eastAsia="仿宋"/>
                <w:bCs/>
                <w:sz w:val="18"/>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抽查主管单位和下级单位资产管理制度是否健全、完整、合法；</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抽查主管单位和下级单位资产管理是否账实相符；</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主管单位是否有建立必要的资产管理制度。</w:t>
            </w:r>
            <w:r>
              <w:rPr>
                <w:rFonts w:hint="eastAsia" w:ascii="仿宋" w:hAnsi="仿宋" w:eastAsia="仿宋"/>
                <w:bCs/>
                <w:sz w:val="18"/>
                <w:lang w:eastAsia="zh-CN"/>
              </w:rPr>
              <w:br w:type="textWrapping"/>
            </w:r>
            <w:r>
              <w:rPr>
                <w:rFonts w:hint="eastAsia" w:ascii="仿宋" w:hAnsi="仿宋" w:eastAsia="仿宋"/>
                <w:bCs/>
                <w:sz w:val="18"/>
              </w:rPr>
              <w:t>一项不符扣0.5分，扣完为止。</w:t>
            </w:r>
          </w:p>
        </w:tc>
        <w:tc>
          <w:tcPr>
            <w:tcW w:w="259" w:type="pct"/>
            <w:vAlign w:val="center"/>
          </w:tcPr>
          <w:p w14:paraId="6EB09B3D">
            <w:pPr>
              <w:spacing w:line="408" w:lineRule="auto"/>
              <w:jc w:val="right"/>
              <w:rPr>
                <w:rFonts w:hint="eastAsia" w:ascii="仿宋" w:hAnsi="仿宋" w:eastAsia="仿宋"/>
                <w:bCs/>
                <w:sz w:val="18"/>
              </w:rPr>
            </w:pPr>
            <w:r>
              <w:rPr>
                <w:rFonts w:hint="eastAsia" w:ascii="仿宋" w:hAnsi="仿宋" w:eastAsia="仿宋"/>
                <w:bCs/>
                <w:sz w:val="18"/>
              </w:rPr>
              <w:t>1.5</w:t>
            </w:r>
          </w:p>
        </w:tc>
        <w:tc>
          <w:tcPr>
            <w:tcW w:w="308" w:type="pct"/>
            <w:vAlign w:val="center"/>
          </w:tcPr>
          <w:p w14:paraId="084065CE">
            <w:pPr>
              <w:spacing w:line="408" w:lineRule="auto"/>
              <w:jc w:val="right"/>
              <w:rPr>
                <w:rFonts w:hint="eastAsia" w:ascii="仿宋" w:hAnsi="仿宋" w:eastAsia="仿宋"/>
                <w:bCs/>
                <w:sz w:val="18"/>
                <w:lang w:eastAsia="zh-CN"/>
              </w:rPr>
            </w:pPr>
            <w:r>
              <w:rPr>
                <w:rFonts w:hint="eastAsia" w:ascii="仿宋" w:hAnsi="仿宋" w:eastAsia="仿宋"/>
                <w:bCs/>
                <w:sz w:val="18"/>
              </w:rPr>
              <w:t>1</w:t>
            </w:r>
            <w:r>
              <w:rPr>
                <w:rFonts w:hint="eastAsia" w:ascii="仿宋" w:hAnsi="仿宋" w:eastAsia="仿宋"/>
                <w:bCs/>
                <w:sz w:val="18"/>
                <w:lang w:eastAsia="zh-CN"/>
              </w:rPr>
              <w:t>.5</w:t>
            </w:r>
          </w:p>
        </w:tc>
      </w:tr>
      <w:tr w14:paraId="03792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513AAB6D">
            <w:pPr>
              <w:spacing w:line="408" w:lineRule="auto"/>
              <w:rPr>
                <w:rFonts w:hint="eastAsia" w:ascii="仿宋" w:hAnsi="仿宋" w:eastAsia="仿宋"/>
                <w:bCs/>
                <w:sz w:val="18"/>
              </w:rPr>
            </w:pPr>
          </w:p>
        </w:tc>
        <w:tc>
          <w:tcPr>
            <w:tcW w:w="612" w:type="pct"/>
            <w:vMerge w:val="continue"/>
            <w:vAlign w:val="center"/>
          </w:tcPr>
          <w:p w14:paraId="52CF437F">
            <w:pPr>
              <w:spacing w:line="408" w:lineRule="auto"/>
              <w:rPr>
                <w:rFonts w:hint="eastAsia" w:ascii="仿宋" w:hAnsi="仿宋" w:eastAsia="仿宋"/>
                <w:bCs/>
                <w:sz w:val="18"/>
              </w:rPr>
            </w:pPr>
          </w:p>
        </w:tc>
        <w:tc>
          <w:tcPr>
            <w:tcW w:w="789" w:type="pct"/>
            <w:vAlign w:val="center"/>
          </w:tcPr>
          <w:p w14:paraId="745D433D">
            <w:pPr>
              <w:spacing w:line="408" w:lineRule="auto"/>
              <w:rPr>
                <w:rFonts w:hint="eastAsia" w:ascii="仿宋" w:hAnsi="仿宋" w:eastAsia="仿宋"/>
                <w:bCs/>
                <w:sz w:val="18"/>
                <w:lang w:eastAsia="zh-CN"/>
              </w:rPr>
            </w:pPr>
            <w:r>
              <w:rPr>
                <w:rFonts w:hint="eastAsia" w:ascii="仿宋" w:hAnsi="仿宋" w:eastAsia="仿宋"/>
                <w:bCs/>
                <w:sz w:val="18"/>
                <w:lang w:eastAsia="zh-CN"/>
              </w:rPr>
              <w:t>绩效自评合规性（3分）</w:t>
            </w:r>
          </w:p>
        </w:tc>
        <w:tc>
          <w:tcPr>
            <w:tcW w:w="1072" w:type="pct"/>
            <w:vAlign w:val="center"/>
          </w:tcPr>
          <w:p w14:paraId="38E96EC6">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主要评价部门（单位）是否按要求开展绩效自评工作；绩效自评报告是否报送及时，绩效自评是否真实可靠。</w:t>
            </w:r>
          </w:p>
        </w:tc>
        <w:tc>
          <w:tcPr>
            <w:tcW w:w="1488" w:type="pct"/>
            <w:vAlign w:val="center"/>
          </w:tcPr>
          <w:p w14:paraId="6E4B8642">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是否按要求开展绩效自评工作；</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绩效自评报告是否报送及时；</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绩效自评报告是否完整，数据是否全面、真实、准确，绩效指标是否细化量化和科学合理；</w:t>
            </w:r>
            <w:r>
              <w:rPr>
                <w:rFonts w:hint="eastAsia" w:ascii="仿宋" w:hAnsi="仿宋" w:eastAsia="仿宋"/>
                <w:bCs/>
                <w:sz w:val="18"/>
                <w:lang w:eastAsia="zh-CN"/>
              </w:rPr>
              <w:br w:type="textWrapping"/>
            </w:r>
            <w:r>
              <w:rPr>
                <w:rFonts w:hint="eastAsia" w:ascii="仿宋" w:hAnsi="仿宋" w:eastAsia="仿宋"/>
                <w:bCs/>
                <w:sz w:val="18"/>
                <w:lang w:eastAsia="zh-CN"/>
              </w:rPr>
              <w:t>一项不符扣1分，扣完为止。</w:t>
            </w:r>
          </w:p>
        </w:tc>
        <w:tc>
          <w:tcPr>
            <w:tcW w:w="259" w:type="pct"/>
            <w:vAlign w:val="center"/>
          </w:tcPr>
          <w:p w14:paraId="626A7422">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28F61465">
            <w:pPr>
              <w:spacing w:line="408" w:lineRule="auto"/>
              <w:jc w:val="right"/>
              <w:rPr>
                <w:rFonts w:hint="eastAsia" w:ascii="仿宋" w:hAnsi="仿宋" w:eastAsia="仿宋"/>
                <w:bCs/>
                <w:sz w:val="18"/>
                <w:lang w:eastAsia="zh-CN"/>
              </w:rPr>
            </w:pPr>
            <w:r>
              <w:rPr>
                <w:rFonts w:hint="eastAsia" w:ascii="仿宋" w:hAnsi="仿宋" w:eastAsia="仿宋"/>
                <w:bCs/>
                <w:sz w:val="18"/>
                <w:lang w:eastAsia="zh-CN"/>
              </w:rPr>
              <w:t>3</w:t>
            </w:r>
          </w:p>
        </w:tc>
      </w:tr>
      <w:tr w14:paraId="774CB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restart"/>
            <w:vAlign w:val="center"/>
          </w:tcPr>
          <w:p w14:paraId="5A6338F8">
            <w:pPr>
              <w:spacing w:line="408" w:lineRule="auto"/>
              <w:rPr>
                <w:rFonts w:hint="eastAsia" w:ascii="仿宋" w:hAnsi="仿宋" w:eastAsia="仿宋"/>
                <w:bCs/>
                <w:sz w:val="18"/>
              </w:rPr>
            </w:pPr>
            <w:r>
              <w:rPr>
                <w:rFonts w:hint="eastAsia" w:ascii="仿宋" w:hAnsi="仿宋" w:eastAsia="仿宋"/>
                <w:bCs/>
                <w:sz w:val="18"/>
              </w:rPr>
              <w:t>产出（34%）</w:t>
            </w:r>
          </w:p>
        </w:tc>
        <w:tc>
          <w:tcPr>
            <w:tcW w:w="612" w:type="pct"/>
            <w:vMerge w:val="restart"/>
            <w:vAlign w:val="center"/>
          </w:tcPr>
          <w:p w14:paraId="2B8D6DB1">
            <w:pPr>
              <w:spacing w:line="408" w:lineRule="auto"/>
              <w:rPr>
                <w:rFonts w:hint="eastAsia" w:ascii="仿宋" w:hAnsi="仿宋" w:eastAsia="仿宋"/>
                <w:bCs/>
                <w:sz w:val="18"/>
              </w:rPr>
            </w:pPr>
            <w:r>
              <w:rPr>
                <w:rFonts w:hint="eastAsia" w:ascii="仿宋" w:hAnsi="仿宋" w:eastAsia="仿宋"/>
                <w:bCs/>
                <w:sz w:val="18"/>
              </w:rPr>
              <w:t>产出数量(21分）</w:t>
            </w:r>
          </w:p>
        </w:tc>
        <w:tc>
          <w:tcPr>
            <w:tcW w:w="789" w:type="pct"/>
            <w:vAlign w:val="center"/>
          </w:tcPr>
          <w:p w14:paraId="6BB5F2D8">
            <w:pPr>
              <w:spacing w:line="408" w:lineRule="auto"/>
              <w:rPr>
                <w:rFonts w:hint="eastAsia" w:ascii="仿宋" w:hAnsi="仿宋" w:eastAsia="仿宋"/>
                <w:bCs/>
                <w:sz w:val="18"/>
                <w:lang w:eastAsia="zh-CN"/>
              </w:rPr>
            </w:pPr>
            <w:r>
              <w:rPr>
                <w:rFonts w:hint="eastAsia" w:ascii="仿宋" w:hAnsi="仿宋" w:eastAsia="仿宋"/>
                <w:bCs/>
                <w:sz w:val="18"/>
                <w:lang w:eastAsia="zh-CN"/>
              </w:rPr>
              <w:t>查处违法建设案件数量（3分）</w:t>
            </w:r>
          </w:p>
        </w:tc>
        <w:tc>
          <w:tcPr>
            <w:tcW w:w="1072" w:type="pct"/>
            <w:vAlign w:val="center"/>
          </w:tcPr>
          <w:p w14:paraId="3E32369D">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主要评价部门（单位）在所管辖范围内查处违法违规建设建造案件的数量。</w:t>
            </w:r>
          </w:p>
        </w:tc>
        <w:tc>
          <w:tcPr>
            <w:tcW w:w="1488" w:type="pct"/>
            <w:vAlign w:val="center"/>
          </w:tcPr>
          <w:p w14:paraId="2765FF7A">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违法建设案件数量</w:t>
            </w:r>
            <w:r>
              <w:rPr>
                <w:rFonts w:ascii="仿宋" w:hAnsi="仿宋" w:eastAsia="仿宋"/>
                <w:bCs/>
                <w:sz w:val="18"/>
                <w:lang w:eastAsia="zh-CN"/>
              </w:rPr>
              <w:t>≥</w:t>
            </w:r>
            <w:r>
              <w:rPr>
                <w:rFonts w:hint="eastAsia" w:ascii="仿宋" w:hAnsi="仿宋" w:eastAsia="仿宋"/>
                <w:bCs/>
                <w:sz w:val="18"/>
                <w:lang w:eastAsia="zh-CN"/>
              </w:rPr>
              <w:t>130宗，得3分；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130宗&gt;违法建设案件数量</w:t>
            </w:r>
            <w:r>
              <w:rPr>
                <w:rFonts w:ascii="仿宋" w:hAnsi="仿宋" w:eastAsia="仿宋"/>
                <w:bCs/>
                <w:sz w:val="18"/>
                <w:lang w:eastAsia="zh-CN"/>
              </w:rPr>
              <w:t>≥</w:t>
            </w:r>
            <w:r>
              <w:rPr>
                <w:rFonts w:hint="eastAsia" w:ascii="仿宋" w:hAnsi="仿宋" w:eastAsia="仿宋"/>
                <w:bCs/>
                <w:sz w:val="18"/>
                <w:lang w:eastAsia="zh-CN"/>
              </w:rPr>
              <w:t>120宗，得2分；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120宗&gt;违法建设案件数量</w:t>
            </w:r>
            <w:r>
              <w:rPr>
                <w:rFonts w:ascii="仿宋" w:hAnsi="仿宋" w:eastAsia="仿宋"/>
                <w:bCs/>
                <w:sz w:val="18"/>
                <w:lang w:eastAsia="zh-CN"/>
              </w:rPr>
              <w:t>≥</w:t>
            </w:r>
            <w:r>
              <w:rPr>
                <w:rFonts w:hint="eastAsia" w:ascii="仿宋" w:hAnsi="仿宋" w:eastAsia="仿宋"/>
                <w:bCs/>
                <w:sz w:val="18"/>
                <w:lang w:eastAsia="zh-CN"/>
              </w:rPr>
              <w:t>110宗，得1分；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110宗&gt;违法建设案件数量，得0分。</w:t>
            </w:r>
          </w:p>
        </w:tc>
        <w:tc>
          <w:tcPr>
            <w:tcW w:w="259" w:type="pct"/>
            <w:vAlign w:val="center"/>
          </w:tcPr>
          <w:p w14:paraId="0F06A804">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0D6859E1">
            <w:pPr>
              <w:spacing w:line="408" w:lineRule="auto"/>
              <w:jc w:val="right"/>
              <w:rPr>
                <w:rFonts w:hint="eastAsia" w:ascii="仿宋" w:hAnsi="仿宋" w:eastAsia="仿宋"/>
                <w:bCs/>
                <w:sz w:val="18"/>
              </w:rPr>
            </w:pPr>
            <w:r>
              <w:rPr>
                <w:rFonts w:hint="eastAsia" w:ascii="仿宋" w:hAnsi="仿宋" w:eastAsia="仿宋"/>
                <w:bCs/>
                <w:sz w:val="18"/>
              </w:rPr>
              <w:t>3</w:t>
            </w:r>
          </w:p>
        </w:tc>
      </w:tr>
      <w:tr w14:paraId="3CF6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552C3E86">
            <w:pPr>
              <w:spacing w:line="408" w:lineRule="auto"/>
              <w:rPr>
                <w:rFonts w:hint="eastAsia" w:ascii="仿宋" w:hAnsi="仿宋" w:eastAsia="仿宋"/>
                <w:bCs/>
                <w:sz w:val="18"/>
              </w:rPr>
            </w:pPr>
          </w:p>
        </w:tc>
        <w:tc>
          <w:tcPr>
            <w:tcW w:w="612" w:type="pct"/>
            <w:vMerge w:val="continue"/>
            <w:vAlign w:val="center"/>
          </w:tcPr>
          <w:p w14:paraId="1D6781B5">
            <w:pPr>
              <w:spacing w:line="408" w:lineRule="auto"/>
              <w:rPr>
                <w:rFonts w:hint="eastAsia" w:ascii="仿宋" w:hAnsi="仿宋" w:eastAsia="仿宋"/>
                <w:bCs/>
                <w:sz w:val="18"/>
              </w:rPr>
            </w:pPr>
          </w:p>
        </w:tc>
        <w:tc>
          <w:tcPr>
            <w:tcW w:w="789" w:type="pct"/>
            <w:vAlign w:val="center"/>
          </w:tcPr>
          <w:p w14:paraId="26E7CD3B">
            <w:pPr>
              <w:spacing w:line="408" w:lineRule="auto"/>
              <w:rPr>
                <w:rFonts w:hint="eastAsia" w:ascii="仿宋" w:hAnsi="仿宋" w:eastAsia="仿宋"/>
                <w:bCs/>
                <w:sz w:val="18"/>
                <w:lang w:eastAsia="zh-CN"/>
              </w:rPr>
            </w:pPr>
            <w:r>
              <w:rPr>
                <w:rFonts w:hint="eastAsia" w:ascii="仿宋" w:hAnsi="仿宋" w:eastAsia="仿宋"/>
                <w:bCs/>
                <w:sz w:val="18"/>
                <w:lang w:eastAsia="zh-CN"/>
              </w:rPr>
              <w:t>完成人行道与路面修复面积（3分）</w:t>
            </w:r>
          </w:p>
        </w:tc>
        <w:tc>
          <w:tcPr>
            <w:tcW w:w="1072" w:type="pct"/>
            <w:vAlign w:val="center"/>
          </w:tcPr>
          <w:p w14:paraId="25B9070F">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主要评价部门（单位）本年度在所管辖范围内对人行道与路面修复的面积。</w:t>
            </w:r>
          </w:p>
        </w:tc>
        <w:tc>
          <w:tcPr>
            <w:tcW w:w="1488" w:type="pct"/>
            <w:vAlign w:val="center"/>
          </w:tcPr>
          <w:p w14:paraId="46508DE2">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修复面积</w:t>
            </w:r>
            <w:r>
              <w:rPr>
                <w:rFonts w:ascii="仿宋" w:hAnsi="仿宋" w:eastAsia="仿宋"/>
                <w:bCs/>
                <w:sz w:val="18"/>
                <w:lang w:eastAsia="zh-CN"/>
              </w:rPr>
              <w:t>≥</w:t>
            </w:r>
            <w:r>
              <w:rPr>
                <w:rFonts w:hint="eastAsia" w:ascii="仿宋" w:hAnsi="仿宋" w:eastAsia="仿宋"/>
                <w:bCs/>
                <w:sz w:val="18"/>
                <w:lang w:eastAsia="zh-CN"/>
              </w:rPr>
              <w:t>10000平方米，得3分；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10000平方米&gt;修复面积</w:t>
            </w:r>
            <w:r>
              <w:rPr>
                <w:rFonts w:ascii="仿宋" w:hAnsi="仿宋" w:eastAsia="仿宋"/>
                <w:bCs/>
                <w:sz w:val="18"/>
                <w:lang w:eastAsia="zh-CN"/>
              </w:rPr>
              <w:t>≥</w:t>
            </w:r>
            <w:r>
              <w:rPr>
                <w:rFonts w:hint="eastAsia" w:ascii="仿宋" w:hAnsi="仿宋" w:eastAsia="仿宋"/>
                <w:bCs/>
                <w:sz w:val="18"/>
                <w:lang w:eastAsia="zh-CN"/>
              </w:rPr>
              <w:t>9500平方米，得2分；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9500平方米&gt;修复面积</w:t>
            </w:r>
            <w:r>
              <w:rPr>
                <w:rFonts w:ascii="仿宋" w:hAnsi="仿宋" w:eastAsia="仿宋"/>
                <w:bCs/>
                <w:sz w:val="18"/>
                <w:lang w:eastAsia="zh-CN"/>
              </w:rPr>
              <w:t>≥</w:t>
            </w:r>
            <w:r>
              <w:rPr>
                <w:rFonts w:hint="eastAsia" w:ascii="仿宋" w:hAnsi="仿宋" w:eastAsia="仿宋"/>
                <w:bCs/>
                <w:sz w:val="18"/>
                <w:lang w:eastAsia="zh-CN"/>
              </w:rPr>
              <w:t>9000平方米，得1分；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9000平方米&gt;修复面积，得0分。</w:t>
            </w:r>
          </w:p>
        </w:tc>
        <w:tc>
          <w:tcPr>
            <w:tcW w:w="259" w:type="pct"/>
            <w:vAlign w:val="center"/>
          </w:tcPr>
          <w:p w14:paraId="1B60033A">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4D687FAB">
            <w:pPr>
              <w:spacing w:line="408" w:lineRule="auto"/>
              <w:jc w:val="right"/>
              <w:rPr>
                <w:rFonts w:hint="eastAsia" w:ascii="仿宋" w:hAnsi="仿宋" w:eastAsia="仿宋"/>
                <w:bCs/>
                <w:sz w:val="18"/>
              </w:rPr>
            </w:pPr>
            <w:r>
              <w:rPr>
                <w:rFonts w:hint="eastAsia" w:ascii="仿宋" w:hAnsi="仿宋" w:eastAsia="仿宋"/>
                <w:bCs/>
                <w:sz w:val="18"/>
              </w:rPr>
              <w:t>3</w:t>
            </w:r>
          </w:p>
        </w:tc>
      </w:tr>
      <w:tr w14:paraId="5BBA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5AA8A9C8">
            <w:pPr>
              <w:spacing w:line="408" w:lineRule="auto"/>
              <w:rPr>
                <w:rFonts w:hint="eastAsia" w:ascii="仿宋" w:hAnsi="仿宋" w:eastAsia="仿宋"/>
                <w:bCs/>
                <w:sz w:val="18"/>
              </w:rPr>
            </w:pPr>
          </w:p>
        </w:tc>
        <w:tc>
          <w:tcPr>
            <w:tcW w:w="612" w:type="pct"/>
            <w:vMerge w:val="continue"/>
            <w:vAlign w:val="center"/>
          </w:tcPr>
          <w:p w14:paraId="1386407D">
            <w:pPr>
              <w:spacing w:line="408" w:lineRule="auto"/>
              <w:rPr>
                <w:rFonts w:hint="eastAsia" w:ascii="仿宋" w:hAnsi="仿宋" w:eastAsia="仿宋"/>
                <w:bCs/>
                <w:sz w:val="18"/>
              </w:rPr>
            </w:pPr>
          </w:p>
        </w:tc>
        <w:tc>
          <w:tcPr>
            <w:tcW w:w="789" w:type="pct"/>
            <w:vAlign w:val="center"/>
          </w:tcPr>
          <w:p w14:paraId="2064C54B">
            <w:pPr>
              <w:spacing w:line="408" w:lineRule="auto"/>
              <w:rPr>
                <w:rFonts w:hint="eastAsia" w:ascii="仿宋" w:hAnsi="仿宋" w:eastAsia="仿宋"/>
                <w:bCs/>
                <w:sz w:val="18"/>
              </w:rPr>
            </w:pPr>
            <w:r>
              <w:rPr>
                <w:rFonts w:hint="eastAsia" w:ascii="仿宋" w:hAnsi="仿宋" w:eastAsia="仿宋"/>
                <w:bCs/>
                <w:sz w:val="18"/>
              </w:rPr>
              <w:t>路灯亮灯率（3分）</w:t>
            </w:r>
          </w:p>
        </w:tc>
        <w:tc>
          <w:tcPr>
            <w:tcW w:w="1072" w:type="pct"/>
            <w:vAlign w:val="center"/>
          </w:tcPr>
          <w:p w14:paraId="54F18578">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主要评价部门（单位）本年度在所管辖范围内路灯的亮灯率、故障率情况。</w:t>
            </w:r>
          </w:p>
        </w:tc>
        <w:tc>
          <w:tcPr>
            <w:tcW w:w="1488" w:type="pct"/>
            <w:vAlign w:val="center"/>
          </w:tcPr>
          <w:p w14:paraId="509A2169">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亮灯率</w:t>
            </w:r>
            <w:r>
              <w:rPr>
                <w:rFonts w:ascii="仿宋" w:hAnsi="仿宋" w:eastAsia="仿宋"/>
                <w:bCs/>
                <w:sz w:val="18"/>
                <w:lang w:eastAsia="zh-CN"/>
              </w:rPr>
              <w:t>≥</w:t>
            </w:r>
            <w:r>
              <w:rPr>
                <w:rFonts w:hint="eastAsia" w:ascii="仿宋" w:hAnsi="仿宋" w:eastAsia="仿宋"/>
                <w:bCs/>
                <w:sz w:val="18"/>
                <w:lang w:eastAsia="zh-CN"/>
              </w:rPr>
              <w:t>99%，得3分；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99%&gt;亮灯率</w:t>
            </w:r>
            <w:r>
              <w:rPr>
                <w:rFonts w:ascii="仿宋" w:hAnsi="仿宋" w:eastAsia="仿宋"/>
                <w:bCs/>
                <w:sz w:val="18"/>
                <w:lang w:eastAsia="zh-CN"/>
              </w:rPr>
              <w:t>≥</w:t>
            </w:r>
            <w:r>
              <w:rPr>
                <w:rFonts w:hint="eastAsia" w:ascii="仿宋" w:hAnsi="仿宋" w:eastAsia="仿宋"/>
                <w:bCs/>
                <w:sz w:val="18"/>
                <w:lang w:eastAsia="zh-CN"/>
              </w:rPr>
              <w:t>95%，得2分；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95%&gt;亮灯率</w:t>
            </w:r>
            <w:r>
              <w:rPr>
                <w:rFonts w:ascii="仿宋" w:hAnsi="仿宋" w:eastAsia="仿宋"/>
                <w:bCs/>
                <w:sz w:val="18"/>
                <w:lang w:eastAsia="zh-CN"/>
              </w:rPr>
              <w:t>≥</w:t>
            </w:r>
            <w:r>
              <w:rPr>
                <w:rFonts w:hint="eastAsia" w:ascii="仿宋" w:hAnsi="仿宋" w:eastAsia="仿宋"/>
                <w:bCs/>
                <w:sz w:val="18"/>
                <w:lang w:eastAsia="zh-CN"/>
              </w:rPr>
              <w:t>90%，得1分；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905&gt;亮灯率，得0分。</w:t>
            </w:r>
          </w:p>
        </w:tc>
        <w:tc>
          <w:tcPr>
            <w:tcW w:w="259" w:type="pct"/>
            <w:vAlign w:val="center"/>
          </w:tcPr>
          <w:p w14:paraId="4400AAA9">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689FF659">
            <w:pPr>
              <w:spacing w:line="408" w:lineRule="auto"/>
              <w:jc w:val="right"/>
              <w:rPr>
                <w:rFonts w:hint="eastAsia" w:ascii="仿宋" w:hAnsi="仿宋" w:eastAsia="仿宋"/>
                <w:bCs/>
                <w:sz w:val="18"/>
              </w:rPr>
            </w:pPr>
            <w:r>
              <w:rPr>
                <w:rFonts w:hint="eastAsia" w:ascii="仿宋" w:hAnsi="仿宋" w:eastAsia="仿宋"/>
                <w:bCs/>
                <w:sz w:val="18"/>
              </w:rPr>
              <w:t>3</w:t>
            </w:r>
          </w:p>
        </w:tc>
      </w:tr>
      <w:tr w14:paraId="1CB2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24EBFA99">
            <w:pPr>
              <w:spacing w:line="408" w:lineRule="auto"/>
              <w:rPr>
                <w:rFonts w:hint="eastAsia" w:ascii="仿宋" w:hAnsi="仿宋" w:eastAsia="仿宋"/>
                <w:bCs/>
                <w:sz w:val="18"/>
              </w:rPr>
            </w:pPr>
          </w:p>
        </w:tc>
        <w:tc>
          <w:tcPr>
            <w:tcW w:w="612" w:type="pct"/>
            <w:vMerge w:val="continue"/>
            <w:vAlign w:val="center"/>
          </w:tcPr>
          <w:p w14:paraId="0BF98B0A">
            <w:pPr>
              <w:spacing w:line="408" w:lineRule="auto"/>
              <w:rPr>
                <w:rFonts w:hint="eastAsia" w:ascii="仿宋" w:hAnsi="仿宋" w:eastAsia="仿宋"/>
                <w:bCs/>
                <w:sz w:val="18"/>
              </w:rPr>
            </w:pPr>
          </w:p>
        </w:tc>
        <w:tc>
          <w:tcPr>
            <w:tcW w:w="789" w:type="pct"/>
            <w:vAlign w:val="center"/>
          </w:tcPr>
          <w:p w14:paraId="7F57AEBC">
            <w:pPr>
              <w:spacing w:line="408" w:lineRule="auto"/>
              <w:rPr>
                <w:rFonts w:hint="eastAsia" w:ascii="仿宋" w:hAnsi="仿宋" w:eastAsia="仿宋"/>
                <w:bCs/>
                <w:sz w:val="18"/>
                <w:lang w:eastAsia="zh-CN"/>
              </w:rPr>
            </w:pPr>
            <w:r>
              <w:rPr>
                <w:rFonts w:hint="eastAsia" w:ascii="仿宋" w:hAnsi="仿宋" w:eastAsia="仿宋"/>
                <w:bCs/>
                <w:sz w:val="18"/>
                <w:lang w:eastAsia="zh-CN"/>
              </w:rPr>
              <w:t>累计维修路灯数量（3分）</w:t>
            </w:r>
          </w:p>
        </w:tc>
        <w:tc>
          <w:tcPr>
            <w:tcW w:w="1072" w:type="pct"/>
            <w:vAlign w:val="center"/>
          </w:tcPr>
          <w:p w14:paraId="61D753A9">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主要评价部门（单位）本年度在所管辖范围内累计修复路灯的数量。</w:t>
            </w:r>
          </w:p>
        </w:tc>
        <w:tc>
          <w:tcPr>
            <w:tcW w:w="1488" w:type="pct"/>
            <w:vAlign w:val="center"/>
          </w:tcPr>
          <w:p w14:paraId="1CB173DB">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累计修复路灯数量</w:t>
            </w:r>
            <w:r>
              <w:rPr>
                <w:rFonts w:ascii="仿宋" w:hAnsi="仿宋" w:eastAsia="仿宋"/>
                <w:bCs/>
                <w:sz w:val="18"/>
                <w:lang w:eastAsia="zh-CN"/>
              </w:rPr>
              <w:t>≥</w:t>
            </w:r>
            <w:r>
              <w:rPr>
                <w:rFonts w:hint="eastAsia" w:ascii="仿宋" w:hAnsi="仿宋" w:eastAsia="仿宋"/>
                <w:bCs/>
                <w:sz w:val="18"/>
                <w:lang w:eastAsia="zh-CN"/>
              </w:rPr>
              <w:t>4000处，得3分；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4000处&gt;累计修复路灯数量</w:t>
            </w:r>
            <w:r>
              <w:rPr>
                <w:rFonts w:ascii="仿宋" w:hAnsi="仿宋" w:eastAsia="仿宋"/>
                <w:bCs/>
                <w:sz w:val="18"/>
                <w:lang w:eastAsia="zh-CN"/>
              </w:rPr>
              <w:t>≥</w:t>
            </w:r>
            <w:r>
              <w:rPr>
                <w:rFonts w:hint="eastAsia" w:ascii="仿宋" w:hAnsi="仿宋" w:eastAsia="仿宋"/>
                <w:bCs/>
                <w:sz w:val="18"/>
                <w:lang w:eastAsia="zh-CN"/>
              </w:rPr>
              <w:t>3900处，得2分；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3900处&gt;累计修复路灯数量</w:t>
            </w:r>
            <w:r>
              <w:rPr>
                <w:rFonts w:ascii="仿宋" w:hAnsi="仿宋" w:eastAsia="仿宋"/>
                <w:bCs/>
                <w:sz w:val="18"/>
                <w:lang w:eastAsia="zh-CN"/>
              </w:rPr>
              <w:t>≥</w:t>
            </w:r>
            <w:r>
              <w:rPr>
                <w:rFonts w:hint="eastAsia" w:ascii="仿宋" w:hAnsi="仿宋" w:eastAsia="仿宋"/>
                <w:bCs/>
                <w:sz w:val="18"/>
                <w:lang w:eastAsia="zh-CN"/>
              </w:rPr>
              <w:t>3800处，得1分；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3800处&gt;累计修复路灯数量，得0分。</w:t>
            </w:r>
          </w:p>
        </w:tc>
        <w:tc>
          <w:tcPr>
            <w:tcW w:w="259" w:type="pct"/>
            <w:vAlign w:val="center"/>
          </w:tcPr>
          <w:p w14:paraId="5EB65CE4">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151689D9">
            <w:pPr>
              <w:spacing w:line="408" w:lineRule="auto"/>
              <w:jc w:val="right"/>
              <w:rPr>
                <w:rFonts w:hint="eastAsia" w:ascii="仿宋" w:hAnsi="仿宋" w:eastAsia="仿宋"/>
                <w:bCs/>
                <w:sz w:val="18"/>
              </w:rPr>
            </w:pPr>
            <w:r>
              <w:rPr>
                <w:rFonts w:hint="eastAsia" w:ascii="仿宋" w:hAnsi="仿宋" w:eastAsia="仿宋"/>
                <w:bCs/>
                <w:sz w:val="18"/>
              </w:rPr>
              <w:t>3</w:t>
            </w:r>
          </w:p>
        </w:tc>
      </w:tr>
      <w:tr w14:paraId="4EAF1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18A13D67">
            <w:pPr>
              <w:spacing w:line="408" w:lineRule="auto"/>
              <w:rPr>
                <w:rFonts w:hint="eastAsia" w:ascii="仿宋" w:hAnsi="仿宋" w:eastAsia="仿宋"/>
                <w:bCs/>
                <w:sz w:val="18"/>
              </w:rPr>
            </w:pPr>
          </w:p>
        </w:tc>
        <w:tc>
          <w:tcPr>
            <w:tcW w:w="612" w:type="pct"/>
            <w:vMerge w:val="continue"/>
            <w:vAlign w:val="center"/>
          </w:tcPr>
          <w:p w14:paraId="7CBD4B11">
            <w:pPr>
              <w:spacing w:line="408" w:lineRule="auto"/>
              <w:rPr>
                <w:rFonts w:hint="eastAsia" w:ascii="仿宋" w:hAnsi="仿宋" w:eastAsia="仿宋"/>
                <w:bCs/>
                <w:sz w:val="18"/>
              </w:rPr>
            </w:pPr>
          </w:p>
        </w:tc>
        <w:tc>
          <w:tcPr>
            <w:tcW w:w="789" w:type="pct"/>
            <w:vAlign w:val="center"/>
          </w:tcPr>
          <w:p w14:paraId="04F5C34A">
            <w:pPr>
              <w:spacing w:line="408" w:lineRule="auto"/>
              <w:rPr>
                <w:rFonts w:hint="eastAsia" w:ascii="仿宋" w:hAnsi="仿宋" w:eastAsia="仿宋"/>
                <w:bCs/>
                <w:sz w:val="18"/>
                <w:lang w:eastAsia="zh-CN"/>
              </w:rPr>
            </w:pPr>
            <w:r>
              <w:rPr>
                <w:rFonts w:hint="eastAsia" w:ascii="仿宋" w:hAnsi="仿宋" w:eastAsia="仿宋"/>
                <w:bCs/>
                <w:sz w:val="18"/>
                <w:lang w:eastAsia="zh-CN"/>
              </w:rPr>
              <w:t>现场督察餐饮企业数量（3分）</w:t>
            </w:r>
          </w:p>
        </w:tc>
        <w:tc>
          <w:tcPr>
            <w:tcW w:w="1072" w:type="pct"/>
            <w:vAlign w:val="center"/>
          </w:tcPr>
          <w:p w14:paraId="6351A7F3">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主要评价部门（单位）本年度在所管辖范围内开展现场督察餐饮企业的数量。</w:t>
            </w:r>
          </w:p>
        </w:tc>
        <w:tc>
          <w:tcPr>
            <w:tcW w:w="1488" w:type="pct"/>
            <w:vAlign w:val="center"/>
          </w:tcPr>
          <w:p w14:paraId="4EA50CB6">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现场督察</w:t>
            </w:r>
            <w:r>
              <w:rPr>
                <w:rFonts w:ascii="仿宋" w:hAnsi="仿宋" w:eastAsia="仿宋"/>
                <w:bCs/>
                <w:sz w:val="18"/>
                <w:lang w:eastAsia="zh-CN"/>
              </w:rPr>
              <w:t>≥</w:t>
            </w:r>
            <w:r>
              <w:rPr>
                <w:rFonts w:hint="eastAsia" w:ascii="仿宋" w:hAnsi="仿宋" w:eastAsia="仿宋"/>
                <w:bCs/>
                <w:sz w:val="18"/>
                <w:lang w:eastAsia="zh-CN"/>
              </w:rPr>
              <w:t>3000家，得3分；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3000家&gt;现场督察</w:t>
            </w:r>
            <w:r>
              <w:rPr>
                <w:rFonts w:ascii="仿宋" w:hAnsi="仿宋" w:eastAsia="仿宋"/>
                <w:bCs/>
                <w:sz w:val="18"/>
                <w:lang w:eastAsia="zh-CN"/>
              </w:rPr>
              <w:t>≥</w:t>
            </w:r>
            <w:r>
              <w:rPr>
                <w:rFonts w:hint="eastAsia" w:ascii="仿宋" w:hAnsi="仿宋" w:eastAsia="仿宋"/>
                <w:bCs/>
                <w:sz w:val="18"/>
                <w:lang w:eastAsia="zh-CN"/>
              </w:rPr>
              <w:t>2900家，得2分；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2900家&gt;现场督察</w:t>
            </w:r>
            <w:r>
              <w:rPr>
                <w:rFonts w:ascii="仿宋" w:hAnsi="仿宋" w:eastAsia="仿宋"/>
                <w:bCs/>
                <w:sz w:val="18"/>
                <w:lang w:eastAsia="zh-CN"/>
              </w:rPr>
              <w:t>≥</w:t>
            </w:r>
            <w:r>
              <w:rPr>
                <w:rFonts w:hint="eastAsia" w:ascii="仿宋" w:hAnsi="仿宋" w:eastAsia="仿宋"/>
                <w:bCs/>
                <w:sz w:val="18"/>
                <w:lang w:eastAsia="zh-CN"/>
              </w:rPr>
              <w:t>2800家，得1分；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2800家&gt;现场督察，得0分。</w:t>
            </w:r>
          </w:p>
        </w:tc>
        <w:tc>
          <w:tcPr>
            <w:tcW w:w="259" w:type="pct"/>
            <w:vAlign w:val="center"/>
          </w:tcPr>
          <w:p w14:paraId="2CE5907D">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7DE4D43D">
            <w:pPr>
              <w:spacing w:line="408" w:lineRule="auto"/>
              <w:jc w:val="right"/>
              <w:rPr>
                <w:rFonts w:hint="eastAsia" w:ascii="仿宋" w:hAnsi="仿宋" w:eastAsia="仿宋"/>
                <w:bCs/>
                <w:sz w:val="18"/>
              </w:rPr>
            </w:pPr>
            <w:r>
              <w:rPr>
                <w:rFonts w:hint="eastAsia" w:ascii="仿宋" w:hAnsi="仿宋" w:eastAsia="仿宋"/>
                <w:bCs/>
                <w:sz w:val="18"/>
              </w:rPr>
              <w:t>3</w:t>
            </w:r>
          </w:p>
        </w:tc>
      </w:tr>
      <w:tr w14:paraId="17EF6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2E1CE705">
            <w:pPr>
              <w:spacing w:line="408" w:lineRule="auto"/>
              <w:rPr>
                <w:rFonts w:hint="eastAsia" w:ascii="仿宋" w:hAnsi="仿宋" w:eastAsia="仿宋"/>
                <w:bCs/>
                <w:sz w:val="18"/>
              </w:rPr>
            </w:pPr>
          </w:p>
        </w:tc>
        <w:tc>
          <w:tcPr>
            <w:tcW w:w="612" w:type="pct"/>
            <w:vMerge w:val="continue"/>
            <w:vAlign w:val="center"/>
          </w:tcPr>
          <w:p w14:paraId="25D777B2">
            <w:pPr>
              <w:spacing w:line="408" w:lineRule="auto"/>
              <w:rPr>
                <w:rFonts w:hint="eastAsia" w:ascii="仿宋" w:hAnsi="仿宋" w:eastAsia="仿宋"/>
                <w:bCs/>
                <w:sz w:val="18"/>
              </w:rPr>
            </w:pPr>
          </w:p>
        </w:tc>
        <w:tc>
          <w:tcPr>
            <w:tcW w:w="789" w:type="pct"/>
            <w:vAlign w:val="center"/>
          </w:tcPr>
          <w:p w14:paraId="5617A913">
            <w:pPr>
              <w:spacing w:line="408" w:lineRule="auto"/>
              <w:rPr>
                <w:rFonts w:hint="eastAsia" w:ascii="仿宋" w:hAnsi="仿宋" w:eastAsia="仿宋"/>
                <w:bCs/>
                <w:sz w:val="18"/>
                <w:lang w:eastAsia="zh-CN"/>
              </w:rPr>
            </w:pPr>
            <w:r>
              <w:rPr>
                <w:rFonts w:hint="eastAsia" w:ascii="仿宋" w:hAnsi="仿宋" w:eastAsia="仿宋"/>
                <w:bCs/>
                <w:sz w:val="18"/>
                <w:lang w:eastAsia="zh-CN"/>
              </w:rPr>
              <w:t>开展环境卫生专项整治活动的次数（3分）</w:t>
            </w:r>
          </w:p>
        </w:tc>
        <w:tc>
          <w:tcPr>
            <w:tcW w:w="1072" w:type="pct"/>
            <w:vAlign w:val="center"/>
          </w:tcPr>
          <w:p w14:paraId="64BE2DB2">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主要评价部门（单位）本年度在所管辖范围内开展环境卫生专项整治活动的次数。</w:t>
            </w:r>
          </w:p>
        </w:tc>
        <w:tc>
          <w:tcPr>
            <w:tcW w:w="1488" w:type="pct"/>
            <w:vAlign w:val="center"/>
          </w:tcPr>
          <w:p w14:paraId="6EEBDFCD">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开展环境卫生整治</w:t>
            </w:r>
            <w:r>
              <w:rPr>
                <w:rFonts w:ascii="仿宋" w:hAnsi="仿宋" w:eastAsia="仿宋"/>
                <w:bCs/>
                <w:sz w:val="18"/>
                <w:lang w:eastAsia="zh-CN"/>
              </w:rPr>
              <w:t>≥</w:t>
            </w:r>
            <w:r>
              <w:rPr>
                <w:rFonts w:hint="eastAsia" w:ascii="仿宋" w:hAnsi="仿宋" w:eastAsia="仿宋"/>
                <w:bCs/>
                <w:sz w:val="18"/>
                <w:lang w:eastAsia="zh-CN"/>
              </w:rPr>
              <w:t>500场，得3分；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500场&gt;开展环境卫生整治</w:t>
            </w:r>
            <w:r>
              <w:rPr>
                <w:rFonts w:ascii="仿宋" w:hAnsi="仿宋" w:eastAsia="仿宋"/>
                <w:bCs/>
                <w:sz w:val="18"/>
                <w:lang w:eastAsia="zh-CN"/>
              </w:rPr>
              <w:t>≥</w:t>
            </w:r>
            <w:r>
              <w:rPr>
                <w:rFonts w:hint="eastAsia" w:ascii="仿宋" w:hAnsi="仿宋" w:eastAsia="仿宋"/>
                <w:bCs/>
                <w:sz w:val="18"/>
                <w:lang w:eastAsia="zh-CN"/>
              </w:rPr>
              <w:t>450场，得2分；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450场&gt;开展环境卫生整治</w:t>
            </w:r>
            <w:r>
              <w:rPr>
                <w:rFonts w:ascii="仿宋" w:hAnsi="仿宋" w:eastAsia="仿宋"/>
                <w:bCs/>
                <w:sz w:val="18"/>
                <w:lang w:eastAsia="zh-CN"/>
              </w:rPr>
              <w:t>≥</w:t>
            </w:r>
            <w:r>
              <w:rPr>
                <w:rFonts w:hint="eastAsia" w:ascii="仿宋" w:hAnsi="仿宋" w:eastAsia="仿宋"/>
                <w:bCs/>
                <w:sz w:val="18"/>
                <w:lang w:eastAsia="zh-CN"/>
              </w:rPr>
              <w:t>400场，得1分；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400场&gt;开展环境卫生整治，得0分。</w:t>
            </w:r>
          </w:p>
        </w:tc>
        <w:tc>
          <w:tcPr>
            <w:tcW w:w="259" w:type="pct"/>
            <w:vAlign w:val="center"/>
          </w:tcPr>
          <w:p w14:paraId="69F5A904">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1061EDE0">
            <w:pPr>
              <w:spacing w:line="408" w:lineRule="auto"/>
              <w:jc w:val="right"/>
              <w:rPr>
                <w:rFonts w:hint="eastAsia" w:ascii="仿宋" w:hAnsi="仿宋" w:eastAsia="仿宋"/>
                <w:bCs/>
                <w:sz w:val="18"/>
              </w:rPr>
            </w:pPr>
            <w:r>
              <w:rPr>
                <w:rFonts w:hint="eastAsia" w:ascii="仿宋" w:hAnsi="仿宋" w:eastAsia="仿宋"/>
                <w:bCs/>
                <w:sz w:val="18"/>
              </w:rPr>
              <w:t>3</w:t>
            </w:r>
          </w:p>
        </w:tc>
      </w:tr>
      <w:tr w14:paraId="5410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5582DF45">
            <w:pPr>
              <w:spacing w:line="408" w:lineRule="auto"/>
              <w:rPr>
                <w:rFonts w:hint="eastAsia" w:ascii="仿宋" w:hAnsi="仿宋" w:eastAsia="仿宋"/>
                <w:bCs/>
                <w:sz w:val="18"/>
              </w:rPr>
            </w:pPr>
          </w:p>
        </w:tc>
        <w:tc>
          <w:tcPr>
            <w:tcW w:w="612" w:type="pct"/>
            <w:vMerge w:val="continue"/>
            <w:vAlign w:val="center"/>
          </w:tcPr>
          <w:p w14:paraId="18BC4777">
            <w:pPr>
              <w:spacing w:line="408" w:lineRule="auto"/>
              <w:rPr>
                <w:rFonts w:hint="eastAsia" w:ascii="仿宋" w:hAnsi="仿宋" w:eastAsia="仿宋"/>
                <w:bCs/>
                <w:sz w:val="18"/>
              </w:rPr>
            </w:pPr>
          </w:p>
        </w:tc>
        <w:tc>
          <w:tcPr>
            <w:tcW w:w="789" w:type="pct"/>
            <w:vAlign w:val="center"/>
          </w:tcPr>
          <w:p w14:paraId="0A0E5B34">
            <w:pPr>
              <w:spacing w:line="408" w:lineRule="auto"/>
              <w:rPr>
                <w:rFonts w:hint="eastAsia" w:ascii="仿宋" w:hAnsi="仿宋" w:eastAsia="仿宋"/>
                <w:bCs/>
                <w:sz w:val="18"/>
                <w:lang w:eastAsia="zh-CN"/>
              </w:rPr>
            </w:pPr>
            <w:r>
              <w:rPr>
                <w:rFonts w:hint="eastAsia" w:ascii="仿宋" w:hAnsi="仿宋" w:eastAsia="仿宋"/>
                <w:bCs/>
                <w:sz w:val="18"/>
                <w:lang w:eastAsia="zh-CN"/>
              </w:rPr>
              <w:t>整治占道经营次数（3分）</w:t>
            </w:r>
          </w:p>
        </w:tc>
        <w:tc>
          <w:tcPr>
            <w:tcW w:w="1072" w:type="pct"/>
            <w:vAlign w:val="center"/>
          </w:tcPr>
          <w:p w14:paraId="63CD8B7E">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主要评价部门（单位）本年度在所管辖范围内开展整治占道经营的次数。</w:t>
            </w:r>
          </w:p>
        </w:tc>
        <w:tc>
          <w:tcPr>
            <w:tcW w:w="1488" w:type="pct"/>
            <w:vAlign w:val="center"/>
          </w:tcPr>
          <w:p w14:paraId="5F6D440D">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整治占道经营</w:t>
            </w:r>
            <w:r>
              <w:rPr>
                <w:rFonts w:ascii="仿宋" w:hAnsi="仿宋" w:eastAsia="仿宋"/>
                <w:bCs/>
                <w:sz w:val="18"/>
                <w:lang w:eastAsia="zh-CN"/>
              </w:rPr>
              <w:t>≥</w:t>
            </w:r>
            <w:r>
              <w:rPr>
                <w:rFonts w:hint="eastAsia" w:ascii="仿宋" w:hAnsi="仿宋" w:eastAsia="仿宋"/>
                <w:bCs/>
                <w:sz w:val="18"/>
                <w:lang w:eastAsia="zh-CN"/>
              </w:rPr>
              <w:t>6000起，得3分；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6000起&gt;整治占道经营</w:t>
            </w:r>
            <w:r>
              <w:rPr>
                <w:rFonts w:ascii="仿宋" w:hAnsi="仿宋" w:eastAsia="仿宋"/>
                <w:bCs/>
                <w:sz w:val="18"/>
                <w:lang w:eastAsia="zh-CN"/>
              </w:rPr>
              <w:t>≥</w:t>
            </w:r>
            <w:r>
              <w:rPr>
                <w:rFonts w:hint="eastAsia" w:ascii="仿宋" w:hAnsi="仿宋" w:eastAsia="仿宋"/>
                <w:bCs/>
                <w:sz w:val="18"/>
                <w:lang w:eastAsia="zh-CN"/>
              </w:rPr>
              <w:t>5900起，得2分；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5900起&gt;整治占道经营</w:t>
            </w:r>
            <w:r>
              <w:rPr>
                <w:rFonts w:ascii="仿宋" w:hAnsi="仿宋" w:eastAsia="仿宋"/>
                <w:bCs/>
                <w:sz w:val="18"/>
                <w:lang w:eastAsia="zh-CN"/>
              </w:rPr>
              <w:t>≥</w:t>
            </w:r>
            <w:r>
              <w:rPr>
                <w:rFonts w:hint="eastAsia" w:ascii="仿宋" w:hAnsi="仿宋" w:eastAsia="仿宋"/>
                <w:bCs/>
                <w:sz w:val="18"/>
                <w:lang w:eastAsia="zh-CN"/>
              </w:rPr>
              <w:t>5800起，得1分；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5800起&gt;整治占道经营，得0分。</w:t>
            </w:r>
          </w:p>
        </w:tc>
        <w:tc>
          <w:tcPr>
            <w:tcW w:w="259" w:type="pct"/>
            <w:vAlign w:val="center"/>
          </w:tcPr>
          <w:p w14:paraId="7DD89A69">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79A8995D">
            <w:pPr>
              <w:spacing w:line="408" w:lineRule="auto"/>
              <w:jc w:val="right"/>
              <w:rPr>
                <w:rFonts w:hint="eastAsia" w:ascii="仿宋" w:hAnsi="仿宋" w:eastAsia="仿宋"/>
                <w:bCs/>
                <w:sz w:val="18"/>
              </w:rPr>
            </w:pPr>
            <w:r>
              <w:rPr>
                <w:rFonts w:hint="eastAsia" w:ascii="仿宋" w:hAnsi="仿宋" w:eastAsia="仿宋"/>
                <w:bCs/>
                <w:sz w:val="18"/>
              </w:rPr>
              <w:t>3</w:t>
            </w:r>
          </w:p>
        </w:tc>
      </w:tr>
      <w:tr w14:paraId="7998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18633451">
            <w:pPr>
              <w:spacing w:line="408" w:lineRule="auto"/>
              <w:rPr>
                <w:rFonts w:hint="eastAsia" w:ascii="仿宋" w:hAnsi="仿宋" w:eastAsia="仿宋"/>
                <w:bCs/>
                <w:sz w:val="18"/>
              </w:rPr>
            </w:pPr>
          </w:p>
        </w:tc>
        <w:tc>
          <w:tcPr>
            <w:tcW w:w="612" w:type="pct"/>
            <w:vMerge w:val="restart"/>
            <w:vAlign w:val="center"/>
          </w:tcPr>
          <w:p w14:paraId="30DABC54">
            <w:pPr>
              <w:spacing w:line="408" w:lineRule="auto"/>
              <w:rPr>
                <w:rFonts w:hint="eastAsia" w:ascii="仿宋" w:hAnsi="仿宋" w:eastAsia="仿宋"/>
                <w:bCs/>
                <w:sz w:val="18"/>
              </w:rPr>
            </w:pPr>
            <w:r>
              <w:rPr>
                <w:rFonts w:hint="eastAsia" w:ascii="仿宋" w:hAnsi="仿宋" w:eastAsia="仿宋"/>
                <w:bCs/>
                <w:sz w:val="18"/>
              </w:rPr>
              <w:t>产出质量（13分）</w:t>
            </w:r>
          </w:p>
        </w:tc>
        <w:tc>
          <w:tcPr>
            <w:tcW w:w="789" w:type="pct"/>
            <w:vAlign w:val="center"/>
          </w:tcPr>
          <w:p w14:paraId="52779F22">
            <w:pPr>
              <w:spacing w:line="408" w:lineRule="auto"/>
              <w:rPr>
                <w:rFonts w:hint="eastAsia" w:ascii="仿宋" w:hAnsi="仿宋" w:eastAsia="仿宋"/>
                <w:bCs/>
                <w:sz w:val="18"/>
                <w:lang w:eastAsia="zh-CN"/>
              </w:rPr>
            </w:pPr>
            <w:r>
              <w:rPr>
                <w:rFonts w:hint="eastAsia" w:ascii="仿宋" w:hAnsi="仿宋" w:eastAsia="仿宋"/>
                <w:bCs/>
                <w:sz w:val="18"/>
                <w:lang w:eastAsia="zh-CN"/>
              </w:rPr>
              <w:t>绿化浇洒采节水方式（2分）</w:t>
            </w:r>
          </w:p>
        </w:tc>
        <w:tc>
          <w:tcPr>
            <w:tcW w:w="1072" w:type="pct"/>
            <w:vAlign w:val="center"/>
          </w:tcPr>
          <w:p w14:paraId="5220B32B">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主要评价部门（单位）本年度在对绿化浇洒时是否采用节水的方式进行浇洒。</w:t>
            </w:r>
          </w:p>
        </w:tc>
        <w:tc>
          <w:tcPr>
            <w:tcW w:w="1488" w:type="pct"/>
            <w:vAlign w:val="center"/>
          </w:tcPr>
          <w:p w14:paraId="4B864DF7">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采用节水型灌溉方式，得2分；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未采用节水型灌溉方式，但有人监督，得1分；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未采用节水型灌溉方式，且无人监督，得0分。</w:t>
            </w:r>
          </w:p>
        </w:tc>
        <w:tc>
          <w:tcPr>
            <w:tcW w:w="259" w:type="pct"/>
            <w:vAlign w:val="center"/>
          </w:tcPr>
          <w:p w14:paraId="7A69D24C">
            <w:pPr>
              <w:spacing w:line="408" w:lineRule="auto"/>
              <w:jc w:val="right"/>
              <w:rPr>
                <w:rFonts w:hint="eastAsia" w:ascii="仿宋" w:hAnsi="仿宋" w:eastAsia="仿宋"/>
                <w:bCs/>
                <w:sz w:val="18"/>
              </w:rPr>
            </w:pPr>
            <w:r>
              <w:rPr>
                <w:rFonts w:hint="eastAsia" w:ascii="仿宋" w:hAnsi="仿宋" w:eastAsia="仿宋"/>
                <w:bCs/>
                <w:sz w:val="18"/>
              </w:rPr>
              <w:t>2</w:t>
            </w:r>
          </w:p>
        </w:tc>
        <w:tc>
          <w:tcPr>
            <w:tcW w:w="308" w:type="pct"/>
            <w:vAlign w:val="center"/>
          </w:tcPr>
          <w:p w14:paraId="48B59815">
            <w:pPr>
              <w:spacing w:line="408" w:lineRule="auto"/>
              <w:jc w:val="right"/>
              <w:rPr>
                <w:rFonts w:hint="eastAsia" w:ascii="仿宋" w:hAnsi="仿宋" w:eastAsia="仿宋"/>
                <w:bCs/>
                <w:sz w:val="18"/>
              </w:rPr>
            </w:pPr>
            <w:r>
              <w:rPr>
                <w:rFonts w:hint="eastAsia" w:ascii="仿宋" w:hAnsi="仿宋" w:eastAsia="仿宋"/>
                <w:bCs/>
                <w:sz w:val="18"/>
              </w:rPr>
              <w:t>1</w:t>
            </w:r>
          </w:p>
        </w:tc>
      </w:tr>
      <w:tr w14:paraId="2B56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603B80C3">
            <w:pPr>
              <w:spacing w:line="408" w:lineRule="auto"/>
              <w:rPr>
                <w:rFonts w:hint="eastAsia" w:ascii="仿宋" w:hAnsi="仿宋" w:eastAsia="仿宋"/>
                <w:bCs/>
                <w:sz w:val="18"/>
              </w:rPr>
            </w:pPr>
          </w:p>
        </w:tc>
        <w:tc>
          <w:tcPr>
            <w:tcW w:w="612" w:type="pct"/>
            <w:vMerge w:val="continue"/>
            <w:vAlign w:val="center"/>
          </w:tcPr>
          <w:p w14:paraId="65C7AFC0">
            <w:pPr>
              <w:spacing w:line="408" w:lineRule="auto"/>
              <w:rPr>
                <w:rFonts w:hint="eastAsia" w:ascii="仿宋" w:hAnsi="仿宋" w:eastAsia="仿宋"/>
                <w:bCs/>
                <w:sz w:val="18"/>
              </w:rPr>
            </w:pPr>
          </w:p>
        </w:tc>
        <w:tc>
          <w:tcPr>
            <w:tcW w:w="789" w:type="pct"/>
            <w:vAlign w:val="center"/>
          </w:tcPr>
          <w:p w14:paraId="38AE3CB5">
            <w:pPr>
              <w:spacing w:line="408" w:lineRule="auto"/>
              <w:rPr>
                <w:rFonts w:hint="eastAsia" w:ascii="仿宋" w:hAnsi="仿宋" w:eastAsia="仿宋"/>
                <w:bCs/>
                <w:sz w:val="18"/>
                <w:lang w:eastAsia="zh-CN"/>
              </w:rPr>
            </w:pPr>
            <w:r>
              <w:rPr>
                <w:rFonts w:hint="eastAsia" w:ascii="仿宋" w:hAnsi="仿宋" w:eastAsia="仿宋"/>
                <w:bCs/>
                <w:sz w:val="18"/>
                <w:lang w:eastAsia="zh-CN"/>
              </w:rPr>
              <w:t>非居民计划用水超标情况（2分）</w:t>
            </w:r>
          </w:p>
        </w:tc>
        <w:tc>
          <w:tcPr>
            <w:tcW w:w="1072" w:type="pct"/>
            <w:vAlign w:val="center"/>
          </w:tcPr>
          <w:p w14:paraId="0F5BAB12">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主要评价部门（单位）本年度非居民计划用水是否存在超标。</w:t>
            </w:r>
          </w:p>
        </w:tc>
        <w:tc>
          <w:tcPr>
            <w:tcW w:w="1488" w:type="pct"/>
            <w:vAlign w:val="center"/>
          </w:tcPr>
          <w:p w14:paraId="4ABE97AC">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非居民计划用水未超标，得2分；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非居民计划用水超标，得1分；</w:t>
            </w:r>
          </w:p>
        </w:tc>
        <w:tc>
          <w:tcPr>
            <w:tcW w:w="259" w:type="pct"/>
            <w:vAlign w:val="center"/>
          </w:tcPr>
          <w:p w14:paraId="0CCD7BED">
            <w:pPr>
              <w:spacing w:line="408" w:lineRule="auto"/>
              <w:jc w:val="right"/>
              <w:rPr>
                <w:rFonts w:hint="eastAsia" w:ascii="仿宋" w:hAnsi="仿宋" w:eastAsia="仿宋"/>
                <w:bCs/>
                <w:sz w:val="18"/>
              </w:rPr>
            </w:pPr>
            <w:r>
              <w:rPr>
                <w:rFonts w:hint="eastAsia" w:ascii="仿宋" w:hAnsi="仿宋" w:eastAsia="仿宋"/>
                <w:bCs/>
                <w:sz w:val="18"/>
              </w:rPr>
              <w:t>2</w:t>
            </w:r>
          </w:p>
        </w:tc>
        <w:tc>
          <w:tcPr>
            <w:tcW w:w="308" w:type="pct"/>
            <w:vAlign w:val="center"/>
          </w:tcPr>
          <w:p w14:paraId="4217EFCA">
            <w:pPr>
              <w:spacing w:line="408" w:lineRule="auto"/>
              <w:jc w:val="right"/>
              <w:rPr>
                <w:rFonts w:hint="eastAsia" w:ascii="仿宋" w:hAnsi="仿宋" w:eastAsia="仿宋"/>
                <w:bCs/>
                <w:sz w:val="18"/>
              </w:rPr>
            </w:pPr>
            <w:r>
              <w:rPr>
                <w:rFonts w:hint="eastAsia" w:ascii="仿宋" w:hAnsi="仿宋" w:eastAsia="仿宋"/>
                <w:bCs/>
                <w:sz w:val="18"/>
              </w:rPr>
              <w:t>1</w:t>
            </w:r>
          </w:p>
        </w:tc>
      </w:tr>
      <w:tr w14:paraId="70DD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4254FDD8">
            <w:pPr>
              <w:spacing w:line="408" w:lineRule="auto"/>
              <w:rPr>
                <w:rFonts w:hint="eastAsia" w:ascii="仿宋" w:hAnsi="仿宋" w:eastAsia="仿宋"/>
                <w:bCs/>
                <w:sz w:val="18"/>
              </w:rPr>
            </w:pPr>
          </w:p>
        </w:tc>
        <w:tc>
          <w:tcPr>
            <w:tcW w:w="612" w:type="pct"/>
            <w:vMerge w:val="continue"/>
            <w:vAlign w:val="center"/>
          </w:tcPr>
          <w:p w14:paraId="519B1D69">
            <w:pPr>
              <w:spacing w:line="408" w:lineRule="auto"/>
              <w:rPr>
                <w:rFonts w:hint="eastAsia" w:ascii="仿宋" w:hAnsi="仿宋" w:eastAsia="仿宋"/>
                <w:bCs/>
                <w:sz w:val="18"/>
              </w:rPr>
            </w:pPr>
          </w:p>
        </w:tc>
        <w:tc>
          <w:tcPr>
            <w:tcW w:w="789" w:type="pct"/>
            <w:vAlign w:val="center"/>
          </w:tcPr>
          <w:p w14:paraId="46C42C19">
            <w:pPr>
              <w:spacing w:line="408" w:lineRule="auto"/>
              <w:rPr>
                <w:rFonts w:hint="eastAsia" w:ascii="仿宋" w:hAnsi="仿宋" w:eastAsia="仿宋"/>
                <w:bCs/>
                <w:sz w:val="18"/>
                <w:lang w:eastAsia="zh-CN"/>
              </w:rPr>
            </w:pPr>
            <w:r>
              <w:rPr>
                <w:rFonts w:hint="eastAsia" w:ascii="仿宋" w:hAnsi="仿宋" w:eastAsia="仿宋"/>
                <w:bCs/>
                <w:sz w:val="18"/>
                <w:lang w:eastAsia="zh-CN"/>
              </w:rPr>
              <w:t>路灯维护检查情况（3分）</w:t>
            </w:r>
          </w:p>
        </w:tc>
        <w:tc>
          <w:tcPr>
            <w:tcW w:w="1072" w:type="pct"/>
            <w:vAlign w:val="center"/>
          </w:tcPr>
          <w:p w14:paraId="6EDC8496">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主要评价部门（单位）在2024年度巡逻过程中对路灯的亮灯检查情况。</w:t>
            </w:r>
          </w:p>
        </w:tc>
        <w:tc>
          <w:tcPr>
            <w:tcW w:w="1488" w:type="pct"/>
            <w:vAlign w:val="center"/>
          </w:tcPr>
          <w:p w14:paraId="1CD74F9A">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检查过程中路灯几乎没有不亮，得3分；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检查过程中路灯较少不亮，得2分；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检查过程中路灯较多不亮，得1分；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检查过程中路灯很多不亮，得0分。</w:t>
            </w:r>
          </w:p>
        </w:tc>
        <w:tc>
          <w:tcPr>
            <w:tcW w:w="259" w:type="pct"/>
            <w:vAlign w:val="center"/>
          </w:tcPr>
          <w:p w14:paraId="0B158A02">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545C3801">
            <w:pPr>
              <w:spacing w:line="408" w:lineRule="auto"/>
              <w:jc w:val="right"/>
              <w:rPr>
                <w:rFonts w:hint="eastAsia" w:ascii="仿宋" w:hAnsi="仿宋" w:eastAsia="仿宋"/>
                <w:bCs/>
                <w:sz w:val="18"/>
              </w:rPr>
            </w:pPr>
            <w:r>
              <w:rPr>
                <w:rFonts w:hint="eastAsia" w:ascii="仿宋" w:hAnsi="仿宋" w:eastAsia="仿宋"/>
                <w:bCs/>
                <w:sz w:val="18"/>
              </w:rPr>
              <w:t>2</w:t>
            </w:r>
          </w:p>
        </w:tc>
      </w:tr>
      <w:tr w14:paraId="51E5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7A4229E2">
            <w:pPr>
              <w:spacing w:line="408" w:lineRule="auto"/>
              <w:rPr>
                <w:rFonts w:hint="eastAsia" w:ascii="仿宋" w:hAnsi="仿宋" w:eastAsia="仿宋"/>
                <w:bCs/>
                <w:sz w:val="18"/>
              </w:rPr>
            </w:pPr>
          </w:p>
        </w:tc>
        <w:tc>
          <w:tcPr>
            <w:tcW w:w="612" w:type="pct"/>
            <w:vMerge w:val="continue"/>
            <w:vAlign w:val="center"/>
          </w:tcPr>
          <w:p w14:paraId="574DB19F">
            <w:pPr>
              <w:spacing w:line="408" w:lineRule="auto"/>
              <w:rPr>
                <w:rFonts w:hint="eastAsia" w:ascii="仿宋" w:hAnsi="仿宋" w:eastAsia="仿宋"/>
                <w:bCs/>
                <w:sz w:val="18"/>
              </w:rPr>
            </w:pPr>
          </w:p>
        </w:tc>
        <w:tc>
          <w:tcPr>
            <w:tcW w:w="789" w:type="pct"/>
            <w:vAlign w:val="center"/>
          </w:tcPr>
          <w:p w14:paraId="5AA3F79A">
            <w:pPr>
              <w:spacing w:line="408" w:lineRule="auto"/>
              <w:rPr>
                <w:rFonts w:hint="eastAsia" w:ascii="仿宋" w:hAnsi="仿宋" w:eastAsia="仿宋"/>
                <w:bCs/>
                <w:sz w:val="18"/>
              </w:rPr>
            </w:pPr>
            <w:r>
              <w:rPr>
                <w:rFonts w:hint="eastAsia" w:ascii="仿宋" w:hAnsi="仿宋" w:eastAsia="仿宋"/>
                <w:bCs/>
                <w:sz w:val="18"/>
              </w:rPr>
              <w:t>环卫考评情况（3分）</w:t>
            </w:r>
          </w:p>
        </w:tc>
        <w:tc>
          <w:tcPr>
            <w:tcW w:w="1072" w:type="pct"/>
            <w:vAlign w:val="center"/>
          </w:tcPr>
          <w:p w14:paraId="5F5EBCCA">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主要评价部门（单位）是否有对管辖范围内对环卫一体化的考评情况。</w:t>
            </w:r>
          </w:p>
        </w:tc>
        <w:tc>
          <w:tcPr>
            <w:tcW w:w="1488" w:type="pct"/>
            <w:vAlign w:val="center"/>
          </w:tcPr>
          <w:p w14:paraId="507D7629">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没有需要整改的环卫事件，得3分；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有需要整改的环卫事件，但按时整改，得2分；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有需要整改的环卫事件，但存在超时整改，得1分；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有需要整改的环卫事件，但没有整改，得0分。</w:t>
            </w:r>
          </w:p>
        </w:tc>
        <w:tc>
          <w:tcPr>
            <w:tcW w:w="259" w:type="pct"/>
            <w:vAlign w:val="center"/>
          </w:tcPr>
          <w:p w14:paraId="782AE87F">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212635AB">
            <w:pPr>
              <w:spacing w:line="408" w:lineRule="auto"/>
              <w:jc w:val="right"/>
              <w:rPr>
                <w:rFonts w:hint="eastAsia" w:ascii="仿宋" w:hAnsi="仿宋" w:eastAsia="仿宋"/>
                <w:bCs/>
                <w:sz w:val="18"/>
              </w:rPr>
            </w:pPr>
            <w:r>
              <w:rPr>
                <w:rFonts w:hint="eastAsia" w:ascii="仿宋" w:hAnsi="仿宋" w:eastAsia="仿宋"/>
                <w:bCs/>
                <w:sz w:val="18"/>
              </w:rPr>
              <w:t>1</w:t>
            </w:r>
          </w:p>
        </w:tc>
      </w:tr>
      <w:tr w14:paraId="349F0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703A7AF9">
            <w:pPr>
              <w:spacing w:line="408" w:lineRule="auto"/>
              <w:rPr>
                <w:rFonts w:hint="eastAsia" w:ascii="仿宋" w:hAnsi="仿宋" w:eastAsia="仿宋"/>
                <w:bCs/>
                <w:sz w:val="18"/>
              </w:rPr>
            </w:pPr>
          </w:p>
        </w:tc>
        <w:tc>
          <w:tcPr>
            <w:tcW w:w="612" w:type="pct"/>
            <w:vMerge w:val="continue"/>
            <w:vAlign w:val="center"/>
          </w:tcPr>
          <w:p w14:paraId="0E8CA702">
            <w:pPr>
              <w:spacing w:line="408" w:lineRule="auto"/>
              <w:rPr>
                <w:rFonts w:hint="eastAsia" w:ascii="仿宋" w:hAnsi="仿宋" w:eastAsia="仿宋"/>
                <w:bCs/>
                <w:sz w:val="18"/>
              </w:rPr>
            </w:pPr>
          </w:p>
        </w:tc>
        <w:tc>
          <w:tcPr>
            <w:tcW w:w="789" w:type="pct"/>
            <w:vAlign w:val="center"/>
          </w:tcPr>
          <w:p w14:paraId="44EFB7A4">
            <w:pPr>
              <w:spacing w:line="408" w:lineRule="auto"/>
              <w:rPr>
                <w:rFonts w:hint="eastAsia" w:ascii="仿宋" w:hAnsi="仿宋" w:eastAsia="仿宋"/>
                <w:bCs/>
                <w:sz w:val="18"/>
                <w:lang w:eastAsia="zh-CN"/>
              </w:rPr>
            </w:pPr>
            <w:r>
              <w:rPr>
                <w:rFonts w:hint="eastAsia" w:ascii="仿宋" w:hAnsi="仿宋" w:eastAsia="仿宋"/>
                <w:bCs/>
                <w:sz w:val="18"/>
                <w:lang w:eastAsia="zh-CN"/>
              </w:rPr>
              <w:t>2024年度单位绩效考评结果（3分）</w:t>
            </w:r>
          </w:p>
        </w:tc>
        <w:tc>
          <w:tcPr>
            <w:tcW w:w="1072" w:type="pct"/>
            <w:vAlign w:val="center"/>
          </w:tcPr>
          <w:p w14:paraId="3B64E618">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主要评价部门（单位）在2024年度单位绩效考评结果情况。</w:t>
            </w:r>
          </w:p>
        </w:tc>
        <w:tc>
          <w:tcPr>
            <w:tcW w:w="1488" w:type="pct"/>
            <w:vAlign w:val="center"/>
          </w:tcPr>
          <w:p w14:paraId="28DC068E">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获得优秀，得3分；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获得良好，得2分；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获得合格，得1分；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获得不合规，得0分。</w:t>
            </w:r>
          </w:p>
        </w:tc>
        <w:tc>
          <w:tcPr>
            <w:tcW w:w="259" w:type="pct"/>
            <w:vAlign w:val="center"/>
          </w:tcPr>
          <w:p w14:paraId="1BF43547">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02ACA769">
            <w:pPr>
              <w:spacing w:line="408" w:lineRule="auto"/>
              <w:jc w:val="right"/>
              <w:rPr>
                <w:rFonts w:hint="eastAsia" w:ascii="仿宋" w:hAnsi="仿宋" w:eastAsia="仿宋"/>
                <w:bCs/>
                <w:sz w:val="18"/>
              </w:rPr>
            </w:pPr>
            <w:r>
              <w:rPr>
                <w:rFonts w:hint="eastAsia" w:ascii="仿宋" w:hAnsi="仿宋" w:eastAsia="仿宋"/>
                <w:bCs/>
                <w:sz w:val="18"/>
              </w:rPr>
              <w:t>1</w:t>
            </w:r>
          </w:p>
        </w:tc>
      </w:tr>
      <w:tr w14:paraId="5463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restart"/>
            <w:vAlign w:val="center"/>
          </w:tcPr>
          <w:p w14:paraId="53CD99F7">
            <w:pPr>
              <w:spacing w:line="408" w:lineRule="auto"/>
              <w:rPr>
                <w:rFonts w:hint="eastAsia" w:ascii="仿宋" w:hAnsi="仿宋" w:eastAsia="仿宋"/>
                <w:bCs/>
                <w:sz w:val="18"/>
              </w:rPr>
            </w:pPr>
            <w:r>
              <w:rPr>
                <w:rFonts w:hint="eastAsia" w:ascii="仿宋" w:hAnsi="仿宋" w:eastAsia="仿宋"/>
                <w:bCs/>
                <w:sz w:val="18"/>
              </w:rPr>
              <w:t>效益（27%）</w:t>
            </w:r>
          </w:p>
        </w:tc>
        <w:tc>
          <w:tcPr>
            <w:tcW w:w="612" w:type="pct"/>
            <w:vMerge w:val="restart"/>
            <w:vAlign w:val="center"/>
          </w:tcPr>
          <w:p w14:paraId="11987CEA">
            <w:pPr>
              <w:spacing w:line="408" w:lineRule="auto"/>
              <w:rPr>
                <w:rFonts w:hint="eastAsia" w:ascii="仿宋" w:hAnsi="仿宋" w:eastAsia="仿宋"/>
                <w:bCs/>
                <w:sz w:val="18"/>
              </w:rPr>
            </w:pPr>
            <w:r>
              <w:rPr>
                <w:rFonts w:hint="eastAsia" w:ascii="仿宋" w:hAnsi="仿宋" w:eastAsia="仿宋"/>
                <w:bCs/>
                <w:sz w:val="18"/>
              </w:rPr>
              <w:t>社会效益（11分）</w:t>
            </w:r>
          </w:p>
        </w:tc>
        <w:tc>
          <w:tcPr>
            <w:tcW w:w="789" w:type="pct"/>
            <w:vAlign w:val="center"/>
          </w:tcPr>
          <w:p w14:paraId="21FCCADE">
            <w:pPr>
              <w:spacing w:line="408" w:lineRule="auto"/>
              <w:rPr>
                <w:rFonts w:hint="eastAsia" w:ascii="仿宋" w:hAnsi="仿宋" w:eastAsia="仿宋"/>
                <w:bCs/>
                <w:sz w:val="18"/>
                <w:lang w:eastAsia="zh-CN"/>
              </w:rPr>
            </w:pPr>
            <w:r>
              <w:rPr>
                <w:rFonts w:hint="eastAsia" w:ascii="仿宋" w:hAnsi="仿宋" w:eastAsia="仿宋"/>
                <w:bCs/>
                <w:sz w:val="18"/>
                <w:lang w:eastAsia="zh-CN"/>
              </w:rPr>
              <w:t>开展安全生产检查的次数（3分）</w:t>
            </w:r>
          </w:p>
        </w:tc>
        <w:tc>
          <w:tcPr>
            <w:tcW w:w="1072" w:type="pct"/>
            <w:vAlign w:val="center"/>
          </w:tcPr>
          <w:p w14:paraId="79FF606A">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主要评价部门（单位）对所管辖范围内企业进行安全生产检查的次数。</w:t>
            </w:r>
          </w:p>
        </w:tc>
        <w:tc>
          <w:tcPr>
            <w:tcW w:w="1488" w:type="pct"/>
            <w:vAlign w:val="center"/>
          </w:tcPr>
          <w:p w14:paraId="5522C46F">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安全生产检查</w:t>
            </w:r>
            <w:r>
              <w:rPr>
                <w:rFonts w:ascii="仿宋" w:hAnsi="仿宋" w:eastAsia="仿宋"/>
                <w:bCs/>
                <w:sz w:val="18"/>
                <w:lang w:eastAsia="zh-CN"/>
              </w:rPr>
              <w:t>≥</w:t>
            </w:r>
            <w:r>
              <w:rPr>
                <w:rFonts w:hint="eastAsia" w:ascii="仿宋" w:hAnsi="仿宋" w:eastAsia="仿宋"/>
                <w:bCs/>
                <w:sz w:val="18"/>
                <w:lang w:eastAsia="zh-CN"/>
              </w:rPr>
              <w:t>300场，得3分；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300场&gt;安全生产检查</w:t>
            </w:r>
            <w:r>
              <w:rPr>
                <w:rFonts w:ascii="仿宋" w:hAnsi="仿宋" w:eastAsia="仿宋"/>
                <w:bCs/>
                <w:sz w:val="18"/>
                <w:lang w:eastAsia="zh-CN"/>
              </w:rPr>
              <w:t>≥</w:t>
            </w:r>
            <w:r>
              <w:rPr>
                <w:rFonts w:hint="eastAsia" w:ascii="仿宋" w:hAnsi="仿宋" w:eastAsia="仿宋"/>
                <w:bCs/>
                <w:sz w:val="18"/>
                <w:lang w:eastAsia="zh-CN"/>
              </w:rPr>
              <w:t>290场，得2分；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290场&gt;安全生产检查</w:t>
            </w:r>
            <w:r>
              <w:rPr>
                <w:rFonts w:ascii="仿宋" w:hAnsi="仿宋" w:eastAsia="仿宋"/>
                <w:bCs/>
                <w:sz w:val="18"/>
                <w:lang w:eastAsia="zh-CN"/>
              </w:rPr>
              <w:t>≥</w:t>
            </w:r>
            <w:r>
              <w:rPr>
                <w:rFonts w:hint="eastAsia" w:ascii="仿宋" w:hAnsi="仿宋" w:eastAsia="仿宋"/>
                <w:bCs/>
                <w:sz w:val="18"/>
                <w:lang w:eastAsia="zh-CN"/>
              </w:rPr>
              <w:t>280场，得1分；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280场&gt;安全生产检查，得0分。</w:t>
            </w:r>
          </w:p>
        </w:tc>
        <w:tc>
          <w:tcPr>
            <w:tcW w:w="259" w:type="pct"/>
            <w:vAlign w:val="center"/>
          </w:tcPr>
          <w:p w14:paraId="31D6AEF7">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14030F00">
            <w:pPr>
              <w:spacing w:line="408" w:lineRule="auto"/>
              <w:jc w:val="right"/>
              <w:rPr>
                <w:rFonts w:hint="eastAsia" w:ascii="仿宋" w:hAnsi="仿宋" w:eastAsia="仿宋"/>
                <w:bCs/>
                <w:sz w:val="18"/>
              </w:rPr>
            </w:pPr>
            <w:r>
              <w:rPr>
                <w:rFonts w:hint="eastAsia" w:ascii="仿宋" w:hAnsi="仿宋" w:eastAsia="仿宋"/>
                <w:bCs/>
                <w:sz w:val="18"/>
              </w:rPr>
              <w:t>3</w:t>
            </w:r>
          </w:p>
        </w:tc>
      </w:tr>
      <w:tr w14:paraId="0B0A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7ED8792C">
            <w:pPr>
              <w:spacing w:line="408" w:lineRule="auto"/>
              <w:rPr>
                <w:rFonts w:hint="eastAsia" w:ascii="仿宋" w:hAnsi="仿宋" w:eastAsia="仿宋"/>
                <w:bCs/>
                <w:sz w:val="18"/>
              </w:rPr>
            </w:pPr>
          </w:p>
        </w:tc>
        <w:tc>
          <w:tcPr>
            <w:tcW w:w="612" w:type="pct"/>
            <w:vMerge w:val="continue"/>
            <w:vAlign w:val="center"/>
          </w:tcPr>
          <w:p w14:paraId="51AD9115">
            <w:pPr>
              <w:spacing w:line="408" w:lineRule="auto"/>
              <w:rPr>
                <w:rFonts w:hint="eastAsia" w:ascii="仿宋" w:hAnsi="仿宋" w:eastAsia="仿宋"/>
                <w:bCs/>
                <w:sz w:val="18"/>
              </w:rPr>
            </w:pPr>
          </w:p>
        </w:tc>
        <w:tc>
          <w:tcPr>
            <w:tcW w:w="789" w:type="pct"/>
            <w:vAlign w:val="center"/>
          </w:tcPr>
          <w:p w14:paraId="0AA3B577">
            <w:pPr>
              <w:spacing w:line="408" w:lineRule="auto"/>
              <w:rPr>
                <w:rFonts w:hint="eastAsia" w:ascii="仿宋" w:hAnsi="仿宋" w:eastAsia="仿宋"/>
                <w:bCs/>
                <w:sz w:val="18"/>
                <w:lang w:eastAsia="zh-CN"/>
              </w:rPr>
            </w:pPr>
            <w:r>
              <w:rPr>
                <w:rFonts w:hint="eastAsia" w:ascii="仿宋" w:hAnsi="仿宋" w:eastAsia="仿宋"/>
                <w:bCs/>
                <w:sz w:val="18"/>
                <w:lang w:eastAsia="zh-CN"/>
              </w:rPr>
              <w:t>开展应急演练活动次数（3分）</w:t>
            </w:r>
          </w:p>
        </w:tc>
        <w:tc>
          <w:tcPr>
            <w:tcW w:w="1072" w:type="pct"/>
            <w:vAlign w:val="center"/>
          </w:tcPr>
          <w:p w14:paraId="457539BF">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主要评价部门（单位）对所管辖范围内开展安全应急演练活动的次数。</w:t>
            </w:r>
          </w:p>
        </w:tc>
        <w:tc>
          <w:tcPr>
            <w:tcW w:w="1488" w:type="pct"/>
            <w:vAlign w:val="center"/>
          </w:tcPr>
          <w:p w14:paraId="3D3531F9">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应急演练活动</w:t>
            </w:r>
            <w:r>
              <w:rPr>
                <w:rFonts w:ascii="仿宋" w:hAnsi="仿宋" w:eastAsia="仿宋"/>
                <w:bCs/>
                <w:sz w:val="18"/>
                <w:lang w:eastAsia="zh-CN"/>
              </w:rPr>
              <w:t>≥</w:t>
            </w:r>
            <w:r>
              <w:rPr>
                <w:rFonts w:hint="eastAsia" w:ascii="仿宋" w:hAnsi="仿宋" w:eastAsia="仿宋"/>
                <w:bCs/>
                <w:sz w:val="18"/>
                <w:lang w:eastAsia="zh-CN"/>
              </w:rPr>
              <w:t>20场，得3分；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20场&gt;应急演练活动</w:t>
            </w:r>
            <w:r>
              <w:rPr>
                <w:rFonts w:ascii="仿宋" w:hAnsi="仿宋" w:eastAsia="仿宋"/>
                <w:bCs/>
                <w:sz w:val="18"/>
                <w:lang w:eastAsia="zh-CN"/>
              </w:rPr>
              <w:t>≥</w:t>
            </w:r>
            <w:r>
              <w:rPr>
                <w:rFonts w:hint="eastAsia" w:ascii="仿宋" w:hAnsi="仿宋" w:eastAsia="仿宋"/>
                <w:bCs/>
                <w:sz w:val="18"/>
                <w:lang w:eastAsia="zh-CN"/>
              </w:rPr>
              <w:t>18场，得2分；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18场&gt;应急演练活动</w:t>
            </w:r>
            <w:r>
              <w:rPr>
                <w:rFonts w:ascii="仿宋" w:hAnsi="仿宋" w:eastAsia="仿宋"/>
                <w:bCs/>
                <w:sz w:val="18"/>
                <w:lang w:eastAsia="zh-CN"/>
              </w:rPr>
              <w:t>≥</w:t>
            </w:r>
            <w:r>
              <w:rPr>
                <w:rFonts w:hint="eastAsia" w:ascii="仿宋" w:hAnsi="仿宋" w:eastAsia="仿宋"/>
                <w:bCs/>
                <w:sz w:val="18"/>
                <w:lang w:eastAsia="zh-CN"/>
              </w:rPr>
              <w:t>16场，得1分；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16场&gt;应急演练活动，得0分。</w:t>
            </w:r>
          </w:p>
        </w:tc>
        <w:tc>
          <w:tcPr>
            <w:tcW w:w="259" w:type="pct"/>
            <w:vAlign w:val="center"/>
          </w:tcPr>
          <w:p w14:paraId="3CCAF247">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50BD58F2">
            <w:pPr>
              <w:spacing w:line="408" w:lineRule="auto"/>
              <w:jc w:val="right"/>
              <w:rPr>
                <w:rFonts w:hint="eastAsia" w:ascii="仿宋" w:hAnsi="仿宋" w:eastAsia="仿宋"/>
                <w:bCs/>
                <w:sz w:val="18"/>
              </w:rPr>
            </w:pPr>
            <w:r>
              <w:rPr>
                <w:rFonts w:hint="eastAsia" w:ascii="仿宋" w:hAnsi="仿宋" w:eastAsia="仿宋"/>
                <w:bCs/>
                <w:sz w:val="18"/>
              </w:rPr>
              <w:t>3</w:t>
            </w:r>
          </w:p>
        </w:tc>
      </w:tr>
      <w:tr w14:paraId="5B4F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1E027280">
            <w:pPr>
              <w:spacing w:line="408" w:lineRule="auto"/>
              <w:rPr>
                <w:rFonts w:hint="eastAsia" w:ascii="仿宋" w:hAnsi="仿宋" w:eastAsia="仿宋"/>
                <w:bCs/>
                <w:sz w:val="18"/>
              </w:rPr>
            </w:pPr>
          </w:p>
        </w:tc>
        <w:tc>
          <w:tcPr>
            <w:tcW w:w="612" w:type="pct"/>
            <w:vMerge w:val="continue"/>
            <w:vAlign w:val="center"/>
          </w:tcPr>
          <w:p w14:paraId="5EEF6A05">
            <w:pPr>
              <w:spacing w:line="408" w:lineRule="auto"/>
              <w:rPr>
                <w:rFonts w:hint="eastAsia" w:ascii="仿宋" w:hAnsi="仿宋" w:eastAsia="仿宋"/>
                <w:bCs/>
                <w:sz w:val="18"/>
              </w:rPr>
            </w:pPr>
          </w:p>
        </w:tc>
        <w:tc>
          <w:tcPr>
            <w:tcW w:w="789" w:type="pct"/>
            <w:vAlign w:val="center"/>
          </w:tcPr>
          <w:p w14:paraId="21C333A2">
            <w:pPr>
              <w:spacing w:line="408" w:lineRule="auto"/>
              <w:rPr>
                <w:rFonts w:hint="eastAsia" w:ascii="仿宋" w:hAnsi="仿宋" w:eastAsia="仿宋"/>
                <w:bCs/>
                <w:sz w:val="18"/>
                <w:lang w:eastAsia="zh-CN"/>
              </w:rPr>
            </w:pPr>
            <w:r>
              <w:rPr>
                <w:rFonts w:hint="eastAsia" w:ascii="仿宋" w:hAnsi="仿宋" w:eastAsia="仿宋"/>
                <w:bCs/>
                <w:sz w:val="18"/>
                <w:lang w:eastAsia="zh-CN"/>
              </w:rPr>
              <w:t>节水城市创建情况（2分）</w:t>
            </w:r>
          </w:p>
        </w:tc>
        <w:tc>
          <w:tcPr>
            <w:tcW w:w="1072" w:type="pct"/>
            <w:vAlign w:val="center"/>
          </w:tcPr>
          <w:p w14:paraId="58A0A451">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主要评价部门（单位）是否推动节水城市创建。</w:t>
            </w:r>
          </w:p>
        </w:tc>
        <w:tc>
          <w:tcPr>
            <w:tcW w:w="1488" w:type="pct"/>
            <w:vAlign w:val="center"/>
          </w:tcPr>
          <w:p w14:paraId="25CCA8CB">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推动力度较大，得2分；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推动力度一般，得1分；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没推动，得0分；</w:t>
            </w:r>
          </w:p>
        </w:tc>
        <w:tc>
          <w:tcPr>
            <w:tcW w:w="259" w:type="pct"/>
            <w:vAlign w:val="center"/>
          </w:tcPr>
          <w:p w14:paraId="377446C4">
            <w:pPr>
              <w:spacing w:line="408" w:lineRule="auto"/>
              <w:jc w:val="right"/>
              <w:rPr>
                <w:rFonts w:hint="eastAsia" w:ascii="仿宋" w:hAnsi="仿宋" w:eastAsia="仿宋"/>
                <w:bCs/>
                <w:sz w:val="18"/>
              </w:rPr>
            </w:pPr>
            <w:r>
              <w:rPr>
                <w:rFonts w:hint="eastAsia" w:ascii="仿宋" w:hAnsi="仿宋" w:eastAsia="仿宋"/>
                <w:bCs/>
                <w:sz w:val="18"/>
              </w:rPr>
              <w:t>2</w:t>
            </w:r>
          </w:p>
        </w:tc>
        <w:tc>
          <w:tcPr>
            <w:tcW w:w="308" w:type="pct"/>
            <w:vAlign w:val="center"/>
          </w:tcPr>
          <w:p w14:paraId="02CBB0F0">
            <w:pPr>
              <w:spacing w:line="408" w:lineRule="auto"/>
              <w:jc w:val="right"/>
              <w:rPr>
                <w:rFonts w:hint="eastAsia" w:ascii="仿宋" w:hAnsi="仿宋" w:eastAsia="仿宋"/>
                <w:bCs/>
                <w:sz w:val="18"/>
              </w:rPr>
            </w:pPr>
            <w:r>
              <w:rPr>
                <w:rFonts w:hint="eastAsia" w:ascii="仿宋" w:hAnsi="仿宋" w:eastAsia="仿宋"/>
                <w:bCs/>
                <w:sz w:val="18"/>
              </w:rPr>
              <w:t>2</w:t>
            </w:r>
          </w:p>
        </w:tc>
      </w:tr>
      <w:tr w14:paraId="76AE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16916D15">
            <w:pPr>
              <w:spacing w:line="408" w:lineRule="auto"/>
              <w:rPr>
                <w:rFonts w:hint="eastAsia" w:ascii="仿宋" w:hAnsi="仿宋" w:eastAsia="仿宋"/>
                <w:bCs/>
                <w:sz w:val="18"/>
              </w:rPr>
            </w:pPr>
          </w:p>
        </w:tc>
        <w:tc>
          <w:tcPr>
            <w:tcW w:w="612" w:type="pct"/>
            <w:vMerge w:val="continue"/>
            <w:vAlign w:val="center"/>
          </w:tcPr>
          <w:p w14:paraId="64128895">
            <w:pPr>
              <w:spacing w:line="408" w:lineRule="auto"/>
              <w:rPr>
                <w:rFonts w:hint="eastAsia" w:ascii="仿宋" w:hAnsi="仿宋" w:eastAsia="仿宋"/>
                <w:bCs/>
                <w:sz w:val="18"/>
              </w:rPr>
            </w:pPr>
          </w:p>
        </w:tc>
        <w:tc>
          <w:tcPr>
            <w:tcW w:w="789" w:type="pct"/>
            <w:vAlign w:val="center"/>
          </w:tcPr>
          <w:p w14:paraId="360EA0AF">
            <w:pPr>
              <w:spacing w:line="408" w:lineRule="auto"/>
              <w:rPr>
                <w:rFonts w:hint="eastAsia" w:ascii="仿宋" w:hAnsi="仿宋" w:eastAsia="仿宋"/>
                <w:bCs/>
                <w:sz w:val="18"/>
                <w:lang w:eastAsia="zh-CN"/>
              </w:rPr>
            </w:pPr>
            <w:r>
              <w:rPr>
                <w:rFonts w:hint="eastAsia" w:ascii="仿宋" w:hAnsi="仿宋" w:eastAsia="仿宋"/>
                <w:bCs/>
                <w:sz w:val="18"/>
                <w:lang w:eastAsia="zh-CN"/>
              </w:rPr>
              <w:t>中心区生活污水收集情况（3分）</w:t>
            </w:r>
          </w:p>
        </w:tc>
        <w:tc>
          <w:tcPr>
            <w:tcW w:w="1072" w:type="pct"/>
            <w:vAlign w:val="center"/>
          </w:tcPr>
          <w:p w14:paraId="6A372A45">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主要评价部门（单位）对中心区生活污水收集率情况，相比去年是否有所提高。</w:t>
            </w:r>
          </w:p>
        </w:tc>
        <w:tc>
          <w:tcPr>
            <w:tcW w:w="1488" w:type="pct"/>
            <w:vAlign w:val="center"/>
          </w:tcPr>
          <w:p w14:paraId="615D8AF5">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污水收集率</w:t>
            </w:r>
            <w:r>
              <w:rPr>
                <w:rFonts w:ascii="仿宋" w:hAnsi="仿宋" w:eastAsia="仿宋"/>
                <w:bCs/>
                <w:sz w:val="18"/>
                <w:lang w:eastAsia="zh-CN"/>
              </w:rPr>
              <w:t>≥</w:t>
            </w:r>
            <w:r>
              <w:rPr>
                <w:rFonts w:hint="eastAsia" w:ascii="仿宋" w:hAnsi="仿宋" w:eastAsia="仿宋"/>
                <w:bCs/>
                <w:sz w:val="18"/>
                <w:lang w:eastAsia="zh-CN"/>
              </w:rPr>
              <w:t>70%，得3分；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70%&gt;污水收集率</w:t>
            </w:r>
            <w:r>
              <w:rPr>
                <w:rFonts w:ascii="仿宋" w:hAnsi="仿宋" w:eastAsia="仿宋"/>
                <w:bCs/>
                <w:sz w:val="18"/>
                <w:lang w:eastAsia="zh-CN"/>
              </w:rPr>
              <w:t>≥</w:t>
            </w:r>
            <w:r>
              <w:rPr>
                <w:rFonts w:hint="eastAsia" w:ascii="仿宋" w:hAnsi="仿宋" w:eastAsia="仿宋"/>
                <w:bCs/>
                <w:sz w:val="18"/>
                <w:lang w:eastAsia="zh-CN"/>
              </w:rPr>
              <w:t>65%，得2分；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65%&gt;污水收集率</w:t>
            </w:r>
            <w:r>
              <w:rPr>
                <w:rFonts w:ascii="仿宋" w:hAnsi="仿宋" w:eastAsia="仿宋"/>
                <w:bCs/>
                <w:sz w:val="18"/>
                <w:lang w:eastAsia="zh-CN"/>
              </w:rPr>
              <w:t>≥</w:t>
            </w:r>
            <w:r>
              <w:rPr>
                <w:rFonts w:hint="eastAsia" w:ascii="仿宋" w:hAnsi="仿宋" w:eastAsia="仿宋"/>
                <w:bCs/>
                <w:sz w:val="18"/>
                <w:lang w:eastAsia="zh-CN"/>
              </w:rPr>
              <w:t>60%，得1分；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60&gt;污水收集率，得0分。</w:t>
            </w:r>
          </w:p>
        </w:tc>
        <w:tc>
          <w:tcPr>
            <w:tcW w:w="259" w:type="pct"/>
            <w:vAlign w:val="center"/>
          </w:tcPr>
          <w:p w14:paraId="5CA8B670">
            <w:pPr>
              <w:spacing w:line="408" w:lineRule="auto"/>
              <w:jc w:val="right"/>
              <w:rPr>
                <w:rFonts w:hint="eastAsia" w:ascii="仿宋" w:hAnsi="仿宋" w:eastAsia="仿宋"/>
                <w:bCs/>
                <w:sz w:val="18"/>
              </w:rPr>
            </w:pPr>
            <w:r>
              <w:rPr>
                <w:rFonts w:hint="eastAsia" w:ascii="仿宋" w:hAnsi="仿宋" w:eastAsia="仿宋"/>
                <w:bCs/>
                <w:sz w:val="18"/>
              </w:rPr>
              <w:t>3</w:t>
            </w:r>
          </w:p>
        </w:tc>
        <w:tc>
          <w:tcPr>
            <w:tcW w:w="308" w:type="pct"/>
            <w:vAlign w:val="center"/>
          </w:tcPr>
          <w:p w14:paraId="4F6BD3EF">
            <w:pPr>
              <w:spacing w:line="408" w:lineRule="auto"/>
              <w:jc w:val="right"/>
              <w:rPr>
                <w:rFonts w:hint="eastAsia" w:ascii="仿宋" w:hAnsi="仿宋" w:eastAsia="仿宋"/>
                <w:bCs/>
                <w:sz w:val="18"/>
              </w:rPr>
            </w:pPr>
            <w:r>
              <w:rPr>
                <w:rFonts w:hint="eastAsia" w:ascii="仿宋" w:hAnsi="仿宋" w:eastAsia="仿宋"/>
                <w:bCs/>
                <w:sz w:val="18"/>
              </w:rPr>
              <w:t>3</w:t>
            </w:r>
          </w:p>
        </w:tc>
      </w:tr>
      <w:tr w14:paraId="3D2B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1788838E">
            <w:pPr>
              <w:spacing w:line="408" w:lineRule="auto"/>
              <w:rPr>
                <w:rFonts w:hint="eastAsia" w:ascii="仿宋" w:hAnsi="仿宋" w:eastAsia="仿宋"/>
                <w:bCs/>
                <w:sz w:val="18"/>
              </w:rPr>
            </w:pPr>
          </w:p>
        </w:tc>
        <w:tc>
          <w:tcPr>
            <w:tcW w:w="612" w:type="pct"/>
            <w:vMerge w:val="restart"/>
            <w:vAlign w:val="center"/>
          </w:tcPr>
          <w:p w14:paraId="6B2B9AC0">
            <w:pPr>
              <w:spacing w:line="408" w:lineRule="auto"/>
              <w:rPr>
                <w:rFonts w:hint="eastAsia" w:ascii="仿宋" w:hAnsi="仿宋" w:eastAsia="仿宋"/>
                <w:bCs/>
                <w:sz w:val="18"/>
              </w:rPr>
            </w:pPr>
            <w:r>
              <w:rPr>
                <w:rFonts w:hint="eastAsia" w:ascii="仿宋" w:hAnsi="仿宋" w:eastAsia="仿宋"/>
                <w:bCs/>
                <w:sz w:val="18"/>
              </w:rPr>
              <w:t>生态效益（12分）</w:t>
            </w:r>
          </w:p>
        </w:tc>
        <w:tc>
          <w:tcPr>
            <w:tcW w:w="789" w:type="pct"/>
            <w:vAlign w:val="center"/>
          </w:tcPr>
          <w:p w14:paraId="02DCB27D">
            <w:pPr>
              <w:spacing w:line="408" w:lineRule="auto"/>
              <w:rPr>
                <w:rFonts w:hint="eastAsia" w:ascii="仿宋" w:hAnsi="仿宋" w:eastAsia="仿宋"/>
                <w:bCs/>
                <w:sz w:val="18"/>
                <w:lang w:eastAsia="zh-CN"/>
              </w:rPr>
            </w:pPr>
            <w:r>
              <w:rPr>
                <w:rFonts w:hint="eastAsia" w:ascii="仿宋" w:hAnsi="仿宋" w:eastAsia="仿宋"/>
                <w:bCs/>
                <w:sz w:val="18"/>
                <w:lang w:eastAsia="zh-CN"/>
              </w:rPr>
              <w:t>促进当地水资源节约情况（4分）</w:t>
            </w:r>
          </w:p>
        </w:tc>
        <w:tc>
          <w:tcPr>
            <w:tcW w:w="1072" w:type="pct"/>
            <w:vAlign w:val="center"/>
          </w:tcPr>
          <w:p w14:paraId="67B806E7">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主要评价部门（单位）是否促进了当地水资源的节约利用。</w:t>
            </w:r>
          </w:p>
        </w:tc>
        <w:tc>
          <w:tcPr>
            <w:tcW w:w="1488" w:type="pct"/>
            <w:vAlign w:val="center"/>
          </w:tcPr>
          <w:p w14:paraId="19EDAD2E">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有大幅度促进，得4分；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有较大促进，得3分；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有一定程度促进，得2分；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小幅度促进，得1分；</w:t>
            </w:r>
            <w:r>
              <w:rPr>
                <w:rFonts w:hint="eastAsia" w:ascii="仿宋" w:hAnsi="仿宋" w:eastAsia="仿宋"/>
                <w:bCs/>
                <w:sz w:val="18"/>
                <w:lang w:eastAsia="zh-CN"/>
              </w:rPr>
              <w:br w:type="textWrapping"/>
            </w:r>
            <w:r>
              <w:rPr>
                <w:rFonts w:ascii="仿宋" w:hAnsi="仿宋" w:eastAsia="仿宋"/>
                <w:bCs/>
                <w:sz w:val="18"/>
                <w:lang w:eastAsia="zh-CN"/>
              </w:rPr>
              <w:t>⑤</w:t>
            </w:r>
            <w:r>
              <w:rPr>
                <w:rFonts w:hint="eastAsia" w:ascii="仿宋" w:hAnsi="仿宋" w:eastAsia="仿宋"/>
                <w:bCs/>
                <w:sz w:val="18"/>
                <w:lang w:eastAsia="zh-CN"/>
              </w:rPr>
              <w:t>没促进，得0分。</w:t>
            </w:r>
          </w:p>
        </w:tc>
        <w:tc>
          <w:tcPr>
            <w:tcW w:w="259" w:type="pct"/>
            <w:vAlign w:val="center"/>
          </w:tcPr>
          <w:p w14:paraId="4E197F59">
            <w:pPr>
              <w:spacing w:line="408" w:lineRule="auto"/>
              <w:jc w:val="right"/>
              <w:rPr>
                <w:rFonts w:hint="eastAsia" w:ascii="仿宋" w:hAnsi="仿宋" w:eastAsia="仿宋"/>
                <w:bCs/>
                <w:sz w:val="18"/>
              </w:rPr>
            </w:pPr>
            <w:r>
              <w:rPr>
                <w:rFonts w:hint="eastAsia" w:ascii="仿宋" w:hAnsi="仿宋" w:eastAsia="仿宋"/>
                <w:bCs/>
                <w:sz w:val="18"/>
              </w:rPr>
              <w:t>4</w:t>
            </w:r>
          </w:p>
        </w:tc>
        <w:tc>
          <w:tcPr>
            <w:tcW w:w="308" w:type="pct"/>
            <w:vAlign w:val="center"/>
          </w:tcPr>
          <w:p w14:paraId="433757AB">
            <w:pPr>
              <w:spacing w:line="408" w:lineRule="auto"/>
              <w:jc w:val="right"/>
              <w:rPr>
                <w:rFonts w:hint="eastAsia" w:ascii="仿宋" w:hAnsi="仿宋" w:eastAsia="仿宋"/>
                <w:bCs/>
                <w:sz w:val="18"/>
              </w:rPr>
            </w:pPr>
            <w:r>
              <w:rPr>
                <w:rFonts w:hint="eastAsia" w:ascii="仿宋" w:hAnsi="仿宋" w:eastAsia="仿宋"/>
                <w:bCs/>
                <w:sz w:val="18"/>
              </w:rPr>
              <w:t>4</w:t>
            </w:r>
          </w:p>
        </w:tc>
      </w:tr>
      <w:tr w14:paraId="07849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370127DD">
            <w:pPr>
              <w:spacing w:line="408" w:lineRule="auto"/>
              <w:rPr>
                <w:rFonts w:hint="eastAsia" w:ascii="仿宋" w:hAnsi="仿宋" w:eastAsia="仿宋"/>
                <w:bCs/>
                <w:sz w:val="18"/>
              </w:rPr>
            </w:pPr>
          </w:p>
        </w:tc>
        <w:tc>
          <w:tcPr>
            <w:tcW w:w="612" w:type="pct"/>
            <w:vMerge w:val="continue"/>
            <w:vAlign w:val="center"/>
          </w:tcPr>
          <w:p w14:paraId="426307A0">
            <w:pPr>
              <w:spacing w:line="408" w:lineRule="auto"/>
              <w:rPr>
                <w:rFonts w:hint="eastAsia" w:ascii="仿宋" w:hAnsi="仿宋" w:eastAsia="仿宋"/>
                <w:bCs/>
                <w:sz w:val="18"/>
              </w:rPr>
            </w:pPr>
          </w:p>
        </w:tc>
        <w:tc>
          <w:tcPr>
            <w:tcW w:w="789" w:type="pct"/>
            <w:vAlign w:val="center"/>
          </w:tcPr>
          <w:p w14:paraId="6C2863C2">
            <w:pPr>
              <w:spacing w:line="408" w:lineRule="auto"/>
              <w:rPr>
                <w:rFonts w:hint="eastAsia" w:ascii="仿宋" w:hAnsi="仿宋" w:eastAsia="仿宋"/>
                <w:bCs/>
                <w:sz w:val="18"/>
                <w:lang w:eastAsia="zh-CN"/>
              </w:rPr>
            </w:pPr>
            <w:r>
              <w:rPr>
                <w:rFonts w:hint="eastAsia" w:ascii="仿宋" w:hAnsi="仿宋" w:eastAsia="仿宋"/>
                <w:bCs/>
                <w:sz w:val="18"/>
                <w:lang w:eastAsia="zh-CN"/>
              </w:rPr>
              <w:t>促进当地环境卫生情况（4分）</w:t>
            </w:r>
          </w:p>
        </w:tc>
        <w:tc>
          <w:tcPr>
            <w:tcW w:w="1072" w:type="pct"/>
            <w:vAlign w:val="center"/>
          </w:tcPr>
          <w:p w14:paraId="6487F320">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主要评价部门（单位）是否促进了当地环境卫生情况。</w:t>
            </w:r>
          </w:p>
        </w:tc>
        <w:tc>
          <w:tcPr>
            <w:tcW w:w="1488" w:type="pct"/>
            <w:vAlign w:val="center"/>
          </w:tcPr>
          <w:p w14:paraId="4E86F0F6">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有大幅度促进，得4分；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有较大促进，得3分；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有一定程度促进，得2分；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小幅度促进，得1分；</w:t>
            </w:r>
            <w:r>
              <w:rPr>
                <w:rFonts w:hint="eastAsia" w:ascii="仿宋" w:hAnsi="仿宋" w:eastAsia="仿宋"/>
                <w:bCs/>
                <w:sz w:val="18"/>
                <w:lang w:eastAsia="zh-CN"/>
              </w:rPr>
              <w:br w:type="textWrapping"/>
            </w:r>
            <w:r>
              <w:rPr>
                <w:rFonts w:ascii="仿宋" w:hAnsi="仿宋" w:eastAsia="仿宋"/>
                <w:bCs/>
                <w:sz w:val="18"/>
                <w:lang w:eastAsia="zh-CN"/>
              </w:rPr>
              <w:t>⑤</w:t>
            </w:r>
            <w:r>
              <w:rPr>
                <w:rFonts w:hint="eastAsia" w:ascii="仿宋" w:hAnsi="仿宋" w:eastAsia="仿宋"/>
                <w:bCs/>
                <w:sz w:val="18"/>
                <w:lang w:eastAsia="zh-CN"/>
              </w:rPr>
              <w:t>没促进，得0分。</w:t>
            </w:r>
          </w:p>
        </w:tc>
        <w:tc>
          <w:tcPr>
            <w:tcW w:w="259" w:type="pct"/>
            <w:vAlign w:val="center"/>
          </w:tcPr>
          <w:p w14:paraId="29D6DB25">
            <w:pPr>
              <w:spacing w:line="408" w:lineRule="auto"/>
              <w:jc w:val="right"/>
              <w:rPr>
                <w:rFonts w:hint="eastAsia" w:ascii="仿宋" w:hAnsi="仿宋" w:eastAsia="仿宋"/>
                <w:bCs/>
                <w:sz w:val="18"/>
              </w:rPr>
            </w:pPr>
            <w:r>
              <w:rPr>
                <w:rFonts w:hint="eastAsia" w:ascii="仿宋" w:hAnsi="仿宋" w:eastAsia="仿宋"/>
                <w:bCs/>
                <w:sz w:val="18"/>
              </w:rPr>
              <w:t>4</w:t>
            </w:r>
          </w:p>
        </w:tc>
        <w:tc>
          <w:tcPr>
            <w:tcW w:w="308" w:type="pct"/>
            <w:vAlign w:val="center"/>
          </w:tcPr>
          <w:p w14:paraId="32A1E2C0">
            <w:pPr>
              <w:spacing w:line="408" w:lineRule="auto"/>
              <w:jc w:val="right"/>
              <w:rPr>
                <w:rFonts w:hint="eastAsia" w:ascii="仿宋" w:hAnsi="仿宋" w:eastAsia="仿宋"/>
                <w:bCs/>
                <w:sz w:val="18"/>
              </w:rPr>
            </w:pPr>
            <w:r>
              <w:rPr>
                <w:rFonts w:hint="eastAsia" w:ascii="仿宋" w:hAnsi="仿宋" w:eastAsia="仿宋"/>
                <w:bCs/>
                <w:sz w:val="18"/>
              </w:rPr>
              <w:t>4</w:t>
            </w:r>
          </w:p>
        </w:tc>
      </w:tr>
      <w:tr w14:paraId="0672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05B1B6FE">
            <w:pPr>
              <w:spacing w:line="408" w:lineRule="auto"/>
              <w:rPr>
                <w:rFonts w:hint="eastAsia" w:ascii="仿宋" w:hAnsi="仿宋" w:eastAsia="仿宋"/>
                <w:bCs/>
                <w:sz w:val="18"/>
              </w:rPr>
            </w:pPr>
          </w:p>
        </w:tc>
        <w:tc>
          <w:tcPr>
            <w:tcW w:w="612" w:type="pct"/>
            <w:vMerge w:val="continue"/>
            <w:vAlign w:val="center"/>
          </w:tcPr>
          <w:p w14:paraId="0DC5F190">
            <w:pPr>
              <w:spacing w:line="408" w:lineRule="auto"/>
              <w:rPr>
                <w:rFonts w:hint="eastAsia" w:ascii="仿宋" w:hAnsi="仿宋" w:eastAsia="仿宋"/>
                <w:bCs/>
                <w:sz w:val="18"/>
              </w:rPr>
            </w:pPr>
          </w:p>
        </w:tc>
        <w:tc>
          <w:tcPr>
            <w:tcW w:w="789" w:type="pct"/>
            <w:vAlign w:val="center"/>
          </w:tcPr>
          <w:p w14:paraId="7DD0D921">
            <w:pPr>
              <w:spacing w:line="408" w:lineRule="auto"/>
              <w:rPr>
                <w:rFonts w:hint="eastAsia" w:ascii="仿宋" w:hAnsi="仿宋" w:eastAsia="仿宋"/>
                <w:bCs/>
                <w:sz w:val="18"/>
                <w:lang w:eastAsia="zh-CN"/>
              </w:rPr>
            </w:pPr>
            <w:r>
              <w:rPr>
                <w:rFonts w:hint="eastAsia" w:ascii="仿宋" w:hAnsi="仿宋" w:eastAsia="仿宋"/>
                <w:bCs/>
                <w:sz w:val="18"/>
                <w:lang w:eastAsia="zh-CN"/>
              </w:rPr>
              <w:t>促进当地绿化情况（4分）</w:t>
            </w:r>
          </w:p>
        </w:tc>
        <w:tc>
          <w:tcPr>
            <w:tcW w:w="1072" w:type="pct"/>
            <w:vAlign w:val="center"/>
          </w:tcPr>
          <w:p w14:paraId="5026D38E">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主要评价部门（单位）是否促进了当地园林绿化情况。</w:t>
            </w:r>
          </w:p>
        </w:tc>
        <w:tc>
          <w:tcPr>
            <w:tcW w:w="1488" w:type="pct"/>
            <w:vAlign w:val="center"/>
          </w:tcPr>
          <w:p w14:paraId="7C8EBF21">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有大幅度促进，得4分；</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有较大促进，得3分；</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有一定程度促进，得2分；</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小幅度促进，得1分；</w:t>
            </w:r>
            <w:r>
              <w:rPr>
                <w:rFonts w:hint="eastAsia" w:ascii="仿宋" w:hAnsi="仿宋" w:eastAsia="仿宋"/>
                <w:bCs/>
                <w:sz w:val="18"/>
                <w:lang w:eastAsia="zh-CN"/>
              </w:rPr>
              <w:br w:type="textWrapping"/>
            </w:r>
            <w:r>
              <w:rPr>
                <w:rFonts w:ascii="仿宋" w:hAnsi="仿宋" w:eastAsia="仿宋"/>
                <w:bCs/>
                <w:sz w:val="18"/>
                <w:lang w:eastAsia="zh-CN"/>
              </w:rPr>
              <w:t>⑤</w:t>
            </w:r>
            <w:r>
              <w:rPr>
                <w:rFonts w:hint="eastAsia" w:ascii="仿宋" w:hAnsi="仿宋" w:eastAsia="仿宋"/>
                <w:bCs/>
                <w:sz w:val="18"/>
                <w:lang w:eastAsia="zh-CN"/>
              </w:rPr>
              <w:t>没促进，得0分。</w:t>
            </w:r>
          </w:p>
        </w:tc>
        <w:tc>
          <w:tcPr>
            <w:tcW w:w="259" w:type="pct"/>
            <w:vAlign w:val="center"/>
          </w:tcPr>
          <w:p w14:paraId="0B475F4F">
            <w:pPr>
              <w:spacing w:line="408" w:lineRule="auto"/>
              <w:jc w:val="right"/>
              <w:rPr>
                <w:rFonts w:hint="eastAsia" w:ascii="仿宋" w:hAnsi="仿宋" w:eastAsia="仿宋"/>
                <w:bCs/>
                <w:sz w:val="18"/>
              </w:rPr>
            </w:pPr>
            <w:r>
              <w:rPr>
                <w:rFonts w:hint="eastAsia" w:ascii="仿宋" w:hAnsi="仿宋" w:eastAsia="仿宋"/>
                <w:bCs/>
                <w:sz w:val="18"/>
              </w:rPr>
              <w:t>4</w:t>
            </w:r>
          </w:p>
        </w:tc>
        <w:tc>
          <w:tcPr>
            <w:tcW w:w="308" w:type="pct"/>
            <w:vAlign w:val="center"/>
          </w:tcPr>
          <w:p w14:paraId="4C20192A">
            <w:pPr>
              <w:spacing w:line="408" w:lineRule="auto"/>
              <w:jc w:val="right"/>
              <w:rPr>
                <w:rFonts w:hint="eastAsia" w:ascii="仿宋" w:hAnsi="仿宋" w:eastAsia="仿宋"/>
                <w:bCs/>
                <w:sz w:val="18"/>
              </w:rPr>
            </w:pPr>
            <w:r>
              <w:rPr>
                <w:rFonts w:hint="eastAsia" w:ascii="仿宋" w:hAnsi="仿宋" w:eastAsia="仿宋"/>
                <w:bCs/>
                <w:sz w:val="18"/>
              </w:rPr>
              <w:t>4</w:t>
            </w:r>
          </w:p>
        </w:tc>
      </w:tr>
      <w:tr w14:paraId="4618C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72" w:type="pct"/>
            <w:vMerge w:val="continue"/>
            <w:vAlign w:val="center"/>
          </w:tcPr>
          <w:p w14:paraId="664E4CB6">
            <w:pPr>
              <w:spacing w:line="408" w:lineRule="auto"/>
              <w:rPr>
                <w:rFonts w:hint="eastAsia" w:ascii="仿宋" w:hAnsi="仿宋" w:eastAsia="仿宋"/>
                <w:bCs/>
                <w:sz w:val="18"/>
              </w:rPr>
            </w:pPr>
          </w:p>
        </w:tc>
        <w:tc>
          <w:tcPr>
            <w:tcW w:w="612" w:type="pct"/>
            <w:vAlign w:val="center"/>
          </w:tcPr>
          <w:p w14:paraId="64E1C5EB">
            <w:pPr>
              <w:spacing w:line="408" w:lineRule="auto"/>
              <w:rPr>
                <w:rFonts w:hint="eastAsia" w:ascii="仿宋" w:hAnsi="仿宋" w:eastAsia="仿宋"/>
                <w:bCs/>
                <w:sz w:val="18"/>
              </w:rPr>
            </w:pPr>
            <w:r>
              <w:rPr>
                <w:rFonts w:hint="eastAsia" w:ascii="仿宋" w:hAnsi="仿宋" w:eastAsia="仿宋"/>
                <w:bCs/>
                <w:sz w:val="18"/>
              </w:rPr>
              <w:t>满意度（4分）</w:t>
            </w:r>
          </w:p>
        </w:tc>
        <w:tc>
          <w:tcPr>
            <w:tcW w:w="789" w:type="pct"/>
            <w:vAlign w:val="center"/>
          </w:tcPr>
          <w:p w14:paraId="4472C67A">
            <w:pPr>
              <w:spacing w:line="408" w:lineRule="auto"/>
              <w:rPr>
                <w:rFonts w:hint="eastAsia" w:ascii="仿宋" w:hAnsi="仿宋" w:eastAsia="仿宋"/>
                <w:bCs/>
                <w:sz w:val="18"/>
                <w:lang w:eastAsia="zh-CN"/>
              </w:rPr>
            </w:pPr>
            <w:r>
              <w:rPr>
                <w:rFonts w:hint="eastAsia" w:ascii="仿宋" w:hAnsi="仿宋" w:eastAsia="仿宋"/>
                <w:bCs/>
                <w:sz w:val="18"/>
                <w:lang w:eastAsia="zh-CN"/>
              </w:rPr>
              <w:t>群众对城管局的满意度情况（4分）</w:t>
            </w:r>
          </w:p>
        </w:tc>
        <w:tc>
          <w:tcPr>
            <w:tcW w:w="1072" w:type="pct"/>
            <w:vAlign w:val="center"/>
          </w:tcPr>
          <w:p w14:paraId="023504B3">
            <w:pPr>
              <w:spacing w:line="408" w:lineRule="auto"/>
              <w:rPr>
                <w:rFonts w:hint="eastAsia" w:ascii="仿宋" w:hAnsi="仿宋" w:eastAsia="仿宋"/>
                <w:bCs/>
                <w:sz w:val="18"/>
                <w:lang w:eastAsia="zh-CN"/>
              </w:rPr>
            </w:pPr>
            <w:r>
              <w:rPr>
                <w:rFonts w:hint="eastAsia" w:ascii="仿宋" w:hAnsi="仿宋" w:eastAsia="仿宋"/>
                <w:bCs/>
                <w:sz w:val="18"/>
                <w:lang w:eastAsia="zh-CN"/>
              </w:rPr>
              <w:t>主要评价群众对于城管局的工作是否感到满意。</w:t>
            </w:r>
          </w:p>
        </w:tc>
        <w:tc>
          <w:tcPr>
            <w:tcW w:w="1488" w:type="pct"/>
            <w:vAlign w:val="center"/>
          </w:tcPr>
          <w:p w14:paraId="4701FA5A">
            <w:pPr>
              <w:spacing w:line="408" w:lineRule="auto"/>
              <w:rPr>
                <w:rFonts w:hint="eastAsia" w:ascii="仿宋" w:hAnsi="仿宋" w:eastAsia="仿宋"/>
                <w:bCs/>
                <w:sz w:val="18"/>
                <w:lang w:eastAsia="zh-CN"/>
              </w:rPr>
            </w:pPr>
            <w:r>
              <w:rPr>
                <w:rFonts w:hint="eastAsia" w:ascii="仿宋" w:hAnsi="仿宋" w:eastAsia="仿宋"/>
                <w:bCs/>
                <w:sz w:val="18"/>
                <w:lang w:eastAsia="zh-CN"/>
              </w:rPr>
              <w:t>评价要点：</w:t>
            </w:r>
            <w:r>
              <w:rPr>
                <w:rFonts w:hint="eastAsia" w:ascii="仿宋" w:hAnsi="仿宋" w:eastAsia="仿宋"/>
                <w:bCs/>
                <w:sz w:val="18"/>
                <w:lang w:eastAsia="zh-CN"/>
              </w:rPr>
              <w:br w:type="textWrapping"/>
            </w:r>
            <w:r>
              <w:rPr>
                <w:rFonts w:ascii="仿宋" w:hAnsi="仿宋" w:eastAsia="仿宋"/>
                <w:bCs/>
                <w:sz w:val="18"/>
                <w:lang w:eastAsia="zh-CN"/>
              </w:rPr>
              <w:t>①</w:t>
            </w:r>
            <w:r>
              <w:rPr>
                <w:rFonts w:hint="eastAsia" w:ascii="仿宋" w:hAnsi="仿宋" w:eastAsia="仿宋"/>
                <w:bCs/>
                <w:sz w:val="18"/>
                <w:lang w:eastAsia="zh-CN"/>
              </w:rPr>
              <w:t>非常满意；</w:t>
            </w:r>
            <w:r>
              <w:rPr>
                <w:rFonts w:hint="eastAsia" w:ascii="仿宋" w:hAnsi="仿宋" w:eastAsia="仿宋"/>
                <w:bCs/>
                <w:sz w:val="18"/>
                <w:lang w:eastAsia="zh-CN"/>
              </w:rPr>
              <w:br w:type="textWrapping"/>
            </w:r>
            <w:r>
              <w:rPr>
                <w:rFonts w:ascii="仿宋" w:hAnsi="仿宋" w:eastAsia="仿宋"/>
                <w:bCs/>
                <w:sz w:val="18"/>
                <w:lang w:eastAsia="zh-CN"/>
              </w:rPr>
              <w:t>②</w:t>
            </w:r>
            <w:r>
              <w:rPr>
                <w:rFonts w:hint="eastAsia" w:ascii="仿宋" w:hAnsi="仿宋" w:eastAsia="仿宋"/>
                <w:bCs/>
                <w:sz w:val="18"/>
                <w:lang w:eastAsia="zh-CN"/>
              </w:rPr>
              <w:t>基本满意；</w:t>
            </w:r>
            <w:r>
              <w:rPr>
                <w:rFonts w:hint="eastAsia" w:ascii="仿宋" w:hAnsi="仿宋" w:eastAsia="仿宋"/>
                <w:bCs/>
                <w:sz w:val="18"/>
                <w:lang w:eastAsia="zh-CN"/>
              </w:rPr>
              <w:br w:type="textWrapping"/>
            </w:r>
            <w:r>
              <w:rPr>
                <w:rFonts w:ascii="仿宋" w:hAnsi="仿宋" w:eastAsia="仿宋"/>
                <w:bCs/>
                <w:sz w:val="18"/>
                <w:lang w:eastAsia="zh-CN"/>
              </w:rPr>
              <w:t>③</w:t>
            </w:r>
            <w:r>
              <w:rPr>
                <w:rFonts w:hint="eastAsia" w:ascii="仿宋" w:hAnsi="仿宋" w:eastAsia="仿宋"/>
                <w:bCs/>
                <w:sz w:val="18"/>
                <w:lang w:eastAsia="zh-CN"/>
              </w:rPr>
              <w:t>有一定投诉；</w:t>
            </w:r>
            <w:r>
              <w:rPr>
                <w:rFonts w:hint="eastAsia" w:ascii="仿宋" w:hAnsi="仿宋" w:eastAsia="仿宋"/>
                <w:bCs/>
                <w:sz w:val="18"/>
                <w:lang w:eastAsia="zh-CN"/>
              </w:rPr>
              <w:br w:type="textWrapping"/>
            </w:r>
            <w:r>
              <w:rPr>
                <w:rFonts w:ascii="仿宋" w:hAnsi="仿宋" w:eastAsia="仿宋"/>
                <w:bCs/>
                <w:sz w:val="18"/>
                <w:lang w:eastAsia="zh-CN"/>
              </w:rPr>
              <w:t>④</w:t>
            </w:r>
            <w:r>
              <w:rPr>
                <w:rFonts w:hint="eastAsia" w:ascii="仿宋" w:hAnsi="仿宋" w:eastAsia="仿宋"/>
                <w:bCs/>
                <w:sz w:val="18"/>
                <w:lang w:eastAsia="zh-CN"/>
              </w:rPr>
              <w:t>不满意。</w:t>
            </w:r>
            <w:r>
              <w:rPr>
                <w:rFonts w:hint="eastAsia" w:ascii="仿宋" w:hAnsi="仿宋" w:eastAsia="仿宋"/>
                <w:bCs/>
                <w:sz w:val="18"/>
                <w:lang w:eastAsia="zh-CN"/>
              </w:rPr>
              <w:br w:type="textWrapping"/>
            </w:r>
            <w:r>
              <w:rPr>
                <w:rFonts w:hint="eastAsia" w:ascii="仿宋" w:hAnsi="仿宋" w:eastAsia="仿宋"/>
                <w:bCs/>
                <w:sz w:val="18"/>
                <w:lang w:eastAsia="zh-CN"/>
              </w:rPr>
              <w:t>非常满意4分，基本满意3分，有一定投诉2分，不满意1分。</w:t>
            </w:r>
          </w:p>
        </w:tc>
        <w:tc>
          <w:tcPr>
            <w:tcW w:w="259" w:type="pct"/>
            <w:vAlign w:val="center"/>
          </w:tcPr>
          <w:p w14:paraId="31EE38CC">
            <w:pPr>
              <w:spacing w:line="408" w:lineRule="auto"/>
              <w:jc w:val="right"/>
              <w:rPr>
                <w:rFonts w:hint="eastAsia" w:ascii="仿宋" w:hAnsi="仿宋" w:eastAsia="仿宋"/>
                <w:bCs/>
                <w:sz w:val="18"/>
              </w:rPr>
            </w:pPr>
            <w:r>
              <w:rPr>
                <w:rFonts w:hint="eastAsia" w:ascii="仿宋" w:hAnsi="仿宋" w:eastAsia="仿宋"/>
                <w:bCs/>
                <w:sz w:val="18"/>
              </w:rPr>
              <w:t>4</w:t>
            </w:r>
          </w:p>
        </w:tc>
        <w:tc>
          <w:tcPr>
            <w:tcW w:w="308" w:type="pct"/>
            <w:vAlign w:val="center"/>
          </w:tcPr>
          <w:p w14:paraId="1B05BC62">
            <w:pPr>
              <w:spacing w:line="408" w:lineRule="auto"/>
              <w:jc w:val="right"/>
              <w:rPr>
                <w:rFonts w:hint="eastAsia" w:ascii="仿宋" w:hAnsi="仿宋" w:eastAsia="仿宋"/>
                <w:bCs/>
                <w:sz w:val="18"/>
              </w:rPr>
            </w:pPr>
            <w:r>
              <w:rPr>
                <w:rFonts w:hint="eastAsia" w:ascii="仿宋" w:hAnsi="仿宋" w:eastAsia="仿宋"/>
                <w:bCs/>
                <w:sz w:val="18"/>
              </w:rPr>
              <w:t>2</w:t>
            </w:r>
          </w:p>
        </w:tc>
      </w:tr>
      <w:tr w14:paraId="244B1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433" w:type="pct"/>
            <w:gridSpan w:val="5"/>
            <w:vAlign w:val="center"/>
          </w:tcPr>
          <w:p w14:paraId="3E8B06B6">
            <w:pPr>
              <w:spacing w:line="408" w:lineRule="auto"/>
              <w:rPr>
                <w:rFonts w:hint="eastAsia" w:ascii="仿宋" w:hAnsi="仿宋" w:eastAsia="仿宋"/>
                <w:bCs/>
                <w:sz w:val="18"/>
              </w:rPr>
            </w:pPr>
            <w:r>
              <w:rPr>
                <w:rFonts w:hint="eastAsia" w:ascii="仿宋" w:hAnsi="仿宋" w:eastAsia="仿宋"/>
                <w:bCs/>
                <w:sz w:val="18"/>
                <w:lang w:eastAsia="zh-CN"/>
              </w:rPr>
              <w:t>总得分</w:t>
            </w:r>
          </w:p>
        </w:tc>
        <w:tc>
          <w:tcPr>
            <w:tcW w:w="567" w:type="pct"/>
            <w:gridSpan w:val="2"/>
            <w:vAlign w:val="center"/>
          </w:tcPr>
          <w:p w14:paraId="768D42DD">
            <w:pPr>
              <w:spacing w:line="408" w:lineRule="auto"/>
              <w:jc w:val="center"/>
              <w:rPr>
                <w:rFonts w:hint="eastAsia" w:ascii="仿宋" w:hAnsi="仿宋" w:eastAsia="宋体"/>
                <w:bCs/>
                <w:sz w:val="18"/>
                <w:lang w:eastAsia="zh-CN"/>
              </w:rPr>
            </w:pPr>
            <w:r>
              <w:rPr>
                <w:rFonts w:ascii="仿宋" w:hAnsi="仿宋" w:eastAsia="仿宋"/>
                <w:bCs/>
                <w:sz w:val="18"/>
                <w:lang w:eastAsia="zh-CN"/>
              </w:rPr>
              <w:t>8</w:t>
            </w:r>
            <w:r>
              <w:rPr>
                <w:rFonts w:hint="eastAsia" w:ascii="仿宋" w:hAnsi="仿宋" w:eastAsia="仿宋"/>
                <w:bCs/>
                <w:sz w:val="18"/>
                <w:lang w:eastAsia="zh-CN"/>
              </w:rPr>
              <w:t>4.99</w:t>
            </w:r>
          </w:p>
        </w:tc>
      </w:tr>
      <w:bookmarkEnd w:id="0"/>
    </w:tbl>
    <w:p w14:paraId="6F6A6B91">
      <w:pPr>
        <w:widowControl w:val="0"/>
        <w:overflowPunct w:val="0"/>
        <w:snapToGrid/>
        <w:spacing w:line="360" w:lineRule="auto"/>
        <w:rPr>
          <w:rFonts w:hint="eastAsia" w:ascii="仿宋" w:hAnsi="仿宋" w:eastAsia="仿宋" w:cs="仿宋"/>
          <w:b/>
          <w:bCs/>
          <w:color w:val="auto"/>
          <w:spacing w:val="-1"/>
          <w:lang w:eastAsia="zh-CN"/>
          <w14:textOutline w14:w="5105" w14:cap="sq" w14:cmpd="sng" w14:algn="ctr">
            <w14:solidFill>
              <w14:srgbClr w14:val="000000"/>
            </w14:solidFill>
            <w14:prstDash w14:val="solid"/>
            <w14:bevel/>
          </w14:textOutline>
        </w:rPr>
      </w:pPr>
    </w:p>
    <w:sectPr>
      <w:pgSz w:w="11906" w:h="16839"/>
      <w:pgMar w:top="1304" w:right="966" w:bottom="1304" w:left="1785" w:header="0" w:footer="98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ppleSystemUIFont">
    <w:altName w:val="Cambria"/>
    <w:panose1 w:val="00000000000000000000"/>
    <w:charset w:val="00"/>
    <w:family w:val="roman"/>
    <w:pitch w:val="default"/>
    <w:sig w:usb0="00000000" w:usb1="00000000" w:usb2="00000000" w:usb3="00000000" w:csb0="00000000" w:csb1="00000000"/>
  </w:font>
  <w:font w:name="UICTFontTextStyleBody">
    <w:altName w:val="Cambria"/>
    <w:panose1 w:val="00000000000000000000"/>
    <w:charset w:val="00"/>
    <w:family w:val="roman"/>
    <w:pitch w:val="default"/>
    <w:sig w:usb0="00000000" w:usb1="00000000" w:usb2="00000000" w:usb3="00000000" w:csb0="00000000" w:csb1="00000000"/>
  </w:font>
  <w:font w:name="UICTFontTextStyleEmphasizedBody">
    <w:altName w:val="Cambria"/>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1784">
    <w:pPr>
      <w:pStyle w:val="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4896A">
    <w:pPr>
      <w:pStyle w:val="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211D5">
    <w:pPr>
      <w:pStyle w:val="5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1228"/>
    </w:sdtPr>
    <w:sdtContent>
      <w:p w14:paraId="57EAABEA">
        <w:pPr>
          <w:pStyle w:val="57"/>
          <w:jc w:val="center"/>
        </w:pPr>
        <w:r>
          <w:fldChar w:fldCharType="begin"/>
        </w:r>
        <w:r>
          <w:instrText xml:space="preserve">PAGE   \* MERGEFORMAT</w:instrText>
        </w:r>
        <w:r>
          <w:fldChar w:fldCharType="separate"/>
        </w:r>
        <w:r>
          <w:rPr>
            <w:lang w:val="zh-CN" w:eastAsia="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DAF26">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EB4B1">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068F9">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37"/>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4"/>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47"/>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1"/>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mU4YzkyNDcxZDNmZDBhYTcyM2EzMTFlZTdmYzdhZDAifQ=="/>
    <w:docVar w:name="KSO_WPS_MARK_KEY" w:val="c5fe0de4-6065-45a9-aaed-0a98bf3ad792"/>
  </w:docVars>
  <w:rsids>
    <w:rsidRoot w:val="008947DC"/>
    <w:rsid w:val="00001CD1"/>
    <w:rsid w:val="000034E5"/>
    <w:rsid w:val="00003CBF"/>
    <w:rsid w:val="000063A2"/>
    <w:rsid w:val="00007E59"/>
    <w:rsid w:val="00011280"/>
    <w:rsid w:val="00022737"/>
    <w:rsid w:val="00023592"/>
    <w:rsid w:val="00023D0F"/>
    <w:rsid w:val="000272D3"/>
    <w:rsid w:val="00030E21"/>
    <w:rsid w:val="0003162D"/>
    <w:rsid w:val="000321A7"/>
    <w:rsid w:val="00035C71"/>
    <w:rsid w:val="000373D1"/>
    <w:rsid w:val="00040990"/>
    <w:rsid w:val="000431BF"/>
    <w:rsid w:val="00050CD1"/>
    <w:rsid w:val="000625C4"/>
    <w:rsid w:val="00067EA6"/>
    <w:rsid w:val="00071144"/>
    <w:rsid w:val="00076B82"/>
    <w:rsid w:val="0008065B"/>
    <w:rsid w:val="0008284F"/>
    <w:rsid w:val="00083014"/>
    <w:rsid w:val="000843C6"/>
    <w:rsid w:val="00084851"/>
    <w:rsid w:val="0008560B"/>
    <w:rsid w:val="00085E4D"/>
    <w:rsid w:val="000A06B1"/>
    <w:rsid w:val="000A1B37"/>
    <w:rsid w:val="000A3E2D"/>
    <w:rsid w:val="000A5251"/>
    <w:rsid w:val="000A690F"/>
    <w:rsid w:val="000B07D8"/>
    <w:rsid w:val="000B41D0"/>
    <w:rsid w:val="000C5CA3"/>
    <w:rsid w:val="000D531A"/>
    <w:rsid w:val="000D647C"/>
    <w:rsid w:val="000D676A"/>
    <w:rsid w:val="000E257A"/>
    <w:rsid w:val="000E26C2"/>
    <w:rsid w:val="000E5550"/>
    <w:rsid w:val="000E7100"/>
    <w:rsid w:val="000E7D58"/>
    <w:rsid w:val="000F36B6"/>
    <w:rsid w:val="000F37BC"/>
    <w:rsid w:val="000F3A39"/>
    <w:rsid w:val="000F4416"/>
    <w:rsid w:val="000F4BE7"/>
    <w:rsid w:val="000F503B"/>
    <w:rsid w:val="00101854"/>
    <w:rsid w:val="00105F49"/>
    <w:rsid w:val="001067E7"/>
    <w:rsid w:val="00107734"/>
    <w:rsid w:val="001079C5"/>
    <w:rsid w:val="001111FC"/>
    <w:rsid w:val="001125C3"/>
    <w:rsid w:val="00115EEA"/>
    <w:rsid w:val="00120450"/>
    <w:rsid w:val="001215BC"/>
    <w:rsid w:val="001233EF"/>
    <w:rsid w:val="00124BEC"/>
    <w:rsid w:val="001354A0"/>
    <w:rsid w:val="00135CA8"/>
    <w:rsid w:val="00135D8A"/>
    <w:rsid w:val="00144105"/>
    <w:rsid w:val="00144A46"/>
    <w:rsid w:val="00146175"/>
    <w:rsid w:val="00147468"/>
    <w:rsid w:val="001561DE"/>
    <w:rsid w:val="0016029B"/>
    <w:rsid w:val="00160DE2"/>
    <w:rsid w:val="001642AE"/>
    <w:rsid w:val="00165267"/>
    <w:rsid w:val="00165819"/>
    <w:rsid w:val="00167D28"/>
    <w:rsid w:val="00173AE8"/>
    <w:rsid w:val="00177FBD"/>
    <w:rsid w:val="00181613"/>
    <w:rsid w:val="001834A0"/>
    <w:rsid w:val="001904C5"/>
    <w:rsid w:val="00191213"/>
    <w:rsid w:val="0019545D"/>
    <w:rsid w:val="00195CA5"/>
    <w:rsid w:val="001A3108"/>
    <w:rsid w:val="001A5D7E"/>
    <w:rsid w:val="001A6087"/>
    <w:rsid w:val="001B121E"/>
    <w:rsid w:val="001B25FB"/>
    <w:rsid w:val="001B30BE"/>
    <w:rsid w:val="001B3849"/>
    <w:rsid w:val="001B4B67"/>
    <w:rsid w:val="001B60A0"/>
    <w:rsid w:val="001B78CB"/>
    <w:rsid w:val="001C030D"/>
    <w:rsid w:val="001C0F39"/>
    <w:rsid w:val="001C5F51"/>
    <w:rsid w:val="001C65A1"/>
    <w:rsid w:val="001D1C09"/>
    <w:rsid w:val="001D43C4"/>
    <w:rsid w:val="001D537C"/>
    <w:rsid w:val="001D5F57"/>
    <w:rsid w:val="001D61DB"/>
    <w:rsid w:val="001E2B37"/>
    <w:rsid w:val="001E616E"/>
    <w:rsid w:val="001E71BC"/>
    <w:rsid w:val="001F0F81"/>
    <w:rsid w:val="001F3E1D"/>
    <w:rsid w:val="001F4C07"/>
    <w:rsid w:val="001F4CF5"/>
    <w:rsid w:val="001F6454"/>
    <w:rsid w:val="001F7659"/>
    <w:rsid w:val="00202CFE"/>
    <w:rsid w:val="00203013"/>
    <w:rsid w:val="00206F6A"/>
    <w:rsid w:val="0020727A"/>
    <w:rsid w:val="002122FE"/>
    <w:rsid w:val="00220902"/>
    <w:rsid w:val="0022248B"/>
    <w:rsid w:val="00223C20"/>
    <w:rsid w:val="002250FE"/>
    <w:rsid w:val="002252C8"/>
    <w:rsid w:val="002321EF"/>
    <w:rsid w:val="00236D74"/>
    <w:rsid w:val="0024017D"/>
    <w:rsid w:val="00243515"/>
    <w:rsid w:val="0024393B"/>
    <w:rsid w:val="00243F78"/>
    <w:rsid w:val="002465F1"/>
    <w:rsid w:val="0024697D"/>
    <w:rsid w:val="00250E13"/>
    <w:rsid w:val="00255964"/>
    <w:rsid w:val="0026064D"/>
    <w:rsid w:val="00265A44"/>
    <w:rsid w:val="00266B82"/>
    <w:rsid w:val="00267B60"/>
    <w:rsid w:val="00271D7B"/>
    <w:rsid w:val="00273CB6"/>
    <w:rsid w:val="00277BD8"/>
    <w:rsid w:val="00277F15"/>
    <w:rsid w:val="00280314"/>
    <w:rsid w:val="00280B29"/>
    <w:rsid w:val="00281643"/>
    <w:rsid w:val="00281F73"/>
    <w:rsid w:val="00282FB2"/>
    <w:rsid w:val="002837AB"/>
    <w:rsid w:val="00290052"/>
    <w:rsid w:val="00290E64"/>
    <w:rsid w:val="0029432C"/>
    <w:rsid w:val="00297572"/>
    <w:rsid w:val="002A2BB0"/>
    <w:rsid w:val="002A5439"/>
    <w:rsid w:val="002A7D5E"/>
    <w:rsid w:val="002B1CBB"/>
    <w:rsid w:val="002B1DC3"/>
    <w:rsid w:val="002B2904"/>
    <w:rsid w:val="002B5ACF"/>
    <w:rsid w:val="002C29C6"/>
    <w:rsid w:val="002C2AFB"/>
    <w:rsid w:val="002C4C16"/>
    <w:rsid w:val="002C59DD"/>
    <w:rsid w:val="002C6AA7"/>
    <w:rsid w:val="002D0431"/>
    <w:rsid w:val="002D1F9B"/>
    <w:rsid w:val="002D2267"/>
    <w:rsid w:val="002D3475"/>
    <w:rsid w:val="002E1BB3"/>
    <w:rsid w:val="002E2262"/>
    <w:rsid w:val="002E2D1B"/>
    <w:rsid w:val="002E79BD"/>
    <w:rsid w:val="002F22FE"/>
    <w:rsid w:val="002F34B1"/>
    <w:rsid w:val="002F574F"/>
    <w:rsid w:val="002F5A70"/>
    <w:rsid w:val="00300E5C"/>
    <w:rsid w:val="00302D7F"/>
    <w:rsid w:val="00307EC0"/>
    <w:rsid w:val="00312E8E"/>
    <w:rsid w:val="00313103"/>
    <w:rsid w:val="0031440A"/>
    <w:rsid w:val="0031485E"/>
    <w:rsid w:val="00316B55"/>
    <w:rsid w:val="00316B63"/>
    <w:rsid w:val="00320BF1"/>
    <w:rsid w:val="00323B9B"/>
    <w:rsid w:val="00325492"/>
    <w:rsid w:val="003303B8"/>
    <w:rsid w:val="00330B58"/>
    <w:rsid w:val="00330FE1"/>
    <w:rsid w:val="00331188"/>
    <w:rsid w:val="003339EE"/>
    <w:rsid w:val="00334613"/>
    <w:rsid w:val="00340233"/>
    <w:rsid w:val="003435F3"/>
    <w:rsid w:val="00343856"/>
    <w:rsid w:val="00346BFB"/>
    <w:rsid w:val="00347563"/>
    <w:rsid w:val="00354A40"/>
    <w:rsid w:val="00355BAC"/>
    <w:rsid w:val="00360AAE"/>
    <w:rsid w:val="00361553"/>
    <w:rsid w:val="00363D0C"/>
    <w:rsid w:val="00365B88"/>
    <w:rsid w:val="00366E82"/>
    <w:rsid w:val="003673A3"/>
    <w:rsid w:val="00381DFE"/>
    <w:rsid w:val="00384308"/>
    <w:rsid w:val="003857C9"/>
    <w:rsid w:val="00390A5F"/>
    <w:rsid w:val="00393FC8"/>
    <w:rsid w:val="003A24FB"/>
    <w:rsid w:val="003A6591"/>
    <w:rsid w:val="003B0B01"/>
    <w:rsid w:val="003B78E2"/>
    <w:rsid w:val="003C2582"/>
    <w:rsid w:val="003C37D0"/>
    <w:rsid w:val="003C6331"/>
    <w:rsid w:val="003D1444"/>
    <w:rsid w:val="003D4603"/>
    <w:rsid w:val="003D47E4"/>
    <w:rsid w:val="003D52B6"/>
    <w:rsid w:val="003D5425"/>
    <w:rsid w:val="003D7FF2"/>
    <w:rsid w:val="003E0536"/>
    <w:rsid w:val="003E3696"/>
    <w:rsid w:val="003E60F2"/>
    <w:rsid w:val="003E78AA"/>
    <w:rsid w:val="003F07ED"/>
    <w:rsid w:val="004010DC"/>
    <w:rsid w:val="00401125"/>
    <w:rsid w:val="00401EB6"/>
    <w:rsid w:val="00403EAF"/>
    <w:rsid w:val="004070A9"/>
    <w:rsid w:val="00413B0E"/>
    <w:rsid w:val="00415413"/>
    <w:rsid w:val="004160A3"/>
    <w:rsid w:val="00417106"/>
    <w:rsid w:val="004210E8"/>
    <w:rsid w:val="0042329C"/>
    <w:rsid w:val="00423EB0"/>
    <w:rsid w:val="004275D6"/>
    <w:rsid w:val="004309FF"/>
    <w:rsid w:val="0043177B"/>
    <w:rsid w:val="00432527"/>
    <w:rsid w:val="004334A3"/>
    <w:rsid w:val="00435403"/>
    <w:rsid w:val="00435E09"/>
    <w:rsid w:val="004378D5"/>
    <w:rsid w:val="004402F1"/>
    <w:rsid w:val="00446431"/>
    <w:rsid w:val="0044776D"/>
    <w:rsid w:val="00451A14"/>
    <w:rsid w:val="00451F06"/>
    <w:rsid w:val="00456CA0"/>
    <w:rsid w:val="0045717E"/>
    <w:rsid w:val="004606F3"/>
    <w:rsid w:val="00461014"/>
    <w:rsid w:val="0046240B"/>
    <w:rsid w:val="004631BD"/>
    <w:rsid w:val="00463360"/>
    <w:rsid w:val="00463DE2"/>
    <w:rsid w:val="00464CEC"/>
    <w:rsid w:val="004707DD"/>
    <w:rsid w:val="00472A76"/>
    <w:rsid w:val="00473E4E"/>
    <w:rsid w:val="00474666"/>
    <w:rsid w:val="00483953"/>
    <w:rsid w:val="00485160"/>
    <w:rsid w:val="004865FE"/>
    <w:rsid w:val="004902F3"/>
    <w:rsid w:val="00491756"/>
    <w:rsid w:val="004972F1"/>
    <w:rsid w:val="004A1402"/>
    <w:rsid w:val="004A35C1"/>
    <w:rsid w:val="004A3A6A"/>
    <w:rsid w:val="004A4511"/>
    <w:rsid w:val="004A4BBE"/>
    <w:rsid w:val="004B1389"/>
    <w:rsid w:val="004B2E76"/>
    <w:rsid w:val="004B79C2"/>
    <w:rsid w:val="004C25DF"/>
    <w:rsid w:val="004C2F4F"/>
    <w:rsid w:val="004C40D1"/>
    <w:rsid w:val="004C704D"/>
    <w:rsid w:val="004D021E"/>
    <w:rsid w:val="004D1006"/>
    <w:rsid w:val="004D1153"/>
    <w:rsid w:val="004D2B60"/>
    <w:rsid w:val="004D71C2"/>
    <w:rsid w:val="004E0466"/>
    <w:rsid w:val="004F0364"/>
    <w:rsid w:val="004F1114"/>
    <w:rsid w:val="004F137C"/>
    <w:rsid w:val="004F4A1D"/>
    <w:rsid w:val="0050094D"/>
    <w:rsid w:val="00502672"/>
    <w:rsid w:val="005037C8"/>
    <w:rsid w:val="00504D2C"/>
    <w:rsid w:val="00505AFB"/>
    <w:rsid w:val="005060ED"/>
    <w:rsid w:val="00510EC8"/>
    <w:rsid w:val="00512B58"/>
    <w:rsid w:val="005141BB"/>
    <w:rsid w:val="005141EB"/>
    <w:rsid w:val="0051569F"/>
    <w:rsid w:val="00524F3A"/>
    <w:rsid w:val="00525448"/>
    <w:rsid w:val="00531BCD"/>
    <w:rsid w:val="0053295D"/>
    <w:rsid w:val="00536C62"/>
    <w:rsid w:val="005412DB"/>
    <w:rsid w:val="0054164E"/>
    <w:rsid w:val="005470A1"/>
    <w:rsid w:val="00551201"/>
    <w:rsid w:val="005519BA"/>
    <w:rsid w:val="005559E3"/>
    <w:rsid w:val="00560587"/>
    <w:rsid w:val="00560B17"/>
    <w:rsid w:val="00564013"/>
    <w:rsid w:val="00571441"/>
    <w:rsid w:val="005729EE"/>
    <w:rsid w:val="00572B3B"/>
    <w:rsid w:val="005743B0"/>
    <w:rsid w:val="00576750"/>
    <w:rsid w:val="005769D1"/>
    <w:rsid w:val="00577179"/>
    <w:rsid w:val="00580630"/>
    <w:rsid w:val="00590D0E"/>
    <w:rsid w:val="005912C1"/>
    <w:rsid w:val="00592572"/>
    <w:rsid w:val="0059475B"/>
    <w:rsid w:val="00595D02"/>
    <w:rsid w:val="00596E28"/>
    <w:rsid w:val="005A24CA"/>
    <w:rsid w:val="005A2E64"/>
    <w:rsid w:val="005B03A8"/>
    <w:rsid w:val="005B0BCF"/>
    <w:rsid w:val="005B23F9"/>
    <w:rsid w:val="005C26C8"/>
    <w:rsid w:val="005D073B"/>
    <w:rsid w:val="005D4E08"/>
    <w:rsid w:val="005D5844"/>
    <w:rsid w:val="005D61CD"/>
    <w:rsid w:val="005E2043"/>
    <w:rsid w:val="005E2A7E"/>
    <w:rsid w:val="005E35ED"/>
    <w:rsid w:val="005E4750"/>
    <w:rsid w:val="005F07A8"/>
    <w:rsid w:val="005F2568"/>
    <w:rsid w:val="005F5937"/>
    <w:rsid w:val="005F731A"/>
    <w:rsid w:val="006038AF"/>
    <w:rsid w:val="006063B5"/>
    <w:rsid w:val="006074D3"/>
    <w:rsid w:val="0061297B"/>
    <w:rsid w:val="00613CBB"/>
    <w:rsid w:val="00615463"/>
    <w:rsid w:val="00616CE3"/>
    <w:rsid w:val="00620512"/>
    <w:rsid w:val="0062177B"/>
    <w:rsid w:val="00623B12"/>
    <w:rsid w:val="00623EC1"/>
    <w:rsid w:val="00626F9F"/>
    <w:rsid w:val="006279EF"/>
    <w:rsid w:val="00630FC7"/>
    <w:rsid w:val="00632EEB"/>
    <w:rsid w:val="006346B9"/>
    <w:rsid w:val="0063678B"/>
    <w:rsid w:val="00636BB9"/>
    <w:rsid w:val="00637788"/>
    <w:rsid w:val="006457DB"/>
    <w:rsid w:val="00654212"/>
    <w:rsid w:val="00656A85"/>
    <w:rsid w:val="00657793"/>
    <w:rsid w:val="00657E2F"/>
    <w:rsid w:val="006601DD"/>
    <w:rsid w:val="0066037B"/>
    <w:rsid w:val="00660CB1"/>
    <w:rsid w:val="006634AE"/>
    <w:rsid w:val="00665737"/>
    <w:rsid w:val="00666939"/>
    <w:rsid w:val="006673CD"/>
    <w:rsid w:val="0066741F"/>
    <w:rsid w:val="00671BD1"/>
    <w:rsid w:val="0067246A"/>
    <w:rsid w:val="0067291F"/>
    <w:rsid w:val="00672C1B"/>
    <w:rsid w:val="00672F9F"/>
    <w:rsid w:val="00673A6C"/>
    <w:rsid w:val="006769DB"/>
    <w:rsid w:val="00676FDA"/>
    <w:rsid w:val="00684DFA"/>
    <w:rsid w:val="00685748"/>
    <w:rsid w:val="00686C14"/>
    <w:rsid w:val="006875C3"/>
    <w:rsid w:val="00691FD1"/>
    <w:rsid w:val="00692C1D"/>
    <w:rsid w:val="006A0FC5"/>
    <w:rsid w:val="006A0FF7"/>
    <w:rsid w:val="006A655F"/>
    <w:rsid w:val="006A74E1"/>
    <w:rsid w:val="006A7D83"/>
    <w:rsid w:val="006B18A9"/>
    <w:rsid w:val="006B344F"/>
    <w:rsid w:val="006B5309"/>
    <w:rsid w:val="006B6BBB"/>
    <w:rsid w:val="006C0D3A"/>
    <w:rsid w:val="006C19A1"/>
    <w:rsid w:val="006C368A"/>
    <w:rsid w:val="006D5206"/>
    <w:rsid w:val="006D567A"/>
    <w:rsid w:val="006E38D8"/>
    <w:rsid w:val="006E3B44"/>
    <w:rsid w:val="006E687D"/>
    <w:rsid w:val="006F14E0"/>
    <w:rsid w:val="006F1AC3"/>
    <w:rsid w:val="006F2A45"/>
    <w:rsid w:val="006F3D8A"/>
    <w:rsid w:val="006F4213"/>
    <w:rsid w:val="006F5544"/>
    <w:rsid w:val="006F7B7E"/>
    <w:rsid w:val="00702D3F"/>
    <w:rsid w:val="00703C98"/>
    <w:rsid w:val="00704B43"/>
    <w:rsid w:val="00704BC2"/>
    <w:rsid w:val="00706C21"/>
    <w:rsid w:val="00707418"/>
    <w:rsid w:val="00707747"/>
    <w:rsid w:val="00710A56"/>
    <w:rsid w:val="00711C9F"/>
    <w:rsid w:val="00715F97"/>
    <w:rsid w:val="007175CE"/>
    <w:rsid w:val="007227BA"/>
    <w:rsid w:val="00723276"/>
    <w:rsid w:val="00725743"/>
    <w:rsid w:val="00725D08"/>
    <w:rsid w:val="0073244E"/>
    <w:rsid w:val="00733F63"/>
    <w:rsid w:val="007342A8"/>
    <w:rsid w:val="00735095"/>
    <w:rsid w:val="0073751D"/>
    <w:rsid w:val="00741315"/>
    <w:rsid w:val="0074325C"/>
    <w:rsid w:val="0074408E"/>
    <w:rsid w:val="007516CE"/>
    <w:rsid w:val="00752ED6"/>
    <w:rsid w:val="00753304"/>
    <w:rsid w:val="007538C1"/>
    <w:rsid w:val="007628AA"/>
    <w:rsid w:val="00763112"/>
    <w:rsid w:val="00766A44"/>
    <w:rsid w:val="007671C8"/>
    <w:rsid w:val="00767713"/>
    <w:rsid w:val="00770C6F"/>
    <w:rsid w:val="007720F8"/>
    <w:rsid w:val="00775A24"/>
    <w:rsid w:val="007801AC"/>
    <w:rsid w:val="0078037B"/>
    <w:rsid w:val="007828DA"/>
    <w:rsid w:val="00782903"/>
    <w:rsid w:val="007860D2"/>
    <w:rsid w:val="0079624F"/>
    <w:rsid w:val="00796610"/>
    <w:rsid w:val="007A016C"/>
    <w:rsid w:val="007A6DEC"/>
    <w:rsid w:val="007B348E"/>
    <w:rsid w:val="007B56ED"/>
    <w:rsid w:val="007B5E66"/>
    <w:rsid w:val="007C147C"/>
    <w:rsid w:val="007C4515"/>
    <w:rsid w:val="007C5581"/>
    <w:rsid w:val="007C78A4"/>
    <w:rsid w:val="007D020A"/>
    <w:rsid w:val="007D05E2"/>
    <w:rsid w:val="007D0D37"/>
    <w:rsid w:val="007D163D"/>
    <w:rsid w:val="007D4C7F"/>
    <w:rsid w:val="007D5C8C"/>
    <w:rsid w:val="007D6EAC"/>
    <w:rsid w:val="007D7A62"/>
    <w:rsid w:val="007E2F69"/>
    <w:rsid w:val="007E464E"/>
    <w:rsid w:val="007E5ED3"/>
    <w:rsid w:val="007F2148"/>
    <w:rsid w:val="007F23E3"/>
    <w:rsid w:val="00801090"/>
    <w:rsid w:val="008026EA"/>
    <w:rsid w:val="00805C92"/>
    <w:rsid w:val="008063C2"/>
    <w:rsid w:val="00810A3E"/>
    <w:rsid w:val="008118E2"/>
    <w:rsid w:val="00812153"/>
    <w:rsid w:val="008204BD"/>
    <w:rsid w:val="008211D5"/>
    <w:rsid w:val="00821F5B"/>
    <w:rsid w:val="008246CC"/>
    <w:rsid w:val="008309ED"/>
    <w:rsid w:val="00831F33"/>
    <w:rsid w:val="0083339A"/>
    <w:rsid w:val="008361D8"/>
    <w:rsid w:val="008410B0"/>
    <w:rsid w:val="008412B5"/>
    <w:rsid w:val="008500DC"/>
    <w:rsid w:val="00857BAC"/>
    <w:rsid w:val="008623F1"/>
    <w:rsid w:val="0086309D"/>
    <w:rsid w:val="00867722"/>
    <w:rsid w:val="00872F18"/>
    <w:rsid w:val="008738C6"/>
    <w:rsid w:val="008839C8"/>
    <w:rsid w:val="00885EA9"/>
    <w:rsid w:val="008947DC"/>
    <w:rsid w:val="0089697B"/>
    <w:rsid w:val="008A1B85"/>
    <w:rsid w:val="008A23A4"/>
    <w:rsid w:val="008B09A5"/>
    <w:rsid w:val="008B10A4"/>
    <w:rsid w:val="008B27BE"/>
    <w:rsid w:val="008B4647"/>
    <w:rsid w:val="008B6B3D"/>
    <w:rsid w:val="008B725F"/>
    <w:rsid w:val="008B74B3"/>
    <w:rsid w:val="008B79A3"/>
    <w:rsid w:val="008C2C2C"/>
    <w:rsid w:val="008C3D1B"/>
    <w:rsid w:val="008C3EF8"/>
    <w:rsid w:val="008C4FBF"/>
    <w:rsid w:val="008C59E8"/>
    <w:rsid w:val="008C5CE9"/>
    <w:rsid w:val="008C6ACD"/>
    <w:rsid w:val="008C746A"/>
    <w:rsid w:val="008C78F3"/>
    <w:rsid w:val="008D31D2"/>
    <w:rsid w:val="008D5B26"/>
    <w:rsid w:val="008D7991"/>
    <w:rsid w:val="008E12F1"/>
    <w:rsid w:val="008E5095"/>
    <w:rsid w:val="008F41B0"/>
    <w:rsid w:val="008F49A0"/>
    <w:rsid w:val="008F5240"/>
    <w:rsid w:val="008F56B2"/>
    <w:rsid w:val="008F5E8E"/>
    <w:rsid w:val="0090026F"/>
    <w:rsid w:val="00902625"/>
    <w:rsid w:val="00903937"/>
    <w:rsid w:val="00904A4C"/>
    <w:rsid w:val="00907895"/>
    <w:rsid w:val="00907CFF"/>
    <w:rsid w:val="00910C1B"/>
    <w:rsid w:val="00912E08"/>
    <w:rsid w:val="009154CF"/>
    <w:rsid w:val="00915626"/>
    <w:rsid w:val="00916568"/>
    <w:rsid w:val="00920BD3"/>
    <w:rsid w:val="00924100"/>
    <w:rsid w:val="00926596"/>
    <w:rsid w:val="00927BCB"/>
    <w:rsid w:val="009319A2"/>
    <w:rsid w:val="00935319"/>
    <w:rsid w:val="00935A2B"/>
    <w:rsid w:val="0093731F"/>
    <w:rsid w:val="009375F0"/>
    <w:rsid w:val="009415A0"/>
    <w:rsid w:val="00943752"/>
    <w:rsid w:val="00945EED"/>
    <w:rsid w:val="0094674C"/>
    <w:rsid w:val="00946970"/>
    <w:rsid w:val="00947434"/>
    <w:rsid w:val="0095081C"/>
    <w:rsid w:val="00956BBD"/>
    <w:rsid w:val="00962536"/>
    <w:rsid w:val="009627C3"/>
    <w:rsid w:val="00972B1F"/>
    <w:rsid w:val="009739E5"/>
    <w:rsid w:val="009741F1"/>
    <w:rsid w:val="00975BFB"/>
    <w:rsid w:val="0097615B"/>
    <w:rsid w:val="00977DA9"/>
    <w:rsid w:val="0098035E"/>
    <w:rsid w:val="00980789"/>
    <w:rsid w:val="00981A0B"/>
    <w:rsid w:val="00983F1F"/>
    <w:rsid w:val="0098650F"/>
    <w:rsid w:val="00993F89"/>
    <w:rsid w:val="00994189"/>
    <w:rsid w:val="00994FF9"/>
    <w:rsid w:val="009A03BD"/>
    <w:rsid w:val="009A1C9B"/>
    <w:rsid w:val="009A3093"/>
    <w:rsid w:val="009A64FA"/>
    <w:rsid w:val="009B391A"/>
    <w:rsid w:val="009B5230"/>
    <w:rsid w:val="009C4121"/>
    <w:rsid w:val="009C4889"/>
    <w:rsid w:val="009C592D"/>
    <w:rsid w:val="009C6C1C"/>
    <w:rsid w:val="009C6C48"/>
    <w:rsid w:val="009C78FD"/>
    <w:rsid w:val="009D35D9"/>
    <w:rsid w:val="009D3787"/>
    <w:rsid w:val="009D5EE0"/>
    <w:rsid w:val="009D63FF"/>
    <w:rsid w:val="009E4134"/>
    <w:rsid w:val="009E5335"/>
    <w:rsid w:val="009E625C"/>
    <w:rsid w:val="009E7358"/>
    <w:rsid w:val="009F4F98"/>
    <w:rsid w:val="009F5ED6"/>
    <w:rsid w:val="009F6CE4"/>
    <w:rsid w:val="009F7DBD"/>
    <w:rsid w:val="00A0093B"/>
    <w:rsid w:val="00A01B81"/>
    <w:rsid w:val="00A10ECD"/>
    <w:rsid w:val="00A144B5"/>
    <w:rsid w:val="00A17D94"/>
    <w:rsid w:val="00A22BBB"/>
    <w:rsid w:val="00A22D99"/>
    <w:rsid w:val="00A25182"/>
    <w:rsid w:val="00A263B2"/>
    <w:rsid w:val="00A26974"/>
    <w:rsid w:val="00A2757D"/>
    <w:rsid w:val="00A32BD4"/>
    <w:rsid w:val="00A32EFB"/>
    <w:rsid w:val="00A34518"/>
    <w:rsid w:val="00A369B6"/>
    <w:rsid w:val="00A41875"/>
    <w:rsid w:val="00A425B4"/>
    <w:rsid w:val="00A4332C"/>
    <w:rsid w:val="00A43519"/>
    <w:rsid w:val="00A441C6"/>
    <w:rsid w:val="00A45307"/>
    <w:rsid w:val="00A46BB4"/>
    <w:rsid w:val="00A478BC"/>
    <w:rsid w:val="00A52D4E"/>
    <w:rsid w:val="00A607A1"/>
    <w:rsid w:val="00A60F4C"/>
    <w:rsid w:val="00A6271C"/>
    <w:rsid w:val="00A676C8"/>
    <w:rsid w:val="00A6788A"/>
    <w:rsid w:val="00A70049"/>
    <w:rsid w:val="00A7293B"/>
    <w:rsid w:val="00A74FF1"/>
    <w:rsid w:val="00A75213"/>
    <w:rsid w:val="00A752EC"/>
    <w:rsid w:val="00A76BA3"/>
    <w:rsid w:val="00A76EE5"/>
    <w:rsid w:val="00A77329"/>
    <w:rsid w:val="00A77ED7"/>
    <w:rsid w:val="00A822D6"/>
    <w:rsid w:val="00A82DCE"/>
    <w:rsid w:val="00A843DC"/>
    <w:rsid w:val="00A84FD5"/>
    <w:rsid w:val="00A864AB"/>
    <w:rsid w:val="00A87827"/>
    <w:rsid w:val="00A90DA5"/>
    <w:rsid w:val="00A953CE"/>
    <w:rsid w:val="00A965C3"/>
    <w:rsid w:val="00AA0EF1"/>
    <w:rsid w:val="00AA2E30"/>
    <w:rsid w:val="00AA44C7"/>
    <w:rsid w:val="00AA5217"/>
    <w:rsid w:val="00AA60F0"/>
    <w:rsid w:val="00AA76FD"/>
    <w:rsid w:val="00AA7FA4"/>
    <w:rsid w:val="00AC2403"/>
    <w:rsid w:val="00AC5966"/>
    <w:rsid w:val="00AC6FA1"/>
    <w:rsid w:val="00AD386A"/>
    <w:rsid w:val="00AE0C34"/>
    <w:rsid w:val="00AE1200"/>
    <w:rsid w:val="00AE2616"/>
    <w:rsid w:val="00AE3572"/>
    <w:rsid w:val="00AE4153"/>
    <w:rsid w:val="00AE6E26"/>
    <w:rsid w:val="00AE7254"/>
    <w:rsid w:val="00B064DB"/>
    <w:rsid w:val="00B1230B"/>
    <w:rsid w:val="00B20415"/>
    <w:rsid w:val="00B207FC"/>
    <w:rsid w:val="00B2348B"/>
    <w:rsid w:val="00B26560"/>
    <w:rsid w:val="00B27A8C"/>
    <w:rsid w:val="00B36D1F"/>
    <w:rsid w:val="00B36F44"/>
    <w:rsid w:val="00B37BCC"/>
    <w:rsid w:val="00B41E34"/>
    <w:rsid w:val="00B504F4"/>
    <w:rsid w:val="00B542FC"/>
    <w:rsid w:val="00B57BA4"/>
    <w:rsid w:val="00B64F51"/>
    <w:rsid w:val="00B67AC6"/>
    <w:rsid w:val="00B70FA8"/>
    <w:rsid w:val="00B7383A"/>
    <w:rsid w:val="00B762E8"/>
    <w:rsid w:val="00B76B83"/>
    <w:rsid w:val="00B81D37"/>
    <w:rsid w:val="00B84888"/>
    <w:rsid w:val="00B9000B"/>
    <w:rsid w:val="00B92A1F"/>
    <w:rsid w:val="00B93E40"/>
    <w:rsid w:val="00B94682"/>
    <w:rsid w:val="00B9468F"/>
    <w:rsid w:val="00B95A44"/>
    <w:rsid w:val="00B96980"/>
    <w:rsid w:val="00B97A6D"/>
    <w:rsid w:val="00BA0904"/>
    <w:rsid w:val="00BA2E15"/>
    <w:rsid w:val="00BA61B7"/>
    <w:rsid w:val="00BB472B"/>
    <w:rsid w:val="00BB59FC"/>
    <w:rsid w:val="00BD079B"/>
    <w:rsid w:val="00BD0A60"/>
    <w:rsid w:val="00BD4091"/>
    <w:rsid w:val="00BD6EC9"/>
    <w:rsid w:val="00BE0ACE"/>
    <w:rsid w:val="00BE3477"/>
    <w:rsid w:val="00BE38C6"/>
    <w:rsid w:val="00BE4611"/>
    <w:rsid w:val="00BE597F"/>
    <w:rsid w:val="00BE7E38"/>
    <w:rsid w:val="00BF7A4B"/>
    <w:rsid w:val="00C02DEE"/>
    <w:rsid w:val="00C07490"/>
    <w:rsid w:val="00C13B38"/>
    <w:rsid w:val="00C13C6C"/>
    <w:rsid w:val="00C14356"/>
    <w:rsid w:val="00C1544D"/>
    <w:rsid w:val="00C26802"/>
    <w:rsid w:val="00C3482C"/>
    <w:rsid w:val="00C34B53"/>
    <w:rsid w:val="00C350CE"/>
    <w:rsid w:val="00C3561C"/>
    <w:rsid w:val="00C3795B"/>
    <w:rsid w:val="00C40520"/>
    <w:rsid w:val="00C42164"/>
    <w:rsid w:val="00C56997"/>
    <w:rsid w:val="00C57A88"/>
    <w:rsid w:val="00C6402C"/>
    <w:rsid w:val="00C65EBA"/>
    <w:rsid w:val="00C67975"/>
    <w:rsid w:val="00C70473"/>
    <w:rsid w:val="00C7162C"/>
    <w:rsid w:val="00C73637"/>
    <w:rsid w:val="00C809AF"/>
    <w:rsid w:val="00C81425"/>
    <w:rsid w:val="00C82BEB"/>
    <w:rsid w:val="00C840F3"/>
    <w:rsid w:val="00C85EF4"/>
    <w:rsid w:val="00C915C4"/>
    <w:rsid w:val="00C918AF"/>
    <w:rsid w:val="00C9551D"/>
    <w:rsid w:val="00C96A49"/>
    <w:rsid w:val="00CA7258"/>
    <w:rsid w:val="00CB19F7"/>
    <w:rsid w:val="00CB22B1"/>
    <w:rsid w:val="00CB47F0"/>
    <w:rsid w:val="00CB5B87"/>
    <w:rsid w:val="00CB7611"/>
    <w:rsid w:val="00CC1C83"/>
    <w:rsid w:val="00CC2DA0"/>
    <w:rsid w:val="00CC62F0"/>
    <w:rsid w:val="00CC6899"/>
    <w:rsid w:val="00CD0E74"/>
    <w:rsid w:val="00CD1DA7"/>
    <w:rsid w:val="00CD4DDF"/>
    <w:rsid w:val="00CD727F"/>
    <w:rsid w:val="00CE03A6"/>
    <w:rsid w:val="00CE24D5"/>
    <w:rsid w:val="00CE2831"/>
    <w:rsid w:val="00CE5AA6"/>
    <w:rsid w:val="00CF038E"/>
    <w:rsid w:val="00CF084A"/>
    <w:rsid w:val="00CF1BB7"/>
    <w:rsid w:val="00CF2D6D"/>
    <w:rsid w:val="00CF4E1A"/>
    <w:rsid w:val="00CF5864"/>
    <w:rsid w:val="00D01B4D"/>
    <w:rsid w:val="00D0219F"/>
    <w:rsid w:val="00D02AFE"/>
    <w:rsid w:val="00D02E0F"/>
    <w:rsid w:val="00D02E7F"/>
    <w:rsid w:val="00D0649A"/>
    <w:rsid w:val="00D13705"/>
    <w:rsid w:val="00D16B26"/>
    <w:rsid w:val="00D179A4"/>
    <w:rsid w:val="00D17B82"/>
    <w:rsid w:val="00D17FED"/>
    <w:rsid w:val="00D20343"/>
    <w:rsid w:val="00D26AA1"/>
    <w:rsid w:val="00D30FB1"/>
    <w:rsid w:val="00D326CB"/>
    <w:rsid w:val="00D343A9"/>
    <w:rsid w:val="00D3648C"/>
    <w:rsid w:val="00D3759E"/>
    <w:rsid w:val="00D41CD8"/>
    <w:rsid w:val="00D42B88"/>
    <w:rsid w:val="00D4391A"/>
    <w:rsid w:val="00D455C6"/>
    <w:rsid w:val="00D46B73"/>
    <w:rsid w:val="00D51945"/>
    <w:rsid w:val="00D51EA7"/>
    <w:rsid w:val="00D55175"/>
    <w:rsid w:val="00D60142"/>
    <w:rsid w:val="00D625E2"/>
    <w:rsid w:val="00D62B3F"/>
    <w:rsid w:val="00D62DC0"/>
    <w:rsid w:val="00D6391D"/>
    <w:rsid w:val="00D7022B"/>
    <w:rsid w:val="00D74DAA"/>
    <w:rsid w:val="00D7555B"/>
    <w:rsid w:val="00D77BA7"/>
    <w:rsid w:val="00D77E8A"/>
    <w:rsid w:val="00D8183B"/>
    <w:rsid w:val="00D824BC"/>
    <w:rsid w:val="00D851B3"/>
    <w:rsid w:val="00D870AC"/>
    <w:rsid w:val="00D87C65"/>
    <w:rsid w:val="00D90037"/>
    <w:rsid w:val="00D9205D"/>
    <w:rsid w:val="00D97025"/>
    <w:rsid w:val="00D97829"/>
    <w:rsid w:val="00DA32F4"/>
    <w:rsid w:val="00DA4C23"/>
    <w:rsid w:val="00DA5092"/>
    <w:rsid w:val="00DB4731"/>
    <w:rsid w:val="00DB54BC"/>
    <w:rsid w:val="00DC0949"/>
    <w:rsid w:val="00DC0EE8"/>
    <w:rsid w:val="00DC338A"/>
    <w:rsid w:val="00DC7E8D"/>
    <w:rsid w:val="00DD20FE"/>
    <w:rsid w:val="00DD381F"/>
    <w:rsid w:val="00DD4205"/>
    <w:rsid w:val="00DD6EFF"/>
    <w:rsid w:val="00DE10D2"/>
    <w:rsid w:val="00DE23A9"/>
    <w:rsid w:val="00DE48C4"/>
    <w:rsid w:val="00DF56DB"/>
    <w:rsid w:val="00DF7659"/>
    <w:rsid w:val="00E018B7"/>
    <w:rsid w:val="00E032F4"/>
    <w:rsid w:val="00E13843"/>
    <w:rsid w:val="00E13B4C"/>
    <w:rsid w:val="00E16308"/>
    <w:rsid w:val="00E2303F"/>
    <w:rsid w:val="00E318CA"/>
    <w:rsid w:val="00E3351E"/>
    <w:rsid w:val="00E37565"/>
    <w:rsid w:val="00E37EA2"/>
    <w:rsid w:val="00E43580"/>
    <w:rsid w:val="00E436C8"/>
    <w:rsid w:val="00E44AC2"/>
    <w:rsid w:val="00E45C0E"/>
    <w:rsid w:val="00E50119"/>
    <w:rsid w:val="00E55213"/>
    <w:rsid w:val="00E601D0"/>
    <w:rsid w:val="00E62283"/>
    <w:rsid w:val="00E62B01"/>
    <w:rsid w:val="00E62C5F"/>
    <w:rsid w:val="00E6308C"/>
    <w:rsid w:val="00E670D8"/>
    <w:rsid w:val="00E70106"/>
    <w:rsid w:val="00E76173"/>
    <w:rsid w:val="00E80C8B"/>
    <w:rsid w:val="00E81FF0"/>
    <w:rsid w:val="00E82150"/>
    <w:rsid w:val="00E843B0"/>
    <w:rsid w:val="00E84F9A"/>
    <w:rsid w:val="00E85EBF"/>
    <w:rsid w:val="00E86B73"/>
    <w:rsid w:val="00E95F40"/>
    <w:rsid w:val="00EA18D5"/>
    <w:rsid w:val="00EA2D9A"/>
    <w:rsid w:val="00EA397A"/>
    <w:rsid w:val="00EB03D9"/>
    <w:rsid w:val="00EB0DA4"/>
    <w:rsid w:val="00EC25ED"/>
    <w:rsid w:val="00EC49C3"/>
    <w:rsid w:val="00EC501C"/>
    <w:rsid w:val="00EC7EE1"/>
    <w:rsid w:val="00ED0116"/>
    <w:rsid w:val="00ED134F"/>
    <w:rsid w:val="00ED1DE0"/>
    <w:rsid w:val="00ED6B59"/>
    <w:rsid w:val="00EE0CCE"/>
    <w:rsid w:val="00EE16EA"/>
    <w:rsid w:val="00EE6CE0"/>
    <w:rsid w:val="00EF0C55"/>
    <w:rsid w:val="00EF198B"/>
    <w:rsid w:val="00EF29D2"/>
    <w:rsid w:val="00EF3EA7"/>
    <w:rsid w:val="00EF4F2F"/>
    <w:rsid w:val="00F021E4"/>
    <w:rsid w:val="00F03436"/>
    <w:rsid w:val="00F03840"/>
    <w:rsid w:val="00F03BE7"/>
    <w:rsid w:val="00F045E9"/>
    <w:rsid w:val="00F11560"/>
    <w:rsid w:val="00F13CC8"/>
    <w:rsid w:val="00F20272"/>
    <w:rsid w:val="00F21F73"/>
    <w:rsid w:val="00F25B4F"/>
    <w:rsid w:val="00F3023F"/>
    <w:rsid w:val="00F32CB0"/>
    <w:rsid w:val="00F36A04"/>
    <w:rsid w:val="00F36E5D"/>
    <w:rsid w:val="00F42763"/>
    <w:rsid w:val="00F456F9"/>
    <w:rsid w:val="00F532B2"/>
    <w:rsid w:val="00F54DA6"/>
    <w:rsid w:val="00F55AB7"/>
    <w:rsid w:val="00F60547"/>
    <w:rsid w:val="00F60618"/>
    <w:rsid w:val="00F60B79"/>
    <w:rsid w:val="00F6170E"/>
    <w:rsid w:val="00F62537"/>
    <w:rsid w:val="00F62D39"/>
    <w:rsid w:val="00F66A93"/>
    <w:rsid w:val="00F67A37"/>
    <w:rsid w:val="00F703C0"/>
    <w:rsid w:val="00F72BD0"/>
    <w:rsid w:val="00F735F6"/>
    <w:rsid w:val="00F74B65"/>
    <w:rsid w:val="00F74E28"/>
    <w:rsid w:val="00F76243"/>
    <w:rsid w:val="00F81DDA"/>
    <w:rsid w:val="00F850F0"/>
    <w:rsid w:val="00F8521C"/>
    <w:rsid w:val="00F875E8"/>
    <w:rsid w:val="00F90613"/>
    <w:rsid w:val="00F91711"/>
    <w:rsid w:val="00FA0E8A"/>
    <w:rsid w:val="00FA1591"/>
    <w:rsid w:val="00FA1DD8"/>
    <w:rsid w:val="00FA3576"/>
    <w:rsid w:val="00FA40AC"/>
    <w:rsid w:val="00FB1583"/>
    <w:rsid w:val="00FB1DDA"/>
    <w:rsid w:val="00FB2200"/>
    <w:rsid w:val="00FB366F"/>
    <w:rsid w:val="00FB5226"/>
    <w:rsid w:val="00FB5B57"/>
    <w:rsid w:val="00FB601A"/>
    <w:rsid w:val="00FC1EFE"/>
    <w:rsid w:val="00FC211E"/>
    <w:rsid w:val="00FC2B2F"/>
    <w:rsid w:val="00FC41DF"/>
    <w:rsid w:val="00FC4A2D"/>
    <w:rsid w:val="00FC5743"/>
    <w:rsid w:val="00FC71D3"/>
    <w:rsid w:val="00FD0559"/>
    <w:rsid w:val="00FD0DBF"/>
    <w:rsid w:val="00FD3DB6"/>
    <w:rsid w:val="00FE57C0"/>
    <w:rsid w:val="00FE7836"/>
    <w:rsid w:val="00FF0558"/>
    <w:rsid w:val="00FF0D1C"/>
    <w:rsid w:val="00FF20CC"/>
    <w:rsid w:val="00FF329B"/>
    <w:rsid w:val="00FF52D8"/>
    <w:rsid w:val="00FF7A5A"/>
    <w:rsid w:val="02C31095"/>
    <w:rsid w:val="030376E3"/>
    <w:rsid w:val="03221C10"/>
    <w:rsid w:val="033034D9"/>
    <w:rsid w:val="03C230FA"/>
    <w:rsid w:val="07FF4B94"/>
    <w:rsid w:val="08C711B3"/>
    <w:rsid w:val="0C9509E4"/>
    <w:rsid w:val="0D6F14FD"/>
    <w:rsid w:val="0DC21F49"/>
    <w:rsid w:val="11D64215"/>
    <w:rsid w:val="130F539E"/>
    <w:rsid w:val="132C3AF1"/>
    <w:rsid w:val="13995240"/>
    <w:rsid w:val="13CD0C35"/>
    <w:rsid w:val="145E6E6F"/>
    <w:rsid w:val="146D0A6C"/>
    <w:rsid w:val="14C50C9C"/>
    <w:rsid w:val="14FD6712"/>
    <w:rsid w:val="15396F94"/>
    <w:rsid w:val="16A82624"/>
    <w:rsid w:val="16E548EB"/>
    <w:rsid w:val="16EC27EB"/>
    <w:rsid w:val="1704125F"/>
    <w:rsid w:val="176E561B"/>
    <w:rsid w:val="176F66EF"/>
    <w:rsid w:val="177D47DC"/>
    <w:rsid w:val="1D154A60"/>
    <w:rsid w:val="1DBB7A7C"/>
    <w:rsid w:val="1E8F7C25"/>
    <w:rsid w:val="21AA20B5"/>
    <w:rsid w:val="21D07A77"/>
    <w:rsid w:val="235F48DA"/>
    <w:rsid w:val="238F4B68"/>
    <w:rsid w:val="24262DDA"/>
    <w:rsid w:val="244D480A"/>
    <w:rsid w:val="24B315ED"/>
    <w:rsid w:val="287700A8"/>
    <w:rsid w:val="28F419DB"/>
    <w:rsid w:val="29693E94"/>
    <w:rsid w:val="2A9071FF"/>
    <w:rsid w:val="2B0D6AA1"/>
    <w:rsid w:val="2B147E30"/>
    <w:rsid w:val="2E1F6C3B"/>
    <w:rsid w:val="2E271C28"/>
    <w:rsid w:val="2E736BEE"/>
    <w:rsid w:val="2F1F2286"/>
    <w:rsid w:val="2F370099"/>
    <w:rsid w:val="2F4078CC"/>
    <w:rsid w:val="30DF67EA"/>
    <w:rsid w:val="32245C4E"/>
    <w:rsid w:val="327467A3"/>
    <w:rsid w:val="32814C8A"/>
    <w:rsid w:val="33B977C6"/>
    <w:rsid w:val="35213875"/>
    <w:rsid w:val="36E20DE2"/>
    <w:rsid w:val="38567BB3"/>
    <w:rsid w:val="38DD3F57"/>
    <w:rsid w:val="39F16E23"/>
    <w:rsid w:val="3B514788"/>
    <w:rsid w:val="3C2E63F3"/>
    <w:rsid w:val="3D2935EA"/>
    <w:rsid w:val="3FEA7570"/>
    <w:rsid w:val="40DB5220"/>
    <w:rsid w:val="41C13BB8"/>
    <w:rsid w:val="429D567E"/>
    <w:rsid w:val="45343151"/>
    <w:rsid w:val="45774E4B"/>
    <w:rsid w:val="462C78F8"/>
    <w:rsid w:val="471357DD"/>
    <w:rsid w:val="47C242DD"/>
    <w:rsid w:val="49262DB0"/>
    <w:rsid w:val="4AFE6491"/>
    <w:rsid w:val="4EA56E6D"/>
    <w:rsid w:val="4F642884"/>
    <w:rsid w:val="4F6E54B1"/>
    <w:rsid w:val="52724828"/>
    <w:rsid w:val="54E64509"/>
    <w:rsid w:val="557D01FC"/>
    <w:rsid w:val="56881689"/>
    <w:rsid w:val="58312C75"/>
    <w:rsid w:val="5866766D"/>
    <w:rsid w:val="58DD0FB2"/>
    <w:rsid w:val="59246D29"/>
    <w:rsid w:val="59D172CC"/>
    <w:rsid w:val="59F82547"/>
    <w:rsid w:val="5AC10B8B"/>
    <w:rsid w:val="5AE40D1D"/>
    <w:rsid w:val="5BE12E76"/>
    <w:rsid w:val="5C5872CD"/>
    <w:rsid w:val="5C830522"/>
    <w:rsid w:val="5DF8034A"/>
    <w:rsid w:val="5EBF6A6A"/>
    <w:rsid w:val="5F990328"/>
    <w:rsid w:val="60F15F42"/>
    <w:rsid w:val="627E54C7"/>
    <w:rsid w:val="6500069B"/>
    <w:rsid w:val="65F36A2B"/>
    <w:rsid w:val="6654782C"/>
    <w:rsid w:val="685F3791"/>
    <w:rsid w:val="68DD65A0"/>
    <w:rsid w:val="68E90269"/>
    <w:rsid w:val="69607D31"/>
    <w:rsid w:val="69692B1A"/>
    <w:rsid w:val="696F5C56"/>
    <w:rsid w:val="6B0B5576"/>
    <w:rsid w:val="6DFD4599"/>
    <w:rsid w:val="6EDF387E"/>
    <w:rsid w:val="70001CFE"/>
    <w:rsid w:val="71065BCE"/>
    <w:rsid w:val="72273572"/>
    <w:rsid w:val="72A66B8C"/>
    <w:rsid w:val="72E476B5"/>
    <w:rsid w:val="742F4960"/>
    <w:rsid w:val="748D1686"/>
    <w:rsid w:val="778C4B7B"/>
    <w:rsid w:val="788D679B"/>
    <w:rsid w:val="78941235"/>
    <w:rsid w:val="78F67345"/>
    <w:rsid w:val="78FB42C5"/>
    <w:rsid w:val="79534C4C"/>
    <w:rsid w:val="7A97325F"/>
    <w:rsid w:val="7B4038F6"/>
    <w:rsid w:val="7BD30CB9"/>
    <w:rsid w:val="7DD272EC"/>
    <w:rsid w:val="7E243094"/>
    <w:rsid w:val="7E7D0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name="Body Text"/>
    <w:lsdException w:qFormat="1"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iPriority="0" w:name="Table Simple 1"/>
    <w:lsdException w:qFormat="1" w:uiPriority="0" w:name="Table Simple 2"/>
    <w:lsdException w:qFormat="1" w:uiPriority="0" w:name="Table Simple 3"/>
    <w:lsdException w:qFormat="1" w:uiPriority="0" w:name="Table Classic 1"/>
    <w:lsdException w:qFormat="1" w:uiPriority="0" w:name="Table Classic 2"/>
    <w:lsdException w:qFormat="1" w:uiPriority="0" w:name="Table Classic 3"/>
    <w:lsdException w:qFormat="1" w:uiPriority="0" w:name="Table Classic 4"/>
    <w:lsdException w:qFormat="1" w:uiPriority="0" w:name="Table Colorful 1"/>
    <w:lsdException w:qFormat="1" w:uiPriority="0" w:name="Table Colorful 2"/>
    <w:lsdException w:qFormat="1" w:uiPriority="0" w:name="Table Colorful 3"/>
    <w:lsdException w:qFormat="1" w:uiPriority="0" w:name="Table Columns 1"/>
    <w:lsdException w:qFormat="1" w:uiPriority="0" w:name="Table Columns 2"/>
    <w:lsdException w:qFormat="1" w:uiPriority="0" w:name="Table Columns 3"/>
    <w:lsdException w:qFormat="1" w:uiPriority="0" w:name="Table Columns 4"/>
    <w:lsdException w:qFormat="1" w:uiPriority="0" w:name="Table Columns 5"/>
    <w:lsdException w:qFormat="1" w:uiPriority="0" w:name="Table Grid 1"/>
    <w:lsdException w:qFormat="1" w:uiPriority="0" w:name="Table Grid 2"/>
    <w:lsdException w:qFormat="1" w:uiPriority="0" w:name="Table Grid 3"/>
    <w:lsdException w:qFormat="1" w:uiPriority="0" w:name="Table Grid 4"/>
    <w:lsdException w:qFormat="1" w:uiPriority="0" w:name="Table Grid 5"/>
    <w:lsdException w:qFormat="1" w:uiPriority="0" w:name="Table Grid 6"/>
    <w:lsdException w:qFormat="1" w:uiPriority="0" w:name="Table Grid 7"/>
    <w:lsdException w:qFormat="1" w:uiPriority="0" w:name="Table Grid 8"/>
    <w:lsdException w:qFormat="1" w:uiPriority="0" w:name="Table List 1"/>
    <w:lsdException w:qFormat="1" w:uiPriority="0" w:name="Table List 2"/>
    <w:lsdException w:qFormat="1" w:uiPriority="0" w:name="Table List 3"/>
    <w:lsdException w:qFormat="1" w:uiPriority="0" w:name="Table List 4"/>
    <w:lsdException w:qFormat="1" w:uiPriority="0" w:name="Table List 5"/>
    <w:lsdException w:qFormat="1" w:uiPriority="0" w:name="Table List 6"/>
    <w:lsdException w:qFormat="1" w:uiPriority="0" w:name="Table List 7"/>
    <w:lsdException w:qFormat="1" w:uiPriority="0" w:name="Table List 8"/>
    <w:lsdException w:qFormat="1" w:uiPriority="0" w:name="Table 3D effects 1"/>
    <w:lsdException w:qFormat="1" w:uiPriority="0" w:name="Table 3D effects 2"/>
    <w:lsdException w:qFormat="1" w:uiPriority="0" w:name="Table 3D effects 3"/>
    <w:lsdException w:qFormat="1" w:uiPriority="0" w:name="Table Contemporary"/>
    <w:lsdException w:qFormat="1" w:uiPriority="0" w:name="Table Elegant"/>
    <w:lsdException w:qFormat="1" w:uiPriority="0" w:name="Table Professional"/>
    <w:lsdException w:qFormat="1" w:uiPriority="0" w:name="Table Subtle 1"/>
    <w:lsdException w:qFormat="1" w:uiPriority="0" w:name="Table Subtle 2"/>
    <w:lsdException w:qFormat="1" w:uiPriority="0" w:name="Table Web 1"/>
    <w:lsdException w:qFormat="1" w:uiPriority="0" w:name="Table Web 2"/>
    <w:lsdException w:qFormat="1" w:uiPriority="0" w:name="Table Web 3"/>
    <w:lsdException w:qFormat="1" w:unhideWhenUsed="0" w:uiPriority="0" w:semiHidden="0" w:name="Balloon Text"/>
    <w:lsdException w:qFormat="1" w:unhideWhenUsed="0" w:uiPriority="0" w:semiHidden="0" w:name="Table Grid"/>
    <w:lsdException w:qFormat="1" w:uiPriority="99" w:semiHidden="0" w:name="Table Theme"/>
    <w:lsdException w:qFormat="1" w:uiPriority="99" w:name="Placeholder Text"/>
    <w:lsdException w:qFormat="1" w:uiPriority="99"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99" w:semiHidden="0" w:name="List Paragraph"/>
    <w:lsdException w:qFormat="1" w:uiPriority="99" w:name="Quote"/>
    <w:lsdException w:qFormat="1" w:uiPriority="99"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eastAsia="黑体"/>
      <w:b/>
      <w:sz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paragraph" w:styleId="6">
    <w:name w:val="heading 4"/>
    <w:basedOn w:val="1"/>
    <w:next w:val="1"/>
    <w:unhideWhenUsed/>
    <w:qFormat/>
    <w:uiPriority w:val="0"/>
    <w:pPr>
      <w:keepNext/>
      <w:keepLines/>
      <w:spacing w:before="280" w:after="290" w:line="372" w:lineRule="auto"/>
      <w:outlineLvl w:val="3"/>
    </w:pPr>
    <w:rPr>
      <w:rFonts w:eastAsia="黑体"/>
      <w:b/>
      <w:sz w:val="28"/>
    </w:rPr>
  </w:style>
  <w:style w:type="paragraph" w:styleId="7">
    <w:name w:val="heading 5"/>
    <w:basedOn w:val="1"/>
    <w:next w:val="1"/>
    <w:link w:val="546"/>
    <w:semiHidden/>
    <w:unhideWhenUsed/>
    <w:qFormat/>
    <w:uiPriority w:val="0"/>
    <w:pPr>
      <w:keepNext/>
      <w:keepLines/>
      <w:spacing w:before="280" w:after="290" w:line="376" w:lineRule="auto"/>
      <w:outlineLvl w:val="4"/>
    </w:pPr>
    <w:rPr>
      <w:b/>
      <w:bCs/>
      <w:sz w:val="28"/>
      <w:szCs w:val="28"/>
    </w:rPr>
  </w:style>
  <w:style w:type="paragraph" w:styleId="8">
    <w:name w:val="heading 6"/>
    <w:basedOn w:val="1"/>
    <w:next w:val="1"/>
    <w:link w:val="547"/>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548"/>
    <w:semiHidden/>
    <w:unhideWhenUsed/>
    <w:qFormat/>
    <w:uiPriority w:val="0"/>
    <w:pPr>
      <w:keepNext/>
      <w:keepLines/>
      <w:spacing w:before="240" w:after="64" w:line="320" w:lineRule="auto"/>
      <w:outlineLvl w:val="6"/>
    </w:pPr>
    <w:rPr>
      <w:b/>
      <w:bCs/>
      <w:sz w:val="24"/>
      <w:szCs w:val="24"/>
    </w:rPr>
  </w:style>
  <w:style w:type="paragraph" w:styleId="10">
    <w:name w:val="heading 8"/>
    <w:basedOn w:val="1"/>
    <w:next w:val="1"/>
    <w:link w:val="549"/>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550"/>
    <w:semiHidden/>
    <w:unhideWhenUsed/>
    <w:qFormat/>
    <w:uiPriority w:val="0"/>
    <w:pPr>
      <w:keepNext/>
      <w:keepLines/>
      <w:spacing w:before="240" w:after="64" w:line="320" w:lineRule="auto"/>
      <w:outlineLvl w:val="8"/>
    </w:pPr>
    <w:rPr>
      <w:rFonts w:asciiTheme="majorHAnsi" w:hAnsiTheme="majorHAnsi" w:eastAsiaTheme="majorEastAsia" w:cstheme="majorBidi"/>
    </w:rPr>
  </w:style>
  <w:style w:type="character" w:default="1" w:styleId="319">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556"/>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textAlignment w:val="baseline"/>
    </w:pPr>
    <w:rPr>
      <w:rFonts w:ascii="Courier New" w:hAnsi="Courier New" w:eastAsia="宋体" w:cs="Courier New"/>
      <w:snapToGrid w:val="0"/>
      <w:color w:val="000000"/>
      <w:sz w:val="24"/>
      <w:szCs w:val="24"/>
      <w:lang w:val="en-US" w:eastAsia="en-US" w:bidi="ar-SA"/>
    </w:rPr>
  </w:style>
  <w:style w:type="paragraph" w:styleId="12">
    <w:name w:val="List 3"/>
    <w:basedOn w:val="1"/>
    <w:qFormat/>
    <w:uiPriority w:val="0"/>
    <w:pPr>
      <w:ind w:left="100" w:leftChars="400" w:hanging="200" w:hangingChars="200"/>
      <w:contextualSpacing/>
    </w:pPr>
  </w:style>
  <w:style w:type="paragraph" w:styleId="13">
    <w:name w:val="toc 7"/>
    <w:basedOn w:val="1"/>
    <w:next w:val="1"/>
    <w:qFormat/>
    <w:uiPriority w:val="0"/>
    <w:pPr>
      <w:ind w:left="2520" w:leftChars="1200"/>
    </w:pPr>
  </w:style>
  <w:style w:type="paragraph" w:styleId="14">
    <w:name w:val="List Number 2"/>
    <w:basedOn w:val="1"/>
    <w:qFormat/>
    <w:uiPriority w:val="0"/>
    <w:pPr>
      <w:numPr>
        <w:ilvl w:val="0"/>
        <w:numId w:val="1"/>
      </w:numPr>
      <w:contextualSpacing/>
    </w:pPr>
  </w:style>
  <w:style w:type="paragraph" w:styleId="15">
    <w:name w:val="table of authorities"/>
    <w:basedOn w:val="1"/>
    <w:next w:val="1"/>
    <w:qFormat/>
    <w:uiPriority w:val="0"/>
    <w:pPr>
      <w:ind w:left="420" w:leftChars="200"/>
    </w:pPr>
  </w:style>
  <w:style w:type="paragraph" w:styleId="16">
    <w:name w:val="Note Heading"/>
    <w:basedOn w:val="1"/>
    <w:next w:val="1"/>
    <w:link w:val="811"/>
    <w:qFormat/>
    <w:uiPriority w:val="0"/>
    <w:pPr>
      <w:jc w:val="center"/>
    </w:pPr>
  </w:style>
  <w:style w:type="paragraph" w:styleId="17">
    <w:name w:val="List Bullet 4"/>
    <w:basedOn w:val="1"/>
    <w:qFormat/>
    <w:uiPriority w:val="0"/>
    <w:pPr>
      <w:numPr>
        <w:ilvl w:val="0"/>
        <w:numId w:val="2"/>
      </w:numPr>
      <w:contextualSpacing/>
    </w:pPr>
  </w:style>
  <w:style w:type="paragraph" w:styleId="18">
    <w:name w:val="index 8"/>
    <w:basedOn w:val="1"/>
    <w:next w:val="1"/>
    <w:qFormat/>
    <w:uiPriority w:val="0"/>
    <w:pPr>
      <w:ind w:left="1400" w:leftChars="1400"/>
    </w:pPr>
  </w:style>
  <w:style w:type="paragraph" w:styleId="19">
    <w:name w:val="E-mail Signature"/>
    <w:basedOn w:val="1"/>
    <w:link w:val="554"/>
    <w:qFormat/>
    <w:uiPriority w:val="0"/>
  </w:style>
  <w:style w:type="paragraph" w:styleId="20">
    <w:name w:val="List Number"/>
    <w:basedOn w:val="1"/>
    <w:qFormat/>
    <w:uiPriority w:val="0"/>
    <w:pPr>
      <w:numPr>
        <w:ilvl w:val="0"/>
        <w:numId w:val="3"/>
      </w:numPr>
      <w:contextualSpacing/>
    </w:pPr>
  </w:style>
  <w:style w:type="paragraph" w:styleId="21">
    <w:name w:val="Normal Indent"/>
    <w:basedOn w:val="1"/>
    <w:qFormat/>
    <w:uiPriority w:val="0"/>
    <w:pPr>
      <w:ind w:firstLine="420" w:firstLineChars="200"/>
    </w:pPr>
  </w:style>
  <w:style w:type="paragraph" w:styleId="22">
    <w:name w:val="caption"/>
    <w:basedOn w:val="1"/>
    <w:next w:val="1"/>
    <w:semiHidden/>
    <w:unhideWhenUsed/>
    <w:qFormat/>
    <w:uiPriority w:val="0"/>
    <w:rPr>
      <w:rFonts w:eastAsia="黑体" w:asciiTheme="majorHAnsi" w:hAnsiTheme="majorHAnsi" w:cstheme="majorBidi"/>
      <w:sz w:val="20"/>
      <w:szCs w:val="20"/>
    </w:rPr>
  </w:style>
  <w:style w:type="paragraph" w:styleId="23">
    <w:name w:val="index 5"/>
    <w:next w:val="1"/>
    <w:unhideWhenUsed/>
    <w:qFormat/>
    <w:uiPriority w:val="0"/>
    <w:pPr>
      <w:widowControl w:val="0"/>
      <w:ind w:left="1680"/>
    </w:pPr>
    <w:rPr>
      <w:rFonts w:ascii="宋体" w:hAnsi="Times New Roman" w:eastAsia="宋体" w:cs="Times New Roman"/>
      <w:kern w:val="2"/>
      <w:sz w:val="24"/>
      <w:szCs w:val="21"/>
      <w:lang w:val="en-US" w:eastAsia="zh-CN" w:bidi="ar-SA"/>
    </w:rPr>
  </w:style>
  <w:style w:type="paragraph" w:styleId="24">
    <w:name w:val="List Bullet"/>
    <w:basedOn w:val="1"/>
    <w:qFormat/>
    <w:uiPriority w:val="0"/>
    <w:pPr>
      <w:numPr>
        <w:ilvl w:val="0"/>
        <w:numId w:val="4"/>
      </w:numPr>
      <w:contextualSpacing/>
    </w:pPr>
  </w:style>
  <w:style w:type="paragraph" w:styleId="25">
    <w:name w:val="envelope address"/>
    <w:basedOn w:val="1"/>
    <w:qFormat/>
    <w:uiPriority w:val="0"/>
    <w:pPr>
      <w:framePr w:w="7920" w:h="1980" w:hRule="exact" w:hSpace="180" w:wrap="auto" w:vAnchor="margin" w:hAnchor="page" w:xAlign="center" w:yAlign="bottom"/>
      <w:ind w:left="100" w:leftChars="1400"/>
    </w:pPr>
    <w:rPr>
      <w:rFonts w:asciiTheme="majorHAnsi" w:hAnsiTheme="majorHAnsi" w:eastAsiaTheme="majorEastAsia" w:cstheme="majorBidi"/>
      <w:sz w:val="24"/>
      <w:szCs w:val="24"/>
    </w:rPr>
  </w:style>
  <w:style w:type="paragraph" w:styleId="26">
    <w:name w:val="Document Map"/>
    <w:basedOn w:val="1"/>
    <w:link w:val="784"/>
    <w:qFormat/>
    <w:uiPriority w:val="0"/>
    <w:rPr>
      <w:rFonts w:ascii="Microsoft YaHei UI" w:eastAsia="Microsoft YaHei UI"/>
      <w:sz w:val="18"/>
      <w:szCs w:val="18"/>
    </w:rPr>
  </w:style>
  <w:style w:type="paragraph" w:styleId="27">
    <w:name w:val="toa heading"/>
    <w:basedOn w:val="1"/>
    <w:next w:val="1"/>
    <w:qFormat/>
    <w:uiPriority w:val="0"/>
    <w:pPr>
      <w:spacing w:before="120"/>
    </w:pPr>
    <w:rPr>
      <w:rFonts w:asciiTheme="majorHAnsi" w:hAnsiTheme="majorHAnsi" w:eastAsiaTheme="majorEastAsia" w:cstheme="majorBidi"/>
      <w:sz w:val="24"/>
      <w:szCs w:val="24"/>
    </w:rPr>
  </w:style>
  <w:style w:type="paragraph" w:styleId="28">
    <w:name w:val="annotation text"/>
    <w:basedOn w:val="1"/>
    <w:link w:val="535"/>
    <w:qFormat/>
    <w:uiPriority w:val="0"/>
  </w:style>
  <w:style w:type="paragraph" w:styleId="29">
    <w:name w:val="index 6"/>
    <w:basedOn w:val="1"/>
    <w:next w:val="1"/>
    <w:qFormat/>
    <w:uiPriority w:val="0"/>
    <w:pPr>
      <w:ind w:left="1000" w:leftChars="1000"/>
    </w:pPr>
  </w:style>
  <w:style w:type="paragraph" w:styleId="30">
    <w:name w:val="Salutation"/>
    <w:basedOn w:val="1"/>
    <w:next w:val="1"/>
    <w:link w:val="553"/>
    <w:qFormat/>
    <w:uiPriority w:val="0"/>
  </w:style>
  <w:style w:type="paragraph" w:styleId="31">
    <w:name w:val="Body Text 3"/>
    <w:basedOn w:val="1"/>
    <w:link w:val="802"/>
    <w:qFormat/>
    <w:uiPriority w:val="0"/>
    <w:pPr>
      <w:spacing w:after="120"/>
    </w:pPr>
    <w:rPr>
      <w:sz w:val="16"/>
      <w:szCs w:val="16"/>
    </w:rPr>
  </w:style>
  <w:style w:type="paragraph" w:styleId="32">
    <w:name w:val="Closing"/>
    <w:basedOn w:val="1"/>
    <w:link w:val="558"/>
    <w:qFormat/>
    <w:uiPriority w:val="0"/>
    <w:pPr>
      <w:ind w:left="100" w:leftChars="2100"/>
    </w:pPr>
  </w:style>
  <w:style w:type="paragraph" w:styleId="33">
    <w:name w:val="List Bullet 3"/>
    <w:basedOn w:val="1"/>
    <w:qFormat/>
    <w:uiPriority w:val="0"/>
    <w:pPr>
      <w:numPr>
        <w:ilvl w:val="0"/>
        <w:numId w:val="5"/>
      </w:numPr>
      <w:contextualSpacing/>
    </w:pPr>
  </w:style>
  <w:style w:type="paragraph" w:styleId="34">
    <w:name w:val="Body Text"/>
    <w:basedOn w:val="1"/>
    <w:link w:val="803"/>
    <w:semiHidden/>
    <w:qFormat/>
    <w:uiPriority w:val="0"/>
  </w:style>
  <w:style w:type="paragraph" w:styleId="35">
    <w:name w:val="Body Text Indent"/>
    <w:basedOn w:val="1"/>
    <w:next w:val="36"/>
    <w:link w:val="805"/>
    <w:unhideWhenUsed/>
    <w:qFormat/>
    <w:uiPriority w:val="99"/>
    <w:pPr>
      <w:spacing w:after="120"/>
      <w:ind w:left="420" w:leftChars="200"/>
    </w:pPr>
  </w:style>
  <w:style w:type="paragraph" w:styleId="3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37">
    <w:name w:val="List Number 3"/>
    <w:basedOn w:val="1"/>
    <w:qFormat/>
    <w:uiPriority w:val="0"/>
    <w:pPr>
      <w:numPr>
        <w:ilvl w:val="0"/>
        <w:numId w:val="6"/>
      </w:numPr>
      <w:contextualSpacing/>
    </w:pPr>
  </w:style>
  <w:style w:type="paragraph" w:styleId="38">
    <w:name w:val="List 2"/>
    <w:basedOn w:val="1"/>
    <w:qFormat/>
    <w:uiPriority w:val="0"/>
    <w:pPr>
      <w:ind w:left="100" w:leftChars="200" w:hanging="200" w:hangingChars="200"/>
      <w:contextualSpacing/>
    </w:pPr>
  </w:style>
  <w:style w:type="paragraph" w:styleId="39">
    <w:name w:val="List Continue"/>
    <w:basedOn w:val="1"/>
    <w:qFormat/>
    <w:uiPriority w:val="0"/>
    <w:pPr>
      <w:spacing w:after="120"/>
      <w:ind w:left="420" w:leftChars="200"/>
      <w:contextualSpacing/>
    </w:p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7"/>
      </w:numPr>
      <w:contextualSpacing/>
    </w:pPr>
  </w:style>
  <w:style w:type="paragraph" w:styleId="42">
    <w:name w:val="HTML Address"/>
    <w:basedOn w:val="1"/>
    <w:link w:val="539"/>
    <w:qFormat/>
    <w:uiPriority w:val="0"/>
    <w:rPr>
      <w:i/>
      <w:iCs/>
    </w:rPr>
  </w:style>
  <w:style w:type="paragraph" w:styleId="43">
    <w:name w:val="index 4"/>
    <w:basedOn w:val="1"/>
    <w:next w:val="1"/>
    <w:qFormat/>
    <w:uiPriority w:val="0"/>
    <w:pPr>
      <w:ind w:left="600" w:leftChars="600"/>
    </w:pPr>
  </w:style>
  <w:style w:type="paragraph" w:styleId="44">
    <w:name w:val="toc 5"/>
    <w:basedOn w:val="1"/>
    <w:next w:val="1"/>
    <w:qFormat/>
    <w:uiPriority w:val="0"/>
    <w:pPr>
      <w:ind w:left="1680" w:leftChars="800"/>
    </w:pPr>
  </w:style>
  <w:style w:type="paragraph" w:styleId="45">
    <w:name w:val="toc 3"/>
    <w:basedOn w:val="1"/>
    <w:next w:val="1"/>
    <w:qFormat/>
    <w:uiPriority w:val="39"/>
    <w:pPr>
      <w:ind w:left="840" w:leftChars="400"/>
    </w:pPr>
  </w:style>
  <w:style w:type="paragraph" w:styleId="46">
    <w:name w:val="Plain Text"/>
    <w:basedOn w:val="1"/>
    <w:qFormat/>
    <w:uiPriority w:val="0"/>
    <w:pPr>
      <w:spacing w:before="100" w:beforeAutospacing="1" w:after="100" w:afterAutospacing="1"/>
    </w:pPr>
    <w:rPr>
      <w:rFonts w:ascii="宋体" w:hAnsi="宋体" w:cs="宋体"/>
      <w:sz w:val="24"/>
    </w:rPr>
  </w:style>
  <w:style w:type="paragraph" w:styleId="47">
    <w:name w:val="List Bullet 5"/>
    <w:basedOn w:val="1"/>
    <w:qFormat/>
    <w:uiPriority w:val="0"/>
    <w:pPr>
      <w:numPr>
        <w:ilvl w:val="0"/>
        <w:numId w:val="8"/>
      </w:numPr>
      <w:contextualSpacing/>
    </w:pPr>
  </w:style>
  <w:style w:type="paragraph" w:styleId="48">
    <w:name w:val="List Number 4"/>
    <w:basedOn w:val="1"/>
    <w:qFormat/>
    <w:uiPriority w:val="0"/>
    <w:pPr>
      <w:numPr>
        <w:ilvl w:val="0"/>
        <w:numId w:val="9"/>
      </w:numPr>
      <w:contextualSpacing/>
    </w:pPr>
  </w:style>
  <w:style w:type="paragraph" w:styleId="49">
    <w:name w:val="toc 8"/>
    <w:basedOn w:val="1"/>
    <w:next w:val="1"/>
    <w:qFormat/>
    <w:uiPriority w:val="0"/>
    <w:pPr>
      <w:ind w:left="2940" w:leftChars="1400"/>
    </w:pPr>
  </w:style>
  <w:style w:type="paragraph" w:styleId="50">
    <w:name w:val="index 3"/>
    <w:basedOn w:val="1"/>
    <w:next w:val="1"/>
    <w:qFormat/>
    <w:uiPriority w:val="0"/>
    <w:pPr>
      <w:ind w:left="400" w:leftChars="400"/>
    </w:pPr>
  </w:style>
  <w:style w:type="paragraph" w:styleId="51">
    <w:name w:val="Date"/>
    <w:basedOn w:val="1"/>
    <w:next w:val="1"/>
    <w:link w:val="684"/>
    <w:qFormat/>
    <w:uiPriority w:val="0"/>
    <w:pPr>
      <w:ind w:left="100" w:leftChars="2500"/>
    </w:pPr>
  </w:style>
  <w:style w:type="paragraph" w:styleId="52">
    <w:name w:val="Body Text Indent 2"/>
    <w:basedOn w:val="1"/>
    <w:link w:val="807"/>
    <w:qFormat/>
    <w:uiPriority w:val="0"/>
    <w:pPr>
      <w:spacing w:after="120" w:line="480" w:lineRule="auto"/>
      <w:ind w:left="420" w:leftChars="200"/>
    </w:pPr>
  </w:style>
  <w:style w:type="paragraph" w:styleId="53">
    <w:name w:val="endnote text"/>
    <w:basedOn w:val="1"/>
    <w:link w:val="782"/>
    <w:qFormat/>
    <w:uiPriority w:val="0"/>
  </w:style>
  <w:style w:type="paragraph" w:styleId="54">
    <w:name w:val="List Continue 5"/>
    <w:basedOn w:val="1"/>
    <w:qFormat/>
    <w:uiPriority w:val="0"/>
    <w:pPr>
      <w:spacing w:after="120"/>
      <w:ind w:left="2100" w:leftChars="1000"/>
      <w:contextualSpacing/>
    </w:pPr>
  </w:style>
  <w:style w:type="paragraph" w:styleId="55">
    <w:name w:val="Balloon Text"/>
    <w:basedOn w:val="1"/>
    <w:next w:val="56"/>
    <w:qFormat/>
    <w:uiPriority w:val="0"/>
    <w:rPr>
      <w:sz w:val="18"/>
      <w:szCs w:val="18"/>
    </w:rPr>
  </w:style>
  <w:style w:type="paragraph" w:customStyle="1" w:styleId="56">
    <w:name w:val="正文缩进311"/>
    <w:next w:val="1"/>
    <w:qFormat/>
    <w:uiPriority w:val="0"/>
    <w:pPr>
      <w:wordWrap w:val="0"/>
      <w:ind w:left="3400"/>
      <w:jc w:val="both"/>
    </w:pPr>
    <w:rPr>
      <w:rFonts w:ascii="Calibri" w:hAnsi="Calibri" w:eastAsia="宋体" w:cs="Times New Roman"/>
      <w:sz w:val="21"/>
      <w:szCs w:val="22"/>
      <w:lang w:val="en-US" w:eastAsia="zh-CN" w:bidi="ar-SA"/>
    </w:rPr>
  </w:style>
  <w:style w:type="paragraph" w:styleId="57">
    <w:name w:val="footer"/>
    <w:basedOn w:val="1"/>
    <w:link w:val="537"/>
    <w:qFormat/>
    <w:uiPriority w:val="99"/>
    <w:pPr>
      <w:tabs>
        <w:tab w:val="center" w:pos="4153"/>
        <w:tab w:val="right" w:pos="8306"/>
      </w:tabs>
    </w:pPr>
    <w:rPr>
      <w:sz w:val="18"/>
      <w:szCs w:val="18"/>
    </w:rPr>
  </w:style>
  <w:style w:type="paragraph" w:styleId="58">
    <w:name w:val="envelope return"/>
    <w:basedOn w:val="1"/>
    <w:qFormat/>
    <w:uiPriority w:val="0"/>
    <w:rPr>
      <w:rFonts w:asciiTheme="majorHAnsi" w:hAnsiTheme="majorHAnsi" w:eastAsiaTheme="majorEastAsia" w:cstheme="majorBidi"/>
    </w:rPr>
  </w:style>
  <w:style w:type="paragraph" w:styleId="59">
    <w:name w:val="Signature"/>
    <w:basedOn w:val="1"/>
    <w:link w:val="571"/>
    <w:qFormat/>
    <w:uiPriority w:val="0"/>
    <w:pPr>
      <w:ind w:left="100" w:leftChars="2100"/>
    </w:pPr>
  </w:style>
  <w:style w:type="paragraph" w:styleId="60">
    <w:name w:val="toc 1"/>
    <w:basedOn w:val="1"/>
    <w:next w:val="1"/>
    <w:qFormat/>
    <w:uiPriority w:val="39"/>
  </w:style>
  <w:style w:type="paragraph" w:styleId="61">
    <w:name w:val="List Continue 4"/>
    <w:basedOn w:val="1"/>
    <w:qFormat/>
    <w:uiPriority w:val="0"/>
    <w:pPr>
      <w:spacing w:after="120"/>
      <w:ind w:left="1680" w:leftChars="800"/>
      <w:contextualSpacing/>
    </w:pPr>
  </w:style>
  <w:style w:type="paragraph" w:styleId="62">
    <w:name w:val="toc 4"/>
    <w:basedOn w:val="1"/>
    <w:next w:val="1"/>
    <w:qFormat/>
    <w:uiPriority w:val="0"/>
    <w:pPr>
      <w:ind w:left="1260" w:leftChars="600"/>
    </w:pPr>
  </w:style>
  <w:style w:type="paragraph" w:styleId="63">
    <w:name w:val="index heading"/>
    <w:basedOn w:val="1"/>
    <w:next w:val="64"/>
    <w:qFormat/>
    <w:uiPriority w:val="0"/>
    <w:rPr>
      <w:rFonts w:asciiTheme="majorHAnsi" w:hAnsiTheme="majorHAnsi" w:eastAsiaTheme="majorEastAsia" w:cstheme="majorBidi"/>
      <w:b/>
      <w:bCs/>
    </w:rPr>
  </w:style>
  <w:style w:type="paragraph" w:styleId="64">
    <w:name w:val="index 1"/>
    <w:basedOn w:val="1"/>
    <w:next w:val="1"/>
    <w:qFormat/>
    <w:uiPriority w:val="0"/>
  </w:style>
  <w:style w:type="paragraph" w:styleId="65">
    <w:name w:val="Subtitle"/>
    <w:basedOn w:val="1"/>
    <w:next w:val="1"/>
    <w:link w:val="555"/>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66">
    <w:name w:val="List Number 5"/>
    <w:basedOn w:val="1"/>
    <w:qFormat/>
    <w:uiPriority w:val="0"/>
    <w:pPr>
      <w:numPr>
        <w:ilvl w:val="0"/>
        <w:numId w:val="10"/>
      </w:numPr>
      <w:contextualSpacing/>
    </w:pPr>
  </w:style>
  <w:style w:type="paragraph" w:styleId="67">
    <w:name w:val="List"/>
    <w:basedOn w:val="1"/>
    <w:qFormat/>
    <w:uiPriority w:val="0"/>
    <w:pPr>
      <w:ind w:left="200" w:hanging="200" w:hangingChars="200"/>
      <w:contextualSpacing/>
    </w:pPr>
  </w:style>
  <w:style w:type="paragraph" w:styleId="68">
    <w:name w:val="footnote text"/>
    <w:basedOn w:val="1"/>
    <w:link w:val="557"/>
    <w:qFormat/>
    <w:uiPriority w:val="0"/>
    <w:rPr>
      <w:sz w:val="18"/>
      <w:szCs w:val="18"/>
    </w:rPr>
  </w:style>
  <w:style w:type="paragraph" w:styleId="69">
    <w:name w:val="toc 6"/>
    <w:basedOn w:val="1"/>
    <w:next w:val="1"/>
    <w:qFormat/>
    <w:uiPriority w:val="0"/>
    <w:pPr>
      <w:ind w:left="2100" w:leftChars="1000"/>
    </w:pPr>
  </w:style>
  <w:style w:type="paragraph" w:styleId="70">
    <w:name w:val="List 5"/>
    <w:basedOn w:val="1"/>
    <w:qFormat/>
    <w:uiPriority w:val="0"/>
    <w:pPr>
      <w:ind w:left="100" w:leftChars="800" w:hanging="200" w:hangingChars="200"/>
      <w:contextualSpacing/>
    </w:pPr>
  </w:style>
  <w:style w:type="paragraph" w:styleId="71">
    <w:name w:val="Body Text Indent 3"/>
    <w:basedOn w:val="1"/>
    <w:link w:val="808"/>
    <w:qFormat/>
    <w:uiPriority w:val="0"/>
    <w:pPr>
      <w:spacing w:after="120"/>
      <w:ind w:left="420" w:leftChars="200"/>
    </w:pPr>
    <w:rPr>
      <w:sz w:val="16"/>
      <w:szCs w:val="16"/>
    </w:rPr>
  </w:style>
  <w:style w:type="paragraph" w:styleId="72">
    <w:name w:val="index 7"/>
    <w:basedOn w:val="1"/>
    <w:next w:val="1"/>
    <w:qFormat/>
    <w:uiPriority w:val="0"/>
    <w:pPr>
      <w:ind w:left="1200" w:leftChars="1200"/>
    </w:pPr>
  </w:style>
  <w:style w:type="paragraph" w:styleId="73">
    <w:name w:val="index 9"/>
    <w:basedOn w:val="1"/>
    <w:next w:val="1"/>
    <w:qFormat/>
    <w:uiPriority w:val="0"/>
    <w:pPr>
      <w:ind w:left="1600" w:leftChars="1600"/>
    </w:pPr>
  </w:style>
  <w:style w:type="paragraph" w:styleId="74">
    <w:name w:val="table of figures"/>
    <w:basedOn w:val="1"/>
    <w:next w:val="1"/>
    <w:qFormat/>
    <w:uiPriority w:val="0"/>
    <w:pPr>
      <w:ind w:left="200" w:leftChars="200" w:hanging="200" w:hangingChars="200"/>
    </w:pPr>
  </w:style>
  <w:style w:type="paragraph" w:styleId="75">
    <w:name w:val="toc 2"/>
    <w:basedOn w:val="1"/>
    <w:next w:val="1"/>
    <w:qFormat/>
    <w:uiPriority w:val="39"/>
    <w:pPr>
      <w:ind w:left="420" w:leftChars="200"/>
    </w:pPr>
  </w:style>
  <w:style w:type="paragraph" w:styleId="76">
    <w:name w:val="toc 9"/>
    <w:basedOn w:val="1"/>
    <w:next w:val="1"/>
    <w:qFormat/>
    <w:uiPriority w:val="0"/>
    <w:pPr>
      <w:ind w:left="3360" w:leftChars="1600"/>
    </w:pPr>
  </w:style>
  <w:style w:type="paragraph" w:styleId="77">
    <w:name w:val="Body Text 2"/>
    <w:basedOn w:val="1"/>
    <w:link w:val="801"/>
    <w:qFormat/>
    <w:uiPriority w:val="0"/>
    <w:pPr>
      <w:spacing w:after="120" w:line="480" w:lineRule="auto"/>
    </w:pPr>
  </w:style>
  <w:style w:type="paragraph" w:styleId="78">
    <w:name w:val="List 4"/>
    <w:basedOn w:val="1"/>
    <w:qFormat/>
    <w:uiPriority w:val="0"/>
    <w:pPr>
      <w:ind w:left="100" w:leftChars="600" w:hanging="200" w:hangingChars="200"/>
      <w:contextualSpacing/>
    </w:pPr>
  </w:style>
  <w:style w:type="paragraph" w:styleId="79">
    <w:name w:val="List Continue 2"/>
    <w:basedOn w:val="1"/>
    <w:qFormat/>
    <w:uiPriority w:val="0"/>
    <w:pPr>
      <w:spacing w:after="120"/>
      <w:ind w:left="840" w:leftChars="400"/>
      <w:contextualSpacing/>
    </w:pPr>
  </w:style>
  <w:style w:type="paragraph" w:styleId="80">
    <w:name w:val="Message Header"/>
    <w:basedOn w:val="1"/>
    <w:link w:val="79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81">
    <w:name w:val="HTML Preformatted"/>
    <w:basedOn w:val="1"/>
    <w:link w:val="540"/>
    <w:qFormat/>
    <w:uiPriority w:val="0"/>
    <w:rPr>
      <w:rFonts w:ascii="Courier New" w:hAnsi="Courier New" w:cs="Courier New"/>
      <w:sz w:val="20"/>
      <w:szCs w:val="20"/>
    </w:rPr>
  </w:style>
  <w:style w:type="paragraph" w:styleId="82">
    <w:name w:val="Normal (Web)"/>
    <w:basedOn w:val="1"/>
    <w:qFormat/>
    <w:uiPriority w:val="0"/>
    <w:pPr>
      <w:spacing w:beforeAutospacing="1" w:afterAutospacing="1"/>
    </w:pPr>
    <w:rPr>
      <w:rFonts w:cs="Times New Roman"/>
      <w:sz w:val="24"/>
      <w:lang w:eastAsia="zh-CN"/>
    </w:rPr>
  </w:style>
  <w:style w:type="paragraph" w:styleId="83">
    <w:name w:val="List Continue 3"/>
    <w:basedOn w:val="1"/>
    <w:qFormat/>
    <w:uiPriority w:val="0"/>
    <w:pPr>
      <w:spacing w:after="120"/>
      <w:ind w:left="1260" w:leftChars="600"/>
      <w:contextualSpacing/>
    </w:pPr>
  </w:style>
  <w:style w:type="paragraph" w:styleId="84">
    <w:name w:val="index 2"/>
    <w:basedOn w:val="1"/>
    <w:next w:val="1"/>
    <w:qFormat/>
    <w:uiPriority w:val="0"/>
    <w:pPr>
      <w:ind w:left="200" w:leftChars="200"/>
    </w:pPr>
  </w:style>
  <w:style w:type="paragraph" w:styleId="85">
    <w:name w:val="Title"/>
    <w:basedOn w:val="1"/>
    <w:next w:val="1"/>
    <w:link w:val="545"/>
    <w:qFormat/>
    <w:uiPriority w:val="0"/>
    <w:pPr>
      <w:spacing w:before="240" w:after="60"/>
      <w:jc w:val="center"/>
      <w:outlineLvl w:val="0"/>
    </w:pPr>
    <w:rPr>
      <w:rFonts w:asciiTheme="majorHAnsi" w:hAnsiTheme="majorHAnsi" w:eastAsiaTheme="majorEastAsia" w:cstheme="majorBidi"/>
      <w:b/>
      <w:bCs/>
      <w:sz w:val="32"/>
      <w:szCs w:val="32"/>
    </w:rPr>
  </w:style>
  <w:style w:type="paragraph" w:styleId="86">
    <w:name w:val="annotation subject"/>
    <w:basedOn w:val="28"/>
    <w:next w:val="28"/>
    <w:link w:val="536"/>
    <w:qFormat/>
    <w:uiPriority w:val="0"/>
    <w:rPr>
      <w:b/>
      <w:bCs/>
    </w:rPr>
  </w:style>
  <w:style w:type="paragraph" w:styleId="87">
    <w:name w:val="Body Text First Indent"/>
    <w:basedOn w:val="34"/>
    <w:link w:val="804"/>
    <w:qFormat/>
    <w:uiPriority w:val="0"/>
    <w:pPr>
      <w:spacing w:after="120"/>
      <w:ind w:firstLine="420" w:firstLineChars="100"/>
    </w:pPr>
  </w:style>
  <w:style w:type="paragraph" w:styleId="88">
    <w:name w:val="Body Text First Indent 2"/>
    <w:basedOn w:val="35"/>
    <w:link w:val="806"/>
    <w:qFormat/>
    <w:uiPriority w:val="0"/>
    <w:pPr>
      <w:ind w:firstLine="420" w:firstLineChars="200"/>
    </w:pPr>
  </w:style>
  <w:style w:type="table" w:styleId="90">
    <w:name w:val="Table Grid"/>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unhideWhenUsed/>
    <w:qFormat/>
    <w:uiPriority w:val="99"/>
    <w:pPr>
      <w:kinsoku w:val="0"/>
      <w:autoSpaceDE w:val="0"/>
      <w:autoSpaceDN w:val="0"/>
      <w:adjustRightInd w:val="0"/>
      <w:snapToGri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semiHidden/>
    <w:unhideWhenUsed/>
    <w:qFormat/>
    <w:uiPriority w:val="0"/>
    <w:pPr>
      <w:kinsoku w:val="0"/>
      <w:autoSpaceDE w:val="0"/>
      <w:autoSpaceDN w:val="0"/>
      <w:adjustRightInd w:val="0"/>
      <w:snapToGrid w:val="0"/>
      <w:textAlignment w:val="baseline"/>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3">
    <w:name w:val="Table Colorful 2"/>
    <w:basedOn w:val="89"/>
    <w:semiHidden/>
    <w:unhideWhenUsed/>
    <w:qFormat/>
    <w:uiPriority w:val="0"/>
    <w:pPr>
      <w:kinsoku w:val="0"/>
      <w:autoSpaceDE w:val="0"/>
      <w:autoSpaceDN w:val="0"/>
      <w:adjustRightInd w:val="0"/>
      <w:snapToGrid w:val="0"/>
      <w:textAlignment w:val="baseline"/>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4">
    <w:name w:val="Table Colorful 3"/>
    <w:basedOn w:val="89"/>
    <w:semiHidden/>
    <w:unhideWhenUsed/>
    <w:qFormat/>
    <w:uiPriority w:val="0"/>
    <w:pPr>
      <w:kinsoku w:val="0"/>
      <w:autoSpaceDE w:val="0"/>
      <w:autoSpaceDN w:val="0"/>
      <w:adjustRightInd w:val="0"/>
      <w:snapToGrid w:val="0"/>
      <w:textAlignment w:val="baseline"/>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5">
    <w:name w:val="Table Elegant"/>
    <w:basedOn w:val="89"/>
    <w:semiHidden/>
    <w:unhideWhenUsed/>
    <w:qFormat/>
    <w:uiPriority w:val="0"/>
    <w:pPr>
      <w:kinsoku w:val="0"/>
      <w:autoSpaceDE w:val="0"/>
      <w:autoSpaceDN w:val="0"/>
      <w:adjustRightInd w:val="0"/>
      <w:snapToGrid w:val="0"/>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6">
    <w:name w:val="Table Classic 1"/>
    <w:basedOn w:val="89"/>
    <w:semiHidden/>
    <w:unhideWhenUsed/>
    <w:qFormat/>
    <w:uiPriority w:val="0"/>
    <w:pPr>
      <w:kinsoku w:val="0"/>
      <w:autoSpaceDE w:val="0"/>
      <w:autoSpaceDN w:val="0"/>
      <w:adjustRightInd w:val="0"/>
      <w:snapToGrid w:val="0"/>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7">
    <w:name w:val="Table Classic 2"/>
    <w:basedOn w:val="89"/>
    <w:semiHidden/>
    <w:unhideWhenUsed/>
    <w:qFormat/>
    <w:uiPriority w:val="0"/>
    <w:pPr>
      <w:kinsoku w:val="0"/>
      <w:autoSpaceDE w:val="0"/>
      <w:autoSpaceDN w:val="0"/>
      <w:adjustRightInd w:val="0"/>
      <w:snapToGrid w:val="0"/>
      <w:textAlignment w:val="baseline"/>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8">
    <w:name w:val="Table Classic 3"/>
    <w:basedOn w:val="89"/>
    <w:semiHidden/>
    <w:unhideWhenUsed/>
    <w:qFormat/>
    <w:uiPriority w:val="0"/>
    <w:pPr>
      <w:kinsoku w:val="0"/>
      <w:autoSpaceDE w:val="0"/>
      <w:autoSpaceDN w:val="0"/>
      <w:adjustRightInd w:val="0"/>
      <w:snapToGrid w:val="0"/>
      <w:textAlignment w:val="baseline"/>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9">
    <w:name w:val="Table Classic 4"/>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0">
    <w:name w:val="Table Simple 1"/>
    <w:basedOn w:val="89"/>
    <w:semiHidden/>
    <w:unhideWhenUsed/>
    <w:qFormat/>
    <w:uiPriority w:val="0"/>
    <w:pPr>
      <w:kinsoku w:val="0"/>
      <w:autoSpaceDE w:val="0"/>
      <w:autoSpaceDN w:val="0"/>
      <w:adjustRightInd w:val="0"/>
      <w:snapToGrid w:val="0"/>
      <w:textAlignment w:val="baseline"/>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1">
    <w:name w:val="Table Simple 2"/>
    <w:basedOn w:val="89"/>
    <w:semiHidden/>
    <w:unhideWhenUsed/>
    <w:qFormat/>
    <w:uiPriority w:val="0"/>
    <w:pPr>
      <w:kinsoku w:val="0"/>
      <w:autoSpaceDE w:val="0"/>
      <w:autoSpaceDN w:val="0"/>
      <w:adjustRightInd w:val="0"/>
      <w:snapToGrid w:val="0"/>
      <w:textAlignment w:val="baseline"/>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2">
    <w:name w:val="Table Simple 3"/>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3">
    <w:name w:val="Table Subtle 1"/>
    <w:basedOn w:val="89"/>
    <w:semiHidden/>
    <w:unhideWhenUsed/>
    <w:qFormat/>
    <w:uiPriority w:val="0"/>
    <w:pPr>
      <w:kinsoku w:val="0"/>
      <w:autoSpaceDE w:val="0"/>
      <w:autoSpaceDN w:val="0"/>
      <w:adjustRightInd w:val="0"/>
      <w:snapToGrid w:val="0"/>
      <w:textAlignment w:val="baseline"/>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Subtle 2"/>
    <w:basedOn w:val="89"/>
    <w:semiHidden/>
    <w:unhideWhenUsed/>
    <w:qFormat/>
    <w:uiPriority w:val="0"/>
    <w:pPr>
      <w:kinsoku w:val="0"/>
      <w:autoSpaceDE w:val="0"/>
      <w:autoSpaceDN w:val="0"/>
      <w:adjustRightInd w:val="0"/>
      <w:snapToGrid w:val="0"/>
      <w:textAlignment w:val="baseline"/>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3D effects 1"/>
    <w:basedOn w:val="89"/>
    <w:semiHidden/>
    <w:unhideWhenUsed/>
    <w:qFormat/>
    <w:uiPriority w:val="0"/>
    <w:pPr>
      <w:kinsoku w:val="0"/>
      <w:autoSpaceDE w:val="0"/>
      <w:autoSpaceDN w:val="0"/>
      <w:adjustRightInd w:val="0"/>
      <w:snapToGrid w:val="0"/>
      <w:textAlignment w:val="baseline"/>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6">
    <w:name w:val="Table 3D effects 2"/>
    <w:basedOn w:val="89"/>
    <w:semiHidden/>
    <w:unhideWhenUsed/>
    <w:qFormat/>
    <w:uiPriority w:val="0"/>
    <w:pPr>
      <w:kinsoku w:val="0"/>
      <w:autoSpaceDE w:val="0"/>
      <w:autoSpaceDN w:val="0"/>
      <w:adjustRightInd w:val="0"/>
      <w:snapToGrid w:val="0"/>
      <w:textAlignment w:val="baseline"/>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3D effects 3"/>
    <w:basedOn w:val="89"/>
    <w:semiHidden/>
    <w:unhideWhenUsed/>
    <w:qFormat/>
    <w:uiPriority w:val="0"/>
    <w:pPr>
      <w:kinsoku w:val="0"/>
      <w:autoSpaceDE w:val="0"/>
      <w:autoSpaceDN w:val="0"/>
      <w:adjustRightInd w:val="0"/>
      <w:snapToGrid w:val="0"/>
      <w:textAlignment w:val="baseline"/>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8">
    <w:name w:val="Table List 1"/>
    <w:basedOn w:val="89"/>
    <w:semiHidden/>
    <w:unhideWhenUsed/>
    <w:qFormat/>
    <w:uiPriority w:val="0"/>
    <w:pPr>
      <w:kinsoku w:val="0"/>
      <w:autoSpaceDE w:val="0"/>
      <w:autoSpaceDN w:val="0"/>
      <w:adjustRightInd w:val="0"/>
      <w:snapToGrid w:val="0"/>
      <w:textAlignment w:val="baseline"/>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2"/>
    <w:basedOn w:val="89"/>
    <w:semiHidden/>
    <w:unhideWhenUsed/>
    <w:qFormat/>
    <w:uiPriority w:val="0"/>
    <w:pPr>
      <w:kinsoku w:val="0"/>
      <w:autoSpaceDE w:val="0"/>
      <w:autoSpaceDN w:val="0"/>
      <w:adjustRightInd w:val="0"/>
      <w:snapToGrid w:val="0"/>
      <w:textAlignment w:val="baseline"/>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0">
    <w:name w:val="Table List 3"/>
    <w:basedOn w:val="89"/>
    <w:semiHidden/>
    <w:unhideWhenUsed/>
    <w:qFormat/>
    <w:uiPriority w:val="0"/>
    <w:pPr>
      <w:kinsoku w:val="0"/>
      <w:autoSpaceDE w:val="0"/>
      <w:autoSpaceDN w:val="0"/>
      <w:adjustRightInd w:val="0"/>
      <w:snapToGrid w:val="0"/>
      <w:textAlignment w:val="baseline"/>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1">
    <w:name w:val="Table List 4"/>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2">
    <w:name w:val="Table List 5"/>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3">
    <w:name w:val="Table List 6"/>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4">
    <w:name w:val="Table List 7"/>
    <w:basedOn w:val="89"/>
    <w:semiHidden/>
    <w:unhideWhenUsed/>
    <w:qFormat/>
    <w:uiPriority w:val="0"/>
    <w:pPr>
      <w:kinsoku w:val="0"/>
      <w:autoSpaceDE w:val="0"/>
      <w:autoSpaceDN w:val="0"/>
      <w:adjustRightInd w:val="0"/>
      <w:snapToGrid w:val="0"/>
      <w:textAlignment w:val="baseline"/>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5">
    <w:name w:val="Table List 8"/>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6">
    <w:name w:val="Table Contemporary"/>
    <w:basedOn w:val="89"/>
    <w:semiHidden/>
    <w:unhideWhenUsed/>
    <w:qFormat/>
    <w:uiPriority w:val="0"/>
    <w:pPr>
      <w:kinsoku w:val="0"/>
      <w:autoSpaceDE w:val="0"/>
      <w:autoSpaceDN w:val="0"/>
      <w:adjustRightInd w:val="0"/>
      <w:snapToGrid w:val="0"/>
      <w:textAlignment w:val="baseline"/>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7">
    <w:name w:val="Table Columns 1"/>
    <w:basedOn w:val="89"/>
    <w:semiHidden/>
    <w:unhideWhenUsed/>
    <w:qFormat/>
    <w:uiPriority w:val="0"/>
    <w:pPr>
      <w:kinsoku w:val="0"/>
      <w:autoSpaceDE w:val="0"/>
      <w:autoSpaceDN w:val="0"/>
      <w:adjustRightInd w:val="0"/>
      <w:snapToGri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2"/>
    <w:basedOn w:val="89"/>
    <w:semiHidden/>
    <w:unhideWhenUsed/>
    <w:qFormat/>
    <w:uiPriority w:val="0"/>
    <w:pPr>
      <w:kinsoku w:val="0"/>
      <w:autoSpaceDE w:val="0"/>
      <w:autoSpaceDN w:val="0"/>
      <w:adjustRightInd w:val="0"/>
      <w:snapToGrid w:val="0"/>
      <w:textAlignment w:val="baseline"/>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9">
    <w:name w:val="Table Columns 3"/>
    <w:basedOn w:val="89"/>
    <w:semiHidden/>
    <w:unhideWhenUsed/>
    <w:qFormat/>
    <w:uiPriority w:val="0"/>
    <w:pPr>
      <w:kinsoku w:val="0"/>
      <w:autoSpaceDE w:val="0"/>
      <w:autoSpaceDN w:val="0"/>
      <w:adjustRightInd w:val="0"/>
      <w:snapToGrid w:val="0"/>
      <w:textAlignment w:val="baseline"/>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20">
    <w:name w:val="Table Columns 4"/>
    <w:basedOn w:val="89"/>
    <w:semiHidden/>
    <w:unhideWhenUsed/>
    <w:qFormat/>
    <w:uiPriority w:val="0"/>
    <w:pPr>
      <w:kinsoku w:val="0"/>
      <w:autoSpaceDE w:val="0"/>
      <w:autoSpaceDN w:val="0"/>
      <w:adjustRightInd w:val="0"/>
      <w:snapToGrid w:val="0"/>
      <w:textAlignment w:val="baseline"/>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semiHidden/>
    <w:unhideWhenUsed/>
    <w:qFormat/>
    <w:uiPriority w:val="0"/>
    <w:pPr>
      <w:kinsoku w:val="0"/>
      <w:autoSpaceDE w:val="0"/>
      <w:autoSpaceDN w:val="0"/>
      <w:adjustRightInd w:val="0"/>
      <w:snapToGrid w:val="0"/>
      <w:textAlignment w:val="baseline"/>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2"/>
    <w:basedOn w:val="89"/>
    <w:semiHidden/>
    <w:unhideWhenUsed/>
    <w:qFormat/>
    <w:uiPriority w:val="0"/>
    <w:pPr>
      <w:kinsoku w:val="0"/>
      <w:autoSpaceDE w:val="0"/>
      <w:autoSpaceDN w:val="0"/>
      <w:adjustRightInd w:val="0"/>
      <w:snapToGrid w:val="0"/>
      <w:textAlignment w:val="baseline"/>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4">
    <w:name w:val="Table Grid 3"/>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5">
    <w:name w:val="Table Grid 4"/>
    <w:basedOn w:val="89"/>
    <w:semiHidden/>
    <w:unhideWhenUsed/>
    <w:qFormat/>
    <w:uiPriority w:val="0"/>
    <w:pPr>
      <w:kinsoku w:val="0"/>
      <w:autoSpaceDE w:val="0"/>
      <w:autoSpaceDN w:val="0"/>
      <w:adjustRightInd w:val="0"/>
      <w:snapToGrid w:val="0"/>
      <w:textAlignment w:val="baseline"/>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6">
    <w:name w:val="Table Grid 5"/>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6"/>
    <w:basedOn w:val="89"/>
    <w:semiHidden/>
    <w:unhideWhenUsed/>
    <w:qFormat/>
    <w:uiPriority w:val="0"/>
    <w:pPr>
      <w:kinsoku w:val="0"/>
      <w:autoSpaceDE w:val="0"/>
      <w:autoSpaceDN w:val="0"/>
      <w:adjustRightInd w:val="0"/>
      <w:snapToGrid w:val="0"/>
      <w:textAlignment w:val="baseline"/>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7"/>
    <w:basedOn w:val="89"/>
    <w:semiHidden/>
    <w:unhideWhenUsed/>
    <w:qFormat/>
    <w:uiPriority w:val="0"/>
    <w:pPr>
      <w:kinsoku w:val="0"/>
      <w:autoSpaceDE w:val="0"/>
      <w:autoSpaceDN w:val="0"/>
      <w:adjustRightInd w:val="0"/>
      <w:snapToGrid w:val="0"/>
      <w:textAlignment w:val="baseline"/>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8"/>
    <w:basedOn w:val="89"/>
    <w:semiHidden/>
    <w:unhideWhenUsed/>
    <w:qFormat/>
    <w:uiPriority w:val="0"/>
    <w:pPr>
      <w:kinsoku w:val="0"/>
      <w:autoSpaceDE w:val="0"/>
      <w:autoSpaceDN w:val="0"/>
      <w:adjustRightInd w:val="0"/>
      <w:snapToGrid w:val="0"/>
      <w:textAlignment w:val="baseline"/>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0">
    <w:name w:val="Table Web 1"/>
    <w:basedOn w:val="89"/>
    <w:semiHidden/>
    <w:unhideWhenUsed/>
    <w:qFormat/>
    <w:uiPriority w:val="0"/>
    <w:pPr>
      <w:kinsoku w:val="0"/>
      <w:autoSpaceDE w:val="0"/>
      <w:autoSpaceDN w:val="0"/>
      <w:adjustRightInd w:val="0"/>
      <w:snapToGrid w:val="0"/>
      <w:textAlignment w:val="baseline"/>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2"/>
    <w:basedOn w:val="89"/>
    <w:semiHidden/>
    <w:unhideWhenUsed/>
    <w:qFormat/>
    <w:uiPriority w:val="0"/>
    <w:pPr>
      <w:kinsoku w:val="0"/>
      <w:autoSpaceDE w:val="0"/>
      <w:autoSpaceDN w:val="0"/>
      <w:adjustRightInd w:val="0"/>
      <w:snapToGrid w:val="0"/>
      <w:textAlignment w:val="baseline"/>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Web 3"/>
    <w:basedOn w:val="89"/>
    <w:semiHidden/>
    <w:unhideWhenUsed/>
    <w:qFormat/>
    <w:uiPriority w:val="0"/>
    <w:pPr>
      <w:kinsoku w:val="0"/>
      <w:autoSpaceDE w:val="0"/>
      <w:autoSpaceDN w:val="0"/>
      <w:adjustRightInd w:val="0"/>
      <w:snapToGrid w:val="0"/>
      <w:textAlignment w:val="baseline"/>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3">
    <w:name w:val="Table Professional"/>
    <w:basedOn w:val="89"/>
    <w:semiHidden/>
    <w:unhideWhenUsed/>
    <w:qFormat/>
    <w:uiPriority w:val="0"/>
    <w:pPr>
      <w:kinsoku w:val="0"/>
      <w:autoSpaceDE w:val="0"/>
      <w:autoSpaceDN w:val="0"/>
      <w:adjustRightInd w:val="0"/>
      <w:snapToGri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4">
    <w:name w:val="Light Shading"/>
    <w:basedOn w:val="89"/>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5">
    <w:name w:val="Light Shading Accent 1"/>
    <w:basedOn w:val="89"/>
    <w:semiHidden/>
    <w:unhideWhenUsed/>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6">
    <w:name w:val="Light Shading Accent 2"/>
    <w:basedOn w:val="89"/>
    <w:semiHidden/>
    <w:unhideWhenUsed/>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137">
    <w:name w:val="Light Shading Accent 3"/>
    <w:basedOn w:val="89"/>
    <w:semiHidden/>
    <w:unhideWhenUsed/>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38">
    <w:name w:val="Light Shading Accent 4"/>
    <w:basedOn w:val="89"/>
    <w:semiHidden/>
    <w:unhideWhenUsed/>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39">
    <w:name w:val="Light Shading Accent 5"/>
    <w:basedOn w:val="89"/>
    <w:semiHidden/>
    <w:unhideWhenUsed/>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140">
    <w:name w:val="Light Shading Accent 6"/>
    <w:basedOn w:val="89"/>
    <w:semiHidden/>
    <w:unhideWhenUsed/>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141">
    <w:name w:val="Light List"/>
    <w:basedOn w:val="89"/>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2">
    <w:name w:val="Light List Accent 1"/>
    <w:basedOn w:val="89"/>
    <w:semiHidden/>
    <w:unhideWhenUsed/>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43">
    <w:name w:val="Light List Accent 2"/>
    <w:basedOn w:val="89"/>
    <w:semiHidden/>
    <w:unhideWhenUsed/>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44">
    <w:name w:val="Light List Accent 3"/>
    <w:basedOn w:val="89"/>
    <w:semiHidden/>
    <w:unhideWhenUsed/>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45">
    <w:name w:val="Light List Accent 4"/>
    <w:basedOn w:val="89"/>
    <w:semiHidden/>
    <w:unhideWhenUsed/>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46">
    <w:name w:val="Light List Accent 5"/>
    <w:basedOn w:val="89"/>
    <w:semiHidden/>
    <w:unhideWhenUsed/>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47">
    <w:name w:val="Light List Accent 6"/>
    <w:basedOn w:val="89"/>
    <w:semiHidden/>
    <w:unhideWhenUsed/>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48">
    <w:name w:val="Light Grid"/>
    <w:basedOn w:val="89"/>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9">
    <w:name w:val="Light Grid Accent 1"/>
    <w:basedOn w:val="89"/>
    <w:semiHidden/>
    <w:unhideWhenUsed/>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50">
    <w:name w:val="Light Grid Accent 2"/>
    <w:basedOn w:val="89"/>
    <w:semiHidden/>
    <w:unhideWhenUsed/>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51">
    <w:name w:val="Light Grid Accent 3"/>
    <w:basedOn w:val="89"/>
    <w:semiHidden/>
    <w:unhideWhenUsed/>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52">
    <w:name w:val="Light Grid Accent 4"/>
    <w:basedOn w:val="89"/>
    <w:semiHidden/>
    <w:unhideWhenUsed/>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53">
    <w:name w:val="Light Grid Accent 5"/>
    <w:basedOn w:val="89"/>
    <w:semiHidden/>
    <w:unhideWhenUsed/>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54">
    <w:name w:val="Light Grid Accent 6"/>
    <w:basedOn w:val="89"/>
    <w:semiHidden/>
    <w:unhideWhenUsed/>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55">
    <w:name w:val="Medium Shading 1"/>
    <w:basedOn w:val="89"/>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6">
    <w:name w:val="Medium Shading 1 Accent 1"/>
    <w:basedOn w:val="89"/>
    <w:semiHidden/>
    <w:unhideWhenUsed/>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57">
    <w:name w:val="Medium Shading 1 Accent 2"/>
    <w:basedOn w:val="89"/>
    <w:semiHidden/>
    <w:unhideWhenUsed/>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58">
    <w:name w:val="Medium Shading 1 Accent 3"/>
    <w:basedOn w:val="89"/>
    <w:semiHidden/>
    <w:unhideWhenUsed/>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59">
    <w:name w:val="Medium Shading 1 Accent 4"/>
    <w:basedOn w:val="89"/>
    <w:semiHidden/>
    <w:unhideWhenUsed/>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60">
    <w:name w:val="Medium Shading 1 Accent 5"/>
    <w:basedOn w:val="89"/>
    <w:semiHidden/>
    <w:unhideWhenUsed/>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61">
    <w:name w:val="Medium Shading 1 Accent 6"/>
    <w:basedOn w:val="89"/>
    <w:semiHidden/>
    <w:unhideWhenUsed/>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62">
    <w:name w:val="Medium Shading 2"/>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1"/>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2"/>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3"/>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4"/>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5"/>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Shading 2 Accent 6"/>
    <w:basedOn w:val="89"/>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9">
    <w:name w:val="Medium List 1"/>
    <w:basedOn w:val="89"/>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70">
    <w:name w:val="Medium List 1 Accent 1"/>
    <w:basedOn w:val="89"/>
    <w:semiHidden/>
    <w:unhideWhenUsed/>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71">
    <w:name w:val="Medium List 1 Accent 2"/>
    <w:basedOn w:val="89"/>
    <w:semiHidden/>
    <w:unhideWhenUsed/>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72">
    <w:name w:val="Medium List 1 Accent 3"/>
    <w:basedOn w:val="89"/>
    <w:semiHidden/>
    <w:unhideWhenUsed/>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73">
    <w:name w:val="Medium List 1 Accent 4"/>
    <w:basedOn w:val="89"/>
    <w:semiHidden/>
    <w:unhideWhenUsed/>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74">
    <w:name w:val="Medium List 1 Accent 5"/>
    <w:basedOn w:val="89"/>
    <w:semiHidden/>
    <w:unhideWhenUsed/>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75">
    <w:name w:val="Medium List 1 Accent 6"/>
    <w:basedOn w:val="89"/>
    <w:semiHidden/>
    <w:unhideWhenUsed/>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76">
    <w:name w:val="Medium List 2"/>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1"/>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2"/>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3"/>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4"/>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5"/>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List 2 Accent 6"/>
    <w:basedOn w:val="89"/>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3">
    <w:name w:val="Medium Grid 1"/>
    <w:basedOn w:val="89"/>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4">
    <w:name w:val="Medium Grid 1 Accent 1"/>
    <w:basedOn w:val="89"/>
    <w:semiHidden/>
    <w:unhideWhenUsed/>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5">
    <w:name w:val="Medium Grid 1 Accent 2"/>
    <w:basedOn w:val="89"/>
    <w:semiHidden/>
    <w:unhideWhenUsed/>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6">
    <w:name w:val="Medium Grid 1 Accent 3"/>
    <w:basedOn w:val="89"/>
    <w:semiHidden/>
    <w:unhideWhenUsed/>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7">
    <w:name w:val="Medium Grid 1 Accent 4"/>
    <w:basedOn w:val="89"/>
    <w:semiHidden/>
    <w:unhideWhenUsed/>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8">
    <w:name w:val="Medium Grid 1 Accent 5"/>
    <w:basedOn w:val="89"/>
    <w:semiHidden/>
    <w:unhideWhenUsed/>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9">
    <w:name w:val="Medium Grid 1 Accent 6"/>
    <w:basedOn w:val="89"/>
    <w:semiHidden/>
    <w:unhideWhenUsed/>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90">
    <w:name w:val="Medium Grid 2"/>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1">
    <w:name w:val="Medium Grid 2 Accent 1"/>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92">
    <w:name w:val="Medium Grid 2 Accent 2"/>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93">
    <w:name w:val="Medium Grid 2 Accent 3"/>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94">
    <w:name w:val="Medium Grid 2 Accent 4"/>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95">
    <w:name w:val="Medium Grid 2 Accent 5"/>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96">
    <w:name w:val="Medium Grid 2 Accent 6"/>
    <w:basedOn w:val="89"/>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97">
    <w:name w:val="Medium Grid 3"/>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8">
    <w:name w:val="Medium Grid 3 Accent 1"/>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99">
    <w:name w:val="Medium Grid 3 Accent 2"/>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200">
    <w:name w:val="Medium Grid 3 Accent 3"/>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201">
    <w:name w:val="Medium Grid 3 Accent 4"/>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202">
    <w:name w:val="Medium Grid 3 Accent 5"/>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203">
    <w:name w:val="Medium Grid 3 Accent 6"/>
    <w:basedOn w:val="89"/>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204">
    <w:name w:val="Dark List"/>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5">
    <w:name w:val="Dark List Accent 1"/>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206">
    <w:name w:val="Dark List Accent 2"/>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207">
    <w:name w:val="Dark List Accent 3"/>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208">
    <w:name w:val="Dark List Accent 4"/>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209">
    <w:name w:val="Dark List Accent 5"/>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210">
    <w:name w:val="Dark List Accent 6"/>
    <w:basedOn w:val="89"/>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211">
    <w:name w:val="Colorful Shading"/>
    <w:basedOn w:val="89"/>
    <w:semiHidden/>
    <w:unhideWhenUsed/>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1"/>
    <w:basedOn w:val="89"/>
    <w:semiHidden/>
    <w:unhideWhenUsed/>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2"/>
    <w:basedOn w:val="89"/>
    <w:semiHidden/>
    <w:unhideWhenUsed/>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4">
    <w:name w:val="Colorful Shading Accent 3"/>
    <w:basedOn w:val="89"/>
    <w:semiHidden/>
    <w:unhideWhenUsed/>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215">
    <w:name w:val="Colorful Shading Accent 4"/>
    <w:basedOn w:val="89"/>
    <w:semiHidden/>
    <w:unhideWhenUsed/>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5"/>
    <w:basedOn w:val="89"/>
    <w:semiHidden/>
    <w:unhideWhenUsed/>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Shading Accent 6"/>
    <w:basedOn w:val="89"/>
    <w:semiHidden/>
    <w:unhideWhenUsed/>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8">
    <w:name w:val="Colorful List"/>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9">
    <w:name w:val="Colorful List Accent 1"/>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0">
    <w:name w:val="Colorful List Accent 2"/>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221">
    <w:name w:val="Colorful List Accent 3"/>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22">
    <w:name w:val="Colorful List Accent 4"/>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223">
    <w:name w:val="Colorful List Accent 5"/>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224">
    <w:name w:val="Colorful List Accent 6"/>
    <w:basedOn w:val="89"/>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225">
    <w:name w:val="Colorful Grid"/>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6">
    <w:name w:val="Colorful Grid Accent 1"/>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227">
    <w:name w:val="Colorful Grid Accent 2"/>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8">
    <w:name w:val="Colorful Grid Accent 3"/>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29">
    <w:name w:val="Colorful Grid Accent 4"/>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30">
    <w:name w:val="Colorful Grid Accent 5"/>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31">
    <w:name w:val="Colorful Grid Accent 6"/>
    <w:basedOn w:val="89"/>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232">
    <w:name w:val="正文 CharProp"/>
    <w:qFormat/>
    <w:uiPriority w:val="0"/>
    <w:rPr>
      <w:rFonts w:ascii="Arial" w:hAnsi="Arial" w:eastAsia="Arial" w:cs="Arial"/>
      <w:snapToGrid w:val="0"/>
      <w:color w:val="000000"/>
      <w:sz w:val="21"/>
      <w:szCs w:val="21"/>
      <w:lang w:val="en-US" w:eastAsia="en-US" w:bidi="ar-SA"/>
    </w:rPr>
  </w:style>
  <w:style w:type="character" w:customStyle="1" w:styleId="233">
    <w:name w:val="标题 1 CharProp"/>
    <w:qFormat/>
    <w:uiPriority w:val="0"/>
    <w:rPr>
      <w:b/>
      <w:kern w:val="44"/>
      <w:sz w:val="44"/>
    </w:rPr>
  </w:style>
  <w:style w:type="character" w:customStyle="1" w:styleId="234">
    <w:name w:val="标题 2 CharProp"/>
    <w:qFormat/>
    <w:uiPriority w:val="0"/>
    <w:rPr>
      <w:rFonts w:eastAsia="黑体"/>
      <w:b/>
      <w:sz w:val="32"/>
    </w:rPr>
  </w:style>
  <w:style w:type="character" w:customStyle="1" w:styleId="235">
    <w:name w:val="标题 3 CharProp"/>
    <w:qFormat/>
    <w:uiPriority w:val="0"/>
    <w:rPr>
      <w:b/>
      <w:sz w:val="32"/>
    </w:rPr>
  </w:style>
  <w:style w:type="character" w:customStyle="1" w:styleId="236">
    <w:name w:val="标题 4 CharProp"/>
    <w:qFormat/>
    <w:uiPriority w:val="0"/>
    <w:rPr>
      <w:rFonts w:eastAsia="黑体"/>
      <w:b/>
      <w:sz w:val="28"/>
    </w:rPr>
  </w:style>
  <w:style w:type="character" w:customStyle="1" w:styleId="237">
    <w:name w:val="标题 5 CharProp"/>
    <w:qFormat/>
    <w:uiPriority w:val="0"/>
    <w:rPr>
      <w:b/>
      <w:bCs/>
      <w:sz w:val="28"/>
      <w:szCs w:val="28"/>
    </w:rPr>
  </w:style>
  <w:style w:type="character" w:customStyle="1" w:styleId="238">
    <w:name w:val="标题 6 CharProp"/>
    <w:qFormat/>
    <w:uiPriority w:val="0"/>
    <w:rPr>
      <w:rFonts w:asciiTheme="majorHAnsi" w:hAnsiTheme="majorHAnsi" w:eastAsiaTheme="majorEastAsia" w:cstheme="majorBidi"/>
      <w:b/>
      <w:bCs/>
      <w:sz w:val="24"/>
      <w:szCs w:val="24"/>
    </w:rPr>
  </w:style>
  <w:style w:type="character" w:customStyle="1" w:styleId="239">
    <w:name w:val="标题 7 CharProp"/>
    <w:qFormat/>
    <w:uiPriority w:val="0"/>
    <w:rPr>
      <w:b/>
      <w:bCs/>
      <w:sz w:val="24"/>
      <w:szCs w:val="24"/>
    </w:rPr>
  </w:style>
  <w:style w:type="character" w:customStyle="1" w:styleId="240">
    <w:name w:val="标题 8 CharProp"/>
    <w:qFormat/>
    <w:uiPriority w:val="0"/>
    <w:rPr>
      <w:rFonts w:asciiTheme="majorHAnsi" w:hAnsiTheme="majorHAnsi" w:eastAsiaTheme="majorEastAsia" w:cstheme="majorBidi"/>
      <w:sz w:val="24"/>
      <w:szCs w:val="24"/>
    </w:rPr>
  </w:style>
  <w:style w:type="character" w:customStyle="1" w:styleId="241">
    <w:name w:val="标题 9 CharProp"/>
    <w:qFormat/>
    <w:uiPriority w:val="0"/>
    <w:rPr>
      <w:rFonts w:asciiTheme="majorHAnsi" w:hAnsiTheme="majorHAnsi" w:eastAsiaTheme="majorEastAsia" w:cstheme="majorBidi"/>
    </w:rPr>
  </w:style>
  <w:style w:type="character" w:customStyle="1" w:styleId="242">
    <w:name w:val="列表 3 CharProp"/>
    <w:qFormat/>
    <w:uiPriority w:val="0"/>
  </w:style>
  <w:style w:type="character" w:customStyle="1" w:styleId="243">
    <w:name w:val="批注主题 CharProp"/>
    <w:qFormat/>
    <w:uiPriority w:val="0"/>
    <w:rPr>
      <w:b/>
      <w:bCs/>
    </w:rPr>
  </w:style>
  <w:style w:type="character" w:customStyle="1" w:styleId="244">
    <w:name w:val="目录 7 CharProp"/>
    <w:qFormat/>
    <w:uiPriority w:val="0"/>
  </w:style>
  <w:style w:type="character" w:customStyle="1" w:styleId="245">
    <w:name w:val="正文首行缩进 CharProp"/>
    <w:qFormat/>
    <w:uiPriority w:val="0"/>
  </w:style>
  <w:style w:type="character" w:customStyle="1" w:styleId="246">
    <w:name w:val="列表编号 2 CharProp"/>
    <w:qFormat/>
    <w:uiPriority w:val="0"/>
  </w:style>
  <w:style w:type="character" w:customStyle="1" w:styleId="247">
    <w:name w:val="引文目录 CharProp"/>
    <w:qFormat/>
    <w:uiPriority w:val="0"/>
  </w:style>
  <w:style w:type="character" w:customStyle="1" w:styleId="248">
    <w:name w:val="宏文本 CharProp"/>
    <w:qFormat/>
    <w:uiPriority w:val="0"/>
    <w:rPr>
      <w:rFonts w:ascii="Courier New" w:hAnsi="Courier New" w:eastAsia="宋体" w:cs="Courier New"/>
      <w:snapToGrid w:val="0"/>
      <w:color w:val="000000"/>
      <w:sz w:val="24"/>
      <w:szCs w:val="24"/>
      <w:lang w:val="en-US" w:eastAsia="en-US" w:bidi="ar-SA"/>
    </w:rPr>
  </w:style>
  <w:style w:type="character" w:customStyle="1" w:styleId="249">
    <w:name w:val="注释标题 CharProp"/>
    <w:qFormat/>
    <w:uiPriority w:val="0"/>
  </w:style>
  <w:style w:type="character" w:customStyle="1" w:styleId="250">
    <w:name w:val="列表项目符号 4 CharProp"/>
    <w:qFormat/>
    <w:uiPriority w:val="0"/>
  </w:style>
  <w:style w:type="character" w:customStyle="1" w:styleId="251">
    <w:name w:val="索引 8 CharProp"/>
    <w:qFormat/>
    <w:uiPriority w:val="0"/>
  </w:style>
  <w:style w:type="character" w:customStyle="1" w:styleId="252">
    <w:name w:val="电子邮件签名 CharProp"/>
    <w:qFormat/>
    <w:uiPriority w:val="0"/>
  </w:style>
  <w:style w:type="character" w:customStyle="1" w:styleId="253">
    <w:name w:val="列表编号 CharProp"/>
    <w:qFormat/>
    <w:uiPriority w:val="0"/>
  </w:style>
  <w:style w:type="character" w:customStyle="1" w:styleId="254">
    <w:name w:val="正文缩进 CharProp"/>
    <w:qFormat/>
    <w:uiPriority w:val="0"/>
  </w:style>
  <w:style w:type="character" w:customStyle="1" w:styleId="255">
    <w:name w:val="题注 CharProp"/>
    <w:qFormat/>
    <w:uiPriority w:val="0"/>
    <w:rPr>
      <w:rFonts w:eastAsia="黑体" w:asciiTheme="majorHAnsi" w:hAnsiTheme="majorHAnsi" w:cstheme="majorBidi"/>
      <w:sz w:val="20"/>
      <w:szCs w:val="20"/>
    </w:rPr>
  </w:style>
  <w:style w:type="character" w:customStyle="1" w:styleId="256">
    <w:name w:val="索引 5 CharProp"/>
    <w:qFormat/>
    <w:uiPriority w:val="0"/>
    <w:rPr>
      <w:rFonts w:ascii="宋体" w:hAnsi="Times New Roman" w:eastAsia="宋体" w:cs="Times New Roman"/>
      <w:kern w:val="2"/>
      <w:sz w:val="24"/>
      <w:szCs w:val="21"/>
      <w:lang w:val="en-US" w:eastAsia="zh-CN" w:bidi="ar-SA"/>
    </w:rPr>
  </w:style>
  <w:style w:type="character" w:customStyle="1" w:styleId="257">
    <w:name w:val="列表项目符号 CharProp"/>
    <w:qFormat/>
    <w:uiPriority w:val="0"/>
  </w:style>
  <w:style w:type="character" w:customStyle="1" w:styleId="258">
    <w:name w:val="收信人地址 CharProp"/>
    <w:qFormat/>
    <w:uiPriority w:val="0"/>
    <w:rPr>
      <w:rFonts w:asciiTheme="majorHAnsi" w:hAnsiTheme="majorHAnsi" w:eastAsiaTheme="majorEastAsia" w:cstheme="majorBidi"/>
      <w:sz w:val="24"/>
      <w:szCs w:val="24"/>
    </w:rPr>
  </w:style>
  <w:style w:type="character" w:customStyle="1" w:styleId="259">
    <w:name w:val="文档结构图 CharProp"/>
    <w:qFormat/>
    <w:uiPriority w:val="0"/>
    <w:rPr>
      <w:rFonts w:ascii="Microsoft YaHei UI" w:eastAsia="Microsoft YaHei UI"/>
      <w:sz w:val="18"/>
      <w:szCs w:val="18"/>
    </w:rPr>
  </w:style>
  <w:style w:type="character" w:customStyle="1" w:styleId="260">
    <w:name w:val="引文目录标题 CharProp"/>
    <w:qFormat/>
    <w:uiPriority w:val="0"/>
    <w:rPr>
      <w:rFonts w:asciiTheme="majorHAnsi" w:hAnsiTheme="majorHAnsi" w:eastAsiaTheme="majorEastAsia" w:cstheme="majorBidi"/>
      <w:sz w:val="24"/>
      <w:szCs w:val="24"/>
    </w:rPr>
  </w:style>
  <w:style w:type="character" w:customStyle="1" w:styleId="261">
    <w:name w:val="批注文字 CharProp"/>
    <w:qFormat/>
    <w:uiPriority w:val="0"/>
  </w:style>
  <w:style w:type="character" w:customStyle="1" w:styleId="262">
    <w:name w:val="索引 6 CharProp"/>
    <w:qFormat/>
    <w:uiPriority w:val="0"/>
  </w:style>
  <w:style w:type="character" w:customStyle="1" w:styleId="263">
    <w:name w:val="称呼 CharProp"/>
    <w:qFormat/>
    <w:uiPriority w:val="0"/>
  </w:style>
  <w:style w:type="character" w:customStyle="1" w:styleId="264">
    <w:name w:val="正文文本 3 CharProp"/>
    <w:qFormat/>
    <w:uiPriority w:val="0"/>
    <w:rPr>
      <w:sz w:val="16"/>
      <w:szCs w:val="16"/>
    </w:rPr>
  </w:style>
  <w:style w:type="character" w:customStyle="1" w:styleId="265">
    <w:name w:val="结束语 CharProp"/>
    <w:qFormat/>
    <w:uiPriority w:val="0"/>
  </w:style>
  <w:style w:type="character" w:customStyle="1" w:styleId="266">
    <w:name w:val="列表项目符号 3 CharProp"/>
    <w:qFormat/>
    <w:uiPriority w:val="0"/>
  </w:style>
  <w:style w:type="character" w:customStyle="1" w:styleId="267">
    <w:name w:val="正文文本 CharProp"/>
    <w:qFormat/>
    <w:uiPriority w:val="0"/>
  </w:style>
  <w:style w:type="character" w:customStyle="1" w:styleId="268">
    <w:name w:val="正文文本缩进 CharProp"/>
    <w:qFormat/>
    <w:uiPriority w:val="99"/>
  </w:style>
  <w:style w:type="character" w:customStyle="1" w:styleId="269">
    <w:name w:val="列表编号 3 CharProp"/>
    <w:qFormat/>
    <w:uiPriority w:val="0"/>
  </w:style>
  <w:style w:type="character" w:customStyle="1" w:styleId="270">
    <w:name w:val="列表 2 CharProp"/>
    <w:qFormat/>
    <w:uiPriority w:val="0"/>
  </w:style>
  <w:style w:type="character" w:customStyle="1" w:styleId="271">
    <w:name w:val="列表接续 CharProp"/>
    <w:qFormat/>
    <w:uiPriority w:val="0"/>
  </w:style>
  <w:style w:type="character" w:customStyle="1" w:styleId="272">
    <w:name w:val="文本块 CharProp"/>
    <w:qFormat/>
    <w:uiPriority w:val="0"/>
  </w:style>
  <w:style w:type="character" w:customStyle="1" w:styleId="273">
    <w:name w:val="列表项目符号 2 CharProp"/>
    <w:qFormat/>
    <w:uiPriority w:val="0"/>
  </w:style>
  <w:style w:type="character" w:customStyle="1" w:styleId="274">
    <w:name w:val="HTML 地址 CharProp"/>
    <w:qFormat/>
    <w:uiPriority w:val="0"/>
    <w:rPr>
      <w:i/>
      <w:iCs/>
    </w:rPr>
  </w:style>
  <w:style w:type="character" w:customStyle="1" w:styleId="275">
    <w:name w:val="索引 4 CharProp"/>
    <w:qFormat/>
    <w:uiPriority w:val="0"/>
  </w:style>
  <w:style w:type="character" w:customStyle="1" w:styleId="276">
    <w:name w:val="目录 5 CharProp"/>
    <w:qFormat/>
    <w:uiPriority w:val="0"/>
  </w:style>
  <w:style w:type="character" w:customStyle="1" w:styleId="277">
    <w:name w:val="目录 3 CharProp"/>
    <w:qFormat/>
    <w:uiPriority w:val="39"/>
  </w:style>
  <w:style w:type="character" w:customStyle="1" w:styleId="278">
    <w:name w:val="纯文本 CharProp"/>
    <w:qFormat/>
    <w:uiPriority w:val="0"/>
    <w:rPr>
      <w:rFonts w:ascii="宋体" w:hAnsi="宋体" w:cs="宋体"/>
      <w:sz w:val="24"/>
    </w:rPr>
  </w:style>
  <w:style w:type="character" w:customStyle="1" w:styleId="279">
    <w:name w:val="列表项目符号 5 CharProp"/>
    <w:qFormat/>
    <w:uiPriority w:val="0"/>
  </w:style>
  <w:style w:type="character" w:customStyle="1" w:styleId="280">
    <w:name w:val="列表编号 4 CharProp"/>
    <w:qFormat/>
    <w:uiPriority w:val="0"/>
  </w:style>
  <w:style w:type="character" w:customStyle="1" w:styleId="281">
    <w:name w:val="目录 8 CharProp"/>
    <w:qFormat/>
    <w:uiPriority w:val="0"/>
  </w:style>
  <w:style w:type="character" w:customStyle="1" w:styleId="282">
    <w:name w:val="索引 3 CharProp"/>
    <w:qFormat/>
    <w:uiPriority w:val="0"/>
  </w:style>
  <w:style w:type="character" w:customStyle="1" w:styleId="283">
    <w:name w:val="日期 CharProp"/>
    <w:qFormat/>
    <w:uiPriority w:val="0"/>
  </w:style>
  <w:style w:type="character" w:customStyle="1" w:styleId="284">
    <w:name w:val="正文文本缩进 2 CharProp"/>
    <w:qFormat/>
    <w:uiPriority w:val="0"/>
  </w:style>
  <w:style w:type="character" w:customStyle="1" w:styleId="285">
    <w:name w:val="尾注文本 CharProp"/>
    <w:qFormat/>
    <w:uiPriority w:val="0"/>
  </w:style>
  <w:style w:type="character" w:customStyle="1" w:styleId="286">
    <w:name w:val="列表接续 5 CharProp"/>
    <w:qFormat/>
    <w:uiPriority w:val="0"/>
  </w:style>
  <w:style w:type="character" w:customStyle="1" w:styleId="287">
    <w:name w:val="批注框文本 CharProp"/>
    <w:qFormat/>
    <w:uiPriority w:val="0"/>
    <w:rPr>
      <w:sz w:val="18"/>
      <w:szCs w:val="18"/>
    </w:rPr>
  </w:style>
  <w:style w:type="character" w:customStyle="1" w:styleId="288">
    <w:name w:val="页脚 CharProp"/>
    <w:qFormat/>
    <w:uiPriority w:val="99"/>
    <w:rPr>
      <w:sz w:val="18"/>
      <w:szCs w:val="18"/>
    </w:rPr>
  </w:style>
  <w:style w:type="character" w:customStyle="1" w:styleId="289">
    <w:name w:val="寄信人地址 CharProp"/>
    <w:qFormat/>
    <w:uiPriority w:val="0"/>
    <w:rPr>
      <w:rFonts w:asciiTheme="majorHAnsi" w:hAnsiTheme="majorHAnsi" w:eastAsiaTheme="majorEastAsia" w:cstheme="majorBidi"/>
    </w:rPr>
  </w:style>
  <w:style w:type="character" w:customStyle="1" w:styleId="290">
    <w:name w:val="正文首行缩进 2 CharProp"/>
    <w:qFormat/>
    <w:uiPriority w:val="0"/>
  </w:style>
  <w:style w:type="character" w:customStyle="1" w:styleId="291">
    <w:name w:val="页眉 CharProp"/>
    <w:qFormat/>
    <w:uiPriority w:val="0"/>
    <w:rPr>
      <w:sz w:val="18"/>
    </w:rPr>
  </w:style>
  <w:style w:type="character" w:customStyle="1" w:styleId="292">
    <w:name w:val="签名 CharProp"/>
    <w:qFormat/>
    <w:uiPriority w:val="0"/>
  </w:style>
  <w:style w:type="character" w:customStyle="1" w:styleId="293">
    <w:name w:val="目录 1 CharProp"/>
    <w:qFormat/>
    <w:uiPriority w:val="39"/>
  </w:style>
  <w:style w:type="character" w:customStyle="1" w:styleId="294">
    <w:name w:val="列表接续 4 CharProp"/>
    <w:qFormat/>
    <w:uiPriority w:val="0"/>
  </w:style>
  <w:style w:type="character" w:customStyle="1" w:styleId="295">
    <w:name w:val="目录 4 CharProp"/>
    <w:qFormat/>
    <w:uiPriority w:val="0"/>
  </w:style>
  <w:style w:type="character" w:customStyle="1" w:styleId="296">
    <w:name w:val="索引标题 CharProp"/>
    <w:qFormat/>
    <w:uiPriority w:val="0"/>
    <w:rPr>
      <w:rFonts w:asciiTheme="majorHAnsi" w:hAnsiTheme="majorHAnsi" w:eastAsiaTheme="majorEastAsia" w:cstheme="majorBidi"/>
      <w:b/>
      <w:bCs/>
    </w:rPr>
  </w:style>
  <w:style w:type="character" w:customStyle="1" w:styleId="297">
    <w:name w:val="副标题 CharProp"/>
    <w:qFormat/>
    <w:uiPriority w:val="0"/>
    <w:rPr>
      <w:rFonts w:asciiTheme="minorHAnsi" w:hAnsiTheme="minorHAnsi" w:eastAsiaTheme="minorEastAsia" w:cstheme="minorBidi"/>
      <w:b/>
      <w:bCs/>
      <w:kern w:val="28"/>
      <w:sz w:val="32"/>
      <w:szCs w:val="32"/>
    </w:rPr>
  </w:style>
  <w:style w:type="character" w:customStyle="1" w:styleId="298">
    <w:name w:val="列表编号 5 CharProp"/>
    <w:qFormat/>
    <w:uiPriority w:val="0"/>
  </w:style>
  <w:style w:type="character" w:customStyle="1" w:styleId="299">
    <w:name w:val="列表 CharProp"/>
    <w:qFormat/>
    <w:uiPriority w:val="0"/>
  </w:style>
  <w:style w:type="character" w:customStyle="1" w:styleId="300">
    <w:name w:val="脚注文本 CharProp"/>
    <w:qFormat/>
    <w:uiPriority w:val="0"/>
    <w:rPr>
      <w:sz w:val="18"/>
      <w:szCs w:val="18"/>
    </w:rPr>
  </w:style>
  <w:style w:type="character" w:customStyle="1" w:styleId="301">
    <w:name w:val="目录 6 CharProp"/>
    <w:qFormat/>
    <w:uiPriority w:val="0"/>
  </w:style>
  <w:style w:type="character" w:customStyle="1" w:styleId="302">
    <w:name w:val="列表 5 CharProp"/>
    <w:qFormat/>
    <w:uiPriority w:val="0"/>
  </w:style>
  <w:style w:type="character" w:customStyle="1" w:styleId="303">
    <w:name w:val="正文文本缩进 3 CharProp"/>
    <w:qFormat/>
    <w:uiPriority w:val="0"/>
    <w:rPr>
      <w:sz w:val="16"/>
      <w:szCs w:val="16"/>
    </w:rPr>
  </w:style>
  <w:style w:type="character" w:customStyle="1" w:styleId="304">
    <w:name w:val="索引 7 CharProp"/>
    <w:qFormat/>
    <w:uiPriority w:val="0"/>
  </w:style>
  <w:style w:type="character" w:customStyle="1" w:styleId="305">
    <w:name w:val="索引 9 CharProp"/>
    <w:qFormat/>
    <w:uiPriority w:val="0"/>
  </w:style>
  <w:style w:type="character" w:customStyle="1" w:styleId="306">
    <w:name w:val="图表目录 CharProp"/>
    <w:qFormat/>
    <w:uiPriority w:val="0"/>
  </w:style>
  <w:style w:type="character" w:customStyle="1" w:styleId="307">
    <w:name w:val="目录 2 CharProp"/>
    <w:qFormat/>
    <w:uiPriority w:val="39"/>
  </w:style>
  <w:style w:type="character" w:customStyle="1" w:styleId="308">
    <w:name w:val="目录 9 CharProp"/>
    <w:qFormat/>
    <w:uiPriority w:val="0"/>
  </w:style>
  <w:style w:type="character" w:customStyle="1" w:styleId="309">
    <w:name w:val="正文文本 2 CharProp"/>
    <w:qFormat/>
    <w:uiPriority w:val="0"/>
  </w:style>
  <w:style w:type="character" w:customStyle="1" w:styleId="310">
    <w:name w:val="列表 4 CharProp"/>
    <w:qFormat/>
    <w:uiPriority w:val="0"/>
  </w:style>
  <w:style w:type="character" w:customStyle="1" w:styleId="311">
    <w:name w:val="列表接续 2 CharProp"/>
    <w:uiPriority w:val="0"/>
  </w:style>
  <w:style w:type="character" w:customStyle="1" w:styleId="312">
    <w:name w:val="信息标题 CharProp"/>
    <w:qFormat/>
    <w:uiPriority w:val="0"/>
    <w:rPr>
      <w:rFonts w:asciiTheme="majorHAnsi" w:hAnsiTheme="majorHAnsi" w:eastAsiaTheme="majorEastAsia" w:cstheme="majorBidi"/>
      <w:sz w:val="24"/>
      <w:szCs w:val="24"/>
    </w:rPr>
  </w:style>
  <w:style w:type="character" w:customStyle="1" w:styleId="313">
    <w:name w:val="HTML 预设格式 CharProp"/>
    <w:qFormat/>
    <w:uiPriority w:val="0"/>
    <w:rPr>
      <w:rFonts w:ascii="Courier New" w:hAnsi="Courier New" w:cs="Courier New"/>
      <w:sz w:val="20"/>
      <w:szCs w:val="20"/>
    </w:rPr>
  </w:style>
  <w:style w:type="character" w:customStyle="1" w:styleId="314">
    <w:name w:val="普通(网站) CharProp"/>
    <w:qFormat/>
    <w:uiPriority w:val="0"/>
    <w:rPr>
      <w:rFonts w:cs="Times New Roman"/>
      <w:sz w:val="24"/>
      <w:lang w:eastAsia="zh-CN"/>
    </w:rPr>
  </w:style>
  <w:style w:type="character" w:customStyle="1" w:styleId="315">
    <w:name w:val="列表接续 3 CharProp"/>
    <w:qFormat/>
    <w:uiPriority w:val="0"/>
  </w:style>
  <w:style w:type="character" w:customStyle="1" w:styleId="316">
    <w:name w:val="索引 1 CharProp"/>
    <w:qFormat/>
    <w:uiPriority w:val="0"/>
  </w:style>
  <w:style w:type="character" w:customStyle="1" w:styleId="317">
    <w:name w:val="索引 2 CharProp"/>
    <w:qFormat/>
    <w:uiPriority w:val="0"/>
  </w:style>
  <w:style w:type="character" w:customStyle="1" w:styleId="318">
    <w:name w:val="标题 CharProp"/>
    <w:qFormat/>
    <w:uiPriority w:val="0"/>
    <w:rPr>
      <w:rFonts w:asciiTheme="majorHAnsi" w:hAnsiTheme="majorHAnsi" w:eastAsiaTheme="majorEastAsia" w:cstheme="majorBidi"/>
      <w:b/>
      <w:bCs/>
      <w:sz w:val="32"/>
      <w:szCs w:val="32"/>
    </w:rPr>
  </w:style>
  <w:style w:type="character" w:customStyle="1" w:styleId="320">
    <w:name w:val="普通表格 CharProp"/>
    <w:qFormat/>
    <w:uiPriority w:val="0"/>
  </w:style>
  <w:style w:type="character" w:customStyle="1" w:styleId="321">
    <w:name w:val="网格型 CharProp"/>
    <w:uiPriority w:val="0"/>
  </w:style>
  <w:style w:type="character" w:customStyle="1" w:styleId="322">
    <w:name w:val="表格主题 CharProp"/>
    <w:uiPriority w:val="0"/>
  </w:style>
  <w:style w:type="character" w:customStyle="1" w:styleId="323">
    <w:name w:val="彩色型 1 CharProp"/>
    <w:qFormat/>
    <w:uiPriority w:val="0"/>
    <w:rPr>
      <w:color w:val="FFFFFF"/>
    </w:rPr>
  </w:style>
  <w:style w:type="character" w:customStyle="1" w:styleId="324">
    <w:name w:val="彩色型 2 CharProp"/>
    <w:qFormat/>
    <w:uiPriority w:val="0"/>
  </w:style>
  <w:style w:type="character" w:customStyle="1" w:styleId="325">
    <w:name w:val="彩色型 3 CharProp"/>
    <w:qFormat/>
    <w:uiPriority w:val="0"/>
  </w:style>
  <w:style w:type="character" w:customStyle="1" w:styleId="326">
    <w:name w:val="典雅型 CharProp"/>
    <w:uiPriority w:val="0"/>
  </w:style>
  <w:style w:type="character" w:customStyle="1" w:styleId="327">
    <w:name w:val="古典型 1 CharProp"/>
    <w:uiPriority w:val="0"/>
  </w:style>
  <w:style w:type="character" w:customStyle="1" w:styleId="328">
    <w:name w:val="古典型 2 CharProp"/>
    <w:qFormat/>
    <w:uiPriority w:val="0"/>
  </w:style>
  <w:style w:type="character" w:customStyle="1" w:styleId="329">
    <w:name w:val="古典型 3 CharProp"/>
    <w:qFormat/>
    <w:uiPriority w:val="0"/>
    <w:rPr>
      <w:color w:val="000080"/>
    </w:rPr>
  </w:style>
  <w:style w:type="character" w:customStyle="1" w:styleId="330">
    <w:name w:val="古典型 4 CharProp"/>
    <w:qFormat/>
    <w:uiPriority w:val="0"/>
  </w:style>
  <w:style w:type="character" w:customStyle="1" w:styleId="331">
    <w:name w:val="简明型 1 CharProp"/>
    <w:uiPriority w:val="0"/>
  </w:style>
  <w:style w:type="character" w:customStyle="1" w:styleId="332">
    <w:name w:val="简明型 2 CharProp"/>
    <w:uiPriority w:val="0"/>
  </w:style>
  <w:style w:type="character" w:customStyle="1" w:styleId="333">
    <w:name w:val="简明型 3 CharProp"/>
    <w:uiPriority w:val="0"/>
  </w:style>
  <w:style w:type="character" w:customStyle="1" w:styleId="334">
    <w:name w:val="精巧型 1 CharProp"/>
    <w:uiPriority w:val="0"/>
  </w:style>
  <w:style w:type="character" w:customStyle="1" w:styleId="335">
    <w:name w:val="精巧型 2 CharProp"/>
    <w:qFormat/>
    <w:uiPriority w:val="0"/>
  </w:style>
  <w:style w:type="character" w:customStyle="1" w:styleId="336">
    <w:name w:val="立体型 1 CharProp"/>
    <w:uiPriority w:val="0"/>
  </w:style>
  <w:style w:type="character" w:customStyle="1" w:styleId="337">
    <w:name w:val="立体型 2 CharProp"/>
    <w:uiPriority w:val="0"/>
  </w:style>
  <w:style w:type="character" w:customStyle="1" w:styleId="338">
    <w:name w:val="立体型 3 CharProp"/>
    <w:uiPriority w:val="0"/>
  </w:style>
  <w:style w:type="character" w:customStyle="1" w:styleId="339">
    <w:name w:val="列表型 1 CharProp"/>
    <w:qFormat/>
    <w:uiPriority w:val="0"/>
  </w:style>
  <w:style w:type="character" w:customStyle="1" w:styleId="340">
    <w:name w:val="列表型 2 CharProp"/>
    <w:uiPriority w:val="0"/>
  </w:style>
  <w:style w:type="character" w:customStyle="1" w:styleId="341">
    <w:name w:val="列表型 3 CharProp"/>
    <w:qFormat/>
    <w:uiPriority w:val="0"/>
  </w:style>
  <w:style w:type="character" w:customStyle="1" w:styleId="342">
    <w:name w:val="列表型 4 CharProp"/>
    <w:uiPriority w:val="0"/>
  </w:style>
  <w:style w:type="character" w:customStyle="1" w:styleId="343">
    <w:name w:val="列表型 5 CharProp"/>
    <w:qFormat/>
    <w:uiPriority w:val="0"/>
  </w:style>
  <w:style w:type="character" w:customStyle="1" w:styleId="344">
    <w:name w:val="列表型 6 CharProp"/>
    <w:uiPriority w:val="0"/>
  </w:style>
  <w:style w:type="character" w:customStyle="1" w:styleId="345">
    <w:name w:val="列表型 7 CharProp"/>
    <w:uiPriority w:val="0"/>
  </w:style>
  <w:style w:type="character" w:customStyle="1" w:styleId="346">
    <w:name w:val="列表型 8 CharProp"/>
    <w:uiPriority w:val="0"/>
  </w:style>
  <w:style w:type="character" w:customStyle="1" w:styleId="347">
    <w:name w:val="流行型 CharProp"/>
    <w:qFormat/>
    <w:uiPriority w:val="0"/>
  </w:style>
  <w:style w:type="character" w:customStyle="1" w:styleId="348">
    <w:name w:val="竖列型 1 CharProp"/>
    <w:uiPriority w:val="0"/>
    <w:rPr>
      <w:b/>
      <w:bCs/>
    </w:rPr>
  </w:style>
  <w:style w:type="character" w:customStyle="1" w:styleId="349">
    <w:name w:val="竖列型 2 CharProp"/>
    <w:qFormat/>
    <w:uiPriority w:val="0"/>
    <w:rPr>
      <w:b/>
      <w:bCs/>
    </w:rPr>
  </w:style>
  <w:style w:type="character" w:customStyle="1" w:styleId="350">
    <w:name w:val="竖列型 3 CharProp"/>
    <w:qFormat/>
    <w:uiPriority w:val="0"/>
    <w:rPr>
      <w:b/>
      <w:bCs/>
    </w:rPr>
  </w:style>
  <w:style w:type="character" w:customStyle="1" w:styleId="351">
    <w:name w:val="竖列型 4 CharProp"/>
    <w:uiPriority w:val="0"/>
  </w:style>
  <w:style w:type="character" w:customStyle="1" w:styleId="352">
    <w:name w:val="竖列型 5 CharProp"/>
    <w:qFormat/>
    <w:uiPriority w:val="0"/>
  </w:style>
  <w:style w:type="character" w:customStyle="1" w:styleId="353">
    <w:name w:val="网格型 1 CharProp"/>
    <w:uiPriority w:val="0"/>
  </w:style>
  <w:style w:type="character" w:customStyle="1" w:styleId="354">
    <w:name w:val="网格型 2 CharProp"/>
    <w:qFormat/>
    <w:uiPriority w:val="0"/>
  </w:style>
  <w:style w:type="character" w:customStyle="1" w:styleId="355">
    <w:name w:val="网格型 3 CharProp"/>
    <w:qFormat/>
    <w:uiPriority w:val="0"/>
  </w:style>
  <w:style w:type="character" w:customStyle="1" w:styleId="356">
    <w:name w:val="网格型 4 CharProp"/>
    <w:qFormat/>
    <w:uiPriority w:val="0"/>
  </w:style>
  <w:style w:type="character" w:customStyle="1" w:styleId="357">
    <w:name w:val="网格型 5 CharProp"/>
    <w:qFormat/>
    <w:uiPriority w:val="0"/>
  </w:style>
  <w:style w:type="character" w:customStyle="1" w:styleId="358">
    <w:name w:val="网格型 6 CharProp"/>
    <w:qFormat/>
    <w:uiPriority w:val="0"/>
  </w:style>
  <w:style w:type="character" w:customStyle="1" w:styleId="359">
    <w:name w:val="网格型 7 CharProp"/>
    <w:qFormat/>
    <w:uiPriority w:val="0"/>
    <w:rPr>
      <w:b/>
      <w:bCs/>
    </w:rPr>
  </w:style>
  <w:style w:type="character" w:customStyle="1" w:styleId="360">
    <w:name w:val="网格型 8 CharProp"/>
    <w:qFormat/>
    <w:uiPriority w:val="0"/>
  </w:style>
  <w:style w:type="character" w:customStyle="1" w:styleId="361">
    <w:name w:val="网页型 1 CharProp"/>
    <w:qFormat/>
    <w:uiPriority w:val="0"/>
  </w:style>
  <w:style w:type="character" w:customStyle="1" w:styleId="362">
    <w:name w:val="网页型 2 CharProp"/>
    <w:qFormat/>
    <w:uiPriority w:val="0"/>
  </w:style>
  <w:style w:type="character" w:customStyle="1" w:styleId="363">
    <w:name w:val="网页型 3 CharProp"/>
    <w:qFormat/>
    <w:uiPriority w:val="0"/>
  </w:style>
  <w:style w:type="character" w:customStyle="1" w:styleId="364">
    <w:name w:val="专业型 CharProp"/>
    <w:qFormat/>
    <w:uiPriority w:val="0"/>
  </w:style>
  <w:style w:type="character" w:customStyle="1" w:styleId="365">
    <w:name w:val="浅色底纹 CharProp"/>
    <w:qFormat/>
    <w:uiPriority w:val="60"/>
    <w:rPr>
      <w:color w:val="000000" w:themeColor="text1" w:themeShade="BF"/>
    </w:rPr>
  </w:style>
  <w:style w:type="character" w:customStyle="1" w:styleId="366">
    <w:name w:val="浅色底纹 - 强调文字颜色 1 CharProp"/>
    <w:qFormat/>
    <w:uiPriority w:val="60"/>
    <w:rPr>
      <w:color w:val="376092" w:themeColor="accent1" w:themeShade="BF"/>
    </w:rPr>
  </w:style>
  <w:style w:type="character" w:customStyle="1" w:styleId="367">
    <w:name w:val="浅色底纹 - 强调文字颜色 2 CharProp"/>
    <w:qFormat/>
    <w:uiPriority w:val="60"/>
    <w:rPr>
      <w:color w:val="953735" w:themeColor="accent2" w:themeShade="BF"/>
    </w:rPr>
  </w:style>
  <w:style w:type="character" w:customStyle="1" w:styleId="368">
    <w:name w:val="浅色底纹 - 强调文字颜色 3 CharProp"/>
    <w:qFormat/>
    <w:uiPriority w:val="60"/>
    <w:rPr>
      <w:color w:val="77933C" w:themeColor="accent3" w:themeShade="BF"/>
    </w:rPr>
  </w:style>
  <w:style w:type="character" w:customStyle="1" w:styleId="369">
    <w:name w:val="浅色底纹 - 强调文字颜色 4 CharProp"/>
    <w:qFormat/>
    <w:uiPriority w:val="60"/>
    <w:rPr>
      <w:color w:val="604A7B" w:themeColor="accent4" w:themeShade="BF"/>
    </w:rPr>
  </w:style>
  <w:style w:type="character" w:customStyle="1" w:styleId="370">
    <w:name w:val="浅色底纹 - 强调文字颜色 5 CharProp"/>
    <w:qFormat/>
    <w:uiPriority w:val="60"/>
    <w:rPr>
      <w:color w:val="31859C" w:themeColor="accent5" w:themeShade="BF"/>
    </w:rPr>
  </w:style>
  <w:style w:type="character" w:customStyle="1" w:styleId="371">
    <w:name w:val="浅色底纹 - 强调文字颜色 6 CharProp"/>
    <w:qFormat/>
    <w:uiPriority w:val="60"/>
    <w:rPr>
      <w:color w:val="E46C0A" w:themeColor="accent6" w:themeShade="BF"/>
    </w:rPr>
  </w:style>
  <w:style w:type="character" w:customStyle="1" w:styleId="372">
    <w:name w:val="浅色列表 CharProp"/>
    <w:qFormat/>
    <w:uiPriority w:val="61"/>
  </w:style>
  <w:style w:type="character" w:customStyle="1" w:styleId="373">
    <w:name w:val="浅色列表 - 强调文字颜色 1 CharProp"/>
    <w:qFormat/>
    <w:uiPriority w:val="61"/>
  </w:style>
  <w:style w:type="character" w:customStyle="1" w:styleId="374">
    <w:name w:val="浅色列表 - 强调文字颜色 2 CharProp"/>
    <w:qFormat/>
    <w:uiPriority w:val="61"/>
  </w:style>
  <w:style w:type="character" w:customStyle="1" w:styleId="375">
    <w:name w:val="浅色列表 - 强调文字颜色 3 CharProp"/>
    <w:qFormat/>
    <w:uiPriority w:val="61"/>
  </w:style>
  <w:style w:type="character" w:customStyle="1" w:styleId="376">
    <w:name w:val="浅色列表 - 强调文字颜色 4 CharProp"/>
    <w:qFormat/>
    <w:uiPriority w:val="61"/>
  </w:style>
  <w:style w:type="character" w:customStyle="1" w:styleId="377">
    <w:name w:val="浅色列表 - 强调文字颜色 5 CharProp"/>
    <w:qFormat/>
    <w:uiPriority w:val="61"/>
  </w:style>
  <w:style w:type="character" w:customStyle="1" w:styleId="378">
    <w:name w:val="浅色列表 - 强调文字颜色 6 CharProp"/>
    <w:qFormat/>
    <w:uiPriority w:val="61"/>
  </w:style>
  <w:style w:type="character" w:customStyle="1" w:styleId="379">
    <w:name w:val="浅色网格 CharProp"/>
    <w:qFormat/>
    <w:uiPriority w:val="62"/>
  </w:style>
  <w:style w:type="character" w:customStyle="1" w:styleId="380">
    <w:name w:val="浅色网格 - 强调文字颜色 1 CharProp"/>
    <w:qFormat/>
    <w:uiPriority w:val="62"/>
  </w:style>
  <w:style w:type="character" w:customStyle="1" w:styleId="381">
    <w:name w:val="浅色网格 - 强调文字颜色 2 CharProp"/>
    <w:qFormat/>
    <w:uiPriority w:val="62"/>
  </w:style>
  <w:style w:type="character" w:customStyle="1" w:styleId="382">
    <w:name w:val="浅色网格 - 强调文字颜色 3 CharProp"/>
    <w:qFormat/>
    <w:uiPriority w:val="62"/>
  </w:style>
  <w:style w:type="character" w:customStyle="1" w:styleId="383">
    <w:name w:val="浅色网格 - 强调文字颜色 4 CharProp"/>
    <w:qFormat/>
    <w:uiPriority w:val="62"/>
  </w:style>
  <w:style w:type="character" w:customStyle="1" w:styleId="384">
    <w:name w:val="浅色网格 - 强调文字颜色 5 CharProp"/>
    <w:qFormat/>
    <w:uiPriority w:val="62"/>
  </w:style>
  <w:style w:type="character" w:customStyle="1" w:styleId="385">
    <w:name w:val="浅色网格 - 强调文字颜色 6 CharProp"/>
    <w:qFormat/>
    <w:uiPriority w:val="62"/>
  </w:style>
  <w:style w:type="character" w:customStyle="1" w:styleId="386">
    <w:name w:val="中等深浅底纹 1 CharProp"/>
    <w:qFormat/>
    <w:uiPriority w:val="63"/>
  </w:style>
  <w:style w:type="character" w:customStyle="1" w:styleId="387">
    <w:name w:val="中等深浅底纹 1 - 强调文字颜色 1 CharProp"/>
    <w:qFormat/>
    <w:uiPriority w:val="63"/>
  </w:style>
  <w:style w:type="character" w:customStyle="1" w:styleId="388">
    <w:name w:val="中等深浅底纹 1 - 强调文字颜色 2 CharProp"/>
    <w:qFormat/>
    <w:uiPriority w:val="63"/>
  </w:style>
  <w:style w:type="character" w:customStyle="1" w:styleId="389">
    <w:name w:val="中等深浅底纹 1 - 强调文字颜色 3 CharProp"/>
    <w:qFormat/>
    <w:uiPriority w:val="63"/>
  </w:style>
  <w:style w:type="character" w:customStyle="1" w:styleId="390">
    <w:name w:val="中等深浅底纹 1 - 强调文字颜色 4 CharProp"/>
    <w:qFormat/>
    <w:uiPriority w:val="63"/>
  </w:style>
  <w:style w:type="character" w:customStyle="1" w:styleId="391">
    <w:name w:val="中等深浅底纹 1 - 强调文字颜色 5 CharProp"/>
    <w:qFormat/>
    <w:uiPriority w:val="63"/>
  </w:style>
  <w:style w:type="character" w:customStyle="1" w:styleId="392">
    <w:name w:val="中等深浅底纹 1 - 强调文字颜色 6 CharProp"/>
    <w:qFormat/>
    <w:uiPriority w:val="63"/>
  </w:style>
  <w:style w:type="character" w:customStyle="1" w:styleId="393">
    <w:name w:val="中等深浅底纹 2 CharProp"/>
    <w:qFormat/>
    <w:uiPriority w:val="64"/>
  </w:style>
  <w:style w:type="character" w:customStyle="1" w:styleId="394">
    <w:name w:val="中等深浅底纹 2 - 强调文字颜色 1 CharProp"/>
    <w:qFormat/>
    <w:uiPriority w:val="64"/>
  </w:style>
  <w:style w:type="character" w:customStyle="1" w:styleId="395">
    <w:name w:val="中等深浅底纹 2 - 强调文字颜色 2 CharProp"/>
    <w:qFormat/>
    <w:uiPriority w:val="64"/>
  </w:style>
  <w:style w:type="character" w:customStyle="1" w:styleId="396">
    <w:name w:val="中等深浅底纹 2 - 强调文字颜色 3 CharProp"/>
    <w:qFormat/>
    <w:uiPriority w:val="64"/>
  </w:style>
  <w:style w:type="character" w:customStyle="1" w:styleId="397">
    <w:name w:val="中等深浅底纹 2 - 强调文字颜色 4 CharProp"/>
    <w:qFormat/>
    <w:uiPriority w:val="64"/>
  </w:style>
  <w:style w:type="character" w:customStyle="1" w:styleId="398">
    <w:name w:val="中等深浅底纹 2 - 强调文字颜色 5 CharProp"/>
    <w:qFormat/>
    <w:uiPriority w:val="64"/>
  </w:style>
  <w:style w:type="character" w:customStyle="1" w:styleId="399">
    <w:name w:val="中等深浅底纹 2 - 强调文字颜色 6 CharProp"/>
    <w:qFormat/>
    <w:uiPriority w:val="64"/>
  </w:style>
  <w:style w:type="character" w:customStyle="1" w:styleId="400">
    <w:name w:val="中等深浅列表 1 CharProp"/>
    <w:qFormat/>
    <w:uiPriority w:val="65"/>
    <w:rPr>
      <w:color w:val="000000" w:themeColor="text1"/>
      <w14:textFill>
        <w14:solidFill>
          <w14:schemeClr w14:val="tx1"/>
        </w14:solidFill>
      </w14:textFill>
    </w:rPr>
  </w:style>
  <w:style w:type="character" w:customStyle="1" w:styleId="401">
    <w:name w:val="中等深浅列表 1 - 强调文字颜色 1 CharProp"/>
    <w:qFormat/>
    <w:uiPriority w:val="65"/>
    <w:rPr>
      <w:color w:val="000000" w:themeColor="text1"/>
      <w14:textFill>
        <w14:solidFill>
          <w14:schemeClr w14:val="tx1"/>
        </w14:solidFill>
      </w14:textFill>
    </w:rPr>
  </w:style>
  <w:style w:type="character" w:customStyle="1" w:styleId="402">
    <w:name w:val="中等深浅列表 1 - 强调文字颜色 2 CharProp"/>
    <w:qFormat/>
    <w:uiPriority w:val="65"/>
    <w:rPr>
      <w:color w:val="000000" w:themeColor="text1"/>
      <w14:textFill>
        <w14:solidFill>
          <w14:schemeClr w14:val="tx1"/>
        </w14:solidFill>
      </w14:textFill>
    </w:rPr>
  </w:style>
  <w:style w:type="character" w:customStyle="1" w:styleId="403">
    <w:name w:val="中等深浅列表 1 - 强调文字颜色 3 CharProp"/>
    <w:qFormat/>
    <w:uiPriority w:val="65"/>
    <w:rPr>
      <w:color w:val="000000" w:themeColor="text1"/>
      <w14:textFill>
        <w14:solidFill>
          <w14:schemeClr w14:val="tx1"/>
        </w14:solidFill>
      </w14:textFill>
    </w:rPr>
  </w:style>
  <w:style w:type="character" w:customStyle="1" w:styleId="404">
    <w:name w:val="中等深浅列表 1 - 强调文字颜色 4 CharProp"/>
    <w:qFormat/>
    <w:uiPriority w:val="65"/>
    <w:rPr>
      <w:color w:val="000000" w:themeColor="text1"/>
      <w14:textFill>
        <w14:solidFill>
          <w14:schemeClr w14:val="tx1"/>
        </w14:solidFill>
      </w14:textFill>
    </w:rPr>
  </w:style>
  <w:style w:type="character" w:customStyle="1" w:styleId="405">
    <w:name w:val="中等深浅列表 1 - 强调文字颜色 5 CharProp"/>
    <w:qFormat/>
    <w:uiPriority w:val="65"/>
    <w:rPr>
      <w:color w:val="000000" w:themeColor="text1"/>
      <w14:textFill>
        <w14:solidFill>
          <w14:schemeClr w14:val="tx1"/>
        </w14:solidFill>
      </w14:textFill>
    </w:rPr>
  </w:style>
  <w:style w:type="character" w:customStyle="1" w:styleId="406">
    <w:name w:val="中等深浅列表 1 - 强调文字颜色 6 CharProp"/>
    <w:qFormat/>
    <w:uiPriority w:val="65"/>
    <w:rPr>
      <w:color w:val="000000" w:themeColor="text1"/>
      <w14:textFill>
        <w14:solidFill>
          <w14:schemeClr w14:val="tx1"/>
        </w14:solidFill>
      </w14:textFill>
    </w:rPr>
  </w:style>
  <w:style w:type="character" w:customStyle="1" w:styleId="407">
    <w:name w:val="中等深浅列表 2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08">
    <w:name w:val="中等深浅列表 2 - 强调文字颜色 1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09">
    <w:name w:val="中等深浅列表 2 - 强调文字颜色 2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0">
    <w:name w:val="中等深浅列表 2 - 强调文字颜色 3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1">
    <w:name w:val="中等深浅列表 2 - 强调文字颜色 4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2">
    <w:name w:val="中等深浅列表 2 - 强调文字颜色 5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3">
    <w:name w:val="中等深浅列表 2 - 强调文字颜色 6 CharProp"/>
    <w:qFormat/>
    <w:uiPriority w:val="66"/>
    <w:rPr>
      <w:rFonts w:asciiTheme="majorHAnsi" w:hAnsiTheme="majorHAnsi" w:eastAsiaTheme="majorEastAsia" w:cstheme="majorBidi"/>
      <w:color w:val="000000" w:themeColor="text1"/>
      <w14:textFill>
        <w14:solidFill>
          <w14:schemeClr w14:val="tx1"/>
        </w14:solidFill>
      </w14:textFill>
    </w:rPr>
  </w:style>
  <w:style w:type="character" w:customStyle="1" w:styleId="414">
    <w:name w:val="中等深浅网格 1 CharProp"/>
    <w:qFormat/>
    <w:uiPriority w:val="67"/>
  </w:style>
  <w:style w:type="character" w:customStyle="1" w:styleId="415">
    <w:name w:val="中等深浅网格 1 - 强调文字颜色 1 CharProp"/>
    <w:qFormat/>
    <w:uiPriority w:val="67"/>
  </w:style>
  <w:style w:type="character" w:customStyle="1" w:styleId="416">
    <w:name w:val="中等深浅网格 1 - 强调文字颜色 2 CharProp"/>
    <w:qFormat/>
    <w:uiPriority w:val="67"/>
  </w:style>
  <w:style w:type="character" w:customStyle="1" w:styleId="417">
    <w:name w:val="中等深浅网格 1 - 强调文字颜色 3 CharProp"/>
    <w:qFormat/>
    <w:uiPriority w:val="67"/>
  </w:style>
  <w:style w:type="character" w:customStyle="1" w:styleId="418">
    <w:name w:val="中等深浅网格 1 - 强调文字颜色 4 CharProp"/>
    <w:qFormat/>
    <w:uiPriority w:val="67"/>
  </w:style>
  <w:style w:type="character" w:customStyle="1" w:styleId="419">
    <w:name w:val="中等深浅网格 1 - 强调文字颜色 5 CharProp"/>
    <w:qFormat/>
    <w:uiPriority w:val="67"/>
  </w:style>
  <w:style w:type="character" w:customStyle="1" w:styleId="420">
    <w:name w:val="中等深浅网格 1 - 强调文字颜色 6 CharProp"/>
    <w:qFormat/>
    <w:uiPriority w:val="67"/>
  </w:style>
  <w:style w:type="character" w:customStyle="1" w:styleId="421">
    <w:name w:val="中等深浅网格 2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2">
    <w:name w:val="中等深浅网格 2 - 强调文字颜色 1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3">
    <w:name w:val="中等深浅网格 2 - 强调文字颜色 2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4">
    <w:name w:val="中等深浅网格 2 - 强调文字颜色 3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5">
    <w:name w:val="中等深浅网格 2 - 强调文字颜色 4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6">
    <w:name w:val="中等深浅网格 2 - 强调文字颜色 5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7">
    <w:name w:val="中等深浅网格 2 - 强调文字颜色 6 CharProp"/>
    <w:qFormat/>
    <w:uiPriority w:val="68"/>
    <w:rPr>
      <w:rFonts w:asciiTheme="majorHAnsi" w:hAnsiTheme="majorHAnsi" w:eastAsiaTheme="majorEastAsia" w:cstheme="majorBidi"/>
      <w:color w:val="000000" w:themeColor="text1"/>
      <w14:textFill>
        <w14:solidFill>
          <w14:schemeClr w14:val="tx1"/>
        </w14:solidFill>
      </w14:textFill>
    </w:rPr>
  </w:style>
  <w:style w:type="character" w:customStyle="1" w:styleId="428">
    <w:name w:val="中等深浅网格 3 CharProp"/>
    <w:qFormat/>
    <w:uiPriority w:val="69"/>
  </w:style>
  <w:style w:type="character" w:customStyle="1" w:styleId="429">
    <w:name w:val="中等深浅网格 3 - 强调文字颜色 1 CharProp"/>
    <w:qFormat/>
    <w:uiPriority w:val="69"/>
  </w:style>
  <w:style w:type="character" w:customStyle="1" w:styleId="430">
    <w:name w:val="中等深浅网格 3 - 强调文字颜色 2 CharProp"/>
    <w:qFormat/>
    <w:uiPriority w:val="69"/>
  </w:style>
  <w:style w:type="character" w:customStyle="1" w:styleId="431">
    <w:name w:val="中等深浅网格 3 - 强调文字颜色 3 CharProp"/>
    <w:qFormat/>
    <w:uiPriority w:val="69"/>
  </w:style>
  <w:style w:type="character" w:customStyle="1" w:styleId="432">
    <w:name w:val="中等深浅网格 3 - 强调文字颜色 4 CharProp"/>
    <w:qFormat/>
    <w:uiPriority w:val="69"/>
  </w:style>
  <w:style w:type="character" w:customStyle="1" w:styleId="433">
    <w:name w:val="中等深浅网格 3 - 强调文字颜色 5 CharProp"/>
    <w:qFormat/>
    <w:uiPriority w:val="69"/>
  </w:style>
  <w:style w:type="character" w:customStyle="1" w:styleId="434">
    <w:name w:val="中等深浅网格 3 - 强调文字颜色 6 CharProp"/>
    <w:qFormat/>
    <w:uiPriority w:val="69"/>
  </w:style>
  <w:style w:type="character" w:customStyle="1" w:styleId="435">
    <w:name w:val="深色列表 CharProp"/>
    <w:qFormat/>
    <w:uiPriority w:val="70"/>
    <w:rPr>
      <w:color w:val="FFFFFF" w:themeColor="background1"/>
      <w14:textFill>
        <w14:solidFill>
          <w14:schemeClr w14:val="bg1"/>
        </w14:solidFill>
      </w14:textFill>
    </w:rPr>
  </w:style>
  <w:style w:type="character" w:customStyle="1" w:styleId="436">
    <w:name w:val="深色列表 - 强调文字颜色 1 CharProp"/>
    <w:qFormat/>
    <w:uiPriority w:val="70"/>
    <w:rPr>
      <w:color w:val="FFFFFF" w:themeColor="background1"/>
      <w14:textFill>
        <w14:solidFill>
          <w14:schemeClr w14:val="bg1"/>
        </w14:solidFill>
      </w14:textFill>
    </w:rPr>
  </w:style>
  <w:style w:type="character" w:customStyle="1" w:styleId="437">
    <w:name w:val="深色列表 - 强调文字颜色 2 CharProp"/>
    <w:qFormat/>
    <w:uiPriority w:val="70"/>
    <w:rPr>
      <w:color w:val="FFFFFF" w:themeColor="background1"/>
      <w14:textFill>
        <w14:solidFill>
          <w14:schemeClr w14:val="bg1"/>
        </w14:solidFill>
      </w14:textFill>
    </w:rPr>
  </w:style>
  <w:style w:type="character" w:customStyle="1" w:styleId="438">
    <w:name w:val="深色列表 - 强调文字颜色 3 CharProp"/>
    <w:qFormat/>
    <w:uiPriority w:val="70"/>
    <w:rPr>
      <w:color w:val="FFFFFF" w:themeColor="background1"/>
      <w14:textFill>
        <w14:solidFill>
          <w14:schemeClr w14:val="bg1"/>
        </w14:solidFill>
      </w14:textFill>
    </w:rPr>
  </w:style>
  <w:style w:type="character" w:customStyle="1" w:styleId="439">
    <w:name w:val="深色列表 - 强调文字颜色 4 CharProp"/>
    <w:qFormat/>
    <w:uiPriority w:val="70"/>
    <w:rPr>
      <w:color w:val="FFFFFF" w:themeColor="background1"/>
      <w14:textFill>
        <w14:solidFill>
          <w14:schemeClr w14:val="bg1"/>
        </w14:solidFill>
      </w14:textFill>
    </w:rPr>
  </w:style>
  <w:style w:type="character" w:customStyle="1" w:styleId="440">
    <w:name w:val="深色列表 - 强调文字颜色 5 CharProp"/>
    <w:qFormat/>
    <w:uiPriority w:val="70"/>
    <w:rPr>
      <w:color w:val="FFFFFF" w:themeColor="background1"/>
      <w14:textFill>
        <w14:solidFill>
          <w14:schemeClr w14:val="bg1"/>
        </w14:solidFill>
      </w14:textFill>
    </w:rPr>
  </w:style>
  <w:style w:type="character" w:customStyle="1" w:styleId="441">
    <w:name w:val="深色列表 - 强调文字颜色 6 CharProp"/>
    <w:qFormat/>
    <w:uiPriority w:val="70"/>
    <w:rPr>
      <w:color w:val="FFFFFF" w:themeColor="background1"/>
      <w14:textFill>
        <w14:solidFill>
          <w14:schemeClr w14:val="bg1"/>
        </w14:solidFill>
      </w14:textFill>
    </w:rPr>
  </w:style>
  <w:style w:type="character" w:customStyle="1" w:styleId="442">
    <w:name w:val="彩色底纹 CharProp"/>
    <w:qFormat/>
    <w:uiPriority w:val="71"/>
    <w:rPr>
      <w:color w:val="000000" w:themeColor="text1"/>
      <w14:textFill>
        <w14:solidFill>
          <w14:schemeClr w14:val="tx1"/>
        </w14:solidFill>
      </w14:textFill>
    </w:rPr>
  </w:style>
  <w:style w:type="character" w:customStyle="1" w:styleId="443">
    <w:name w:val="彩色底纹 - 强调文字颜色 1 CharProp"/>
    <w:qFormat/>
    <w:uiPriority w:val="71"/>
    <w:rPr>
      <w:color w:val="000000" w:themeColor="text1"/>
      <w14:textFill>
        <w14:solidFill>
          <w14:schemeClr w14:val="tx1"/>
        </w14:solidFill>
      </w14:textFill>
    </w:rPr>
  </w:style>
  <w:style w:type="character" w:customStyle="1" w:styleId="444">
    <w:name w:val="彩色底纹 - 强调文字颜色 2 CharProp"/>
    <w:qFormat/>
    <w:uiPriority w:val="71"/>
    <w:rPr>
      <w:color w:val="000000" w:themeColor="text1"/>
      <w14:textFill>
        <w14:solidFill>
          <w14:schemeClr w14:val="tx1"/>
        </w14:solidFill>
      </w14:textFill>
    </w:rPr>
  </w:style>
  <w:style w:type="character" w:customStyle="1" w:styleId="445">
    <w:name w:val="彩色底纹 - 强调文字颜色 3 CharProp"/>
    <w:qFormat/>
    <w:uiPriority w:val="71"/>
    <w:rPr>
      <w:color w:val="000000" w:themeColor="text1"/>
      <w14:textFill>
        <w14:solidFill>
          <w14:schemeClr w14:val="tx1"/>
        </w14:solidFill>
      </w14:textFill>
    </w:rPr>
  </w:style>
  <w:style w:type="character" w:customStyle="1" w:styleId="446">
    <w:name w:val="彩色底纹 - 强调文字颜色 4 CharProp"/>
    <w:qFormat/>
    <w:uiPriority w:val="71"/>
    <w:rPr>
      <w:color w:val="000000" w:themeColor="text1"/>
      <w14:textFill>
        <w14:solidFill>
          <w14:schemeClr w14:val="tx1"/>
        </w14:solidFill>
      </w14:textFill>
    </w:rPr>
  </w:style>
  <w:style w:type="character" w:customStyle="1" w:styleId="447">
    <w:name w:val="彩色底纹 - 强调文字颜色 5 CharProp"/>
    <w:qFormat/>
    <w:uiPriority w:val="71"/>
    <w:rPr>
      <w:color w:val="000000" w:themeColor="text1"/>
      <w14:textFill>
        <w14:solidFill>
          <w14:schemeClr w14:val="tx1"/>
        </w14:solidFill>
      </w14:textFill>
    </w:rPr>
  </w:style>
  <w:style w:type="character" w:customStyle="1" w:styleId="448">
    <w:name w:val="彩色底纹 - 强调文字颜色 6 CharProp"/>
    <w:qFormat/>
    <w:uiPriority w:val="71"/>
    <w:rPr>
      <w:color w:val="000000" w:themeColor="text1"/>
      <w14:textFill>
        <w14:solidFill>
          <w14:schemeClr w14:val="tx1"/>
        </w14:solidFill>
      </w14:textFill>
    </w:rPr>
  </w:style>
  <w:style w:type="character" w:customStyle="1" w:styleId="449">
    <w:name w:val="彩色列表 CharProp"/>
    <w:qFormat/>
    <w:uiPriority w:val="72"/>
    <w:rPr>
      <w:color w:val="000000" w:themeColor="text1"/>
      <w14:textFill>
        <w14:solidFill>
          <w14:schemeClr w14:val="tx1"/>
        </w14:solidFill>
      </w14:textFill>
    </w:rPr>
  </w:style>
  <w:style w:type="character" w:customStyle="1" w:styleId="450">
    <w:name w:val="彩色列表 - 强调文字颜色 1 CharProp"/>
    <w:qFormat/>
    <w:uiPriority w:val="72"/>
    <w:rPr>
      <w:color w:val="000000" w:themeColor="text1"/>
      <w14:textFill>
        <w14:solidFill>
          <w14:schemeClr w14:val="tx1"/>
        </w14:solidFill>
      </w14:textFill>
    </w:rPr>
  </w:style>
  <w:style w:type="character" w:customStyle="1" w:styleId="451">
    <w:name w:val="彩色列表 - 强调文字颜色 2 CharProp"/>
    <w:qFormat/>
    <w:uiPriority w:val="72"/>
    <w:rPr>
      <w:color w:val="000000" w:themeColor="text1"/>
      <w14:textFill>
        <w14:solidFill>
          <w14:schemeClr w14:val="tx1"/>
        </w14:solidFill>
      </w14:textFill>
    </w:rPr>
  </w:style>
  <w:style w:type="character" w:customStyle="1" w:styleId="452">
    <w:name w:val="彩色列表 - 强调文字颜色 3 CharProp"/>
    <w:qFormat/>
    <w:uiPriority w:val="72"/>
    <w:rPr>
      <w:color w:val="000000" w:themeColor="text1"/>
      <w14:textFill>
        <w14:solidFill>
          <w14:schemeClr w14:val="tx1"/>
        </w14:solidFill>
      </w14:textFill>
    </w:rPr>
  </w:style>
  <w:style w:type="character" w:customStyle="1" w:styleId="453">
    <w:name w:val="彩色列表 - 强调文字颜色 4 CharProp"/>
    <w:qFormat/>
    <w:uiPriority w:val="72"/>
    <w:rPr>
      <w:color w:val="000000" w:themeColor="text1"/>
      <w14:textFill>
        <w14:solidFill>
          <w14:schemeClr w14:val="tx1"/>
        </w14:solidFill>
      </w14:textFill>
    </w:rPr>
  </w:style>
  <w:style w:type="character" w:customStyle="1" w:styleId="454">
    <w:name w:val="彩色列表 - 强调文字颜色 5 CharProp"/>
    <w:qFormat/>
    <w:uiPriority w:val="72"/>
    <w:rPr>
      <w:color w:val="000000" w:themeColor="text1"/>
      <w14:textFill>
        <w14:solidFill>
          <w14:schemeClr w14:val="tx1"/>
        </w14:solidFill>
      </w14:textFill>
    </w:rPr>
  </w:style>
  <w:style w:type="character" w:customStyle="1" w:styleId="455">
    <w:name w:val="彩色列表 - 强调文字颜色 6 CharProp"/>
    <w:qFormat/>
    <w:uiPriority w:val="72"/>
    <w:rPr>
      <w:color w:val="000000" w:themeColor="text1"/>
      <w14:textFill>
        <w14:solidFill>
          <w14:schemeClr w14:val="tx1"/>
        </w14:solidFill>
      </w14:textFill>
    </w:rPr>
  </w:style>
  <w:style w:type="character" w:customStyle="1" w:styleId="456">
    <w:name w:val="彩色网格 CharProp"/>
    <w:qFormat/>
    <w:uiPriority w:val="73"/>
    <w:rPr>
      <w:color w:val="000000" w:themeColor="text1"/>
      <w14:textFill>
        <w14:solidFill>
          <w14:schemeClr w14:val="tx1"/>
        </w14:solidFill>
      </w14:textFill>
    </w:rPr>
  </w:style>
  <w:style w:type="character" w:customStyle="1" w:styleId="457">
    <w:name w:val="彩色网格 - 强调文字颜色 1 CharProp"/>
    <w:qFormat/>
    <w:uiPriority w:val="73"/>
    <w:rPr>
      <w:color w:val="000000" w:themeColor="text1"/>
      <w14:textFill>
        <w14:solidFill>
          <w14:schemeClr w14:val="tx1"/>
        </w14:solidFill>
      </w14:textFill>
    </w:rPr>
  </w:style>
  <w:style w:type="character" w:customStyle="1" w:styleId="458">
    <w:name w:val="彩色网格 - 强调文字颜色 2 CharProp"/>
    <w:qFormat/>
    <w:uiPriority w:val="73"/>
    <w:rPr>
      <w:color w:val="000000" w:themeColor="text1"/>
      <w14:textFill>
        <w14:solidFill>
          <w14:schemeClr w14:val="tx1"/>
        </w14:solidFill>
      </w14:textFill>
    </w:rPr>
  </w:style>
  <w:style w:type="character" w:customStyle="1" w:styleId="459">
    <w:name w:val="彩色网格 - 强调文字颜色 3 CharProp"/>
    <w:qFormat/>
    <w:uiPriority w:val="73"/>
    <w:rPr>
      <w:color w:val="000000" w:themeColor="text1"/>
      <w14:textFill>
        <w14:solidFill>
          <w14:schemeClr w14:val="tx1"/>
        </w14:solidFill>
      </w14:textFill>
    </w:rPr>
  </w:style>
  <w:style w:type="character" w:customStyle="1" w:styleId="460">
    <w:name w:val="彩色网格 - 强调文字颜色 4 CharProp"/>
    <w:qFormat/>
    <w:uiPriority w:val="73"/>
    <w:rPr>
      <w:color w:val="000000" w:themeColor="text1"/>
      <w14:textFill>
        <w14:solidFill>
          <w14:schemeClr w14:val="tx1"/>
        </w14:solidFill>
      </w14:textFill>
    </w:rPr>
  </w:style>
  <w:style w:type="character" w:customStyle="1" w:styleId="461">
    <w:name w:val="彩色网格 - 强调文字颜色 5 CharProp"/>
    <w:qFormat/>
    <w:uiPriority w:val="73"/>
    <w:rPr>
      <w:color w:val="000000" w:themeColor="text1"/>
      <w14:textFill>
        <w14:solidFill>
          <w14:schemeClr w14:val="tx1"/>
        </w14:solidFill>
      </w14:textFill>
    </w:rPr>
  </w:style>
  <w:style w:type="character" w:customStyle="1" w:styleId="462">
    <w:name w:val="彩色网格 - 强调文字颜色 6 CharProp"/>
    <w:qFormat/>
    <w:uiPriority w:val="73"/>
    <w:rPr>
      <w:color w:val="000000" w:themeColor="text1"/>
      <w14:textFill>
        <w14:solidFill>
          <w14:schemeClr w14:val="tx1"/>
        </w14:solidFill>
      </w14:textFill>
    </w:rPr>
  </w:style>
  <w:style w:type="character" w:styleId="463">
    <w:name w:val="Strong"/>
    <w:basedOn w:val="319"/>
    <w:qFormat/>
    <w:uiPriority w:val="0"/>
    <w:rPr>
      <w:b/>
    </w:rPr>
  </w:style>
  <w:style w:type="character" w:styleId="464">
    <w:name w:val="endnote reference"/>
    <w:basedOn w:val="319"/>
    <w:qFormat/>
    <w:uiPriority w:val="0"/>
    <w:rPr>
      <w:vertAlign w:val="superscript"/>
    </w:rPr>
  </w:style>
  <w:style w:type="character" w:styleId="465">
    <w:name w:val="page number"/>
    <w:basedOn w:val="319"/>
    <w:qFormat/>
    <w:uiPriority w:val="0"/>
  </w:style>
  <w:style w:type="character" w:styleId="466">
    <w:name w:val="FollowedHyperlink"/>
    <w:basedOn w:val="319"/>
    <w:qFormat/>
    <w:uiPriority w:val="0"/>
    <w:rPr>
      <w:color w:val="800080" w:themeColor="followedHyperlink"/>
      <w:u w:val="single"/>
      <w14:textFill>
        <w14:solidFill>
          <w14:schemeClr w14:val="folHlink"/>
        </w14:solidFill>
      </w14:textFill>
    </w:rPr>
  </w:style>
  <w:style w:type="character" w:styleId="467">
    <w:name w:val="Emphasis"/>
    <w:basedOn w:val="319"/>
    <w:qFormat/>
    <w:uiPriority w:val="0"/>
    <w:rPr>
      <w:i/>
      <w:iCs/>
    </w:rPr>
  </w:style>
  <w:style w:type="character" w:styleId="468">
    <w:name w:val="line number"/>
    <w:basedOn w:val="319"/>
    <w:qFormat/>
    <w:uiPriority w:val="0"/>
  </w:style>
  <w:style w:type="character" w:styleId="469">
    <w:name w:val="HTML Definition"/>
    <w:basedOn w:val="319"/>
    <w:qFormat/>
    <w:uiPriority w:val="0"/>
    <w:rPr>
      <w:i/>
      <w:iCs/>
    </w:rPr>
  </w:style>
  <w:style w:type="character" w:styleId="470">
    <w:name w:val="HTML Typewriter"/>
    <w:basedOn w:val="319"/>
    <w:qFormat/>
    <w:uiPriority w:val="0"/>
    <w:rPr>
      <w:rFonts w:ascii="Courier New" w:hAnsi="Courier New" w:cs="Courier New"/>
      <w:sz w:val="20"/>
      <w:szCs w:val="20"/>
    </w:rPr>
  </w:style>
  <w:style w:type="character" w:styleId="471">
    <w:name w:val="HTML Acronym"/>
    <w:basedOn w:val="319"/>
    <w:qFormat/>
    <w:uiPriority w:val="0"/>
  </w:style>
  <w:style w:type="character" w:styleId="472">
    <w:name w:val="HTML Variable"/>
    <w:basedOn w:val="319"/>
    <w:qFormat/>
    <w:uiPriority w:val="0"/>
    <w:rPr>
      <w:i/>
      <w:iCs/>
    </w:rPr>
  </w:style>
  <w:style w:type="character" w:styleId="473">
    <w:name w:val="Hyperlink"/>
    <w:basedOn w:val="319"/>
    <w:qFormat/>
    <w:uiPriority w:val="99"/>
    <w:rPr>
      <w:color w:val="0000FF" w:themeColor="hyperlink"/>
      <w:u w:val="single"/>
      <w14:textFill>
        <w14:solidFill>
          <w14:schemeClr w14:val="hlink"/>
        </w14:solidFill>
      </w14:textFill>
    </w:rPr>
  </w:style>
  <w:style w:type="character" w:styleId="474">
    <w:name w:val="HTML Code"/>
    <w:basedOn w:val="319"/>
    <w:qFormat/>
    <w:uiPriority w:val="0"/>
    <w:rPr>
      <w:rFonts w:ascii="Courier New" w:hAnsi="Courier New" w:cs="Courier New"/>
      <w:sz w:val="20"/>
      <w:szCs w:val="20"/>
    </w:rPr>
  </w:style>
  <w:style w:type="character" w:styleId="475">
    <w:name w:val="annotation reference"/>
    <w:basedOn w:val="319"/>
    <w:qFormat/>
    <w:uiPriority w:val="0"/>
    <w:rPr>
      <w:sz w:val="21"/>
      <w:szCs w:val="21"/>
    </w:rPr>
  </w:style>
  <w:style w:type="character" w:styleId="476">
    <w:name w:val="HTML Cite"/>
    <w:basedOn w:val="319"/>
    <w:qFormat/>
    <w:uiPriority w:val="0"/>
    <w:rPr>
      <w:i/>
      <w:iCs/>
    </w:rPr>
  </w:style>
  <w:style w:type="character" w:styleId="477">
    <w:name w:val="footnote reference"/>
    <w:basedOn w:val="319"/>
    <w:qFormat/>
    <w:uiPriority w:val="0"/>
    <w:rPr>
      <w:vertAlign w:val="superscript"/>
    </w:rPr>
  </w:style>
  <w:style w:type="character" w:styleId="478">
    <w:name w:val="HTML Keyboard"/>
    <w:basedOn w:val="319"/>
    <w:qFormat/>
    <w:uiPriority w:val="0"/>
    <w:rPr>
      <w:rFonts w:ascii="Courier New" w:hAnsi="Courier New" w:cs="Courier New"/>
      <w:sz w:val="20"/>
      <w:szCs w:val="20"/>
    </w:rPr>
  </w:style>
  <w:style w:type="character" w:styleId="479">
    <w:name w:val="HTML Sample"/>
    <w:basedOn w:val="319"/>
    <w:qFormat/>
    <w:uiPriority w:val="0"/>
    <w:rPr>
      <w:rFonts w:ascii="Courier New" w:hAnsi="Courier New" w:cs="Courier New"/>
    </w:rPr>
  </w:style>
  <w:style w:type="character" w:customStyle="1" w:styleId="480">
    <w:name w:val="正文缩进311 CharProp2"/>
    <w:qFormat/>
    <w:uiPriority w:val="0"/>
    <w:rPr>
      <w:rFonts w:ascii="Calibri" w:hAnsi="Calibri" w:eastAsia="宋体" w:cs="Times New Roman"/>
      <w:sz w:val="21"/>
      <w:szCs w:val="22"/>
      <w:lang w:val="en-US" w:eastAsia="zh-CN" w:bidi="ar-SA"/>
    </w:rPr>
  </w:style>
  <w:style w:type="character" w:customStyle="1" w:styleId="481">
    <w:name w:val="正文缩进311 CharProp1"/>
    <w:qFormat/>
    <w:uiPriority w:val="0"/>
    <w:rPr>
      <w:rFonts w:ascii="Calibri" w:hAnsi="Calibri" w:eastAsia="宋体" w:cs="Times New Roman"/>
      <w:sz w:val="21"/>
      <w:szCs w:val="22"/>
      <w:lang w:val="en-US" w:eastAsia="zh-CN" w:bidi="ar-SA"/>
    </w:rPr>
  </w:style>
  <w:style w:type="character" w:customStyle="1" w:styleId="482">
    <w:name w:val="正文缩进311 CharProp"/>
    <w:qFormat/>
    <w:uiPriority w:val="0"/>
    <w:rPr>
      <w:rFonts w:ascii="Calibri" w:hAnsi="Calibri" w:eastAsia="宋体" w:cs="Times New Roman"/>
      <w:sz w:val="21"/>
      <w:szCs w:val="22"/>
      <w:lang w:val="en-US" w:eastAsia="zh-CN" w:bidi="ar-SA"/>
    </w:rPr>
  </w:style>
  <w:style w:type="table" w:customStyle="1" w:styleId="483">
    <w:name w:val="Table Normal"/>
    <w:semiHidden/>
    <w:unhideWhenUsed/>
    <w:qFormat/>
    <w:uiPriority w:val="0"/>
    <w:tblPr>
      <w:tblCellMar>
        <w:top w:w="0" w:type="dxa"/>
        <w:left w:w="0" w:type="dxa"/>
        <w:bottom w:w="0" w:type="dxa"/>
        <w:right w:w="0" w:type="dxa"/>
      </w:tblCellMar>
    </w:tblPr>
  </w:style>
  <w:style w:type="paragraph" w:customStyle="1" w:styleId="484">
    <w:name w:val="Table Text"/>
    <w:basedOn w:val="1"/>
    <w:semiHidden/>
    <w:qFormat/>
    <w:uiPriority w:val="0"/>
    <w:rPr>
      <w:rFonts w:ascii="仿宋" w:hAnsi="仿宋" w:eastAsia="仿宋" w:cs="仿宋"/>
      <w:sz w:val="22"/>
      <w:szCs w:val="22"/>
    </w:rPr>
  </w:style>
  <w:style w:type="character" w:customStyle="1" w:styleId="485">
    <w:name w:val="Table Text CharProp2"/>
    <w:qFormat/>
    <w:uiPriority w:val="0"/>
    <w:rPr>
      <w:rFonts w:ascii="仿宋" w:hAnsi="仿宋" w:eastAsia="仿宋" w:cs="仿宋"/>
      <w:sz w:val="22"/>
      <w:szCs w:val="22"/>
    </w:rPr>
  </w:style>
  <w:style w:type="character" w:customStyle="1" w:styleId="486">
    <w:name w:val="Table Text CharProp1"/>
    <w:qFormat/>
    <w:uiPriority w:val="0"/>
    <w:rPr>
      <w:rFonts w:ascii="仿宋" w:hAnsi="仿宋" w:eastAsia="仿宋" w:cs="仿宋"/>
      <w:sz w:val="22"/>
      <w:szCs w:val="22"/>
    </w:rPr>
  </w:style>
  <w:style w:type="character" w:customStyle="1" w:styleId="487">
    <w:name w:val="Table Text CharProp"/>
    <w:qFormat/>
    <w:uiPriority w:val="0"/>
    <w:rPr>
      <w:rFonts w:ascii="仿宋" w:hAnsi="仿宋" w:eastAsia="仿宋" w:cs="仿宋"/>
      <w:sz w:val="22"/>
      <w:szCs w:val="22"/>
    </w:rPr>
  </w:style>
  <w:style w:type="paragraph" w:customStyle="1" w:styleId="488">
    <w:name w:val="正文文本首行缩进 21"/>
    <w:basedOn w:val="489"/>
    <w:qFormat/>
    <w:uiPriority w:val="0"/>
    <w:pPr>
      <w:ind w:firstLine="420"/>
    </w:pPr>
  </w:style>
  <w:style w:type="paragraph" w:customStyle="1" w:styleId="489">
    <w:name w:val="正文文本缩进1"/>
    <w:basedOn w:val="1"/>
    <w:qFormat/>
    <w:uiPriority w:val="0"/>
    <w:pPr>
      <w:spacing w:line="520" w:lineRule="exact"/>
      <w:ind w:firstLine="640" w:firstLineChars="200"/>
    </w:pPr>
    <w:rPr>
      <w:rFonts w:ascii="仿宋_GB2312" w:eastAsia="仿宋_GB2312"/>
      <w:sz w:val="32"/>
    </w:rPr>
  </w:style>
  <w:style w:type="character" w:customStyle="1" w:styleId="490">
    <w:name w:val="正文文本首行缩进 21 CharProp2"/>
    <w:qFormat/>
    <w:uiPriority w:val="0"/>
  </w:style>
  <w:style w:type="character" w:customStyle="1" w:styleId="491">
    <w:name w:val="正文文本缩进1 CharProp2"/>
    <w:qFormat/>
    <w:uiPriority w:val="0"/>
    <w:rPr>
      <w:rFonts w:ascii="仿宋_GB2312" w:eastAsia="仿宋_GB2312"/>
      <w:sz w:val="32"/>
    </w:rPr>
  </w:style>
  <w:style w:type="character" w:customStyle="1" w:styleId="492">
    <w:name w:val="正文文本首行缩进 21 CharProp1"/>
    <w:qFormat/>
    <w:uiPriority w:val="0"/>
  </w:style>
  <w:style w:type="character" w:customStyle="1" w:styleId="493">
    <w:name w:val="正文文本缩进1 CharProp1"/>
    <w:qFormat/>
    <w:uiPriority w:val="0"/>
    <w:rPr>
      <w:rFonts w:ascii="仿宋_GB2312" w:eastAsia="仿宋_GB2312"/>
      <w:sz w:val="32"/>
    </w:rPr>
  </w:style>
  <w:style w:type="character" w:customStyle="1" w:styleId="494">
    <w:name w:val="正文文本首行缩进 21 CharProp"/>
    <w:qFormat/>
    <w:uiPriority w:val="0"/>
  </w:style>
  <w:style w:type="character" w:customStyle="1" w:styleId="495">
    <w:name w:val="正文文本缩进1 CharProp"/>
    <w:qFormat/>
    <w:uiPriority w:val="0"/>
    <w:rPr>
      <w:rFonts w:ascii="仿宋_GB2312" w:eastAsia="仿宋_GB2312"/>
      <w:sz w:val="32"/>
    </w:rPr>
  </w:style>
  <w:style w:type="character" w:customStyle="1" w:styleId="496">
    <w:name w:val="font21"/>
    <w:basedOn w:val="319"/>
    <w:qFormat/>
    <w:uiPriority w:val="0"/>
    <w:rPr>
      <w:rFonts w:hint="eastAsia" w:ascii="仿宋" w:hAnsi="仿宋" w:eastAsia="仿宋" w:cs="仿宋"/>
      <w:color w:val="000000"/>
      <w:sz w:val="22"/>
      <w:szCs w:val="22"/>
      <w:u w:val="none"/>
    </w:rPr>
  </w:style>
  <w:style w:type="character" w:customStyle="1" w:styleId="497">
    <w:name w:val="font11"/>
    <w:basedOn w:val="319"/>
    <w:qFormat/>
    <w:uiPriority w:val="0"/>
    <w:rPr>
      <w:rFonts w:hint="default" w:ascii="Calibri" w:hAnsi="Calibri" w:cs="Calibri"/>
      <w:color w:val="000000"/>
      <w:sz w:val="22"/>
      <w:szCs w:val="22"/>
      <w:u w:val="none"/>
    </w:rPr>
  </w:style>
  <w:style w:type="character" w:customStyle="1" w:styleId="498">
    <w:name w:val="font31"/>
    <w:basedOn w:val="319"/>
    <w:qFormat/>
    <w:uiPriority w:val="0"/>
    <w:rPr>
      <w:rFonts w:hint="eastAsia" w:ascii="宋体" w:hAnsi="宋体" w:eastAsia="宋体" w:cs="宋体"/>
      <w:color w:val="000000"/>
      <w:sz w:val="22"/>
      <w:szCs w:val="22"/>
      <w:u w:val="none"/>
    </w:rPr>
  </w:style>
  <w:style w:type="character" w:customStyle="1" w:styleId="499">
    <w:name w:val="font01"/>
    <w:basedOn w:val="319"/>
    <w:qFormat/>
    <w:uiPriority w:val="0"/>
    <w:rPr>
      <w:rFonts w:hint="eastAsia" w:ascii="宋体" w:hAnsi="宋体" w:eastAsia="宋体" w:cs="宋体"/>
      <w:color w:val="000000"/>
      <w:sz w:val="22"/>
      <w:szCs w:val="22"/>
      <w:u w:val="none"/>
    </w:rPr>
  </w:style>
  <w:style w:type="character" w:customStyle="1" w:styleId="500">
    <w:name w:val="font41"/>
    <w:basedOn w:val="319"/>
    <w:qFormat/>
    <w:uiPriority w:val="0"/>
    <w:rPr>
      <w:rFonts w:hint="eastAsia" w:ascii="宋体" w:hAnsi="宋体" w:eastAsia="宋体" w:cs="宋体"/>
      <w:color w:val="FF0000"/>
      <w:sz w:val="22"/>
      <w:szCs w:val="22"/>
      <w:u w:val="none"/>
    </w:rPr>
  </w:style>
  <w:style w:type="paragraph" w:customStyle="1" w:styleId="501">
    <w:name w:val="Default"/>
    <w:basedOn w:val="502"/>
    <w:unhideWhenUsed/>
    <w:qFormat/>
    <w:uiPriority w:val="99"/>
    <w:pPr>
      <w:widowControl w:val="0"/>
      <w:adjustRightInd w:val="0"/>
    </w:pPr>
    <w:rPr>
      <w:rFonts w:hint="eastAsia" w:ascii="方正仿宋_GBK" w:hAnsi="方正仿宋_GBK" w:eastAsia="方正仿宋_GBK" w:cs="Times New Roman"/>
      <w:sz w:val="24"/>
      <w:szCs w:val="22"/>
      <w:lang w:eastAsia="zh-CN"/>
    </w:rPr>
  </w:style>
  <w:style w:type="paragraph" w:customStyle="1" w:styleId="502">
    <w:name w:val="纯文本1"/>
    <w:basedOn w:val="1"/>
    <w:next w:val="46"/>
    <w:qFormat/>
    <w:uiPriority w:val="0"/>
    <w:pPr>
      <w:adjustRightInd/>
      <w:snapToGrid/>
    </w:pPr>
    <w:rPr>
      <w:rFonts w:ascii="宋体" w:eastAsia="宋体" w:cs="黑体"/>
    </w:rPr>
  </w:style>
  <w:style w:type="character" w:customStyle="1" w:styleId="503">
    <w:name w:val="Default CharProp2"/>
    <w:qFormat/>
    <w:uiPriority w:val="99"/>
    <w:rPr>
      <w:rFonts w:hint="eastAsia" w:ascii="方正仿宋_GBK" w:hAnsi="方正仿宋_GBK" w:eastAsia="方正仿宋_GBK" w:cs="Times New Roman"/>
      <w:sz w:val="24"/>
      <w:szCs w:val="22"/>
      <w:lang w:eastAsia="zh-CN"/>
    </w:rPr>
  </w:style>
  <w:style w:type="character" w:customStyle="1" w:styleId="504">
    <w:name w:val="纯文本1 CharProp2"/>
    <w:qFormat/>
    <w:uiPriority w:val="0"/>
    <w:rPr>
      <w:rFonts w:ascii="宋体" w:eastAsia="宋体" w:cs="黑体"/>
    </w:rPr>
  </w:style>
  <w:style w:type="character" w:customStyle="1" w:styleId="505">
    <w:name w:val="Default CharProp1"/>
    <w:qFormat/>
    <w:uiPriority w:val="99"/>
    <w:rPr>
      <w:rFonts w:hint="eastAsia" w:ascii="方正仿宋_GBK" w:hAnsi="方正仿宋_GBK" w:eastAsia="方正仿宋_GBK" w:cs="Times New Roman"/>
      <w:sz w:val="24"/>
      <w:szCs w:val="22"/>
      <w:lang w:eastAsia="zh-CN"/>
    </w:rPr>
  </w:style>
  <w:style w:type="character" w:customStyle="1" w:styleId="506">
    <w:name w:val="纯文本1 CharProp1"/>
    <w:qFormat/>
    <w:uiPriority w:val="0"/>
    <w:rPr>
      <w:rFonts w:ascii="宋体" w:eastAsia="宋体" w:cs="黑体"/>
    </w:rPr>
  </w:style>
  <w:style w:type="character" w:customStyle="1" w:styleId="507">
    <w:name w:val="Default CharProp"/>
    <w:qFormat/>
    <w:uiPriority w:val="99"/>
    <w:rPr>
      <w:rFonts w:hint="eastAsia" w:ascii="方正仿宋_GBK" w:hAnsi="方正仿宋_GBK" w:eastAsia="方正仿宋_GBK" w:cs="Times New Roman"/>
      <w:sz w:val="24"/>
      <w:szCs w:val="22"/>
      <w:lang w:eastAsia="zh-CN"/>
    </w:rPr>
  </w:style>
  <w:style w:type="character" w:customStyle="1" w:styleId="508">
    <w:name w:val="纯文本1 CharProp"/>
    <w:uiPriority w:val="0"/>
    <w:rPr>
      <w:rFonts w:ascii="宋体" w:eastAsia="宋体" w:cs="黑体"/>
    </w:rPr>
  </w:style>
  <w:style w:type="paragraph" w:customStyle="1" w:styleId="509">
    <w:name w:val="p2"/>
    <w:basedOn w:val="1"/>
    <w:qFormat/>
    <w:uiPriority w:val="0"/>
    <w:rPr>
      <w:rFonts w:ascii=".AppleSystemUIFont" w:hAnsi=".AppleSystemUIFont" w:eastAsia="宋体" w:cs="宋体"/>
      <w:sz w:val="29"/>
      <w:szCs w:val="29"/>
    </w:rPr>
  </w:style>
  <w:style w:type="character" w:customStyle="1" w:styleId="510">
    <w:name w:val="p2 CharProp2"/>
    <w:uiPriority w:val="0"/>
    <w:rPr>
      <w:rFonts w:ascii=".AppleSystemUIFont" w:hAnsi=".AppleSystemUIFont" w:eastAsia="宋体" w:cs="宋体"/>
      <w:sz w:val="29"/>
      <w:szCs w:val="29"/>
    </w:rPr>
  </w:style>
  <w:style w:type="character" w:customStyle="1" w:styleId="511">
    <w:name w:val="p2 CharProp1"/>
    <w:uiPriority w:val="0"/>
    <w:rPr>
      <w:rFonts w:ascii=".AppleSystemUIFont" w:hAnsi=".AppleSystemUIFont" w:eastAsia="宋体" w:cs="宋体"/>
      <w:sz w:val="29"/>
      <w:szCs w:val="29"/>
    </w:rPr>
  </w:style>
  <w:style w:type="character" w:customStyle="1" w:styleId="512">
    <w:name w:val="p2 CharProp"/>
    <w:uiPriority w:val="0"/>
    <w:rPr>
      <w:rFonts w:ascii=".AppleSystemUIFont" w:hAnsi=".AppleSystemUIFont" w:eastAsia="宋体" w:cs="宋体"/>
      <w:sz w:val="29"/>
      <w:szCs w:val="29"/>
    </w:rPr>
  </w:style>
  <w:style w:type="character" w:customStyle="1" w:styleId="513">
    <w:name w:val="s2"/>
    <w:basedOn w:val="319"/>
    <w:qFormat/>
    <w:uiPriority w:val="0"/>
    <w:rPr>
      <w:rFonts w:hint="default" w:ascii="UICTFontTextStyleBody" w:hAnsi="UICTFontTextStyleBody"/>
      <w:sz w:val="29"/>
      <w:szCs w:val="29"/>
    </w:rPr>
  </w:style>
  <w:style w:type="character" w:customStyle="1" w:styleId="514">
    <w:name w:val="s3"/>
    <w:basedOn w:val="319"/>
    <w:qFormat/>
    <w:uiPriority w:val="0"/>
    <w:rPr>
      <w:rFonts w:hint="default" w:ascii="UICTFontTextStyleEmphasizedBody" w:hAnsi="UICTFontTextStyleEmphasizedBody"/>
      <w:b/>
      <w:bCs/>
      <w:sz w:val="29"/>
      <w:szCs w:val="29"/>
    </w:rPr>
  </w:style>
  <w:style w:type="paragraph" w:customStyle="1" w:styleId="515">
    <w:name w:val="p3"/>
    <w:basedOn w:val="1"/>
    <w:qFormat/>
    <w:uiPriority w:val="0"/>
    <w:rPr>
      <w:rFonts w:ascii=".AppleSystemUIFont" w:hAnsi=".AppleSystemUIFont" w:eastAsia="宋体" w:cs="宋体"/>
      <w:sz w:val="29"/>
      <w:szCs w:val="29"/>
    </w:rPr>
  </w:style>
  <w:style w:type="character" w:customStyle="1" w:styleId="516">
    <w:name w:val="p3 CharProp2"/>
    <w:qFormat/>
    <w:uiPriority w:val="0"/>
    <w:rPr>
      <w:rFonts w:ascii=".AppleSystemUIFont" w:hAnsi=".AppleSystemUIFont" w:eastAsia="宋体" w:cs="宋体"/>
      <w:sz w:val="29"/>
      <w:szCs w:val="29"/>
    </w:rPr>
  </w:style>
  <w:style w:type="character" w:customStyle="1" w:styleId="517">
    <w:name w:val="p3 CharProp1"/>
    <w:uiPriority w:val="0"/>
    <w:rPr>
      <w:rFonts w:ascii=".AppleSystemUIFont" w:hAnsi=".AppleSystemUIFont" w:eastAsia="宋体" w:cs="宋体"/>
      <w:sz w:val="29"/>
      <w:szCs w:val="29"/>
    </w:rPr>
  </w:style>
  <w:style w:type="character" w:customStyle="1" w:styleId="518">
    <w:name w:val="p3 CharProp"/>
    <w:qFormat/>
    <w:uiPriority w:val="0"/>
    <w:rPr>
      <w:rFonts w:ascii=".AppleSystemUIFont" w:hAnsi=".AppleSystemUIFont" w:eastAsia="宋体" w:cs="宋体"/>
      <w:sz w:val="29"/>
      <w:szCs w:val="29"/>
    </w:rPr>
  </w:style>
  <w:style w:type="paragraph" w:customStyle="1" w:styleId="519">
    <w:name w:val="li2"/>
    <w:basedOn w:val="1"/>
    <w:qFormat/>
    <w:uiPriority w:val="0"/>
    <w:rPr>
      <w:rFonts w:ascii=".AppleSystemUIFont" w:hAnsi=".AppleSystemUIFont" w:eastAsia="宋体" w:cs="宋体"/>
      <w:sz w:val="29"/>
      <w:szCs w:val="29"/>
    </w:rPr>
  </w:style>
  <w:style w:type="character" w:customStyle="1" w:styleId="520">
    <w:name w:val="li2 CharProp2"/>
    <w:uiPriority w:val="0"/>
    <w:rPr>
      <w:rFonts w:ascii=".AppleSystemUIFont" w:hAnsi=".AppleSystemUIFont" w:eastAsia="宋体" w:cs="宋体"/>
      <w:sz w:val="29"/>
      <w:szCs w:val="29"/>
    </w:rPr>
  </w:style>
  <w:style w:type="character" w:customStyle="1" w:styleId="521">
    <w:name w:val="li2 CharProp1"/>
    <w:uiPriority w:val="0"/>
    <w:rPr>
      <w:rFonts w:ascii=".AppleSystemUIFont" w:hAnsi=".AppleSystemUIFont" w:eastAsia="宋体" w:cs="宋体"/>
      <w:sz w:val="29"/>
      <w:szCs w:val="29"/>
    </w:rPr>
  </w:style>
  <w:style w:type="character" w:customStyle="1" w:styleId="522">
    <w:name w:val="li2 CharProp"/>
    <w:uiPriority w:val="0"/>
    <w:rPr>
      <w:rFonts w:ascii=".AppleSystemUIFont" w:hAnsi=".AppleSystemUIFont" w:eastAsia="宋体" w:cs="宋体"/>
      <w:sz w:val="29"/>
      <w:szCs w:val="29"/>
    </w:rPr>
  </w:style>
  <w:style w:type="paragraph" w:customStyle="1" w:styleId="523">
    <w:name w:val="WPSOffice手动目录 1"/>
    <w:qFormat/>
    <w:uiPriority w:val="0"/>
    <w:rPr>
      <w:rFonts w:ascii="Times New Roman" w:hAnsi="Times New Roman" w:eastAsia="宋体" w:cs="Times New Roman"/>
      <w:lang w:val="en-US" w:eastAsia="zh-CN" w:bidi="ar-SA"/>
    </w:rPr>
  </w:style>
  <w:style w:type="character" w:customStyle="1" w:styleId="524">
    <w:name w:val="WPSOffice手动目录 1 CharProp2"/>
    <w:qFormat/>
    <w:uiPriority w:val="0"/>
    <w:rPr>
      <w:rFonts w:ascii="Times New Roman" w:hAnsi="Times New Roman" w:eastAsia="宋体" w:cs="Times New Roman"/>
      <w:lang w:val="en-US" w:eastAsia="zh-CN" w:bidi="ar-SA"/>
    </w:rPr>
  </w:style>
  <w:style w:type="character" w:customStyle="1" w:styleId="525">
    <w:name w:val="WPSOffice手动目录 1 CharProp1"/>
    <w:uiPriority w:val="0"/>
    <w:rPr>
      <w:rFonts w:ascii="Times New Roman" w:hAnsi="Times New Roman" w:eastAsia="宋体" w:cs="Times New Roman"/>
      <w:lang w:val="en-US" w:eastAsia="zh-CN" w:bidi="ar-SA"/>
    </w:rPr>
  </w:style>
  <w:style w:type="character" w:customStyle="1" w:styleId="526">
    <w:name w:val="WPSOffice手动目录 1 CharProp"/>
    <w:qFormat/>
    <w:uiPriority w:val="0"/>
    <w:rPr>
      <w:rFonts w:ascii="Times New Roman" w:hAnsi="Times New Roman" w:eastAsia="宋体" w:cs="Times New Roman"/>
      <w:lang w:val="en-US" w:eastAsia="zh-CN" w:bidi="ar-SA"/>
    </w:rPr>
  </w:style>
  <w:style w:type="paragraph" w:customStyle="1" w:styleId="52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528">
    <w:name w:val="WPSOffice手动目录 2 CharProp2"/>
    <w:uiPriority w:val="0"/>
    <w:rPr>
      <w:rFonts w:ascii="Times New Roman" w:hAnsi="Times New Roman" w:eastAsia="宋体" w:cs="Times New Roman"/>
      <w:lang w:val="en-US" w:eastAsia="zh-CN" w:bidi="ar-SA"/>
    </w:rPr>
  </w:style>
  <w:style w:type="character" w:customStyle="1" w:styleId="529">
    <w:name w:val="WPSOffice手动目录 2 CharProp1"/>
    <w:qFormat/>
    <w:uiPriority w:val="0"/>
    <w:rPr>
      <w:rFonts w:ascii="Times New Roman" w:hAnsi="Times New Roman" w:eastAsia="宋体" w:cs="Times New Roman"/>
      <w:lang w:val="en-US" w:eastAsia="zh-CN" w:bidi="ar-SA"/>
    </w:rPr>
  </w:style>
  <w:style w:type="character" w:customStyle="1" w:styleId="530">
    <w:name w:val="WPSOffice手动目录 2 CharProp"/>
    <w:qFormat/>
    <w:uiPriority w:val="0"/>
    <w:rPr>
      <w:rFonts w:ascii="Times New Roman" w:hAnsi="Times New Roman" w:eastAsia="宋体" w:cs="Times New Roman"/>
      <w:lang w:val="en-US" w:eastAsia="zh-CN" w:bidi="ar-SA"/>
    </w:rPr>
  </w:style>
  <w:style w:type="paragraph" w:customStyle="1" w:styleId="531">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532">
    <w:name w:val="WPSOffice手动目录 3 CharProp2"/>
    <w:qFormat/>
    <w:uiPriority w:val="0"/>
    <w:rPr>
      <w:rFonts w:ascii="Times New Roman" w:hAnsi="Times New Roman" w:eastAsia="宋体" w:cs="Times New Roman"/>
      <w:lang w:val="en-US" w:eastAsia="zh-CN" w:bidi="ar-SA"/>
    </w:rPr>
  </w:style>
  <w:style w:type="character" w:customStyle="1" w:styleId="533">
    <w:name w:val="WPSOffice手动目录 3 CharProp1"/>
    <w:qFormat/>
    <w:uiPriority w:val="0"/>
    <w:rPr>
      <w:rFonts w:ascii="Times New Roman" w:hAnsi="Times New Roman" w:eastAsia="宋体" w:cs="Times New Roman"/>
      <w:lang w:val="en-US" w:eastAsia="zh-CN" w:bidi="ar-SA"/>
    </w:rPr>
  </w:style>
  <w:style w:type="character" w:customStyle="1" w:styleId="534">
    <w:name w:val="WPSOffice手动目录 3 CharProp"/>
    <w:qFormat/>
    <w:uiPriority w:val="0"/>
    <w:rPr>
      <w:rFonts w:ascii="Times New Roman" w:hAnsi="Times New Roman" w:eastAsia="宋体" w:cs="Times New Roman"/>
      <w:lang w:val="en-US" w:eastAsia="zh-CN" w:bidi="ar-SA"/>
    </w:rPr>
  </w:style>
  <w:style w:type="character" w:customStyle="1" w:styleId="535">
    <w:name w:val="批注文字 字符"/>
    <w:basedOn w:val="319"/>
    <w:link w:val="28"/>
    <w:qFormat/>
    <w:uiPriority w:val="0"/>
    <w:rPr>
      <w:rFonts w:ascii="Arial" w:hAnsi="Arial" w:eastAsia="Arial" w:cs="Arial"/>
      <w:snapToGrid w:val="0"/>
      <w:color w:val="000000"/>
      <w:sz w:val="21"/>
      <w:szCs w:val="21"/>
      <w:lang w:eastAsia="en-US"/>
    </w:rPr>
  </w:style>
  <w:style w:type="character" w:customStyle="1" w:styleId="536">
    <w:name w:val="批注主题 字符"/>
    <w:basedOn w:val="535"/>
    <w:link w:val="86"/>
    <w:qFormat/>
    <w:uiPriority w:val="0"/>
    <w:rPr>
      <w:rFonts w:ascii="Arial" w:hAnsi="Arial" w:eastAsia="Arial" w:cs="Arial"/>
      <w:b/>
      <w:bCs/>
      <w:snapToGrid w:val="0"/>
      <w:color w:val="000000"/>
      <w:sz w:val="21"/>
      <w:szCs w:val="21"/>
      <w:lang w:eastAsia="en-US"/>
    </w:rPr>
  </w:style>
  <w:style w:type="character" w:customStyle="1" w:styleId="537">
    <w:name w:val="页脚 字符"/>
    <w:basedOn w:val="319"/>
    <w:link w:val="57"/>
    <w:qFormat/>
    <w:uiPriority w:val="99"/>
    <w:rPr>
      <w:rFonts w:ascii="Arial" w:hAnsi="Arial" w:eastAsia="Arial" w:cs="Arial"/>
      <w:snapToGrid w:val="0"/>
      <w:color w:val="000000"/>
      <w:sz w:val="18"/>
      <w:szCs w:val="18"/>
      <w:lang w:eastAsia="en-US"/>
    </w:rPr>
  </w:style>
  <w:style w:type="character" w:customStyle="1" w:styleId="538">
    <w:name w:val="@他1"/>
    <w:basedOn w:val="319"/>
    <w:semiHidden/>
    <w:unhideWhenUsed/>
    <w:qFormat/>
    <w:uiPriority w:val="99"/>
    <w:rPr>
      <w:color w:val="2B579A"/>
      <w:shd w:val="clear" w:color="auto" w:fill="E1DFDD"/>
    </w:rPr>
  </w:style>
  <w:style w:type="character" w:customStyle="1" w:styleId="539">
    <w:name w:val="HTML 地址 字符"/>
    <w:basedOn w:val="319"/>
    <w:link w:val="42"/>
    <w:qFormat/>
    <w:uiPriority w:val="0"/>
    <w:rPr>
      <w:rFonts w:ascii="Arial" w:hAnsi="Arial" w:eastAsia="Arial" w:cs="Arial"/>
      <w:i/>
      <w:iCs/>
      <w:snapToGrid w:val="0"/>
      <w:color w:val="000000"/>
      <w:sz w:val="21"/>
      <w:szCs w:val="21"/>
      <w:lang w:eastAsia="en-US"/>
    </w:rPr>
  </w:style>
  <w:style w:type="character" w:customStyle="1" w:styleId="540">
    <w:name w:val="HTML 预设格式 字符"/>
    <w:basedOn w:val="319"/>
    <w:link w:val="81"/>
    <w:qFormat/>
    <w:uiPriority w:val="0"/>
    <w:rPr>
      <w:rFonts w:ascii="Courier New" w:hAnsi="Courier New" w:eastAsia="Arial" w:cs="Courier New"/>
      <w:snapToGrid w:val="0"/>
      <w:color w:val="000000"/>
      <w:lang w:eastAsia="en-US"/>
    </w:rPr>
  </w:style>
  <w:style w:type="paragraph" w:customStyle="1" w:styleId="541">
    <w:name w:val="TOC 标题1"/>
    <w:basedOn w:val="3"/>
    <w:next w:val="1"/>
    <w:semiHidden/>
    <w:unhideWhenUsed/>
    <w:qFormat/>
    <w:uiPriority w:val="39"/>
    <w:pPr>
      <w:spacing w:line="578" w:lineRule="auto"/>
      <w:outlineLvl w:val="9"/>
    </w:pPr>
    <w:rPr>
      <w:bCs/>
      <w:szCs w:val="44"/>
    </w:rPr>
  </w:style>
  <w:style w:type="character" w:customStyle="1" w:styleId="542">
    <w:name w:val="TOC 标题1 CharProp2"/>
    <w:qFormat/>
    <w:uiPriority w:val="39"/>
    <w:rPr>
      <w:bCs/>
      <w:szCs w:val="44"/>
    </w:rPr>
  </w:style>
  <w:style w:type="character" w:customStyle="1" w:styleId="543">
    <w:name w:val="TOC 标题1 CharProp1"/>
    <w:qFormat/>
    <w:uiPriority w:val="39"/>
    <w:rPr>
      <w:bCs/>
      <w:szCs w:val="44"/>
    </w:rPr>
  </w:style>
  <w:style w:type="character" w:customStyle="1" w:styleId="544">
    <w:name w:val="TOC 标题1 CharProp"/>
    <w:qFormat/>
    <w:uiPriority w:val="39"/>
    <w:rPr>
      <w:bCs/>
      <w:szCs w:val="44"/>
    </w:rPr>
  </w:style>
  <w:style w:type="character" w:customStyle="1" w:styleId="545">
    <w:name w:val="标题 字符"/>
    <w:basedOn w:val="319"/>
    <w:link w:val="85"/>
    <w:qFormat/>
    <w:uiPriority w:val="0"/>
    <w:rPr>
      <w:rFonts w:asciiTheme="majorHAnsi" w:hAnsiTheme="majorHAnsi" w:eastAsiaTheme="majorEastAsia" w:cstheme="majorBidi"/>
      <w:b/>
      <w:bCs/>
      <w:snapToGrid w:val="0"/>
      <w:color w:val="000000"/>
      <w:sz w:val="32"/>
      <w:szCs w:val="32"/>
      <w:lang w:eastAsia="en-US"/>
    </w:rPr>
  </w:style>
  <w:style w:type="character" w:customStyle="1" w:styleId="546">
    <w:name w:val="标题 5 字符"/>
    <w:basedOn w:val="319"/>
    <w:link w:val="7"/>
    <w:semiHidden/>
    <w:qFormat/>
    <w:uiPriority w:val="0"/>
    <w:rPr>
      <w:rFonts w:ascii="Arial" w:hAnsi="Arial" w:eastAsia="Arial" w:cs="Arial"/>
      <w:b/>
      <w:bCs/>
      <w:snapToGrid w:val="0"/>
      <w:color w:val="000000"/>
      <w:sz w:val="28"/>
      <w:szCs w:val="28"/>
      <w:lang w:eastAsia="en-US"/>
    </w:rPr>
  </w:style>
  <w:style w:type="character" w:customStyle="1" w:styleId="547">
    <w:name w:val="标题 6 字符"/>
    <w:basedOn w:val="319"/>
    <w:link w:val="8"/>
    <w:semiHidden/>
    <w:qFormat/>
    <w:uiPriority w:val="0"/>
    <w:rPr>
      <w:rFonts w:asciiTheme="majorHAnsi" w:hAnsiTheme="majorHAnsi" w:eastAsiaTheme="majorEastAsia" w:cstheme="majorBidi"/>
      <w:b/>
      <w:bCs/>
      <w:snapToGrid w:val="0"/>
      <w:color w:val="000000"/>
      <w:sz w:val="24"/>
      <w:szCs w:val="24"/>
      <w:lang w:eastAsia="en-US"/>
    </w:rPr>
  </w:style>
  <w:style w:type="character" w:customStyle="1" w:styleId="548">
    <w:name w:val="标题 7 字符"/>
    <w:basedOn w:val="319"/>
    <w:link w:val="9"/>
    <w:semiHidden/>
    <w:qFormat/>
    <w:uiPriority w:val="0"/>
    <w:rPr>
      <w:rFonts w:ascii="Arial" w:hAnsi="Arial" w:eastAsia="Arial" w:cs="Arial"/>
      <w:b/>
      <w:bCs/>
      <w:snapToGrid w:val="0"/>
      <w:color w:val="000000"/>
      <w:sz w:val="24"/>
      <w:szCs w:val="24"/>
      <w:lang w:eastAsia="en-US"/>
    </w:rPr>
  </w:style>
  <w:style w:type="character" w:customStyle="1" w:styleId="549">
    <w:name w:val="标题 8 字符"/>
    <w:basedOn w:val="319"/>
    <w:link w:val="10"/>
    <w:semiHidden/>
    <w:qFormat/>
    <w:uiPriority w:val="0"/>
    <w:rPr>
      <w:rFonts w:asciiTheme="majorHAnsi" w:hAnsiTheme="majorHAnsi" w:eastAsiaTheme="majorEastAsia" w:cstheme="majorBidi"/>
      <w:snapToGrid w:val="0"/>
      <w:color w:val="000000"/>
      <w:sz w:val="24"/>
      <w:szCs w:val="24"/>
      <w:lang w:eastAsia="en-US"/>
    </w:rPr>
  </w:style>
  <w:style w:type="character" w:customStyle="1" w:styleId="550">
    <w:name w:val="标题 9 字符"/>
    <w:basedOn w:val="319"/>
    <w:link w:val="11"/>
    <w:semiHidden/>
    <w:qFormat/>
    <w:uiPriority w:val="0"/>
    <w:rPr>
      <w:rFonts w:asciiTheme="majorHAnsi" w:hAnsiTheme="majorHAnsi" w:eastAsiaTheme="majorEastAsia" w:cstheme="majorBidi"/>
      <w:snapToGrid w:val="0"/>
      <w:color w:val="000000"/>
      <w:sz w:val="21"/>
      <w:szCs w:val="21"/>
      <w:lang w:eastAsia="en-US"/>
    </w:rPr>
  </w:style>
  <w:style w:type="character" w:customStyle="1" w:styleId="551">
    <w:name w:val="不明显参考1"/>
    <w:basedOn w:val="31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552">
    <w:name w:val="不明显强调1"/>
    <w:basedOn w:val="319"/>
    <w:qFormat/>
    <w:uiPriority w:val="19"/>
    <w:rPr>
      <w:i/>
      <w:iCs/>
      <w:color w:val="404040" w:themeColor="text1" w:themeTint="BF"/>
      <w14:textFill>
        <w14:solidFill>
          <w14:schemeClr w14:val="tx1">
            <w14:lumMod w14:val="75000"/>
            <w14:lumOff w14:val="25000"/>
          </w14:schemeClr>
        </w14:solidFill>
      </w14:textFill>
    </w:rPr>
  </w:style>
  <w:style w:type="character" w:customStyle="1" w:styleId="553">
    <w:name w:val="称呼 字符"/>
    <w:basedOn w:val="319"/>
    <w:link w:val="30"/>
    <w:qFormat/>
    <w:uiPriority w:val="0"/>
    <w:rPr>
      <w:rFonts w:ascii="Arial" w:hAnsi="Arial" w:eastAsia="Arial" w:cs="Arial"/>
      <w:snapToGrid w:val="0"/>
      <w:color w:val="000000"/>
      <w:sz w:val="21"/>
      <w:szCs w:val="21"/>
      <w:lang w:eastAsia="en-US"/>
    </w:rPr>
  </w:style>
  <w:style w:type="character" w:customStyle="1" w:styleId="554">
    <w:name w:val="电子邮件签名 字符"/>
    <w:basedOn w:val="319"/>
    <w:link w:val="19"/>
    <w:qFormat/>
    <w:uiPriority w:val="0"/>
    <w:rPr>
      <w:rFonts w:ascii="Arial" w:hAnsi="Arial" w:eastAsia="Arial" w:cs="Arial"/>
      <w:snapToGrid w:val="0"/>
      <w:color w:val="000000"/>
      <w:sz w:val="21"/>
      <w:szCs w:val="21"/>
      <w:lang w:eastAsia="en-US"/>
    </w:rPr>
  </w:style>
  <w:style w:type="character" w:customStyle="1" w:styleId="555">
    <w:name w:val="副标题 字符"/>
    <w:basedOn w:val="319"/>
    <w:link w:val="65"/>
    <w:qFormat/>
    <w:uiPriority w:val="0"/>
    <w:rPr>
      <w:rFonts w:asciiTheme="minorHAnsi" w:hAnsiTheme="minorHAnsi" w:eastAsiaTheme="minorEastAsia" w:cstheme="minorBidi"/>
      <w:b/>
      <w:bCs/>
      <w:snapToGrid w:val="0"/>
      <w:color w:val="000000"/>
      <w:kern w:val="28"/>
      <w:sz w:val="32"/>
      <w:szCs w:val="32"/>
      <w:lang w:eastAsia="en-US"/>
    </w:rPr>
  </w:style>
  <w:style w:type="character" w:customStyle="1" w:styleId="556">
    <w:name w:val="宏文本 字符"/>
    <w:basedOn w:val="319"/>
    <w:link w:val="2"/>
    <w:qFormat/>
    <w:uiPriority w:val="0"/>
    <w:rPr>
      <w:rFonts w:ascii="Courier New" w:hAnsi="Courier New" w:cs="Courier New"/>
      <w:snapToGrid w:val="0"/>
      <w:color w:val="000000"/>
      <w:sz w:val="24"/>
      <w:szCs w:val="24"/>
      <w:lang w:eastAsia="en-US"/>
    </w:rPr>
  </w:style>
  <w:style w:type="character" w:customStyle="1" w:styleId="557">
    <w:name w:val="脚注文本 字符"/>
    <w:basedOn w:val="319"/>
    <w:link w:val="68"/>
    <w:qFormat/>
    <w:uiPriority w:val="0"/>
    <w:rPr>
      <w:rFonts w:ascii="Arial" w:hAnsi="Arial" w:eastAsia="Arial" w:cs="Arial"/>
      <w:snapToGrid w:val="0"/>
      <w:color w:val="000000"/>
      <w:sz w:val="18"/>
      <w:szCs w:val="18"/>
      <w:lang w:eastAsia="en-US"/>
    </w:rPr>
  </w:style>
  <w:style w:type="character" w:customStyle="1" w:styleId="558">
    <w:name w:val="结束语 字符"/>
    <w:basedOn w:val="319"/>
    <w:link w:val="32"/>
    <w:qFormat/>
    <w:uiPriority w:val="0"/>
    <w:rPr>
      <w:rFonts w:ascii="Arial" w:hAnsi="Arial" w:eastAsia="Arial" w:cs="Arial"/>
      <w:snapToGrid w:val="0"/>
      <w:color w:val="000000"/>
      <w:sz w:val="21"/>
      <w:szCs w:val="21"/>
      <w:lang w:eastAsia="en-US"/>
    </w:rPr>
  </w:style>
  <w:style w:type="character" w:customStyle="1" w:styleId="559">
    <w:name w:val="井号标签1"/>
    <w:basedOn w:val="319"/>
    <w:semiHidden/>
    <w:unhideWhenUsed/>
    <w:qFormat/>
    <w:uiPriority w:val="99"/>
    <w:rPr>
      <w:color w:val="2B579A"/>
      <w:shd w:val="clear" w:color="auto" w:fill="E1DFDD"/>
    </w:rPr>
  </w:style>
  <w:style w:type="paragraph" w:styleId="560">
    <w:name w:val="List Paragraph"/>
    <w:basedOn w:val="1"/>
    <w:unhideWhenUsed/>
    <w:qFormat/>
    <w:uiPriority w:val="99"/>
    <w:pPr>
      <w:ind w:firstLine="420" w:firstLineChars="200"/>
    </w:pPr>
  </w:style>
  <w:style w:type="character" w:customStyle="1" w:styleId="561">
    <w:name w:val="List Paragraph CharProp2"/>
    <w:qFormat/>
    <w:uiPriority w:val="99"/>
  </w:style>
  <w:style w:type="character" w:customStyle="1" w:styleId="562">
    <w:name w:val="List Paragraph CharProp1"/>
    <w:qFormat/>
    <w:uiPriority w:val="99"/>
  </w:style>
  <w:style w:type="character" w:customStyle="1" w:styleId="563">
    <w:name w:val="List Paragraph CharProp"/>
    <w:qFormat/>
    <w:uiPriority w:val="99"/>
  </w:style>
  <w:style w:type="character" w:customStyle="1" w:styleId="564">
    <w:name w:val="明显参考1"/>
    <w:basedOn w:val="319"/>
    <w:qFormat/>
    <w:uiPriority w:val="32"/>
    <w:rPr>
      <w:b/>
      <w:bCs/>
      <w:smallCaps/>
      <w:color w:val="4F81BD" w:themeColor="accent1"/>
      <w:spacing w:val="5"/>
      <w14:textFill>
        <w14:solidFill>
          <w14:schemeClr w14:val="accent1"/>
        </w14:solidFill>
      </w14:textFill>
    </w:rPr>
  </w:style>
  <w:style w:type="character" w:customStyle="1" w:styleId="565">
    <w:name w:val="明显强调1"/>
    <w:basedOn w:val="319"/>
    <w:qFormat/>
    <w:uiPriority w:val="21"/>
    <w:rPr>
      <w:i/>
      <w:iCs/>
      <w:color w:val="4F81BD" w:themeColor="accent1"/>
      <w14:textFill>
        <w14:solidFill>
          <w14:schemeClr w14:val="accent1"/>
        </w14:solidFill>
      </w14:textFill>
    </w:rPr>
  </w:style>
  <w:style w:type="paragraph" w:styleId="566">
    <w:name w:val="Intense Quote"/>
    <w:basedOn w:val="1"/>
    <w:next w:val="1"/>
    <w:link w:val="570"/>
    <w:semiHidden/>
    <w:unhideWhenUsed/>
    <w:qFormat/>
    <w:uiPriority w:val="99"/>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567">
    <w:name w:val="Intense Quote CharProp2"/>
    <w:qFormat/>
    <w:uiPriority w:val="99"/>
    <w:rPr>
      <w:i/>
      <w:iCs/>
      <w:color w:val="4F81BD" w:themeColor="accent1"/>
      <w14:textFill>
        <w14:solidFill>
          <w14:schemeClr w14:val="accent1"/>
        </w14:solidFill>
      </w14:textFill>
    </w:rPr>
  </w:style>
  <w:style w:type="character" w:customStyle="1" w:styleId="568">
    <w:name w:val="Intense Quote CharProp1"/>
    <w:qFormat/>
    <w:uiPriority w:val="99"/>
    <w:rPr>
      <w:i/>
      <w:iCs/>
      <w:color w:val="4F81BD" w:themeColor="accent1"/>
      <w14:textFill>
        <w14:solidFill>
          <w14:schemeClr w14:val="accent1"/>
        </w14:solidFill>
      </w14:textFill>
    </w:rPr>
  </w:style>
  <w:style w:type="character" w:customStyle="1" w:styleId="569">
    <w:name w:val="Intense Quote CharProp"/>
    <w:qFormat/>
    <w:uiPriority w:val="99"/>
    <w:rPr>
      <w:i/>
      <w:iCs/>
      <w:color w:val="4F81BD" w:themeColor="accent1"/>
      <w14:textFill>
        <w14:solidFill>
          <w14:schemeClr w14:val="accent1"/>
        </w14:solidFill>
      </w14:textFill>
    </w:rPr>
  </w:style>
  <w:style w:type="character" w:customStyle="1" w:styleId="570">
    <w:name w:val="明显引用 字符"/>
    <w:basedOn w:val="319"/>
    <w:link w:val="566"/>
    <w:semiHidden/>
    <w:qFormat/>
    <w:uiPriority w:val="99"/>
    <w:rPr>
      <w:rFonts w:ascii="Arial" w:hAnsi="Arial" w:eastAsia="Arial" w:cs="Arial"/>
      <w:i/>
      <w:iCs/>
      <w:snapToGrid w:val="0"/>
      <w:color w:val="4F81BD" w:themeColor="accent1"/>
      <w:sz w:val="21"/>
      <w:szCs w:val="21"/>
      <w:lang w:eastAsia="en-US"/>
      <w14:textFill>
        <w14:solidFill>
          <w14:schemeClr w14:val="accent1"/>
        </w14:solidFill>
      </w14:textFill>
    </w:rPr>
  </w:style>
  <w:style w:type="character" w:customStyle="1" w:styleId="571">
    <w:name w:val="签名 字符"/>
    <w:basedOn w:val="319"/>
    <w:link w:val="59"/>
    <w:qFormat/>
    <w:uiPriority w:val="0"/>
    <w:rPr>
      <w:rFonts w:ascii="Arial" w:hAnsi="Arial" w:eastAsia="Arial" w:cs="Arial"/>
      <w:snapToGrid w:val="0"/>
      <w:color w:val="000000"/>
      <w:sz w:val="21"/>
      <w:szCs w:val="21"/>
      <w:lang w:eastAsia="en-US"/>
    </w:rPr>
  </w:style>
  <w:style w:type="table" w:customStyle="1" w:styleId="572">
    <w:name w:val="清单表 1 浅色1"/>
    <w:basedOn w:val="8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73">
    <w:name w:val="清单表 1 浅色 - 着色 11"/>
    <w:basedOn w:val="89"/>
    <w:qFormat/>
    <w:uiPriority w:val="46"/>
    <w:tblStylePr w:type="firstRow">
      <w:rPr>
        <w:b/>
        <w:bCs/>
      </w:rPr>
      <w:tcPr>
        <w:tcBorders>
          <w:bottom w:val="single" w:color="95B3D7" w:themeColor="accent1" w:themeTint="99" w:sz="4" w:space="0"/>
        </w:tcBorders>
      </w:tcPr>
    </w:tblStylePr>
    <w:tblStylePr w:type="lastRow">
      <w:rPr>
        <w:b/>
        <w:bCs/>
      </w:rPr>
      <w:tcPr>
        <w:tcBorders>
          <w:top w:val="sing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574">
    <w:name w:val="清单表 1 浅色 - 着色 21"/>
    <w:basedOn w:val="89"/>
    <w:qFormat/>
    <w:uiPriority w:val="46"/>
    <w:tblStylePr w:type="firstRow">
      <w:rPr>
        <w:b/>
        <w:bCs/>
      </w:rPr>
      <w:tcPr>
        <w:tcBorders>
          <w:bottom w:val="single" w:color="D99594" w:themeColor="accent2" w:themeTint="99" w:sz="4" w:space="0"/>
        </w:tcBorders>
      </w:tcPr>
    </w:tblStylePr>
    <w:tblStylePr w:type="lastRow">
      <w:rPr>
        <w:b/>
        <w:bCs/>
      </w:rPr>
      <w:tcPr>
        <w:tcBorders>
          <w:top w:val="single" w:color="D99594" w:themeColor="accent2" w:themeTint="99"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575">
    <w:name w:val="清单表 1 浅色 - 着色 31"/>
    <w:basedOn w:val="89"/>
    <w:qFormat/>
    <w:uiPriority w:val="46"/>
    <w:tblStylePr w:type="firstRow">
      <w:rPr>
        <w:b/>
        <w:bCs/>
      </w:rPr>
      <w:tcPr>
        <w:tcBorders>
          <w:bottom w:val="single" w:color="C2D69B" w:themeColor="accent3" w:themeTint="99" w:sz="4" w:space="0"/>
        </w:tcBorders>
      </w:tcPr>
    </w:tblStylePr>
    <w:tblStylePr w:type="lastRow">
      <w:rPr>
        <w:b/>
        <w:bCs/>
      </w:rPr>
      <w:tcPr>
        <w:tcBorders>
          <w:top w:val="sing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576">
    <w:name w:val="清单表 1 浅色 - 着色 41"/>
    <w:basedOn w:val="89"/>
    <w:qFormat/>
    <w:uiPriority w:val="46"/>
    <w:tblStylePr w:type="firstRow">
      <w:rPr>
        <w:b/>
        <w:bCs/>
      </w:rPr>
      <w:tcPr>
        <w:tcBorders>
          <w:bottom w:val="single" w:color="B2A1C7" w:themeColor="accent4" w:themeTint="99" w:sz="4" w:space="0"/>
        </w:tcBorders>
      </w:tcPr>
    </w:tblStylePr>
    <w:tblStylePr w:type="lastRow">
      <w:rPr>
        <w:b/>
        <w:bCs/>
      </w:rPr>
      <w:tcPr>
        <w:tcBorders>
          <w:top w:val="single" w:color="B2A1C7" w:themeColor="accent4" w:themeTint="99"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577">
    <w:name w:val="清单表 1 浅色 - 着色 51"/>
    <w:basedOn w:val="89"/>
    <w:qFormat/>
    <w:uiPriority w:val="46"/>
    <w:tblStylePr w:type="firstRow">
      <w:rPr>
        <w:b/>
        <w:bCs/>
      </w:rPr>
      <w:tcPr>
        <w:tcBorders>
          <w:bottom w:val="single" w:color="92CDDC" w:themeColor="accent5" w:themeTint="99" w:sz="4" w:space="0"/>
        </w:tcBorders>
      </w:tcPr>
    </w:tblStylePr>
    <w:tblStylePr w:type="lastRow">
      <w:rPr>
        <w:b/>
        <w:bCs/>
      </w:rPr>
      <w:tcPr>
        <w:tcBorders>
          <w:top w:val="sing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578">
    <w:name w:val="清单表 1 浅色 - 着色 61"/>
    <w:basedOn w:val="89"/>
    <w:qFormat/>
    <w:uiPriority w:val="46"/>
    <w:tblStylePr w:type="firstRow">
      <w:rPr>
        <w:b/>
        <w:bCs/>
      </w:rPr>
      <w:tcPr>
        <w:tcBorders>
          <w:bottom w:val="single" w:color="FABF8F" w:themeColor="accent6" w:themeTint="99" w:sz="4" w:space="0"/>
        </w:tcBorders>
      </w:tcPr>
    </w:tblStylePr>
    <w:tblStylePr w:type="lastRow">
      <w:rPr>
        <w:b/>
        <w:bCs/>
      </w:rPr>
      <w:tcPr>
        <w:tcBorders>
          <w:top w:val="sing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579">
    <w:name w:val="清单表 21"/>
    <w:basedOn w:val="89"/>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0">
    <w:name w:val="清单表 2 - 着色 11"/>
    <w:basedOn w:val="89"/>
    <w:qFormat/>
    <w:uiPriority w:val="47"/>
    <w:tblPr>
      <w:tblBorders>
        <w:top w:val="single" w:color="95B3D7" w:themeColor="accent1" w:themeTint="99" w:sz="4" w:space="0"/>
        <w:bottom w:val="single" w:color="95B3D7" w:themeColor="accent1" w:themeTint="99" w:sz="4" w:space="0"/>
        <w:insideH w:val="single" w:color="95B3D7"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581">
    <w:name w:val="清单表 2 - 着色 21"/>
    <w:basedOn w:val="89"/>
    <w:qFormat/>
    <w:uiPriority w:val="47"/>
    <w:tblPr>
      <w:tblBorders>
        <w:top w:val="single" w:color="D99594" w:themeColor="accent2" w:themeTint="99" w:sz="4" w:space="0"/>
        <w:bottom w:val="single" w:color="D99594" w:themeColor="accent2" w:themeTint="99" w:sz="4" w:space="0"/>
        <w:insideH w:val="single" w:color="D99594"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582">
    <w:name w:val="清单表 2 - 着色 31"/>
    <w:basedOn w:val="89"/>
    <w:qFormat/>
    <w:uiPriority w:val="47"/>
    <w:tblPr>
      <w:tblBorders>
        <w:top w:val="single" w:color="C2D69B" w:themeColor="accent3" w:themeTint="99" w:sz="4" w:space="0"/>
        <w:bottom w:val="single" w:color="C2D69B" w:themeColor="accent3" w:themeTint="99" w:sz="4" w:space="0"/>
        <w:insideH w:val="single" w:color="C2D69B"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583">
    <w:name w:val="清单表 2 - 着色 41"/>
    <w:basedOn w:val="89"/>
    <w:qFormat/>
    <w:uiPriority w:val="47"/>
    <w:tblPr>
      <w:tblBorders>
        <w:top w:val="single" w:color="B2A1C7" w:themeColor="accent4" w:themeTint="99" w:sz="4" w:space="0"/>
        <w:bottom w:val="single" w:color="B2A1C7" w:themeColor="accent4" w:themeTint="99" w:sz="4" w:space="0"/>
        <w:insideH w:val="single" w:color="B2A1C7"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584">
    <w:name w:val="清单表 2 - 着色 51"/>
    <w:basedOn w:val="89"/>
    <w:qFormat/>
    <w:uiPriority w:val="47"/>
    <w:tblPr>
      <w:tblBorders>
        <w:top w:val="single" w:color="92CDDC" w:themeColor="accent5" w:themeTint="99" w:sz="4" w:space="0"/>
        <w:bottom w:val="single" w:color="92CDDC" w:themeColor="accent5" w:themeTint="99" w:sz="4" w:space="0"/>
        <w:insideH w:val="single" w:color="92CDDC"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585">
    <w:name w:val="清单表 2 - 着色 61"/>
    <w:basedOn w:val="89"/>
    <w:qFormat/>
    <w:uiPriority w:val="47"/>
    <w:tblPr>
      <w:tblBorders>
        <w:top w:val="single" w:color="FABF8F" w:themeColor="accent6" w:themeTint="99" w:sz="4" w:space="0"/>
        <w:bottom w:val="single" w:color="FABF8F" w:themeColor="accent6" w:themeTint="99" w:sz="4" w:space="0"/>
        <w:insideH w:val="single" w:color="FABF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586">
    <w:name w:val="清单表 31"/>
    <w:basedOn w:val="89"/>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587">
    <w:name w:val="清单表 3 - 着色 11"/>
    <w:basedOn w:val="89"/>
    <w:qFormat/>
    <w:uiPriority w:val="48"/>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14:textFill>
          <w14:solidFill>
            <w14:schemeClr w14:val="bg1"/>
          </w14:solidFill>
        </w14:textFill>
      </w:rPr>
      <w:tcPr>
        <w:shd w:val="clear" w:color="auto" w:fill="4F81BD" w:themeFill="accent1"/>
      </w:tcPr>
    </w:tblStylePr>
    <w:tblStylePr w:type="lastRow">
      <w:rPr>
        <w:b/>
        <w:bCs/>
      </w:rPr>
      <w:tcPr>
        <w:tcBorders>
          <w:top w:val="double" w:color="4F81BD"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F81BD" w:themeColor="accent1" w:sz="4" w:space="0"/>
          <w:right w:val="single" w:color="4F81BD" w:themeColor="accent1" w:sz="4" w:space="0"/>
        </w:tcBorders>
      </w:tcPr>
    </w:tblStylePr>
    <w:tblStylePr w:type="band1Horz">
      <w:tcPr>
        <w:tcBorders>
          <w:top w:val="single" w:color="4F81BD" w:themeColor="accent1" w:sz="4" w:space="0"/>
          <w:bottom w:val="single" w:color="4F81BD"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F81BD" w:themeColor="accent1" w:sz="4" w:space="0"/>
          <w:left w:val="nil"/>
        </w:tcBorders>
      </w:tcPr>
    </w:tblStylePr>
    <w:tblStylePr w:type="swCell">
      <w:tcPr>
        <w:tcBorders>
          <w:top w:val="double" w:color="4F81BD" w:themeColor="accent1" w:sz="4" w:space="0"/>
          <w:right w:val="nil"/>
        </w:tcBorders>
      </w:tcPr>
    </w:tblStylePr>
  </w:style>
  <w:style w:type="table" w:customStyle="1" w:styleId="588">
    <w:name w:val="清单表 3 - 着色 21"/>
    <w:basedOn w:val="89"/>
    <w:qFormat/>
    <w:uiPriority w:val="48"/>
    <w:tblPr>
      <w:tblBorders>
        <w:top w:val="single" w:color="C0504D" w:themeColor="accent2" w:sz="4" w:space="0"/>
        <w:left w:val="single" w:color="C0504D" w:themeColor="accent2" w:sz="4" w:space="0"/>
        <w:bottom w:val="single" w:color="C0504D" w:themeColor="accent2" w:sz="4" w:space="0"/>
        <w:right w:val="single" w:color="C0504D" w:themeColor="accent2" w:sz="4" w:space="0"/>
      </w:tblBorders>
    </w:tblPr>
    <w:tblStylePr w:type="firstRow">
      <w:rPr>
        <w:b/>
        <w:bCs/>
        <w:color w:val="FFFFFF" w:themeColor="background1"/>
        <w14:textFill>
          <w14:solidFill>
            <w14:schemeClr w14:val="bg1"/>
          </w14:solidFill>
        </w14:textFill>
      </w:rPr>
      <w:tcPr>
        <w:shd w:val="clear" w:color="auto" w:fill="C0504D" w:themeFill="accent2"/>
      </w:tcPr>
    </w:tblStylePr>
    <w:tblStylePr w:type="lastRow">
      <w:rPr>
        <w:b/>
        <w:bCs/>
      </w:rPr>
      <w:tcPr>
        <w:tcBorders>
          <w:top w:val="double" w:color="C0504D"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C0504D" w:themeColor="accent2" w:sz="4" w:space="0"/>
          <w:right w:val="single" w:color="C0504D" w:themeColor="accent2" w:sz="4" w:space="0"/>
        </w:tcBorders>
      </w:tcPr>
    </w:tblStylePr>
    <w:tblStylePr w:type="band1Horz">
      <w:tcPr>
        <w:tcBorders>
          <w:top w:val="single" w:color="C0504D" w:themeColor="accent2" w:sz="4" w:space="0"/>
          <w:bottom w:val="single" w:color="C0504D"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C0504D" w:themeColor="accent2" w:sz="4" w:space="0"/>
          <w:left w:val="nil"/>
        </w:tcBorders>
      </w:tcPr>
    </w:tblStylePr>
    <w:tblStylePr w:type="swCell">
      <w:tcPr>
        <w:tcBorders>
          <w:top w:val="double" w:color="C0504D" w:themeColor="accent2" w:sz="4" w:space="0"/>
          <w:right w:val="nil"/>
        </w:tcBorders>
      </w:tcPr>
    </w:tblStylePr>
  </w:style>
  <w:style w:type="table" w:customStyle="1" w:styleId="589">
    <w:name w:val="清单表 3 - 着色 31"/>
    <w:basedOn w:val="89"/>
    <w:qFormat/>
    <w:uiPriority w:val="48"/>
    <w:tblPr>
      <w:tblBorders>
        <w:top w:val="single" w:color="9BBB59" w:themeColor="accent3" w:sz="4" w:space="0"/>
        <w:left w:val="single" w:color="9BBB59" w:themeColor="accent3" w:sz="4" w:space="0"/>
        <w:bottom w:val="single" w:color="9BBB59" w:themeColor="accent3" w:sz="4" w:space="0"/>
        <w:right w:val="single" w:color="9BBB59" w:themeColor="accent3" w:sz="4" w:space="0"/>
      </w:tblBorders>
    </w:tblPr>
    <w:tblStylePr w:type="firstRow">
      <w:rPr>
        <w:b/>
        <w:bCs/>
        <w:color w:val="FFFFFF" w:themeColor="background1"/>
        <w14:textFill>
          <w14:solidFill>
            <w14:schemeClr w14:val="bg1"/>
          </w14:solidFill>
        </w14:textFill>
      </w:rPr>
      <w:tcPr>
        <w:shd w:val="clear" w:color="auto" w:fill="9BBB59" w:themeFill="accent3"/>
      </w:tcPr>
    </w:tblStylePr>
    <w:tblStylePr w:type="lastRow">
      <w:rPr>
        <w:b/>
        <w:bCs/>
      </w:rPr>
      <w:tcPr>
        <w:tcBorders>
          <w:top w:val="double" w:color="9BBB59"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9BBB59" w:themeColor="accent3" w:sz="4" w:space="0"/>
          <w:right w:val="single" w:color="9BBB59" w:themeColor="accent3" w:sz="4" w:space="0"/>
        </w:tcBorders>
      </w:tcPr>
    </w:tblStylePr>
    <w:tblStylePr w:type="band1Horz">
      <w:tcPr>
        <w:tcBorders>
          <w:top w:val="single" w:color="9BBB59" w:themeColor="accent3" w:sz="4" w:space="0"/>
          <w:bottom w:val="single" w:color="9BBB59"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9BBB59" w:themeColor="accent3" w:sz="4" w:space="0"/>
          <w:left w:val="nil"/>
        </w:tcBorders>
      </w:tcPr>
    </w:tblStylePr>
    <w:tblStylePr w:type="swCell">
      <w:tcPr>
        <w:tcBorders>
          <w:top w:val="double" w:color="9BBB59" w:themeColor="accent3" w:sz="4" w:space="0"/>
          <w:right w:val="nil"/>
        </w:tcBorders>
      </w:tcPr>
    </w:tblStylePr>
  </w:style>
  <w:style w:type="table" w:customStyle="1" w:styleId="590">
    <w:name w:val="清单表 3 - 着色 41"/>
    <w:basedOn w:val="89"/>
    <w:qFormat/>
    <w:uiPriority w:val="48"/>
    <w:tblPr>
      <w:tblBorders>
        <w:top w:val="single" w:color="8064A2" w:themeColor="accent4" w:sz="4" w:space="0"/>
        <w:left w:val="single" w:color="8064A2" w:themeColor="accent4" w:sz="4" w:space="0"/>
        <w:bottom w:val="single" w:color="8064A2" w:themeColor="accent4" w:sz="4" w:space="0"/>
        <w:right w:val="single" w:color="8064A2" w:themeColor="accent4" w:sz="4" w:space="0"/>
      </w:tblBorders>
    </w:tblPr>
    <w:tblStylePr w:type="firstRow">
      <w:rPr>
        <w:b/>
        <w:bCs/>
        <w:color w:val="FFFFFF" w:themeColor="background1"/>
        <w14:textFill>
          <w14:solidFill>
            <w14:schemeClr w14:val="bg1"/>
          </w14:solidFill>
        </w14:textFill>
      </w:rPr>
      <w:tcPr>
        <w:shd w:val="clear" w:color="auto" w:fill="8064A2" w:themeFill="accent4"/>
      </w:tcPr>
    </w:tblStylePr>
    <w:tblStylePr w:type="lastRow">
      <w:rPr>
        <w:b/>
        <w:bCs/>
      </w:rPr>
      <w:tcPr>
        <w:tcBorders>
          <w:top w:val="double" w:color="8064A2"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064A2" w:themeColor="accent4" w:sz="4" w:space="0"/>
          <w:right w:val="single" w:color="8064A2" w:themeColor="accent4" w:sz="4" w:space="0"/>
        </w:tcBorders>
      </w:tcPr>
    </w:tblStylePr>
    <w:tblStylePr w:type="band1Horz">
      <w:tcPr>
        <w:tcBorders>
          <w:top w:val="single" w:color="8064A2" w:themeColor="accent4" w:sz="4" w:space="0"/>
          <w:bottom w:val="single" w:color="8064A2"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064A2" w:themeColor="accent4" w:sz="4" w:space="0"/>
          <w:left w:val="nil"/>
        </w:tcBorders>
      </w:tcPr>
    </w:tblStylePr>
    <w:tblStylePr w:type="swCell">
      <w:tcPr>
        <w:tcBorders>
          <w:top w:val="double" w:color="8064A2" w:themeColor="accent4" w:sz="4" w:space="0"/>
          <w:right w:val="nil"/>
        </w:tcBorders>
      </w:tcPr>
    </w:tblStylePr>
  </w:style>
  <w:style w:type="table" w:customStyle="1" w:styleId="591">
    <w:name w:val="清单表 3 - 着色 51"/>
    <w:basedOn w:val="89"/>
    <w:qFormat/>
    <w:uiPriority w:val="48"/>
    <w:tblPr>
      <w:tblBorders>
        <w:top w:val="single" w:color="4BACC6" w:themeColor="accent5" w:sz="4" w:space="0"/>
        <w:left w:val="single" w:color="4BACC6" w:themeColor="accent5" w:sz="4" w:space="0"/>
        <w:bottom w:val="single" w:color="4BACC6" w:themeColor="accent5" w:sz="4" w:space="0"/>
        <w:right w:val="single" w:color="4BACC6" w:themeColor="accent5" w:sz="4" w:space="0"/>
      </w:tblBorders>
    </w:tblPr>
    <w:tblStylePr w:type="firstRow">
      <w:rPr>
        <w:b/>
        <w:bCs/>
        <w:color w:val="FFFFFF" w:themeColor="background1"/>
        <w14:textFill>
          <w14:solidFill>
            <w14:schemeClr w14:val="bg1"/>
          </w14:solidFill>
        </w14:textFill>
      </w:rPr>
      <w:tcPr>
        <w:shd w:val="clear" w:color="auto" w:fill="4BACC6" w:themeFill="accent5"/>
      </w:tcPr>
    </w:tblStylePr>
    <w:tblStylePr w:type="lastRow">
      <w:rPr>
        <w:b/>
        <w:bCs/>
      </w:rPr>
      <w:tcPr>
        <w:tcBorders>
          <w:top w:val="double" w:color="4BACC6"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BACC6" w:themeColor="accent5" w:sz="4" w:space="0"/>
          <w:right w:val="single" w:color="4BACC6" w:themeColor="accent5" w:sz="4" w:space="0"/>
        </w:tcBorders>
      </w:tcPr>
    </w:tblStylePr>
    <w:tblStylePr w:type="band1Horz">
      <w:tcPr>
        <w:tcBorders>
          <w:top w:val="single" w:color="4BACC6" w:themeColor="accent5" w:sz="4" w:space="0"/>
          <w:bottom w:val="single" w:color="4BACC6"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BACC6" w:themeColor="accent5" w:sz="4" w:space="0"/>
          <w:left w:val="nil"/>
        </w:tcBorders>
      </w:tcPr>
    </w:tblStylePr>
    <w:tblStylePr w:type="swCell">
      <w:tcPr>
        <w:tcBorders>
          <w:top w:val="double" w:color="4BACC6" w:themeColor="accent5" w:sz="4" w:space="0"/>
          <w:right w:val="nil"/>
        </w:tcBorders>
      </w:tcPr>
    </w:tblStylePr>
  </w:style>
  <w:style w:type="table" w:customStyle="1" w:styleId="592">
    <w:name w:val="清单表 3 - 着色 61"/>
    <w:basedOn w:val="89"/>
    <w:qFormat/>
    <w:uiPriority w:val="48"/>
    <w:tblPr>
      <w:tblBorders>
        <w:top w:val="single" w:color="F79646" w:themeColor="accent6" w:sz="4" w:space="0"/>
        <w:left w:val="single" w:color="F79646" w:themeColor="accent6" w:sz="4" w:space="0"/>
        <w:bottom w:val="single" w:color="F79646" w:themeColor="accent6" w:sz="4" w:space="0"/>
        <w:right w:val="single" w:color="F79646" w:themeColor="accent6" w:sz="4" w:space="0"/>
      </w:tblBorders>
    </w:tblPr>
    <w:tblStylePr w:type="firstRow">
      <w:rPr>
        <w:b/>
        <w:bCs/>
        <w:color w:val="FFFFFF" w:themeColor="background1"/>
        <w14:textFill>
          <w14:solidFill>
            <w14:schemeClr w14:val="bg1"/>
          </w14:solidFill>
        </w14:textFill>
      </w:rPr>
      <w:tcPr>
        <w:shd w:val="clear" w:color="auto" w:fill="F79646" w:themeFill="accent6"/>
      </w:tcPr>
    </w:tblStylePr>
    <w:tblStylePr w:type="lastRow">
      <w:rPr>
        <w:b/>
        <w:bCs/>
      </w:rPr>
      <w:tcPr>
        <w:tcBorders>
          <w:top w:val="double" w:color="F79646"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79646" w:themeColor="accent6" w:sz="4" w:space="0"/>
          <w:right w:val="single" w:color="F79646" w:themeColor="accent6" w:sz="4" w:space="0"/>
        </w:tcBorders>
      </w:tcPr>
    </w:tblStylePr>
    <w:tblStylePr w:type="band1Horz">
      <w:tcPr>
        <w:tcBorders>
          <w:top w:val="single" w:color="F79646" w:themeColor="accent6" w:sz="4" w:space="0"/>
          <w:bottom w:val="single" w:color="F79646"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79646" w:themeColor="accent6" w:sz="4" w:space="0"/>
          <w:left w:val="nil"/>
        </w:tcBorders>
      </w:tcPr>
    </w:tblStylePr>
    <w:tblStylePr w:type="swCell">
      <w:tcPr>
        <w:tcBorders>
          <w:top w:val="double" w:color="F79646" w:themeColor="accent6" w:sz="4" w:space="0"/>
          <w:right w:val="nil"/>
        </w:tcBorders>
      </w:tcPr>
    </w:tblStylePr>
  </w:style>
  <w:style w:type="table" w:customStyle="1" w:styleId="593">
    <w:name w:val="清单表 41"/>
    <w:basedOn w:val="89"/>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94">
    <w:name w:val="清单表 4 - 着色 11"/>
    <w:basedOn w:val="8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tcBorders>
        <w:shd w:val="clear" w:color="auto" w:fill="4F81BD" w:themeFill="accent1"/>
      </w:tcPr>
    </w:tblStylePr>
    <w:tblStylePr w:type="lastRow">
      <w:rPr>
        <w:b/>
        <w:bCs/>
      </w:rPr>
      <w:tcPr>
        <w:tcBorders>
          <w:top w:val="doub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595">
    <w:name w:val="清单表 4 - 着色 21"/>
    <w:basedOn w:val="89"/>
    <w:qFormat/>
    <w:uiPriority w:val="49"/>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tblBorders>
    </w:tblPr>
    <w:tblStylePr w:type="firstRow">
      <w:rPr>
        <w:b/>
        <w:bCs/>
        <w:color w:val="FFFFFF" w:themeColor="background1"/>
        <w14:textFill>
          <w14:solidFill>
            <w14:schemeClr w14:val="bg1"/>
          </w14:solidFill>
        </w14:textFill>
      </w:r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tcBorders>
        <w:shd w:val="clear" w:color="auto" w:fill="C0504D" w:themeFill="accent2"/>
      </w:tcPr>
    </w:tblStylePr>
    <w:tblStylePr w:type="lastRow">
      <w:rPr>
        <w:b/>
        <w:bCs/>
      </w:rPr>
      <w:tcPr>
        <w:tcBorders>
          <w:top w:val="double" w:color="D99594" w:themeColor="accent2" w:themeTint="99"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596">
    <w:name w:val="清单表 4 - 着色 31"/>
    <w:basedOn w:val="89"/>
    <w:qFormat/>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597">
    <w:name w:val="清单表 4 - 着色 41"/>
    <w:basedOn w:val="89"/>
    <w:qFormat/>
    <w:uiPriority w:val="49"/>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tblBorders>
    </w:tblPr>
    <w:tblStylePr w:type="firstRow">
      <w:rPr>
        <w:b/>
        <w:bCs/>
        <w:color w:val="FFFFFF" w:themeColor="background1"/>
        <w14:textFill>
          <w14:solidFill>
            <w14:schemeClr w14:val="bg1"/>
          </w14:solidFill>
        </w14:textFill>
      </w:r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tcBorders>
        <w:shd w:val="clear" w:color="auto" w:fill="8064A2" w:themeFill="accent4"/>
      </w:tcPr>
    </w:tblStylePr>
    <w:tblStylePr w:type="lastRow">
      <w:rPr>
        <w:b/>
        <w:bCs/>
      </w:rPr>
      <w:tcPr>
        <w:tcBorders>
          <w:top w:val="double" w:color="B2A1C7" w:themeColor="accent4" w:themeTint="99"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598">
    <w:name w:val="清单表 4 - 着色 51"/>
    <w:basedOn w:val="89"/>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tcBorders>
        <w:shd w:val="clear" w:color="auto" w:fill="4BACC6" w:themeFill="accent5"/>
      </w:tcPr>
    </w:tblStylePr>
    <w:tblStylePr w:type="lastRow">
      <w:rPr>
        <w:b/>
        <w:bCs/>
      </w:rPr>
      <w:tcPr>
        <w:tcBorders>
          <w:top w:val="doub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599">
    <w:name w:val="清单表 4 - 着色 61"/>
    <w:basedOn w:val="89"/>
    <w:qFormat/>
    <w:uiPriority w:val="49"/>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tcBorders>
        <w:shd w:val="clear" w:color="auto" w:fill="F79646" w:themeFill="accent6"/>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600">
    <w:name w:val="清单表 5 深色1"/>
    <w:basedOn w:val="89"/>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601">
    <w:name w:val="清单表 5 深色1 CharProp2"/>
    <w:uiPriority w:val="50"/>
    <w:rPr>
      <w:color w:val="FFFFFF" w:themeColor="background1"/>
      <w14:textFill>
        <w14:solidFill>
          <w14:schemeClr w14:val="bg1"/>
        </w14:solidFill>
      </w14:textFill>
    </w:rPr>
  </w:style>
  <w:style w:type="character" w:customStyle="1" w:styleId="602">
    <w:name w:val="清单表 5 深色1 CharProp1"/>
    <w:qFormat/>
    <w:uiPriority w:val="50"/>
    <w:rPr>
      <w:color w:val="FFFFFF" w:themeColor="background1"/>
      <w14:textFill>
        <w14:solidFill>
          <w14:schemeClr w14:val="bg1"/>
        </w14:solidFill>
      </w14:textFill>
    </w:rPr>
  </w:style>
  <w:style w:type="character" w:customStyle="1" w:styleId="603">
    <w:name w:val="清单表 5 深色1 CharProp"/>
    <w:uiPriority w:val="50"/>
    <w:rPr>
      <w:color w:val="FFFFFF" w:themeColor="background1"/>
      <w14:textFill>
        <w14:solidFill>
          <w14:schemeClr w14:val="bg1"/>
        </w14:solidFill>
      </w14:textFill>
    </w:rPr>
  </w:style>
  <w:style w:type="table" w:customStyle="1" w:styleId="604">
    <w:name w:val="清单表 5 深色 - 着色 11"/>
    <w:basedOn w:val="89"/>
    <w:qFormat/>
    <w:uiPriority w:val="50"/>
    <w:rPr>
      <w:color w:val="FFFFFF" w:themeColor="background1"/>
      <w14:textFill>
        <w14:solidFill>
          <w14:schemeClr w14:val="bg1"/>
        </w14:solidFill>
      </w14:textFill>
    </w:rPr>
    <w:tblPr>
      <w:tblBorders>
        <w:top w:val="single" w:color="4F81BD" w:themeColor="accent1" w:sz="24" w:space="0"/>
        <w:left w:val="single" w:color="4F81BD" w:themeColor="accent1" w:sz="24" w:space="0"/>
        <w:bottom w:val="single" w:color="4F81BD" w:themeColor="accent1" w:sz="24" w:space="0"/>
        <w:right w:val="single" w:color="4F81BD" w:themeColor="accent1" w:sz="24" w:space="0"/>
      </w:tblBorders>
    </w:tblPr>
    <w:tcPr>
      <w:shd w:val="clear" w:color="auto" w:fill="4F81BD"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605">
    <w:name w:val="清单表 5 深色 - 着色 11 CharProp2"/>
    <w:uiPriority w:val="50"/>
    <w:rPr>
      <w:color w:val="FFFFFF" w:themeColor="background1"/>
      <w14:textFill>
        <w14:solidFill>
          <w14:schemeClr w14:val="bg1"/>
        </w14:solidFill>
      </w14:textFill>
    </w:rPr>
  </w:style>
  <w:style w:type="character" w:customStyle="1" w:styleId="606">
    <w:name w:val="清单表 5 深色 - 着色 11 CharProp1"/>
    <w:qFormat/>
    <w:uiPriority w:val="50"/>
    <w:rPr>
      <w:color w:val="FFFFFF" w:themeColor="background1"/>
      <w14:textFill>
        <w14:solidFill>
          <w14:schemeClr w14:val="bg1"/>
        </w14:solidFill>
      </w14:textFill>
    </w:rPr>
  </w:style>
  <w:style w:type="character" w:customStyle="1" w:styleId="607">
    <w:name w:val="清单表 5 深色 - 着色 11 CharProp"/>
    <w:uiPriority w:val="50"/>
    <w:rPr>
      <w:color w:val="FFFFFF" w:themeColor="background1"/>
      <w14:textFill>
        <w14:solidFill>
          <w14:schemeClr w14:val="bg1"/>
        </w14:solidFill>
      </w14:textFill>
    </w:rPr>
  </w:style>
  <w:style w:type="table" w:customStyle="1" w:styleId="608">
    <w:name w:val="清单表 5 深色 - 着色 21"/>
    <w:basedOn w:val="89"/>
    <w:qFormat/>
    <w:uiPriority w:val="50"/>
    <w:rPr>
      <w:color w:val="FFFFFF" w:themeColor="background1"/>
      <w14:textFill>
        <w14:solidFill>
          <w14:schemeClr w14:val="bg1"/>
        </w14:solidFill>
      </w14:textFill>
    </w:rPr>
    <w:tblPr>
      <w:tblBorders>
        <w:top w:val="single" w:color="C0504D" w:themeColor="accent2" w:sz="24" w:space="0"/>
        <w:left w:val="single" w:color="C0504D" w:themeColor="accent2" w:sz="24" w:space="0"/>
        <w:bottom w:val="single" w:color="C0504D" w:themeColor="accent2" w:sz="24" w:space="0"/>
        <w:right w:val="single" w:color="C0504D" w:themeColor="accent2" w:sz="24" w:space="0"/>
      </w:tblBorders>
    </w:tblPr>
    <w:tcPr>
      <w:shd w:val="clear" w:color="auto" w:fill="C0504D"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609">
    <w:name w:val="清单表 5 深色 - 着色 21 CharProp2"/>
    <w:qFormat/>
    <w:uiPriority w:val="50"/>
    <w:rPr>
      <w:color w:val="FFFFFF" w:themeColor="background1"/>
      <w14:textFill>
        <w14:solidFill>
          <w14:schemeClr w14:val="bg1"/>
        </w14:solidFill>
      </w14:textFill>
    </w:rPr>
  </w:style>
  <w:style w:type="character" w:customStyle="1" w:styleId="610">
    <w:name w:val="清单表 5 深色 - 着色 21 CharProp1"/>
    <w:qFormat/>
    <w:uiPriority w:val="50"/>
    <w:rPr>
      <w:color w:val="FFFFFF" w:themeColor="background1"/>
      <w14:textFill>
        <w14:solidFill>
          <w14:schemeClr w14:val="bg1"/>
        </w14:solidFill>
      </w14:textFill>
    </w:rPr>
  </w:style>
  <w:style w:type="character" w:customStyle="1" w:styleId="611">
    <w:name w:val="清单表 5 深色 - 着色 21 CharProp"/>
    <w:uiPriority w:val="50"/>
    <w:rPr>
      <w:color w:val="FFFFFF" w:themeColor="background1"/>
      <w14:textFill>
        <w14:solidFill>
          <w14:schemeClr w14:val="bg1"/>
        </w14:solidFill>
      </w14:textFill>
    </w:rPr>
  </w:style>
  <w:style w:type="table" w:customStyle="1" w:styleId="612">
    <w:name w:val="清单表 5 深色 - 着色 31"/>
    <w:basedOn w:val="89"/>
    <w:qFormat/>
    <w:uiPriority w:val="50"/>
    <w:rPr>
      <w:color w:val="FFFFFF" w:themeColor="background1"/>
      <w14:textFill>
        <w14:solidFill>
          <w14:schemeClr w14:val="bg1"/>
        </w14:solidFill>
      </w14:textFill>
    </w:rPr>
    <w:tblPr>
      <w:tblBorders>
        <w:top w:val="single" w:color="9BBB59" w:themeColor="accent3" w:sz="24" w:space="0"/>
        <w:left w:val="single" w:color="9BBB59" w:themeColor="accent3" w:sz="24" w:space="0"/>
        <w:bottom w:val="single" w:color="9BBB59" w:themeColor="accent3" w:sz="24" w:space="0"/>
        <w:right w:val="single" w:color="9BBB59" w:themeColor="accent3" w:sz="24" w:space="0"/>
      </w:tblBorders>
    </w:tblPr>
    <w:tcPr>
      <w:shd w:val="clear" w:color="auto" w:fill="9BBB59"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613">
    <w:name w:val="清单表 5 深色 - 着色 31 CharProp2"/>
    <w:uiPriority w:val="50"/>
    <w:rPr>
      <w:color w:val="FFFFFF" w:themeColor="background1"/>
      <w14:textFill>
        <w14:solidFill>
          <w14:schemeClr w14:val="bg1"/>
        </w14:solidFill>
      </w14:textFill>
    </w:rPr>
  </w:style>
  <w:style w:type="character" w:customStyle="1" w:styleId="614">
    <w:name w:val="清单表 5 深色 - 着色 31 CharProp1"/>
    <w:qFormat/>
    <w:uiPriority w:val="50"/>
    <w:rPr>
      <w:color w:val="FFFFFF" w:themeColor="background1"/>
      <w14:textFill>
        <w14:solidFill>
          <w14:schemeClr w14:val="bg1"/>
        </w14:solidFill>
      </w14:textFill>
    </w:rPr>
  </w:style>
  <w:style w:type="character" w:customStyle="1" w:styleId="615">
    <w:name w:val="清单表 5 深色 - 着色 31 CharProp"/>
    <w:uiPriority w:val="50"/>
    <w:rPr>
      <w:color w:val="FFFFFF" w:themeColor="background1"/>
      <w14:textFill>
        <w14:solidFill>
          <w14:schemeClr w14:val="bg1"/>
        </w14:solidFill>
      </w14:textFill>
    </w:rPr>
  </w:style>
  <w:style w:type="table" w:customStyle="1" w:styleId="616">
    <w:name w:val="清单表 5 深色 - 着色 41"/>
    <w:basedOn w:val="89"/>
    <w:qFormat/>
    <w:uiPriority w:val="50"/>
    <w:rPr>
      <w:color w:val="FFFFFF" w:themeColor="background1"/>
      <w14:textFill>
        <w14:solidFill>
          <w14:schemeClr w14:val="bg1"/>
        </w14:solidFill>
      </w14:textFill>
    </w:rPr>
    <w:tblPr>
      <w:tblBorders>
        <w:top w:val="single" w:color="8064A2" w:themeColor="accent4" w:sz="24" w:space="0"/>
        <w:left w:val="single" w:color="8064A2" w:themeColor="accent4" w:sz="24" w:space="0"/>
        <w:bottom w:val="single" w:color="8064A2" w:themeColor="accent4" w:sz="24" w:space="0"/>
        <w:right w:val="single" w:color="8064A2" w:themeColor="accent4" w:sz="24" w:space="0"/>
      </w:tblBorders>
    </w:tblPr>
    <w:tcPr>
      <w:shd w:val="clear" w:color="auto" w:fill="8064A2"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617">
    <w:name w:val="清单表 5 深色 - 着色 41 CharProp2"/>
    <w:uiPriority w:val="50"/>
    <w:rPr>
      <w:color w:val="FFFFFF" w:themeColor="background1"/>
      <w14:textFill>
        <w14:solidFill>
          <w14:schemeClr w14:val="bg1"/>
        </w14:solidFill>
      </w14:textFill>
    </w:rPr>
  </w:style>
  <w:style w:type="character" w:customStyle="1" w:styleId="618">
    <w:name w:val="清单表 5 深色 - 着色 41 CharProp1"/>
    <w:qFormat/>
    <w:uiPriority w:val="50"/>
    <w:rPr>
      <w:color w:val="FFFFFF" w:themeColor="background1"/>
      <w14:textFill>
        <w14:solidFill>
          <w14:schemeClr w14:val="bg1"/>
        </w14:solidFill>
      </w14:textFill>
    </w:rPr>
  </w:style>
  <w:style w:type="character" w:customStyle="1" w:styleId="619">
    <w:name w:val="清单表 5 深色 - 着色 41 CharProp"/>
    <w:qFormat/>
    <w:uiPriority w:val="50"/>
    <w:rPr>
      <w:color w:val="FFFFFF" w:themeColor="background1"/>
      <w14:textFill>
        <w14:solidFill>
          <w14:schemeClr w14:val="bg1"/>
        </w14:solidFill>
      </w14:textFill>
    </w:rPr>
  </w:style>
  <w:style w:type="table" w:customStyle="1" w:styleId="620">
    <w:name w:val="清单表 5 深色 - 着色 51"/>
    <w:basedOn w:val="89"/>
    <w:qFormat/>
    <w:uiPriority w:val="50"/>
    <w:rPr>
      <w:color w:val="FFFFFF" w:themeColor="background1"/>
      <w14:textFill>
        <w14:solidFill>
          <w14:schemeClr w14:val="bg1"/>
        </w14:solidFill>
      </w14:textFill>
    </w:rPr>
    <w:tblPr>
      <w:tblBorders>
        <w:top w:val="single" w:color="4BACC6" w:themeColor="accent5" w:sz="24" w:space="0"/>
        <w:left w:val="single" w:color="4BACC6" w:themeColor="accent5" w:sz="24" w:space="0"/>
        <w:bottom w:val="single" w:color="4BACC6" w:themeColor="accent5" w:sz="24" w:space="0"/>
        <w:right w:val="single" w:color="4BACC6" w:themeColor="accent5" w:sz="24" w:space="0"/>
      </w:tblBorders>
    </w:tblPr>
    <w:tcPr>
      <w:shd w:val="clear" w:color="auto" w:fill="4BACC6"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621">
    <w:name w:val="清单表 5 深色 - 着色 51 CharProp2"/>
    <w:qFormat/>
    <w:uiPriority w:val="50"/>
    <w:rPr>
      <w:color w:val="FFFFFF" w:themeColor="background1"/>
      <w14:textFill>
        <w14:solidFill>
          <w14:schemeClr w14:val="bg1"/>
        </w14:solidFill>
      </w14:textFill>
    </w:rPr>
  </w:style>
  <w:style w:type="character" w:customStyle="1" w:styleId="622">
    <w:name w:val="清单表 5 深色 - 着色 51 CharProp1"/>
    <w:uiPriority w:val="50"/>
    <w:rPr>
      <w:color w:val="FFFFFF" w:themeColor="background1"/>
      <w14:textFill>
        <w14:solidFill>
          <w14:schemeClr w14:val="bg1"/>
        </w14:solidFill>
      </w14:textFill>
    </w:rPr>
  </w:style>
  <w:style w:type="character" w:customStyle="1" w:styleId="623">
    <w:name w:val="清单表 5 深色 - 着色 51 CharProp"/>
    <w:uiPriority w:val="50"/>
    <w:rPr>
      <w:color w:val="FFFFFF" w:themeColor="background1"/>
      <w14:textFill>
        <w14:solidFill>
          <w14:schemeClr w14:val="bg1"/>
        </w14:solidFill>
      </w14:textFill>
    </w:rPr>
  </w:style>
  <w:style w:type="table" w:customStyle="1" w:styleId="624">
    <w:name w:val="清单表 5 深色 - 着色 61"/>
    <w:basedOn w:val="89"/>
    <w:qFormat/>
    <w:uiPriority w:val="50"/>
    <w:rPr>
      <w:color w:val="FFFFFF" w:themeColor="background1"/>
      <w14:textFill>
        <w14:solidFill>
          <w14:schemeClr w14:val="bg1"/>
        </w14:solidFill>
      </w14:textFill>
    </w:rPr>
    <w:tblPr>
      <w:tblBorders>
        <w:top w:val="single" w:color="F79646" w:themeColor="accent6" w:sz="24" w:space="0"/>
        <w:left w:val="single" w:color="F79646" w:themeColor="accent6" w:sz="24" w:space="0"/>
        <w:bottom w:val="single" w:color="F79646" w:themeColor="accent6" w:sz="24" w:space="0"/>
        <w:right w:val="single" w:color="F79646" w:themeColor="accent6" w:sz="24" w:space="0"/>
      </w:tblBorders>
    </w:tblPr>
    <w:tcPr>
      <w:shd w:val="clear" w:color="auto" w:fill="F79646"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character" w:customStyle="1" w:styleId="625">
    <w:name w:val="清单表 5 深色 - 着色 61 CharProp2"/>
    <w:qFormat/>
    <w:uiPriority w:val="50"/>
    <w:rPr>
      <w:color w:val="FFFFFF" w:themeColor="background1"/>
      <w14:textFill>
        <w14:solidFill>
          <w14:schemeClr w14:val="bg1"/>
        </w14:solidFill>
      </w14:textFill>
    </w:rPr>
  </w:style>
  <w:style w:type="character" w:customStyle="1" w:styleId="626">
    <w:name w:val="清单表 5 深色 - 着色 61 CharProp1"/>
    <w:qFormat/>
    <w:uiPriority w:val="50"/>
    <w:rPr>
      <w:color w:val="FFFFFF" w:themeColor="background1"/>
      <w14:textFill>
        <w14:solidFill>
          <w14:schemeClr w14:val="bg1"/>
        </w14:solidFill>
      </w14:textFill>
    </w:rPr>
  </w:style>
  <w:style w:type="character" w:customStyle="1" w:styleId="627">
    <w:name w:val="清单表 5 深色 - 着色 61 CharProp"/>
    <w:qFormat/>
    <w:uiPriority w:val="50"/>
    <w:rPr>
      <w:color w:val="FFFFFF" w:themeColor="background1"/>
      <w14:textFill>
        <w14:solidFill>
          <w14:schemeClr w14:val="bg1"/>
        </w14:solidFill>
      </w14:textFill>
    </w:rPr>
  </w:style>
  <w:style w:type="table" w:customStyle="1" w:styleId="628">
    <w:name w:val="清单表 6 彩色1"/>
    <w:basedOn w:val="8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29">
    <w:name w:val="清单表 6 彩色1 CharProp2"/>
    <w:uiPriority w:val="51"/>
    <w:rPr>
      <w:color w:val="000000" w:themeColor="text1"/>
      <w14:textFill>
        <w14:solidFill>
          <w14:schemeClr w14:val="tx1"/>
        </w14:solidFill>
      </w14:textFill>
    </w:rPr>
  </w:style>
  <w:style w:type="character" w:customStyle="1" w:styleId="630">
    <w:name w:val="清单表 6 彩色1 CharProp1"/>
    <w:qFormat/>
    <w:uiPriority w:val="51"/>
    <w:rPr>
      <w:color w:val="000000" w:themeColor="text1"/>
      <w14:textFill>
        <w14:solidFill>
          <w14:schemeClr w14:val="tx1"/>
        </w14:solidFill>
      </w14:textFill>
    </w:rPr>
  </w:style>
  <w:style w:type="character" w:customStyle="1" w:styleId="631">
    <w:name w:val="清单表 6 彩色1 CharProp"/>
    <w:qFormat/>
    <w:uiPriority w:val="51"/>
    <w:rPr>
      <w:color w:val="000000" w:themeColor="text1"/>
      <w14:textFill>
        <w14:solidFill>
          <w14:schemeClr w14:val="tx1"/>
        </w14:solidFill>
      </w14:textFill>
    </w:rPr>
  </w:style>
  <w:style w:type="table" w:customStyle="1" w:styleId="632">
    <w:name w:val="清单表 6 彩色 - 着色 11"/>
    <w:basedOn w:val="89"/>
    <w:qFormat/>
    <w:uiPriority w:val="51"/>
    <w:rPr>
      <w:color w:val="376092" w:themeColor="accent1" w:themeShade="BF"/>
    </w:rPr>
    <w:tblPr>
      <w:tblBorders>
        <w:top w:val="single" w:color="4F81BD" w:themeColor="accent1" w:sz="4" w:space="0"/>
        <w:bottom w:val="single" w:color="4F81BD" w:themeColor="accent1" w:sz="4" w:space="0"/>
      </w:tblBorders>
    </w:tblPr>
    <w:tblStylePr w:type="firstRow">
      <w:rPr>
        <w:b/>
        <w:bCs/>
      </w:rPr>
      <w:tcPr>
        <w:tcBorders>
          <w:bottom w:val="single" w:color="4F81BD" w:themeColor="accent1" w:sz="4" w:space="0"/>
        </w:tcBorders>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633">
    <w:name w:val="清单表 6 彩色 - 着色 11 CharProp2"/>
    <w:qFormat/>
    <w:uiPriority w:val="51"/>
    <w:rPr>
      <w:color w:val="376092" w:themeColor="accent1" w:themeShade="BF"/>
    </w:rPr>
  </w:style>
  <w:style w:type="character" w:customStyle="1" w:styleId="634">
    <w:name w:val="清单表 6 彩色 - 着色 11 CharProp1"/>
    <w:qFormat/>
    <w:uiPriority w:val="51"/>
    <w:rPr>
      <w:color w:val="376092" w:themeColor="accent1" w:themeShade="BF"/>
    </w:rPr>
  </w:style>
  <w:style w:type="character" w:customStyle="1" w:styleId="635">
    <w:name w:val="清单表 6 彩色 - 着色 11 CharProp"/>
    <w:qFormat/>
    <w:uiPriority w:val="51"/>
    <w:rPr>
      <w:color w:val="376092" w:themeColor="accent1" w:themeShade="BF"/>
    </w:rPr>
  </w:style>
  <w:style w:type="table" w:customStyle="1" w:styleId="636">
    <w:name w:val="清单表 6 彩色 - 着色 21"/>
    <w:basedOn w:val="89"/>
    <w:qFormat/>
    <w:uiPriority w:val="51"/>
    <w:rPr>
      <w:color w:val="953735" w:themeColor="accent2" w:themeShade="BF"/>
    </w:rPr>
    <w:tblPr>
      <w:tblBorders>
        <w:top w:val="single" w:color="C0504D" w:themeColor="accent2" w:sz="4" w:space="0"/>
        <w:bottom w:val="single" w:color="C0504D" w:themeColor="accent2" w:sz="4" w:space="0"/>
      </w:tblBorders>
    </w:tblPr>
    <w:tblStylePr w:type="firstRow">
      <w:rPr>
        <w:b/>
        <w:bCs/>
      </w:rPr>
      <w:tcPr>
        <w:tcBorders>
          <w:bottom w:val="single" w:color="C0504D" w:themeColor="accent2" w:sz="4" w:space="0"/>
        </w:tcBorders>
      </w:tcPr>
    </w:tblStylePr>
    <w:tblStylePr w:type="lastRow">
      <w:rPr>
        <w:b/>
        <w:bCs/>
      </w:rPr>
      <w:tcPr>
        <w:tcBorders>
          <w:top w:val="double" w:color="C0504D" w:themeColor="accent2"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character" w:customStyle="1" w:styleId="637">
    <w:name w:val="清单表 6 彩色 - 着色 21 CharProp2"/>
    <w:qFormat/>
    <w:uiPriority w:val="51"/>
    <w:rPr>
      <w:color w:val="953735" w:themeColor="accent2" w:themeShade="BF"/>
    </w:rPr>
  </w:style>
  <w:style w:type="character" w:customStyle="1" w:styleId="638">
    <w:name w:val="清单表 6 彩色 - 着色 21 CharProp1"/>
    <w:qFormat/>
    <w:uiPriority w:val="51"/>
    <w:rPr>
      <w:color w:val="953735" w:themeColor="accent2" w:themeShade="BF"/>
    </w:rPr>
  </w:style>
  <w:style w:type="character" w:customStyle="1" w:styleId="639">
    <w:name w:val="清单表 6 彩色 - 着色 21 CharProp"/>
    <w:qFormat/>
    <w:uiPriority w:val="51"/>
    <w:rPr>
      <w:color w:val="953735" w:themeColor="accent2" w:themeShade="BF"/>
    </w:rPr>
  </w:style>
  <w:style w:type="table" w:customStyle="1" w:styleId="640">
    <w:name w:val="清单表 6 彩色 - 着色 31"/>
    <w:basedOn w:val="89"/>
    <w:qFormat/>
    <w:uiPriority w:val="51"/>
    <w:rPr>
      <w:color w:val="77933C" w:themeColor="accent3" w:themeShade="BF"/>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641">
    <w:name w:val="清单表 6 彩色 - 着色 31 CharProp2"/>
    <w:qFormat/>
    <w:uiPriority w:val="51"/>
    <w:rPr>
      <w:color w:val="77933C" w:themeColor="accent3" w:themeShade="BF"/>
    </w:rPr>
  </w:style>
  <w:style w:type="character" w:customStyle="1" w:styleId="642">
    <w:name w:val="清单表 6 彩色 - 着色 31 CharProp1"/>
    <w:qFormat/>
    <w:uiPriority w:val="51"/>
    <w:rPr>
      <w:color w:val="77933C" w:themeColor="accent3" w:themeShade="BF"/>
    </w:rPr>
  </w:style>
  <w:style w:type="character" w:customStyle="1" w:styleId="643">
    <w:name w:val="清单表 6 彩色 - 着色 31 CharProp"/>
    <w:qFormat/>
    <w:uiPriority w:val="51"/>
    <w:rPr>
      <w:color w:val="77933C" w:themeColor="accent3" w:themeShade="BF"/>
    </w:rPr>
  </w:style>
  <w:style w:type="table" w:customStyle="1" w:styleId="644">
    <w:name w:val="清单表 6 彩色 - 着色 41"/>
    <w:basedOn w:val="89"/>
    <w:qFormat/>
    <w:uiPriority w:val="51"/>
    <w:rPr>
      <w:color w:val="604A7B" w:themeColor="accent4" w:themeShade="BF"/>
    </w:rPr>
    <w:tblPr>
      <w:tblBorders>
        <w:top w:val="single" w:color="8064A2" w:themeColor="accent4" w:sz="4" w:space="0"/>
        <w:bottom w:val="single" w:color="8064A2" w:themeColor="accent4" w:sz="4" w:space="0"/>
      </w:tblBorders>
    </w:tblPr>
    <w:tblStylePr w:type="firstRow">
      <w:rPr>
        <w:b/>
        <w:bCs/>
      </w:rPr>
      <w:tcPr>
        <w:tcBorders>
          <w:bottom w:val="single" w:color="8064A2" w:themeColor="accent4" w:sz="4" w:space="0"/>
        </w:tcBorders>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character" w:customStyle="1" w:styleId="645">
    <w:name w:val="清单表 6 彩色 - 着色 41 CharProp2"/>
    <w:qFormat/>
    <w:uiPriority w:val="51"/>
    <w:rPr>
      <w:color w:val="604A7B" w:themeColor="accent4" w:themeShade="BF"/>
    </w:rPr>
  </w:style>
  <w:style w:type="character" w:customStyle="1" w:styleId="646">
    <w:name w:val="清单表 6 彩色 - 着色 41 CharProp1"/>
    <w:qFormat/>
    <w:uiPriority w:val="51"/>
    <w:rPr>
      <w:color w:val="604A7B" w:themeColor="accent4" w:themeShade="BF"/>
    </w:rPr>
  </w:style>
  <w:style w:type="character" w:customStyle="1" w:styleId="647">
    <w:name w:val="清单表 6 彩色 - 着色 41 CharProp"/>
    <w:qFormat/>
    <w:uiPriority w:val="51"/>
    <w:rPr>
      <w:color w:val="604A7B" w:themeColor="accent4" w:themeShade="BF"/>
    </w:rPr>
  </w:style>
  <w:style w:type="table" w:customStyle="1" w:styleId="648">
    <w:name w:val="清单表 6 彩色 - 着色 51"/>
    <w:basedOn w:val="89"/>
    <w:qFormat/>
    <w:uiPriority w:val="51"/>
    <w:rPr>
      <w:color w:val="31859C" w:themeColor="accent5" w:themeShade="BF"/>
    </w:rPr>
    <w:tblPr>
      <w:tblBorders>
        <w:top w:val="single" w:color="4BACC6" w:themeColor="accent5" w:sz="4" w:space="0"/>
        <w:bottom w:val="single" w:color="4BACC6" w:themeColor="accent5" w:sz="4" w:space="0"/>
      </w:tblBorders>
    </w:tblPr>
    <w:tblStylePr w:type="firstRow">
      <w:rPr>
        <w:b/>
        <w:bCs/>
      </w:rPr>
      <w:tcPr>
        <w:tcBorders>
          <w:bottom w:val="single" w:color="4BACC6" w:themeColor="accent5" w:sz="4" w:space="0"/>
        </w:tcBorders>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character" w:customStyle="1" w:styleId="649">
    <w:name w:val="清单表 6 彩色 - 着色 51 CharProp2"/>
    <w:qFormat/>
    <w:uiPriority w:val="51"/>
    <w:rPr>
      <w:color w:val="31859C" w:themeColor="accent5" w:themeShade="BF"/>
    </w:rPr>
  </w:style>
  <w:style w:type="character" w:customStyle="1" w:styleId="650">
    <w:name w:val="清单表 6 彩色 - 着色 51 CharProp1"/>
    <w:qFormat/>
    <w:uiPriority w:val="51"/>
    <w:rPr>
      <w:color w:val="31859C" w:themeColor="accent5" w:themeShade="BF"/>
    </w:rPr>
  </w:style>
  <w:style w:type="character" w:customStyle="1" w:styleId="651">
    <w:name w:val="清单表 6 彩色 - 着色 51 CharProp"/>
    <w:uiPriority w:val="51"/>
    <w:rPr>
      <w:color w:val="31859C" w:themeColor="accent5" w:themeShade="BF"/>
    </w:rPr>
  </w:style>
  <w:style w:type="table" w:customStyle="1" w:styleId="652">
    <w:name w:val="清单表 6 彩色 - 着色 61"/>
    <w:basedOn w:val="89"/>
    <w:qFormat/>
    <w:uiPriority w:val="51"/>
    <w:rPr>
      <w:color w:val="E46C0A" w:themeColor="accent6" w:themeShade="BF"/>
    </w:rPr>
    <w:tblPr>
      <w:tblBorders>
        <w:top w:val="single" w:color="F79646" w:themeColor="accent6" w:sz="4" w:space="0"/>
        <w:bottom w:val="single" w:color="F79646" w:themeColor="accent6" w:sz="4" w:space="0"/>
      </w:tblBorders>
    </w:tblPr>
    <w:tblStylePr w:type="firstRow">
      <w:rPr>
        <w:b/>
        <w:bCs/>
      </w:rPr>
      <w:tcPr>
        <w:tcBorders>
          <w:bottom w:val="single" w:color="F79646" w:themeColor="accent6" w:sz="4" w:space="0"/>
        </w:tcBorders>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character" w:customStyle="1" w:styleId="653">
    <w:name w:val="清单表 6 彩色 - 着色 61 CharProp2"/>
    <w:uiPriority w:val="51"/>
    <w:rPr>
      <w:color w:val="E46C0A" w:themeColor="accent6" w:themeShade="BF"/>
    </w:rPr>
  </w:style>
  <w:style w:type="character" w:customStyle="1" w:styleId="654">
    <w:name w:val="清单表 6 彩色 - 着色 61 CharProp1"/>
    <w:uiPriority w:val="51"/>
    <w:rPr>
      <w:color w:val="E46C0A" w:themeColor="accent6" w:themeShade="BF"/>
    </w:rPr>
  </w:style>
  <w:style w:type="character" w:customStyle="1" w:styleId="655">
    <w:name w:val="清单表 6 彩色 - 着色 61 CharProp"/>
    <w:uiPriority w:val="51"/>
    <w:rPr>
      <w:color w:val="E46C0A" w:themeColor="accent6" w:themeShade="BF"/>
    </w:rPr>
  </w:style>
  <w:style w:type="table" w:customStyle="1" w:styleId="656">
    <w:name w:val="清单表 7 彩色1"/>
    <w:basedOn w:val="89"/>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657">
    <w:name w:val="清单表 7 彩色1 CharProp2"/>
    <w:qFormat/>
    <w:uiPriority w:val="52"/>
    <w:rPr>
      <w:color w:val="000000" w:themeColor="text1"/>
      <w14:textFill>
        <w14:solidFill>
          <w14:schemeClr w14:val="tx1"/>
        </w14:solidFill>
      </w14:textFill>
    </w:rPr>
  </w:style>
  <w:style w:type="character" w:customStyle="1" w:styleId="658">
    <w:name w:val="清单表 7 彩色1 CharProp1"/>
    <w:uiPriority w:val="52"/>
    <w:rPr>
      <w:color w:val="000000" w:themeColor="text1"/>
      <w14:textFill>
        <w14:solidFill>
          <w14:schemeClr w14:val="tx1"/>
        </w14:solidFill>
      </w14:textFill>
    </w:rPr>
  </w:style>
  <w:style w:type="character" w:customStyle="1" w:styleId="659">
    <w:name w:val="清单表 7 彩色1 CharProp"/>
    <w:uiPriority w:val="52"/>
    <w:rPr>
      <w:color w:val="000000" w:themeColor="text1"/>
      <w14:textFill>
        <w14:solidFill>
          <w14:schemeClr w14:val="tx1"/>
        </w14:solidFill>
      </w14:textFill>
    </w:rPr>
  </w:style>
  <w:style w:type="table" w:customStyle="1" w:styleId="660">
    <w:name w:val="清单表 7 彩色 - 着色 11"/>
    <w:basedOn w:val="89"/>
    <w:qFormat/>
    <w:uiPriority w:val="52"/>
    <w:rPr>
      <w:color w:val="376092" w:themeColor="accent1" w:themeShade="BF"/>
    </w:rPr>
    <w:tblStylePr w:type="firstRow">
      <w:rPr>
        <w:rFonts w:asciiTheme="majorHAnsi" w:hAnsiTheme="majorHAnsi" w:eastAsiaTheme="majorEastAsia" w:cstheme="majorBidi"/>
        <w:i/>
        <w:iCs/>
        <w:sz w:val="26"/>
      </w:rPr>
      <w:tcPr>
        <w:tcBorders>
          <w:bottom w:val="single" w:color="4F81BD"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F81BD"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F81BD"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F81BD" w:themeColor="accent1" w:sz="4" w:space="0"/>
        </w:tcBorders>
        <w:shd w:val="clear" w:color="auto" w:fill="FFFFFF" w:themeFill="background1"/>
      </w:tcPr>
    </w:tblStylePr>
    <w:tblStylePr w:type="band1Vert">
      <w:tcPr>
        <w:shd w:val="clear" w:color="auto" w:fill="DBE5F1" w:themeFill="accent1" w:themeFillTint="33"/>
      </w:tcPr>
    </w:tblStylePr>
    <w:tblStylePr w:type="band1Horz">
      <w:tcPr>
        <w:shd w:val="clear" w:color="auto" w:fill="DBE5F1"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661">
    <w:name w:val="清单表 7 彩色 - 着色 11 CharProp2"/>
    <w:uiPriority w:val="52"/>
    <w:rPr>
      <w:color w:val="376092" w:themeColor="accent1" w:themeShade="BF"/>
    </w:rPr>
  </w:style>
  <w:style w:type="character" w:customStyle="1" w:styleId="662">
    <w:name w:val="清单表 7 彩色 - 着色 11 CharProp1"/>
    <w:uiPriority w:val="52"/>
    <w:rPr>
      <w:color w:val="376092" w:themeColor="accent1" w:themeShade="BF"/>
    </w:rPr>
  </w:style>
  <w:style w:type="character" w:customStyle="1" w:styleId="663">
    <w:name w:val="清单表 7 彩色 - 着色 11 CharProp"/>
    <w:uiPriority w:val="52"/>
    <w:rPr>
      <w:color w:val="376092" w:themeColor="accent1" w:themeShade="BF"/>
    </w:rPr>
  </w:style>
  <w:style w:type="table" w:customStyle="1" w:styleId="664">
    <w:name w:val="清单表 7 彩色 - 着色 21"/>
    <w:basedOn w:val="89"/>
    <w:qFormat/>
    <w:uiPriority w:val="52"/>
    <w:rPr>
      <w:color w:val="953735" w:themeColor="accent2" w:themeShade="BF"/>
    </w:rPr>
    <w:tblStylePr w:type="firstRow">
      <w:rPr>
        <w:rFonts w:asciiTheme="majorHAnsi" w:hAnsiTheme="majorHAnsi" w:eastAsiaTheme="majorEastAsia" w:cstheme="majorBidi"/>
        <w:i/>
        <w:iCs/>
        <w:sz w:val="26"/>
      </w:rPr>
      <w:tcPr>
        <w:tcBorders>
          <w:bottom w:val="single" w:color="C0504D"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C0504D"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C0504D"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C0504D" w:themeColor="accent2" w:sz="4" w:space="0"/>
        </w:tcBorders>
        <w:shd w:val="clear" w:color="auto" w:fill="FFFFFF" w:themeFill="background1"/>
      </w:tcPr>
    </w:tblStylePr>
    <w:tblStylePr w:type="band1Vert">
      <w:tcPr>
        <w:shd w:val="clear" w:color="auto" w:fill="F2DBDB" w:themeFill="accent2" w:themeFillTint="33"/>
      </w:tcPr>
    </w:tblStylePr>
    <w:tblStylePr w:type="band1Horz">
      <w:tcPr>
        <w:shd w:val="clear" w:color="auto" w:fill="F2DBDB"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665">
    <w:name w:val="清单表 7 彩色 - 着色 21 CharProp2"/>
    <w:qFormat/>
    <w:uiPriority w:val="52"/>
    <w:rPr>
      <w:color w:val="953735" w:themeColor="accent2" w:themeShade="BF"/>
    </w:rPr>
  </w:style>
  <w:style w:type="character" w:customStyle="1" w:styleId="666">
    <w:name w:val="清单表 7 彩色 - 着色 21 CharProp1"/>
    <w:uiPriority w:val="52"/>
    <w:rPr>
      <w:color w:val="953735" w:themeColor="accent2" w:themeShade="BF"/>
    </w:rPr>
  </w:style>
  <w:style w:type="character" w:customStyle="1" w:styleId="667">
    <w:name w:val="清单表 7 彩色 - 着色 21 CharProp"/>
    <w:qFormat/>
    <w:uiPriority w:val="52"/>
    <w:rPr>
      <w:color w:val="953735" w:themeColor="accent2" w:themeShade="BF"/>
    </w:rPr>
  </w:style>
  <w:style w:type="table" w:customStyle="1" w:styleId="668">
    <w:name w:val="清单表 7 彩色 - 着色 31"/>
    <w:basedOn w:val="89"/>
    <w:qFormat/>
    <w:uiPriority w:val="52"/>
    <w:rPr>
      <w:color w:val="77933C" w:themeColor="accent3" w:themeShade="BF"/>
    </w:rPr>
    <w:tblStylePr w:type="firstRow">
      <w:rPr>
        <w:rFonts w:asciiTheme="majorHAnsi" w:hAnsiTheme="majorHAnsi" w:eastAsiaTheme="majorEastAsia" w:cstheme="majorBidi"/>
        <w:i/>
        <w:iCs/>
        <w:sz w:val="26"/>
      </w:rPr>
      <w:tcPr>
        <w:tcBorders>
          <w:bottom w:val="single" w:color="9BBB59"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9BBB59"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9BBB59"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9BBB59" w:themeColor="accent3" w:sz="4" w:space="0"/>
        </w:tcBorders>
        <w:shd w:val="clear" w:color="auto" w:fill="FFFFFF" w:themeFill="background1"/>
      </w:tcPr>
    </w:tblStylePr>
    <w:tblStylePr w:type="band1Vert">
      <w:tcPr>
        <w:shd w:val="clear" w:color="auto" w:fill="EAF1DD" w:themeFill="accent3" w:themeFillTint="33"/>
      </w:tcPr>
    </w:tblStylePr>
    <w:tblStylePr w:type="band1Horz">
      <w:tcPr>
        <w:shd w:val="clear" w:color="auto" w:fill="EAF1DD"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669">
    <w:name w:val="清单表 7 彩色 - 着色 31 CharProp2"/>
    <w:uiPriority w:val="52"/>
    <w:rPr>
      <w:color w:val="77933C" w:themeColor="accent3" w:themeShade="BF"/>
    </w:rPr>
  </w:style>
  <w:style w:type="character" w:customStyle="1" w:styleId="670">
    <w:name w:val="清单表 7 彩色 - 着色 31 CharProp1"/>
    <w:uiPriority w:val="52"/>
    <w:rPr>
      <w:color w:val="77933C" w:themeColor="accent3" w:themeShade="BF"/>
    </w:rPr>
  </w:style>
  <w:style w:type="character" w:customStyle="1" w:styleId="671">
    <w:name w:val="清单表 7 彩色 - 着色 31 CharProp"/>
    <w:uiPriority w:val="52"/>
    <w:rPr>
      <w:color w:val="77933C" w:themeColor="accent3" w:themeShade="BF"/>
    </w:rPr>
  </w:style>
  <w:style w:type="table" w:customStyle="1" w:styleId="672">
    <w:name w:val="清单表 7 彩色 - 着色 41"/>
    <w:basedOn w:val="89"/>
    <w:qFormat/>
    <w:uiPriority w:val="52"/>
    <w:rPr>
      <w:color w:val="604A7B" w:themeColor="accent4" w:themeShade="BF"/>
    </w:rPr>
    <w:tblStylePr w:type="firstRow">
      <w:rPr>
        <w:rFonts w:asciiTheme="majorHAnsi" w:hAnsiTheme="majorHAnsi" w:eastAsiaTheme="majorEastAsia" w:cstheme="majorBidi"/>
        <w:i/>
        <w:iCs/>
        <w:sz w:val="26"/>
      </w:rPr>
      <w:tcPr>
        <w:tcBorders>
          <w:bottom w:val="single" w:color="8064A2"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8064A2"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8064A2"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8064A2" w:themeColor="accent4" w:sz="4" w:space="0"/>
        </w:tcBorders>
        <w:shd w:val="clear" w:color="auto" w:fill="FFFFFF" w:themeFill="background1"/>
      </w:tcPr>
    </w:tblStylePr>
    <w:tblStylePr w:type="band1Vert">
      <w:tcPr>
        <w:shd w:val="clear" w:color="auto" w:fill="E5DFEC" w:themeFill="accent4" w:themeFillTint="33"/>
      </w:tcPr>
    </w:tblStylePr>
    <w:tblStylePr w:type="band1Horz">
      <w:tcPr>
        <w:shd w:val="clear" w:color="auto" w:fill="E5DFE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673">
    <w:name w:val="清单表 7 彩色 - 着色 41 CharProp2"/>
    <w:qFormat/>
    <w:uiPriority w:val="52"/>
    <w:rPr>
      <w:color w:val="604A7B" w:themeColor="accent4" w:themeShade="BF"/>
    </w:rPr>
  </w:style>
  <w:style w:type="character" w:customStyle="1" w:styleId="674">
    <w:name w:val="清单表 7 彩色 - 着色 41 CharProp1"/>
    <w:qFormat/>
    <w:uiPriority w:val="52"/>
    <w:rPr>
      <w:color w:val="604A7B" w:themeColor="accent4" w:themeShade="BF"/>
    </w:rPr>
  </w:style>
  <w:style w:type="character" w:customStyle="1" w:styleId="675">
    <w:name w:val="清单表 7 彩色 - 着色 41 CharProp"/>
    <w:uiPriority w:val="52"/>
    <w:rPr>
      <w:color w:val="604A7B" w:themeColor="accent4" w:themeShade="BF"/>
    </w:rPr>
  </w:style>
  <w:style w:type="table" w:customStyle="1" w:styleId="676">
    <w:name w:val="清单表 7 彩色 - 着色 51"/>
    <w:basedOn w:val="89"/>
    <w:qFormat/>
    <w:uiPriority w:val="52"/>
    <w:rPr>
      <w:color w:val="31859C" w:themeColor="accent5" w:themeShade="BF"/>
    </w:rPr>
    <w:tblStylePr w:type="firstRow">
      <w:rPr>
        <w:rFonts w:asciiTheme="majorHAnsi" w:hAnsiTheme="majorHAnsi" w:eastAsiaTheme="majorEastAsia" w:cstheme="majorBidi"/>
        <w:i/>
        <w:iCs/>
        <w:sz w:val="26"/>
      </w:rPr>
      <w:tcPr>
        <w:tcBorders>
          <w:bottom w:val="single" w:color="4BACC6"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BACC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BACC6"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BACC6" w:themeColor="accent5" w:sz="4" w:space="0"/>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677">
    <w:name w:val="清单表 7 彩色 - 着色 51 CharProp2"/>
    <w:uiPriority w:val="52"/>
    <w:rPr>
      <w:color w:val="31859C" w:themeColor="accent5" w:themeShade="BF"/>
    </w:rPr>
  </w:style>
  <w:style w:type="character" w:customStyle="1" w:styleId="678">
    <w:name w:val="清单表 7 彩色 - 着色 51 CharProp1"/>
    <w:uiPriority w:val="52"/>
    <w:rPr>
      <w:color w:val="31859C" w:themeColor="accent5" w:themeShade="BF"/>
    </w:rPr>
  </w:style>
  <w:style w:type="character" w:customStyle="1" w:styleId="679">
    <w:name w:val="清单表 7 彩色 - 着色 51 CharProp"/>
    <w:uiPriority w:val="52"/>
    <w:rPr>
      <w:color w:val="31859C" w:themeColor="accent5" w:themeShade="BF"/>
    </w:rPr>
  </w:style>
  <w:style w:type="table" w:customStyle="1" w:styleId="680">
    <w:name w:val="清单表 7 彩色 - 着色 61"/>
    <w:basedOn w:val="89"/>
    <w:qFormat/>
    <w:uiPriority w:val="52"/>
    <w:rPr>
      <w:color w:val="E46C0A" w:themeColor="accent6" w:themeShade="BF"/>
    </w:rPr>
    <w:tblStylePr w:type="firstRow">
      <w:rPr>
        <w:rFonts w:asciiTheme="majorHAnsi" w:hAnsiTheme="majorHAnsi" w:eastAsiaTheme="majorEastAsia" w:cstheme="majorBidi"/>
        <w:i/>
        <w:iCs/>
        <w:sz w:val="26"/>
      </w:rPr>
      <w:tcPr>
        <w:tcBorders>
          <w:bottom w:val="single" w:color="F79646"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79646"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79646"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79646" w:themeColor="accent6" w:sz="4" w:space="0"/>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681">
    <w:name w:val="清单表 7 彩色 - 着色 61 CharProp2"/>
    <w:qFormat/>
    <w:uiPriority w:val="52"/>
    <w:rPr>
      <w:color w:val="E46C0A" w:themeColor="accent6" w:themeShade="BF"/>
    </w:rPr>
  </w:style>
  <w:style w:type="character" w:customStyle="1" w:styleId="682">
    <w:name w:val="清单表 7 彩色 - 着色 61 CharProp1"/>
    <w:qFormat/>
    <w:uiPriority w:val="52"/>
    <w:rPr>
      <w:color w:val="E46C0A" w:themeColor="accent6" w:themeShade="BF"/>
    </w:rPr>
  </w:style>
  <w:style w:type="character" w:customStyle="1" w:styleId="683">
    <w:name w:val="清单表 7 彩色 - 着色 61 CharProp"/>
    <w:qFormat/>
    <w:uiPriority w:val="52"/>
    <w:rPr>
      <w:color w:val="E46C0A" w:themeColor="accent6" w:themeShade="BF"/>
    </w:rPr>
  </w:style>
  <w:style w:type="character" w:customStyle="1" w:styleId="684">
    <w:name w:val="日期 字符"/>
    <w:basedOn w:val="319"/>
    <w:link w:val="51"/>
    <w:qFormat/>
    <w:uiPriority w:val="0"/>
    <w:rPr>
      <w:rFonts w:ascii="Arial" w:hAnsi="Arial" w:eastAsia="Arial" w:cs="Arial"/>
      <w:snapToGrid w:val="0"/>
      <w:color w:val="000000"/>
      <w:sz w:val="21"/>
      <w:szCs w:val="21"/>
      <w:lang w:eastAsia="en-US"/>
    </w:rPr>
  </w:style>
  <w:style w:type="character" w:customStyle="1" w:styleId="685">
    <w:name w:val="书籍标题1"/>
    <w:basedOn w:val="319"/>
    <w:qFormat/>
    <w:uiPriority w:val="33"/>
    <w:rPr>
      <w:b/>
      <w:bCs/>
      <w:i/>
      <w:iCs/>
      <w:spacing w:val="5"/>
    </w:rPr>
  </w:style>
  <w:style w:type="paragraph" w:customStyle="1" w:styleId="686">
    <w:name w:val="书目1"/>
    <w:basedOn w:val="1"/>
    <w:next w:val="1"/>
    <w:semiHidden/>
    <w:unhideWhenUsed/>
    <w:qFormat/>
    <w:uiPriority w:val="37"/>
  </w:style>
  <w:style w:type="character" w:customStyle="1" w:styleId="687">
    <w:name w:val="书目1 CharProp2"/>
    <w:qFormat/>
    <w:uiPriority w:val="37"/>
  </w:style>
  <w:style w:type="character" w:customStyle="1" w:styleId="688">
    <w:name w:val="书目1 CharProp1"/>
    <w:qFormat/>
    <w:uiPriority w:val="37"/>
  </w:style>
  <w:style w:type="character" w:customStyle="1" w:styleId="689">
    <w:name w:val="书目1 CharProp"/>
    <w:qFormat/>
    <w:uiPriority w:val="37"/>
  </w:style>
  <w:style w:type="table" w:customStyle="1" w:styleId="690">
    <w:name w:val="网格表 1 浅色1"/>
    <w:basedOn w:val="8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691">
    <w:name w:val="网格表 1 浅色 - 着色 11"/>
    <w:basedOn w:val="89"/>
    <w:qFormat/>
    <w:uiPriority w:val="46"/>
    <w:tblPr>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2" w:space="0"/>
        </w:tcBorders>
      </w:tcPr>
    </w:tblStylePr>
    <w:tblStylePr w:type="firstCol">
      <w:rPr>
        <w:b/>
        <w:bCs/>
      </w:rPr>
    </w:tblStylePr>
    <w:tblStylePr w:type="lastCol">
      <w:rPr>
        <w:b/>
        <w:bCs/>
      </w:rPr>
    </w:tblStylePr>
  </w:style>
  <w:style w:type="table" w:customStyle="1" w:styleId="692">
    <w:name w:val="网格表 1 浅色 - 着色 21"/>
    <w:basedOn w:val="89"/>
    <w:qFormat/>
    <w:uiPriority w:val="46"/>
    <w:tblPr>
      <w:tblBorders>
        <w:top w:val="single" w:color="E5B8B7" w:themeColor="accent2" w:themeTint="66" w:sz="4" w:space="0"/>
        <w:left w:val="single" w:color="E5B8B7" w:themeColor="accent2" w:themeTint="66" w:sz="4" w:space="0"/>
        <w:bottom w:val="single" w:color="E5B8B7" w:themeColor="accent2" w:themeTint="66" w:sz="4" w:space="0"/>
        <w:right w:val="single" w:color="E5B8B7" w:themeColor="accent2" w:themeTint="66" w:sz="4" w:space="0"/>
        <w:insideH w:val="single" w:color="E5B8B7" w:themeColor="accent2" w:themeTint="66" w:sz="4" w:space="0"/>
        <w:insideV w:val="single" w:color="E5B8B7" w:themeColor="accent2" w:themeTint="66" w:sz="4" w:space="0"/>
      </w:tblBorders>
    </w:tblPr>
    <w:tblStylePr w:type="firstRow">
      <w:rPr>
        <w:b/>
        <w:bCs/>
      </w:rPr>
      <w:tcPr>
        <w:tcBorders>
          <w:bottom w:val="single" w:color="D99594" w:themeColor="accent2" w:themeTint="99" w:sz="12" w:space="0"/>
        </w:tcBorders>
      </w:tcPr>
    </w:tblStylePr>
    <w:tblStylePr w:type="lastRow">
      <w:rPr>
        <w:b/>
        <w:bCs/>
      </w:rPr>
      <w:tcPr>
        <w:tcBorders>
          <w:top w:val="double" w:color="D99594" w:themeColor="accent2" w:themeTint="99" w:sz="2" w:space="0"/>
        </w:tcBorders>
      </w:tcPr>
    </w:tblStylePr>
    <w:tblStylePr w:type="firstCol">
      <w:rPr>
        <w:b/>
        <w:bCs/>
      </w:rPr>
    </w:tblStylePr>
    <w:tblStylePr w:type="lastCol">
      <w:rPr>
        <w:b/>
        <w:bCs/>
      </w:rPr>
    </w:tblStylePr>
  </w:style>
  <w:style w:type="table" w:customStyle="1" w:styleId="693">
    <w:name w:val="网格表 1 浅色 - 着色 31"/>
    <w:basedOn w:val="89"/>
    <w:qFormat/>
    <w:uiPriority w:val="46"/>
    <w:tblPr>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Pr>
    <w:tblStylePr w:type="firstRow">
      <w:rPr>
        <w:b/>
        <w:bCs/>
      </w:rPr>
      <w:tcPr>
        <w:tcBorders>
          <w:bottom w:val="single" w:color="C2D69B" w:themeColor="accent3" w:themeTint="99" w:sz="12" w:space="0"/>
        </w:tcBorders>
      </w:tcPr>
    </w:tblStylePr>
    <w:tblStylePr w:type="lastRow">
      <w:rPr>
        <w:b/>
        <w:bCs/>
      </w:rPr>
      <w:tcPr>
        <w:tcBorders>
          <w:top w:val="double" w:color="C2D69B" w:themeColor="accent3" w:themeTint="99" w:sz="2" w:space="0"/>
        </w:tcBorders>
      </w:tcPr>
    </w:tblStylePr>
    <w:tblStylePr w:type="firstCol">
      <w:rPr>
        <w:b/>
        <w:bCs/>
      </w:rPr>
    </w:tblStylePr>
    <w:tblStylePr w:type="lastCol">
      <w:rPr>
        <w:b/>
        <w:bCs/>
      </w:rPr>
    </w:tblStylePr>
  </w:style>
  <w:style w:type="table" w:customStyle="1" w:styleId="694">
    <w:name w:val="网格表 1 浅色 - 着色 41"/>
    <w:basedOn w:val="89"/>
    <w:qFormat/>
    <w:uiPriority w:val="46"/>
    <w:tblPr>
      <w:tblBorders>
        <w:top w:val="single" w:color="CCC0D9" w:themeColor="accent4" w:themeTint="66" w:sz="4" w:space="0"/>
        <w:left w:val="single" w:color="CCC0D9" w:themeColor="accent4" w:themeTint="66" w:sz="4" w:space="0"/>
        <w:bottom w:val="single" w:color="CCC0D9" w:themeColor="accent4" w:themeTint="66" w:sz="4" w:space="0"/>
        <w:right w:val="single" w:color="CCC0D9" w:themeColor="accent4" w:themeTint="66" w:sz="4" w:space="0"/>
        <w:insideH w:val="single" w:color="CCC0D9" w:themeColor="accent4" w:themeTint="66" w:sz="4" w:space="0"/>
        <w:insideV w:val="single" w:color="CCC0D9" w:themeColor="accent4" w:themeTint="66" w:sz="4" w:space="0"/>
      </w:tblBorders>
    </w:tblPr>
    <w:tblStylePr w:type="firstRow">
      <w:rPr>
        <w:b/>
        <w:bCs/>
      </w:rPr>
      <w:tcPr>
        <w:tcBorders>
          <w:bottom w:val="single" w:color="B2A1C7" w:themeColor="accent4" w:themeTint="99" w:sz="12" w:space="0"/>
        </w:tcBorders>
      </w:tcPr>
    </w:tblStylePr>
    <w:tblStylePr w:type="lastRow">
      <w:rPr>
        <w:b/>
        <w:bCs/>
      </w:rPr>
      <w:tcPr>
        <w:tcBorders>
          <w:top w:val="double" w:color="B2A1C7" w:themeColor="accent4" w:themeTint="99" w:sz="2" w:space="0"/>
        </w:tcBorders>
      </w:tcPr>
    </w:tblStylePr>
    <w:tblStylePr w:type="firstCol">
      <w:rPr>
        <w:b/>
        <w:bCs/>
      </w:rPr>
    </w:tblStylePr>
    <w:tblStylePr w:type="lastCol">
      <w:rPr>
        <w:b/>
        <w:bCs/>
      </w:rPr>
    </w:tblStylePr>
  </w:style>
  <w:style w:type="table" w:customStyle="1" w:styleId="695">
    <w:name w:val="网格表 1 浅色 - 着色 51"/>
    <w:basedOn w:val="8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696">
    <w:name w:val="网格表 1 浅色 - 着色 61"/>
    <w:basedOn w:val="89"/>
    <w:qFormat/>
    <w:uiPriority w:val="46"/>
    <w:tblPr>
      <w:tblBorders>
        <w:top w:val="single" w:color="FBD4B4" w:themeColor="accent6" w:themeTint="66" w:sz="4" w:space="0"/>
        <w:left w:val="single" w:color="FBD4B4" w:themeColor="accent6" w:themeTint="66" w:sz="4" w:space="0"/>
        <w:bottom w:val="single" w:color="FBD4B4" w:themeColor="accent6" w:themeTint="66" w:sz="4" w:space="0"/>
        <w:right w:val="single" w:color="FBD4B4" w:themeColor="accent6" w:themeTint="66" w:sz="4" w:space="0"/>
        <w:insideH w:val="single" w:color="FBD4B4" w:themeColor="accent6" w:themeTint="66" w:sz="4" w:space="0"/>
        <w:insideV w:val="single" w:color="FBD4B4" w:themeColor="accent6" w:themeTint="66"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2" w:space="0"/>
        </w:tcBorders>
      </w:tcPr>
    </w:tblStylePr>
    <w:tblStylePr w:type="firstCol">
      <w:rPr>
        <w:b/>
        <w:bCs/>
      </w:rPr>
    </w:tblStylePr>
    <w:tblStylePr w:type="lastCol">
      <w:rPr>
        <w:b/>
        <w:bCs/>
      </w:rPr>
    </w:tblStylePr>
  </w:style>
  <w:style w:type="table" w:customStyle="1" w:styleId="697">
    <w:name w:val="网格表 21"/>
    <w:basedOn w:val="89"/>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698">
    <w:name w:val="网格表 2 - 着色 11"/>
    <w:basedOn w:val="89"/>
    <w:qFormat/>
    <w:uiPriority w:val="47"/>
    <w:tblPr>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cPr>
        <w:tcBorders>
          <w:top w:val="nil"/>
          <w:bottom w:val="single" w:color="95B3D7" w:themeColor="accent1" w:themeTint="99" w:sz="12" w:space="0"/>
          <w:insideH w:val="nil"/>
          <w:insideV w:val="nil"/>
        </w:tcBorders>
        <w:shd w:val="clear" w:color="auto" w:fill="FFFFFF" w:themeFill="background1"/>
      </w:tcPr>
    </w:tblStylePr>
    <w:tblStylePr w:type="lastRow">
      <w:rPr>
        <w:b/>
        <w:bCs/>
      </w:r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699">
    <w:name w:val="网格表 2 - 着色 21"/>
    <w:basedOn w:val="89"/>
    <w:qFormat/>
    <w:uiPriority w:val="47"/>
    <w:tblPr>
      <w:tblBorders>
        <w:top w:val="single" w:color="D99594" w:themeColor="accent2" w:themeTint="99" w:sz="2" w:space="0"/>
        <w:bottom w:val="single" w:color="D99594" w:themeColor="accent2" w:themeTint="99" w:sz="2" w:space="0"/>
        <w:insideH w:val="single" w:color="D99594" w:themeColor="accent2" w:themeTint="99" w:sz="2" w:space="0"/>
        <w:insideV w:val="single" w:color="D99594" w:themeColor="accent2" w:themeTint="99" w:sz="2" w:space="0"/>
      </w:tblBorders>
    </w:tblPr>
    <w:tblStylePr w:type="firstRow">
      <w:rPr>
        <w:b/>
        <w:bCs/>
      </w:rPr>
      <w:tcPr>
        <w:tcBorders>
          <w:top w:val="nil"/>
          <w:bottom w:val="single" w:color="D99594" w:themeColor="accent2" w:themeTint="99" w:sz="12" w:space="0"/>
          <w:insideH w:val="nil"/>
          <w:insideV w:val="nil"/>
        </w:tcBorders>
        <w:shd w:val="clear" w:color="auto" w:fill="FFFFFF" w:themeFill="background1"/>
      </w:tcPr>
    </w:tblStylePr>
    <w:tblStylePr w:type="lastRow">
      <w:rPr>
        <w:b/>
        <w:bCs/>
      </w:rPr>
      <w:tcPr>
        <w:tcBorders>
          <w:top w:val="double" w:color="D99594"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700">
    <w:name w:val="网格表 2 - 着色 31"/>
    <w:basedOn w:val="89"/>
    <w:qFormat/>
    <w:uiPriority w:val="47"/>
    <w:tblPr>
      <w:tblBorders>
        <w:top w:val="single" w:color="C2D69B" w:themeColor="accent3" w:themeTint="99" w:sz="2" w:space="0"/>
        <w:bottom w:val="single" w:color="C2D69B" w:themeColor="accent3" w:themeTint="99" w:sz="2" w:space="0"/>
        <w:insideH w:val="single" w:color="C2D69B" w:themeColor="accent3" w:themeTint="99" w:sz="2" w:space="0"/>
        <w:insideV w:val="single" w:color="C2D69B" w:themeColor="accent3" w:themeTint="99" w:sz="2" w:space="0"/>
      </w:tblBorders>
    </w:tblPr>
    <w:tblStylePr w:type="firstRow">
      <w:rPr>
        <w:b/>
        <w:bCs/>
      </w:rPr>
      <w:tcPr>
        <w:tcBorders>
          <w:top w:val="nil"/>
          <w:bottom w:val="single" w:color="C2D69B" w:themeColor="accent3" w:themeTint="99" w:sz="12" w:space="0"/>
          <w:insideH w:val="nil"/>
          <w:insideV w:val="nil"/>
        </w:tcBorders>
        <w:shd w:val="clear" w:color="auto" w:fill="FFFFFF" w:themeFill="background1"/>
      </w:tcPr>
    </w:tblStylePr>
    <w:tblStylePr w:type="lastRow">
      <w:rPr>
        <w:b/>
        <w:bCs/>
      </w:rPr>
      <w:tcPr>
        <w:tcBorders>
          <w:top w:val="double" w:color="C2D69B"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701">
    <w:name w:val="网格表 2 - 着色 41"/>
    <w:basedOn w:val="89"/>
    <w:qFormat/>
    <w:uiPriority w:val="47"/>
    <w:tblPr>
      <w:tblBorders>
        <w:top w:val="single" w:color="B2A1C7" w:themeColor="accent4" w:themeTint="99" w:sz="2" w:space="0"/>
        <w:bottom w:val="single" w:color="B2A1C7" w:themeColor="accent4" w:themeTint="99" w:sz="2" w:space="0"/>
        <w:insideH w:val="single" w:color="B2A1C7" w:themeColor="accent4" w:themeTint="99" w:sz="2" w:space="0"/>
        <w:insideV w:val="single" w:color="B2A1C7" w:themeColor="accent4" w:themeTint="99" w:sz="2" w:space="0"/>
      </w:tblBorders>
    </w:tblPr>
    <w:tblStylePr w:type="firstRow">
      <w:rPr>
        <w:b/>
        <w:bCs/>
      </w:rPr>
      <w:tcPr>
        <w:tcBorders>
          <w:top w:val="nil"/>
          <w:bottom w:val="single" w:color="B2A1C7" w:themeColor="accent4" w:themeTint="99" w:sz="12" w:space="0"/>
          <w:insideH w:val="nil"/>
          <w:insideV w:val="nil"/>
        </w:tcBorders>
        <w:shd w:val="clear" w:color="auto" w:fill="FFFFFF" w:themeFill="background1"/>
      </w:tcPr>
    </w:tblStylePr>
    <w:tblStylePr w:type="lastRow">
      <w:rPr>
        <w:b/>
        <w:bCs/>
      </w:rPr>
      <w:tcPr>
        <w:tcBorders>
          <w:top w:val="double" w:color="B2A1C7"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702">
    <w:name w:val="网格表 2 - 着色 51"/>
    <w:basedOn w:val="8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703">
    <w:name w:val="网格表 2 - 着色 61"/>
    <w:basedOn w:val="89"/>
    <w:qFormat/>
    <w:uiPriority w:val="47"/>
    <w:tblPr>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cPr>
        <w:tcBorders>
          <w:top w:val="nil"/>
          <w:bottom w:val="single" w:color="FABF8F" w:themeColor="accent6" w:themeTint="99" w:sz="12" w:space="0"/>
          <w:insideH w:val="nil"/>
          <w:insideV w:val="nil"/>
        </w:tcBorders>
        <w:shd w:val="clear" w:color="auto" w:fill="FFFFFF" w:themeFill="background1"/>
      </w:tcPr>
    </w:tblStylePr>
    <w:tblStylePr w:type="lastRow">
      <w:rPr>
        <w:b/>
        <w:bCs/>
      </w:r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704">
    <w:name w:val="网格表 31"/>
    <w:basedOn w:val="89"/>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705">
    <w:name w:val="网格表 3 - 着色 11"/>
    <w:basedOn w:val="89"/>
    <w:qFormat/>
    <w:uiPriority w:val="48"/>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BE5F1" w:themeFill="accent1" w:themeFillTint="33"/>
      </w:tcPr>
    </w:tblStylePr>
    <w:tblStylePr w:type="band1Horz">
      <w:tcPr>
        <w:shd w:val="clear" w:color="auto" w:fill="DBE5F1" w:themeFill="accent1" w:themeFillTint="33"/>
      </w:tcPr>
    </w:tblStylePr>
    <w:tblStylePr w:type="neCell">
      <w:tcPr>
        <w:tcBorders>
          <w:bottom w:val="single" w:color="95B3D7" w:themeColor="accent1" w:themeTint="99" w:sz="4" w:space="0"/>
        </w:tcBorders>
      </w:tcPr>
    </w:tblStylePr>
    <w:tblStylePr w:type="nwCell">
      <w:tcPr>
        <w:tcBorders>
          <w:bottom w:val="single" w:color="95B3D7" w:themeColor="accent1" w:themeTint="99" w:sz="4" w:space="0"/>
        </w:tcBorders>
      </w:tcPr>
    </w:tblStylePr>
    <w:tblStylePr w:type="seCell">
      <w:tcPr>
        <w:tcBorders>
          <w:top w:val="single" w:color="95B3D7" w:themeColor="accent1" w:themeTint="99" w:sz="4" w:space="0"/>
        </w:tcBorders>
      </w:tcPr>
    </w:tblStylePr>
    <w:tblStylePr w:type="swCell">
      <w:tcPr>
        <w:tcBorders>
          <w:top w:val="single" w:color="95B3D7" w:themeColor="accent1" w:themeTint="99" w:sz="4" w:space="0"/>
        </w:tcBorders>
      </w:tcPr>
    </w:tblStylePr>
  </w:style>
  <w:style w:type="table" w:customStyle="1" w:styleId="706">
    <w:name w:val="网格表 3 - 着色 21"/>
    <w:basedOn w:val="89"/>
    <w:qFormat/>
    <w:uiPriority w:val="48"/>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2DBDB" w:themeFill="accent2" w:themeFillTint="33"/>
      </w:tcPr>
    </w:tblStylePr>
    <w:tblStylePr w:type="band1Horz">
      <w:tcPr>
        <w:shd w:val="clear" w:color="auto" w:fill="F2DBDB" w:themeFill="accent2" w:themeFillTint="33"/>
      </w:tcPr>
    </w:tblStylePr>
    <w:tblStylePr w:type="neCell">
      <w:tcPr>
        <w:tcBorders>
          <w:bottom w:val="single" w:color="D99594" w:themeColor="accent2" w:themeTint="99" w:sz="4" w:space="0"/>
        </w:tcBorders>
      </w:tcPr>
    </w:tblStylePr>
    <w:tblStylePr w:type="nwCell">
      <w:tcPr>
        <w:tcBorders>
          <w:bottom w:val="single" w:color="D99594" w:themeColor="accent2" w:themeTint="99" w:sz="4" w:space="0"/>
        </w:tcBorders>
      </w:tcPr>
    </w:tblStylePr>
    <w:tblStylePr w:type="seCell">
      <w:tcPr>
        <w:tcBorders>
          <w:top w:val="single" w:color="D99594" w:themeColor="accent2" w:themeTint="99" w:sz="4" w:space="0"/>
        </w:tcBorders>
      </w:tcPr>
    </w:tblStylePr>
    <w:tblStylePr w:type="swCell">
      <w:tcPr>
        <w:tcBorders>
          <w:top w:val="single" w:color="D99594" w:themeColor="accent2" w:themeTint="99" w:sz="4" w:space="0"/>
        </w:tcBorders>
      </w:tcPr>
    </w:tblStylePr>
  </w:style>
  <w:style w:type="table" w:customStyle="1" w:styleId="707">
    <w:name w:val="网格表 3 - 着色 31"/>
    <w:basedOn w:val="89"/>
    <w:qFormat/>
    <w:uiPriority w:val="48"/>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AF1DD" w:themeFill="accent3" w:themeFillTint="33"/>
      </w:tcPr>
    </w:tblStylePr>
    <w:tblStylePr w:type="band1Horz">
      <w:tcPr>
        <w:shd w:val="clear" w:color="auto" w:fill="EAF1DD" w:themeFill="accent3" w:themeFillTint="33"/>
      </w:tcPr>
    </w:tblStylePr>
    <w:tblStylePr w:type="neCell">
      <w:tcPr>
        <w:tcBorders>
          <w:bottom w:val="single" w:color="C2D69B" w:themeColor="accent3" w:themeTint="99" w:sz="4" w:space="0"/>
        </w:tcBorders>
      </w:tcPr>
    </w:tblStylePr>
    <w:tblStylePr w:type="nwCell">
      <w:tcPr>
        <w:tcBorders>
          <w:bottom w:val="single" w:color="C2D69B" w:themeColor="accent3" w:themeTint="99" w:sz="4" w:space="0"/>
        </w:tcBorders>
      </w:tcPr>
    </w:tblStylePr>
    <w:tblStylePr w:type="seCell">
      <w:tcPr>
        <w:tcBorders>
          <w:top w:val="single" w:color="C2D69B" w:themeColor="accent3" w:themeTint="99" w:sz="4" w:space="0"/>
        </w:tcBorders>
      </w:tcPr>
    </w:tblStylePr>
    <w:tblStylePr w:type="swCell">
      <w:tcPr>
        <w:tcBorders>
          <w:top w:val="single" w:color="C2D69B" w:themeColor="accent3" w:themeTint="99" w:sz="4" w:space="0"/>
        </w:tcBorders>
      </w:tcPr>
    </w:tblStylePr>
  </w:style>
  <w:style w:type="table" w:customStyle="1" w:styleId="708">
    <w:name w:val="网格表 3 - 着色 41"/>
    <w:basedOn w:val="89"/>
    <w:qFormat/>
    <w:uiPriority w:val="48"/>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DFEC" w:themeFill="accent4" w:themeFillTint="33"/>
      </w:tcPr>
    </w:tblStylePr>
    <w:tblStylePr w:type="band1Horz">
      <w:tcPr>
        <w:shd w:val="clear" w:color="auto" w:fill="E5DFEC" w:themeFill="accent4" w:themeFillTint="33"/>
      </w:tcPr>
    </w:tblStylePr>
    <w:tblStylePr w:type="neCell">
      <w:tcPr>
        <w:tcBorders>
          <w:bottom w:val="single" w:color="B2A1C7" w:themeColor="accent4" w:themeTint="99" w:sz="4" w:space="0"/>
        </w:tcBorders>
      </w:tcPr>
    </w:tblStylePr>
    <w:tblStylePr w:type="nwCell">
      <w:tcPr>
        <w:tcBorders>
          <w:bottom w:val="single" w:color="B2A1C7" w:themeColor="accent4" w:themeTint="99" w:sz="4" w:space="0"/>
        </w:tcBorders>
      </w:tcPr>
    </w:tblStylePr>
    <w:tblStylePr w:type="seCell">
      <w:tcPr>
        <w:tcBorders>
          <w:top w:val="single" w:color="B2A1C7" w:themeColor="accent4" w:themeTint="99" w:sz="4" w:space="0"/>
        </w:tcBorders>
      </w:tcPr>
    </w:tblStylePr>
    <w:tblStylePr w:type="swCell">
      <w:tcPr>
        <w:tcBorders>
          <w:top w:val="single" w:color="B2A1C7" w:themeColor="accent4" w:themeTint="99" w:sz="4" w:space="0"/>
        </w:tcBorders>
      </w:tcPr>
    </w:tblStylePr>
  </w:style>
  <w:style w:type="table" w:customStyle="1" w:styleId="709">
    <w:name w:val="网格表 3 - 着色 51"/>
    <w:basedOn w:val="89"/>
    <w:qFormat/>
    <w:uiPriority w:val="48"/>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bottom w:val="single" w:color="92CDDC" w:themeColor="accent5" w:themeTint="99" w:sz="4" w:space="0"/>
        </w:tcBorders>
      </w:tcPr>
    </w:tblStylePr>
    <w:tblStylePr w:type="nwCell">
      <w:tcPr>
        <w:tcBorders>
          <w:bottom w:val="single" w:color="92CDDC" w:themeColor="accent5" w:themeTint="99" w:sz="4" w:space="0"/>
        </w:tcBorders>
      </w:tcPr>
    </w:tblStylePr>
    <w:tblStylePr w:type="seCell">
      <w:tcPr>
        <w:tcBorders>
          <w:top w:val="single" w:color="92CDDC" w:themeColor="accent5" w:themeTint="99" w:sz="4" w:space="0"/>
        </w:tcBorders>
      </w:tcPr>
    </w:tblStylePr>
    <w:tblStylePr w:type="swCell">
      <w:tcPr>
        <w:tcBorders>
          <w:top w:val="single" w:color="92CDDC" w:themeColor="accent5" w:themeTint="99" w:sz="4" w:space="0"/>
        </w:tcBorders>
      </w:tcPr>
    </w:tblStylePr>
  </w:style>
  <w:style w:type="table" w:customStyle="1" w:styleId="710">
    <w:name w:val="网格表 3 - 着色 61"/>
    <w:basedOn w:val="89"/>
    <w:qFormat/>
    <w:uiPriority w:val="48"/>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table" w:customStyle="1" w:styleId="711">
    <w:name w:val="网格表 41"/>
    <w:basedOn w:val="89"/>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712">
    <w:name w:val="网格表 4 - 着色 11"/>
    <w:basedOn w:val="8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13">
    <w:name w:val="网格表 4 - 着色 21"/>
    <w:basedOn w:val="89"/>
    <w:qFormat/>
    <w:uiPriority w:val="49"/>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color w:val="FFFFFF" w:themeColor="background1"/>
        <w14:textFill>
          <w14:solidFill>
            <w14:schemeClr w14:val="bg1"/>
          </w14:solidFill>
        </w14:textFill>
      </w:r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insideV w:val="nil"/>
        </w:tcBorders>
        <w:shd w:val="clear" w:color="auto" w:fill="C0504D" w:themeFill="accent2"/>
      </w:tcPr>
    </w:tblStylePr>
    <w:tblStylePr w:type="lastRow">
      <w:rPr>
        <w:b/>
        <w:bCs/>
      </w:rPr>
      <w:tcPr>
        <w:tcBorders>
          <w:top w:val="double" w:color="C0504D" w:themeColor="accent2"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714">
    <w:name w:val="网格表 4 - 着色 31"/>
    <w:basedOn w:val="89"/>
    <w:qFormat/>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715">
    <w:name w:val="网格表 4 - 着色 41"/>
    <w:basedOn w:val="89"/>
    <w:qFormat/>
    <w:uiPriority w:val="49"/>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14:textFill>
          <w14:solidFill>
            <w14:schemeClr w14:val="bg1"/>
          </w14:solidFill>
        </w14:textFill>
      </w:r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716">
    <w:name w:val="网格表 4 - 着色 51"/>
    <w:basedOn w:val="89"/>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717">
    <w:name w:val="网格表 4 - 着色 61"/>
    <w:basedOn w:val="89"/>
    <w:qFormat/>
    <w:uiPriority w:val="49"/>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718">
    <w:name w:val="网格表 5 深色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719">
    <w:name w:val="网格表 5 深色 - 着色 1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720">
    <w:name w:val="网格表 5 深色 - 着色 2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2DBD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C0504D"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C0504D"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C0504D"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C0504D" w:themeFill="accent2"/>
      </w:tcPr>
    </w:tblStylePr>
    <w:tblStylePr w:type="band1Vert">
      <w:tcPr>
        <w:shd w:val="clear" w:color="auto" w:fill="E5B8B7" w:themeFill="accent2" w:themeFillTint="66"/>
      </w:tcPr>
    </w:tblStylePr>
    <w:tblStylePr w:type="band1Horz">
      <w:tcPr>
        <w:shd w:val="clear" w:color="auto" w:fill="E5B8B7" w:themeFill="accent2" w:themeFillTint="66"/>
      </w:tcPr>
    </w:tblStylePr>
  </w:style>
  <w:style w:type="table" w:customStyle="1" w:styleId="721">
    <w:name w:val="网格表 5 深色 - 着色 3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722">
    <w:name w:val="网格表 5 深色 - 着色 4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cPr>
        <w:shd w:val="clear" w:color="auto" w:fill="CCC0D9" w:themeFill="accent4" w:themeFillTint="66"/>
      </w:tcPr>
    </w:tblStylePr>
    <w:tblStylePr w:type="band1Horz">
      <w:tcPr>
        <w:shd w:val="clear" w:color="auto" w:fill="CCC0D9" w:themeFill="accent4" w:themeFillTint="66"/>
      </w:tcPr>
    </w:tblStylePr>
  </w:style>
  <w:style w:type="table" w:customStyle="1" w:styleId="723">
    <w:name w:val="网格表 5 深色 - 着色 5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724">
    <w:name w:val="网格表 5 深色 - 着色 61"/>
    <w:basedOn w:val="8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cPr>
        <w:shd w:val="clear" w:color="auto" w:fill="FBD4B4" w:themeFill="accent6" w:themeFillTint="66"/>
      </w:tcPr>
    </w:tblStylePr>
    <w:tblStylePr w:type="band1Horz">
      <w:tcPr>
        <w:shd w:val="clear" w:color="auto" w:fill="FBD4B4" w:themeFill="accent6" w:themeFillTint="66"/>
      </w:tcPr>
    </w:tblStylePr>
  </w:style>
  <w:style w:type="table" w:customStyle="1" w:styleId="725">
    <w:name w:val="网格表 6 彩色1"/>
    <w:basedOn w:val="89"/>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726">
    <w:name w:val="网格表 6 彩色1 CharProp2"/>
    <w:qFormat/>
    <w:uiPriority w:val="51"/>
    <w:rPr>
      <w:color w:val="000000" w:themeColor="text1"/>
      <w14:textFill>
        <w14:solidFill>
          <w14:schemeClr w14:val="tx1"/>
        </w14:solidFill>
      </w14:textFill>
    </w:rPr>
  </w:style>
  <w:style w:type="character" w:customStyle="1" w:styleId="727">
    <w:name w:val="网格表 6 彩色1 CharProp1"/>
    <w:qFormat/>
    <w:uiPriority w:val="51"/>
    <w:rPr>
      <w:color w:val="000000" w:themeColor="text1"/>
      <w14:textFill>
        <w14:solidFill>
          <w14:schemeClr w14:val="tx1"/>
        </w14:solidFill>
      </w14:textFill>
    </w:rPr>
  </w:style>
  <w:style w:type="character" w:customStyle="1" w:styleId="728">
    <w:name w:val="网格表 6 彩色1 CharProp"/>
    <w:qFormat/>
    <w:uiPriority w:val="51"/>
    <w:rPr>
      <w:color w:val="000000" w:themeColor="text1"/>
      <w14:textFill>
        <w14:solidFill>
          <w14:schemeClr w14:val="tx1"/>
        </w14:solidFill>
      </w14:textFill>
    </w:rPr>
  </w:style>
  <w:style w:type="table" w:customStyle="1" w:styleId="729">
    <w:name w:val="网格表 6 彩色 - 着色 11"/>
    <w:basedOn w:val="89"/>
    <w:qFormat/>
    <w:uiPriority w:val="51"/>
    <w:rPr>
      <w:color w:val="376092" w:themeColor="accent1" w:themeShade="BF"/>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730">
    <w:name w:val="网格表 6 彩色 - 着色 11 CharProp2"/>
    <w:qFormat/>
    <w:uiPriority w:val="51"/>
    <w:rPr>
      <w:color w:val="376092" w:themeColor="accent1" w:themeShade="BF"/>
    </w:rPr>
  </w:style>
  <w:style w:type="character" w:customStyle="1" w:styleId="731">
    <w:name w:val="网格表 6 彩色 - 着色 11 CharProp1"/>
    <w:qFormat/>
    <w:uiPriority w:val="51"/>
    <w:rPr>
      <w:color w:val="376092" w:themeColor="accent1" w:themeShade="BF"/>
    </w:rPr>
  </w:style>
  <w:style w:type="character" w:customStyle="1" w:styleId="732">
    <w:name w:val="网格表 6 彩色 - 着色 11 CharProp"/>
    <w:qFormat/>
    <w:uiPriority w:val="51"/>
    <w:rPr>
      <w:color w:val="376092" w:themeColor="accent1" w:themeShade="BF"/>
    </w:rPr>
  </w:style>
  <w:style w:type="table" w:customStyle="1" w:styleId="733">
    <w:name w:val="网格表 6 彩色 - 着色 21"/>
    <w:basedOn w:val="89"/>
    <w:qFormat/>
    <w:uiPriority w:val="51"/>
    <w:rPr>
      <w:color w:val="953735" w:themeColor="accent2" w:themeShade="BF"/>
    </w:rPr>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cPr>
        <w:tcBorders>
          <w:bottom w:val="single" w:color="D99594" w:themeColor="accent2" w:themeTint="99" w:sz="12" w:space="0"/>
        </w:tcBorders>
      </w:tcPr>
    </w:tblStylePr>
    <w:tblStylePr w:type="lastRow">
      <w:rPr>
        <w:b/>
        <w:bCs/>
      </w:rPr>
      <w:tcPr>
        <w:tcBorders>
          <w:top w:val="double" w:color="D99594" w:themeColor="accent2" w:themeTint="99"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character" w:customStyle="1" w:styleId="734">
    <w:name w:val="网格表 6 彩色 - 着色 21 CharProp2"/>
    <w:qFormat/>
    <w:uiPriority w:val="51"/>
    <w:rPr>
      <w:color w:val="953735" w:themeColor="accent2" w:themeShade="BF"/>
    </w:rPr>
  </w:style>
  <w:style w:type="character" w:customStyle="1" w:styleId="735">
    <w:name w:val="网格表 6 彩色 - 着色 21 CharProp1"/>
    <w:qFormat/>
    <w:uiPriority w:val="51"/>
    <w:rPr>
      <w:color w:val="953735" w:themeColor="accent2" w:themeShade="BF"/>
    </w:rPr>
  </w:style>
  <w:style w:type="character" w:customStyle="1" w:styleId="736">
    <w:name w:val="网格表 6 彩色 - 着色 21 CharProp"/>
    <w:qFormat/>
    <w:uiPriority w:val="51"/>
    <w:rPr>
      <w:color w:val="953735" w:themeColor="accent2" w:themeShade="BF"/>
    </w:rPr>
  </w:style>
  <w:style w:type="table" w:customStyle="1" w:styleId="737">
    <w:name w:val="网格表 6 彩色 - 着色 31"/>
    <w:basedOn w:val="89"/>
    <w:qFormat/>
    <w:uiPriority w:val="51"/>
    <w:rPr>
      <w:color w:val="77933C" w:themeColor="accent3" w:themeShade="BF"/>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bottom w:val="single" w:color="C2D69B" w:themeColor="accent3" w:themeTint="99" w:sz="12" w:space="0"/>
        </w:tcBorders>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738">
    <w:name w:val="网格表 6 彩色 - 着色 31 CharProp2"/>
    <w:qFormat/>
    <w:uiPriority w:val="51"/>
    <w:rPr>
      <w:color w:val="77933C" w:themeColor="accent3" w:themeShade="BF"/>
    </w:rPr>
  </w:style>
  <w:style w:type="character" w:customStyle="1" w:styleId="739">
    <w:name w:val="网格表 6 彩色 - 着色 31 CharProp1"/>
    <w:qFormat/>
    <w:uiPriority w:val="51"/>
    <w:rPr>
      <w:color w:val="77933C" w:themeColor="accent3" w:themeShade="BF"/>
    </w:rPr>
  </w:style>
  <w:style w:type="character" w:customStyle="1" w:styleId="740">
    <w:name w:val="网格表 6 彩色 - 着色 31 CharProp"/>
    <w:qFormat/>
    <w:uiPriority w:val="51"/>
    <w:rPr>
      <w:color w:val="77933C" w:themeColor="accent3" w:themeShade="BF"/>
    </w:rPr>
  </w:style>
  <w:style w:type="table" w:customStyle="1" w:styleId="741">
    <w:name w:val="网格表 6 彩色 - 着色 41"/>
    <w:basedOn w:val="89"/>
    <w:qFormat/>
    <w:uiPriority w:val="51"/>
    <w:rPr>
      <w:color w:val="604A7B" w:themeColor="accent4" w:themeShade="BF"/>
    </w:rPr>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cPr>
        <w:tcBorders>
          <w:bottom w:val="single" w:color="B2A1C7" w:themeColor="accent4" w:themeTint="99" w:sz="12" w:space="0"/>
        </w:tcBorders>
      </w:tcPr>
    </w:tblStylePr>
    <w:tblStylePr w:type="lastRow">
      <w:rPr>
        <w:b/>
        <w:bCs/>
      </w:rPr>
      <w:tcPr>
        <w:tcBorders>
          <w:top w:val="double" w:color="B2A1C7" w:themeColor="accent4" w:themeTint="99"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character" w:customStyle="1" w:styleId="742">
    <w:name w:val="网格表 6 彩色 - 着色 41 CharProp2"/>
    <w:qFormat/>
    <w:uiPriority w:val="51"/>
    <w:rPr>
      <w:color w:val="604A7B" w:themeColor="accent4" w:themeShade="BF"/>
    </w:rPr>
  </w:style>
  <w:style w:type="character" w:customStyle="1" w:styleId="743">
    <w:name w:val="网格表 6 彩色 - 着色 41 CharProp1"/>
    <w:qFormat/>
    <w:uiPriority w:val="51"/>
    <w:rPr>
      <w:color w:val="604A7B" w:themeColor="accent4" w:themeShade="BF"/>
    </w:rPr>
  </w:style>
  <w:style w:type="character" w:customStyle="1" w:styleId="744">
    <w:name w:val="网格表 6 彩色 - 着色 41 CharProp"/>
    <w:qFormat/>
    <w:uiPriority w:val="51"/>
    <w:rPr>
      <w:color w:val="604A7B" w:themeColor="accent4" w:themeShade="BF"/>
    </w:rPr>
  </w:style>
  <w:style w:type="table" w:customStyle="1" w:styleId="745">
    <w:name w:val="网格表 6 彩色 - 着色 51"/>
    <w:basedOn w:val="89"/>
    <w:qFormat/>
    <w:uiPriority w:val="51"/>
    <w:rPr>
      <w:color w:val="31859C" w:themeColor="accent5" w:themeShade="BF"/>
    </w:rPr>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character" w:customStyle="1" w:styleId="746">
    <w:name w:val="网格表 6 彩色 - 着色 51 CharProp2"/>
    <w:qFormat/>
    <w:uiPriority w:val="51"/>
    <w:rPr>
      <w:color w:val="31859C" w:themeColor="accent5" w:themeShade="BF"/>
    </w:rPr>
  </w:style>
  <w:style w:type="character" w:customStyle="1" w:styleId="747">
    <w:name w:val="网格表 6 彩色 - 着色 51 CharProp1"/>
    <w:qFormat/>
    <w:uiPriority w:val="51"/>
    <w:rPr>
      <w:color w:val="31859C" w:themeColor="accent5" w:themeShade="BF"/>
    </w:rPr>
  </w:style>
  <w:style w:type="character" w:customStyle="1" w:styleId="748">
    <w:name w:val="网格表 6 彩色 - 着色 51 CharProp"/>
    <w:qFormat/>
    <w:uiPriority w:val="51"/>
    <w:rPr>
      <w:color w:val="31859C" w:themeColor="accent5" w:themeShade="BF"/>
    </w:rPr>
  </w:style>
  <w:style w:type="table" w:customStyle="1" w:styleId="749">
    <w:name w:val="网格表 6 彩色 - 着色 61"/>
    <w:basedOn w:val="89"/>
    <w:qFormat/>
    <w:uiPriority w:val="51"/>
    <w:rPr>
      <w:color w:val="E46C0A" w:themeColor="accent6" w:themeShade="BF"/>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character" w:customStyle="1" w:styleId="750">
    <w:name w:val="网格表 6 彩色 - 着色 61 CharProp2"/>
    <w:qFormat/>
    <w:uiPriority w:val="51"/>
    <w:rPr>
      <w:color w:val="E46C0A" w:themeColor="accent6" w:themeShade="BF"/>
    </w:rPr>
  </w:style>
  <w:style w:type="character" w:customStyle="1" w:styleId="751">
    <w:name w:val="网格表 6 彩色 - 着色 61 CharProp1"/>
    <w:qFormat/>
    <w:uiPriority w:val="51"/>
    <w:rPr>
      <w:color w:val="E46C0A" w:themeColor="accent6" w:themeShade="BF"/>
    </w:rPr>
  </w:style>
  <w:style w:type="character" w:customStyle="1" w:styleId="752">
    <w:name w:val="网格表 6 彩色 - 着色 61 CharProp"/>
    <w:qFormat/>
    <w:uiPriority w:val="51"/>
    <w:rPr>
      <w:color w:val="E46C0A" w:themeColor="accent6" w:themeShade="BF"/>
    </w:rPr>
  </w:style>
  <w:style w:type="table" w:customStyle="1" w:styleId="753">
    <w:name w:val="网格表 7 彩色1"/>
    <w:basedOn w:val="89"/>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character" w:customStyle="1" w:styleId="754">
    <w:name w:val="网格表 7 彩色1 CharProp2"/>
    <w:qFormat/>
    <w:uiPriority w:val="52"/>
    <w:rPr>
      <w:color w:val="000000" w:themeColor="text1"/>
      <w14:textFill>
        <w14:solidFill>
          <w14:schemeClr w14:val="tx1"/>
        </w14:solidFill>
      </w14:textFill>
    </w:rPr>
  </w:style>
  <w:style w:type="character" w:customStyle="1" w:styleId="755">
    <w:name w:val="网格表 7 彩色1 CharProp1"/>
    <w:qFormat/>
    <w:uiPriority w:val="52"/>
    <w:rPr>
      <w:color w:val="000000" w:themeColor="text1"/>
      <w14:textFill>
        <w14:solidFill>
          <w14:schemeClr w14:val="tx1"/>
        </w14:solidFill>
      </w14:textFill>
    </w:rPr>
  </w:style>
  <w:style w:type="character" w:customStyle="1" w:styleId="756">
    <w:name w:val="网格表 7 彩色1 CharProp"/>
    <w:qFormat/>
    <w:uiPriority w:val="52"/>
    <w:rPr>
      <w:color w:val="000000" w:themeColor="text1"/>
      <w14:textFill>
        <w14:solidFill>
          <w14:schemeClr w14:val="tx1"/>
        </w14:solidFill>
      </w14:textFill>
    </w:rPr>
  </w:style>
  <w:style w:type="table" w:customStyle="1" w:styleId="757">
    <w:name w:val="网格表 7 彩色 - 着色 11"/>
    <w:basedOn w:val="89"/>
    <w:qFormat/>
    <w:uiPriority w:val="52"/>
    <w:rPr>
      <w:color w:val="376092" w:themeColor="accent1" w:themeShade="BF"/>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BE5F1" w:themeFill="accent1" w:themeFillTint="33"/>
      </w:tcPr>
    </w:tblStylePr>
    <w:tblStylePr w:type="band1Horz">
      <w:tcPr>
        <w:shd w:val="clear" w:color="auto" w:fill="DBE5F1" w:themeFill="accent1" w:themeFillTint="33"/>
      </w:tcPr>
    </w:tblStylePr>
    <w:tblStylePr w:type="neCell">
      <w:tcPr>
        <w:tcBorders>
          <w:bottom w:val="single" w:color="95B3D7" w:themeColor="accent1" w:themeTint="99" w:sz="4" w:space="0"/>
        </w:tcBorders>
      </w:tcPr>
    </w:tblStylePr>
    <w:tblStylePr w:type="nwCell">
      <w:tcPr>
        <w:tcBorders>
          <w:bottom w:val="single" w:color="95B3D7" w:themeColor="accent1" w:themeTint="99" w:sz="4" w:space="0"/>
        </w:tcBorders>
      </w:tcPr>
    </w:tblStylePr>
    <w:tblStylePr w:type="seCell">
      <w:tcPr>
        <w:tcBorders>
          <w:top w:val="single" w:color="95B3D7" w:themeColor="accent1" w:themeTint="99" w:sz="4" w:space="0"/>
        </w:tcBorders>
      </w:tcPr>
    </w:tblStylePr>
    <w:tblStylePr w:type="swCell">
      <w:tcPr>
        <w:tcBorders>
          <w:top w:val="single" w:color="95B3D7" w:themeColor="accent1" w:themeTint="99" w:sz="4" w:space="0"/>
        </w:tcBorders>
      </w:tcPr>
    </w:tblStylePr>
  </w:style>
  <w:style w:type="character" w:customStyle="1" w:styleId="758">
    <w:name w:val="网格表 7 彩色 - 着色 11 CharProp2"/>
    <w:qFormat/>
    <w:uiPriority w:val="52"/>
    <w:rPr>
      <w:color w:val="376092" w:themeColor="accent1" w:themeShade="BF"/>
    </w:rPr>
  </w:style>
  <w:style w:type="character" w:customStyle="1" w:styleId="759">
    <w:name w:val="网格表 7 彩色 - 着色 11 CharProp1"/>
    <w:qFormat/>
    <w:uiPriority w:val="52"/>
    <w:rPr>
      <w:color w:val="376092" w:themeColor="accent1" w:themeShade="BF"/>
    </w:rPr>
  </w:style>
  <w:style w:type="character" w:customStyle="1" w:styleId="760">
    <w:name w:val="网格表 7 彩色 - 着色 11 CharProp"/>
    <w:qFormat/>
    <w:uiPriority w:val="52"/>
    <w:rPr>
      <w:color w:val="376092" w:themeColor="accent1" w:themeShade="BF"/>
    </w:rPr>
  </w:style>
  <w:style w:type="table" w:customStyle="1" w:styleId="761">
    <w:name w:val="网格表 7 彩色 - 着色 21"/>
    <w:basedOn w:val="89"/>
    <w:qFormat/>
    <w:uiPriority w:val="52"/>
    <w:rPr>
      <w:color w:val="953735" w:themeColor="accent2" w:themeShade="BF"/>
    </w:rPr>
    <w:tblPr>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2DBDB" w:themeFill="accent2" w:themeFillTint="33"/>
      </w:tcPr>
    </w:tblStylePr>
    <w:tblStylePr w:type="band1Horz">
      <w:tcPr>
        <w:shd w:val="clear" w:color="auto" w:fill="F2DBDB" w:themeFill="accent2" w:themeFillTint="33"/>
      </w:tcPr>
    </w:tblStylePr>
    <w:tblStylePr w:type="neCell">
      <w:tcPr>
        <w:tcBorders>
          <w:bottom w:val="single" w:color="D99594" w:themeColor="accent2" w:themeTint="99" w:sz="4" w:space="0"/>
        </w:tcBorders>
      </w:tcPr>
    </w:tblStylePr>
    <w:tblStylePr w:type="nwCell">
      <w:tcPr>
        <w:tcBorders>
          <w:bottom w:val="single" w:color="D99594" w:themeColor="accent2" w:themeTint="99" w:sz="4" w:space="0"/>
        </w:tcBorders>
      </w:tcPr>
    </w:tblStylePr>
    <w:tblStylePr w:type="seCell">
      <w:tcPr>
        <w:tcBorders>
          <w:top w:val="single" w:color="D99594" w:themeColor="accent2" w:themeTint="99" w:sz="4" w:space="0"/>
        </w:tcBorders>
      </w:tcPr>
    </w:tblStylePr>
    <w:tblStylePr w:type="swCell">
      <w:tcPr>
        <w:tcBorders>
          <w:top w:val="single" w:color="D99594" w:themeColor="accent2" w:themeTint="99" w:sz="4" w:space="0"/>
        </w:tcBorders>
      </w:tcPr>
    </w:tblStylePr>
  </w:style>
  <w:style w:type="character" w:customStyle="1" w:styleId="762">
    <w:name w:val="网格表 7 彩色 - 着色 21 CharProp2"/>
    <w:qFormat/>
    <w:uiPriority w:val="52"/>
    <w:rPr>
      <w:color w:val="953735" w:themeColor="accent2" w:themeShade="BF"/>
    </w:rPr>
  </w:style>
  <w:style w:type="character" w:customStyle="1" w:styleId="763">
    <w:name w:val="网格表 7 彩色 - 着色 21 CharProp1"/>
    <w:qFormat/>
    <w:uiPriority w:val="52"/>
    <w:rPr>
      <w:color w:val="953735" w:themeColor="accent2" w:themeShade="BF"/>
    </w:rPr>
  </w:style>
  <w:style w:type="character" w:customStyle="1" w:styleId="764">
    <w:name w:val="网格表 7 彩色 - 着色 21 CharProp"/>
    <w:qFormat/>
    <w:uiPriority w:val="52"/>
    <w:rPr>
      <w:color w:val="953735" w:themeColor="accent2" w:themeShade="BF"/>
    </w:rPr>
  </w:style>
  <w:style w:type="table" w:customStyle="1" w:styleId="765">
    <w:name w:val="网格表 7 彩色 - 着色 31"/>
    <w:basedOn w:val="89"/>
    <w:qFormat/>
    <w:uiPriority w:val="52"/>
    <w:rPr>
      <w:color w:val="77933C" w:themeColor="accent3" w:themeShade="BF"/>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AF1DD" w:themeFill="accent3" w:themeFillTint="33"/>
      </w:tcPr>
    </w:tblStylePr>
    <w:tblStylePr w:type="band1Horz">
      <w:tcPr>
        <w:shd w:val="clear" w:color="auto" w:fill="EAF1DD" w:themeFill="accent3" w:themeFillTint="33"/>
      </w:tcPr>
    </w:tblStylePr>
    <w:tblStylePr w:type="neCell">
      <w:tcPr>
        <w:tcBorders>
          <w:bottom w:val="single" w:color="C2D69B" w:themeColor="accent3" w:themeTint="99" w:sz="4" w:space="0"/>
        </w:tcBorders>
      </w:tcPr>
    </w:tblStylePr>
    <w:tblStylePr w:type="nwCell">
      <w:tcPr>
        <w:tcBorders>
          <w:bottom w:val="single" w:color="C2D69B" w:themeColor="accent3" w:themeTint="99" w:sz="4" w:space="0"/>
        </w:tcBorders>
      </w:tcPr>
    </w:tblStylePr>
    <w:tblStylePr w:type="seCell">
      <w:tcPr>
        <w:tcBorders>
          <w:top w:val="single" w:color="C2D69B" w:themeColor="accent3" w:themeTint="99" w:sz="4" w:space="0"/>
        </w:tcBorders>
      </w:tcPr>
    </w:tblStylePr>
    <w:tblStylePr w:type="swCell">
      <w:tcPr>
        <w:tcBorders>
          <w:top w:val="single" w:color="C2D69B" w:themeColor="accent3" w:themeTint="99" w:sz="4" w:space="0"/>
        </w:tcBorders>
      </w:tcPr>
    </w:tblStylePr>
  </w:style>
  <w:style w:type="character" w:customStyle="1" w:styleId="766">
    <w:name w:val="网格表 7 彩色 - 着色 31 CharProp2"/>
    <w:qFormat/>
    <w:uiPriority w:val="52"/>
    <w:rPr>
      <w:color w:val="77933C" w:themeColor="accent3" w:themeShade="BF"/>
    </w:rPr>
  </w:style>
  <w:style w:type="character" w:customStyle="1" w:styleId="767">
    <w:name w:val="网格表 7 彩色 - 着色 31 CharProp1"/>
    <w:qFormat/>
    <w:uiPriority w:val="52"/>
    <w:rPr>
      <w:color w:val="77933C" w:themeColor="accent3" w:themeShade="BF"/>
    </w:rPr>
  </w:style>
  <w:style w:type="character" w:customStyle="1" w:styleId="768">
    <w:name w:val="网格表 7 彩色 - 着色 31 CharProp"/>
    <w:qFormat/>
    <w:uiPriority w:val="52"/>
    <w:rPr>
      <w:color w:val="77933C" w:themeColor="accent3" w:themeShade="BF"/>
    </w:rPr>
  </w:style>
  <w:style w:type="table" w:customStyle="1" w:styleId="769">
    <w:name w:val="网格表 7 彩色 - 着色 41"/>
    <w:basedOn w:val="89"/>
    <w:qFormat/>
    <w:uiPriority w:val="52"/>
    <w:rPr>
      <w:color w:val="604A7B" w:themeColor="accent4" w:themeShade="BF"/>
    </w:rPr>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DFEC" w:themeFill="accent4" w:themeFillTint="33"/>
      </w:tcPr>
    </w:tblStylePr>
    <w:tblStylePr w:type="band1Horz">
      <w:tcPr>
        <w:shd w:val="clear" w:color="auto" w:fill="E5DFEC" w:themeFill="accent4" w:themeFillTint="33"/>
      </w:tcPr>
    </w:tblStylePr>
    <w:tblStylePr w:type="neCell">
      <w:tcPr>
        <w:tcBorders>
          <w:bottom w:val="single" w:color="B2A1C7" w:themeColor="accent4" w:themeTint="99" w:sz="4" w:space="0"/>
        </w:tcBorders>
      </w:tcPr>
    </w:tblStylePr>
    <w:tblStylePr w:type="nwCell">
      <w:tcPr>
        <w:tcBorders>
          <w:bottom w:val="single" w:color="B2A1C7" w:themeColor="accent4" w:themeTint="99" w:sz="4" w:space="0"/>
        </w:tcBorders>
      </w:tcPr>
    </w:tblStylePr>
    <w:tblStylePr w:type="seCell">
      <w:tcPr>
        <w:tcBorders>
          <w:top w:val="single" w:color="B2A1C7" w:themeColor="accent4" w:themeTint="99" w:sz="4" w:space="0"/>
        </w:tcBorders>
      </w:tcPr>
    </w:tblStylePr>
    <w:tblStylePr w:type="swCell">
      <w:tcPr>
        <w:tcBorders>
          <w:top w:val="single" w:color="B2A1C7" w:themeColor="accent4" w:themeTint="99" w:sz="4" w:space="0"/>
        </w:tcBorders>
      </w:tcPr>
    </w:tblStylePr>
  </w:style>
  <w:style w:type="character" w:customStyle="1" w:styleId="770">
    <w:name w:val="网格表 7 彩色 - 着色 41 CharProp2"/>
    <w:qFormat/>
    <w:uiPriority w:val="52"/>
    <w:rPr>
      <w:color w:val="604A7B" w:themeColor="accent4" w:themeShade="BF"/>
    </w:rPr>
  </w:style>
  <w:style w:type="character" w:customStyle="1" w:styleId="771">
    <w:name w:val="网格表 7 彩色 - 着色 41 CharProp1"/>
    <w:qFormat/>
    <w:uiPriority w:val="52"/>
    <w:rPr>
      <w:color w:val="604A7B" w:themeColor="accent4" w:themeShade="BF"/>
    </w:rPr>
  </w:style>
  <w:style w:type="character" w:customStyle="1" w:styleId="772">
    <w:name w:val="网格表 7 彩色 - 着色 41 CharProp"/>
    <w:qFormat/>
    <w:uiPriority w:val="52"/>
    <w:rPr>
      <w:color w:val="604A7B" w:themeColor="accent4" w:themeShade="BF"/>
    </w:rPr>
  </w:style>
  <w:style w:type="table" w:customStyle="1" w:styleId="773">
    <w:name w:val="网格表 7 彩色 - 着色 51"/>
    <w:basedOn w:val="89"/>
    <w:qFormat/>
    <w:uiPriority w:val="52"/>
    <w:rPr>
      <w:color w:val="31859C" w:themeColor="accent5" w:themeShade="BF"/>
    </w:rPr>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bottom w:val="single" w:color="92CDDC" w:themeColor="accent5" w:themeTint="99" w:sz="4" w:space="0"/>
        </w:tcBorders>
      </w:tcPr>
    </w:tblStylePr>
    <w:tblStylePr w:type="nwCell">
      <w:tcPr>
        <w:tcBorders>
          <w:bottom w:val="single" w:color="92CDDC" w:themeColor="accent5" w:themeTint="99" w:sz="4" w:space="0"/>
        </w:tcBorders>
      </w:tcPr>
    </w:tblStylePr>
    <w:tblStylePr w:type="seCell">
      <w:tcPr>
        <w:tcBorders>
          <w:top w:val="single" w:color="92CDDC" w:themeColor="accent5" w:themeTint="99" w:sz="4" w:space="0"/>
        </w:tcBorders>
      </w:tcPr>
    </w:tblStylePr>
    <w:tblStylePr w:type="swCell">
      <w:tcPr>
        <w:tcBorders>
          <w:top w:val="single" w:color="92CDDC" w:themeColor="accent5" w:themeTint="99" w:sz="4" w:space="0"/>
        </w:tcBorders>
      </w:tcPr>
    </w:tblStylePr>
  </w:style>
  <w:style w:type="character" w:customStyle="1" w:styleId="774">
    <w:name w:val="网格表 7 彩色 - 着色 51 CharProp2"/>
    <w:qFormat/>
    <w:uiPriority w:val="52"/>
    <w:rPr>
      <w:color w:val="31859C" w:themeColor="accent5" w:themeShade="BF"/>
    </w:rPr>
  </w:style>
  <w:style w:type="character" w:customStyle="1" w:styleId="775">
    <w:name w:val="网格表 7 彩色 - 着色 51 CharProp1"/>
    <w:qFormat/>
    <w:uiPriority w:val="52"/>
    <w:rPr>
      <w:color w:val="31859C" w:themeColor="accent5" w:themeShade="BF"/>
    </w:rPr>
  </w:style>
  <w:style w:type="character" w:customStyle="1" w:styleId="776">
    <w:name w:val="网格表 7 彩色 - 着色 51 CharProp"/>
    <w:qFormat/>
    <w:uiPriority w:val="52"/>
    <w:rPr>
      <w:color w:val="31859C" w:themeColor="accent5" w:themeShade="BF"/>
    </w:rPr>
  </w:style>
  <w:style w:type="table" w:customStyle="1" w:styleId="777">
    <w:name w:val="网格表 7 彩色 - 着色 61"/>
    <w:basedOn w:val="89"/>
    <w:qFormat/>
    <w:uiPriority w:val="52"/>
    <w:rPr>
      <w:color w:val="E46C0A" w:themeColor="accent6" w:themeShade="BF"/>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character" w:customStyle="1" w:styleId="778">
    <w:name w:val="网格表 7 彩色 - 着色 61 CharProp2"/>
    <w:qFormat/>
    <w:uiPriority w:val="52"/>
    <w:rPr>
      <w:color w:val="E46C0A" w:themeColor="accent6" w:themeShade="BF"/>
    </w:rPr>
  </w:style>
  <w:style w:type="character" w:customStyle="1" w:styleId="779">
    <w:name w:val="网格表 7 彩色 - 着色 61 CharProp1"/>
    <w:qFormat/>
    <w:uiPriority w:val="52"/>
    <w:rPr>
      <w:color w:val="E46C0A" w:themeColor="accent6" w:themeShade="BF"/>
    </w:rPr>
  </w:style>
  <w:style w:type="character" w:customStyle="1" w:styleId="780">
    <w:name w:val="网格表 7 彩色 - 着色 61 CharProp"/>
    <w:qFormat/>
    <w:uiPriority w:val="52"/>
    <w:rPr>
      <w:color w:val="E46C0A" w:themeColor="accent6" w:themeShade="BF"/>
    </w:rPr>
  </w:style>
  <w:style w:type="table" w:customStyle="1" w:styleId="781">
    <w:name w:val="网格型浅色1"/>
    <w:basedOn w:val="8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782">
    <w:name w:val="尾注文本 字符"/>
    <w:basedOn w:val="319"/>
    <w:link w:val="53"/>
    <w:qFormat/>
    <w:uiPriority w:val="0"/>
    <w:rPr>
      <w:rFonts w:ascii="Arial" w:hAnsi="Arial" w:eastAsia="Arial" w:cs="Arial"/>
      <w:snapToGrid w:val="0"/>
      <w:color w:val="000000"/>
      <w:sz w:val="21"/>
      <w:szCs w:val="21"/>
      <w:lang w:eastAsia="en-US"/>
    </w:rPr>
  </w:style>
  <w:style w:type="character" w:customStyle="1" w:styleId="783">
    <w:name w:val="未处理的提及1"/>
    <w:basedOn w:val="319"/>
    <w:semiHidden/>
    <w:unhideWhenUsed/>
    <w:qFormat/>
    <w:uiPriority w:val="99"/>
    <w:rPr>
      <w:color w:val="605E5C"/>
      <w:shd w:val="clear" w:color="auto" w:fill="E1DFDD"/>
    </w:rPr>
  </w:style>
  <w:style w:type="character" w:customStyle="1" w:styleId="784">
    <w:name w:val="文档结构图 字符"/>
    <w:basedOn w:val="319"/>
    <w:link w:val="26"/>
    <w:qFormat/>
    <w:uiPriority w:val="0"/>
    <w:rPr>
      <w:rFonts w:ascii="Microsoft YaHei UI" w:hAnsi="Arial" w:eastAsia="Microsoft YaHei UI" w:cs="Arial"/>
      <w:snapToGrid w:val="0"/>
      <w:color w:val="000000"/>
      <w:sz w:val="18"/>
      <w:szCs w:val="18"/>
      <w:lang w:eastAsia="en-US"/>
    </w:rPr>
  </w:style>
  <w:style w:type="table" w:customStyle="1" w:styleId="785">
    <w:name w:val="无格式表格 11"/>
    <w:basedOn w:val="89"/>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786">
    <w:name w:val="无格式表格 21"/>
    <w:basedOn w:val="89"/>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787">
    <w:name w:val="无格式表格 31"/>
    <w:basedOn w:val="89"/>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788">
    <w:name w:val="无格式表格 41"/>
    <w:basedOn w:val="8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789">
    <w:name w:val="无格式表格 51"/>
    <w:basedOn w:val="89"/>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790">
    <w:name w:val="No Spacing"/>
    <w:semiHidden/>
    <w:unhideWhenUsed/>
    <w:qFormat/>
    <w:uiPriority w:val="99"/>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customStyle="1" w:styleId="791">
    <w:name w:val="No Spacing CharProp2"/>
    <w:qFormat/>
    <w:uiPriority w:val="99"/>
    <w:rPr>
      <w:rFonts w:ascii="Arial" w:hAnsi="Arial" w:eastAsia="Arial" w:cs="Arial"/>
      <w:snapToGrid w:val="0"/>
      <w:color w:val="000000"/>
      <w:sz w:val="21"/>
      <w:szCs w:val="21"/>
      <w:lang w:val="en-US" w:eastAsia="en-US" w:bidi="ar-SA"/>
    </w:rPr>
  </w:style>
  <w:style w:type="character" w:customStyle="1" w:styleId="792">
    <w:name w:val="No Spacing CharProp1"/>
    <w:qFormat/>
    <w:uiPriority w:val="99"/>
    <w:rPr>
      <w:rFonts w:ascii="Arial" w:hAnsi="Arial" w:eastAsia="Arial" w:cs="Arial"/>
      <w:snapToGrid w:val="0"/>
      <w:color w:val="000000"/>
      <w:sz w:val="21"/>
      <w:szCs w:val="21"/>
      <w:lang w:val="en-US" w:eastAsia="en-US" w:bidi="ar-SA"/>
    </w:rPr>
  </w:style>
  <w:style w:type="character" w:customStyle="1" w:styleId="793">
    <w:name w:val="No Spacing CharProp"/>
    <w:qFormat/>
    <w:uiPriority w:val="99"/>
    <w:rPr>
      <w:rFonts w:ascii="Arial" w:hAnsi="Arial" w:eastAsia="Arial" w:cs="Arial"/>
      <w:snapToGrid w:val="0"/>
      <w:color w:val="000000"/>
      <w:sz w:val="21"/>
      <w:szCs w:val="21"/>
      <w:lang w:val="en-US" w:eastAsia="en-US" w:bidi="ar-SA"/>
    </w:rPr>
  </w:style>
  <w:style w:type="character" w:customStyle="1" w:styleId="794">
    <w:name w:val="信息标题 字符"/>
    <w:basedOn w:val="319"/>
    <w:link w:val="80"/>
    <w:qFormat/>
    <w:uiPriority w:val="0"/>
    <w:rPr>
      <w:rFonts w:asciiTheme="majorHAnsi" w:hAnsiTheme="majorHAnsi" w:eastAsiaTheme="majorEastAsia" w:cstheme="majorBidi"/>
      <w:snapToGrid w:val="0"/>
      <w:color w:val="000000"/>
      <w:sz w:val="24"/>
      <w:szCs w:val="24"/>
      <w:shd w:val="pct20" w:color="auto" w:fill="auto"/>
      <w:lang w:eastAsia="en-US"/>
    </w:rPr>
  </w:style>
  <w:style w:type="paragraph" w:styleId="795">
    <w:name w:val="Quote"/>
    <w:basedOn w:val="1"/>
    <w:next w:val="1"/>
    <w:link w:val="799"/>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796">
    <w:name w:val="Quote CharProp2"/>
    <w:qFormat/>
    <w:uiPriority w:val="99"/>
    <w:rPr>
      <w:i/>
      <w:iCs/>
      <w:color w:val="404040" w:themeColor="text1" w:themeTint="BF"/>
      <w14:textFill>
        <w14:solidFill>
          <w14:schemeClr w14:val="tx1">
            <w14:lumMod w14:val="75000"/>
            <w14:lumOff w14:val="25000"/>
          </w14:schemeClr>
        </w14:solidFill>
      </w14:textFill>
    </w:rPr>
  </w:style>
  <w:style w:type="character" w:customStyle="1" w:styleId="797">
    <w:name w:val="Quote CharProp1"/>
    <w:qFormat/>
    <w:uiPriority w:val="99"/>
    <w:rPr>
      <w:i/>
      <w:iCs/>
      <w:color w:val="404040" w:themeColor="text1" w:themeTint="BF"/>
      <w14:textFill>
        <w14:solidFill>
          <w14:schemeClr w14:val="tx1">
            <w14:lumMod w14:val="75000"/>
            <w14:lumOff w14:val="25000"/>
          </w14:schemeClr>
        </w14:solidFill>
      </w14:textFill>
    </w:rPr>
  </w:style>
  <w:style w:type="character" w:customStyle="1" w:styleId="798">
    <w:name w:val="Quote CharProp"/>
    <w:qFormat/>
    <w:uiPriority w:val="99"/>
    <w:rPr>
      <w:i/>
      <w:iCs/>
      <w:color w:val="404040" w:themeColor="text1" w:themeTint="BF"/>
      <w14:textFill>
        <w14:solidFill>
          <w14:schemeClr w14:val="tx1">
            <w14:lumMod w14:val="75000"/>
            <w14:lumOff w14:val="25000"/>
          </w14:schemeClr>
        </w14:solidFill>
      </w14:textFill>
    </w:rPr>
  </w:style>
  <w:style w:type="character" w:customStyle="1" w:styleId="799">
    <w:name w:val="引用 字符"/>
    <w:basedOn w:val="319"/>
    <w:link w:val="795"/>
    <w:semiHidden/>
    <w:qFormat/>
    <w:uiPriority w:val="99"/>
    <w:rPr>
      <w:rFonts w:ascii="Arial" w:hAnsi="Arial" w:eastAsia="Arial" w:cs="Arial"/>
      <w:i/>
      <w:iCs/>
      <w:snapToGrid w:val="0"/>
      <w:color w:val="404040" w:themeColor="text1" w:themeTint="BF"/>
      <w:sz w:val="21"/>
      <w:szCs w:val="21"/>
      <w:lang w:eastAsia="en-US"/>
      <w14:textFill>
        <w14:solidFill>
          <w14:schemeClr w14:val="tx1">
            <w14:lumMod w14:val="75000"/>
            <w14:lumOff w14:val="25000"/>
          </w14:schemeClr>
        </w14:solidFill>
      </w14:textFill>
    </w:rPr>
  </w:style>
  <w:style w:type="character" w:styleId="800">
    <w:name w:val="Placeholder Text"/>
    <w:basedOn w:val="319"/>
    <w:semiHidden/>
    <w:unhideWhenUsed/>
    <w:qFormat/>
    <w:uiPriority w:val="99"/>
    <w:rPr>
      <w:color w:val="666666"/>
    </w:rPr>
  </w:style>
  <w:style w:type="character" w:customStyle="1" w:styleId="801">
    <w:name w:val="正文文本 2 字符"/>
    <w:basedOn w:val="319"/>
    <w:link w:val="77"/>
    <w:qFormat/>
    <w:uiPriority w:val="0"/>
    <w:rPr>
      <w:rFonts w:ascii="Arial" w:hAnsi="Arial" w:eastAsia="Arial" w:cs="Arial"/>
      <w:snapToGrid w:val="0"/>
      <w:color w:val="000000"/>
      <w:sz w:val="21"/>
      <w:szCs w:val="21"/>
      <w:lang w:eastAsia="en-US"/>
    </w:rPr>
  </w:style>
  <w:style w:type="character" w:customStyle="1" w:styleId="802">
    <w:name w:val="正文文本 3 字符"/>
    <w:basedOn w:val="319"/>
    <w:link w:val="31"/>
    <w:qFormat/>
    <w:uiPriority w:val="0"/>
    <w:rPr>
      <w:rFonts w:ascii="Arial" w:hAnsi="Arial" w:eastAsia="Arial" w:cs="Arial"/>
      <w:snapToGrid w:val="0"/>
      <w:color w:val="000000"/>
      <w:sz w:val="16"/>
      <w:szCs w:val="16"/>
      <w:lang w:eastAsia="en-US"/>
    </w:rPr>
  </w:style>
  <w:style w:type="character" w:customStyle="1" w:styleId="803">
    <w:name w:val="正文文本 字符"/>
    <w:basedOn w:val="319"/>
    <w:link w:val="34"/>
    <w:semiHidden/>
    <w:qFormat/>
    <w:uiPriority w:val="0"/>
    <w:rPr>
      <w:rFonts w:ascii="Arial" w:hAnsi="Arial" w:eastAsia="Arial" w:cs="Arial"/>
      <w:snapToGrid w:val="0"/>
      <w:color w:val="000000"/>
      <w:sz w:val="21"/>
      <w:szCs w:val="21"/>
      <w:lang w:eastAsia="en-US"/>
    </w:rPr>
  </w:style>
  <w:style w:type="character" w:customStyle="1" w:styleId="804">
    <w:name w:val="正文文本首行缩进 字符"/>
    <w:basedOn w:val="803"/>
    <w:link w:val="87"/>
    <w:qFormat/>
    <w:uiPriority w:val="0"/>
    <w:rPr>
      <w:rFonts w:ascii="Arial" w:hAnsi="Arial" w:eastAsia="Arial" w:cs="Arial"/>
      <w:snapToGrid w:val="0"/>
      <w:color w:val="000000"/>
      <w:sz w:val="21"/>
      <w:szCs w:val="21"/>
      <w:lang w:eastAsia="en-US"/>
    </w:rPr>
  </w:style>
  <w:style w:type="character" w:customStyle="1" w:styleId="805">
    <w:name w:val="正文文本缩进 字符"/>
    <w:basedOn w:val="319"/>
    <w:link w:val="35"/>
    <w:qFormat/>
    <w:uiPriority w:val="99"/>
    <w:rPr>
      <w:rFonts w:ascii="Arial" w:hAnsi="Arial" w:eastAsia="Arial" w:cs="Arial"/>
      <w:snapToGrid w:val="0"/>
      <w:color w:val="000000"/>
      <w:sz w:val="21"/>
      <w:szCs w:val="21"/>
      <w:lang w:eastAsia="en-US"/>
    </w:rPr>
  </w:style>
  <w:style w:type="character" w:customStyle="1" w:styleId="806">
    <w:name w:val="正文文本首行缩进 2 字符"/>
    <w:basedOn w:val="805"/>
    <w:link w:val="88"/>
    <w:qFormat/>
    <w:uiPriority w:val="0"/>
    <w:rPr>
      <w:rFonts w:ascii="Arial" w:hAnsi="Arial" w:eastAsia="Arial" w:cs="Arial"/>
      <w:snapToGrid w:val="0"/>
      <w:color w:val="000000"/>
      <w:sz w:val="21"/>
      <w:szCs w:val="21"/>
      <w:lang w:eastAsia="en-US"/>
    </w:rPr>
  </w:style>
  <w:style w:type="character" w:customStyle="1" w:styleId="807">
    <w:name w:val="正文文本缩进 2 字符"/>
    <w:basedOn w:val="319"/>
    <w:link w:val="52"/>
    <w:qFormat/>
    <w:uiPriority w:val="0"/>
    <w:rPr>
      <w:rFonts w:ascii="Arial" w:hAnsi="Arial" w:eastAsia="Arial" w:cs="Arial"/>
      <w:snapToGrid w:val="0"/>
      <w:color w:val="000000"/>
      <w:sz w:val="21"/>
      <w:szCs w:val="21"/>
      <w:lang w:eastAsia="en-US"/>
    </w:rPr>
  </w:style>
  <w:style w:type="character" w:customStyle="1" w:styleId="808">
    <w:name w:val="正文文本缩进 3 字符"/>
    <w:basedOn w:val="319"/>
    <w:link w:val="71"/>
    <w:qFormat/>
    <w:uiPriority w:val="0"/>
    <w:rPr>
      <w:rFonts w:ascii="Arial" w:hAnsi="Arial" w:eastAsia="Arial" w:cs="Arial"/>
      <w:snapToGrid w:val="0"/>
      <w:color w:val="000000"/>
      <w:sz w:val="16"/>
      <w:szCs w:val="16"/>
      <w:lang w:eastAsia="en-US"/>
    </w:rPr>
  </w:style>
  <w:style w:type="character" w:customStyle="1" w:styleId="809">
    <w:name w:val="智能超链接1"/>
    <w:basedOn w:val="319"/>
    <w:semiHidden/>
    <w:unhideWhenUsed/>
    <w:qFormat/>
    <w:uiPriority w:val="99"/>
    <w:rPr>
      <w:u w:val="dotted"/>
    </w:rPr>
  </w:style>
  <w:style w:type="character" w:customStyle="1" w:styleId="810">
    <w:name w:val="智能链接1"/>
    <w:basedOn w:val="319"/>
    <w:semiHidden/>
    <w:unhideWhenUsed/>
    <w:qFormat/>
    <w:uiPriority w:val="99"/>
    <w:rPr>
      <w:color w:val="0000FF"/>
      <w:u w:val="single"/>
      <w:shd w:val="clear" w:color="auto" w:fill="F3F2F1"/>
    </w:rPr>
  </w:style>
  <w:style w:type="character" w:customStyle="1" w:styleId="811">
    <w:name w:val="注释标题 字符"/>
    <w:basedOn w:val="319"/>
    <w:link w:val="16"/>
    <w:qFormat/>
    <w:uiPriority w:val="0"/>
    <w:rPr>
      <w:rFonts w:ascii="Arial" w:hAnsi="Arial" w:eastAsia="Arial" w:cs="Arial"/>
      <w:snapToGrid w:val="0"/>
      <w:color w:val="000000"/>
      <w:sz w:val="21"/>
      <w:szCs w:val="21"/>
      <w:lang w:eastAsia="en-US"/>
    </w:rPr>
  </w:style>
  <w:style w:type="character" w:customStyle="1" w:styleId="812">
    <w:name w:val="font51"/>
    <w:basedOn w:val="319"/>
    <w:qFormat/>
    <w:uiPriority w:val="0"/>
    <w:rPr>
      <w:rFonts w:ascii="Arial" w:hAnsi="Arial" w:cs="Arial"/>
      <w:color w:val="000000"/>
      <w:sz w:val="22"/>
      <w:szCs w:val="22"/>
      <w:u w:val="none"/>
    </w:rPr>
  </w:style>
  <w:style w:type="paragraph" w:customStyle="1" w:styleId="813">
    <w:name w:val="TOC 标题2"/>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snapToGrid/>
      <w:color w:val="376092" w:themeColor="accent1" w:themeShade="BF"/>
      <w:kern w:val="0"/>
      <w:sz w:val="32"/>
      <w:szCs w:val="32"/>
      <w:lang w:eastAsia="zh-CN"/>
    </w:rPr>
  </w:style>
  <w:style w:type="character" w:customStyle="1" w:styleId="814">
    <w:name w:val="TOC Heading CharProp2"/>
    <w:qFormat/>
    <w:uiPriority w:val="39"/>
    <w:rPr>
      <w:rFonts w:asciiTheme="majorHAnsi" w:hAnsiTheme="majorHAnsi" w:eastAsiaTheme="majorEastAsia" w:cstheme="majorBidi"/>
      <w:snapToGrid/>
      <w:color w:val="376092" w:themeColor="accent1" w:themeShade="BF"/>
      <w:kern w:val="0"/>
      <w:sz w:val="32"/>
      <w:szCs w:val="32"/>
      <w:lang w:eastAsia="zh-CN"/>
    </w:rPr>
  </w:style>
  <w:style w:type="character" w:customStyle="1" w:styleId="815">
    <w:name w:val="TOC Heading CharProp1"/>
    <w:qFormat/>
    <w:uiPriority w:val="39"/>
    <w:rPr>
      <w:rFonts w:asciiTheme="majorHAnsi" w:hAnsiTheme="majorHAnsi" w:eastAsiaTheme="majorEastAsia" w:cstheme="majorBidi"/>
      <w:snapToGrid/>
      <w:color w:val="376092" w:themeColor="accent1" w:themeShade="BF"/>
      <w:kern w:val="0"/>
      <w:sz w:val="32"/>
      <w:szCs w:val="32"/>
      <w:lang w:eastAsia="zh-CN"/>
    </w:rPr>
  </w:style>
  <w:style w:type="character" w:customStyle="1" w:styleId="816">
    <w:name w:val="TOC Heading CharProp"/>
    <w:qFormat/>
    <w:uiPriority w:val="39"/>
    <w:rPr>
      <w:rFonts w:asciiTheme="majorHAnsi" w:hAnsiTheme="majorHAnsi" w:eastAsiaTheme="majorEastAsia" w:cstheme="majorBidi"/>
      <w:snapToGrid/>
      <w:color w:val="376092" w:themeColor="accent1" w:themeShade="BF"/>
      <w:kern w:val="0"/>
      <w:sz w:val="32"/>
      <w:szCs w:val="32"/>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jpeg"/><Relationship Id="rId15" Type="http://schemas.openxmlformats.org/officeDocument/2006/relationships/image" Target="media/image5.jpe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F3DFE-1038-4004-92C6-A098A3B04DE3}">
  <ds:schemaRefs/>
</ds:datastoreItem>
</file>

<file path=docProps/app.xml><?xml version="1.0" encoding="utf-8"?>
<Properties xmlns="http://schemas.openxmlformats.org/officeDocument/2006/extended-properties" xmlns:vt="http://schemas.openxmlformats.org/officeDocument/2006/docPropsVTypes">
  <Template>Normal</Template>
  <Pages>51</Pages>
  <Words>5241</Words>
  <Characters>5547</Characters>
  <Lines>252</Lines>
  <Paragraphs>70</Paragraphs>
  <TotalTime>8</TotalTime>
  <ScaleCrop>false</ScaleCrop>
  <LinksUpToDate>false</LinksUpToDate>
  <CharactersWithSpaces>5698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2024-08-11T10:45:00Z</dcterms:created>
  <dc:creator>Administrator</dc:creator>
  <cp:lastModifiedBy>Day丶17</cp:lastModifiedBy>
  <dcterms:modified xsi:type="dcterms:W3CDTF">2026-07-21T10:01:31Z</dcterms:modified>
  <cp:revision>897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2024-07-01T16:22:27Z</vt:filetime>
  </property>
  <property fmtid="{D5CDD505-2E9C-101B-9397-08002B2CF9AE}" pid="4" name="KSOProductBuildVer">
    <vt:lpwstr>2052-12.1.0.26895</vt:lpwstr>
  </property>
  <property fmtid="{D5CDD505-2E9C-101B-9397-08002B2CF9AE}" pid="5" name="ICV">
    <vt:lpwstr>8715D1044DF64CBC945910CBE578CBF7_13</vt:lpwstr>
  </property>
  <property fmtid="{D5CDD505-2E9C-101B-9397-08002B2CF9AE}" pid="6" name="KSOTemplateDocerSaveRecord">
    <vt:lpwstr>eyJoZGlkIjoiZDI1YTc4ZGRlZTE4ZWFlMjI5YmQ4MzczOGY3NmZhOGMiLCJ1c2VySWQiOiI0Njc0NjIyMzcifQ==</vt:lpwstr>
  </property>
</Properties>
</file>