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94A3A8">
      <w:pPr>
        <w:pStyle w:val="29"/>
        <w:keepNext/>
        <w:keepLines/>
        <w:pageBreakBefore w:val="0"/>
        <w:widowControl/>
        <w:kinsoku/>
        <w:wordWrap/>
        <w:overflowPunct/>
        <w:topLinePunct w:val="0"/>
        <w:autoSpaceDE/>
        <w:autoSpaceDN/>
        <w:bidi w:val="0"/>
        <w:adjustRightInd/>
        <w:snapToGrid/>
        <w:spacing w:before="0" w:after="0" w:line="240" w:lineRule="auto"/>
        <w:ind w:left="0" w:leftChars="0" w:firstLine="0" w:firstLineChars="0"/>
        <w:jc w:val="center"/>
        <w:textAlignment w:val="auto"/>
        <w:rPr>
          <w:rFonts w:hint="eastAsia" w:asciiTheme="majorEastAsia" w:hAnsiTheme="majorEastAsia" w:eastAsiaTheme="majorEastAsia" w:cstheme="majorEastAsia"/>
          <w:b/>
          <w:bCs w:val="0"/>
          <w:color w:val="auto"/>
          <w:kern w:val="0"/>
          <w:sz w:val="21"/>
          <w:szCs w:val="21"/>
          <w:lang w:val="en-US" w:eastAsia="zh-CN" w:bidi="ar-SA"/>
        </w:rPr>
      </w:pPr>
    </w:p>
    <w:tbl>
      <w:tblPr>
        <w:tblStyle w:val="18"/>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6C9693C6">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676" w:hRule="atLeast"/>
          <w:jc w:val="center"/>
        </w:trPr>
        <w:tc>
          <w:tcPr>
            <w:tcW w:w="8522" w:type="dxa"/>
            <w:vAlign w:val="center"/>
          </w:tcPr>
          <w:p w14:paraId="44921B8C">
            <w:pPr>
              <w:widowControl w:val="0"/>
              <w:jc w:val="center"/>
            </w:pPr>
            <w:bookmarkStart w:id="0" w:name="_Toc12496"/>
            <w:bookmarkStart w:id="1" w:name="_Toc1254"/>
            <w:r>
              <w:rPr>
                <w:rFonts w:hint="eastAsia"/>
              </w:rPr>
              <w:drawing>
                <wp:inline distT="0" distB="0" distL="114300" distR="114300">
                  <wp:extent cx="1913255" cy="1915795"/>
                  <wp:effectExtent l="0" t="0" r="10795" b="8255"/>
                  <wp:docPr id="49" name="图片 49" descr="dc1f9523b3904ead08136ab3a6640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dc1f9523b3904ead08136ab3a66403a"/>
                          <pic:cNvPicPr>
                            <a:picLocks noChangeAspect="1"/>
                          </pic:cNvPicPr>
                        </pic:nvPicPr>
                        <pic:blipFill>
                          <a:blip r:embed="rId16"/>
                          <a:stretch>
                            <a:fillRect/>
                          </a:stretch>
                        </pic:blipFill>
                        <pic:spPr>
                          <a:xfrm>
                            <a:off x="0" y="0"/>
                            <a:ext cx="1917869" cy="1919948"/>
                          </a:xfrm>
                          <a:prstGeom prst="rect">
                            <a:avLst/>
                          </a:prstGeom>
                        </pic:spPr>
                      </pic:pic>
                    </a:graphicData>
                  </a:graphic>
                </wp:inline>
              </w:drawing>
            </w:r>
          </w:p>
        </w:tc>
      </w:tr>
    </w:tbl>
    <w:p w14:paraId="725DB494"/>
    <w:tbl>
      <w:tblPr>
        <w:tblStyle w:val="18"/>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4630ECB0">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820" w:hRule="atLeast"/>
          <w:jc w:val="center"/>
        </w:trPr>
        <w:tc>
          <w:tcPr>
            <w:tcW w:w="8522" w:type="dxa"/>
            <w:vAlign w:val="center"/>
          </w:tcPr>
          <w:p w14:paraId="023C8267">
            <w:pPr>
              <w:widowControl w:val="0"/>
              <w:jc w:val="center"/>
              <w:rPr>
                <w:color w:val="auto"/>
              </w:rPr>
            </w:pPr>
            <w:r>
              <w:rPr>
                <w:rFonts w:hint="eastAsia" w:ascii="方正小标宋简体" w:hAnsi="仿宋" w:eastAsia="方正小标宋简体"/>
                <w:b/>
                <w:color w:val="auto"/>
                <w:sz w:val="60"/>
                <w:szCs w:val="60"/>
                <w:lang w:eastAsia="zh-CN"/>
              </w:rPr>
              <w:t>石狮市跨境电商品牌</w:t>
            </w:r>
            <w:r>
              <w:rPr>
                <w:rFonts w:hint="eastAsia" w:ascii="方正小标宋简体" w:hAnsi="仿宋" w:eastAsia="方正小标宋简体"/>
                <w:b/>
                <w:color w:val="auto"/>
                <w:sz w:val="60"/>
                <w:szCs w:val="60"/>
                <w:lang w:val="en-US" w:eastAsia="zh-CN"/>
              </w:rPr>
              <w:t>培育</w:t>
            </w:r>
            <w:r>
              <w:rPr>
                <w:rFonts w:hint="eastAsia" w:ascii="方正小标宋简体" w:hAnsi="仿宋" w:eastAsia="方正小标宋简体"/>
                <w:b/>
                <w:color w:val="auto"/>
                <w:sz w:val="60"/>
                <w:szCs w:val="60"/>
                <w:lang w:eastAsia="zh-CN"/>
              </w:rPr>
              <w:t>全流程服务</w:t>
            </w:r>
          </w:p>
        </w:tc>
      </w:tr>
    </w:tbl>
    <w:p w14:paraId="17DD9107">
      <w:pPr>
        <w:rPr>
          <w:color w:val="auto"/>
        </w:rPr>
      </w:pPr>
    </w:p>
    <w:tbl>
      <w:tblPr>
        <w:tblStyle w:val="1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662"/>
      </w:tblGrid>
      <w:tr w14:paraId="37128B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5" w:hRule="atLeast"/>
          <w:jc w:val="center"/>
        </w:trPr>
        <w:tc>
          <w:tcPr>
            <w:tcW w:w="6662" w:type="dxa"/>
            <w:vAlign w:val="center"/>
          </w:tcPr>
          <w:p w14:paraId="163A632C">
            <w:pPr>
              <w:widowControl w:val="0"/>
              <w:jc w:val="distribute"/>
              <w:rPr>
                <w:rFonts w:hint="eastAsia" w:ascii="方正粗黑宋简体" w:hAnsi="方正粗黑宋简体" w:eastAsia="方正粗黑宋简体" w:cs="Arial"/>
                <w:color w:val="auto"/>
                <w:sz w:val="72"/>
                <w:szCs w:val="72"/>
                <w:lang w:val="en-US" w:eastAsia="zh-CN"/>
              </w:rPr>
            </w:pPr>
            <w:r>
              <w:rPr>
                <w:rFonts w:hint="eastAsia" w:ascii="方正粗黑宋简体" w:hAnsi="方正粗黑宋简体" w:eastAsia="方正粗黑宋简体" w:cs="Arial"/>
                <w:color w:val="auto"/>
                <w:sz w:val="72"/>
                <w:szCs w:val="72"/>
                <w:lang w:val="en-US" w:eastAsia="zh-CN"/>
              </w:rPr>
              <w:t>事前</w:t>
            </w:r>
            <w:r>
              <w:rPr>
                <w:rFonts w:hint="eastAsia" w:ascii="方正粗黑宋简体" w:hAnsi="方正粗黑宋简体" w:eastAsia="方正粗黑宋简体" w:cs="Arial"/>
                <w:color w:val="auto"/>
                <w:sz w:val="72"/>
                <w:szCs w:val="72"/>
              </w:rPr>
              <w:t>绩效</w:t>
            </w:r>
            <w:r>
              <w:rPr>
                <w:rFonts w:hint="eastAsia" w:ascii="方正粗黑宋简体" w:hAnsi="方正粗黑宋简体" w:eastAsia="方正粗黑宋简体" w:cs="Arial"/>
                <w:color w:val="auto"/>
                <w:sz w:val="72"/>
                <w:szCs w:val="72"/>
                <w:lang w:val="en-US" w:eastAsia="zh-CN"/>
              </w:rPr>
              <w:t>评估报告</w:t>
            </w:r>
          </w:p>
        </w:tc>
      </w:tr>
    </w:tbl>
    <w:p w14:paraId="6F185670">
      <w:pPr>
        <w:rPr>
          <w:color w:val="auto"/>
        </w:rPr>
      </w:pPr>
    </w:p>
    <w:p w14:paraId="63A83F1E">
      <w:pPr>
        <w:jc w:val="center"/>
        <w:rPr>
          <w:rFonts w:hint="eastAsia" w:ascii="仿宋_GB2312" w:hAnsi="仿宋_GB2312" w:eastAsia="仿宋_GB2312" w:cs="仿宋_GB2312"/>
          <w:b/>
          <w:bCs/>
          <w:color w:val="auto"/>
          <w:sz w:val="28"/>
          <w:szCs w:val="28"/>
          <w:lang w:val="en-US" w:eastAsia="zh-CN"/>
        </w:rPr>
      </w:pPr>
      <w:r>
        <w:rPr>
          <w:rFonts w:hint="eastAsia" w:ascii="仿宋_GB2312" w:hAnsi="仿宋_GB2312" w:eastAsia="仿宋_GB2312" w:cs="仿宋_GB2312"/>
          <w:b/>
          <w:bCs/>
          <w:color w:val="auto"/>
          <w:sz w:val="28"/>
          <w:szCs w:val="28"/>
          <w:lang w:val="en-US" w:eastAsia="zh-CN"/>
        </w:rPr>
        <w:t>（初稿）</w:t>
      </w:r>
    </w:p>
    <w:p w14:paraId="344090B2">
      <w:pPr>
        <w:rPr>
          <w:color w:val="auto"/>
        </w:rPr>
      </w:pPr>
    </w:p>
    <w:tbl>
      <w:tblPr>
        <w:tblStyle w:val="1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896"/>
        <w:gridCol w:w="4415"/>
      </w:tblGrid>
      <w:tr w14:paraId="774447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1896" w:type="dxa"/>
            <w:vAlign w:val="center"/>
          </w:tcPr>
          <w:p w14:paraId="4AB3F89C">
            <w:pPr>
              <w:widowControl w:val="0"/>
              <w:jc w:val="center"/>
              <w:rPr>
                <w:rFonts w:ascii="楷体_GB2312" w:hAnsi="仿宋" w:eastAsia="楷体_GB2312" w:cs="仿宋"/>
                <w:b/>
                <w:color w:val="auto"/>
                <w:kern w:val="0"/>
                <w:sz w:val="32"/>
                <w:szCs w:val="32"/>
                <w:lang w:val="zh-CN" w:bidi="zh-CN"/>
              </w:rPr>
            </w:pPr>
            <w:r>
              <w:rPr>
                <w:rFonts w:ascii="楷体_GB2312" w:hAnsi="仿宋" w:eastAsia="楷体_GB2312" w:cs="仿宋"/>
                <w:b/>
                <w:color w:val="auto"/>
                <w:kern w:val="0"/>
                <w:sz w:val="32"/>
                <w:szCs w:val="32"/>
                <w:lang w:val="zh-CN" w:bidi="zh-CN"/>
              </w:rPr>
              <w:t>委托单位</w:t>
            </w:r>
            <w:r>
              <w:rPr>
                <w:rFonts w:hint="eastAsia" w:ascii="楷体_GB2312" w:hAnsi="仿宋" w:eastAsia="楷体_GB2312" w:cs="仿宋"/>
                <w:b/>
                <w:color w:val="auto"/>
                <w:kern w:val="0"/>
                <w:sz w:val="32"/>
                <w:szCs w:val="32"/>
                <w:lang w:val="zh-CN" w:bidi="zh-CN"/>
              </w:rPr>
              <w:t>：</w:t>
            </w:r>
          </w:p>
        </w:tc>
        <w:tc>
          <w:tcPr>
            <w:tcW w:w="4415" w:type="dxa"/>
            <w:vAlign w:val="center"/>
          </w:tcPr>
          <w:p w14:paraId="05AE0633">
            <w:pPr>
              <w:widowControl w:val="0"/>
              <w:jc w:val="both"/>
              <w:rPr>
                <w:rFonts w:hint="default" w:ascii="楷体_GB2312" w:hAnsi="仿宋" w:eastAsia="楷体_GB2312" w:cs="仿宋"/>
                <w:b/>
                <w:color w:val="auto"/>
                <w:kern w:val="0"/>
                <w:sz w:val="32"/>
                <w:szCs w:val="32"/>
                <w:lang w:val="en-US" w:bidi="zh-CN"/>
              </w:rPr>
            </w:pPr>
            <w:r>
              <w:rPr>
                <w:rFonts w:hint="eastAsia" w:ascii="楷体_GB2312" w:hAnsi="仿宋" w:eastAsia="楷体_GB2312" w:cs="仿宋"/>
                <w:b/>
                <w:color w:val="auto"/>
                <w:kern w:val="0"/>
                <w:sz w:val="32"/>
                <w:szCs w:val="32"/>
                <w:lang w:val="en-US" w:bidi="zh-CN"/>
              </w:rPr>
              <w:t>石狮市财政局</w:t>
            </w:r>
          </w:p>
        </w:tc>
      </w:tr>
      <w:tr w14:paraId="058425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1896" w:type="dxa"/>
            <w:vAlign w:val="center"/>
          </w:tcPr>
          <w:p w14:paraId="060FCCB3">
            <w:pPr>
              <w:widowControl w:val="0"/>
              <w:jc w:val="both"/>
              <w:rPr>
                <w:rFonts w:hint="default" w:ascii="楷体_GB2312" w:hAnsi="仿宋" w:eastAsia="楷体_GB2312" w:cs="仿宋"/>
                <w:b/>
                <w:color w:val="auto"/>
                <w:kern w:val="0"/>
                <w:sz w:val="32"/>
                <w:szCs w:val="32"/>
                <w:lang w:val="en-US" w:bidi="zh-CN"/>
              </w:rPr>
            </w:pPr>
            <w:r>
              <w:rPr>
                <w:rFonts w:hint="eastAsia" w:ascii="楷体_GB2312" w:hAnsi="仿宋" w:eastAsia="楷体_GB2312" w:cs="仿宋"/>
                <w:b/>
                <w:color w:val="auto"/>
                <w:kern w:val="0"/>
                <w:sz w:val="32"/>
                <w:szCs w:val="32"/>
                <w:lang w:val="en-US" w:bidi="zh-CN"/>
              </w:rPr>
              <w:t>实施单位：</w:t>
            </w:r>
          </w:p>
          <w:p w14:paraId="67F15370">
            <w:pPr>
              <w:widowControl w:val="0"/>
              <w:jc w:val="center"/>
              <w:rPr>
                <w:rFonts w:ascii="楷体_GB2312" w:hAnsi="仿宋" w:eastAsia="楷体_GB2312" w:cs="仿宋"/>
                <w:b/>
                <w:color w:val="auto"/>
                <w:kern w:val="0"/>
                <w:sz w:val="32"/>
                <w:szCs w:val="32"/>
                <w:lang w:val="zh-CN" w:bidi="zh-CN"/>
              </w:rPr>
            </w:pPr>
            <w:r>
              <w:rPr>
                <w:rFonts w:ascii="楷体_GB2312" w:hAnsi="仿宋" w:eastAsia="楷体_GB2312" w:cs="仿宋"/>
                <w:b/>
                <w:color w:val="auto"/>
                <w:kern w:val="0"/>
                <w:sz w:val="32"/>
                <w:szCs w:val="32"/>
                <w:lang w:val="zh-CN" w:bidi="zh-CN"/>
              </w:rPr>
              <w:t>编制单位</w:t>
            </w:r>
            <w:r>
              <w:rPr>
                <w:rFonts w:hint="eastAsia" w:ascii="楷体_GB2312" w:hAnsi="仿宋" w:eastAsia="楷体_GB2312" w:cs="仿宋"/>
                <w:b/>
                <w:color w:val="auto"/>
                <w:kern w:val="0"/>
                <w:sz w:val="32"/>
                <w:szCs w:val="32"/>
                <w:lang w:val="zh-CN" w:bidi="zh-CN"/>
              </w:rPr>
              <w:t>：</w:t>
            </w:r>
          </w:p>
        </w:tc>
        <w:tc>
          <w:tcPr>
            <w:tcW w:w="4415" w:type="dxa"/>
            <w:vAlign w:val="center"/>
          </w:tcPr>
          <w:p w14:paraId="2A443653">
            <w:pPr>
              <w:widowControl w:val="0"/>
              <w:jc w:val="both"/>
              <w:rPr>
                <w:rFonts w:hint="default" w:ascii="楷体_GB2312" w:hAnsi="仿宋" w:eastAsia="楷体_GB2312" w:cs="仿宋"/>
                <w:b/>
                <w:color w:val="auto"/>
                <w:kern w:val="0"/>
                <w:sz w:val="32"/>
                <w:szCs w:val="32"/>
                <w:lang w:val="en-US" w:bidi="zh-CN"/>
              </w:rPr>
            </w:pPr>
            <w:r>
              <w:rPr>
                <w:rFonts w:hint="eastAsia" w:ascii="楷体_GB2312" w:hAnsi="仿宋" w:eastAsia="楷体_GB2312" w:cs="仿宋"/>
                <w:b/>
                <w:color w:val="auto"/>
                <w:kern w:val="0"/>
                <w:sz w:val="32"/>
                <w:szCs w:val="32"/>
                <w:lang w:val="en-US" w:bidi="zh-CN"/>
              </w:rPr>
              <w:t>石狮市商务局</w:t>
            </w:r>
          </w:p>
          <w:p w14:paraId="5D74C5E7">
            <w:pPr>
              <w:widowControl w:val="0"/>
              <w:jc w:val="both"/>
              <w:rPr>
                <w:rFonts w:hint="default" w:ascii="楷体_GB2312" w:hAnsi="仿宋" w:eastAsia="楷体_GB2312" w:cs="仿宋"/>
                <w:b/>
                <w:color w:val="auto"/>
                <w:kern w:val="0"/>
                <w:sz w:val="32"/>
                <w:szCs w:val="32"/>
                <w:lang w:val="en-US" w:bidi="zh-CN"/>
              </w:rPr>
            </w:pPr>
            <w:r>
              <w:rPr>
                <w:rFonts w:ascii="楷体_GB2312" w:hAnsi="仿宋" w:eastAsia="楷体_GB2312" w:cs="仿宋"/>
                <w:b/>
                <w:color w:val="auto"/>
                <w:kern w:val="0"/>
                <w:sz w:val="32"/>
                <w:szCs w:val="32"/>
                <w:lang w:val="zh-CN" w:bidi="zh-CN"/>
              </w:rPr>
              <w:t>泉州市招标咨询中心</w:t>
            </w:r>
            <w:r>
              <w:rPr>
                <w:rFonts w:hint="eastAsia" w:ascii="楷体_GB2312" w:hAnsi="仿宋" w:eastAsia="楷体_GB2312" w:cs="仿宋"/>
                <w:b/>
                <w:color w:val="auto"/>
                <w:kern w:val="0"/>
                <w:sz w:val="32"/>
                <w:szCs w:val="32"/>
                <w:lang w:val="en-US" w:bidi="zh-CN"/>
              </w:rPr>
              <w:t>有限公司</w:t>
            </w:r>
          </w:p>
        </w:tc>
      </w:tr>
    </w:tbl>
    <w:p w14:paraId="63B3AD28">
      <w:pPr>
        <w:rPr>
          <w:color w:val="auto"/>
        </w:rPr>
      </w:pPr>
    </w:p>
    <w:p w14:paraId="1A551F48">
      <w:pPr>
        <w:rPr>
          <w:color w:val="auto"/>
        </w:rPr>
      </w:pPr>
    </w:p>
    <w:tbl>
      <w:tblPr>
        <w:tblStyle w:val="18"/>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5AFE4618">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16" w:hRule="atLeast"/>
          <w:jc w:val="center"/>
        </w:trPr>
        <w:tc>
          <w:tcPr>
            <w:tcW w:w="8522" w:type="dxa"/>
            <w:vAlign w:val="center"/>
          </w:tcPr>
          <w:p w14:paraId="5FE78685">
            <w:pPr>
              <w:widowControl w:val="0"/>
              <w:jc w:val="center"/>
              <w:rPr>
                <w:color w:val="auto"/>
              </w:rPr>
            </w:pPr>
            <w:r>
              <w:rPr>
                <w:rFonts w:hint="eastAsia" w:ascii="楷体_GB2312" w:hAnsi="仿宋" w:eastAsia="楷体_GB2312" w:cs="仿宋"/>
                <w:b/>
                <w:color w:val="auto"/>
                <w:kern w:val="0"/>
                <w:sz w:val="32"/>
                <w:szCs w:val="32"/>
                <w:lang w:val="zh-CN" w:bidi="zh-CN"/>
              </w:rPr>
              <w:t>202</w:t>
            </w:r>
            <w:r>
              <w:rPr>
                <w:rFonts w:hint="eastAsia" w:ascii="楷体_GB2312" w:hAnsi="仿宋" w:eastAsia="楷体_GB2312" w:cs="仿宋"/>
                <w:b/>
                <w:color w:val="auto"/>
                <w:kern w:val="0"/>
                <w:sz w:val="32"/>
                <w:szCs w:val="32"/>
                <w:lang w:val="en-US" w:bidi="zh-CN"/>
              </w:rPr>
              <w:t>5</w:t>
            </w:r>
            <w:r>
              <w:rPr>
                <w:rFonts w:hint="eastAsia" w:ascii="楷体_GB2312" w:hAnsi="仿宋" w:eastAsia="楷体_GB2312" w:cs="仿宋"/>
                <w:b/>
                <w:color w:val="auto"/>
                <w:kern w:val="0"/>
                <w:sz w:val="32"/>
                <w:szCs w:val="32"/>
                <w:lang w:val="zh-CN" w:bidi="zh-CN"/>
              </w:rPr>
              <w:t>年</w:t>
            </w:r>
            <w:r>
              <w:rPr>
                <w:rFonts w:hint="eastAsia" w:ascii="楷体_GB2312" w:hAnsi="仿宋" w:eastAsia="楷体_GB2312" w:cs="仿宋"/>
                <w:b/>
                <w:color w:val="auto"/>
                <w:kern w:val="0"/>
                <w:sz w:val="32"/>
                <w:szCs w:val="32"/>
                <w:lang w:val="en-US" w:bidi="zh-CN"/>
              </w:rPr>
              <w:t>8</w:t>
            </w:r>
            <w:r>
              <w:rPr>
                <w:rFonts w:hint="eastAsia" w:ascii="楷体_GB2312" w:hAnsi="仿宋" w:eastAsia="楷体_GB2312" w:cs="仿宋"/>
                <w:b/>
                <w:color w:val="auto"/>
                <w:kern w:val="0"/>
                <w:sz w:val="32"/>
                <w:szCs w:val="32"/>
                <w:lang w:val="zh-CN" w:bidi="zh-CN"/>
              </w:rPr>
              <w:t>月</w:t>
            </w:r>
          </w:p>
        </w:tc>
      </w:tr>
    </w:tbl>
    <w:p w14:paraId="499EB9F9">
      <w:pPr>
        <w:pStyle w:val="16"/>
        <w:rPr>
          <w:rFonts w:hint="eastAsia"/>
          <w:lang w:val="en-US" w:eastAsia="zh-CN"/>
        </w:rPr>
        <w:sectPr>
          <w:headerReference r:id="rId3" w:type="default"/>
          <w:footerReference r:id="rId5" w:type="default"/>
          <w:headerReference r:id="rId4" w:type="even"/>
          <w:pgSz w:w="11906" w:h="16838"/>
          <w:pgMar w:top="1440" w:right="1587" w:bottom="1440" w:left="1519" w:header="851" w:footer="992" w:gutter="0"/>
          <w:pgNumType w:fmt="decimal" w:start="1"/>
          <w:cols w:space="425" w:num="1"/>
          <w:docGrid w:type="lines" w:linePitch="312" w:charSpace="0"/>
        </w:sectPr>
      </w:pPr>
    </w:p>
    <w:tbl>
      <w:tblPr>
        <w:tblStyle w:val="18"/>
        <w:tblpPr w:leftFromText="180" w:rightFromText="180" w:vertAnchor="text" w:horzAnchor="page" w:tblpXSpec="center" w:tblpY="622"/>
        <w:tblOverlap w:val="never"/>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66EF1333">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930" w:hRule="atLeast"/>
          <w:jc w:val="center"/>
        </w:trPr>
        <w:tc>
          <w:tcPr>
            <w:tcW w:w="8522" w:type="dxa"/>
            <w:vAlign w:val="center"/>
          </w:tcPr>
          <w:p w14:paraId="58DAA3C6">
            <w:pPr>
              <w:widowControl w:val="0"/>
              <w:spacing w:line="360" w:lineRule="auto"/>
              <w:jc w:val="center"/>
              <w:rPr>
                <w:rFonts w:hint="eastAsia" w:ascii="方正小标宋简体" w:hAnsi="仿宋" w:eastAsia="方正小标宋简体"/>
                <w:b/>
                <w:color w:val="auto"/>
                <w:sz w:val="60"/>
                <w:szCs w:val="60"/>
                <w:lang w:eastAsia="zh-CN"/>
              </w:rPr>
            </w:pPr>
            <w:r>
              <w:rPr>
                <w:rFonts w:hint="eastAsia" w:ascii="方正小标宋简体" w:hAnsi="仿宋" w:eastAsia="方正小标宋简体"/>
                <w:b/>
                <w:color w:val="auto"/>
                <w:sz w:val="60"/>
                <w:szCs w:val="60"/>
                <w:lang w:eastAsia="zh-CN"/>
              </w:rPr>
              <w:t>石狮市跨境电商品牌培育</w:t>
            </w:r>
          </w:p>
          <w:p w14:paraId="01DEE307">
            <w:pPr>
              <w:widowControl w:val="0"/>
              <w:spacing w:line="360" w:lineRule="auto"/>
              <w:jc w:val="center"/>
              <w:rPr>
                <w:rFonts w:hint="eastAsia" w:ascii="方正小标宋简体" w:hAnsi="仿宋" w:eastAsia="方正小标宋简体"/>
                <w:b/>
                <w:color w:val="auto"/>
                <w:w w:val="33"/>
                <w:sz w:val="52"/>
                <w:szCs w:val="52"/>
                <w:lang w:eastAsia="zh-CN"/>
              </w:rPr>
            </w:pPr>
            <w:r>
              <w:rPr>
                <w:rFonts w:hint="eastAsia" w:ascii="方正小标宋简体" w:hAnsi="仿宋" w:eastAsia="方正小标宋简体"/>
                <w:b/>
                <w:color w:val="auto"/>
                <w:sz w:val="60"/>
                <w:szCs w:val="60"/>
                <w:lang w:eastAsia="zh-CN"/>
              </w:rPr>
              <w:t>全流程服务</w:t>
            </w:r>
          </w:p>
        </w:tc>
      </w:tr>
    </w:tbl>
    <w:p w14:paraId="00A8B1A6">
      <w:pPr>
        <w:pStyle w:val="16"/>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both"/>
        <w:textAlignment w:val="auto"/>
        <w:rPr>
          <w:rFonts w:hint="eastAsia" w:ascii="仿宋" w:hAnsi="仿宋" w:eastAsia="仿宋" w:cs="仿宋"/>
          <w:b/>
          <w:color w:val="auto"/>
          <w:kern w:val="2"/>
          <w:sz w:val="44"/>
          <w:szCs w:val="44"/>
          <w:highlight w:val="none"/>
          <w:lang w:val="en-US" w:eastAsia="zh-CN" w:bidi="ar-SA"/>
        </w:rPr>
      </w:pPr>
    </w:p>
    <w:p w14:paraId="0C9AF6C6">
      <w:pPr>
        <w:rPr>
          <w:color w:val="auto"/>
        </w:rPr>
      </w:pPr>
    </w:p>
    <w:p w14:paraId="0C57F598">
      <w:pPr>
        <w:rPr>
          <w:color w:val="auto"/>
        </w:rPr>
      </w:pPr>
    </w:p>
    <w:tbl>
      <w:tblPr>
        <w:tblStyle w:val="18"/>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0DD461CE">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8522" w:type="dxa"/>
            <w:vAlign w:val="center"/>
          </w:tcPr>
          <w:p w14:paraId="29D49292">
            <w:pPr>
              <w:widowControl w:val="0"/>
              <w:jc w:val="center"/>
              <w:rPr>
                <w:rFonts w:ascii="方正粗黑宋简体" w:hAnsi="方正粗黑宋简体" w:eastAsia="方正粗黑宋简体"/>
                <w:color w:val="auto"/>
                <w:sz w:val="72"/>
                <w:szCs w:val="72"/>
              </w:rPr>
            </w:pPr>
            <w:r>
              <w:rPr>
                <w:rFonts w:hint="eastAsia" w:ascii="方正粗黑宋简体" w:hAnsi="方正粗黑宋简体" w:eastAsia="方正粗黑宋简体"/>
                <w:color w:val="auto"/>
                <w:sz w:val="72"/>
                <w:szCs w:val="72"/>
                <w:lang w:val="en-US" w:eastAsia="zh-CN"/>
              </w:rPr>
              <w:t>事前</w:t>
            </w:r>
            <w:r>
              <w:rPr>
                <w:rFonts w:hint="eastAsia" w:ascii="方正粗黑宋简体" w:hAnsi="方正粗黑宋简体" w:eastAsia="方正粗黑宋简体"/>
                <w:color w:val="auto"/>
                <w:sz w:val="72"/>
                <w:szCs w:val="72"/>
              </w:rPr>
              <w:t>绩效</w:t>
            </w:r>
            <w:r>
              <w:rPr>
                <w:rFonts w:hint="eastAsia" w:ascii="方正粗黑宋简体" w:hAnsi="方正粗黑宋简体" w:eastAsia="方正粗黑宋简体"/>
                <w:color w:val="auto"/>
                <w:sz w:val="72"/>
                <w:szCs w:val="72"/>
                <w:lang w:val="en-US" w:eastAsia="zh-CN"/>
              </w:rPr>
              <w:t>评估</w:t>
            </w:r>
            <w:r>
              <w:rPr>
                <w:rFonts w:hint="eastAsia" w:ascii="方正粗黑宋简体" w:hAnsi="方正粗黑宋简体" w:eastAsia="方正粗黑宋简体"/>
                <w:color w:val="auto"/>
                <w:sz w:val="72"/>
                <w:szCs w:val="72"/>
              </w:rPr>
              <w:t>报告</w:t>
            </w:r>
          </w:p>
        </w:tc>
      </w:tr>
    </w:tbl>
    <w:p w14:paraId="35A55DB2"/>
    <w:p w14:paraId="494E8139"/>
    <w:tbl>
      <w:tblPr>
        <w:tblStyle w:val="18"/>
        <w:tblpPr w:leftFromText="180" w:rightFromText="180" w:vertAnchor="text" w:horzAnchor="page" w:tblpXSpec="center" w:tblpY="413"/>
        <w:tblOverlap w:val="never"/>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915"/>
        <w:gridCol w:w="4325"/>
      </w:tblGrid>
      <w:tr w14:paraId="5BB007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tcPr>
          <w:p w14:paraId="22C6B6CD">
            <w:pPr>
              <w:widowControl w:val="0"/>
              <w:spacing w:after="10" w:line="700" w:lineRule="exact"/>
              <w:ind w:right="-53" w:rightChars="-25"/>
              <w:jc w:val="distribute"/>
              <w:rPr>
                <w:rFonts w:ascii="仿宋_GB2312" w:hAnsi="华文中宋" w:eastAsia="仿宋_GB2312" w:cs="华文中宋"/>
                <w:b/>
                <w:w w:val="125"/>
                <w:sz w:val="32"/>
                <w:szCs w:val="32"/>
              </w:rPr>
            </w:pPr>
            <w:r>
              <w:rPr>
                <w:rFonts w:hint="eastAsia" w:ascii="仿宋_GB2312" w:hAnsi="华文中宋" w:eastAsia="仿宋_GB2312" w:cs="华文中宋"/>
                <w:b/>
                <w:w w:val="125"/>
                <w:sz w:val="32"/>
                <w:szCs w:val="32"/>
              </w:rPr>
              <w:t>编制单位</w:t>
            </w:r>
            <w:r>
              <w:rPr>
                <w:rFonts w:hint="eastAsia" w:ascii="仿宋_GB2312" w:hAnsi="华文中宋" w:eastAsia="仿宋_GB2312" w:cs="华文中宋"/>
                <w:b/>
                <w:sz w:val="32"/>
                <w:szCs w:val="32"/>
              </w:rPr>
              <w:t>：</w:t>
            </w:r>
          </w:p>
        </w:tc>
        <w:tc>
          <w:tcPr>
            <w:tcW w:w="4325" w:type="dxa"/>
            <w:vAlign w:val="center"/>
          </w:tcPr>
          <w:p w14:paraId="57FB7797">
            <w:pPr>
              <w:widowControl w:val="0"/>
              <w:spacing w:after="10" w:line="700" w:lineRule="exact"/>
              <w:ind w:right="-53" w:rightChars="-25"/>
              <w:jc w:val="both"/>
              <w:rPr>
                <w:rFonts w:ascii="仿宋_GB2312" w:hAnsi="华文中宋" w:eastAsia="仿宋_GB2312" w:cs="华文中宋"/>
                <w:sz w:val="32"/>
                <w:szCs w:val="32"/>
              </w:rPr>
            </w:pPr>
            <w:r>
              <w:rPr>
                <w:rFonts w:hint="eastAsia" w:ascii="仿宋_GB2312" w:hAnsi="华文中宋" w:eastAsia="仿宋_GB2312" w:cs="华文中宋"/>
                <w:sz w:val="32"/>
                <w:szCs w:val="32"/>
              </w:rPr>
              <w:t>泉州市招标咨询中心有限公司</w:t>
            </w:r>
          </w:p>
        </w:tc>
      </w:tr>
      <w:tr w14:paraId="31FD9E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tcPr>
          <w:p w14:paraId="4A417510">
            <w:pPr>
              <w:widowControl w:val="0"/>
              <w:spacing w:after="10" w:line="700" w:lineRule="exact"/>
              <w:ind w:right="-53" w:rightChars="-25"/>
              <w:jc w:val="distribute"/>
              <w:rPr>
                <w:rFonts w:ascii="仿宋_GB2312" w:hAnsi="华文中宋" w:eastAsia="仿宋_GB2312" w:cs="华文中宋"/>
                <w:b/>
                <w:w w:val="125"/>
                <w:sz w:val="32"/>
                <w:szCs w:val="32"/>
              </w:rPr>
            </w:pPr>
            <w:r>
              <w:rPr>
                <w:rFonts w:hint="eastAsia" w:ascii="仿宋_GB2312" w:hAnsi="华文中宋" w:eastAsia="仿宋_GB2312" w:cs="华文中宋"/>
                <w:b/>
                <w:w w:val="125"/>
                <w:sz w:val="32"/>
                <w:szCs w:val="32"/>
              </w:rPr>
              <w:t>主</w:t>
            </w:r>
            <w:r>
              <w:rPr>
                <w:rFonts w:hint="eastAsia" w:ascii="仿宋_GB2312" w:hAnsi="华文中宋" w:eastAsia="仿宋_GB2312" w:cs="华文中宋"/>
                <w:b/>
                <w:w w:val="125"/>
                <w:sz w:val="32"/>
                <w:szCs w:val="32"/>
                <w:lang w:val="en-US" w:eastAsia="zh-CN"/>
              </w:rPr>
              <w:t>评</w:t>
            </w:r>
            <w:r>
              <w:rPr>
                <w:rFonts w:hint="eastAsia" w:ascii="仿宋_GB2312" w:hAnsi="华文中宋" w:eastAsia="仿宋_GB2312" w:cs="华文中宋"/>
                <w:b/>
                <w:w w:val="125"/>
                <w:sz w:val="32"/>
                <w:szCs w:val="32"/>
              </w:rPr>
              <w:t>人：</w:t>
            </w:r>
          </w:p>
        </w:tc>
        <w:tc>
          <w:tcPr>
            <w:tcW w:w="4325" w:type="dxa"/>
            <w:vAlign w:val="center"/>
          </w:tcPr>
          <w:p w14:paraId="065E0EA9">
            <w:pPr>
              <w:widowControl w:val="0"/>
              <w:spacing w:after="10" w:line="700" w:lineRule="exact"/>
              <w:ind w:right="-53" w:rightChars="-25"/>
              <w:jc w:val="both"/>
              <w:rPr>
                <w:rFonts w:ascii="仿宋_GB2312" w:hAnsi="华文中宋" w:eastAsia="仿宋_GB2312" w:cs="华文中宋"/>
                <w:color w:val="auto"/>
                <w:sz w:val="32"/>
                <w:szCs w:val="32"/>
              </w:rPr>
            </w:pPr>
            <w:r>
              <w:rPr>
                <w:rFonts w:hint="eastAsia" w:ascii="仿宋_GB2312" w:hAnsi="华文中宋" w:eastAsia="仿宋_GB2312" w:cs="华文中宋"/>
                <w:color w:val="auto"/>
                <w:sz w:val="32"/>
                <w:szCs w:val="32"/>
                <w:lang w:val="en-US" w:eastAsia="zh-CN"/>
              </w:rPr>
              <w:t>曾桂梅</w:t>
            </w:r>
            <w:r>
              <w:rPr>
                <w:rFonts w:hint="eastAsia" w:ascii="仿宋_GB2312" w:hAnsi="华文中宋" w:eastAsia="仿宋_GB2312" w:cs="华文中宋"/>
                <w:color w:val="auto"/>
                <w:sz w:val="32"/>
                <w:szCs w:val="32"/>
              </w:rPr>
              <w:t>（中级</w:t>
            </w:r>
            <w:r>
              <w:rPr>
                <w:rFonts w:hint="eastAsia" w:ascii="仿宋_GB2312" w:hAnsi="华文中宋" w:eastAsia="仿宋_GB2312" w:cs="华文中宋"/>
                <w:color w:val="auto"/>
                <w:sz w:val="32"/>
                <w:szCs w:val="32"/>
                <w:lang w:val="en-US" w:eastAsia="zh-CN"/>
              </w:rPr>
              <w:t>工程</w:t>
            </w:r>
            <w:r>
              <w:rPr>
                <w:rFonts w:hint="eastAsia" w:ascii="仿宋_GB2312" w:hAnsi="华文中宋" w:eastAsia="仿宋_GB2312" w:cs="华文中宋"/>
                <w:color w:val="auto"/>
                <w:sz w:val="32"/>
                <w:szCs w:val="32"/>
              </w:rPr>
              <w:t>师）</w:t>
            </w:r>
          </w:p>
        </w:tc>
      </w:tr>
      <w:tr w14:paraId="095ED3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vMerge w:val="restart"/>
          </w:tcPr>
          <w:p w14:paraId="344B95AC">
            <w:pPr>
              <w:widowControl w:val="0"/>
              <w:spacing w:after="10" w:line="700" w:lineRule="exact"/>
              <w:ind w:right="-53" w:rightChars="-25"/>
              <w:jc w:val="distribute"/>
              <w:rPr>
                <w:rFonts w:ascii="仿宋_GB2312" w:hAnsi="华文中宋" w:eastAsia="仿宋_GB2312" w:cs="华文中宋"/>
                <w:b/>
                <w:w w:val="125"/>
                <w:sz w:val="32"/>
                <w:szCs w:val="32"/>
              </w:rPr>
            </w:pPr>
            <w:r>
              <w:rPr>
                <w:rFonts w:hint="eastAsia" w:ascii="仿宋_GB2312" w:hAnsi="华文中宋" w:eastAsia="仿宋_GB2312" w:cs="华文中宋"/>
                <w:b/>
                <w:w w:val="125"/>
                <w:sz w:val="32"/>
                <w:szCs w:val="32"/>
              </w:rPr>
              <w:t>编制人员：</w:t>
            </w:r>
          </w:p>
        </w:tc>
        <w:tc>
          <w:tcPr>
            <w:tcW w:w="4325" w:type="dxa"/>
            <w:vAlign w:val="center"/>
          </w:tcPr>
          <w:p w14:paraId="6DA11DAE">
            <w:pPr>
              <w:widowControl w:val="0"/>
              <w:spacing w:after="10" w:line="700" w:lineRule="exact"/>
              <w:ind w:right="-53" w:rightChars="-25"/>
              <w:jc w:val="both"/>
              <w:rPr>
                <w:rFonts w:hint="eastAsia" w:ascii="仿宋_GB2312" w:hAnsi="华文中宋" w:eastAsia="仿宋_GB2312" w:cs="华文中宋"/>
                <w:color w:val="auto"/>
                <w:sz w:val="32"/>
                <w:szCs w:val="32"/>
                <w:lang w:eastAsia="zh-CN"/>
              </w:rPr>
            </w:pPr>
            <w:r>
              <w:rPr>
                <w:rFonts w:hint="eastAsia" w:ascii="仿宋_GB2312" w:hAnsi="华文中宋" w:eastAsia="仿宋_GB2312" w:cs="华文中宋"/>
                <w:color w:val="auto"/>
                <w:sz w:val="32"/>
                <w:szCs w:val="32"/>
              </w:rPr>
              <w:t>范富琳</w:t>
            </w:r>
            <w:r>
              <w:rPr>
                <w:rFonts w:hint="eastAsia" w:ascii="仿宋_GB2312" w:hAnsi="华文中宋" w:eastAsia="仿宋_GB2312" w:cs="华文中宋"/>
                <w:color w:val="auto"/>
                <w:sz w:val="32"/>
                <w:szCs w:val="32"/>
                <w:lang w:eastAsia="zh-CN"/>
              </w:rPr>
              <w:t>（</w:t>
            </w:r>
            <w:r>
              <w:rPr>
                <w:rFonts w:hint="eastAsia" w:ascii="仿宋_GB2312" w:hAnsi="华文中宋" w:eastAsia="仿宋_GB2312" w:cs="华文中宋"/>
                <w:color w:val="auto"/>
                <w:sz w:val="32"/>
                <w:szCs w:val="32"/>
                <w:lang w:val="en-US" w:eastAsia="zh-CN"/>
              </w:rPr>
              <w:t>项目组成员</w:t>
            </w:r>
            <w:r>
              <w:rPr>
                <w:rFonts w:hint="eastAsia" w:ascii="仿宋_GB2312" w:hAnsi="华文中宋" w:eastAsia="仿宋_GB2312" w:cs="华文中宋"/>
                <w:color w:val="auto"/>
                <w:sz w:val="32"/>
                <w:szCs w:val="32"/>
                <w:lang w:eastAsia="zh-CN"/>
              </w:rPr>
              <w:t>）</w:t>
            </w:r>
          </w:p>
        </w:tc>
      </w:tr>
      <w:tr w14:paraId="798A74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vMerge w:val="continue"/>
          </w:tcPr>
          <w:p w14:paraId="185B42AA">
            <w:pPr>
              <w:widowControl w:val="0"/>
              <w:spacing w:after="10" w:line="700" w:lineRule="exact"/>
              <w:ind w:right="-53" w:rightChars="-25"/>
              <w:jc w:val="distribute"/>
              <w:rPr>
                <w:rFonts w:ascii="仿宋_GB2312" w:hAnsi="华文中宋" w:eastAsia="仿宋_GB2312" w:cs="华文中宋"/>
                <w:b/>
                <w:w w:val="125"/>
                <w:sz w:val="32"/>
                <w:szCs w:val="32"/>
              </w:rPr>
            </w:pPr>
          </w:p>
        </w:tc>
        <w:tc>
          <w:tcPr>
            <w:tcW w:w="4325" w:type="dxa"/>
            <w:vAlign w:val="center"/>
          </w:tcPr>
          <w:p w14:paraId="7E23E6BE">
            <w:pPr>
              <w:widowControl w:val="0"/>
              <w:spacing w:after="10" w:line="700" w:lineRule="exact"/>
              <w:ind w:right="-53" w:rightChars="-25"/>
              <w:jc w:val="both"/>
              <w:rPr>
                <w:rFonts w:ascii="仿宋_GB2312" w:hAnsi="华文中宋" w:eastAsia="仿宋_GB2312" w:cs="华文中宋"/>
                <w:color w:val="auto"/>
                <w:sz w:val="32"/>
                <w:szCs w:val="32"/>
              </w:rPr>
            </w:pPr>
            <w:r>
              <w:rPr>
                <w:rFonts w:hint="eastAsia" w:ascii="仿宋_GB2312" w:hAnsi="华文中宋" w:eastAsia="仿宋_GB2312" w:cs="华文中宋"/>
                <w:color w:val="auto"/>
                <w:sz w:val="32"/>
                <w:szCs w:val="32"/>
              </w:rPr>
              <w:t>吴文静</w:t>
            </w:r>
            <w:r>
              <w:rPr>
                <w:rFonts w:hint="eastAsia" w:ascii="仿宋_GB2312" w:hAnsi="华文中宋" w:eastAsia="仿宋_GB2312" w:cs="华文中宋"/>
                <w:color w:val="auto"/>
                <w:sz w:val="32"/>
                <w:szCs w:val="32"/>
                <w:lang w:eastAsia="zh-CN"/>
              </w:rPr>
              <w:t>（</w:t>
            </w:r>
            <w:r>
              <w:rPr>
                <w:rFonts w:hint="eastAsia" w:ascii="仿宋_GB2312" w:hAnsi="华文中宋" w:eastAsia="仿宋_GB2312" w:cs="华文中宋"/>
                <w:color w:val="auto"/>
                <w:sz w:val="32"/>
                <w:szCs w:val="32"/>
                <w:lang w:val="en-US" w:eastAsia="zh-CN"/>
              </w:rPr>
              <w:t>项目组成员</w:t>
            </w:r>
            <w:r>
              <w:rPr>
                <w:rFonts w:hint="eastAsia" w:ascii="仿宋_GB2312" w:hAnsi="华文中宋" w:eastAsia="仿宋_GB2312" w:cs="华文中宋"/>
                <w:color w:val="auto"/>
                <w:sz w:val="32"/>
                <w:szCs w:val="32"/>
                <w:lang w:eastAsia="zh-CN"/>
              </w:rPr>
              <w:t>）</w:t>
            </w:r>
          </w:p>
        </w:tc>
      </w:tr>
      <w:tr w14:paraId="46394C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tcPr>
          <w:p w14:paraId="11882351">
            <w:pPr>
              <w:widowControl w:val="0"/>
              <w:spacing w:after="10" w:line="700" w:lineRule="exact"/>
              <w:ind w:right="-53" w:rightChars="-25"/>
              <w:jc w:val="distribute"/>
              <w:rPr>
                <w:rFonts w:hint="eastAsia" w:ascii="仿宋_GB2312" w:hAnsi="华文中宋" w:eastAsia="仿宋_GB2312" w:cs="华文中宋"/>
                <w:b/>
                <w:w w:val="125"/>
                <w:sz w:val="32"/>
                <w:szCs w:val="32"/>
              </w:rPr>
            </w:pPr>
            <w:r>
              <w:rPr>
                <w:rFonts w:hint="eastAsia" w:ascii="仿宋_GB2312" w:hAnsi="华文中宋" w:eastAsia="仿宋_GB2312" w:cs="华文中宋"/>
                <w:b/>
                <w:w w:val="125"/>
                <w:sz w:val="32"/>
                <w:szCs w:val="32"/>
              </w:rPr>
              <w:t>校对人：</w:t>
            </w:r>
          </w:p>
        </w:tc>
        <w:tc>
          <w:tcPr>
            <w:tcW w:w="4325" w:type="dxa"/>
            <w:vAlign w:val="center"/>
          </w:tcPr>
          <w:p w14:paraId="5EB997DA">
            <w:pPr>
              <w:widowControl w:val="0"/>
              <w:spacing w:after="10" w:line="700" w:lineRule="exact"/>
              <w:ind w:right="-53" w:rightChars="-25"/>
              <w:jc w:val="both"/>
              <w:rPr>
                <w:rFonts w:ascii="仿宋_GB2312" w:hAnsi="华文中宋" w:eastAsia="仿宋_GB2312" w:cs="华文中宋"/>
                <w:color w:val="auto"/>
                <w:sz w:val="32"/>
                <w:szCs w:val="32"/>
              </w:rPr>
            </w:pPr>
            <w:r>
              <w:rPr>
                <w:rFonts w:hint="eastAsia" w:ascii="仿宋_GB2312" w:hAnsi="华文中宋" w:eastAsia="仿宋_GB2312" w:cs="华文中宋"/>
                <w:color w:val="auto"/>
                <w:sz w:val="32"/>
                <w:szCs w:val="32"/>
              </w:rPr>
              <w:t>翁燕瑜（中级经济师）</w:t>
            </w:r>
          </w:p>
        </w:tc>
      </w:tr>
      <w:tr w14:paraId="3C5CC7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tcPr>
          <w:p w14:paraId="2B4146AF">
            <w:pPr>
              <w:widowControl w:val="0"/>
              <w:spacing w:after="10" w:line="700" w:lineRule="exact"/>
              <w:ind w:right="-53" w:rightChars="-25"/>
              <w:jc w:val="distribute"/>
              <w:rPr>
                <w:rFonts w:hint="eastAsia" w:ascii="仿宋_GB2312" w:hAnsi="华文中宋" w:eastAsia="仿宋_GB2312" w:cs="华文中宋"/>
                <w:b/>
                <w:w w:val="125"/>
                <w:sz w:val="32"/>
                <w:szCs w:val="32"/>
                <w:lang w:val="en-US" w:eastAsia="zh-CN"/>
              </w:rPr>
            </w:pPr>
            <w:r>
              <w:rPr>
                <w:rFonts w:hint="eastAsia" w:ascii="仿宋_GB2312" w:hAnsi="华文中宋" w:eastAsia="仿宋_GB2312" w:cs="华文中宋"/>
                <w:b/>
                <w:w w:val="125"/>
                <w:sz w:val="32"/>
                <w:szCs w:val="32"/>
                <w:lang w:val="en-US" w:eastAsia="zh-CN"/>
              </w:rPr>
              <w:t>复核人：</w:t>
            </w:r>
          </w:p>
        </w:tc>
        <w:tc>
          <w:tcPr>
            <w:tcW w:w="4325" w:type="dxa"/>
            <w:vAlign w:val="center"/>
          </w:tcPr>
          <w:p w14:paraId="7E8D9FC5">
            <w:pPr>
              <w:widowControl w:val="0"/>
              <w:spacing w:after="10" w:line="700" w:lineRule="exact"/>
              <w:ind w:right="-53" w:rightChars="-25"/>
              <w:jc w:val="both"/>
              <w:rPr>
                <w:rFonts w:hint="default" w:ascii="仿宋_GB2312" w:hAnsi="华文中宋" w:eastAsia="仿宋_GB2312" w:cs="华文中宋"/>
                <w:color w:val="0000FF"/>
                <w:sz w:val="32"/>
                <w:szCs w:val="32"/>
                <w:lang w:val="en-US" w:eastAsia="zh-CN"/>
              </w:rPr>
            </w:pPr>
            <w:r>
              <w:rPr>
                <w:rFonts w:hint="eastAsia" w:ascii="仿宋_GB2312" w:hAnsi="华文中宋" w:eastAsia="仿宋_GB2312" w:cs="华文中宋"/>
                <w:color w:val="auto"/>
                <w:sz w:val="32"/>
                <w:szCs w:val="32"/>
                <w:lang w:val="en-US" w:eastAsia="zh-CN"/>
              </w:rPr>
              <w:t>王梅玲（中级会计师）</w:t>
            </w:r>
          </w:p>
        </w:tc>
      </w:tr>
    </w:tbl>
    <w:p w14:paraId="17F35B37">
      <w:pPr>
        <w:pStyle w:val="16"/>
        <w:rPr>
          <w:rFonts w:hint="eastAsia"/>
          <w:lang w:val="en-US" w:eastAsia="zh-CN"/>
        </w:rPr>
        <w:sectPr>
          <w:pgSz w:w="11906" w:h="16838"/>
          <w:pgMar w:top="1440" w:right="1587" w:bottom="1440" w:left="1519" w:header="851" w:footer="992" w:gutter="0"/>
          <w:pgNumType w:fmt="decimal" w:start="1"/>
          <w:cols w:space="425" w:num="1"/>
          <w:docGrid w:type="lines" w:linePitch="312" w:charSpace="0"/>
        </w:sectPr>
      </w:pPr>
    </w:p>
    <w:bookmarkEnd w:id="0"/>
    <w:bookmarkEnd w:id="1"/>
    <w:sdt>
      <w:sdtPr>
        <w:rPr>
          <w:rFonts w:ascii="宋体" w:hAnsi="宋体" w:eastAsia="宋体" w:cstheme="minorBidi"/>
          <w:kern w:val="2"/>
          <w:sz w:val="21"/>
          <w:szCs w:val="22"/>
          <w:lang w:val="en-US" w:eastAsia="zh-CN" w:bidi="ar-SA"/>
        </w:rPr>
        <w:id w:val="147466838"/>
        <w15:color w:val="DBDBDB"/>
        <w:docPartObj>
          <w:docPartGallery w:val="Table of Contents"/>
          <w:docPartUnique/>
        </w:docPartObj>
      </w:sdtPr>
      <w:sdtEndPr>
        <w:rPr>
          <w:rFonts w:hint="eastAsia" w:ascii="仿宋" w:hAnsi="仿宋" w:eastAsia="仿宋" w:cs="仿宋"/>
          <w:b w:val="0"/>
          <w:bCs/>
          <w:color w:val="auto"/>
          <w:kern w:val="2"/>
          <w:sz w:val="32"/>
          <w:szCs w:val="28"/>
          <w:lang w:val="en-US" w:eastAsia="zh-CN" w:bidi="ar-SA"/>
        </w:rPr>
      </w:sdtEndPr>
      <w:sdtContent>
        <w:p w14:paraId="7235300E">
          <w:pPr>
            <w:pageBreakBefore w:val="0"/>
            <w:widowControl/>
            <w:kinsoku/>
            <w:wordWrap/>
            <w:overflowPunct/>
            <w:topLinePunct w:val="0"/>
            <w:autoSpaceDE/>
            <w:autoSpaceDN/>
            <w:bidi w:val="0"/>
            <w:adjustRightInd/>
            <w:snapToGrid/>
            <w:spacing w:before="0" w:beforeLines="0" w:after="0" w:afterLines="0" w:line="240" w:lineRule="auto"/>
            <w:ind w:left="0" w:leftChars="0" w:right="0" w:rightChars="0" w:firstLine="0" w:firstLineChars="0"/>
            <w:jc w:val="center"/>
            <w:textAlignment w:val="auto"/>
            <w:rPr>
              <w:rFonts w:hint="eastAsia" w:ascii="仿宋" w:hAnsi="仿宋" w:eastAsia="仿宋" w:cs="仿宋"/>
              <w:bCs/>
              <w:color w:val="auto"/>
              <w:kern w:val="2"/>
              <w:sz w:val="21"/>
              <w:szCs w:val="28"/>
              <w:lang w:val="en-US" w:eastAsia="zh-CN" w:bidi="ar-SA"/>
            </w:rPr>
          </w:pPr>
          <w:r>
            <w:rPr>
              <w:rFonts w:hint="eastAsia" w:ascii="黑体" w:hAnsi="黑体" w:eastAsia="黑体" w:cs="黑体"/>
              <w:b/>
              <w:bCs/>
              <w:color w:val="auto"/>
              <w:sz w:val="32"/>
              <w:szCs w:val="32"/>
            </w:rPr>
            <w:t>目</w:t>
          </w:r>
          <w:r>
            <w:rPr>
              <w:rFonts w:hint="eastAsia" w:ascii="黑体" w:hAnsi="黑体" w:eastAsia="黑体" w:cs="黑体"/>
              <w:b/>
              <w:bCs/>
              <w:color w:val="auto"/>
              <w:sz w:val="32"/>
              <w:szCs w:val="32"/>
              <w:lang w:val="en-US" w:eastAsia="zh-CN"/>
            </w:rPr>
            <w:t xml:space="preserve"> </w:t>
          </w:r>
          <w:r>
            <w:rPr>
              <w:rFonts w:hint="eastAsia" w:ascii="黑体" w:hAnsi="黑体" w:eastAsia="黑体" w:cs="黑体"/>
              <w:b/>
              <w:bCs/>
              <w:color w:val="auto"/>
              <w:sz w:val="32"/>
              <w:szCs w:val="32"/>
            </w:rPr>
            <w:t>录</w:t>
          </w:r>
          <w:r>
            <w:rPr>
              <w:rFonts w:hint="eastAsia" w:ascii="仿宋" w:hAnsi="仿宋" w:eastAsia="仿宋" w:cs="仿宋"/>
              <w:b/>
              <w:bCs/>
              <w:color w:val="auto"/>
              <w:kern w:val="2"/>
              <w:sz w:val="28"/>
              <w:szCs w:val="28"/>
              <w:lang w:val="en-US" w:eastAsia="zh-CN"/>
            </w:rPr>
            <w:fldChar w:fldCharType="begin"/>
          </w:r>
          <w:r>
            <w:rPr>
              <w:rFonts w:hint="eastAsia" w:ascii="仿宋" w:hAnsi="仿宋" w:eastAsia="仿宋" w:cs="仿宋"/>
              <w:b/>
              <w:bCs/>
              <w:color w:val="auto"/>
              <w:kern w:val="2"/>
              <w:sz w:val="28"/>
              <w:szCs w:val="28"/>
              <w:lang w:val="en-US" w:eastAsia="zh-CN"/>
            </w:rPr>
            <w:instrText xml:space="preserve">TOC \o "1-3" \h \u </w:instrText>
          </w:r>
          <w:r>
            <w:rPr>
              <w:rFonts w:hint="eastAsia" w:ascii="仿宋" w:hAnsi="仿宋" w:eastAsia="仿宋" w:cs="仿宋"/>
              <w:b/>
              <w:bCs/>
              <w:color w:val="auto"/>
              <w:kern w:val="2"/>
              <w:sz w:val="28"/>
              <w:szCs w:val="28"/>
              <w:lang w:val="en-US" w:eastAsia="zh-CN"/>
            </w:rPr>
            <w:fldChar w:fldCharType="separate"/>
          </w:r>
        </w:p>
        <w:p w14:paraId="6F2C2219">
          <w:pPr>
            <w:pStyle w:val="12"/>
            <w:keepNext w:val="0"/>
            <w:keepLines w:val="0"/>
            <w:pageBreakBefore w:val="0"/>
            <w:widowControl/>
            <w:tabs>
              <w:tab w:val="right" w:leader="dot" w:pos="8800"/>
              <w:tab w:val="clear" w:pos="8777"/>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_Toc4067 </w:instrText>
          </w:r>
          <w:r>
            <w:rPr>
              <w:rFonts w:hint="eastAsia" w:ascii="仿宋" w:hAnsi="仿宋" w:eastAsia="仿宋" w:cs="仿宋"/>
              <w:bCs/>
              <w:kern w:val="2"/>
              <w:sz w:val="28"/>
              <w:szCs w:val="28"/>
              <w:lang w:val="en-US" w:eastAsia="zh-CN"/>
            </w:rPr>
            <w:fldChar w:fldCharType="separate"/>
          </w:r>
          <w:r>
            <w:rPr>
              <w:rFonts w:hint="eastAsia" w:ascii="黑体" w:hAnsi="黑体" w:eastAsia="黑体" w:cs="黑体"/>
              <w:bCs/>
              <w:kern w:val="2"/>
              <w:sz w:val="28"/>
              <w:szCs w:val="28"/>
              <w:highlight w:val="none"/>
              <w:lang w:val="en-US" w:eastAsia="zh-CN" w:bidi="ar-SA"/>
            </w:rPr>
            <w:t>前 言</w:t>
          </w:r>
          <w:r>
            <w:rPr>
              <w:sz w:val="28"/>
              <w:szCs w:val="28"/>
            </w:rPr>
            <w:tab/>
          </w:r>
          <w:r>
            <w:rPr>
              <w:sz w:val="28"/>
              <w:szCs w:val="28"/>
            </w:rPr>
            <w:fldChar w:fldCharType="begin"/>
          </w:r>
          <w:r>
            <w:rPr>
              <w:sz w:val="28"/>
              <w:szCs w:val="28"/>
            </w:rPr>
            <w:instrText xml:space="preserve"> PAGEREF _Toc4067 \h </w:instrText>
          </w:r>
          <w:r>
            <w:rPr>
              <w:sz w:val="28"/>
              <w:szCs w:val="28"/>
            </w:rPr>
            <w:fldChar w:fldCharType="separate"/>
          </w:r>
          <w:r>
            <w:rPr>
              <w:sz w:val="28"/>
              <w:szCs w:val="28"/>
            </w:rPr>
            <w:t>1</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23E83E2F">
          <w:pPr>
            <w:pStyle w:val="12"/>
            <w:keepNext w:val="0"/>
            <w:keepLines w:val="0"/>
            <w:pageBreakBefore w:val="0"/>
            <w:widowControl/>
            <w:tabs>
              <w:tab w:val="right" w:leader="dot" w:pos="8800"/>
              <w:tab w:val="clear" w:pos="8777"/>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_Toc9393 </w:instrText>
          </w:r>
          <w:r>
            <w:rPr>
              <w:rFonts w:hint="eastAsia" w:ascii="仿宋" w:hAnsi="仿宋" w:eastAsia="仿宋" w:cs="仿宋"/>
              <w:bCs/>
              <w:kern w:val="2"/>
              <w:sz w:val="28"/>
              <w:szCs w:val="28"/>
              <w:lang w:val="en-US" w:eastAsia="zh-CN"/>
            </w:rPr>
            <w:fldChar w:fldCharType="separate"/>
          </w:r>
          <w:r>
            <w:rPr>
              <w:rFonts w:hint="eastAsia" w:ascii="黑体" w:hAnsi="黑体" w:eastAsia="黑体" w:cs="黑体"/>
              <w:bCs/>
              <w:sz w:val="28"/>
              <w:szCs w:val="28"/>
              <w:lang w:val="zh-CN" w:eastAsia="zh-CN"/>
            </w:rPr>
            <w:t>一、项目</w:t>
          </w:r>
          <w:r>
            <w:rPr>
              <w:rFonts w:hint="eastAsia" w:ascii="黑体" w:hAnsi="黑体" w:eastAsia="黑体" w:cs="黑体"/>
              <w:bCs/>
              <w:sz w:val="28"/>
              <w:szCs w:val="28"/>
              <w:lang w:val="en-US" w:eastAsia="zh-CN"/>
            </w:rPr>
            <w:t>概况</w:t>
          </w:r>
          <w:r>
            <w:rPr>
              <w:sz w:val="28"/>
              <w:szCs w:val="28"/>
            </w:rPr>
            <w:tab/>
          </w:r>
          <w:r>
            <w:rPr>
              <w:sz w:val="28"/>
              <w:szCs w:val="28"/>
            </w:rPr>
            <w:fldChar w:fldCharType="begin"/>
          </w:r>
          <w:r>
            <w:rPr>
              <w:sz w:val="28"/>
              <w:szCs w:val="28"/>
            </w:rPr>
            <w:instrText xml:space="preserve"> PAGEREF _Toc9393 \h </w:instrText>
          </w:r>
          <w:r>
            <w:rPr>
              <w:sz w:val="28"/>
              <w:szCs w:val="28"/>
            </w:rPr>
            <w:fldChar w:fldCharType="separate"/>
          </w:r>
          <w:r>
            <w:rPr>
              <w:sz w:val="28"/>
              <w:szCs w:val="28"/>
            </w:rPr>
            <w:t>2</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61ACC155">
          <w:pPr>
            <w:pStyle w:val="13"/>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_Toc23067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zh-CN" w:eastAsia="zh-CN"/>
            </w:rPr>
            <w:t>（</w:t>
          </w:r>
          <w:r>
            <w:rPr>
              <w:rFonts w:hint="eastAsia" w:ascii="楷体_GB2312" w:hAnsi="楷体_GB2312" w:eastAsia="楷体_GB2312" w:cs="楷体_GB2312"/>
              <w:bCs/>
              <w:sz w:val="28"/>
              <w:szCs w:val="28"/>
              <w:lang w:val="en-US" w:eastAsia="zh-CN"/>
            </w:rPr>
            <w:t>一</w:t>
          </w:r>
          <w:r>
            <w:rPr>
              <w:rFonts w:hint="eastAsia" w:ascii="楷体_GB2312" w:hAnsi="楷体_GB2312" w:eastAsia="楷体_GB2312" w:cs="楷体_GB2312"/>
              <w:bCs/>
              <w:sz w:val="28"/>
              <w:szCs w:val="28"/>
              <w:lang w:val="zh-CN" w:eastAsia="zh-CN"/>
            </w:rPr>
            <w:t>）</w:t>
          </w:r>
          <w:r>
            <w:rPr>
              <w:rFonts w:hint="eastAsia" w:ascii="楷体_GB2312" w:hAnsi="楷体_GB2312" w:eastAsia="楷体_GB2312" w:cs="楷体_GB2312"/>
              <w:bCs/>
              <w:sz w:val="28"/>
              <w:szCs w:val="28"/>
              <w:lang w:val="en-US" w:eastAsia="zh-CN"/>
            </w:rPr>
            <w:t>项目实施单位情况</w:t>
          </w:r>
          <w:r>
            <w:rPr>
              <w:sz w:val="28"/>
              <w:szCs w:val="28"/>
            </w:rPr>
            <w:tab/>
          </w:r>
          <w:r>
            <w:rPr>
              <w:sz w:val="28"/>
              <w:szCs w:val="28"/>
            </w:rPr>
            <w:fldChar w:fldCharType="begin"/>
          </w:r>
          <w:r>
            <w:rPr>
              <w:sz w:val="28"/>
              <w:szCs w:val="28"/>
            </w:rPr>
            <w:instrText xml:space="preserve"> PAGEREF _Toc23067 \h </w:instrText>
          </w:r>
          <w:r>
            <w:rPr>
              <w:sz w:val="28"/>
              <w:szCs w:val="28"/>
            </w:rPr>
            <w:fldChar w:fldCharType="separate"/>
          </w:r>
          <w:r>
            <w:rPr>
              <w:sz w:val="28"/>
              <w:szCs w:val="28"/>
            </w:rPr>
            <w:t>2</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7D2CA851">
          <w:pPr>
            <w:pStyle w:val="13"/>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_Toc28619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zh-CN" w:eastAsia="zh-CN"/>
            </w:rPr>
            <w:t>（</w:t>
          </w:r>
          <w:r>
            <w:rPr>
              <w:rFonts w:hint="eastAsia" w:ascii="楷体_GB2312" w:hAnsi="楷体_GB2312" w:eastAsia="楷体_GB2312" w:cs="楷体_GB2312"/>
              <w:bCs/>
              <w:sz w:val="28"/>
              <w:szCs w:val="28"/>
              <w:lang w:val="en-US" w:eastAsia="zh-CN"/>
            </w:rPr>
            <w:t>二</w:t>
          </w:r>
          <w:r>
            <w:rPr>
              <w:rFonts w:hint="eastAsia" w:ascii="楷体_GB2312" w:hAnsi="楷体_GB2312" w:eastAsia="楷体_GB2312" w:cs="楷体_GB2312"/>
              <w:bCs/>
              <w:sz w:val="28"/>
              <w:szCs w:val="28"/>
              <w:lang w:val="zh-CN" w:eastAsia="zh-CN"/>
            </w:rPr>
            <w:t>）</w:t>
          </w:r>
          <w:r>
            <w:rPr>
              <w:rFonts w:hint="eastAsia" w:ascii="楷体_GB2312" w:hAnsi="楷体_GB2312" w:eastAsia="楷体_GB2312" w:cs="楷体_GB2312"/>
              <w:bCs/>
              <w:sz w:val="28"/>
              <w:szCs w:val="28"/>
              <w:lang w:val="en-US" w:eastAsia="zh-CN"/>
            </w:rPr>
            <w:t>项目基本情况</w:t>
          </w:r>
          <w:r>
            <w:rPr>
              <w:sz w:val="28"/>
              <w:szCs w:val="28"/>
            </w:rPr>
            <w:tab/>
          </w:r>
          <w:r>
            <w:rPr>
              <w:sz w:val="28"/>
              <w:szCs w:val="28"/>
            </w:rPr>
            <w:fldChar w:fldCharType="begin"/>
          </w:r>
          <w:r>
            <w:rPr>
              <w:sz w:val="28"/>
              <w:szCs w:val="28"/>
            </w:rPr>
            <w:instrText xml:space="preserve"> PAGEREF _Toc28619 \h </w:instrText>
          </w:r>
          <w:r>
            <w:rPr>
              <w:sz w:val="28"/>
              <w:szCs w:val="28"/>
            </w:rPr>
            <w:fldChar w:fldCharType="separate"/>
          </w:r>
          <w:r>
            <w:rPr>
              <w:sz w:val="28"/>
              <w:szCs w:val="28"/>
            </w:rPr>
            <w:t>2</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70D1DB76">
          <w:pPr>
            <w:pStyle w:val="13"/>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_Toc6743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en-US" w:eastAsia="zh-CN"/>
            </w:rPr>
            <w:t>（三）项目预期绩效目标</w:t>
          </w:r>
          <w:r>
            <w:rPr>
              <w:sz w:val="28"/>
              <w:szCs w:val="28"/>
            </w:rPr>
            <w:tab/>
          </w:r>
          <w:r>
            <w:rPr>
              <w:sz w:val="28"/>
              <w:szCs w:val="28"/>
            </w:rPr>
            <w:fldChar w:fldCharType="begin"/>
          </w:r>
          <w:r>
            <w:rPr>
              <w:sz w:val="28"/>
              <w:szCs w:val="28"/>
            </w:rPr>
            <w:instrText xml:space="preserve"> PAGEREF _Toc6743 \h </w:instrText>
          </w:r>
          <w:r>
            <w:rPr>
              <w:sz w:val="28"/>
              <w:szCs w:val="28"/>
            </w:rPr>
            <w:fldChar w:fldCharType="separate"/>
          </w:r>
          <w:r>
            <w:rPr>
              <w:sz w:val="28"/>
              <w:szCs w:val="28"/>
            </w:rPr>
            <w:t>4</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111DCB77">
          <w:pPr>
            <w:pStyle w:val="12"/>
            <w:keepNext w:val="0"/>
            <w:keepLines w:val="0"/>
            <w:pageBreakBefore w:val="0"/>
            <w:widowControl/>
            <w:tabs>
              <w:tab w:val="right" w:leader="dot" w:pos="8800"/>
              <w:tab w:val="clear" w:pos="8777"/>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_Toc26118 </w:instrText>
          </w:r>
          <w:r>
            <w:rPr>
              <w:rFonts w:hint="eastAsia" w:ascii="仿宋" w:hAnsi="仿宋" w:eastAsia="仿宋" w:cs="仿宋"/>
              <w:bCs/>
              <w:kern w:val="2"/>
              <w:sz w:val="28"/>
              <w:szCs w:val="28"/>
              <w:lang w:val="en-US" w:eastAsia="zh-CN"/>
            </w:rPr>
            <w:fldChar w:fldCharType="separate"/>
          </w:r>
          <w:r>
            <w:rPr>
              <w:rFonts w:hint="eastAsia" w:ascii="黑体" w:hAnsi="黑体" w:eastAsia="黑体" w:cs="黑体"/>
              <w:bCs/>
              <w:sz w:val="28"/>
              <w:szCs w:val="28"/>
              <w:lang w:val="en-US" w:eastAsia="zh-CN"/>
            </w:rPr>
            <w:t>二</w:t>
          </w:r>
          <w:r>
            <w:rPr>
              <w:rFonts w:hint="eastAsia" w:ascii="黑体" w:hAnsi="黑体" w:eastAsia="黑体" w:cs="黑体"/>
              <w:bCs/>
              <w:sz w:val="28"/>
              <w:szCs w:val="28"/>
              <w:lang w:val="zh-CN" w:eastAsia="zh-CN"/>
            </w:rPr>
            <w:t>、绩效评估工作开展情况</w:t>
          </w:r>
          <w:r>
            <w:rPr>
              <w:sz w:val="28"/>
              <w:szCs w:val="28"/>
            </w:rPr>
            <w:tab/>
          </w:r>
          <w:r>
            <w:rPr>
              <w:sz w:val="28"/>
              <w:szCs w:val="28"/>
            </w:rPr>
            <w:fldChar w:fldCharType="begin"/>
          </w:r>
          <w:r>
            <w:rPr>
              <w:sz w:val="28"/>
              <w:szCs w:val="28"/>
            </w:rPr>
            <w:instrText xml:space="preserve"> PAGEREF _Toc26118 \h </w:instrText>
          </w:r>
          <w:r>
            <w:rPr>
              <w:sz w:val="28"/>
              <w:szCs w:val="28"/>
            </w:rPr>
            <w:fldChar w:fldCharType="separate"/>
          </w:r>
          <w:r>
            <w:rPr>
              <w:sz w:val="28"/>
              <w:szCs w:val="28"/>
            </w:rPr>
            <w:t>5</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08EDA10A">
          <w:pPr>
            <w:pStyle w:val="13"/>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_Toc20066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zh-CN" w:eastAsia="zh-CN"/>
            </w:rPr>
            <w:t>（一）评估目的</w:t>
          </w:r>
          <w:r>
            <w:rPr>
              <w:sz w:val="28"/>
              <w:szCs w:val="28"/>
            </w:rPr>
            <w:tab/>
          </w:r>
          <w:r>
            <w:rPr>
              <w:sz w:val="28"/>
              <w:szCs w:val="28"/>
            </w:rPr>
            <w:fldChar w:fldCharType="begin"/>
          </w:r>
          <w:r>
            <w:rPr>
              <w:sz w:val="28"/>
              <w:szCs w:val="28"/>
            </w:rPr>
            <w:instrText xml:space="preserve"> PAGEREF _Toc20066 \h </w:instrText>
          </w:r>
          <w:r>
            <w:rPr>
              <w:sz w:val="28"/>
              <w:szCs w:val="28"/>
            </w:rPr>
            <w:fldChar w:fldCharType="separate"/>
          </w:r>
          <w:r>
            <w:rPr>
              <w:sz w:val="28"/>
              <w:szCs w:val="28"/>
            </w:rPr>
            <w:t>5</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6931B066">
          <w:pPr>
            <w:pStyle w:val="13"/>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_Toc23298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zh-CN" w:eastAsia="zh-CN"/>
            </w:rPr>
            <w:t>（二）评估指标</w:t>
          </w:r>
          <w:r>
            <w:rPr>
              <w:sz w:val="28"/>
              <w:szCs w:val="28"/>
            </w:rPr>
            <w:tab/>
          </w:r>
          <w:r>
            <w:rPr>
              <w:sz w:val="28"/>
              <w:szCs w:val="28"/>
            </w:rPr>
            <w:fldChar w:fldCharType="begin"/>
          </w:r>
          <w:r>
            <w:rPr>
              <w:sz w:val="28"/>
              <w:szCs w:val="28"/>
            </w:rPr>
            <w:instrText xml:space="preserve"> PAGEREF _Toc23298 \h </w:instrText>
          </w:r>
          <w:r>
            <w:rPr>
              <w:sz w:val="28"/>
              <w:szCs w:val="28"/>
            </w:rPr>
            <w:fldChar w:fldCharType="separate"/>
          </w:r>
          <w:r>
            <w:rPr>
              <w:sz w:val="28"/>
              <w:szCs w:val="28"/>
            </w:rPr>
            <w:t>6</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3BEE435A">
          <w:pPr>
            <w:pStyle w:val="13"/>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_Toc11319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zh-CN" w:eastAsia="zh-CN"/>
            </w:rPr>
            <w:t>（三）评估依据</w:t>
          </w:r>
          <w:r>
            <w:rPr>
              <w:sz w:val="28"/>
              <w:szCs w:val="28"/>
            </w:rPr>
            <w:tab/>
          </w:r>
          <w:r>
            <w:rPr>
              <w:sz w:val="28"/>
              <w:szCs w:val="28"/>
            </w:rPr>
            <w:fldChar w:fldCharType="begin"/>
          </w:r>
          <w:r>
            <w:rPr>
              <w:sz w:val="28"/>
              <w:szCs w:val="28"/>
            </w:rPr>
            <w:instrText xml:space="preserve"> PAGEREF _Toc11319 \h </w:instrText>
          </w:r>
          <w:r>
            <w:rPr>
              <w:sz w:val="28"/>
              <w:szCs w:val="28"/>
            </w:rPr>
            <w:fldChar w:fldCharType="separate"/>
          </w:r>
          <w:r>
            <w:rPr>
              <w:sz w:val="28"/>
              <w:szCs w:val="28"/>
            </w:rPr>
            <w:t>6</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1C73987D">
          <w:pPr>
            <w:pStyle w:val="13"/>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_Toc15052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zh-CN" w:eastAsia="zh-CN"/>
            </w:rPr>
            <w:t>（四）评估原则</w:t>
          </w:r>
          <w:r>
            <w:rPr>
              <w:sz w:val="28"/>
              <w:szCs w:val="28"/>
            </w:rPr>
            <w:tab/>
          </w:r>
          <w:r>
            <w:rPr>
              <w:sz w:val="28"/>
              <w:szCs w:val="28"/>
            </w:rPr>
            <w:fldChar w:fldCharType="begin"/>
          </w:r>
          <w:r>
            <w:rPr>
              <w:sz w:val="28"/>
              <w:szCs w:val="28"/>
            </w:rPr>
            <w:instrText xml:space="preserve"> PAGEREF _Toc15052 \h </w:instrText>
          </w:r>
          <w:r>
            <w:rPr>
              <w:sz w:val="28"/>
              <w:szCs w:val="28"/>
            </w:rPr>
            <w:fldChar w:fldCharType="separate"/>
          </w:r>
          <w:r>
            <w:rPr>
              <w:sz w:val="28"/>
              <w:szCs w:val="28"/>
            </w:rPr>
            <w:t>7</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2B46F1BA">
          <w:pPr>
            <w:pStyle w:val="13"/>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_Toc4633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zh-CN" w:eastAsia="zh-CN"/>
            </w:rPr>
            <w:t>（五）评估方法和等级设定</w:t>
          </w:r>
          <w:r>
            <w:rPr>
              <w:sz w:val="28"/>
              <w:szCs w:val="28"/>
            </w:rPr>
            <w:tab/>
          </w:r>
          <w:r>
            <w:rPr>
              <w:sz w:val="28"/>
              <w:szCs w:val="28"/>
            </w:rPr>
            <w:fldChar w:fldCharType="begin"/>
          </w:r>
          <w:r>
            <w:rPr>
              <w:sz w:val="28"/>
              <w:szCs w:val="28"/>
            </w:rPr>
            <w:instrText xml:space="preserve"> PAGEREF _Toc4633 \h </w:instrText>
          </w:r>
          <w:r>
            <w:rPr>
              <w:sz w:val="28"/>
              <w:szCs w:val="28"/>
            </w:rPr>
            <w:fldChar w:fldCharType="separate"/>
          </w:r>
          <w:r>
            <w:rPr>
              <w:sz w:val="28"/>
              <w:szCs w:val="28"/>
            </w:rPr>
            <w:t>8</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3F55B488">
          <w:pPr>
            <w:pStyle w:val="13"/>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_Toc9726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zh-CN" w:eastAsia="zh-CN"/>
            </w:rPr>
            <w:t>（六）组织实施</w:t>
          </w:r>
          <w:r>
            <w:rPr>
              <w:sz w:val="28"/>
              <w:szCs w:val="28"/>
            </w:rPr>
            <w:tab/>
          </w:r>
          <w:r>
            <w:rPr>
              <w:sz w:val="28"/>
              <w:szCs w:val="28"/>
            </w:rPr>
            <w:fldChar w:fldCharType="begin"/>
          </w:r>
          <w:r>
            <w:rPr>
              <w:sz w:val="28"/>
              <w:szCs w:val="28"/>
            </w:rPr>
            <w:instrText xml:space="preserve"> PAGEREF _Toc9726 \h </w:instrText>
          </w:r>
          <w:r>
            <w:rPr>
              <w:sz w:val="28"/>
              <w:szCs w:val="28"/>
            </w:rPr>
            <w:fldChar w:fldCharType="separate"/>
          </w:r>
          <w:r>
            <w:rPr>
              <w:sz w:val="28"/>
              <w:szCs w:val="28"/>
            </w:rPr>
            <w:t>8</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3988DA05">
          <w:pPr>
            <w:pStyle w:val="12"/>
            <w:keepNext w:val="0"/>
            <w:keepLines w:val="0"/>
            <w:pageBreakBefore w:val="0"/>
            <w:widowControl/>
            <w:tabs>
              <w:tab w:val="right" w:leader="dot" w:pos="8800"/>
              <w:tab w:val="clear" w:pos="8777"/>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_Toc29724 </w:instrText>
          </w:r>
          <w:r>
            <w:rPr>
              <w:rFonts w:hint="eastAsia" w:ascii="仿宋" w:hAnsi="仿宋" w:eastAsia="仿宋" w:cs="仿宋"/>
              <w:bCs/>
              <w:kern w:val="2"/>
              <w:sz w:val="28"/>
              <w:szCs w:val="28"/>
              <w:lang w:val="en-US" w:eastAsia="zh-CN"/>
            </w:rPr>
            <w:fldChar w:fldCharType="separate"/>
          </w:r>
          <w:r>
            <w:rPr>
              <w:rFonts w:hint="eastAsia" w:ascii="黑体" w:hAnsi="黑体" w:eastAsia="黑体" w:cs="黑体"/>
              <w:bCs/>
              <w:sz w:val="28"/>
              <w:szCs w:val="28"/>
              <w:lang w:val="en-US" w:eastAsia="zh-CN"/>
            </w:rPr>
            <w:t>三</w:t>
          </w:r>
          <w:r>
            <w:rPr>
              <w:rFonts w:hint="eastAsia" w:ascii="黑体" w:hAnsi="黑体" w:eastAsia="黑体" w:cs="黑体"/>
              <w:bCs/>
              <w:sz w:val="28"/>
              <w:szCs w:val="28"/>
              <w:lang w:val="zh-CN" w:eastAsia="zh-CN"/>
            </w:rPr>
            <w:t>、事前绩效评估指标体系</w:t>
          </w:r>
          <w:r>
            <w:rPr>
              <w:sz w:val="28"/>
              <w:szCs w:val="28"/>
            </w:rPr>
            <w:tab/>
          </w:r>
          <w:r>
            <w:rPr>
              <w:sz w:val="28"/>
              <w:szCs w:val="28"/>
            </w:rPr>
            <w:fldChar w:fldCharType="begin"/>
          </w:r>
          <w:r>
            <w:rPr>
              <w:sz w:val="28"/>
              <w:szCs w:val="28"/>
            </w:rPr>
            <w:instrText xml:space="preserve"> PAGEREF _Toc29724 \h </w:instrText>
          </w:r>
          <w:r>
            <w:rPr>
              <w:sz w:val="28"/>
              <w:szCs w:val="28"/>
            </w:rPr>
            <w:fldChar w:fldCharType="separate"/>
          </w:r>
          <w:r>
            <w:rPr>
              <w:sz w:val="28"/>
              <w:szCs w:val="28"/>
            </w:rPr>
            <w:t>9</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52BA7276">
          <w:pPr>
            <w:pStyle w:val="12"/>
            <w:keepNext w:val="0"/>
            <w:keepLines w:val="0"/>
            <w:pageBreakBefore w:val="0"/>
            <w:widowControl/>
            <w:tabs>
              <w:tab w:val="right" w:leader="dot" w:pos="8800"/>
              <w:tab w:val="clear" w:pos="8777"/>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_Toc9937 </w:instrText>
          </w:r>
          <w:r>
            <w:rPr>
              <w:rFonts w:hint="eastAsia" w:ascii="仿宋" w:hAnsi="仿宋" w:eastAsia="仿宋" w:cs="仿宋"/>
              <w:bCs/>
              <w:kern w:val="2"/>
              <w:sz w:val="28"/>
              <w:szCs w:val="28"/>
              <w:lang w:val="en-US" w:eastAsia="zh-CN"/>
            </w:rPr>
            <w:fldChar w:fldCharType="separate"/>
          </w:r>
          <w:r>
            <w:rPr>
              <w:rFonts w:hint="eastAsia" w:ascii="黑体" w:hAnsi="黑体" w:eastAsia="黑体" w:cs="黑体"/>
              <w:bCs/>
              <w:sz w:val="28"/>
              <w:szCs w:val="28"/>
              <w:lang w:val="en-US" w:eastAsia="zh-CN"/>
            </w:rPr>
            <w:t>四、评估内容</w:t>
          </w:r>
          <w:r>
            <w:rPr>
              <w:sz w:val="28"/>
              <w:szCs w:val="28"/>
            </w:rPr>
            <w:tab/>
          </w:r>
          <w:r>
            <w:rPr>
              <w:sz w:val="28"/>
              <w:szCs w:val="28"/>
            </w:rPr>
            <w:fldChar w:fldCharType="begin"/>
          </w:r>
          <w:r>
            <w:rPr>
              <w:sz w:val="28"/>
              <w:szCs w:val="28"/>
            </w:rPr>
            <w:instrText xml:space="preserve"> PAGEREF _Toc9937 \h </w:instrText>
          </w:r>
          <w:r>
            <w:rPr>
              <w:sz w:val="28"/>
              <w:szCs w:val="28"/>
            </w:rPr>
            <w:fldChar w:fldCharType="separate"/>
          </w:r>
          <w:r>
            <w:rPr>
              <w:sz w:val="28"/>
              <w:szCs w:val="28"/>
            </w:rPr>
            <w:t>11</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1C93B09A">
          <w:pPr>
            <w:pStyle w:val="13"/>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_Toc18492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zh-CN" w:eastAsia="zh-CN"/>
            </w:rPr>
            <w:t>（</w:t>
          </w:r>
          <w:r>
            <w:rPr>
              <w:rFonts w:hint="eastAsia" w:ascii="楷体_GB2312" w:hAnsi="楷体_GB2312" w:eastAsia="楷体_GB2312" w:cs="楷体_GB2312"/>
              <w:bCs/>
              <w:sz w:val="28"/>
              <w:szCs w:val="28"/>
              <w:lang w:val="en-US" w:eastAsia="zh-CN"/>
            </w:rPr>
            <w:t>一</w:t>
          </w:r>
          <w:r>
            <w:rPr>
              <w:rFonts w:hint="eastAsia" w:ascii="楷体_GB2312" w:hAnsi="楷体_GB2312" w:eastAsia="楷体_GB2312" w:cs="楷体_GB2312"/>
              <w:bCs/>
              <w:sz w:val="28"/>
              <w:szCs w:val="28"/>
              <w:lang w:val="zh-CN" w:eastAsia="zh-CN"/>
            </w:rPr>
            <w:t>）</w:t>
          </w:r>
          <w:r>
            <w:rPr>
              <w:rFonts w:hint="eastAsia" w:ascii="楷体_GB2312" w:hAnsi="楷体_GB2312" w:eastAsia="楷体_GB2312" w:cs="楷体_GB2312"/>
              <w:bCs/>
              <w:sz w:val="28"/>
              <w:szCs w:val="28"/>
              <w:lang w:val="en-US" w:eastAsia="zh-CN"/>
            </w:rPr>
            <w:t>立项必要性</w:t>
          </w:r>
          <w:r>
            <w:rPr>
              <w:sz w:val="28"/>
              <w:szCs w:val="28"/>
            </w:rPr>
            <w:tab/>
          </w:r>
          <w:r>
            <w:rPr>
              <w:sz w:val="28"/>
              <w:szCs w:val="28"/>
            </w:rPr>
            <w:fldChar w:fldCharType="begin"/>
          </w:r>
          <w:r>
            <w:rPr>
              <w:sz w:val="28"/>
              <w:szCs w:val="28"/>
            </w:rPr>
            <w:instrText xml:space="preserve"> PAGEREF _Toc18492 \h </w:instrText>
          </w:r>
          <w:r>
            <w:rPr>
              <w:sz w:val="28"/>
              <w:szCs w:val="28"/>
            </w:rPr>
            <w:fldChar w:fldCharType="separate"/>
          </w:r>
          <w:r>
            <w:rPr>
              <w:sz w:val="28"/>
              <w:szCs w:val="28"/>
            </w:rPr>
            <w:t>11</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7076F536">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_Toc17737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1.立项依据充分性</w:t>
          </w:r>
          <w:r>
            <w:rPr>
              <w:sz w:val="28"/>
              <w:szCs w:val="28"/>
            </w:rPr>
            <w:tab/>
          </w:r>
          <w:r>
            <w:rPr>
              <w:sz w:val="28"/>
              <w:szCs w:val="28"/>
            </w:rPr>
            <w:fldChar w:fldCharType="begin"/>
          </w:r>
          <w:r>
            <w:rPr>
              <w:sz w:val="28"/>
              <w:szCs w:val="28"/>
            </w:rPr>
            <w:instrText xml:space="preserve"> PAGEREF _Toc17737 \h </w:instrText>
          </w:r>
          <w:r>
            <w:rPr>
              <w:sz w:val="28"/>
              <w:szCs w:val="28"/>
            </w:rPr>
            <w:fldChar w:fldCharType="separate"/>
          </w:r>
          <w:r>
            <w:rPr>
              <w:sz w:val="28"/>
              <w:szCs w:val="28"/>
            </w:rPr>
            <w:t>11</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7981AEDC">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_Toc16483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2.财政投入相关性</w:t>
          </w:r>
          <w:r>
            <w:rPr>
              <w:sz w:val="28"/>
              <w:szCs w:val="28"/>
            </w:rPr>
            <w:tab/>
          </w:r>
          <w:r>
            <w:rPr>
              <w:sz w:val="28"/>
              <w:szCs w:val="28"/>
            </w:rPr>
            <w:fldChar w:fldCharType="begin"/>
          </w:r>
          <w:r>
            <w:rPr>
              <w:sz w:val="28"/>
              <w:szCs w:val="28"/>
            </w:rPr>
            <w:instrText xml:space="preserve"> PAGEREF _Toc16483 \h </w:instrText>
          </w:r>
          <w:r>
            <w:rPr>
              <w:sz w:val="28"/>
              <w:szCs w:val="28"/>
            </w:rPr>
            <w:fldChar w:fldCharType="separate"/>
          </w:r>
          <w:r>
            <w:rPr>
              <w:sz w:val="28"/>
              <w:szCs w:val="28"/>
            </w:rPr>
            <w:t>16</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5AF0ACFF">
          <w:pPr>
            <w:pStyle w:val="13"/>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_Toc30148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zh-CN" w:eastAsia="zh-CN"/>
            </w:rPr>
            <w:t>（</w:t>
          </w:r>
          <w:r>
            <w:rPr>
              <w:rFonts w:hint="eastAsia" w:ascii="楷体_GB2312" w:hAnsi="楷体_GB2312" w:eastAsia="楷体_GB2312" w:cs="楷体_GB2312"/>
              <w:bCs/>
              <w:sz w:val="28"/>
              <w:szCs w:val="28"/>
              <w:lang w:val="en-US" w:eastAsia="zh-CN"/>
            </w:rPr>
            <w:t>二</w:t>
          </w:r>
          <w:r>
            <w:rPr>
              <w:rFonts w:hint="eastAsia" w:ascii="楷体_GB2312" w:hAnsi="楷体_GB2312" w:eastAsia="楷体_GB2312" w:cs="楷体_GB2312"/>
              <w:bCs/>
              <w:sz w:val="28"/>
              <w:szCs w:val="28"/>
              <w:lang w:val="zh-CN" w:eastAsia="zh-CN"/>
            </w:rPr>
            <w:t>）</w:t>
          </w:r>
          <w:r>
            <w:rPr>
              <w:rFonts w:hint="eastAsia" w:ascii="楷体_GB2312" w:hAnsi="楷体_GB2312" w:eastAsia="楷体_GB2312" w:cs="楷体_GB2312"/>
              <w:bCs/>
              <w:sz w:val="28"/>
              <w:szCs w:val="28"/>
              <w:lang w:val="en-US" w:eastAsia="zh-CN"/>
            </w:rPr>
            <w:t>投入经济性</w:t>
          </w:r>
          <w:r>
            <w:rPr>
              <w:sz w:val="28"/>
              <w:szCs w:val="28"/>
            </w:rPr>
            <w:tab/>
          </w:r>
          <w:r>
            <w:rPr>
              <w:sz w:val="28"/>
              <w:szCs w:val="28"/>
            </w:rPr>
            <w:fldChar w:fldCharType="begin"/>
          </w:r>
          <w:r>
            <w:rPr>
              <w:sz w:val="28"/>
              <w:szCs w:val="28"/>
            </w:rPr>
            <w:instrText xml:space="preserve"> PAGEREF _Toc30148 \h </w:instrText>
          </w:r>
          <w:r>
            <w:rPr>
              <w:sz w:val="28"/>
              <w:szCs w:val="28"/>
            </w:rPr>
            <w:fldChar w:fldCharType="separate"/>
          </w:r>
          <w:r>
            <w:rPr>
              <w:sz w:val="28"/>
              <w:szCs w:val="28"/>
            </w:rPr>
            <w:t>16</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7E0364F1">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_Toc10566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1.预算投入合理性</w:t>
          </w:r>
          <w:r>
            <w:rPr>
              <w:sz w:val="28"/>
              <w:szCs w:val="28"/>
            </w:rPr>
            <w:tab/>
          </w:r>
          <w:r>
            <w:rPr>
              <w:sz w:val="28"/>
              <w:szCs w:val="28"/>
            </w:rPr>
            <w:fldChar w:fldCharType="begin"/>
          </w:r>
          <w:r>
            <w:rPr>
              <w:sz w:val="28"/>
              <w:szCs w:val="28"/>
            </w:rPr>
            <w:instrText xml:space="preserve"> PAGEREF _Toc10566 \h </w:instrText>
          </w:r>
          <w:r>
            <w:rPr>
              <w:sz w:val="28"/>
              <w:szCs w:val="28"/>
            </w:rPr>
            <w:fldChar w:fldCharType="separate"/>
          </w:r>
          <w:r>
            <w:rPr>
              <w:sz w:val="28"/>
              <w:szCs w:val="28"/>
            </w:rPr>
            <w:t>16</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4FE2E76A">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_Toc31937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2.成本控制有效性</w:t>
          </w:r>
          <w:r>
            <w:rPr>
              <w:sz w:val="28"/>
              <w:szCs w:val="28"/>
            </w:rPr>
            <w:tab/>
          </w:r>
          <w:r>
            <w:rPr>
              <w:sz w:val="28"/>
              <w:szCs w:val="28"/>
            </w:rPr>
            <w:fldChar w:fldCharType="begin"/>
          </w:r>
          <w:r>
            <w:rPr>
              <w:sz w:val="28"/>
              <w:szCs w:val="28"/>
            </w:rPr>
            <w:instrText xml:space="preserve"> PAGEREF _Toc31937 \h </w:instrText>
          </w:r>
          <w:r>
            <w:rPr>
              <w:sz w:val="28"/>
              <w:szCs w:val="28"/>
            </w:rPr>
            <w:fldChar w:fldCharType="separate"/>
          </w:r>
          <w:r>
            <w:rPr>
              <w:sz w:val="28"/>
              <w:szCs w:val="28"/>
            </w:rPr>
            <w:t>18</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13E32331">
          <w:pPr>
            <w:pStyle w:val="13"/>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_Toc15745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en-US" w:eastAsia="zh-CN"/>
            </w:rPr>
            <w:t>（三）绩效目标合理性</w:t>
          </w:r>
          <w:r>
            <w:rPr>
              <w:sz w:val="28"/>
              <w:szCs w:val="28"/>
            </w:rPr>
            <w:tab/>
          </w:r>
          <w:r>
            <w:rPr>
              <w:sz w:val="28"/>
              <w:szCs w:val="28"/>
            </w:rPr>
            <w:fldChar w:fldCharType="begin"/>
          </w:r>
          <w:r>
            <w:rPr>
              <w:sz w:val="28"/>
              <w:szCs w:val="28"/>
            </w:rPr>
            <w:instrText xml:space="preserve"> PAGEREF _Toc15745 \h </w:instrText>
          </w:r>
          <w:r>
            <w:rPr>
              <w:sz w:val="28"/>
              <w:szCs w:val="28"/>
            </w:rPr>
            <w:fldChar w:fldCharType="separate"/>
          </w:r>
          <w:r>
            <w:rPr>
              <w:sz w:val="28"/>
              <w:szCs w:val="28"/>
            </w:rPr>
            <w:t>19</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16007CC9">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_Toc31260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1.绩效目标明确性</w:t>
          </w:r>
          <w:r>
            <w:rPr>
              <w:sz w:val="28"/>
              <w:szCs w:val="28"/>
            </w:rPr>
            <w:tab/>
          </w:r>
          <w:r>
            <w:rPr>
              <w:sz w:val="28"/>
              <w:szCs w:val="28"/>
            </w:rPr>
            <w:fldChar w:fldCharType="begin"/>
          </w:r>
          <w:r>
            <w:rPr>
              <w:sz w:val="28"/>
              <w:szCs w:val="28"/>
            </w:rPr>
            <w:instrText xml:space="preserve"> PAGEREF _Toc31260 \h </w:instrText>
          </w:r>
          <w:r>
            <w:rPr>
              <w:sz w:val="28"/>
              <w:szCs w:val="28"/>
            </w:rPr>
            <w:fldChar w:fldCharType="separate"/>
          </w:r>
          <w:r>
            <w:rPr>
              <w:sz w:val="28"/>
              <w:szCs w:val="28"/>
            </w:rPr>
            <w:t>20</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11451247">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_Toc30311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2.绩效目标合理性</w:t>
          </w:r>
          <w:r>
            <w:rPr>
              <w:sz w:val="28"/>
              <w:szCs w:val="28"/>
            </w:rPr>
            <w:tab/>
          </w:r>
          <w:r>
            <w:rPr>
              <w:sz w:val="28"/>
              <w:szCs w:val="28"/>
            </w:rPr>
            <w:fldChar w:fldCharType="begin"/>
          </w:r>
          <w:r>
            <w:rPr>
              <w:sz w:val="28"/>
              <w:szCs w:val="28"/>
            </w:rPr>
            <w:instrText xml:space="preserve"> PAGEREF _Toc30311 \h </w:instrText>
          </w:r>
          <w:r>
            <w:rPr>
              <w:sz w:val="28"/>
              <w:szCs w:val="28"/>
            </w:rPr>
            <w:fldChar w:fldCharType="separate"/>
          </w:r>
          <w:r>
            <w:rPr>
              <w:sz w:val="28"/>
              <w:szCs w:val="28"/>
            </w:rPr>
            <w:t>20</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3FC84436">
          <w:pPr>
            <w:pStyle w:val="13"/>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_Toc7969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en-US" w:eastAsia="zh-CN"/>
            </w:rPr>
            <w:t>（四）项目可行性</w:t>
          </w:r>
          <w:r>
            <w:rPr>
              <w:sz w:val="28"/>
              <w:szCs w:val="28"/>
            </w:rPr>
            <w:tab/>
          </w:r>
          <w:r>
            <w:rPr>
              <w:sz w:val="28"/>
              <w:szCs w:val="28"/>
            </w:rPr>
            <w:fldChar w:fldCharType="begin"/>
          </w:r>
          <w:r>
            <w:rPr>
              <w:sz w:val="28"/>
              <w:szCs w:val="28"/>
            </w:rPr>
            <w:instrText xml:space="preserve"> PAGEREF _Toc7969 \h </w:instrText>
          </w:r>
          <w:r>
            <w:rPr>
              <w:sz w:val="28"/>
              <w:szCs w:val="28"/>
            </w:rPr>
            <w:fldChar w:fldCharType="separate"/>
          </w:r>
          <w:r>
            <w:rPr>
              <w:sz w:val="28"/>
              <w:szCs w:val="28"/>
            </w:rPr>
            <w:t>22</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6C30A882">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_Toc28754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1.实施可行性</w:t>
          </w:r>
          <w:r>
            <w:rPr>
              <w:sz w:val="28"/>
              <w:szCs w:val="28"/>
            </w:rPr>
            <w:tab/>
          </w:r>
          <w:r>
            <w:rPr>
              <w:sz w:val="28"/>
              <w:szCs w:val="28"/>
            </w:rPr>
            <w:fldChar w:fldCharType="begin"/>
          </w:r>
          <w:r>
            <w:rPr>
              <w:sz w:val="28"/>
              <w:szCs w:val="28"/>
            </w:rPr>
            <w:instrText xml:space="preserve"> PAGEREF _Toc28754 \h </w:instrText>
          </w:r>
          <w:r>
            <w:rPr>
              <w:sz w:val="28"/>
              <w:szCs w:val="28"/>
            </w:rPr>
            <w:fldChar w:fldCharType="separate"/>
          </w:r>
          <w:r>
            <w:rPr>
              <w:sz w:val="28"/>
              <w:szCs w:val="28"/>
            </w:rPr>
            <w:t>23</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5E36C05D">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_Toc28180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2.过程控制有效性</w:t>
          </w:r>
          <w:r>
            <w:rPr>
              <w:sz w:val="28"/>
              <w:szCs w:val="28"/>
            </w:rPr>
            <w:tab/>
          </w:r>
          <w:r>
            <w:rPr>
              <w:sz w:val="28"/>
              <w:szCs w:val="28"/>
            </w:rPr>
            <w:fldChar w:fldCharType="begin"/>
          </w:r>
          <w:r>
            <w:rPr>
              <w:sz w:val="28"/>
              <w:szCs w:val="28"/>
            </w:rPr>
            <w:instrText xml:space="preserve"> PAGEREF _Toc28180 \h </w:instrText>
          </w:r>
          <w:r>
            <w:rPr>
              <w:sz w:val="28"/>
              <w:szCs w:val="28"/>
            </w:rPr>
            <w:fldChar w:fldCharType="separate"/>
          </w:r>
          <w:r>
            <w:rPr>
              <w:sz w:val="28"/>
              <w:szCs w:val="28"/>
            </w:rPr>
            <w:t>24</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737EC9A9">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_Toc26236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3.项目可持续性</w:t>
          </w:r>
          <w:r>
            <w:rPr>
              <w:sz w:val="28"/>
              <w:szCs w:val="28"/>
            </w:rPr>
            <w:tab/>
          </w:r>
          <w:r>
            <w:rPr>
              <w:sz w:val="28"/>
              <w:szCs w:val="28"/>
            </w:rPr>
            <w:fldChar w:fldCharType="begin"/>
          </w:r>
          <w:r>
            <w:rPr>
              <w:sz w:val="28"/>
              <w:szCs w:val="28"/>
            </w:rPr>
            <w:instrText xml:space="preserve"> PAGEREF _Toc26236 \h </w:instrText>
          </w:r>
          <w:r>
            <w:rPr>
              <w:sz w:val="28"/>
              <w:szCs w:val="28"/>
            </w:rPr>
            <w:fldChar w:fldCharType="separate"/>
          </w:r>
          <w:r>
            <w:rPr>
              <w:sz w:val="28"/>
              <w:szCs w:val="28"/>
            </w:rPr>
            <w:t>25</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56BCEADD">
          <w:pPr>
            <w:pStyle w:val="13"/>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_Toc5927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en-US" w:eastAsia="zh-CN"/>
            </w:rPr>
            <w:t>（五）筹资可行性</w:t>
          </w:r>
          <w:r>
            <w:rPr>
              <w:sz w:val="28"/>
              <w:szCs w:val="28"/>
            </w:rPr>
            <w:tab/>
          </w:r>
          <w:r>
            <w:rPr>
              <w:sz w:val="28"/>
              <w:szCs w:val="28"/>
            </w:rPr>
            <w:fldChar w:fldCharType="begin"/>
          </w:r>
          <w:r>
            <w:rPr>
              <w:sz w:val="28"/>
              <w:szCs w:val="28"/>
            </w:rPr>
            <w:instrText xml:space="preserve"> PAGEREF _Toc5927 \h </w:instrText>
          </w:r>
          <w:r>
            <w:rPr>
              <w:sz w:val="28"/>
              <w:szCs w:val="28"/>
            </w:rPr>
            <w:fldChar w:fldCharType="separate"/>
          </w:r>
          <w:r>
            <w:rPr>
              <w:sz w:val="28"/>
              <w:szCs w:val="28"/>
            </w:rPr>
            <w:t>27</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7A7499CB">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_Toc10926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1.筹资合规性</w:t>
          </w:r>
          <w:r>
            <w:rPr>
              <w:sz w:val="28"/>
              <w:szCs w:val="28"/>
            </w:rPr>
            <w:tab/>
          </w:r>
          <w:r>
            <w:rPr>
              <w:sz w:val="28"/>
              <w:szCs w:val="28"/>
            </w:rPr>
            <w:fldChar w:fldCharType="begin"/>
          </w:r>
          <w:r>
            <w:rPr>
              <w:sz w:val="28"/>
              <w:szCs w:val="28"/>
            </w:rPr>
            <w:instrText xml:space="preserve"> PAGEREF _Toc10926 \h </w:instrText>
          </w:r>
          <w:r>
            <w:rPr>
              <w:sz w:val="28"/>
              <w:szCs w:val="28"/>
            </w:rPr>
            <w:fldChar w:fldCharType="separate"/>
          </w:r>
          <w:r>
            <w:rPr>
              <w:sz w:val="28"/>
              <w:szCs w:val="28"/>
            </w:rPr>
            <w:t>27</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315FD542">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_Toc26100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2.财政投入合理性</w:t>
          </w:r>
          <w:r>
            <w:rPr>
              <w:sz w:val="28"/>
              <w:szCs w:val="28"/>
            </w:rPr>
            <w:tab/>
          </w:r>
          <w:r>
            <w:rPr>
              <w:sz w:val="28"/>
              <w:szCs w:val="28"/>
            </w:rPr>
            <w:fldChar w:fldCharType="begin"/>
          </w:r>
          <w:r>
            <w:rPr>
              <w:sz w:val="28"/>
              <w:szCs w:val="28"/>
            </w:rPr>
            <w:instrText xml:space="preserve"> PAGEREF _Toc26100 \h </w:instrText>
          </w:r>
          <w:r>
            <w:rPr>
              <w:sz w:val="28"/>
              <w:szCs w:val="28"/>
            </w:rPr>
            <w:fldChar w:fldCharType="separate"/>
          </w:r>
          <w:r>
            <w:rPr>
              <w:sz w:val="28"/>
              <w:szCs w:val="28"/>
            </w:rPr>
            <w:t>27</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7DEA4D29">
          <w:pPr>
            <w:pStyle w:val="12"/>
            <w:keepNext w:val="0"/>
            <w:keepLines w:val="0"/>
            <w:pageBreakBefore w:val="0"/>
            <w:widowControl/>
            <w:tabs>
              <w:tab w:val="right" w:leader="dot" w:pos="8800"/>
              <w:tab w:val="clear" w:pos="8777"/>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_Toc24383 </w:instrText>
          </w:r>
          <w:r>
            <w:rPr>
              <w:rFonts w:hint="eastAsia" w:ascii="仿宋" w:hAnsi="仿宋" w:eastAsia="仿宋" w:cs="仿宋"/>
              <w:bCs/>
              <w:kern w:val="2"/>
              <w:sz w:val="28"/>
              <w:szCs w:val="28"/>
              <w:lang w:val="en-US" w:eastAsia="zh-CN"/>
            </w:rPr>
            <w:fldChar w:fldCharType="separate"/>
          </w:r>
          <w:r>
            <w:rPr>
              <w:rFonts w:hint="eastAsia" w:ascii="黑体" w:hAnsi="黑体" w:eastAsia="黑体" w:cs="黑体"/>
              <w:bCs/>
              <w:sz w:val="28"/>
              <w:szCs w:val="28"/>
              <w:lang w:val="en-US" w:eastAsia="zh-CN"/>
            </w:rPr>
            <w:t>五</w:t>
          </w:r>
          <w:r>
            <w:rPr>
              <w:rFonts w:hint="eastAsia" w:ascii="黑体" w:hAnsi="黑体" w:eastAsia="黑体" w:cs="黑体"/>
              <w:bCs/>
              <w:sz w:val="28"/>
              <w:szCs w:val="28"/>
              <w:lang w:val="zh-CN" w:eastAsia="zh-CN"/>
            </w:rPr>
            <w:t>、总体结论</w:t>
          </w:r>
          <w:r>
            <w:rPr>
              <w:sz w:val="28"/>
              <w:szCs w:val="28"/>
            </w:rPr>
            <w:tab/>
          </w:r>
          <w:r>
            <w:rPr>
              <w:sz w:val="28"/>
              <w:szCs w:val="28"/>
            </w:rPr>
            <w:fldChar w:fldCharType="begin"/>
          </w:r>
          <w:r>
            <w:rPr>
              <w:sz w:val="28"/>
              <w:szCs w:val="28"/>
            </w:rPr>
            <w:instrText xml:space="preserve"> PAGEREF _Toc24383 \h </w:instrText>
          </w:r>
          <w:r>
            <w:rPr>
              <w:sz w:val="28"/>
              <w:szCs w:val="28"/>
            </w:rPr>
            <w:fldChar w:fldCharType="separate"/>
          </w:r>
          <w:r>
            <w:rPr>
              <w:sz w:val="28"/>
              <w:szCs w:val="28"/>
            </w:rPr>
            <w:t>28</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0A05A33E">
          <w:pPr>
            <w:pStyle w:val="13"/>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_Toc3062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zh-CN" w:eastAsia="zh-CN"/>
            </w:rPr>
            <w:t>（一）存在的主要问题</w:t>
          </w:r>
          <w:r>
            <w:rPr>
              <w:sz w:val="28"/>
              <w:szCs w:val="28"/>
            </w:rPr>
            <w:tab/>
          </w:r>
          <w:r>
            <w:rPr>
              <w:sz w:val="28"/>
              <w:szCs w:val="28"/>
            </w:rPr>
            <w:fldChar w:fldCharType="begin"/>
          </w:r>
          <w:r>
            <w:rPr>
              <w:sz w:val="28"/>
              <w:szCs w:val="28"/>
            </w:rPr>
            <w:instrText xml:space="preserve"> PAGEREF _Toc3062 \h </w:instrText>
          </w:r>
          <w:r>
            <w:rPr>
              <w:sz w:val="28"/>
              <w:szCs w:val="28"/>
            </w:rPr>
            <w:fldChar w:fldCharType="separate"/>
          </w:r>
          <w:r>
            <w:rPr>
              <w:sz w:val="28"/>
              <w:szCs w:val="28"/>
            </w:rPr>
            <w:t>29</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21A3FF4B">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_Toc11838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1.报价供应商业务领域与项目需求错配</w:t>
          </w:r>
          <w:r>
            <w:rPr>
              <w:sz w:val="28"/>
              <w:szCs w:val="28"/>
            </w:rPr>
            <w:tab/>
          </w:r>
          <w:r>
            <w:rPr>
              <w:sz w:val="28"/>
              <w:szCs w:val="28"/>
            </w:rPr>
            <w:fldChar w:fldCharType="begin"/>
          </w:r>
          <w:r>
            <w:rPr>
              <w:sz w:val="28"/>
              <w:szCs w:val="28"/>
            </w:rPr>
            <w:instrText xml:space="preserve"> PAGEREF _Toc11838 \h </w:instrText>
          </w:r>
          <w:r>
            <w:rPr>
              <w:sz w:val="28"/>
              <w:szCs w:val="28"/>
            </w:rPr>
            <w:fldChar w:fldCharType="separate"/>
          </w:r>
          <w:r>
            <w:rPr>
              <w:sz w:val="28"/>
              <w:szCs w:val="28"/>
            </w:rPr>
            <w:t>29</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3F9C29D0">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_Toc14227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2.相关成本管控措施考虑不完善</w:t>
          </w:r>
          <w:r>
            <w:rPr>
              <w:sz w:val="28"/>
              <w:szCs w:val="28"/>
            </w:rPr>
            <w:tab/>
          </w:r>
          <w:r>
            <w:rPr>
              <w:sz w:val="28"/>
              <w:szCs w:val="28"/>
            </w:rPr>
            <w:fldChar w:fldCharType="begin"/>
          </w:r>
          <w:r>
            <w:rPr>
              <w:sz w:val="28"/>
              <w:szCs w:val="28"/>
            </w:rPr>
            <w:instrText xml:space="preserve"> PAGEREF _Toc14227 \h </w:instrText>
          </w:r>
          <w:r>
            <w:rPr>
              <w:sz w:val="28"/>
              <w:szCs w:val="28"/>
            </w:rPr>
            <w:fldChar w:fldCharType="separate"/>
          </w:r>
          <w:r>
            <w:rPr>
              <w:sz w:val="28"/>
              <w:szCs w:val="28"/>
            </w:rPr>
            <w:t>29</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19120DD9">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_Toc9401 </w:instrText>
          </w:r>
          <w:r>
            <w:rPr>
              <w:rFonts w:hint="eastAsia" w:ascii="仿宋" w:hAnsi="仿宋" w:eastAsia="仿宋" w:cs="仿宋"/>
              <w:bCs/>
              <w:kern w:val="2"/>
              <w:sz w:val="28"/>
              <w:szCs w:val="28"/>
              <w:lang w:val="en-US" w:eastAsia="zh-CN"/>
            </w:rPr>
            <w:fldChar w:fldCharType="separate"/>
          </w:r>
          <w:r>
            <w:rPr>
              <w:rFonts w:hint="eastAsia" w:ascii="仿宋" w:hAnsi="仿宋" w:eastAsia="仿宋" w:cs="仿宋"/>
              <w:bCs/>
              <w:kern w:val="2"/>
              <w:sz w:val="28"/>
              <w:szCs w:val="28"/>
              <w:lang w:val="en-US" w:eastAsia="zh-CN"/>
            </w:rPr>
            <w:t>3</w:t>
          </w:r>
          <w:r>
            <w:rPr>
              <w:rFonts w:hint="eastAsia" w:ascii="仿宋_GB2312" w:hAnsi="仿宋_GB2312" w:eastAsia="仿宋_GB2312" w:cs="仿宋_GB2312"/>
              <w:bCs/>
              <w:kern w:val="0"/>
              <w:sz w:val="28"/>
              <w:szCs w:val="28"/>
              <w:highlight w:val="none"/>
              <w:lang w:val="en-US" w:eastAsia="zh-CN" w:bidi="ar-SA"/>
            </w:rPr>
            <w:t>.绩效指标设置合理性不足</w:t>
          </w:r>
          <w:r>
            <w:rPr>
              <w:sz w:val="28"/>
              <w:szCs w:val="28"/>
            </w:rPr>
            <w:tab/>
          </w:r>
          <w:r>
            <w:rPr>
              <w:sz w:val="28"/>
              <w:szCs w:val="28"/>
            </w:rPr>
            <w:fldChar w:fldCharType="begin"/>
          </w:r>
          <w:r>
            <w:rPr>
              <w:sz w:val="28"/>
              <w:szCs w:val="28"/>
            </w:rPr>
            <w:instrText xml:space="preserve"> PAGEREF _Toc9401 \h </w:instrText>
          </w:r>
          <w:r>
            <w:rPr>
              <w:sz w:val="28"/>
              <w:szCs w:val="28"/>
            </w:rPr>
            <w:fldChar w:fldCharType="separate"/>
          </w:r>
          <w:r>
            <w:rPr>
              <w:sz w:val="28"/>
              <w:szCs w:val="28"/>
            </w:rPr>
            <w:t>30</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1985B0EC">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_Toc29069 </w:instrText>
          </w:r>
          <w:r>
            <w:rPr>
              <w:rFonts w:hint="eastAsia" w:ascii="仿宋" w:hAnsi="仿宋" w:eastAsia="仿宋" w:cs="仿宋"/>
              <w:bCs/>
              <w:kern w:val="2"/>
              <w:sz w:val="28"/>
              <w:szCs w:val="28"/>
              <w:lang w:val="en-US" w:eastAsia="zh-CN"/>
            </w:rPr>
            <w:fldChar w:fldCharType="separate"/>
          </w:r>
          <w:r>
            <w:rPr>
              <w:rFonts w:hint="eastAsia" w:ascii="仿宋" w:hAnsi="仿宋" w:eastAsia="仿宋" w:cs="仿宋"/>
              <w:bCs/>
              <w:kern w:val="2"/>
              <w:sz w:val="28"/>
              <w:szCs w:val="28"/>
              <w:lang w:val="en-US" w:eastAsia="zh-CN"/>
            </w:rPr>
            <w:t>4</w:t>
          </w:r>
          <w:r>
            <w:rPr>
              <w:rFonts w:hint="eastAsia" w:ascii="仿宋_GB2312" w:hAnsi="仿宋_GB2312" w:eastAsia="仿宋_GB2312" w:cs="仿宋_GB2312"/>
              <w:bCs/>
              <w:kern w:val="0"/>
              <w:sz w:val="28"/>
              <w:szCs w:val="28"/>
              <w:highlight w:val="none"/>
              <w:lang w:val="en-US" w:eastAsia="zh-CN" w:bidi="ar-SA"/>
            </w:rPr>
            <w:t>.实施机构日常监管佐证材料不足</w:t>
          </w:r>
          <w:r>
            <w:rPr>
              <w:sz w:val="28"/>
              <w:szCs w:val="28"/>
            </w:rPr>
            <w:tab/>
          </w:r>
          <w:r>
            <w:rPr>
              <w:sz w:val="28"/>
              <w:szCs w:val="28"/>
            </w:rPr>
            <w:fldChar w:fldCharType="begin"/>
          </w:r>
          <w:r>
            <w:rPr>
              <w:sz w:val="28"/>
              <w:szCs w:val="28"/>
            </w:rPr>
            <w:instrText xml:space="preserve"> PAGEREF _Toc29069 \h </w:instrText>
          </w:r>
          <w:r>
            <w:rPr>
              <w:sz w:val="28"/>
              <w:szCs w:val="28"/>
            </w:rPr>
            <w:fldChar w:fldCharType="separate"/>
          </w:r>
          <w:r>
            <w:rPr>
              <w:sz w:val="28"/>
              <w:szCs w:val="28"/>
            </w:rPr>
            <w:t>30</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5D6340FD">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_Toc31514 </w:instrText>
          </w:r>
          <w:r>
            <w:rPr>
              <w:rFonts w:hint="eastAsia" w:ascii="仿宋" w:hAnsi="仿宋" w:eastAsia="仿宋" w:cs="仿宋"/>
              <w:bCs/>
              <w:kern w:val="2"/>
              <w:sz w:val="28"/>
              <w:szCs w:val="28"/>
              <w:lang w:val="en-US" w:eastAsia="zh-CN"/>
            </w:rPr>
            <w:fldChar w:fldCharType="separate"/>
          </w:r>
          <w:r>
            <w:rPr>
              <w:rFonts w:hint="eastAsia" w:ascii="仿宋" w:hAnsi="仿宋" w:eastAsia="仿宋" w:cs="仿宋"/>
              <w:bCs/>
              <w:kern w:val="2"/>
              <w:sz w:val="28"/>
              <w:szCs w:val="28"/>
              <w:lang w:val="en-US" w:eastAsia="zh-CN"/>
            </w:rPr>
            <w:t>5</w:t>
          </w:r>
          <w:r>
            <w:rPr>
              <w:rFonts w:hint="eastAsia" w:ascii="仿宋_GB2312" w:hAnsi="仿宋_GB2312" w:eastAsia="仿宋_GB2312" w:cs="仿宋_GB2312"/>
              <w:bCs/>
              <w:kern w:val="0"/>
              <w:sz w:val="28"/>
              <w:szCs w:val="28"/>
              <w:highlight w:val="none"/>
              <w:lang w:val="en-US" w:eastAsia="zh-CN" w:bidi="ar-SA"/>
            </w:rPr>
            <w:t>.项目产出效果可持续性不足</w:t>
          </w:r>
          <w:r>
            <w:rPr>
              <w:sz w:val="28"/>
              <w:szCs w:val="28"/>
            </w:rPr>
            <w:tab/>
          </w:r>
          <w:r>
            <w:rPr>
              <w:sz w:val="28"/>
              <w:szCs w:val="28"/>
            </w:rPr>
            <w:fldChar w:fldCharType="begin"/>
          </w:r>
          <w:r>
            <w:rPr>
              <w:sz w:val="28"/>
              <w:szCs w:val="28"/>
            </w:rPr>
            <w:instrText xml:space="preserve"> PAGEREF _Toc31514 \h </w:instrText>
          </w:r>
          <w:r>
            <w:rPr>
              <w:sz w:val="28"/>
              <w:szCs w:val="28"/>
            </w:rPr>
            <w:fldChar w:fldCharType="separate"/>
          </w:r>
          <w:r>
            <w:rPr>
              <w:sz w:val="28"/>
              <w:szCs w:val="28"/>
            </w:rPr>
            <w:t>30</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72BA4873">
          <w:pPr>
            <w:pStyle w:val="13"/>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_Toc14596 </w:instrText>
          </w:r>
          <w:r>
            <w:rPr>
              <w:rFonts w:hint="eastAsia" w:ascii="仿宋" w:hAnsi="仿宋" w:eastAsia="仿宋" w:cs="仿宋"/>
              <w:bCs/>
              <w:kern w:val="2"/>
              <w:sz w:val="28"/>
              <w:szCs w:val="28"/>
              <w:lang w:val="en-US" w:eastAsia="zh-CN"/>
            </w:rPr>
            <w:fldChar w:fldCharType="separate"/>
          </w:r>
          <w:r>
            <w:rPr>
              <w:rFonts w:hint="eastAsia" w:ascii="楷体_GB2312" w:hAnsi="楷体_GB2312" w:eastAsia="楷体_GB2312" w:cs="楷体_GB2312"/>
              <w:bCs/>
              <w:sz w:val="28"/>
              <w:szCs w:val="28"/>
              <w:lang w:val="zh-CN" w:eastAsia="zh-CN"/>
            </w:rPr>
            <w:t>（二）</w:t>
          </w:r>
          <w:r>
            <w:rPr>
              <w:rFonts w:hint="eastAsia" w:ascii="楷体_GB2312" w:hAnsi="楷体_GB2312" w:eastAsia="楷体_GB2312" w:cs="楷体_GB2312"/>
              <w:bCs/>
              <w:sz w:val="28"/>
              <w:szCs w:val="28"/>
              <w:lang w:val="en-US" w:eastAsia="zh-CN"/>
            </w:rPr>
            <w:t>相关</w:t>
          </w:r>
          <w:r>
            <w:rPr>
              <w:rFonts w:hint="eastAsia" w:ascii="楷体_GB2312" w:hAnsi="楷体_GB2312" w:eastAsia="楷体_GB2312" w:cs="楷体_GB2312"/>
              <w:bCs/>
              <w:sz w:val="28"/>
              <w:szCs w:val="28"/>
              <w:lang w:val="zh-CN" w:eastAsia="zh-CN"/>
            </w:rPr>
            <w:t>建议</w:t>
          </w:r>
          <w:r>
            <w:rPr>
              <w:sz w:val="28"/>
              <w:szCs w:val="28"/>
            </w:rPr>
            <w:tab/>
          </w:r>
          <w:r>
            <w:rPr>
              <w:sz w:val="28"/>
              <w:szCs w:val="28"/>
            </w:rPr>
            <w:fldChar w:fldCharType="begin"/>
          </w:r>
          <w:r>
            <w:rPr>
              <w:sz w:val="28"/>
              <w:szCs w:val="28"/>
            </w:rPr>
            <w:instrText xml:space="preserve"> PAGEREF _Toc14596 \h </w:instrText>
          </w:r>
          <w:r>
            <w:rPr>
              <w:sz w:val="28"/>
              <w:szCs w:val="28"/>
            </w:rPr>
            <w:fldChar w:fldCharType="separate"/>
          </w:r>
          <w:r>
            <w:rPr>
              <w:sz w:val="28"/>
              <w:szCs w:val="28"/>
            </w:rPr>
            <w:t>31</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4406F40A">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_Toc12169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1.强化资质预审机制</w:t>
          </w:r>
          <w:r>
            <w:rPr>
              <w:sz w:val="28"/>
              <w:szCs w:val="28"/>
            </w:rPr>
            <w:tab/>
          </w:r>
          <w:r>
            <w:rPr>
              <w:sz w:val="28"/>
              <w:szCs w:val="28"/>
            </w:rPr>
            <w:fldChar w:fldCharType="begin"/>
          </w:r>
          <w:r>
            <w:rPr>
              <w:sz w:val="28"/>
              <w:szCs w:val="28"/>
            </w:rPr>
            <w:instrText xml:space="preserve"> PAGEREF _Toc12169 \h </w:instrText>
          </w:r>
          <w:r>
            <w:rPr>
              <w:sz w:val="28"/>
              <w:szCs w:val="28"/>
            </w:rPr>
            <w:fldChar w:fldCharType="separate"/>
          </w:r>
          <w:r>
            <w:rPr>
              <w:sz w:val="28"/>
              <w:szCs w:val="28"/>
            </w:rPr>
            <w:t>31</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3153370A">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_Toc15202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2.制定针对性预防措施</w:t>
          </w:r>
          <w:r>
            <w:rPr>
              <w:sz w:val="28"/>
              <w:szCs w:val="28"/>
            </w:rPr>
            <w:tab/>
          </w:r>
          <w:r>
            <w:rPr>
              <w:sz w:val="28"/>
              <w:szCs w:val="28"/>
            </w:rPr>
            <w:fldChar w:fldCharType="begin"/>
          </w:r>
          <w:r>
            <w:rPr>
              <w:sz w:val="28"/>
              <w:szCs w:val="28"/>
            </w:rPr>
            <w:instrText xml:space="preserve"> PAGEREF _Toc15202 \h </w:instrText>
          </w:r>
          <w:r>
            <w:rPr>
              <w:sz w:val="28"/>
              <w:szCs w:val="28"/>
            </w:rPr>
            <w:fldChar w:fldCharType="separate"/>
          </w:r>
          <w:r>
            <w:rPr>
              <w:sz w:val="28"/>
              <w:szCs w:val="28"/>
            </w:rPr>
            <w:t>31</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2ECEAB59">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_Toc2314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3.优化项目绩效目标设置</w:t>
          </w:r>
          <w:r>
            <w:rPr>
              <w:sz w:val="28"/>
              <w:szCs w:val="28"/>
            </w:rPr>
            <w:tab/>
          </w:r>
          <w:r>
            <w:rPr>
              <w:sz w:val="28"/>
              <w:szCs w:val="28"/>
            </w:rPr>
            <w:fldChar w:fldCharType="begin"/>
          </w:r>
          <w:r>
            <w:rPr>
              <w:sz w:val="28"/>
              <w:szCs w:val="28"/>
            </w:rPr>
            <w:instrText xml:space="preserve"> PAGEREF _Toc2314 \h </w:instrText>
          </w:r>
          <w:r>
            <w:rPr>
              <w:sz w:val="28"/>
              <w:szCs w:val="28"/>
            </w:rPr>
            <w:fldChar w:fldCharType="separate"/>
          </w:r>
          <w:r>
            <w:rPr>
              <w:sz w:val="28"/>
              <w:szCs w:val="28"/>
            </w:rPr>
            <w:t>32</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03DC640A">
          <w:pPr>
            <w:pStyle w:val="9"/>
            <w:keepNext w:val="0"/>
            <w:keepLines w:val="0"/>
            <w:pageBreakBefore w:val="0"/>
            <w:widowControl/>
            <w:tabs>
              <w:tab w:val="right" w:leader="dot" w:pos="8800"/>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_Toc20004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4.完善项目长效管理机制</w:t>
          </w:r>
          <w:r>
            <w:rPr>
              <w:sz w:val="28"/>
              <w:szCs w:val="28"/>
            </w:rPr>
            <w:tab/>
          </w:r>
          <w:r>
            <w:rPr>
              <w:sz w:val="28"/>
              <w:szCs w:val="28"/>
            </w:rPr>
            <w:fldChar w:fldCharType="begin"/>
          </w:r>
          <w:r>
            <w:rPr>
              <w:sz w:val="28"/>
              <w:szCs w:val="28"/>
            </w:rPr>
            <w:instrText xml:space="preserve"> PAGEREF _Toc20004 \h </w:instrText>
          </w:r>
          <w:r>
            <w:rPr>
              <w:sz w:val="28"/>
              <w:szCs w:val="28"/>
            </w:rPr>
            <w:fldChar w:fldCharType="separate"/>
          </w:r>
          <w:r>
            <w:rPr>
              <w:sz w:val="28"/>
              <w:szCs w:val="28"/>
            </w:rPr>
            <w:t>32</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43B7C26C">
          <w:pPr>
            <w:pStyle w:val="12"/>
            <w:keepNext w:val="0"/>
            <w:keepLines w:val="0"/>
            <w:pageBreakBefore w:val="0"/>
            <w:widowControl/>
            <w:tabs>
              <w:tab w:val="right" w:leader="dot" w:pos="8800"/>
              <w:tab w:val="clear" w:pos="8777"/>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_Toc12177 </w:instrText>
          </w:r>
          <w:r>
            <w:rPr>
              <w:rFonts w:hint="eastAsia" w:ascii="仿宋" w:hAnsi="仿宋" w:eastAsia="仿宋" w:cs="仿宋"/>
              <w:bCs/>
              <w:kern w:val="2"/>
              <w:sz w:val="28"/>
              <w:szCs w:val="28"/>
              <w:lang w:val="en-US" w:eastAsia="zh-CN"/>
            </w:rPr>
            <w:fldChar w:fldCharType="separate"/>
          </w:r>
          <w:r>
            <w:rPr>
              <w:rFonts w:hint="eastAsia" w:ascii="黑体" w:hAnsi="黑体" w:eastAsia="黑体" w:cs="黑体"/>
              <w:bCs/>
              <w:sz w:val="28"/>
              <w:szCs w:val="28"/>
              <w:lang w:val="en-US" w:eastAsia="zh-CN"/>
            </w:rPr>
            <w:t>六、附件</w:t>
          </w:r>
          <w:r>
            <w:rPr>
              <w:sz w:val="28"/>
              <w:szCs w:val="28"/>
            </w:rPr>
            <w:tab/>
          </w:r>
          <w:r>
            <w:rPr>
              <w:sz w:val="28"/>
              <w:szCs w:val="28"/>
            </w:rPr>
            <w:fldChar w:fldCharType="begin"/>
          </w:r>
          <w:r>
            <w:rPr>
              <w:sz w:val="28"/>
              <w:szCs w:val="28"/>
            </w:rPr>
            <w:instrText xml:space="preserve"> PAGEREF _Toc12177 \h </w:instrText>
          </w:r>
          <w:r>
            <w:rPr>
              <w:sz w:val="28"/>
              <w:szCs w:val="28"/>
            </w:rPr>
            <w:fldChar w:fldCharType="separate"/>
          </w:r>
          <w:r>
            <w:rPr>
              <w:sz w:val="28"/>
              <w:szCs w:val="28"/>
            </w:rPr>
            <w:t>32</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56F54589">
          <w:pPr>
            <w:pStyle w:val="12"/>
            <w:keepNext w:val="0"/>
            <w:keepLines w:val="0"/>
            <w:pageBreakBefore w:val="0"/>
            <w:widowControl/>
            <w:tabs>
              <w:tab w:val="right" w:leader="dot" w:pos="8800"/>
              <w:tab w:val="clear" w:pos="8777"/>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_Toc2126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附件1：2023年与2024年度指标审计情况</w:t>
          </w:r>
          <w:r>
            <w:rPr>
              <w:sz w:val="28"/>
              <w:szCs w:val="28"/>
            </w:rPr>
            <w:tab/>
          </w:r>
          <w:r>
            <w:rPr>
              <w:sz w:val="28"/>
              <w:szCs w:val="28"/>
            </w:rPr>
            <w:fldChar w:fldCharType="begin"/>
          </w:r>
          <w:r>
            <w:rPr>
              <w:sz w:val="28"/>
              <w:szCs w:val="28"/>
            </w:rPr>
            <w:instrText xml:space="preserve"> PAGEREF _Toc2126 \h </w:instrText>
          </w:r>
          <w:r>
            <w:rPr>
              <w:sz w:val="28"/>
              <w:szCs w:val="28"/>
            </w:rPr>
            <w:fldChar w:fldCharType="separate"/>
          </w:r>
          <w:r>
            <w:rPr>
              <w:sz w:val="28"/>
              <w:szCs w:val="28"/>
            </w:rPr>
            <w:t>34</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724EA675">
          <w:pPr>
            <w:pStyle w:val="12"/>
            <w:keepNext w:val="0"/>
            <w:keepLines w:val="0"/>
            <w:pageBreakBefore w:val="0"/>
            <w:widowControl/>
            <w:tabs>
              <w:tab w:val="right" w:leader="dot" w:pos="8800"/>
              <w:tab w:val="clear" w:pos="8777"/>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_Toc6529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附件2：石狮市跨境电商品牌培育全流程服务</w:t>
          </w:r>
          <w:r>
            <w:rPr>
              <w:rFonts w:hint="default" w:ascii="仿宋_GB2312" w:hAnsi="仿宋_GB2312" w:eastAsia="仿宋_GB2312" w:cs="仿宋_GB2312"/>
              <w:bCs/>
              <w:kern w:val="0"/>
              <w:sz w:val="28"/>
              <w:szCs w:val="28"/>
              <w:highlight w:val="none"/>
              <w:lang w:val="en-US" w:eastAsia="zh-CN" w:bidi="ar-SA"/>
            </w:rPr>
            <w:t>事前绩效评估评分表</w:t>
          </w:r>
          <w:r>
            <w:rPr>
              <w:sz w:val="28"/>
              <w:szCs w:val="28"/>
            </w:rPr>
            <w:tab/>
          </w:r>
          <w:r>
            <w:rPr>
              <w:sz w:val="28"/>
              <w:szCs w:val="28"/>
            </w:rPr>
            <w:fldChar w:fldCharType="begin"/>
          </w:r>
          <w:r>
            <w:rPr>
              <w:sz w:val="28"/>
              <w:szCs w:val="28"/>
            </w:rPr>
            <w:instrText xml:space="preserve"> PAGEREF _Toc6529 \h </w:instrText>
          </w:r>
          <w:r>
            <w:rPr>
              <w:sz w:val="28"/>
              <w:szCs w:val="28"/>
            </w:rPr>
            <w:fldChar w:fldCharType="separate"/>
          </w:r>
          <w:r>
            <w:rPr>
              <w:sz w:val="28"/>
              <w:szCs w:val="28"/>
            </w:rPr>
            <w:t>36</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09B74B1F">
          <w:pPr>
            <w:pStyle w:val="12"/>
            <w:keepNext w:val="0"/>
            <w:keepLines w:val="0"/>
            <w:pageBreakBefore w:val="0"/>
            <w:widowControl/>
            <w:tabs>
              <w:tab w:val="right" w:leader="dot" w:pos="8800"/>
              <w:tab w:val="clear" w:pos="8777"/>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_Toc7256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附件3：调研照片</w:t>
          </w:r>
          <w:r>
            <w:rPr>
              <w:sz w:val="28"/>
              <w:szCs w:val="28"/>
            </w:rPr>
            <w:tab/>
          </w:r>
          <w:r>
            <w:rPr>
              <w:sz w:val="28"/>
              <w:szCs w:val="28"/>
            </w:rPr>
            <w:fldChar w:fldCharType="begin"/>
          </w:r>
          <w:r>
            <w:rPr>
              <w:sz w:val="28"/>
              <w:szCs w:val="28"/>
            </w:rPr>
            <w:instrText xml:space="preserve"> PAGEREF _Toc7256 \h </w:instrText>
          </w:r>
          <w:r>
            <w:rPr>
              <w:sz w:val="28"/>
              <w:szCs w:val="28"/>
            </w:rPr>
            <w:fldChar w:fldCharType="separate"/>
          </w:r>
          <w:r>
            <w:rPr>
              <w:sz w:val="28"/>
              <w:szCs w:val="28"/>
            </w:rPr>
            <w:t>40</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45ADDE8F">
          <w:pPr>
            <w:pStyle w:val="12"/>
            <w:keepNext w:val="0"/>
            <w:keepLines w:val="0"/>
            <w:pageBreakBefore w:val="0"/>
            <w:widowControl/>
            <w:tabs>
              <w:tab w:val="right" w:leader="dot" w:pos="8800"/>
              <w:tab w:val="clear" w:pos="8777"/>
            </w:tabs>
            <w:kinsoku/>
            <w:wordWrap/>
            <w:overflowPunct/>
            <w:topLinePunct w:val="0"/>
            <w:autoSpaceDE/>
            <w:autoSpaceDN/>
            <w:bidi w:val="0"/>
            <w:adjustRightInd/>
            <w:snapToGrid/>
            <w:spacing w:line="560" w:lineRule="atLeast"/>
            <w:textAlignment w:val="auto"/>
            <w:rPr>
              <w:sz w:val="28"/>
              <w:szCs w:val="28"/>
            </w:rPr>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_Toc5743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附件4：编制单位签章</w:t>
          </w:r>
          <w:r>
            <w:rPr>
              <w:sz w:val="28"/>
              <w:szCs w:val="28"/>
            </w:rPr>
            <w:tab/>
          </w:r>
          <w:r>
            <w:rPr>
              <w:sz w:val="28"/>
              <w:szCs w:val="28"/>
            </w:rPr>
            <w:fldChar w:fldCharType="begin"/>
          </w:r>
          <w:r>
            <w:rPr>
              <w:sz w:val="28"/>
              <w:szCs w:val="28"/>
            </w:rPr>
            <w:instrText xml:space="preserve"> PAGEREF _Toc5743 \h </w:instrText>
          </w:r>
          <w:r>
            <w:rPr>
              <w:sz w:val="28"/>
              <w:szCs w:val="28"/>
            </w:rPr>
            <w:fldChar w:fldCharType="separate"/>
          </w:r>
          <w:r>
            <w:rPr>
              <w:sz w:val="28"/>
              <w:szCs w:val="28"/>
            </w:rPr>
            <w:t>41</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4BFF75DE">
          <w:pPr>
            <w:pStyle w:val="12"/>
            <w:keepNext w:val="0"/>
            <w:keepLines w:val="0"/>
            <w:pageBreakBefore w:val="0"/>
            <w:widowControl/>
            <w:tabs>
              <w:tab w:val="right" w:leader="dot" w:pos="8800"/>
              <w:tab w:val="clear" w:pos="8777"/>
            </w:tabs>
            <w:kinsoku/>
            <w:wordWrap/>
            <w:overflowPunct/>
            <w:topLinePunct w:val="0"/>
            <w:autoSpaceDE/>
            <w:autoSpaceDN/>
            <w:bidi w:val="0"/>
            <w:adjustRightInd/>
            <w:snapToGrid/>
            <w:spacing w:line="560" w:lineRule="atLeast"/>
            <w:textAlignment w:val="auto"/>
          </w:pPr>
          <w:r>
            <w:rPr>
              <w:rFonts w:hint="eastAsia" w:ascii="仿宋" w:hAnsi="仿宋" w:eastAsia="仿宋" w:cs="仿宋"/>
              <w:bCs/>
              <w:color w:val="auto"/>
              <w:kern w:val="2"/>
              <w:sz w:val="28"/>
              <w:szCs w:val="28"/>
              <w:lang w:val="en-US" w:eastAsia="zh-CN"/>
            </w:rPr>
            <w:fldChar w:fldCharType="begin"/>
          </w:r>
          <w:r>
            <w:rPr>
              <w:rFonts w:hint="eastAsia" w:ascii="仿宋" w:hAnsi="仿宋" w:eastAsia="仿宋" w:cs="仿宋"/>
              <w:bCs/>
              <w:kern w:val="2"/>
              <w:sz w:val="28"/>
              <w:szCs w:val="28"/>
              <w:lang w:val="en-US" w:eastAsia="zh-CN"/>
            </w:rPr>
            <w:instrText xml:space="preserve"> HYPERLINK \l _Toc28289 </w:instrText>
          </w:r>
          <w:r>
            <w:rPr>
              <w:rFonts w:hint="eastAsia" w:ascii="仿宋" w:hAnsi="仿宋" w:eastAsia="仿宋" w:cs="仿宋"/>
              <w:bCs/>
              <w:kern w:val="2"/>
              <w:sz w:val="28"/>
              <w:szCs w:val="28"/>
              <w:lang w:val="en-US" w:eastAsia="zh-CN"/>
            </w:rPr>
            <w:fldChar w:fldCharType="separate"/>
          </w:r>
          <w:r>
            <w:rPr>
              <w:rFonts w:hint="eastAsia" w:ascii="仿宋_GB2312" w:hAnsi="仿宋_GB2312" w:eastAsia="仿宋_GB2312" w:cs="仿宋_GB2312"/>
              <w:bCs/>
              <w:kern w:val="0"/>
              <w:sz w:val="28"/>
              <w:szCs w:val="28"/>
              <w:highlight w:val="none"/>
              <w:lang w:val="en-US" w:eastAsia="zh-CN" w:bidi="ar-SA"/>
            </w:rPr>
            <w:t>附件5：营业执照</w:t>
          </w:r>
          <w:r>
            <w:rPr>
              <w:sz w:val="28"/>
              <w:szCs w:val="28"/>
            </w:rPr>
            <w:tab/>
          </w:r>
          <w:r>
            <w:rPr>
              <w:sz w:val="28"/>
              <w:szCs w:val="28"/>
            </w:rPr>
            <w:fldChar w:fldCharType="begin"/>
          </w:r>
          <w:r>
            <w:rPr>
              <w:sz w:val="28"/>
              <w:szCs w:val="28"/>
            </w:rPr>
            <w:instrText xml:space="preserve"> PAGEREF _Toc28289 \h </w:instrText>
          </w:r>
          <w:r>
            <w:rPr>
              <w:sz w:val="28"/>
              <w:szCs w:val="28"/>
            </w:rPr>
            <w:fldChar w:fldCharType="separate"/>
          </w:r>
          <w:r>
            <w:rPr>
              <w:sz w:val="28"/>
              <w:szCs w:val="28"/>
            </w:rPr>
            <w:t>42</w:t>
          </w:r>
          <w:r>
            <w:rPr>
              <w:sz w:val="28"/>
              <w:szCs w:val="28"/>
            </w:rPr>
            <w:fldChar w:fldCharType="end"/>
          </w:r>
          <w:r>
            <w:rPr>
              <w:rFonts w:hint="eastAsia" w:ascii="仿宋" w:hAnsi="仿宋" w:eastAsia="仿宋" w:cs="仿宋"/>
              <w:bCs/>
              <w:color w:val="auto"/>
              <w:kern w:val="2"/>
              <w:sz w:val="28"/>
              <w:szCs w:val="28"/>
              <w:lang w:val="en-US" w:eastAsia="zh-CN"/>
            </w:rPr>
            <w:fldChar w:fldCharType="end"/>
          </w:r>
        </w:p>
        <w:p w14:paraId="78D3D175">
          <w:pPr>
            <w:pStyle w:val="29"/>
            <w:pageBreakBefore w:val="0"/>
            <w:widowControl/>
            <w:kinsoku/>
            <w:wordWrap/>
            <w:overflowPunct/>
            <w:topLinePunct w:val="0"/>
            <w:autoSpaceDE/>
            <w:autoSpaceDN/>
            <w:bidi w:val="0"/>
            <w:adjustRightInd/>
            <w:snapToGrid/>
            <w:spacing w:before="0" w:beforeLines="0" w:after="0" w:afterLines="0" w:line="240" w:lineRule="auto"/>
            <w:ind w:left="0" w:leftChars="0" w:right="0" w:rightChars="0" w:firstLine="640" w:firstLineChars="200"/>
            <w:jc w:val="center"/>
            <w:textAlignment w:val="auto"/>
            <w:rPr>
              <w:rFonts w:hint="eastAsia" w:ascii="仿宋" w:hAnsi="仿宋" w:eastAsia="仿宋" w:cs="仿宋"/>
              <w:b/>
              <w:bCs/>
              <w:color w:val="auto"/>
              <w:kern w:val="2"/>
              <w:sz w:val="28"/>
              <w:szCs w:val="28"/>
              <w:lang w:val="en-US" w:eastAsia="zh-CN"/>
            </w:rPr>
            <w:sectPr>
              <w:headerReference r:id="rId6" w:type="default"/>
              <w:footerReference r:id="rId7" w:type="default"/>
              <w:pgSz w:w="11906" w:h="16838"/>
              <w:pgMar w:top="1440" w:right="1587" w:bottom="1440" w:left="1519" w:header="851" w:footer="992" w:gutter="0"/>
              <w:pgNumType w:fmt="upperRoman" w:start="1"/>
              <w:cols w:space="425" w:num="1"/>
              <w:docGrid w:type="lines" w:linePitch="312" w:charSpace="0"/>
            </w:sectPr>
          </w:pPr>
          <w:r>
            <w:rPr>
              <w:rFonts w:hint="eastAsia" w:ascii="仿宋" w:hAnsi="仿宋" w:eastAsia="仿宋" w:cs="仿宋"/>
              <w:bCs/>
              <w:color w:val="auto"/>
              <w:kern w:val="2"/>
              <w:szCs w:val="28"/>
              <w:lang w:val="en-US" w:eastAsia="zh-CN"/>
            </w:rPr>
            <w:fldChar w:fldCharType="end"/>
          </w:r>
        </w:p>
      </w:sdtContent>
    </w:sdt>
    <w:p w14:paraId="04D19C22">
      <w:pPr>
        <w:keepNext w:val="0"/>
        <w:pageBreakBefore w:val="0"/>
        <w:widowControl w:val="0"/>
        <w:shd w:val="clear" w:fill="FFFFFF" w:themeFill="background1"/>
        <w:kinsoku/>
        <w:wordWrap/>
        <w:topLinePunct w:val="0"/>
        <w:bidi w:val="0"/>
        <w:snapToGrid/>
        <w:spacing w:line="240" w:lineRule="auto"/>
        <w:ind w:right="0"/>
        <w:jc w:val="center"/>
        <w:outlineLvl w:val="0"/>
        <w:rPr>
          <w:rFonts w:hint="eastAsia" w:ascii="仿宋_GB2312" w:hAnsi="仿宋_GB2312" w:eastAsia="仿宋_GB2312" w:cs="仿宋_GB2312"/>
          <w:b/>
          <w:bCs/>
          <w:color w:val="auto"/>
          <w:kern w:val="2"/>
          <w:sz w:val="32"/>
          <w:szCs w:val="32"/>
          <w:highlight w:val="none"/>
          <w:lang w:val="en-US" w:eastAsia="zh-CN" w:bidi="ar-SA"/>
        </w:rPr>
      </w:pPr>
      <w:bookmarkStart w:id="2" w:name="_Toc9113"/>
      <w:bookmarkStart w:id="3" w:name="_Toc13440"/>
      <w:bookmarkStart w:id="4" w:name="_Toc7236"/>
      <w:bookmarkStart w:id="5" w:name="_Toc10890"/>
      <w:bookmarkStart w:id="6" w:name="_Toc19779"/>
      <w:bookmarkStart w:id="7" w:name="_Toc27998"/>
      <w:bookmarkStart w:id="8" w:name="_Toc8927"/>
      <w:bookmarkStart w:id="9" w:name="_Toc4067"/>
      <w:r>
        <w:rPr>
          <w:rFonts w:hint="eastAsia" w:ascii="黑体" w:hAnsi="黑体" w:eastAsia="黑体" w:cs="黑体"/>
          <w:b/>
          <w:bCs/>
          <w:color w:val="auto"/>
          <w:kern w:val="2"/>
          <w:sz w:val="32"/>
          <w:szCs w:val="32"/>
          <w:highlight w:val="none"/>
          <w:lang w:val="en-US" w:eastAsia="zh-CN" w:bidi="ar-SA"/>
        </w:rPr>
        <w:t>前 言</w:t>
      </w:r>
      <w:bookmarkEnd w:id="2"/>
      <w:bookmarkEnd w:id="3"/>
      <w:bookmarkEnd w:id="4"/>
      <w:bookmarkEnd w:id="5"/>
      <w:bookmarkEnd w:id="6"/>
      <w:bookmarkEnd w:id="7"/>
      <w:bookmarkEnd w:id="8"/>
      <w:bookmarkEnd w:id="9"/>
    </w:p>
    <w:p w14:paraId="1DA9006C">
      <w:pPr>
        <w:keepNext w:val="0"/>
        <w:keepLines w:val="0"/>
        <w:pageBreakBefore w:val="0"/>
        <w:widowControl/>
        <w:suppressLineNumbers w:val="0"/>
        <w:kinsoku/>
        <w:wordWrap/>
        <w:overflowPunct/>
        <w:topLinePunct w:val="0"/>
        <w:autoSpaceDE/>
        <w:autoSpaceDN/>
        <w:bidi w:val="0"/>
        <w:adjustRightInd/>
        <w:snapToGrid/>
        <w:spacing w:line="57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为加强财政资金管理，强化支出责任，提高财政资金的使用效益，建立科学、合理的财政支出绩效管理体系，为领导决策提供科学有力的依据，泉州市招标咨询中心地方财政绩效评价所接受石狮市财政局的委托，组织专业人员成立项目支出事前绩效评估工作小组，根据《财政部关于印发〈项目支出绩效评价管理办法〉的通知》（财预〔2020〕10号）《中共中央 国务院关于全面实施预算绩效管理的意见》（中发〔2018〕34号）《福建省委、省政府关于全面实施预算绩效管理的实施意见》（闽委发〔2019〕5号）《福建省财政厅〈关于全面实施预算绩效管理若干措施〉的通知》（闽财绩〔2019〕2号）等有关文件要求，对石狮市跨境电商品牌培育全流程服务开展政府项目支出事前绩效评估工作，按照财政部《第三方机构预算绩效评价业务监督管理暂行办法》（财监〔2021〕4号）的要求，以第三方身份出具报告。我中心评估小组经过数据采集、书面资料审查、实地调研、社会调查和分析研究等必要的绩效评估程序，结合单位情况，在梳理、分析、研究评估数据资料的基础上，形成《石狮市跨境电商品牌培育全流程服务事前绩效评估报告》。</w:t>
      </w:r>
    </w:p>
    <w:p w14:paraId="62B90A35">
      <w:pPr>
        <w:rPr>
          <w:rFonts w:hint="eastAsia" w:ascii="仿宋" w:hAnsi="仿宋" w:eastAsia="仿宋" w:cs="仿宋"/>
          <w:sz w:val="28"/>
          <w:szCs w:val="28"/>
          <w:lang w:val="zh-CN"/>
        </w:rPr>
      </w:pPr>
    </w:p>
    <w:p w14:paraId="547705EA">
      <w:pPr>
        <w:spacing w:before="0" w:beforeLines="0" w:after="0" w:afterLines="0" w:line="240" w:lineRule="auto"/>
        <w:ind w:left="0" w:leftChars="0" w:right="0" w:rightChars="0" w:firstLine="0" w:firstLineChars="0"/>
        <w:jc w:val="center"/>
        <w:rPr>
          <w:rFonts w:ascii="宋体" w:hAnsi="宋体" w:eastAsia="宋体" w:cstheme="minorBidi"/>
          <w:kern w:val="2"/>
          <w:sz w:val="21"/>
          <w:szCs w:val="22"/>
          <w:lang w:val="en-US" w:eastAsia="zh-CN" w:bidi="ar-SA"/>
        </w:rPr>
        <w:sectPr>
          <w:headerReference r:id="rId8" w:type="default"/>
          <w:footerReference r:id="rId9" w:type="default"/>
          <w:footerReference r:id="rId10" w:type="even"/>
          <w:pgSz w:w="11906" w:h="16838"/>
          <w:pgMar w:top="1440" w:right="1587" w:bottom="1440" w:left="1519" w:header="851" w:footer="992" w:gutter="0"/>
          <w:pgNumType w:fmt="decimal" w:start="1"/>
          <w:cols w:space="425" w:num="1"/>
          <w:docGrid w:type="lines" w:linePitch="312" w:charSpace="0"/>
        </w:sectPr>
      </w:pPr>
    </w:p>
    <w:p w14:paraId="09366226">
      <w:pPr>
        <w:pStyle w:val="29"/>
        <w:pageBreakBefore w:val="0"/>
        <w:widowControl/>
        <w:kinsoku/>
        <w:wordWrap/>
        <w:overflowPunct/>
        <w:topLinePunct w:val="0"/>
        <w:autoSpaceDE/>
        <w:autoSpaceDN/>
        <w:bidi w:val="0"/>
        <w:adjustRightInd/>
        <w:snapToGrid/>
        <w:spacing w:before="0" w:after="0" w:line="240" w:lineRule="auto"/>
        <w:ind w:left="0" w:leftChars="0" w:firstLine="643" w:firstLineChars="200"/>
        <w:jc w:val="center"/>
        <w:textAlignment w:val="auto"/>
        <w:rPr>
          <w:rFonts w:hint="eastAsia" w:ascii="黑体" w:hAnsi="黑体" w:eastAsia="黑体" w:cs="黑体"/>
          <w:b/>
          <w:bCs/>
          <w:color w:val="auto"/>
          <w:kern w:val="0"/>
          <w:sz w:val="32"/>
          <w:szCs w:val="32"/>
          <w:lang w:val="en-US" w:eastAsia="zh-CN" w:bidi="ar"/>
        </w:rPr>
      </w:pPr>
      <w:r>
        <w:rPr>
          <w:rFonts w:hint="eastAsia" w:ascii="黑体" w:hAnsi="黑体" w:eastAsia="黑体" w:cs="黑体"/>
          <w:b/>
          <w:bCs/>
          <w:color w:val="auto"/>
          <w:kern w:val="0"/>
          <w:sz w:val="32"/>
          <w:szCs w:val="32"/>
          <w:lang w:val="en-US" w:eastAsia="zh-CN" w:bidi="ar"/>
        </w:rPr>
        <w:t>报告正文</w:t>
      </w:r>
    </w:p>
    <w:p w14:paraId="0D147261">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0"/>
        <w:rPr>
          <w:rFonts w:hint="eastAsia" w:ascii="黑体" w:hAnsi="黑体" w:eastAsia="黑体" w:cs="黑体"/>
          <w:b/>
          <w:bCs/>
          <w:color w:val="auto"/>
          <w:sz w:val="32"/>
          <w:szCs w:val="32"/>
          <w:lang w:val="en-US" w:eastAsia="zh-CN"/>
        </w:rPr>
      </w:pPr>
      <w:bookmarkStart w:id="10" w:name="_Toc9393"/>
      <w:r>
        <w:rPr>
          <w:rFonts w:hint="eastAsia" w:ascii="黑体" w:hAnsi="黑体" w:eastAsia="黑体" w:cs="黑体"/>
          <w:b/>
          <w:bCs/>
          <w:color w:val="auto"/>
          <w:sz w:val="32"/>
          <w:szCs w:val="32"/>
          <w:lang w:val="zh-CN" w:eastAsia="zh-CN"/>
        </w:rPr>
        <w:t>一、项目</w:t>
      </w:r>
      <w:r>
        <w:rPr>
          <w:rFonts w:hint="eastAsia" w:ascii="黑体" w:hAnsi="黑体" w:eastAsia="黑体" w:cs="黑体"/>
          <w:b/>
          <w:bCs/>
          <w:color w:val="auto"/>
          <w:sz w:val="32"/>
          <w:szCs w:val="32"/>
          <w:lang w:val="en-US" w:eastAsia="zh-CN"/>
        </w:rPr>
        <w:t>概况</w:t>
      </w:r>
      <w:bookmarkEnd w:id="10"/>
    </w:p>
    <w:p w14:paraId="79B6FF7C">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eastAsia" w:ascii="仿宋_GB2312" w:hAnsi="仿宋_GB2312" w:eastAsia="仿宋_GB2312" w:cs="仿宋_GB2312"/>
          <w:color w:val="auto"/>
          <w:kern w:val="0"/>
          <w:sz w:val="32"/>
          <w:szCs w:val="32"/>
          <w:highlight w:val="none"/>
          <w:lang w:val="zh-CN" w:eastAsia="zh-CN" w:bidi="ar-SA"/>
        </w:rPr>
      </w:pPr>
      <w:bookmarkStart w:id="11" w:name="_Toc23067"/>
      <w:r>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t>（</w:t>
      </w:r>
      <w:r>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t>一</w:t>
      </w:r>
      <w:r>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t>）</w:t>
      </w:r>
      <w:r>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t>项目实施单位情况</w:t>
      </w:r>
      <w:bookmarkEnd w:id="11"/>
    </w:p>
    <w:p w14:paraId="5449C201">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zh-CN" w:eastAsia="zh-CN" w:bidi="ar-SA"/>
        </w:rPr>
      </w:pPr>
      <w:r>
        <w:rPr>
          <w:rFonts w:hint="eastAsia" w:ascii="仿宋_GB2312" w:hAnsi="仿宋_GB2312" w:eastAsia="仿宋_GB2312" w:cs="仿宋_GB2312"/>
          <w:color w:val="auto"/>
          <w:kern w:val="0"/>
          <w:sz w:val="32"/>
          <w:szCs w:val="32"/>
          <w:highlight w:val="none"/>
          <w:lang w:val="zh-CN" w:eastAsia="zh-CN" w:bidi="ar-SA"/>
        </w:rPr>
        <w:t>石狮市商务局是正科级单位，下设综合股（行政审核审批股）、商贸电商股、国际经贸股、外资促进股、口岸管理股、石狮市市场采购贸易服务中心、石狮市商贸服务中心</w:t>
      </w:r>
      <w:r>
        <w:rPr>
          <w:rFonts w:hint="eastAsia" w:ascii="仿宋_GB2312" w:hAnsi="仿宋_GB2312" w:eastAsia="仿宋_GB2312" w:cs="仿宋_GB2312"/>
          <w:color w:val="auto"/>
          <w:kern w:val="0"/>
          <w:sz w:val="32"/>
          <w:szCs w:val="32"/>
          <w:highlight w:val="none"/>
          <w:lang w:val="en-US" w:eastAsia="zh-CN" w:bidi="ar-SA"/>
        </w:rPr>
        <w:t>七</w:t>
      </w:r>
      <w:r>
        <w:rPr>
          <w:rFonts w:hint="eastAsia" w:ascii="仿宋_GB2312" w:hAnsi="仿宋_GB2312" w:eastAsia="仿宋_GB2312" w:cs="仿宋_GB2312"/>
          <w:color w:val="auto"/>
          <w:kern w:val="0"/>
          <w:sz w:val="32"/>
          <w:szCs w:val="32"/>
          <w:highlight w:val="none"/>
          <w:lang w:val="zh-CN" w:eastAsia="zh-CN" w:bidi="ar-SA"/>
        </w:rPr>
        <w:t>个内设机构。其核心职能包括贯彻执行国家、省、泉州市有关贸易、国际经济合作、外资招商选资、投资促进和口岸管理的法律法规和政策起草并组织实施我市有关商务发展的政策措施。研究提出我市商务和口岸政策与国际经贸条约、规则之间的衔接意见。拟订我市商务发展规划，监测分析商务运行状况，研究商务体制和商务运行中的重大问题并提出建议。研究提出全市利用外资和境外投资的战略</w:t>
      </w:r>
      <w:r>
        <w:rPr>
          <w:rFonts w:hint="eastAsia" w:ascii="仿宋_GB2312" w:hAnsi="仿宋_GB2312" w:eastAsia="仿宋_GB2312" w:cs="仿宋_GB2312"/>
          <w:color w:val="auto"/>
          <w:kern w:val="0"/>
          <w:sz w:val="32"/>
          <w:szCs w:val="32"/>
          <w:highlight w:val="none"/>
          <w:lang w:val="en-US" w:eastAsia="zh-CN" w:bidi="ar-SA"/>
        </w:rPr>
        <w:t>目</w:t>
      </w:r>
      <w:r>
        <w:rPr>
          <w:rFonts w:hint="eastAsia" w:ascii="仿宋_GB2312" w:hAnsi="仿宋_GB2312" w:eastAsia="仿宋_GB2312" w:cs="仿宋_GB2312"/>
          <w:color w:val="auto"/>
          <w:kern w:val="0"/>
          <w:sz w:val="32"/>
          <w:szCs w:val="32"/>
          <w:highlight w:val="none"/>
          <w:lang w:val="zh-CN" w:eastAsia="zh-CN" w:bidi="ar-SA"/>
        </w:rPr>
        <w:t>标、政策；按规定负责审批、审核、转报利用外资项目和境外投资项目；参与全市对外招商项目推介。</w:t>
      </w:r>
    </w:p>
    <w:p w14:paraId="6B1B14B1">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zh-CN" w:eastAsia="zh-CN" w:bidi="ar-SA"/>
        </w:rPr>
      </w:pPr>
      <w:r>
        <w:rPr>
          <w:rFonts w:hint="eastAsia" w:ascii="仿宋_GB2312" w:hAnsi="仿宋_GB2312" w:eastAsia="仿宋_GB2312" w:cs="仿宋_GB2312"/>
          <w:color w:val="auto"/>
          <w:kern w:val="0"/>
          <w:sz w:val="32"/>
          <w:szCs w:val="32"/>
          <w:highlight w:val="none"/>
          <w:lang w:val="zh-CN" w:eastAsia="zh-CN" w:bidi="ar-SA"/>
        </w:rPr>
        <w:t>石狮市商务局作为地方商务主管部门，以“一带一路”建设为引领，聚焦跨境电商、市场采购贸易等新业态，推动内外贸融合发展。通过优化外资结构、加强口岸建设、规范市场秩序，助力石狮打造开放型经济强市。其职能覆盖贸易全链条，从政策制定到执行监督，全方位服务地方经济发展。</w:t>
      </w:r>
    </w:p>
    <w:p w14:paraId="4BEA72EB">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default" w:ascii="楷体_GB2312" w:hAnsi="楷体_GB2312" w:eastAsia="楷体_GB2312" w:cs="楷体_GB2312"/>
          <w:b/>
          <w:bCs/>
          <w:color w:val="000000" w:themeColor="text1"/>
          <w:sz w:val="32"/>
          <w:szCs w:val="32"/>
          <w:lang w:val="en-US" w:eastAsia="zh-CN"/>
          <w14:textFill>
            <w14:solidFill>
              <w14:schemeClr w14:val="tx1"/>
            </w14:solidFill>
          </w14:textFill>
        </w:rPr>
      </w:pPr>
      <w:bookmarkStart w:id="12" w:name="_Toc28619"/>
      <w:r>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t>（</w:t>
      </w:r>
      <w:r>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t>二</w:t>
      </w:r>
      <w:r>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t>）</w:t>
      </w:r>
      <w:r>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t>项目基本情况</w:t>
      </w:r>
      <w:bookmarkEnd w:id="12"/>
    </w:p>
    <w:p w14:paraId="2EF75EF9">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default" w:ascii="仿宋_GB2312" w:hAnsi="仿宋_GB2312" w:eastAsia="仿宋_GB2312" w:cs="仿宋_GB2312"/>
          <w:b/>
          <w:bCs/>
          <w:color w:val="auto"/>
          <w:kern w:val="0"/>
          <w:sz w:val="32"/>
          <w:szCs w:val="32"/>
          <w:highlight w:val="none"/>
          <w:lang w:val="en-US" w:eastAsia="zh-CN" w:bidi="ar-SA"/>
        </w:rPr>
      </w:pPr>
      <w:bookmarkStart w:id="13" w:name="_Toc6302"/>
      <w:r>
        <w:rPr>
          <w:rFonts w:hint="eastAsia" w:ascii="仿宋_GB2312" w:hAnsi="仿宋_GB2312" w:eastAsia="仿宋_GB2312" w:cs="仿宋_GB2312"/>
          <w:b/>
          <w:bCs/>
          <w:color w:val="auto"/>
          <w:kern w:val="0"/>
          <w:sz w:val="32"/>
          <w:szCs w:val="32"/>
          <w:highlight w:val="none"/>
          <w:lang w:val="en-US" w:eastAsia="zh-CN" w:bidi="ar-SA"/>
        </w:rPr>
        <w:t>1.项目实施背景</w:t>
      </w:r>
      <w:bookmarkEnd w:id="13"/>
    </w:p>
    <w:p w14:paraId="380E549F">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近年来，面对复杂严峻的外部环境，跨境电商凭借线上交易、非接触式交货、交易链条短等优势，成为中国品牌国际化、产业升级与贸易高质量发展的核心引擎。2024年，我国跨境电商进出口2.63万亿元，同比增长10.8%。其中，跨境电子商务综合试验区带动作用明显：截至目前，我国已设立165个跨境电商综合试验区，实现31个省区市全覆盖。然而，中国跨境电商品牌化率仍不足20%，多数企业陷入“低价竞争-利润微薄-缺乏创新”的恶性循环，面临品牌认知度低、供应链韧性不足、海外合规风险高、数字化运营能力弱等共性痛点。在此背景下，政策层面，国家“十四五”规划明确提出“培育一批国际化品牌”，商务部等24部门联合印发《“十四五”对外贸易高质量发展规划》，强调“支持跨境电商平台打造品牌孵化中心”。地方层面，上海、浙江、广东等地通过“品牌出海专项基金”“海外仓+独立站”补贴、跨境数据合规认证等措施，构建品牌培育生态。技术层面，AI营销、区块链溯源、柔性供应链等数字技术为品牌精准触达海外消费者、建立信任背书提供了工具支撑。</w:t>
      </w:r>
    </w:p>
    <w:p w14:paraId="32F78B64">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石狮市作为福建省“海丝核心区”和泉州市“海丝名城”建设的关键节点，始终将跨境电商作为融入“一带一路”倡议、构建双循环发展格局的核心抓手。2019年，国家发展改革</w:t>
      </w:r>
      <w:bookmarkStart w:id="104" w:name="_GoBack"/>
      <w:bookmarkEnd w:id="104"/>
      <w:r>
        <w:rPr>
          <w:rFonts w:hint="eastAsia" w:ascii="仿宋_GB2312" w:hAnsi="仿宋_GB2312" w:eastAsia="仿宋_GB2312" w:cs="仿宋_GB2312"/>
          <w:color w:val="auto"/>
          <w:kern w:val="0"/>
          <w:sz w:val="32"/>
          <w:szCs w:val="32"/>
          <w:highlight w:val="none"/>
          <w:lang w:val="en-US" w:eastAsia="zh-CN" w:bidi="ar-SA"/>
        </w:rPr>
        <w:t>委明确支持石狮建设跨境电商综合试验区，福建省政府将其列为“扩大开放示范区”重点培育对象。2023年，泉州市出台《推动跨境电商发展三年行动方案（2024-2026）》，提出“三年打造千亿级跨境电商产业集群”目标，石狮市同步配套《支持品牌电商发展若干措施》，从税收优惠、物流补贴、海外仓建设等方面给予企业全方位支持。政策红利持续释放，为跨境电商品牌化发展提供了制度保障。</w:t>
      </w:r>
    </w:p>
    <w:p w14:paraId="5D0BDBB8">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p>
    <w:p w14:paraId="43933767">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default" w:ascii="仿宋_GB2312" w:hAnsi="仿宋_GB2312" w:eastAsia="仿宋_GB2312" w:cs="仿宋_GB2312"/>
          <w:b/>
          <w:bCs/>
          <w:color w:val="auto"/>
          <w:kern w:val="0"/>
          <w:sz w:val="32"/>
          <w:szCs w:val="32"/>
          <w:highlight w:val="none"/>
          <w:lang w:val="en-US" w:eastAsia="zh-CN" w:bidi="ar-SA"/>
        </w:rPr>
      </w:pPr>
      <w:r>
        <w:rPr>
          <w:rFonts w:hint="eastAsia" w:ascii="仿宋_GB2312" w:hAnsi="仿宋_GB2312" w:eastAsia="仿宋_GB2312" w:cs="仿宋_GB2312"/>
          <w:b/>
          <w:bCs/>
          <w:color w:val="auto"/>
          <w:kern w:val="0"/>
          <w:sz w:val="32"/>
          <w:szCs w:val="32"/>
          <w:highlight w:val="none"/>
          <w:lang w:val="en-US" w:eastAsia="zh-CN" w:bidi="ar-SA"/>
        </w:rPr>
        <w:t>2.项目内容</w:t>
      </w:r>
    </w:p>
    <w:p w14:paraId="3F4BBD9C">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default"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为了</w:t>
      </w:r>
      <w:r>
        <w:rPr>
          <w:rFonts w:hint="eastAsia" w:ascii="仿宋_GB2312" w:hAnsi="仿宋_GB2312" w:eastAsia="仿宋_GB2312" w:cs="仿宋_GB2312"/>
          <w:color w:val="auto"/>
          <w:kern w:val="0"/>
          <w:sz w:val="32"/>
          <w:szCs w:val="32"/>
          <w:highlight w:val="none"/>
          <w:lang w:val="en-US" w:eastAsia="zh-CN" w:bidi="ar-SA"/>
        </w:rPr>
        <w:t>全面整合跨境电商领域各方面资源，围绕形成一站式服务的总体要求，提供跨境电商展示服务、全球电商平台入驻服务、跨境电商运营服务、数字贸易资源对接服务等，涵盖服务展示、电商孵化、青年创业、品牌营销、人才支撑、供应链服务等功能，</w:t>
      </w:r>
      <w:r>
        <w:rPr>
          <w:rFonts w:hint="default" w:ascii="仿宋_GB2312" w:hAnsi="仿宋_GB2312" w:eastAsia="仿宋_GB2312" w:cs="仿宋_GB2312"/>
          <w:color w:val="auto"/>
          <w:kern w:val="0"/>
          <w:sz w:val="32"/>
          <w:szCs w:val="32"/>
          <w:highlight w:val="none"/>
          <w:lang w:val="en-US" w:eastAsia="zh-CN" w:bidi="ar-SA"/>
        </w:rPr>
        <w:t>根据《石狮市关于推动电商高质量发展若干措施》（狮商务规〔2024〕1号）的精神，石狮市商务局充分拓展全省首创跨境电商公共服务中心带动效应，鼓励采取购买服务方式，引进行业协会或第三方专业机构服务运营石狮市跨境电商公共服务中心，丰富完善跨境综合服务水平，组织各类跨境电商活动，引导辖区传统外贸、生产制造和商贸流通企业，拓展跨境电商业务，进一步优化壮大石狮跨境电商产业生态。</w:t>
      </w:r>
    </w:p>
    <w:p w14:paraId="542464C2">
      <w:pPr>
        <w:keepNext w:val="0"/>
        <w:keepLines w:val="0"/>
        <w:pageBreakBefore w:val="0"/>
        <w:widowControl w:val="0"/>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eastAsia" w:ascii="仿宋_GB2312" w:hAnsi="仿宋_GB2312" w:eastAsia="仿宋_GB2312" w:cs="仿宋_GB2312"/>
          <w:b/>
          <w:bCs/>
          <w:color w:val="auto"/>
          <w:kern w:val="0"/>
          <w:sz w:val="32"/>
          <w:szCs w:val="32"/>
          <w:highlight w:val="none"/>
          <w:lang w:val="en-US" w:eastAsia="zh-CN" w:bidi="ar-SA"/>
        </w:rPr>
      </w:pPr>
      <w:bookmarkStart w:id="14" w:name="_Toc32109"/>
      <w:r>
        <w:rPr>
          <w:rFonts w:hint="eastAsia" w:ascii="仿宋_GB2312" w:hAnsi="仿宋_GB2312" w:eastAsia="仿宋_GB2312" w:cs="仿宋_GB2312"/>
          <w:b/>
          <w:bCs/>
          <w:color w:val="auto"/>
          <w:kern w:val="0"/>
          <w:sz w:val="32"/>
          <w:szCs w:val="32"/>
          <w:highlight w:val="none"/>
          <w:lang w:val="en-US" w:eastAsia="zh-CN" w:bidi="ar-SA"/>
        </w:rPr>
        <w:t>3.项目资金预算安排</w:t>
      </w:r>
      <w:bookmarkEnd w:id="14"/>
    </w:p>
    <w:p w14:paraId="366C4066">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依据《石狮市关于推动电商高质量发展若干措施》（狮商务规〔2024〕1号），</w:t>
      </w:r>
      <w:r>
        <w:rPr>
          <w:rFonts w:hint="default" w:ascii="仿宋_GB2312" w:hAnsi="仿宋_GB2312" w:eastAsia="仿宋_GB2312" w:cs="仿宋_GB2312"/>
          <w:color w:val="auto"/>
          <w:kern w:val="0"/>
          <w:sz w:val="32"/>
          <w:szCs w:val="32"/>
          <w:highlight w:val="none"/>
          <w:lang w:val="en-US" w:eastAsia="zh-CN" w:bidi="ar-SA"/>
        </w:rPr>
        <w:t>石狮市商务局拟申请</w:t>
      </w:r>
      <w:r>
        <w:rPr>
          <w:rFonts w:hint="eastAsia" w:ascii="仿宋_GB2312" w:hAnsi="仿宋_GB2312" w:eastAsia="仿宋_GB2312" w:cs="仿宋_GB2312"/>
          <w:color w:val="auto"/>
          <w:kern w:val="0"/>
          <w:sz w:val="32"/>
          <w:szCs w:val="32"/>
          <w:highlight w:val="none"/>
          <w:lang w:val="en-US" w:eastAsia="zh-CN" w:bidi="ar-SA"/>
        </w:rPr>
        <w:t>专项</w:t>
      </w:r>
      <w:r>
        <w:rPr>
          <w:rFonts w:hint="default" w:ascii="仿宋_GB2312" w:hAnsi="仿宋_GB2312" w:eastAsia="仿宋_GB2312" w:cs="仿宋_GB2312"/>
          <w:color w:val="auto"/>
          <w:kern w:val="0"/>
          <w:sz w:val="32"/>
          <w:szCs w:val="32"/>
          <w:highlight w:val="none"/>
          <w:lang w:val="en-US" w:eastAsia="zh-CN" w:bidi="ar-SA"/>
        </w:rPr>
        <w:t>预算资金2</w:t>
      </w:r>
      <w:r>
        <w:rPr>
          <w:rFonts w:hint="eastAsia" w:ascii="仿宋_GB2312" w:hAnsi="仿宋_GB2312" w:eastAsia="仿宋_GB2312" w:cs="仿宋_GB2312"/>
          <w:color w:val="auto"/>
          <w:kern w:val="0"/>
          <w:sz w:val="32"/>
          <w:szCs w:val="32"/>
          <w:highlight w:val="none"/>
          <w:lang w:val="en-US" w:eastAsia="zh-CN" w:bidi="ar-SA"/>
        </w:rPr>
        <w:t>99</w:t>
      </w:r>
      <w:r>
        <w:rPr>
          <w:rFonts w:hint="default" w:ascii="仿宋_GB2312" w:hAnsi="仿宋_GB2312" w:eastAsia="仿宋_GB2312" w:cs="仿宋_GB2312"/>
          <w:color w:val="auto"/>
          <w:kern w:val="0"/>
          <w:sz w:val="32"/>
          <w:szCs w:val="32"/>
          <w:highlight w:val="none"/>
          <w:lang w:val="en-US" w:eastAsia="zh-CN" w:bidi="ar-SA"/>
        </w:rPr>
        <w:t>万元</w:t>
      </w:r>
      <w:r>
        <w:rPr>
          <w:rFonts w:hint="eastAsia" w:ascii="仿宋_GB2312" w:hAnsi="仿宋_GB2312" w:eastAsia="仿宋_GB2312" w:cs="仿宋_GB2312"/>
          <w:color w:val="auto"/>
          <w:kern w:val="0"/>
          <w:sz w:val="32"/>
          <w:szCs w:val="32"/>
          <w:highlight w:val="none"/>
          <w:lang w:val="en-US" w:eastAsia="zh-CN" w:bidi="ar-SA"/>
        </w:rPr>
        <w:t>。</w:t>
      </w:r>
      <w:r>
        <w:rPr>
          <w:rFonts w:hint="default" w:ascii="仿宋_GB2312" w:hAnsi="仿宋_GB2312" w:eastAsia="仿宋_GB2312" w:cs="仿宋_GB2312"/>
          <w:color w:val="auto"/>
          <w:kern w:val="0"/>
          <w:sz w:val="32"/>
          <w:szCs w:val="32"/>
          <w:highlight w:val="none"/>
          <w:lang w:val="en-US" w:eastAsia="zh-CN" w:bidi="ar-SA"/>
        </w:rPr>
        <w:t>每</w:t>
      </w:r>
      <w:r>
        <w:rPr>
          <w:rFonts w:hint="eastAsia" w:ascii="仿宋_GB2312" w:hAnsi="仿宋_GB2312" w:eastAsia="仿宋_GB2312" w:cs="仿宋_GB2312"/>
          <w:color w:val="auto"/>
          <w:kern w:val="0"/>
          <w:sz w:val="32"/>
          <w:szCs w:val="32"/>
          <w:highlight w:val="none"/>
          <w:lang w:val="en-US" w:eastAsia="zh-CN" w:bidi="ar-SA"/>
        </w:rPr>
        <w:t>年预算</w:t>
      </w:r>
      <w:r>
        <w:rPr>
          <w:rFonts w:hint="default" w:ascii="仿宋_GB2312" w:hAnsi="仿宋_GB2312" w:eastAsia="仿宋_GB2312" w:cs="仿宋_GB2312"/>
          <w:color w:val="auto"/>
          <w:kern w:val="0"/>
          <w:sz w:val="32"/>
          <w:szCs w:val="32"/>
          <w:highlight w:val="none"/>
          <w:lang w:val="en-US" w:eastAsia="zh-CN" w:bidi="ar-SA"/>
        </w:rPr>
        <w:t>最高不超过300万元</w:t>
      </w:r>
      <w:r>
        <w:rPr>
          <w:rFonts w:hint="eastAsia" w:ascii="仿宋_GB2312" w:hAnsi="仿宋_GB2312" w:eastAsia="仿宋_GB2312" w:cs="仿宋_GB2312"/>
          <w:color w:val="auto"/>
          <w:kern w:val="0"/>
          <w:sz w:val="32"/>
          <w:szCs w:val="32"/>
          <w:highlight w:val="none"/>
          <w:lang w:val="en-US" w:eastAsia="zh-CN" w:bidi="ar-SA"/>
        </w:rPr>
        <w:t>，</w:t>
      </w:r>
      <w:r>
        <w:rPr>
          <w:rFonts w:hint="default" w:ascii="仿宋_GB2312" w:hAnsi="仿宋_GB2312" w:eastAsia="仿宋_GB2312" w:cs="仿宋_GB2312"/>
          <w:color w:val="auto"/>
          <w:kern w:val="0"/>
          <w:sz w:val="32"/>
          <w:szCs w:val="32"/>
          <w:highlight w:val="none"/>
          <w:lang w:val="en-US" w:eastAsia="zh-CN" w:bidi="ar-SA"/>
        </w:rPr>
        <w:t>通过政府采购公开招标方式选择石狮市跨境电商公共服务中心运营服务的服务单位。</w:t>
      </w:r>
    </w:p>
    <w:p w14:paraId="6473A9F9">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default" w:ascii="仿宋_GB2312" w:hAnsi="仿宋_GB2312" w:eastAsia="仿宋_GB2312" w:cs="仿宋_GB2312"/>
          <w:color w:val="auto"/>
          <w:kern w:val="0"/>
          <w:sz w:val="32"/>
          <w:szCs w:val="32"/>
          <w:highlight w:val="none"/>
          <w:lang w:val="en-US" w:eastAsia="zh-CN"/>
        </w:rPr>
      </w:pPr>
      <w:bookmarkStart w:id="15" w:name="_Toc6743"/>
      <w:r>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t>（三）项目预期绩效目标</w:t>
      </w:r>
      <w:bookmarkEnd w:id="15"/>
    </w:p>
    <w:p w14:paraId="63789BA0">
      <w:pPr>
        <w:pStyle w:val="16"/>
        <w:keepNext w:val="0"/>
        <w:keepLines w:val="0"/>
        <w:pageBreakBefore w:val="0"/>
        <w:kinsoku/>
        <w:wordWrap/>
        <w:overflowPunct/>
        <w:topLinePunct w:val="0"/>
        <w:autoSpaceDE/>
        <w:autoSpaceDN/>
        <w:bidi w:val="0"/>
        <w:adjustRightInd/>
        <w:snapToGrid/>
        <w:spacing w:after="0" w:line="560" w:lineRule="exact"/>
        <w:ind w:left="0"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rPr>
      </w:pPr>
      <w:r>
        <w:rPr>
          <w:rFonts w:hint="default" w:ascii="仿宋_GB2312" w:hAnsi="仿宋_GB2312" w:eastAsia="仿宋_GB2312" w:cs="仿宋_GB2312"/>
          <w:color w:val="auto"/>
          <w:kern w:val="0"/>
          <w:sz w:val="32"/>
          <w:szCs w:val="32"/>
          <w:highlight w:val="none"/>
          <w:lang w:val="en-US" w:eastAsia="zh-CN"/>
        </w:rPr>
        <w:t>石狮市商务局</w:t>
      </w:r>
      <w:r>
        <w:rPr>
          <w:rFonts w:hint="eastAsia" w:ascii="仿宋_GB2312" w:hAnsi="仿宋_GB2312" w:eastAsia="仿宋_GB2312" w:cs="仿宋_GB2312"/>
          <w:color w:val="auto"/>
          <w:kern w:val="0"/>
          <w:sz w:val="32"/>
          <w:szCs w:val="32"/>
          <w:highlight w:val="none"/>
          <w:lang w:val="en-US" w:eastAsia="zh-CN"/>
        </w:rPr>
        <w:t>为</w:t>
      </w:r>
      <w:r>
        <w:rPr>
          <w:rFonts w:hint="default" w:ascii="仿宋_GB2312" w:hAnsi="仿宋_GB2312" w:eastAsia="仿宋_GB2312" w:cs="仿宋_GB2312"/>
          <w:color w:val="auto"/>
          <w:kern w:val="0"/>
          <w:sz w:val="32"/>
          <w:szCs w:val="32"/>
          <w:highlight w:val="none"/>
          <w:lang w:val="en-US" w:eastAsia="zh-CN"/>
        </w:rPr>
        <w:t>进一步提升跨境电商公共中心服务水平，提供系统孵化、开店指导等服务，引导更多本地传统外贸企业、创业者通过跨境电商扩展海外市场，抢抓新增长点</w:t>
      </w:r>
      <w:r>
        <w:rPr>
          <w:rFonts w:hint="eastAsia" w:ascii="仿宋_GB2312" w:hAnsi="仿宋_GB2312" w:eastAsia="仿宋_GB2312" w:cs="仿宋_GB2312"/>
          <w:color w:val="auto"/>
          <w:kern w:val="0"/>
          <w:sz w:val="32"/>
          <w:szCs w:val="32"/>
          <w:highlight w:val="none"/>
          <w:lang w:val="en-US" w:eastAsia="zh-CN"/>
        </w:rPr>
        <w:t>，开展</w:t>
      </w:r>
      <w:r>
        <w:rPr>
          <w:rFonts w:hint="default" w:ascii="仿宋_GB2312" w:hAnsi="仿宋_GB2312" w:eastAsia="仿宋_GB2312" w:cs="仿宋_GB2312"/>
          <w:color w:val="auto"/>
          <w:kern w:val="0"/>
          <w:sz w:val="32"/>
          <w:szCs w:val="32"/>
          <w:highlight w:val="none"/>
          <w:lang w:val="en-US" w:eastAsia="zh-CN"/>
        </w:rPr>
        <w:t>新一轮采购石狮市跨境电商品牌培育全流程服务</w:t>
      </w:r>
      <w:r>
        <w:rPr>
          <w:rFonts w:hint="eastAsia" w:ascii="仿宋_GB2312" w:hAnsi="仿宋_GB2312" w:eastAsia="仿宋_GB2312" w:cs="仿宋_GB2312"/>
          <w:color w:val="auto"/>
          <w:kern w:val="0"/>
          <w:sz w:val="32"/>
          <w:szCs w:val="32"/>
          <w:highlight w:val="none"/>
          <w:lang w:val="en-US" w:eastAsia="zh-CN"/>
        </w:rPr>
        <w:t>。根据《</w:t>
      </w:r>
      <w:r>
        <w:rPr>
          <w:rFonts w:hint="default" w:ascii="仿宋_GB2312" w:hAnsi="仿宋_GB2312" w:eastAsia="仿宋_GB2312" w:cs="仿宋_GB2312"/>
          <w:color w:val="auto"/>
          <w:kern w:val="0"/>
          <w:sz w:val="32"/>
          <w:szCs w:val="32"/>
          <w:highlight w:val="none"/>
          <w:lang w:val="en-US" w:eastAsia="zh-CN"/>
        </w:rPr>
        <w:t>石狮市关于推动电商高质量发展若干措施》（狮商务规〔2024〕1号）</w:t>
      </w:r>
      <w:r>
        <w:rPr>
          <w:rFonts w:hint="eastAsia" w:ascii="仿宋_GB2312" w:hAnsi="仿宋_GB2312" w:eastAsia="仿宋_GB2312" w:cs="仿宋_GB2312"/>
          <w:color w:val="auto"/>
          <w:kern w:val="0"/>
          <w:sz w:val="32"/>
          <w:szCs w:val="32"/>
          <w:highlight w:val="none"/>
          <w:lang w:val="en-US" w:eastAsia="zh-CN"/>
        </w:rPr>
        <w:t>，设置</w:t>
      </w:r>
      <w:r>
        <w:rPr>
          <w:rFonts w:hint="default" w:ascii="仿宋_GB2312" w:hAnsi="仿宋_GB2312" w:eastAsia="仿宋_GB2312" w:cs="仿宋_GB2312"/>
          <w:color w:val="auto"/>
          <w:kern w:val="0"/>
          <w:sz w:val="32"/>
          <w:szCs w:val="32"/>
          <w:highlight w:val="none"/>
          <w:lang w:val="en-US" w:eastAsia="zh-CN"/>
        </w:rPr>
        <w:t>项目绩效目标表</w:t>
      </w:r>
      <w:r>
        <w:rPr>
          <w:rFonts w:hint="eastAsia" w:ascii="仿宋_GB2312" w:hAnsi="仿宋_GB2312" w:eastAsia="仿宋_GB2312" w:cs="仿宋_GB2312"/>
          <w:color w:val="auto"/>
          <w:kern w:val="0"/>
          <w:sz w:val="32"/>
          <w:szCs w:val="32"/>
          <w:highlight w:val="none"/>
          <w:lang w:val="en-US" w:eastAsia="zh-CN"/>
        </w:rPr>
        <w:t>如下表1所示：</w:t>
      </w:r>
    </w:p>
    <w:p w14:paraId="299EC470">
      <w:pPr>
        <w:pStyle w:val="16"/>
        <w:keepNext w:val="0"/>
        <w:keepLines w:val="0"/>
        <w:pageBreakBefore w:val="0"/>
        <w:widowControl w:val="0"/>
        <w:kinsoku/>
        <w:wordWrap/>
        <w:overflowPunct/>
        <w:topLinePunct w:val="0"/>
        <w:autoSpaceDE/>
        <w:autoSpaceDN/>
        <w:bidi w:val="0"/>
        <w:adjustRightInd/>
        <w:snapToGrid/>
        <w:spacing w:after="0"/>
        <w:ind w:left="0" w:leftChars="0" w:firstLine="0" w:firstLineChars="0"/>
        <w:jc w:val="both"/>
        <w:textAlignment w:val="auto"/>
        <w:rPr>
          <w:rFonts w:hint="eastAsia" w:ascii="仿宋" w:hAnsi="仿宋" w:eastAsia="仿宋" w:cs="仿宋"/>
          <w:b/>
          <w:bCs/>
          <w:kern w:val="2"/>
          <w:sz w:val="28"/>
          <w:szCs w:val="28"/>
          <w:lang w:val="en-US" w:eastAsia="zh-CN" w:bidi="ar-SA"/>
        </w:rPr>
      </w:pPr>
    </w:p>
    <w:p w14:paraId="7B234621">
      <w:pPr>
        <w:pStyle w:val="16"/>
        <w:keepNext w:val="0"/>
        <w:keepLines w:val="0"/>
        <w:pageBreakBefore w:val="0"/>
        <w:widowControl w:val="0"/>
        <w:kinsoku/>
        <w:wordWrap/>
        <w:overflowPunct/>
        <w:topLinePunct w:val="0"/>
        <w:autoSpaceDE/>
        <w:autoSpaceDN/>
        <w:bidi w:val="0"/>
        <w:adjustRightInd/>
        <w:snapToGrid/>
        <w:spacing w:after="0"/>
        <w:ind w:left="0" w:leftChars="0" w:firstLine="0" w:firstLineChars="0"/>
        <w:jc w:val="center"/>
        <w:textAlignment w:val="auto"/>
        <w:rPr>
          <w:rFonts w:hint="default" w:ascii="仿宋_GB2312" w:hAnsi="仿宋_GB2312" w:eastAsia="仿宋_GB2312" w:cs="仿宋_GB2312"/>
          <w:color w:val="auto"/>
          <w:kern w:val="0"/>
          <w:sz w:val="28"/>
          <w:szCs w:val="28"/>
          <w:highlight w:val="none"/>
          <w:lang w:val="en-US" w:eastAsia="zh-CN"/>
        </w:rPr>
      </w:pPr>
      <w:r>
        <w:rPr>
          <w:rFonts w:hint="eastAsia" w:ascii="仿宋" w:hAnsi="仿宋" w:eastAsia="仿宋" w:cs="仿宋"/>
          <w:b/>
          <w:bCs/>
          <w:kern w:val="2"/>
          <w:sz w:val="28"/>
          <w:szCs w:val="28"/>
          <w:lang w:val="en-US" w:eastAsia="zh-CN" w:bidi="ar-SA"/>
        </w:rPr>
        <w:t>表1：石狮市跨境电商品牌培育全流程服务绩效目标表</w:t>
      </w:r>
    </w:p>
    <w:tbl>
      <w:tblPr>
        <w:tblStyle w:val="17"/>
        <w:tblW w:w="804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86"/>
        <w:gridCol w:w="1602"/>
        <w:gridCol w:w="2135"/>
        <w:gridCol w:w="1600"/>
        <w:gridCol w:w="1521"/>
      </w:tblGrid>
      <w:tr w14:paraId="3ADA64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1" w:hRule="atLeast"/>
          <w:tblHeader/>
          <w:jc w:val="center"/>
        </w:trPr>
        <w:tc>
          <w:tcPr>
            <w:tcW w:w="1186"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2D0BF177">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一级指标</w:t>
            </w:r>
          </w:p>
        </w:tc>
        <w:tc>
          <w:tcPr>
            <w:tcW w:w="1602"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0F573327">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二级指标</w:t>
            </w:r>
          </w:p>
        </w:tc>
        <w:tc>
          <w:tcPr>
            <w:tcW w:w="2135"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18EE974E">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三级指标</w:t>
            </w:r>
          </w:p>
        </w:tc>
        <w:tc>
          <w:tcPr>
            <w:tcW w:w="1600"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2E25772D">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2025年半年目标值</w:t>
            </w:r>
          </w:p>
        </w:tc>
        <w:tc>
          <w:tcPr>
            <w:tcW w:w="1521"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23A4B2A9">
            <w:pPr>
              <w:keepNext w:val="0"/>
              <w:keepLines w:val="0"/>
              <w:widowControl/>
              <w:suppressLineNumbers w:val="0"/>
              <w:jc w:val="center"/>
              <w:textAlignment w:val="center"/>
              <w:rPr>
                <w:rFonts w:hint="eastAsia" w:ascii="仿宋" w:hAnsi="仿宋" w:eastAsia="仿宋" w:cs="仿宋"/>
                <w:b/>
                <w:bCs/>
                <w:i w:val="0"/>
                <w:iCs w:val="0"/>
                <w:color w:val="000000"/>
                <w:kern w:val="2"/>
                <w:sz w:val="24"/>
                <w:szCs w:val="24"/>
                <w:u w:val="none"/>
                <w:lang w:val="en-US" w:eastAsia="zh-CN" w:bidi="ar-SA"/>
              </w:rPr>
            </w:pPr>
            <w:r>
              <w:rPr>
                <w:rFonts w:hint="eastAsia" w:ascii="仿宋" w:hAnsi="仿宋" w:eastAsia="仿宋" w:cs="仿宋"/>
                <w:b/>
                <w:bCs/>
                <w:i w:val="0"/>
                <w:iCs w:val="0"/>
                <w:color w:val="000000"/>
                <w:kern w:val="0"/>
                <w:sz w:val="24"/>
                <w:szCs w:val="24"/>
                <w:u w:val="none"/>
                <w:lang w:val="en-US" w:eastAsia="zh-CN" w:bidi="ar"/>
              </w:rPr>
              <w:t>2025年目标值</w:t>
            </w:r>
          </w:p>
        </w:tc>
      </w:tr>
      <w:tr w14:paraId="05FD6B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9" w:hRule="atLeast"/>
          <w:jc w:val="center"/>
        </w:trPr>
        <w:tc>
          <w:tcPr>
            <w:tcW w:w="1186" w:type="dxa"/>
            <w:tcBorders>
              <w:top w:val="single" w:color="000000" w:sz="4" w:space="0"/>
              <w:left w:val="single" w:color="000000" w:sz="4" w:space="0"/>
              <w:bottom w:val="nil"/>
              <w:right w:val="single" w:color="000000" w:sz="4" w:space="0"/>
            </w:tcBorders>
            <w:shd w:val="clear" w:color="auto" w:fill="auto"/>
            <w:vAlign w:val="center"/>
          </w:tcPr>
          <w:p w14:paraId="0D09419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成本指标</w:t>
            </w: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1EF6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经济成本指标</w:t>
            </w: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36DC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财政批复资金总量</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252E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299万元</w:t>
            </w:r>
          </w:p>
        </w:tc>
        <w:tc>
          <w:tcPr>
            <w:tcW w:w="1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BBC10">
            <w:pPr>
              <w:jc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299万元</w:t>
            </w:r>
          </w:p>
        </w:tc>
      </w:tr>
      <w:tr w14:paraId="4A2F7B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1186" w:type="dxa"/>
            <w:vMerge w:val="restart"/>
            <w:tcBorders>
              <w:top w:val="single" w:color="000000" w:sz="4" w:space="0"/>
              <w:left w:val="single" w:color="000000" w:sz="4" w:space="0"/>
              <w:right w:val="single" w:color="000000" w:sz="4" w:space="0"/>
            </w:tcBorders>
            <w:shd w:val="clear" w:color="auto" w:fill="auto"/>
            <w:vAlign w:val="center"/>
          </w:tcPr>
          <w:p w14:paraId="223E43EF">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产出指标</w:t>
            </w:r>
          </w:p>
        </w:tc>
        <w:tc>
          <w:tcPr>
            <w:tcW w:w="1602" w:type="dxa"/>
            <w:vMerge w:val="restart"/>
            <w:tcBorders>
              <w:top w:val="single" w:color="000000" w:sz="4" w:space="0"/>
              <w:left w:val="single" w:color="000000" w:sz="4" w:space="0"/>
              <w:right w:val="single" w:color="000000" w:sz="4" w:space="0"/>
            </w:tcBorders>
            <w:shd w:val="clear" w:color="auto" w:fill="auto"/>
            <w:vAlign w:val="center"/>
          </w:tcPr>
          <w:p w14:paraId="034F222F">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数量指标</w:t>
            </w: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8DB86">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服务人次</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6A388">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20</w:t>
            </w:r>
          </w:p>
        </w:tc>
        <w:tc>
          <w:tcPr>
            <w:tcW w:w="1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A692C">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50</w:t>
            </w:r>
          </w:p>
        </w:tc>
      </w:tr>
      <w:tr w14:paraId="095575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1186" w:type="dxa"/>
            <w:vMerge w:val="continue"/>
            <w:tcBorders>
              <w:left w:val="single" w:color="000000" w:sz="4" w:space="0"/>
              <w:right w:val="single" w:color="000000" w:sz="4" w:space="0"/>
            </w:tcBorders>
            <w:shd w:val="clear" w:color="auto" w:fill="auto"/>
            <w:vAlign w:val="center"/>
          </w:tcPr>
          <w:p w14:paraId="77F7F978">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p>
        </w:tc>
        <w:tc>
          <w:tcPr>
            <w:tcW w:w="1602" w:type="dxa"/>
            <w:vMerge w:val="continue"/>
            <w:tcBorders>
              <w:left w:val="single" w:color="000000" w:sz="4" w:space="0"/>
              <w:right w:val="single" w:color="000000" w:sz="4" w:space="0"/>
            </w:tcBorders>
            <w:shd w:val="clear" w:color="auto" w:fill="auto"/>
            <w:vAlign w:val="center"/>
          </w:tcPr>
          <w:p w14:paraId="3C63E900">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0722F">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开展跨境电商培训等活动</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5798F">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20</w:t>
            </w:r>
          </w:p>
        </w:tc>
        <w:tc>
          <w:tcPr>
            <w:tcW w:w="1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FF462">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40</w:t>
            </w:r>
          </w:p>
        </w:tc>
      </w:tr>
      <w:tr w14:paraId="1F291D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1186" w:type="dxa"/>
            <w:vMerge w:val="continue"/>
            <w:tcBorders>
              <w:left w:val="single" w:color="000000" w:sz="4" w:space="0"/>
              <w:right w:val="single" w:color="000000" w:sz="4" w:space="0"/>
            </w:tcBorders>
            <w:shd w:val="clear" w:color="auto" w:fill="auto"/>
            <w:vAlign w:val="center"/>
          </w:tcPr>
          <w:p w14:paraId="51A73DF3">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p>
        </w:tc>
        <w:tc>
          <w:tcPr>
            <w:tcW w:w="1602" w:type="dxa"/>
            <w:vMerge w:val="continue"/>
            <w:tcBorders>
              <w:left w:val="single" w:color="000000" w:sz="4" w:space="0"/>
              <w:bottom w:val="single" w:color="000000" w:sz="4" w:space="0"/>
              <w:right w:val="single" w:color="000000" w:sz="4" w:space="0"/>
            </w:tcBorders>
            <w:shd w:val="clear" w:color="auto" w:fill="auto"/>
            <w:vAlign w:val="center"/>
          </w:tcPr>
          <w:p w14:paraId="5BB88DC5">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08AE0">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帮助跨境电商企业实现销售额增长</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E8B10">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5</w:t>
            </w:r>
          </w:p>
        </w:tc>
        <w:tc>
          <w:tcPr>
            <w:tcW w:w="1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63F5C">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20</w:t>
            </w:r>
          </w:p>
        </w:tc>
      </w:tr>
      <w:tr w14:paraId="006F25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1186" w:type="dxa"/>
            <w:vMerge w:val="continue"/>
            <w:tcBorders>
              <w:left w:val="single" w:color="000000" w:sz="4" w:space="0"/>
              <w:right w:val="single" w:color="000000" w:sz="4" w:space="0"/>
            </w:tcBorders>
            <w:shd w:val="clear" w:color="auto" w:fill="auto"/>
            <w:vAlign w:val="center"/>
          </w:tcPr>
          <w:p w14:paraId="426B059F">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p>
        </w:tc>
        <w:tc>
          <w:tcPr>
            <w:tcW w:w="1602" w:type="dxa"/>
            <w:vMerge w:val="restart"/>
            <w:tcBorders>
              <w:top w:val="single" w:color="000000" w:sz="4" w:space="0"/>
              <w:left w:val="single" w:color="000000" w:sz="4" w:space="0"/>
              <w:right w:val="single" w:color="000000" w:sz="4" w:space="0"/>
            </w:tcBorders>
            <w:shd w:val="clear" w:color="auto" w:fill="auto"/>
            <w:vAlign w:val="center"/>
          </w:tcPr>
          <w:p w14:paraId="0F10FAF0">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质量指标</w:t>
            </w: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F6484">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举办泉州级超百人大型活动场次</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5E11C">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0</w:t>
            </w:r>
          </w:p>
        </w:tc>
        <w:tc>
          <w:tcPr>
            <w:tcW w:w="1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2B94D">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w:t>
            </w:r>
          </w:p>
        </w:tc>
      </w:tr>
      <w:tr w14:paraId="4FB5AE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1186" w:type="dxa"/>
            <w:vMerge w:val="continue"/>
            <w:tcBorders>
              <w:left w:val="single" w:color="000000" w:sz="4" w:space="0"/>
              <w:right w:val="single" w:color="000000" w:sz="4" w:space="0"/>
            </w:tcBorders>
            <w:shd w:val="clear" w:color="auto" w:fill="auto"/>
            <w:vAlign w:val="center"/>
          </w:tcPr>
          <w:p w14:paraId="59D024E4">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p>
        </w:tc>
        <w:tc>
          <w:tcPr>
            <w:tcW w:w="1602" w:type="dxa"/>
            <w:vMerge w:val="continue"/>
            <w:tcBorders>
              <w:left w:val="single" w:color="000000" w:sz="4" w:space="0"/>
              <w:bottom w:val="single" w:color="000000" w:sz="4" w:space="0"/>
              <w:right w:val="single" w:color="000000" w:sz="4" w:space="0"/>
            </w:tcBorders>
            <w:shd w:val="clear" w:color="auto" w:fill="auto"/>
            <w:vAlign w:val="center"/>
          </w:tcPr>
          <w:p w14:paraId="71D20CA8">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66E7E">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资金使用合规性</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C0C0F">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100</w:t>
            </w:r>
          </w:p>
        </w:tc>
        <w:tc>
          <w:tcPr>
            <w:tcW w:w="1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60E95">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100</w:t>
            </w:r>
          </w:p>
        </w:tc>
      </w:tr>
      <w:tr w14:paraId="11A6D0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1186" w:type="dxa"/>
            <w:vMerge w:val="continue"/>
            <w:tcBorders>
              <w:left w:val="single" w:color="000000" w:sz="4" w:space="0"/>
              <w:bottom w:val="nil"/>
              <w:right w:val="single" w:color="000000" w:sz="4" w:space="0"/>
            </w:tcBorders>
            <w:shd w:val="clear" w:color="auto" w:fill="auto"/>
            <w:vAlign w:val="center"/>
          </w:tcPr>
          <w:p w14:paraId="2C4CBD91">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p>
        </w:tc>
        <w:tc>
          <w:tcPr>
            <w:tcW w:w="1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F9DD8">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时效指标</w:t>
            </w: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EB3A4">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资金拨付及时率</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FA5C4">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0%</w:t>
            </w:r>
          </w:p>
        </w:tc>
        <w:tc>
          <w:tcPr>
            <w:tcW w:w="1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39E0C">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100%</w:t>
            </w:r>
          </w:p>
        </w:tc>
      </w:tr>
      <w:tr w14:paraId="21B1F7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1186" w:type="dxa"/>
            <w:vMerge w:val="restart"/>
            <w:tcBorders>
              <w:top w:val="single" w:color="000000" w:sz="4" w:space="0"/>
              <w:left w:val="single" w:color="000000" w:sz="4" w:space="0"/>
              <w:right w:val="single" w:color="000000" w:sz="4" w:space="0"/>
            </w:tcBorders>
            <w:shd w:val="clear" w:color="auto" w:fill="auto"/>
            <w:vAlign w:val="center"/>
          </w:tcPr>
          <w:p w14:paraId="0753D05B">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bidi="ar"/>
              </w:rPr>
            </w:pPr>
            <w:r>
              <w:rPr>
                <w:rFonts w:hint="eastAsia" w:ascii="仿宋" w:hAnsi="仿宋" w:eastAsia="仿宋" w:cs="仿宋"/>
                <w:i w:val="0"/>
                <w:iCs w:val="0"/>
                <w:color w:val="000000"/>
                <w:kern w:val="0"/>
                <w:sz w:val="24"/>
                <w:szCs w:val="24"/>
                <w:u w:val="none"/>
                <w:lang w:val="en-US" w:eastAsia="zh-CN" w:bidi="ar"/>
              </w:rPr>
              <w:t>效益指标</w:t>
            </w:r>
          </w:p>
        </w:tc>
        <w:tc>
          <w:tcPr>
            <w:tcW w:w="1602" w:type="dxa"/>
            <w:vMerge w:val="restart"/>
            <w:tcBorders>
              <w:top w:val="single" w:color="000000" w:sz="4" w:space="0"/>
              <w:left w:val="single" w:color="000000" w:sz="4" w:space="0"/>
              <w:right w:val="single" w:color="000000" w:sz="4" w:space="0"/>
            </w:tcBorders>
            <w:shd w:val="clear" w:color="auto" w:fill="auto"/>
            <w:vAlign w:val="center"/>
          </w:tcPr>
          <w:p w14:paraId="22AE4877">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bidi="ar"/>
              </w:rPr>
            </w:pPr>
            <w:r>
              <w:rPr>
                <w:rFonts w:hint="eastAsia" w:ascii="仿宋" w:hAnsi="仿宋" w:eastAsia="仿宋" w:cs="仿宋"/>
                <w:i w:val="0"/>
                <w:iCs w:val="0"/>
                <w:color w:val="000000"/>
                <w:kern w:val="0"/>
                <w:sz w:val="24"/>
                <w:szCs w:val="24"/>
                <w:u w:val="none"/>
                <w:lang w:val="en-US" w:eastAsia="zh-CN" w:bidi="ar"/>
              </w:rPr>
              <w:t>社会效益指标</w:t>
            </w: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4F299">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组织参加重要跨境电商会展活动（场次）</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36DE6">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0</w:t>
            </w:r>
          </w:p>
        </w:tc>
        <w:tc>
          <w:tcPr>
            <w:tcW w:w="1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A7EDC">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w:t>
            </w:r>
          </w:p>
        </w:tc>
      </w:tr>
      <w:tr w14:paraId="4C66B0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1186" w:type="dxa"/>
            <w:vMerge w:val="continue"/>
            <w:tcBorders>
              <w:left w:val="single" w:color="000000" w:sz="4" w:space="0"/>
              <w:right w:val="single" w:color="000000" w:sz="4" w:space="0"/>
            </w:tcBorders>
            <w:shd w:val="clear" w:color="auto" w:fill="auto"/>
            <w:vAlign w:val="center"/>
          </w:tcPr>
          <w:p w14:paraId="6905E4D1">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bidi="ar"/>
              </w:rPr>
            </w:pPr>
          </w:p>
        </w:tc>
        <w:tc>
          <w:tcPr>
            <w:tcW w:w="1602" w:type="dxa"/>
            <w:vMerge w:val="continue"/>
            <w:tcBorders>
              <w:left w:val="single" w:color="000000" w:sz="4" w:space="0"/>
              <w:right w:val="single" w:color="000000" w:sz="4" w:space="0"/>
            </w:tcBorders>
            <w:shd w:val="clear" w:color="auto" w:fill="auto"/>
            <w:vAlign w:val="center"/>
          </w:tcPr>
          <w:p w14:paraId="2246377F">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bidi="ar"/>
              </w:rPr>
            </w:pP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13EF6">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帮助企业在跨境电商平台开店</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778D0">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10</w:t>
            </w:r>
          </w:p>
        </w:tc>
        <w:tc>
          <w:tcPr>
            <w:tcW w:w="1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42970">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30</w:t>
            </w:r>
          </w:p>
        </w:tc>
      </w:tr>
      <w:tr w14:paraId="347DBC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0" w:hRule="atLeast"/>
          <w:jc w:val="center"/>
        </w:trPr>
        <w:tc>
          <w:tcPr>
            <w:tcW w:w="1186" w:type="dxa"/>
            <w:vMerge w:val="continue"/>
            <w:tcBorders>
              <w:left w:val="single" w:color="000000" w:sz="4" w:space="0"/>
              <w:right w:val="single" w:color="000000" w:sz="4" w:space="0"/>
            </w:tcBorders>
            <w:shd w:val="clear" w:color="auto" w:fill="auto"/>
            <w:vAlign w:val="center"/>
          </w:tcPr>
          <w:p w14:paraId="7396BAF8">
            <w:pPr>
              <w:jc w:val="center"/>
              <w:textAlignment w:val="center"/>
              <w:rPr>
                <w:rFonts w:hint="eastAsia" w:ascii="仿宋" w:hAnsi="仿宋" w:eastAsia="仿宋" w:cs="仿宋"/>
                <w:i w:val="0"/>
                <w:iCs w:val="0"/>
                <w:color w:val="000000"/>
                <w:kern w:val="0"/>
                <w:sz w:val="24"/>
                <w:szCs w:val="24"/>
                <w:u w:val="none"/>
                <w:lang w:bidi="ar"/>
              </w:rPr>
            </w:pPr>
          </w:p>
        </w:tc>
        <w:tc>
          <w:tcPr>
            <w:tcW w:w="1602" w:type="dxa"/>
            <w:vMerge w:val="continue"/>
            <w:tcBorders>
              <w:left w:val="single" w:color="000000" w:sz="4" w:space="0"/>
              <w:bottom w:val="single" w:color="000000" w:sz="4" w:space="0"/>
              <w:right w:val="single" w:color="000000" w:sz="4" w:space="0"/>
            </w:tcBorders>
            <w:shd w:val="clear" w:color="auto" w:fill="auto"/>
            <w:vAlign w:val="center"/>
          </w:tcPr>
          <w:p w14:paraId="691FEF60">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bidi="ar"/>
              </w:rPr>
            </w:pP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D9F547">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帮助应届大学生留石创业</w:t>
            </w:r>
          </w:p>
        </w:tc>
        <w:tc>
          <w:tcPr>
            <w:tcW w:w="1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DF392">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3</w:t>
            </w:r>
          </w:p>
        </w:tc>
        <w:tc>
          <w:tcPr>
            <w:tcW w:w="1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964DC">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8</w:t>
            </w:r>
          </w:p>
        </w:tc>
      </w:tr>
      <w:tr w14:paraId="61EC72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00" w:hRule="atLeast"/>
          <w:jc w:val="center"/>
        </w:trPr>
        <w:tc>
          <w:tcPr>
            <w:tcW w:w="1186" w:type="dxa"/>
            <w:tcBorders>
              <w:top w:val="single" w:color="000000" w:sz="4" w:space="0"/>
              <w:left w:val="single" w:color="000000" w:sz="4" w:space="0"/>
              <w:bottom w:val="single" w:color="auto" w:sz="4" w:space="0"/>
              <w:right w:val="single" w:color="000000" w:sz="4" w:space="0"/>
            </w:tcBorders>
            <w:shd w:val="clear" w:color="auto" w:fill="auto"/>
            <w:vAlign w:val="center"/>
          </w:tcPr>
          <w:p w14:paraId="050D000B">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满意度指标</w:t>
            </w:r>
          </w:p>
        </w:tc>
        <w:tc>
          <w:tcPr>
            <w:tcW w:w="1602" w:type="dxa"/>
            <w:tcBorders>
              <w:top w:val="single" w:color="000000" w:sz="4" w:space="0"/>
              <w:left w:val="single" w:color="000000" w:sz="4" w:space="0"/>
              <w:bottom w:val="single" w:color="auto" w:sz="4" w:space="0"/>
              <w:right w:val="single" w:color="000000" w:sz="4" w:space="0"/>
            </w:tcBorders>
            <w:shd w:val="clear" w:color="auto" w:fill="auto"/>
            <w:vAlign w:val="center"/>
          </w:tcPr>
          <w:p w14:paraId="63ECF3CE">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服务对象满意度指标</w:t>
            </w:r>
          </w:p>
        </w:tc>
        <w:tc>
          <w:tcPr>
            <w:tcW w:w="2135" w:type="dxa"/>
            <w:tcBorders>
              <w:top w:val="single" w:color="000000" w:sz="4" w:space="0"/>
              <w:left w:val="single" w:color="000000" w:sz="4" w:space="0"/>
              <w:bottom w:val="single" w:color="auto" w:sz="4" w:space="0"/>
              <w:right w:val="single" w:color="000000" w:sz="4" w:space="0"/>
            </w:tcBorders>
            <w:shd w:val="clear" w:color="auto" w:fill="auto"/>
            <w:vAlign w:val="center"/>
          </w:tcPr>
          <w:p w14:paraId="3E3A691A">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跨境电商企业满意度</w:t>
            </w:r>
          </w:p>
        </w:tc>
        <w:tc>
          <w:tcPr>
            <w:tcW w:w="1600" w:type="dxa"/>
            <w:tcBorders>
              <w:top w:val="single" w:color="000000" w:sz="4" w:space="0"/>
              <w:left w:val="single" w:color="000000" w:sz="4" w:space="0"/>
              <w:bottom w:val="single" w:color="auto" w:sz="4" w:space="0"/>
              <w:right w:val="single" w:color="000000" w:sz="4" w:space="0"/>
            </w:tcBorders>
            <w:shd w:val="clear" w:color="auto" w:fill="auto"/>
            <w:vAlign w:val="center"/>
          </w:tcPr>
          <w:p w14:paraId="2ABD31A5">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≥90%</w:t>
            </w:r>
          </w:p>
        </w:tc>
        <w:tc>
          <w:tcPr>
            <w:tcW w:w="1521" w:type="dxa"/>
            <w:tcBorders>
              <w:top w:val="single" w:color="000000" w:sz="4" w:space="0"/>
              <w:left w:val="single" w:color="000000" w:sz="4" w:space="0"/>
              <w:bottom w:val="single" w:color="auto" w:sz="4" w:space="0"/>
              <w:right w:val="single" w:color="000000" w:sz="4" w:space="0"/>
            </w:tcBorders>
            <w:shd w:val="clear" w:color="auto" w:fill="auto"/>
            <w:vAlign w:val="center"/>
          </w:tcPr>
          <w:p w14:paraId="15D8502E">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≥90%</w:t>
            </w:r>
          </w:p>
        </w:tc>
      </w:tr>
    </w:tbl>
    <w:p w14:paraId="7F505929">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0"/>
        <w:rPr>
          <w:rFonts w:hint="eastAsia" w:ascii="黑体" w:hAnsi="黑体" w:eastAsia="黑体" w:cs="黑体"/>
          <w:b/>
          <w:bCs/>
          <w:color w:val="auto"/>
          <w:sz w:val="32"/>
          <w:szCs w:val="32"/>
          <w:lang w:val="zh-CN" w:eastAsia="zh-CN"/>
        </w:rPr>
      </w:pPr>
      <w:bookmarkStart w:id="16" w:name="_Toc26118"/>
      <w:r>
        <w:rPr>
          <w:rFonts w:hint="eastAsia" w:ascii="黑体" w:hAnsi="黑体" w:eastAsia="黑体" w:cs="黑体"/>
          <w:b/>
          <w:bCs/>
          <w:color w:val="auto"/>
          <w:sz w:val="32"/>
          <w:szCs w:val="32"/>
          <w:lang w:val="en-US" w:eastAsia="zh-CN"/>
        </w:rPr>
        <w:t>二</w:t>
      </w:r>
      <w:r>
        <w:rPr>
          <w:rFonts w:hint="eastAsia" w:ascii="黑体" w:hAnsi="黑体" w:eastAsia="黑体" w:cs="黑体"/>
          <w:b/>
          <w:bCs/>
          <w:color w:val="auto"/>
          <w:sz w:val="32"/>
          <w:szCs w:val="32"/>
          <w:lang w:val="zh-CN" w:eastAsia="zh-CN"/>
        </w:rPr>
        <w:t>、绩效评估工作开展情况</w:t>
      </w:r>
      <w:bookmarkEnd w:id="16"/>
    </w:p>
    <w:p w14:paraId="6E5F8DE6">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pPr>
      <w:bookmarkStart w:id="17" w:name="_Toc20066"/>
      <w:r>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t>（一）评估目的</w:t>
      </w:r>
      <w:bookmarkEnd w:id="17"/>
    </w:p>
    <w:p w14:paraId="31B05CD3">
      <w:pPr>
        <w:keepNext w:val="0"/>
        <w:keepLines w:val="0"/>
        <w:pageBreakBefore w:val="0"/>
        <w:widowControl w:val="0"/>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绩效管理是政府改革的重要方向，财政支出事前绩效评估是建设效能、责任和廉洁政府的重要手段。为客观评估石狮市跨境电商品牌培育全流程服务的预期绩效，在该项目绩效目标申报表的基础上，结合项目特点，制定石狮市跨境电商品牌培育全流程服务事前绩效评估指标体系，运用科学、规范的评估方法，客观地对项目预算绩效进行综合性评估，对石狮市跨境电商品牌培育全流程服务在预算编制、绩效管理及项目实施过程中可能存在的问题，探究其可能的原因，最后提出相应的解决对策。通过事前绩效评估，在项目资金预算管理中引入绩效管理理念，规范管理方式，加强项目资金管理，为进一步提升财政专项资金使用效益、优化财政支出结构和政府公共服务水平提供确实有力的依据。</w:t>
      </w:r>
    </w:p>
    <w:p w14:paraId="1306C47A">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pPr>
      <w:bookmarkStart w:id="18" w:name="_Toc23298"/>
      <w:r>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t>（二）评估指标</w:t>
      </w:r>
      <w:bookmarkEnd w:id="18"/>
    </w:p>
    <w:p w14:paraId="55075949">
      <w:pPr>
        <w:keepNext w:val="0"/>
        <w:keepLines w:val="0"/>
        <w:pageBreakBefore w:val="0"/>
        <w:widowControl w:val="0"/>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事前绩效评估指标直接影响绩效评估结果的有效性，在设计和选择评估指标时，评估工作小组遵循“相关性、经济性、可比性、重要性”的原则，通过对石狮市跨境电商品牌培育全流程服务申报依据、开展情况、管理制度等相关材料的学习理解、对项目特点的深入研究以及对项目资料的整理分析，设计形成项目事前绩效评估体系。绩效评估总分100分，共设置一级指标5个，分值分别为15分、20分、22分、28分、15分，设置二级指标11个，从立项必要性、投入经济性、绩效目标合理性、项目可行性、筹资可行性等方面全面评估项目预算绩效情况。</w:t>
      </w:r>
    </w:p>
    <w:p w14:paraId="05CD432D">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pPr>
      <w:bookmarkStart w:id="19" w:name="_Toc11319"/>
      <w:r>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t>（三）评估依据</w:t>
      </w:r>
      <w:bookmarkEnd w:id="19"/>
    </w:p>
    <w:p w14:paraId="30A1229C">
      <w:pPr>
        <w:keepNext w:val="0"/>
        <w:keepLines w:val="0"/>
        <w:pageBreakBefore w:val="0"/>
        <w:widowControl w:val="0"/>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1.《中共中央 国务院关于全面实施预算绩效管理的意见》（中发〔2018〕34号）；</w:t>
      </w:r>
    </w:p>
    <w:p w14:paraId="30A0D9AC">
      <w:pPr>
        <w:keepNext w:val="0"/>
        <w:keepLines w:val="0"/>
        <w:pageBreakBefore w:val="0"/>
        <w:widowControl w:val="0"/>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2.《中共福建省委 福建省人民政府印发〈关于全面实施预算绩效管理的实施意见〉的通知》（闽委发〔2019〕5号）；</w:t>
      </w:r>
    </w:p>
    <w:p w14:paraId="6A2DAC07">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3.《中共泉州市委办公室 泉州市人民政府办公室关于印发〈全面实施预算绩效管理的若干措施〉的通知》（泉委办发〔2019〕42号）；</w:t>
      </w:r>
    </w:p>
    <w:p w14:paraId="14410716">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4.《石狮市商务局关于印发〈石狮市关于推动电商高质量发展若干措施〉的通知》（狮商务规〔2024〕1号）；</w:t>
      </w:r>
    </w:p>
    <w:p w14:paraId="35311138">
      <w:pPr>
        <w:spacing w:line="560" w:lineRule="exact"/>
        <w:ind w:left="0" w:leftChars="0" w:firstLine="640" w:firstLineChars="200"/>
        <w:jc w:val="both"/>
        <w:rPr>
          <w:rFonts w:hint="default"/>
          <w:lang w:val="en-US" w:eastAsia="zh-CN"/>
        </w:rPr>
      </w:pPr>
      <w:r>
        <w:rPr>
          <w:rFonts w:hint="eastAsia" w:ascii="仿宋_GB2312" w:hAnsi="仿宋_GB2312" w:eastAsia="仿宋_GB2312" w:cs="仿宋_GB2312"/>
          <w:color w:val="auto"/>
          <w:kern w:val="0"/>
          <w:sz w:val="32"/>
          <w:szCs w:val="32"/>
          <w:highlight w:val="none"/>
          <w:lang w:val="en-US" w:eastAsia="zh-CN" w:bidi="ar-SA"/>
        </w:rPr>
        <w:t>5.《石狮市人民政府办公室关于印发〈石狮市内外贸高质量发展若干措施〉的通知》（狮政办规〔2025〕2号）；</w:t>
      </w:r>
    </w:p>
    <w:p w14:paraId="4B9D9898">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6.《石狮市商务局 石狮市财政局 关于印发2025年泉州市促进商务发展若干措施的通知》（泉商务规〔2025〕1号）；</w:t>
      </w:r>
    </w:p>
    <w:p w14:paraId="067588E8">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7.《石狮市支持品牌电商发展若干措施》（狮政规〔2022〕5号）；</w:t>
      </w:r>
    </w:p>
    <w:p w14:paraId="4B1A32B6">
      <w:pPr>
        <w:keepNext w:val="0"/>
        <w:keepLines w:val="0"/>
        <w:pageBreakBefore w:val="0"/>
        <w:widowControl w:val="0"/>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8.《石狮市人民政府办公室关于成立石狮优品出海指挥部的通知》（狮政办〔2025〕3号）；</w:t>
      </w:r>
    </w:p>
    <w:p w14:paraId="44BC5247">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9.《泉州市促进跨境电商高质量发展若干措施》（泉商务〔2024〕40号）；</w:t>
      </w:r>
    </w:p>
    <w:p w14:paraId="5A5DBDBE">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10.《关于推动福建省跨境电商创新发展的若干措施》（闽商务〔2024〕8号）；</w:t>
      </w:r>
    </w:p>
    <w:p w14:paraId="6347C932">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11.《2024年泉州市促进跨境电商高质量发展若干措施申报指南》；</w:t>
      </w:r>
    </w:p>
    <w:p w14:paraId="37FCC015">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12.关于石狮市跨境电商品牌培育全流程服务收集的其他相关材料。</w:t>
      </w:r>
    </w:p>
    <w:p w14:paraId="7C0E14FF">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pPr>
      <w:bookmarkStart w:id="20" w:name="_Toc15052"/>
      <w:r>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t>（四）评估原则</w:t>
      </w:r>
      <w:bookmarkEnd w:id="20"/>
    </w:p>
    <w:p w14:paraId="4196AB18">
      <w:pPr>
        <w:keepNext w:val="0"/>
        <w:keepLines w:val="0"/>
        <w:pageBreakBefore w:val="0"/>
        <w:widowControl w:val="0"/>
        <w:suppressLineNumbers w:val="0"/>
        <w:kinsoku/>
        <w:wordWrap/>
        <w:overflowPunct/>
        <w:topLinePunct w:val="0"/>
        <w:autoSpaceDE/>
        <w:autoSpaceDN/>
        <w:bidi w:val="0"/>
        <w:adjustRightInd/>
        <w:snapToGrid/>
        <w:spacing w:line="560" w:lineRule="exact"/>
        <w:ind w:left="0" w:leftChars="0" w:right="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一是科学规范原则。严格执行有关程序，按照科学可行的要求，采用定量与定性分析相结合、理论与实践相结合的方法设计评估指标体系。二是公正公开原则。符合真实、客观、公正的要求，依法公开并接受监督。三是利害关系回避原则。绩效评估工作由石狮市财政局委托泉州市招标咨询中心有限公司实施。四是绩效相关原则。绩效评估针对石狮市跨境电商品牌培育全流程服务资金的使用及其预期绩效进行评估，评估结果清晰地反映两者之间的紧密对应关系。</w:t>
      </w:r>
    </w:p>
    <w:p w14:paraId="0EB1FBB4">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pPr>
      <w:bookmarkStart w:id="21" w:name="_Toc4633"/>
      <w:r>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t>（五）评估方法和等级设定</w:t>
      </w:r>
      <w:bookmarkEnd w:id="21"/>
    </w:p>
    <w:p w14:paraId="54205758">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本次事前绩效评估通过实施单位的数据填报，辅以评估工作小组实地调查、听取汇报、查看项目管理及财务管理资料等方式收集信息，采用成本效益分析法、比较法等进行评分，以定量考核与定性分析相结合，汇总形成评估综合得分。评估结论分为建议实施、建议调整后实施、建议不予实施三个等级，根据各项指标得分合计分数，确定综合评估结论。具体如下表2：</w:t>
      </w:r>
    </w:p>
    <w:p w14:paraId="355639A0">
      <w:pPr>
        <w:pageBreakBefore w:val="0"/>
        <w:kinsoku/>
        <w:wordWrap/>
        <w:overflowPunct/>
        <w:topLinePunct w:val="0"/>
        <w:autoSpaceDE/>
        <w:autoSpaceDN/>
        <w:bidi w:val="0"/>
        <w:adjustRightInd/>
        <w:snapToGrid/>
        <w:spacing w:line="360" w:lineRule="auto"/>
        <w:ind w:left="0" w:leftChars="0"/>
        <w:jc w:val="center"/>
        <w:rPr>
          <w:rFonts w:hint="eastAsia" w:ascii="仿宋" w:hAnsi="仿宋" w:eastAsia="仿宋" w:cs="仿宋"/>
          <w:b/>
          <w:bCs/>
          <w:kern w:val="2"/>
          <w:sz w:val="28"/>
          <w:szCs w:val="28"/>
          <w:lang w:val="en-US" w:eastAsia="zh-CN" w:bidi="ar-SA"/>
        </w:rPr>
      </w:pPr>
      <w:r>
        <w:rPr>
          <w:rFonts w:hint="eastAsia" w:ascii="仿宋" w:hAnsi="仿宋" w:eastAsia="仿宋" w:cs="仿宋"/>
          <w:b/>
          <w:bCs/>
          <w:kern w:val="2"/>
          <w:sz w:val="28"/>
          <w:szCs w:val="28"/>
          <w:lang w:val="en-US" w:eastAsia="zh-CN" w:bidi="ar-SA"/>
        </w:rPr>
        <w:t>表2：绩效评估等级表</w:t>
      </w:r>
    </w:p>
    <w:tbl>
      <w:tblPr>
        <w:tblStyle w:val="17"/>
        <w:tblW w:w="86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2"/>
        <w:gridCol w:w="2060"/>
        <w:gridCol w:w="2260"/>
        <w:gridCol w:w="1944"/>
      </w:tblGrid>
      <w:tr w14:paraId="34D68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2412" w:type="dxa"/>
            <w:shd w:val="clear" w:color="auto" w:fill="D7D7D7" w:themeFill="background1" w:themeFillShade="D8"/>
            <w:vAlign w:val="center"/>
          </w:tcPr>
          <w:p w14:paraId="2EA5B576">
            <w:pPr>
              <w:pageBreakBefore w:val="0"/>
              <w:kinsoku/>
              <w:wordWrap/>
              <w:overflowPunct/>
              <w:topLinePunct w:val="0"/>
              <w:autoSpaceDE/>
              <w:autoSpaceDN/>
              <w:bidi w:val="0"/>
              <w:adjustRightInd/>
              <w:snapToGrid/>
              <w:spacing w:line="360" w:lineRule="auto"/>
              <w:ind w:left="0" w:leftChars="0"/>
              <w:jc w:val="center"/>
              <w:rPr>
                <w:rFonts w:hint="eastAsia" w:ascii="仿宋" w:hAnsi="仿宋" w:eastAsia="仿宋" w:cs="仿宋"/>
                <w:b/>
                <w:bCs w:val="0"/>
                <w:color w:val="auto"/>
                <w:sz w:val="24"/>
                <w:szCs w:val="24"/>
                <w:lang w:val="en-US" w:eastAsia="zh-CN"/>
              </w:rPr>
            </w:pPr>
            <w:r>
              <w:rPr>
                <w:rFonts w:hint="eastAsia" w:ascii="仿宋" w:hAnsi="仿宋" w:eastAsia="仿宋" w:cs="仿宋"/>
                <w:b/>
                <w:bCs w:val="0"/>
                <w:color w:val="auto"/>
                <w:sz w:val="24"/>
                <w:szCs w:val="24"/>
                <w:lang w:val="en-US" w:eastAsia="zh-CN"/>
              </w:rPr>
              <w:t>评估结论</w:t>
            </w:r>
          </w:p>
        </w:tc>
        <w:tc>
          <w:tcPr>
            <w:tcW w:w="2060" w:type="dxa"/>
            <w:shd w:val="clear" w:color="auto" w:fill="D7D7D7" w:themeFill="background1" w:themeFillShade="D8"/>
            <w:vAlign w:val="center"/>
          </w:tcPr>
          <w:p w14:paraId="279936B3">
            <w:pPr>
              <w:pageBreakBefore w:val="0"/>
              <w:kinsoku/>
              <w:wordWrap/>
              <w:overflowPunct/>
              <w:topLinePunct w:val="0"/>
              <w:autoSpaceDE/>
              <w:autoSpaceDN/>
              <w:bidi w:val="0"/>
              <w:adjustRightInd/>
              <w:snapToGrid/>
              <w:spacing w:line="360" w:lineRule="auto"/>
              <w:ind w:left="0" w:leftChars="0"/>
              <w:jc w:val="center"/>
              <w:rPr>
                <w:rFonts w:hint="eastAsia" w:ascii="仿宋" w:hAnsi="仿宋" w:eastAsia="仿宋" w:cs="仿宋"/>
                <w:b/>
                <w:bCs w:val="0"/>
                <w:color w:val="auto"/>
                <w:sz w:val="24"/>
                <w:szCs w:val="24"/>
                <w:lang w:val="en-US" w:eastAsia="zh-CN"/>
              </w:rPr>
            </w:pPr>
            <w:r>
              <w:rPr>
                <w:rFonts w:hint="eastAsia" w:ascii="仿宋" w:hAnsi="仿宋" w:eastAsia="仿宋" w:cs="仿宋"/>
                <w:b/>
                <w:bCs w:val="0"/>
                <w:color w:val="auto"/>
                <w:sz w:val="24"/>
                <w:szCs w:val="24"/>
                <w:lang w:val="en-US" w:eastAsia="zh-CN"/>
              </w:rPr>
              <w:t>建议实施</w:t>
            </w:r>
          </w:p>
        </w:tc>
        <w:tc>
          <w:tcPr>
            <w:tcW w:w="2260" w:type="dxa"/>
            <w:shd w:val="clear" w:color="auto" w:fill="D7D7D7" w:themeFill="background1" w:themeFillShade="D8"/>
            <w:vAlign w:val="center"/>
          </w:tcPr>
          <w:p w14:paraId="45713964">
            <w:pPr>
              <w:pageBreakBefore w:val="0"/>
              <w:kinsoku/>
              <w:wordWrap/>
              <w:overflowPunct/>
              <w:topLinePunct w:val="0"/>
              <w:autoSpaceDE/>
              <w:autoSpaceDN/>
              <w:bidi w:val="0"/>
              <w:adjustRightInd/>
              <w:snapToGrid/>
              <w:spacing w:line="360" w:lineRule="auto"/>
              <w:ind w:left="0" w:leftChars="0"/>
              <w:jc w:val="center"/>
              <w:rPr>
                <w:rFonts w:hint="eastAsia" w:ascii="仿宋" w:hAnsi="仿宋" w:eastAsia="仿宋" w:cs="仿宋"/>
                <w:b/>
                <w:bCs w:val="0"/>
                <w:color w:val="auto"/>
                <w:sz w:val="24"/>
                <w:szCs w:val="24"/>
                <w:lang w:val="en-US" w:eastAsia="zh-CN"/>
              </w:rPr>
            </w:pPr>
            <w:r>
              <w:rPr>
                <w:rFonts w:hint="eastAsia" w:ascii="仿宋" w:hAnsi="仿宋" w:eastAsia="仿宋" w:cs="仿宋"/>
                <w:b/>
                <w:bCs w:val="0"/>
                <w:color w:val="auto"/>
                <w:sz w:val="24"/>
                <w:szCs w:val="24"/>
                <w:lang w:val="en-US" w:eastAsia="zh-CN"/>
              </w:rPr>
              <w:t>建议调整后实施</w:t>
            </w:r>
          </w:p>
        </w:tc>
        <w:tc>
          <w:tcPr>
            <w:tcW w:w="1944" w:type="dxa"/>
            <w:shd w:val="clear" w:color="auto" w:fill="D7D7D7" w:themeFill="background1" w:themeFillShade="D8"/>
            <w:vAlign w:val="center"/>
          </w:tcPr>
          <w:p w14:paraId="76E87B70">
            <w:pPr>
              <w:pageBreakBefore w:val="0"/>
              <w:kinsoku/>
              <w:wordWrap/>
              <w:overflowPunct/>
              <w:topLinePunct w:val="0"/>
              <w:autoSpaceDE/>
              <w:autoSpaceDN/>
              <w:bidi w:val="0"/>
              <w:adjustRightInd/>
              <w:snapToGrid/>
              <w:spacing w:line="360" w:lineRule="auto"/>
              <w:ind w:left="0" w:leftChars="0"/>
              <w:jc w:val="center"/>
              <w:rPr>
                <w:rFonts w:hint="eastAsia" w:ascii="仿宋" w:hAnsi="仿宋" w:eastAsia="仿宋" w:cs="仿宋"/>
                <w:b/>
                <w:bCs w:val="0"/>
                <w:color w:val="auto"/>
                <w:sz w:val="24"/>
                <w:szCs w:val="24"/>
                <w:lang w:val="en-US" w:eastAsia="zh-CN"/>
              </w:rPr>
            </w:pPr>
            <w:r>
              <w:rPr>
                <w:rFonts w:hint="eastAsia" w:ascii="仿宋" w:hAnsi="仿宋" w:eastAsia="仿宋" w:cs="仿宋"/>
                <w:b/>
                <w:bCs w:val="0"/>
                <w:color w:val="auto"/>
                <w:sz w:val="24"/>
                <w:szCs w:val="24"/>
                <w:lang w:val="en-US" w:eastAsia="zh-CN"/>
              </w:rPr>
              <w:t>建议不予实施</w:t>
            </w:r>
          </w:p>
        </w:tc>
      </w:tr>
      <w:tr w14:paraId="13BAF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2412" w:type="dxa"/>
            <w:shd w:val="clear" w:color="auto" w:fill="auto"/>
            <w:vAlign w:val="center"/>
          </w:tcPr>
          <w:p w14:paraId="079A8DC0">
            <w:pPr>
              <w:pageBreakBefore w:val="0"/>
              <w:kinsoku/>
              <w:wordWrap/>
              <w:overflowPunct/>
              <w:topLinePunct w:val="0"/>
              <w:autoSpaceDE/>
              <w:autoSpaceDN/>
              <w:bidi w:val="0"/>
              <w:adjustRightInd/>
              <w:snapToGrid/>
              <w:spacing w:line="360" w:lineRule="auto"/>
              <w:ind w:left="0" w:leftChars="0"/>
              <w:jc w:val="center"/>
              <w:rPr>
                <w:rFonts w:hint="eastAsia" w:ascii="仿宋" w:hAnsi="仿宋" w:eastAsia="仿宋" w:cs="仿宋"/>
                <w:b w:val="0"/>
                <w:bCs/>
                <w:color w:val="auto"/>
                <w:sz w:val="24"/>
                <w:szCs w:val="24"/>
                <w:lang w:val="en-US" w:eastAsia="zh-CN"/>
              </w:rPr>
            </w:pPr>
            <w:r>
              <w:rPr>
                <w:rFonts w:hint="eastAsia" w:ascii="仿宋" w:hAnsi="仿宋" w:eastAsia="仿宋" w:cs="仿宋"/>
                <w:b w:val="0"/>
                <w:bCs/>
                <w:color w:val="auto"/>
                <w:sz w:val="24"/>
                <w:szCs w:val="24"/>
                <w:lang w:val="en-US" w:eastAsia="zh-CN"/>
              </w:rPr>
              <w:t>参考分值S</w:t>
            </w:r>
          </w:p>
        </w:tc>
        <w:tc>
          <w:tcPr>
            <w:tcW w:w="2060" w:type="dxa"/>
            <w:shd w:val="clear" w:color="auto" w:fill="auto"/>
            <w:vAlign w:val="center"/>
          </w:tcPr>
          <w:p w14:paraId="47AFBC10">
            <w:pPr>
              <w:pageBreakBefore w:val="0"/>
              <w:kinsoku/>
              <w:wordWrap/>
              <w:overflowPunct/>
              <w:topLinePunct w:val="0"/>
              <w:autoSpaceDE/>
              <w:autoSpaceDN/>
              <w:bidi w:val="0"/>
              <w:adjustRightInd/>
              <w:snapToGrid/>
              <w:spacing w:line="360" w:lineRule="auto"/>
              <w:ind w:left="0" w:leftChars="0"/>
              <w:jc w:val="center"/>
              <w:rPr>
                <w:rFonts w:hint="eastAsia" w:ascii="仿宋" w:hAnsi="仿宋" w:eastAsia="仿宋" w:cs="仿宋"/>
                <w:b w:val="0"/>
                <w:bCs/>
                <w:color w:val="auto"/>
                <w:sz w:val="24"/>
                <w:szCs w:val="24"/>
                <w:lang w:val="en-US" w:eastAsia="zh-CN"/>
              </w:rPr>
            </w:pPr>
            <w:r>
              <w:rPr>
                <w:rFonts w:hint="eastAsia" w:ascii="仿宋" w:hAnsi="仿宋" w:eastAsia="仿宋" w:cs="仿宋"/>
                <w:b w:val="0"/>
                <w:bCs/>
                <w:color w:val="auto"/>
                <w:sz w:val="24"/>
                <w:szCs w:val="24"/>
                <w:lang w:val="en-US" w:eastAsia="zh-CN"/>
              </w:rPr>
              <w:t>S≥90</w:t>
            </w:r>
          </w:p>
        </w:tc>
        <w:tc>
          <w:tcPr>
            <w:tcW w:w="2260" w:type="dxa"/>
            <w:shd w:val="clear" w:color="auto" w:fill="auto"/>
            <w:vAlign w:val="center"/>
          </w:tcPr>
          <w:p w14:paraId="00092BCC">
            <w:pPr>
              <w:pageBreakBefore w:val="0"/>
              <w:kinsoku/>
              <w:wordWrap/>
              <w:overflowPunct/>
              <w:topLinePunct w:val="0"/>
              <w:autoSpaceDE/>
              <w:autoSpaceDN/>
              <w:bidi w:val="0"/>
              <w:adjustRightInd/>
              <w:snapToGrid/>
              <w:spacing w:line="360" w:lineRule="auto"/>
              <w:ind w:left="0" w:leftChars="0"/>
              <w:jc w:val="center"/>
              <w:rPr>
                <w:rFonts w:hint="eastAsia" w:ascii="仿宋" w:hAnsi="仿宋" w:eastAsia="仿宋" w:cs="仿宋"/>
                <w:b w:val="0"/>
                <w:bCs/>
                <w:color w:val="auto"/>
                <w:sz w:val="24"/>
                <w:szCs w:val="24"/>
                <w:lang w:val="en-US" w:eastAsia="zh-CN"/>
              </w:rPr>
            </w:pPr>
            <w:r>
              <w:rPr>
                <w:rFonts w:hint="eastAsia" w:ascii="仿宋" w:hAnsi="仿宋" w:eastAsia="仿宋" w:cs="仿宋"/>
                <w:b w:val="0"/>
                <w:bCs/>
                <w:color w:val="auto"/>
                <w:sz w:val="24"/>
                <w:szCs w:val="24"/>
                <w:lang w:val="en-US" w:eastAsia="zh-CN"/>
              </w:rPr>
              <w:t>90&gt;S≥75</w:t>
            </w:r>
          </w:p>
        </w:tc>
        <w:tc>
          <w:tcPr>
            <w:tcW w:w="1944" w:type="dxa"/>
            <w:shd w:val="clear" w:color="auto" w:fill="auto"/>
            <w:vAlign w:val="center"/>
          </w:tcPr>
          <w:p w14:paraId="3F4B124A">
            <w:pPr>
              <w:pageBreakBefore w:val="0"/>
              <w:kinsoku/>
              <w:wordWrap/>
              <w:overflowPunct/>
              <w:topLinePunct w:val="0"/>
              <w:autoSpaceDE/>
              <w:autoSpaceDN/>
              <w:bidi w:val="0"/>
              <w:adjustRightInd/>
              <w:snapToGrid/>
              <w:spacing w:line="360" w:lineRule="auto"/>
              <w:ind w:left="0" w:leftChars="0"/>
              <w:jc w:val="center"/>
              <w:rPr>
                <w:rFonts w:hint="eastAsia" w:ascii="仿宋" w:hAnsi="仿宋" w:eastAsia="仿宋" w:cs="仿宋"/>
                <w:b w:val="0"/>
                <w:bCs/>
                <w:color w:val="auto"/>
                <w:sz w:val="24"/>
                <w:szCs w:val="24"/>
                <w:lang w:val="en-US" w:eastAsia="zh-CN"/>
              </w:rPr>
            </w:pPr>
            <w:r>
              <w:rPr>
                <w:rFonts w:hint="eastAsia" w:ascii="仿宋" w:hAnsi="仿宋" w:eastAsia="仿宋" w:cs="仿宋"/>
                <w:b w:val="0"/>
                <w:bCs/>
                <w:color w:val="auto"/>
                <w:sz w:val="24"/>
                <w:szCs w:val="24"/>
                <w:lang w:val="en-US" w:eastAsia="zh-CN"/>
              </w:rPr>
              <w:t>S&lt;75</w:t>
            </w:r>
          </w:p>
        </w:tc>
      </w:tr>
    </w:tbl>
    <w:p w14:paraId="46B0DC18">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pPr>
      <w:bookmarkStart w:id="22" w:name="_Toc20451"/>
      <w:bookmarkStart w:id="23" w:name="_Toc15899"/>
      <w:bookmarkStart w:id="24" w:name="_Toc9726"/>
      <w:r>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t>（六）组织实施</w:t>
      </w:r>
      <w:bookmarkEnd w:id="22"/>
      <w:bookmarkEnd w:id="23"/>
      <w:bookmarkEnd w:id="24"/>
    </w:p>
    <w:p w14:paraId="40D5F2B9">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按照评估工作流程，分为准备阶段、实施阶段和评估报告撰写阶段等三个步骤实施评估工作。</w:t>
      </w:r>
    </w:p>
    <w:p w14:paraId="12B53DBE">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1.准备阶段：由石狮市财政局聘请泉州市招标咨询中心有限公司专业人员，组成事前绩效评估工作小组，拟定项目事前绩效评估实施方案，制定绩效评估工作计划。</w:t>
      </w:r>
    </w:p>
    <w:p w14:paraId="0F9832B7">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实施阶段：根据实施方案，部署开展事前绩效评估工作；走访项目主管部门和项目实施单位，现场座谈交流，收集整理资料，对项目相关文件进行学习理解，制定评估指标体系；听取实施单位情况汇报，查阅核实有关数据资料，实施汇总分析。</w:t>
      </w:r>
    </w:p>
    <w:p w14:paraId="0291B644">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3.报告撰写阶段：经过网络查阅、现场咨询、检查核实等步骤，在收集、整理、汇总、核实、分析相关资料和数据的基础上，对项目预算绩效进行综合评估，形成项目事前绩效评估报告。</w:t>
      </w:r>
    </w:p>
    <w:p w14:paraId="302E5663">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0"/>
        <w:rPr>
          <w:rFonts w:hint="eastAsia" w:ascii="仿宋" w:hAnsi="仿宋" w:eastAsia="仿宋" w:cs="仿宋"/>
          <w:b/>
          <w:bCs/>
          <w:kern w:val="2"/>
          <w:sz w:val="28"/>
          <w:szCs w:val="28"/>
          <w:lang w:val="en-US" w:eastAsia="zh-CN" w:bidi="ar-SA"/>
        </w:rPr>
      </w:pPr>
      <w:bookmarkStart w:id="25" w:name="_Toc29724"/>
      <w:r>
        <w:rPr>
          <w:rFonts w:hint="eastAsia" w:ascii="黑体" w:hAnsi="黑体" w:eastAsia="黑体" w:cs="黑体"/>
          <w:b/>
          <w:bCs/>
          <w:color w:val="auto"/>
          <w:sz w:val="32"/>
          <w:szCs w:val="32"/>
          <w:lang w:val="en-US" w:eastAsia="zh-CN"/>
        </w:rPr>
        <w:t>三</w:t>
      </w:r>
      <w:r>
        <w:rPr>
          <w:rFonts w:hint="eastAsia" w:ascii="黑体" w:hAnsi="黑体" w:eastAsia="黑体" w:cs="黑体"/>
          <w:b/>
          <w:bCs/>
          <w:color w:val="auto"/>
          <w:sz w:val="32"/>
          <w:szCs w:val="32"/>
          <w:lang w:val="zh-CN" w:eastAsia="zh-CN"/>
        </w:rPr>
        <w:t>、事前绩效评估指标体系</w:t>
      </w:r>
      <w:bookmarkEnd w:id="25"/>
    </w:p>
    <w:p w14:paraId="4D51B996">
      <w:pPr>
        <w:pStyle w:val="16"/>
        <w:keepNext w:val="0"/>
        <w:keepLines w:val="0"/>
        <w:pageBreakBefore w:val="0"/>
        <w:widowControl w:val="0"/>
        <w:kinsoku/>
        <w:wordWrap/>
        <w:overflowPunct/>
        <w:topLinePunct w:val="0"/>
        <w:autoSpaceDE/>
        <w:autoSpaceDN/>
        <w:bidi w:val="0"/>
        <w:adjustRightInd/>
        <w:snapToGrid/>
        <w:spacing w:after="0"/>
        <w:ind w:left="0" w:leftChars="0" w:firstLine="0" w:firstLineChars="0"/>
        <w:jc w:val="center"/>
        <w:textAlignment w:val="auto"/>
        <w:rPr>
          <w:rFonts w:hint="eastAsia" w:ascii="仿宋" w:hAnsi="仿宋" w:eastAsia="仿宋" w:cs="仿宋"/>
          <w:b/>
          <w:bCs/>
          <w:kern w:val="2"/>
          <w:sz w:val="28"/>
          <w:szCs w:val="28"/>
          <w:lang w:val="en-US" w:eastAsia="zh-CN" w:bidi="ar-SA"/>
        </w:rPr>
      </w:pPr>
      <w:r>
        <w:rPr>
          <w:rFonts w:hint="eastAsia" w:ascii="仿宋" w:hAnsi="仿宋" w:eastAsia="仿宋" w:cs="仿宋"/>
          <w:b/>
          <w:bCs/>
          <w:kern w:val="2"/>
          <w:sz w:val="28"/>
          <w:szCs w:val="28"/>
          <w:lang w:val="en-US" w:eastAsia="zh-CN" w:bidi="ar-SA"/>
        </w:rPr>
        <w:t>表3：“石狮市跨境电商品牌培育全流程服务”项目支出</w:t>
      </w:r>
      <w:r>
        <w:rPr>
          <w:rFonts w:hint="eastAsia" w:ascii="仿宋" w:hAnsi="仿宋" w:eastAsia="仿宋" w:cs="仿宋"/>
          <w:b/>
          <w:bCs/>
          <w:kern w:val="2"/>
          <w:sz w:val="28"/>
          <w:szCs w:val="28"/>
          <w:lang w:val="en-US" w:eastAsia="zh-CN" w:bidi="ar-SA"/>
        </w:rPr>
        <w:br w:type="textWrapping"/>
      </w:r>
      <w:r>
        <w:rPr>
          <w:rFonts w:hint="eastAsia" w:ascii="仿宋" w:hAnsi="仿宋" w:eastAsia="仿宋" w:cs="仿宋"/>
          <w:b/>
          <w:bCs/>
          <w:kern w:val="2"/>
          <w:sz w:val="28"/>
          <w:szCs w:val="28"/>
          <w:lang w:val="en-US" w:eastAsia="zh-CN" w:bidi="ar-SA"/>
        </w:rPr>
        <w:t>事前绩效评估指标体系</w:t>
      </w:r>
    </w:p>
    <w:tbl>
      <w:tblPr>
        <w:tblStyle w:val="17"/>
        <w:tblW w:w="1002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50"/>
        <w:gridCol w:w="1182"/>
        <w:gridCol w:w="1516"/>
        <w:gridCol w:w="6480"/>
      </w:tblGrid>
      <w:tr w14:paraId="36A4B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2" w:hRule="atLeast"/>
          <w:tblHeader/>
          <w:jc w:val="center"/>
        </w:trPr>
        <w:tc>
          <w:tcPr>
            <w:tcW w:w="850"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783A9FC4">
            <w:pPr>
              <w:keepNext w:val="0"/>
              <w:keepLines w:val="0"/>
              <w:widowControl/>
              <w:suppressLineNumbers w:val="0"/>
              <w:jc w:val="center"/>
              <w:textAlignment w:val="center"/>
              <w:rPr>
                <w:rFonts w:ascii="仿宋" w:hAnsi="仿宋" w:eastAsia="仿宋" w:cs="仿宋"/>
                <w:b/>
                <w:bCs/>
                <w:i w:val="0"/>
                <w:iCs w:val="0"/>
                <w:color w:val="000000"/>
                <w:sz w:val="24"/>
                <w:szCs w:val="24"/>
                <w:highlight w:val="none"/>
                <w:u w:val="none"/>
              </w:rPr>
            </w:pPr>
            <w:r>
              <w:rPr>
                <w:rFonts w:hint="eastAsia" w:ascii="仿宋" w:hAnsi="仿宋" w:eastAsia="仿宋" w:cs="仿宋"/>
                <w:b/>
                <w:bCs/>
                <w:i w:val="0"/>
                <w:iCs w:val="0"/>
                <w:color w:val="000000"/>
                <w:kern w:val="0"/>
                <w:sz w:val="24"/>
                <w:szCs w:val="24"/>
                <w:highlight w:val="none"/>
                <w:u w:val="none"/>
                <w:lang w:val="en-US" w:eastAsia="zh-CN" w:bidi="ar"/>
              </w:rPr>
              <w:t>一级指标</w:t>
            </w:r>
          </w:p>
        </w:tc>
        <w:tc>
          <w:tcPr>
            <w:tcW w:w="1182"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18028C30">
            <w:pPr>
              <w:keepNext w:val="0"/>
              <w:keepLines w:val="0"/>
              <w:widowControl/>
              <w:suppressLineNumbers w:val="0"/>
              <w:jc w:val="center"/>
              <w:textAlignment w:val="center"/>
              <w:rPr>
                <w:rFonts w:hint="eastAsia" w:ascii="仿宋" w:hAnsi="仿宋" w:eastAsia="仿宋" w:cs="仿宋"/>
                <w:b/>
                <w:bCs/>
                <w:i w:val="0"/>
                <w:iCs w:val="0"/>
                <w:color w:val="000000"/>
                <w:sz w:val="24"/>
                <w:szCs w:val="24"/>
                <w:highlight w:val="none"/>
                <w:u w:val="none"/>
              </w:rPr>
            </w:pPr>
            <w:r>
              <w:rPr>
                <w:rFonts w:hint="eastAsia" w:ascii="仿宋" w:hAnsi="仿宋" w:eastAsia="仿宋" w:cs="仿宋"/>
                <w:b/>
                <w:bCs/>
                <w:i w:val="0"/>
                <w:iCs w:val="0"/>
                <w:color w:val="000000"/>
                <w:kern w:val="0"/>
                <w:sz w:val="24"/>
                <w:szCs w:val="24"/>
                <w:highlight w:val="none"/>
                <w:u w:val="none"/>
                <w:lang w:val="en-US" w:eastAsia="zh-CN" w:bidi="ar"/>
              </w:rPr>
              <w:t>二级指标</w:t>
            </w:r>
          </w:p>
        </w:tc>
        <w:tc>
          <w:tcPr>
            <w:tcW w:w="1516"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20620F28">
            <w:pPr>
              <w:keepNext w:val="0"/>
              <w:keepLines w:val="0"/>
              <w:widowControl/>
              <w:suppressLineNumbers w:val="0"/>
              <w:jc w:val="center"/>
              <w:textAlignment w:val="center"/>
              <w:rPr>
                <w:rFonts w:hint="eastAsia" w:ascii="仿宋" w:hAnsi="仿宋" w:eastAsia="仿宋" w:cs="仿宋"/>
                <w:b/>
                <w:bCs/>
                <w:i w:val="0"/>
                <w:iCs w:val="0"/>
                <w:color w:val="000000"/>
                <w:sz w:val="24"/>
                <w:szCs w:val="24"/>
                <w:highlight w:val="none"/>
                <w:u w:val="none"/>
              </w:rPr>
            </w:pPr>
            <w:r>
              <w:rPr>
                <w:rFonts w:hint="eastAsia" w:ascii="仿宋" w:hAnsi="仿宋" w:eastAsia="仿宋" w:cs="仿宋"/>
                <w:b/>
                <w:bCs/>
                <w:i w:val="0"/>
                <w:iCs w:val="0"/>
                <w:color w:val="000000"/>
                <w:kern w:val="0"/>
                <w:sz w:val="24"/>
                <w:szCs w:val="24"/>
                <w:highlight w:val="none"/>
                <w:u w:val="none"/>
                <w:lang w:val="en-US" w:eastAsia="zh-CN" w:bidi="ar"/>
              </w:rPr>
              <w:t>三级指标</w:t>
            </w:r>
          </w:p>
        </w:tc>
        <w:tc>
          <w:tcPr>
            <w:tcW w:w="6480"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3CCA036E">
            <w:pPr>
              <w:keepNext w:val="0"/>
              <w:keepLines w:val="0"/>
              <w:widowControl/>
              <w:suppressLineNumbers w:val="0"/>
              <w:jc w:val="center"/>
              <w:textAlignment w:val="center"/>
              <w:rPr>
                <w:rFonts w:hint="eastAsia" w:ascii="仿宋" w:hAnsi="仿宋" w:eastAsia="仿宋" w:cs="仿宋"/>
                <w:b/>
                <w:bCs/>
                <w:i w:val="0"/>
                <w:iCs w:val="0"/>
                <w:color w:val="000000"/>
                <w:sz w:val="24"/>
                <w:szCs w:val="24"/>
                <w:highlight w:val="none"/>
                <w:u w:val="none"/>
              </w:rPr>
            </w:pPr>
            <w:r>
              <w:rPr>
                <w:rFonts w:hint="eastAsia" w:ascii="仿宋" w:hAnsi="仿宋" w:eastAsia="仿宋" w:cs="仿宋"/>
                <w:b/>
                <w:bCs/>
                <w:i w:val="0"/>
                <w:iCs w:val="0"/>
                <w:color w:val="000000"/>
                <w:kern w:val="0"/>
                <w:sz w:val="24"/>
                <w:szCs w:val="24"/>
                <w:highlight w:val="none"/>
                <w:u w:val="none"/>
                <w:lang w:val="en-US" w:eastAsia="zh-CN" w:bidi="ar"/>
              </w:rPr>
              <w:t>评分标准</w:t>
            </w:r>
          </w:p>
        </w:tc>
      </w:tr>
      <w:tr w14:paraId="51281E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AF517B">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立项必要性（15）</w:t>
            </w:r>
          </w:p>
        </w:tc>
        <w:tc>
          <w:tcPr>
            <w:tcW w:w="11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053F65">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立项依据充分性</w:t>
            </w:r>
          </w:p>
          <w:p w14:paraId="330653F6">
            <w:pPr>
              <w:keepNext w:val="0"/>
              <w:keepLines w:val="0"/>
              <w:widowControl/>
              <w:suppressLineNumbers w:val="0"/>
              <w:jc w:val="center"/>
              <w:textAlignment w:val="center"/>
              <w:rPr>
                <w:rFonts w:hint="default"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（12）</w:t>
            </w: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1E17D">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政策相关性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B3434">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与国家、省、市、相关行业宏观政策相关，有相关政策依据，得3分</w:t>
            </w:r>
          </w:p>
        </w:tc>
      </w:tr>
      <w:tr w14:paraId="6D431A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AE48DD">
            <w:pPr>
              <w:jc w:val="center"/>
              <w:rPr>
                <w:rFonts w:hint="eastAsia" w:ascii="仿宋" w:hAnsi="仿宋" w:eastAsia="仿宋" w:cs="仿宋"/>
                <w:i w:val="0"/>
                <w:iCs w:val="0"/>
                <w:color w:val="000000"/>
                <w:sz w:val="22"/>
                <w:szCs w:val="22"/>
                <w:highlight w:val="none"/>
                <w:u w:val="none"/>
              </w:rPr>
            </w:pPr>
          </w:p>
        </w:tc>
        <w:tc>
          <w:tcPr>
            <w:tcW w:w="11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778F7B">
            <w:pPr>
              <w:jc w:val="center"/>
              <w:rPr>
                <w:rFonts w:hint="eastAsia" w:ascii="仿宋" w:hAnsi="仿宋" w:eastAsia="仿宋" w:cs="仿宋"/>
                <w:i w:val="0"/>
                <w:iCs w:val="0"/>
                <w:color w:val="000000"/>
                <w:sz w:val="22"/>
                <w:szCs w:val="22"/>
                <w:highlight w:val="none"/>
                <w:u w:val="none"/>
              </w:rPr>
            </w:pP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BF767">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职能相关性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F7D2A">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①与主管部门职能相关，得2分；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②与部门规划及当年重点工作相关，得2分</w:t>
            </w:r>
          </w:p>
        </w:tc>
      </w:tr>
      <w:tr w14:paraId="7DDD85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92FBAE">
            <w:pPr>
              <w:jc w:val="center"/>
              <w:rPr>
                <w:rFonts w:hint="eastAsia" w:ascii="仿宋" w:hAnsi="仿宋" w:eastAsia="仿宋" w:cs="仿宋"/>
                <w:i w:val="0"/>
                <w:iCs w:val="0"/>
                <w:color w:val="000000"/>
                <w:sz w:val="22"/>
                <w:szCs w:val="22"/>
                <w:highlight w:val="none"/>
                <w:u w:val="none"/>
              </w:rPr>
            </w:pPr>
          </w:p>
        </w:tc>
        <w:tc>
          <w:tcPr>
            <w:tcW w:w="1182"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1C09C8C7">
            <w:pPr>
              <w:jc w:val="center"/>
              <w:rPr>
                <w:rFonts w:hint="eastAsia" w:ascii="仿宋" w:hAnsi="仿宋" w:eastAsia="仿宋" w:cs="仿宋"/>
                <w:i w:val="0"/>
                <w:iCs w:val="0"/>
                <w:color w:val="000000"/>
                <w:sz w:val="22"/>
                <w:szCs w:val="22"/>
                <w:highlight w:val="none"/>
                <w:u w:val="none"/>
              </w:rPr>
            </w:pPr>
          </w:p>
        </w:tc>
        <w:tc>
          <w:tcPr>
            <w:tcW w:w="1516" w:type="dxa"/>
            <w:tcBorders>
              <w:top w:val="single" w:color="000000" w:sz="4" w:space="0"/>
              <w:left w:val="single" w:color="000000" w:sz="4" w:space="0"/>
              <w:bottom w:val="single" w:color="auto" w:sz="4" w:space="0"/>
              <w:right w:val="single" w:color="000000" w:sz="4" w:space="0"/>
            </w:tcBorders>
            <w:shd w:val="clear" w:color="auto" w:fill="auto"/>
            <w:vAlign w:val="center"/>
          </w:tcPr>
          <w:p w14:paraId="252F3E55">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需求相关性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E18AC">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①有现实需求迫切且具有不可替代性，得3分；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②有确定的服务对象或受益对象，得2分。</w:t>
            </w:r>
          </w:p>
        </w:tc>
      </w:tr>
      <w:tr w14:paraId="4AC3F9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63D1A2FA">
            <w:pPr>
              <w:jc w:val="center"/>
              <w:rPr>
                <w:rFonts w:hint="eastAsia" w:ascii="仿宋" w:hAnsi="仿宋" w:eastAsia="仿宋" w:cs="仿宋"/>
                <w:i w:val="0"/>
                <w:iCs w:val="0"/>
                <w:color w:val="000000"/>
                <w:sz w:val="22"/>
                <w:szCs w:val="22"/>
                <w:highlight w:val="none"/>
                <w:u w:val="none"/>
              </w:rPr>
            </w:pPr>
          </w:p>
        </w:tc>
        <w:tc>
          <w:tcPr>
            <w:tcW w:w="1182" w:type="dxa"/>
            <w:tcBorders>
              <w:top w:val="single" w:color="auto" w:sz="4" w:space="0"/>
              <w:left w:val="single" w:color="auto" w:sz="4" w:space="0"/>
              <w:bottom w:val="single" w:color="auto" w:sz="4" w:space="0"/>
              <w:right w:val="single" w:color="000000" w:sz="4" w:space="0"/>
            </w:tcBorders>
            <w:shd w:val="clear" w:color="auto" w:fill="auto"/>
            <w:vAlign w:val="center"/>
          </w:tcPr>
          <w:p w14:paraId="1BA92512">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财政投入</w:t>
            </w:r>
          </w:p>
          <w:p w14:paraId="3BE1B09E">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（3）</w:t>
            </w:r>
          </w:p>
        </w:tc>
        <w:tc>
          <w:tcPr>
            <w:tcW w:w="1516" w:type="dxa"/>
            <w:tcBorders>
              <w:top w:val="single" w:color="auto" w:sz="4" w:space="0"/>
              <w:left w:val="single" w:color="000000" w:sz="4" w:space="0"/>
              <w:bottom w:val="single" w:color="auto" w:sz="4" w:space="0"/>
              <w:right w:val="single" w:color="auto" w:sz="4" w:space="0"/>
            </w:tcBorders>
            <w:shd w:val="clear" w:color="auto" w:fill="auto"/>
            <w:vAlign w:val="center"/>
          </w:tcPr>
          <w:p w14:paraId="1CBA512A">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财政投入相关性</w:t>
            </w:r>
          </w:p>
        </w:tc>
        <w:tc>
          <w:tcPr>
            <w:tcW w:w="6480" w:type="dxa"/>
            <w:tcBorders>
              <w:top w:val="single" w:color="000000" w:sz="4" w:space="0"/>
              <w:left w:val="single" w:color="auto" w:sz="4" w:space="0"/>
              <w:bottom w:val="single" w:color="000000" w:sz="4" w:space="0"/>
              <w:right w:val="single" w:color="000000" w:sz="4" w:space="0"/>
            </w:tcBorders>
            <w:shd w:val="clear" w:color="auto" w:fill="auto"/>
            <w:vAlign w:val="center"/>
          </w:tcPr>
          <w:p w14:paraId="09BF1DE8">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①是否有明显的经济、社会、环境或可持续性效益。得2分；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②项目具有公共性，属于公共财政支持范围，得1分。</w:t>
            </w:r>
          </w:p>
        </w:tc>
      </w:tr>
      <w:tr w14:paraId="679DF1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04617A">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投入经济性（20）</w:t>
            </w:r>
          </w:p>
        </w:tc>
        <w:tc>
          <w:tcPr>
            <w:tcW w:w="1182" w:type="dxa"/>
            <w:vMerge w:val="restart"/>
            <w:tcBorders>
              <w:top w:val="single" w:color="auto" w:sz="4" w:space="0"/>
              <w:left w:val="single" w:color="000000" w:sz="4" w:space="0"/>
              <w:bottom w:val="nil"/>
              <w:right w:val="single" w:color="000000" w:sz="4" w:space="0"/>
            </w:tcBorders>
            <w:shd w:val="clear" w:color="auto" w:fill="auto"/>
            <w:vAlign w:val="center"/>
          </w:tcPr>
          <w:p w14:paraId="0E2168B8">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预算投入合理性</w:t>
            </w:r>
          </w:p>
          <w:p w14:paraId="6CD722E2">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（11）</w:t>
            </w:r>
          </w:p>
        </w:tc>
        <w:tc>
          <w:tcPr>
            <w:tcW w:w="1516" w:type="dxa"/>
            <w:tcBorders>
              <w:top w:val="single" w:color="auto" w:sz="4" w:space="0"/>
              <w:left w:val="single" w:color="000000" w:sz="4" w:space="0"/>
              <w:bottom w:val="single" w:color="000000" w:sz="4" w:space="0"/>
              <w:right w:val="single" w:color="000000" w:sz="4" w:space="0"/>
            </w:tcBorders>
            <w:shd w:val="clear" w:color="auto" w:fill="auto"/>
            <w:vAlign w:val="center"/>
          </w:tcPr>
          <w:p w14:paraId="29249778">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预算编制完备性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81A2F">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①编制有项目预算，得3分；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②预算编制完整，无明显缺项，发现一处扣1分，最多扣3分。</w:t>
            </w:r>
          </w:p>
        </w:tc>
      </w:tr>
      <w:tr w14:paraId="733E03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61" w:hRule="atLeast"/>
          <w:jc w:val="center"/>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337E92">
            <w:pPr>
              <w:jc w:val="center"/>
              <w:rPr>
                <w:rFonts w:hint="eastAsia" w:ascii="仿宋" w:hAnsi="仿宋" w:eastAsia="仿宋" w:cs="仿宋"/>
                <w:i w:val="0"/>
                <w:iCs w:val="0"/>
                <w:color w:val="000000"/>
                <w:sz w:val="22"/>
                <w:szCs w:val="22"/>
                <w:highlight w:val="none"/>
                <w:u w:val="none"/>
              </w:rPr>
            </w:pPr>
          </w:p>
        </w:tc>
        <w:tc>
          <w:tcPr>
            <w:tcW w:w="1182" w:type="dxa"/>
            <w:vMerge w:val="continue"/>
            <w:tcBorders>
              <w:top w:val="single" w:color="000000" w:sz="4" w:space="0"/>
              <w:left w:val="single" w:color="000000" w:sz="4" w:space="0"/>
              <w:bottom w:val="nil"/>
              <w:right w:val="single" w:color="000000" w:sz="4" w:space="0"/>
            </w:tcBorders>
            <w:shd w:val="clear" w:color="auto" w:fill="auto"/>
            <w:vAlign w:val="center"/>
          </w:tcPr>
          <w:p w14:paraId="4D3EABD4">
            <w:pPr>
              <w:jc w:val="center"/>
              <w:rPr>
                <w:rFonts w:hint="eastAsia" w:ascii="仿宋" w:hAnsi="仿宋" w:eastAsia="仿宋" w:cs="仿宋"/>
                <w:i w:val="0"/>
                <w:iCs w:val="0"/>
                <w:color w:val="000000"/>
                <w:sz w:val="22"/>
                <w:szCs w:val="22"/>
                <w:highlight w:val="none"/>
                <w:u w:val="none"/>
              </w:rPr>
            </w:pP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A00B2">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预算编制合理性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3FC32">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①项目预算投入测算方式合理，相关测算依据充分，得2分；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②项目预算投入成本测算过程是否规范，数据是否全面、真实和客观，得3分。</w:t>
            </w:r>
          </w:p>
        </w:tc>
      </w:tr>
      <w:tr w14:paraId="00BD4F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7953A9">
            <w:pPr>
              <w:jc w:val="center"/>
              <w:rPr>
                <w:rFonts w:hint="eastAsia" w:ascii="仿宋" w:hAnsi="仿宋" w:eastAsia="仿宋" w:cs="仿宋"/>
                <w:i w:val="0"/>
                <w:iCs w:val="0"/>
                <w:color w:val="000000"/>
                <w:sz w:val="22"/>
                <w:szCs w:val="22"/>
                <w:highlight w:val="none"/>
                <w:u w:val="none"/>
              </w:rPr>
            </w:pPr>
          </w:p>
        </w:tc>
        <w:tc>
          <w:tcPr>
            <w:tcW w:w="11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14C834">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预算成本控制有效性</w:t>
            </w:r>
          </w:p>
          <w:p w14:paraId="23DCCAB2">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（9）</w:t>
            </w: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F52AC">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成本控制措施完备性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1311D">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①项目制定有成本控制措施，得3分；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②项目成本措施考虑完善，发现一处明显漏洞扣1分，最多扣3分。</w:t>
            </w:r>
          </w:p>
        </w:tc>
      </w:tr>
      <w:tr w14:paraId="43E753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9EC0CF">
            <w:pPr>
              <w:jc w:val="center"/>
              <w:rPr>
                <w:rFonts w:hint="eastAsia" w:ascii="仿宋" w:hAnsi="仿宋" w:eastAsia="仿宋" w:cs="仿宋"/>
                <w:i w:val="0"/>
                <w:iCs w:val="0"/>
                <w:color w:val="000000"/>
                <w:sz w:val="22"/>
                <w:szCs w:val="22"/>
                <w:highlight w:val="none"/>
                <w:u w:val="none"/>
              </w:rPr>
            </w:pPr>
          </w:p>
        </w:tc>
        <w:tc>
          <w:tcPr>
            <w:tcW w:w="11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E30256">
            <w:pPr>
              <w:jc w:val="center"/>
              <w:rPr>
                <w:rFonts w:hint="eastAsia" w:ascii="仿宋" w:hAnsi="仿宋" w:eastAsia="仿宋" w:cs="仿宋"/>
                <w:i w:val="0"/>
                <w:iCs w:val="0"/>
                <w:color w:val="000000"/>
                <w:sz w:val="22"/>
                <w:szCs w:val="22"/>
                <w:highlight w:val="none"/>
                <w:u w:val="none"/>
              </w:rPr>
            </w:pP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6B673">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成本控制措施有效性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B6FDE">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项目制定的成本控制措施切实有效，具有可操作性，得3分。</w:t>
            </w:r>
          </w:p>
        </w:tc>
      </w:tr>
      <w:tr w14:paraId="670603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9FD91E">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绩效目标合理性（22）</w:t>
            </w:r>
          </w:p>
        </w:tc>
        <w:tc>
          <w:tcPr>
            <w:tcW w:w="11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FAEA25">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绩效目标明确性</w:t>
            </w:r>
          </w:p>
          <w:p w14:paraId="23B41814">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（8）</w:t>
            </w: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F10FF">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绩效目标完备性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24699">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按照相关要求申报绩效目标，未申报不得分，得2分。</w:t>
            </w:r>
          </w:p>
        </w:tc>
      </w:tr>
      <w:tr w14:paraId="0B763E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91" w:hRule="atLeast"/>
          <w:jc w:val="center"/>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5C829B">
            <w:pPr>
              <w:jc w:val="center"/>
              <w:rPr>
                <w:rFonts w:hint="eastAsia" w:ascii="仿宋" w:hAnsi="仿宋" w:eastAsia="仿宋" w:cs="仿宋"/>
                <w:i w:val="0"/>
                <w:iCs w:val="0"/>
                <w:color w:val="000000"/>
                <w:sz w:val="22"/>
                <w:szCs w:val="22"/>
                <w:highlight w:val="none"/>
                <w:u w:val="none"/>
              </w:rPr>
            </w:pPr>
          </w:p>
        </w:tc>
        <w:tc>
          <w:tcPr>
            <w:tcW w:w="11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5FD5A6">
            <w:pPr>
              <w:widowControl/>
              <w:jc w:val="center"/>
              <w:rPr>
                <w:rFonts w:hint="eastAsia" w:ascii="仿宋" w:hAnsi="仿宋" w:eastAsia="仿宋" w:cs="仿宋"/>
                <w:i w:val="0"/>
                <w:iCs w:val="0"/>
                <w:color w:val="000000"/>
                <w:sz w:val="22"/>
                <w:szCs w:val="22"/>
                <w:highlight w:val="none"/>
                <w:u w:val="none"/>
              </w:rPr>
            </w:pP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C6D7FD">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绩效目标准确性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A5971">
            <w:pPr>
              <w:keepNext w:val="0"/>
              <w:keepLines w:val="0"/>
              <w:widowControl/>
              <w:suppressLineNumbers w:val="0"/>
              <w:jc w:val="left"/>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①项目受益群体定位准确，得2分；</w:t>
            </w:r>
          </w:p>
          <w:p w14:paraId="02C32D79">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②绩效目标细化分解为具体的绩效指标，且清晰、可衡量，得2分；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③绩效指标与项目目标任务数或计划数相对应，得2分。</w:t>
            </w:r>
          </w:p>
        </w:tc>
      </w:tr>
      <w:tr w14:paraId="2C371D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91" w:hRule="atLeast"/>
          <w:jc w:val="center"/>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D3EF0F">
            <w:pPr>
              <w:jc w:val="center"/>
              <w:rPr>
                <w:rFonts w:hint="eastAsia" w:ascii="仿宋" w:hAnsi="仿宋" w:eastAsia="仿宋" w:cs="仿宋"/>
                <w:i w:val="0"/>
                <w:iCs w:val="0"/>
                <w:color w:val="000000"/>
                <w:sz w:val="22"/>
                <w:szCs w:val="22"/>
                <w:highlight w:val="none"/>
                <w:u w:val="none"/>
              </w:rPr>
            </w:pPr>
          </w:p>
        </w:tc>
        <w:tc>
          <w:tcPr>
            <w:tcW w:w="1182" w:type="dxa"/>
            <w:vMerge w:val="restart"/>
            <w:tcBorders>
              <w:top w:val="nil"/>
              <w:left w:val="single" w:color="000000" w:sz="4" w:space="0"/>
              <w:bottom w:val="single" w:color="000000" w:sz="4" w:space="0"/>
              <w:right w:val="single" w:color="000000" w:sz="4" w:space="0"/>
            </w:tcBorders>
            <w:shd w:val="clear" w:color="auto" w:fill="auto"/>
            <w:vAlign w:val="center"/>
          </w:tcPr>
          <w:p w14:paraId="3C0874A4">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绩效目标合理性</w:t>
            </w:r>
          </w:p>
          <w:p w14:paraId="40B48B2A">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（14）</w:t>
            </w: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409F7">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绩效目标匹配性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CC193">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①项目具有绩效目标，且与实际工作内容相关联，绩效目标与部门长期规划相关，与年度目标一致，得3分；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②绩效目标与项目现实需求相匹配，得3分。</w:t>
            </w:r>
          </w:p>
        </w:tc>
      </w:tr>
      <w:tr w14:paraId="12C31C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D9AC7D">
            <w:pPr>
              <w:jc w:val="center"/>
              <w:rPr>
                <w:rFonts w:hint="eastAsia" w:ascii="仿宋" w:hAnsi="仿宋" w:eastAsia="仿宋" w:cs="仿宋"/>
                <w:i w:val="0"/>
                <w:iCs w:val="0"/>
                <w:color w:val="000000"/>
                <w:sz w:val="22"/>
                <w:szCs w:val="22"/>
                <w:highlight w:val="none"/>
                <w:u w:val="none"/>
              </w:rPr>
            </w:pPr>
          </w:p>
        </w:tc>
        <w:tc>
          <w:tcPr>
            <w:tcW w:w="1182" w:type="dxa"/>
            <w:vMerge w:val="continue"/>
            <w:tcBorders>
              <w:top w:val="nil"/>
              <w:left w:val="single" w:color="000000" w:sz="4" w:space="0"/>
              <w:bottom w:val="single" w:color="000000" w:sz="4" w:space="0"/>
              <w:right w:val="single" w:color="000000" w:sz="4" w:space="0"/>
            </w:tcBorders>
            <w:shd w:val="clear" w:color="auto" w:fill="auto"/>
            <w:vAlign w:val="center"/>
          </w:tcPr>
          <w:p w14:paraId="5C1DB921">
            <w:pPr>
              <w:widowControl/>
              <w:jc w:val="center"/>
              <w:rPr>
                <w:rFonts w:hint="eastAsia" w:ascii="仿宋" w:hAnsi="仿宋" w:eastAsia="仿宋" w:cs="仿宋"/>
                <w:i w:val="0"/>
                <w:iCs w:val="0"/>
                <w:color w:val="000000"/>
                <w:sz w:val="22"/>
                <w:szCs w:val="22"/>
                <w:highlight w:val="none"/>
                <w:u w:val="none"/>
              </w:rPr>
            </w:pP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86853">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绩效目标前瞻性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91A26">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项目绩效目标设置准确、全面、合理，得3分。</w:t>
            </w:r>
          </w:p>
        </w:tc>
      </w:tr>
      <w:tr w14:paraId="7C209F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543E1A">
            <w:pPr>
              <w:jc w:val="center"/>
              <w:rPr>
                <w:rFonts w:hint="eastAsia" w:ascii="仿宋" w:hAnsi="仿宋" w:eastAsia="仿宋" w:cs="仿宋"/>
                <w:i w:val="0"/>
                <w:iCs w:val="0"/>
                <w:color w:val="000000"/>
                <w:sz w:val="22"/>
                <w:szCs w:val="22"/>
                <w:highlight w:val="none"/>
                <w:u w:val="none"/>
              </w:rPr>
            </w:pPr>
          </w:p>
        </w:tc>
        <w:tc>
          <w:tcPr>
            <w:tcW w:w="1182" w:type="dxa"/>
            <w:vMerge w:val="continue"/>
            <w:tcBorders>
              <w:top w:val="nil"/>
              <w:left w:val="single" w:color="000000" w:sz="4" w:space="0"/>
              <w:bottom w:val="single" w:color="000000" w:sz="4" w:space="0"/>
              <w:right w:val="single" w:color="000000" w:sz="4" w:space="0"/>
            </w:tcBorders>
            <w:shd w:val="clear" w:color="auto" w:fill="auto"/>
            <w:vAlign w:val="center"/>
          </w:tcPr>
          <w:p w14:paraId="746169D6">
            <w:pPr>
              <w:widowControl/>
              <w:jc w:val="center"/>
              <w:rPr>
                <w:rFonts w:hint="eastAsia" w:ascii="仿宋" w:hAnsi="仿宋" w:eastAsia="仿宋" w:cs="仿宋"/>
                <w:i w:val="0"/>
                <w:iCs w:val="0"/>
                <w:color w:val="000000"/>
                <w:sz w:val="22"/>
                <w:szCs w:val="22"/>
                <w:highlight w:val="none"/>
                <w:u w:val="none"/>
              </w:rPr>
            </w:pP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AEA97">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绩效指标量化、细化</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D33B0">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①绩效指标设置有适当的定性和定量指标，得3分；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②绩效指标值设置合理，数据可取得，可考核性强，得2分。</w:t>
            </w:r>
          </w:p>
        </w:tc>
      </w:tr>
      <w:tr w14:paraId="0611B7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629278">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项目可行性（28）</w:t>
            </w:r>
          </w:p>
        </w:tc>
        <w:tc>
          <w:tcPr>
            <w:tcW w:w="11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0C781E">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实施可行性</w:t>
            </w:r>
          </w:p>
          <w:p w14:paraId="15266355">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（10）</w:t>
            </w: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D6745">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需求方案完备性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2C638">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制定有项目需求方案，得2分；否则0分</w:t>
            </w:r>
          </w:p>
        </w:tc>
      </w:tr>
      <w:tr w14:paraId="067F53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1164F9">
            <w:pPr>
              <w:jc w:val="center"/>
              <w:rPr>
                <w:rFonts w:hint="eastAsia" w:ascii="仿宋" w:hAnsi="仿宋" w:eastAsia="仿宋" w:cs="仿宋"/>
                <w:i w:val="0"/>
                <w:iCs w:val="0"/>
                <w:color w:val="000000"/>
                <w:sz w:val="22"/>
                <w:szCs w:val="22"/>
                <w:highlight w:val="none"/>
                <w:u w:val="none"/>
              </w:rPr>
            </w:pPr>
          </w:p>
        </w:tc>
        <w:tc>
          <w:tcPr>
            <w:tcW w:w="11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E34DD1">
            <w:pPr>
              <w:jc w:val="center"/>
              <w:rPr>
                <w:rFonts w:hint="eastAsia" w:ascii="仿宋" w:hAnsi="仿宋" w:eastAsia="仿宋" w:cs="仿宋"/>
                <w:i w:val="0"/>
                <w:iCs w:val="0"/>
                <w:color w:val="000000"/>
                <w:sz w:val="22"/>
                <w:szCs w:val="22"/>
                <w:highlight w:val="none"/>
                <w:u w:val="none"/>
              </w:rPr>
            </w:pP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9920A">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项目内容明确性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67412">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①项目实施内容明确具体，得1分；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②项目实施内容与项目绩效目标相匹配，得1分。</w:t>
            </w:r>
          </w:p>
        </w:tc>
      </w:tr>
      <w:tr w14:paraId="77388E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684E7C">
            <w:pPr>
              <w:jc w:val="center"/>
              <w:rPr>
                <w:rFonts w:hint="eastAsia" w:ascii="仿宋" w:hAnsi="仿宋" w:eastAsia="仿宋" w:cs="仿宋"/>
                <w:i w:val="0"/>
                <w:iCs w:val="0"/>
                <w:color w:val="000000"/>
                <w:sz w:val="22"/>
                <w:szCs w:val="22"/>
                <w:highlight w:val="none"/>
                <w:u w:val="none"/>
              </w:rPr>
            </w:pPr>
          </w:p>
        </w:tc>
        <w:tc>
          <w:tcPr>
            <w:tcW w:w="11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6ED242">
            <w:pPr>
              <w:jc w:val="center"/>
              <w:rPr>
                <w:rFonts w:hint="eastAsia" w:ascii="仿宋" w:hAnsi="仿宋" w:eastAsia="仿宋" w:cs="仿宋"/>
                <w:i w:val="0"/>
                <w:iCs w:val="0"/>
                <w:color w:val="000000"/>
                <w:sz w:val="22"/>
                <w:szCs w:val="22"/>
                <w:highlight w:val="none"/>
                <w:u w:val="none"/>
              </w:rPr>
            </w:pP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3F2EE">
            <w:pPr>
              <w:keepNext w:val="0"/>
              <w:keepLines w:val="0"/>
              <w:widowControl/>
              <w:suppressLineNumbers w:val="0"/>
              <w:jc w:val="center"/>
              <w:textAlignment w:val="center"/>
              <w:rPr>
                <w:rFonts w:hint="default" w:ascii="仿宋" w:hAnsi="仿宋" w:eastAsia="仿宋" w:cs="仿宋"/>
                <w:i w:val="0"/>
                <w:iCs w:val="0"/>
                <w:color w:val="000000"/>
                <w:sz w:val="22"/>
                <w:szCs w:val="22"/>
                <w:highlight w:val="none"/>
                <w:u w:val="none"/>
                <w:lang w:val="en-US"/>
              </w:rPr>
            </w:pPr>
            <w:r>
              <w:rPr>
                <w:rFonts w:hint="eastAsia" w:ascii="仿宋" w:hAnsi="仿宋" w:eastAsia="仿宋" w:cs="仿宋"/>
                <w:i w:val="0"/>
                <w:iCs w:val="0"/>
                <w:color w:val="000000"/>
                <w:kern w:val="0"/>
                <w:sz w:val="22"/>
                <w:szCs w:val="22"/>
                <w:highlight w:val="none"/>
                <w:u w:val="none"/>
                <w:lang w:val="en-US" w:eastAsia="zh-CN" w:bidi="ar"/>
              </w:rPr>
              <w:t>项目时效性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B220A">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①项目进度安排合理，得2分；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②项目前期进度与计划相匹配，按照计划执行前期审批、评审和招投标等流程，确保项目按期开展，得2分。</w:t>
            </w:r>
          </w:p>
        </w:tc>
      </w:tr>
      <w:tr w14:paraId="48BD56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1" w:hRule="atLeast"/>
          <w:jc w:val="center"/>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842643">
            <w:pPr>
              <w:jc w:val="center"/>
              <w:rPr>
                <w:rFonts w:hint="eastAsia" w:ascii="仿宋" w:hAnsi="仿宋" w:eastAsia="仿宋" w:cs="仿宋"/>
                <w:i w:val="0"/>
                <w:iCs w:val="0"/>
                <w:color w:val="000000"/>
                <w:sz w:val="22"/>
                <w:szCs w:val="22"/>
                <w:highlight w:val="none"/>
                <w:u w:val="none"/>
              </w:rPr>
            </w:pPr>
          </w:p>
        </w:tc>
        <w:tc>
          <w:tcPr>
            <w:tcW w:w="11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5ECB47">
            <w:pPr>
              <w:jc w:val="center"/>
              <w:rPr>
                <w:rFonts w:hint="eastAsia" w:ascii="仿宋" w:hAnsi="仿宋" w:eastAsia="仿宋" w:cs="仿宋"/>
                <w:i w:val="0"/>
                <w:iCs w:val="0"/>
                <w:color w:val="000000"/>
                <w:sz w:val="22"/>
                <w:szCs w:val="22"/>
                <w:highlight w:val="none"/>
                <w:u w:val="none"/>
              </w:rPr>
            </w:pP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06025">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实施方案合理性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A6F42">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①项目组织、进度安排清晰合理，得1分；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②项目相关基础设施条件等能够有效保障，方案切实可行，得1分。</w:t>
            </w:r>
          </w:p>
        </w:tc>
      </w:tr>
      <w:tr w14:paraId="73F21C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09539A">
            <w:pPr>
              <w:jc w:val="center"/>
              <w:rPr>
                <w:rFonts w:hint="eastAsia" w:ascii="仿宋" w:hAnsi="仿宋" w:eastAsia="仿宋" w:cs="仿宋"/>
                <w:i w:val="0"/>
                <w:iCs w:val="0"/>
                <w:color w:val="000000"/>
                <w:sz w:val="22"/>
                <w:szCs w:val="22"/>
                <w:highlight w:val="none"/>
                <w:u w:val="none"/>
              </w:rPr>
            </w:pPr>
          </w:p>
        </w:tc>
        <w:tc>
          <w:tcPr>
            <w:tcW w:w="11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9F14BA">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过程控制有效性</w:t>
            </w:r>
          </w:p>
          <w:p w14:paraId="2D2D2362">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（7）</w:t>
            </w: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067EC">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组织机构健全性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68477">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①组织机构计划健全合理，得1分；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②人员配备职责分工明确、合理，得1分。</w:t>
            </w:r>
          </w:p>
        </w:tc>
      </w:tr>
      <w:tr w14:paraId="7DB4A3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91" w:hRule="atLeast"/>
          <w:jc w:val="center"/>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6AB56E">
            <w:pPr>
              <w:jc w:val="center"/>
              <w:rPr>
                <w:rFonts w:hint="eastAsia" w:ascii="仿宋" w:hAnsi="仿宋" w:eastAsia="仿宋" w:cs="仿宋"/>
                <w:i w:val="0"/>
                <w:iCs w:val="0"/>
                <w:color w:val="000000"/>
                <w:sz w:val="22"/>
                <w:szCs w:val="22"/>
                <w:highlight w:val="none"/>
                <w:u w:val="none"/>
              </w:rPr>
            </w:pPr>
          </w:p>
        </w:tc>
        <w:tc>
          <w:tcPr>
            <w:tcW w:w="11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2A464F">
            <w:pPr>
              <w:jc w:val="center"/>
              <w:rPr>
                <w:rFonts w:hint="eastAsia" w:ascii="仿宋" w:hAnsi="仿宋" w:eastAsia="仿宋" w:cs="仿宋"/>
                <w:i w:val="0"/>
                <w:iCs w:val="0"/>
                <w:color w:val="000000"/>
                <w:sz w:val="22"/>
                <w:szCs w:val="22"/>
                <w:highlight w:val="none"/>
                <w:u w:val="none"/>
              </w:rPr>
            </w:pP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5C240">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管理制度健全性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751B9B">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①制定有管理制度，得1分；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②有相应的监督、奖惩等管控制度，业务管理制度、标准规程健全，与项目切实相关，可操作性强，得1分。</w:t>
            </w:r>
          </w:p>
        </w:tc>
      </w:tr>
      <w:tr w14:paraId="3491D0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0DF97C">
            <w:pPr>
              <w:jc w:val="center"/>
              <w:rPr>
                <w:rFonts w:hint="eastAsia" w:ascii="仿宋" w:hAnsi="仿宋" w:eastAsia="仿宋" w:cs="仿宋"/>
                <w:i w:val="0"/>
                <w:iCs w:val="0"/>
                <w:color w:val="000000"/>
                <w:sz w:val="22"/>
                <w:szCs w:val="22"/>
                <w:highlight w:val="none"/>
                <w:u w:val="none"/>
              </w:rPr>
            </w:pPr>
          </w:p>
        </w:tc>
        <w:tc>
          <w:tcPr>
            <w:tcW w:w="11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17F47F">
            <w:pPr>
              <w:jc w:val="center"/>
              <w:rPr>
                <w:rFonts w:hint="eastAsia" w:ascii="仿宋" w:hAnsi="仿宋" w:eastAsia="仿宋" w:cs="仿宋"/>
                <w:i w:val="0"/>
                <w:iCs w:val="0"/>
                <w:color w:val="000000"/>
                <w:sz w:val="22"/>
                <w:szCs w:val="22"/>
                <w:highlight w:val="none"/>
                <w:u w:val="none"/>
              </w:rPr>
            </w:pP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EA789">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管控措施有效性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B6F97">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项目申报、审批、调整及项目资金申请、审批、拨付等方面已履行或计划履行的程序是否规范，发现一处不规范扣1分，最多扣3分。</w:t>
            </w:r>
          </w:p>
        </w:tc>
      </w:tr>
      <w:tr w14:paraId="531B9A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8ED8FF">
            <w:pPr>
              <w:jc w:val="center"/>
              <w:rPr>
                <w:rFonts w:hint="eastAsia" w:ascii="仿宋" w:hAnsi="仿宋" w:eastAsia="仿宋" w:cs="仿宋"/>
                <w:i w:val="0"/>
                <w:iCs w:val="0"/>
                <w:color w:val="000000"/>
                <w:sz w:val="22"/>
                <w:szCs w:val="22"/>
                <w:highlight w:val="none"/>
                <w:u w:val="none"/>
              </w:rPr>
            </w:pPr>
          </w:p>
        </w:tc>
        <w:tc>
          <w:tcPr>
            <w:tcW w:w="11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9BF5A9">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项目可持续性</w:t>
            </w:r>
          </w:p>
          <w:p w14:paraId="3C7BFA1A">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（11）</w:t>
            </w: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0CBE3">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组织机构可持续性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5E487">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组织机构能够持续运转，项目人员、经费等能得到持续保障，得5分。</w:t>
            </w:r>
          </w:p>
        </w:tc>
      </w:tr>
      <w:tr w14:paraId="34E986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7D8ADB">
            <w:pPr>
              <w:jc w:val="center"/>
              <w:rPr>
                <w:rFonts w:hint="eastAsia" w:ascii="仿宋" w:hAnsi="仿宋" w:eastAsia="仿宋" w:cs="仿宋"/>
                <w:i w:val="0"/>
                <w:iCs w:val="0"/>
                <w:color w:val="000000"/>
                <w:sz w:val="22"/>
                <w:szCs w:val="22"/>
                <w:highlight w:val="none"/>
                <w:u w:val="none"/>
              </w:rPr>
            </w:pPr>
          </w:p>
        </w:tc>
        <w:tc>
          <w:tcPr>
            <w:tcW w:w="11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3B5B91">
            <w:pPr>
              <w:jc w:val="center"/>
              <w:rPr>
                <w:rFonts w:hint="eastAsia" w:ascii="仿宋" w:hAnsi="仿宋" w:eastAsia="仿宋" w:cs="仿宋"/>
                <w:i w:val="0"/>
                <w:iCs w:val="0"/>
                <w:color w:val="000000"/>
                <w:sz w:val="22"/>
                <w:szCs w:val="22"/>
                <w:highlight w:val="none"/>
                <w:u w:val="none"/>
              </w:rPr>
            </w:pPr>
          </w:p>
        </w:tc>
        <w:tc>
          <w:tcPr>
            <w:tcW w:w="15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1475E">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产出效果可持续性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603EA">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项目产出能够持续，产生的社会效益、环境效益、文化效益等可持续获得，得6分。</w:t>
            </w:r>
          </w:p>
        </w:tc>
      </w:tr>
      <w:tr w14:paraId="50A086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restart"/>
            <w:tcBorders>
              <w:top w:val="single" w:color="auto" w:sz="4" w:space="0"/>
              <w:left w:val="single" w:color="auto" w:sz="4" w:space="0"/>
              <w:bottom w:val="nil"/>
              <w:right w:val="single" w:color="000000" w:sz="4" w:space="0"/>
            </w:tcBorders>
            <w:shd w:val="clear" w:color="auto" w:fill="auto"/>
            <w:vAlign w:val="center"/>
          </w:tcPr>
          <w:p w14:paraId="542FEBBA">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筹资可行性（15）</w:t>
            </w:r>
          </w:p>
        </w:tc>
        <w:tc>
          <w:tcPr>
            <w:tcW w:w="1182" w:type="dxa"/>
            <w:vMerge w:val="restart"/>
            <w:tcBorders>
              <w:top w:val="single" w:color="auto" w:sz="4" w:space="0"/>
              <w:left w:val="single" w:color="000000" w:sz="4" w:space="0"/>
              <w:bottom w:val="nil"/>
              <w:right w:val="single" w:color="auto" w:sz="4" w:space="0"/>
            </w:tcBorders>
            <w:shd w:val="clear" w:color="auto" w:fill="auto"/>
            <w:vAlign w:val="center"/>
          </w:tcPr>
          <w:p w14:paraId="44D84387">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筹资合规性</w:t>
            </w:r>
          </w:p>
          <w:p w14:paraId="19A1601D">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（10）</w:t>
            </w:r>
          </w:p>
        </w:tc>
        <w:tc>
          <w:tcPr>
            <w:tcW w:w="1516" w:type="dxa"/>
            <w:tcBorders>
              <w:top w:val="single" w:color="auto" w:sz="4" w:space="0"/>
              <w:left w:val="single" w:color="auto" w:sz="4" w:space="0"/>
              <w:bottom w:val="single" w:color="000000" w:sz="4" w:space="0"/>
              <w:right w:val="single" w:color="auto" w:sz="4" w:space="0"/>
            </w:tcBorders>
            <w:shd w:val="clear" w:color="auto" w:fill="auto"/>
            <w:vAlign w:val="center"/>
          </w:tcPr>
          <w:p w14:paraId="2C62286B">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筹资渠道合规性</w:t>
            </w:r>
          </w:p>
        </w:tc>
        <w:tc>
          <w:tcPr>
            <w:tcW w:w="6480" w:type="dxa"/>
            <w:tcBorders>
              <w:top w:val="single" w:color="000000" w:sz="4" w:space="0"/>
              <w:left w:val="single" w:color="auto" w:sz="4" w:space="0"/>
              <w:bottom w:val="single" w:color="000000" w:sz="4" w:space="0"/>
              <w:right w:val="single" w:color="000000" w:sz="4" w:space="0"/>
            </w:tcBorders>
            <w:shd w:val="clear" w:color="auto" w:fill="auto"/>
            <w:vAlign w:val="center"/>
          </w:tcPr>
          <w:p w14:paraId="21E9537F">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①计划资金来源渠道符合相关规定，经过相关论证，得2分；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②各项筹资渠道的资金筹集是否可行，得2分。</w:t>
            </w:r>
          </w:p>
        </w:tc>
      </w:tr>
      <w:tr w14:paraId="312626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continue"/>
            <w:tcBorders>
              <w:top w:val="single" w:color="000000" w:sz="4" w:space="0"/>
              <w:left w:val="single" w:color="auto" w:sz="4" w:space="0"/>
              <w:bottom w:val="single" w:color="auto" w:sz="4" w:space="0"/>
              <w:right w:val="single" w:color="000000" w:sz="4" w:space="0"/>
            </w:tcBorders>
            <w:shd w:val="clear" w:color="auto" w:fill="auto"/>
            <w:vAlign w:val="center"/>
          </w:tcPr>
          <w:p w14:paraId="0152A5B0">
            <w:pPr>
              <w:jc w:val="center"/>
              <w:rPr>
                <w:rFonts w:hint="eastAsia" w:ascii="仿宋" w:hAnsi="仿宋" w:eastAsia="仿宋" w:cs="仿宋"/>
                <w:i w:val="0"/>
                <w:iCs w:val="0"/>
                <w:color w:val="000000"/>
                <w:sz w:val="22"/>
                <w:szCs w:val="22"/>
                <w:highlight w:val="none"/>
                <w:u w:val="none"/>
              </w:rPr>
            </w:pPr>
          </w:p>
        </w:tc>
        <w:tc>
          <w:tcPr>
            <w:tcW w:w="1182" w:type="dxa"/>
            <w:vMerge w:val="continue"/>
            <w:tcBorders>
              <w:top w:val="single" w:color="000000" w:sz="4" w:space="0"/>
              <w:left w:val="single" w:color="000000" w:sz="4" w:space="0"/>
              <w:bottom w:val="single" w:color="auto" w:sz="4" w:space="0"/>
              <w:right w:val="single" w:color="auto" w:sz="4" w:space="0"/>
            </w:tcBorders>
            <w:shd w:val="clear" w:color="auto" w:fill="auto"/>
            <w:vAlign w:val="center"/>
          </w:tcPr>
          <w:p w14:paraId="4626DC26">
            <w:pPr>
              <w:jc w:val="center"/>
              <w:rPr>
                <w:rFonts w:hint="eastAsia" w:ascii="仿宋" w:hAnsi="仿宋" w:eastAsia="仿宋" w:cs="仿宋"/>
                <w:i w:val="0"/>
                <w:iCs w:val="0"/>
                <w:color w:val="000000"/>
                <w:sz w:val="22"/>
                <w:szCs w:val="22"/>
                <w:highlight w:val="none"/>
                <w:u w:val="none"/>
              </w:rPr>
            </w:pPr>
          </w:p>
        </w:tc>
        <w:tc>
          <w:tcPr>
            <w:tcW w:w="1516" w:type="dxa"/>
            <w:tcBorders>
              <w:top w:val="single" w:color="000000" w:sz="4" w:space="0"/>
              <w:left w:val="single" w:color="auto" w:sz="4" w:space="0"/>
              <w:bottom w:val="single" w:color="auto" w:sz="4" w:space="0"/>
              <w:right w:val="single" w:color="auto" w:sz="4" w:space="0"/>
            </w:tcBorders>
            <w:shd w:val="clear" w:color="auto" w:fill="auto"/>
            <w:vAlign w:val="center"/>
          </w:tcPr>
          <w:p w14:paraId="3D63E06A">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筹资程序合规性</w:t>
            </w:r>
          </w:p>
        </w:tc>
        <w:tc>
          <w:tcPr>
            <w:tcW w:w="6480" w:type="dxa"/>
            <w:tcBorders>
              <w:top w:val="single" w:color="000000" w:sz="4" w:space="0"/>
              <w:left w:val="single" w:color="auto" w:sz="4" w:space="0"/>
              <w:bottom w:val="single" w:color="000000" w:sz="4" w:space="0"/>
              <w:right w:val="single" w:color="000000" w:sz="4" w:space="0"/>
            </w:tcBorders>
            <w:shd w:val="clear" w:color="auto" w:fill="auto"/>
            <w:vAlign w:val="center"/>
          </w:tcPr>
          <w:p w14:paraId="4A5571D6">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①资金筹措程序是否科学规范，是否经过相关论证，论证资料是否齐全，得2分；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②对筹资风险认识是否全面；是否设定应对措施；应对措施是否可行、有效，得3分；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③资金筹措体现权责对等，财权和事权匹配，得1分。</w:t>
            </w:r>
          </w:p>
        </w:tc>
      </w:tr>
      <w:tr w14:paraId="5E76A3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continue"/>
            <w:tcBorders>
              <w:top w:val="single" w:color="auto" w:sz="4" w:space="0"/>
              <w:left w:val="single" w:color="auto" w:sz="4" w:space="0"/>
              <w:bottom w:val="single" w:color="auto" w:sz="4" w:space="0"/>
              <w:right w:val="single" w:color="000000" w:sz="4" w:space="0"/>
            </w:tcBorders>
            <w:shd w:val="clear" w:color="auto" w:fill="auto"/>
            <w:vAlign w:val="center"/>
          </w:tcPr>
          <w:p w14:paraId="68B4E8D0">
            <w:pPr>
              <w:jc w:val="center"/>
              <w:rPr>
                <w:rFonts w:hint="eastAsia" w:ascii="仿宋" w:hAnsi="仿宋" w:eastAsia="仿宋" w:cs="仿宋"/>
                <w:i w:val="0"/>
                <w:iCs w:val="0"/>
                <w:color w:val="000000"/>
                <w:sz w:val="22"/>
                <w:szCs w:val="22"/>
                <w:highlight w:val="none"/>
                <w:u w:val="none"/>
              </w:rPr>
            </w:pPr>
          </w:p>
        </w:tc>
        <w:tc>
          <w:tcPr>
            <w:tcW w:w="1182" w:type="dxa"/>
            <w:vMerge w:val="restart"/>
            <w:tcBorders>
              <w:top w:val="single" w:color="auto" w:sz="4" w:space="0"/>
              <w:left w:val="single" w:color="000000" w:sz="4" w:space="0"/>
              <w:bottom w:val="single" w:color="auto" w:sz="4" w:space="0"/>
              <w:right w:val="single" w:color="auto" w:sz="4" w:space="0"/>
            </w:tcBorders>
            <w:shd w:val="clear" w:color="auto" w:fill="auto"/>
            <w:vAlign w:val="center"/>
          </w:tcPr>
          <w:p w14:paraId="4A2A9291">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财政投入</w:t>
            </w:r>
          </w:p>
          <w:p w14:paraId="6FC4253E">
            <w:pPr>
              <w:keepNext w:val="0"/>
              <w:keepLines w:val="0"/>
              <w:widowControl/>
              <w:suppressLineNumbers w:val="0"/>
              <w:jc w:val="center"/>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（5）</w:t>
            </w:r>
          </w:p>
        </w:tc>
        <w:tc>
          <w:tcPr>
            <w:tcW w:w="1516" w:type="dxa"/>
            <w:tcBorders>
              <w:top w:val="single" w:color="auto" w:sz="4" w:space="0"/>
              <w:left w:val="single" w:color="auto" w:sz="4" w:space="0"/>
              <w:bottom w:val="single" w:color="000000" w:sz="4" w:space="0"/>
              <w:right w:val="single" w:color="000000" w:sz="4" w:space="0"/>
            </w:tcBorders>
            <w:shd w:val="clear" w:color="auto" w:fill="auto"/>
            <w:vAlign w:val="center"/>
          </w:tcPr>
          <w:p w14:paraId="0FCFCC8F">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财政投入预算能力</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44900">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①考虑财政预算及配套能力，合乎实际，得3分；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②不符合财政预算能力，直接为项目否定指标。</w:t>
            </w:r>
          </w:p>
        </w:tc>
      </w:tr>
      <w:tr w14:paraId="5C2AAC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jc w:val="center"/>
        </w:trPr>
        <w:tc>
          <w:tcPr>
            <w:tcW w:w="850" w:type="dxa"/>
            <w:vMerge w:val="continue"/>
            <w:tcBorders>
              <w:top w:val="single" w:color="auto" w:sz="4" w:space="0"/>
              <w:left w:val="single" w:color="auto" w:sz="4" w:space="0"/>
              <w:bottom w:val="single" w:color="auto" w:sz="4" w:space="0"/>
              <w:right w:val="single" w:color="000000" w:sz="4" w:space="0"/>
            </w:tcBorders>
            <w:shd w:val="clear" w:color="auto" w:fill="auto"/>
            <w:vAlign w:val="center"/>
          </w:tcPr>
          <w:p w14:paraId="44A2DA4B">
            <w:pPr>
              <w:jc w:val="center"/>
              <w:rPr>
                <w:rFonts w:hint="eastAsia" w:ascii="仿宋" w:hAnsi="仿宋" w:eastAsia="仿宋" w:cs="仿宋"/>
                <w:i w:val="0"/>
                <w:iCs w:val="0"/>
                <w:color w:val="000000"/>
                <w:sz w:val="22"/>
                <w:szCs w:val="22"/>
                <w:highlight w:val="none"/>
                <w:u w:val="none"/>
              </w:rPr>
            </w:pPr>
          </w:p>
        </w:tc>
        <w:tc>
          <w:tcPr>
            <w:tcW w:w="1182" w:type="dxa"/>
            <w:vMerge w:val="continue"/>
            <w:tcBorders>
              <w:top w:val="single" w:color="auto" w:sz="4" w:space="0"/>
              <w:left w:val="single" w:color="000000" w:sz="4" w:space="0"/>
              <w:bottom w:val="single" w:color="auto" w:sz="4" w:space="0"/>
              <w:right w:val="single" w:color="auto" w:sz="4" w:space="0"/>
            </w:tcBorders>
            <w:shd w:val="clear" w:color="auto" w:fill="auto"/>
            <w:vAlign w:val="center"/>
          </w:tcPr>
          <w:p w14:paraId="3E38C9C9">
            <w:pPr>
              <w:jc w:val="center"/>
              <w:rPr>
                <w:rFonts w:hint="eastAsia" w:ascii="仿宋" w:hAnsi="仿宋" w:eastAsia="仿宋" w:cs="仿宋"/>
                <w:i w:val="0"/>
                <w:iCs w:val="0"/>
                <w:color w:val="000000"/>
                <w:sz w:val="22"/>
                <w:szCs w:val="22"/>
                <w:highlight w:val="none"/>
                <w:u w:val="none"/>
              </w:rPr>
            </w:pPr>
          </w:p>
        </w:tc>
        <w:tc>
          <w:tcPr>
            <w:tcW w:w="1516" w:type="dxa"/>
            <w:tcBorders>
              <w:top w:val="single" w:color="000000" w:sz="4" w:space="0"/>
              <w:left w:val="single" w:color="auto" w:sz="4" w:space="0"/>
              <w:bottom w:val="single" w:color="000000" w:sz="4" w:space="0"/>
              <w:right w:val="single" w:color="000000" w:sz="4" w:space="0"/>
            </w:tcBorders>
            <w:shd w:val="clear" w:color="auto" w:fill="auto"/>
            <w:vAlign w:val="center"/>
          </w:tcPr>
          <w:p w14:paraId="6FE76176">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财政投入重复性</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4C4E5">
            <w:pPr>
              <w:keepNext w:val="0"/>
              <w:keepLines w:val="0"/>
              <w:widowControl/>
              <w:suppressLineNumbers w:val="0"/>
              <w:jc w:val="left"/>
              <w:textAlignment w:val="center"/>
              <w:rPr>
                <w:rFonts w:hint="eastAsia" w:ascii="仿宋" w:hAnsi="仿宋" w:eastAsia="仿宋" w:cs="仿宋"/>
                <w:i w:val="0"/>
                <w:iCs w:val="0"/>
                <w:color w:val="000000"/>
                <w:sz w:val="22"/>
                <w:szCs w:val="22"/>
                <w:highlight w:val="none"/>
                <w:u w:val="none"/>
              </w:rPr>
            </w:pPr>
            <w:r>
              <w:rPr>
                <w:rFonts w:hint="eastAsia" w:ascii="仿宋" w:hAnsi="仿宋" w:eastAsia="仿宋" w:cs="仿宋"/>
                <w:i w:val="0"/>
                <w:iCs w:val="0"/>
                <w:color w:val="000000"/>
                <w:kern w:val="0"/>
                <w:sz w:val="22"/>
                <w:szCs w:val="22"/>
                <w:highlight w:val="none"/>
                <w:u w:val="none"/>
                <w:lang w:val="en-US" w:eastAsia="zh-CN" w:bidi="ar"/>
              </w:rPr>
              <w:t>考虑各级财政部门投入，特别是同级财政资金是否有类似项目，酌情计分</w:t>
            </w:r>
          </w:p>
        </w:tc>
      </w:tr>
    </w:tbl>
    <w:p w14:paraId="57EDB3C9">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0"/>
        <w:rPr>
          <w:rFonts w:hint="eastAsia" w:ascii="黑体" w:hAnsi="黑体" w:eastAsia="黑体" w:cs="黑体"/>
          <w:b/>
          <w:bCs/>
          <w:color w:val="auto"/>
          <w:sz w:val="32"/>
          <w:szCs w:val="32"/>
          <w:lang w:val="en-US" w:eastAsia="zh-CN"/>
        </w:rPr>
      </w:pPr>
      <w:bookmarkStart w:id="26" w:name="_Toc9937"/>
      <w:r>
        <w:rPr>
          <w:rFonts w:hint="eastAsia" w:ascii="黑体" w:hAnsi="黑体" w:eastAsia="黑体" w:cs="黑体"/>
          <w:b/>
          <w:bCs/>
          <w:color w:val="auto"/>
          <w:sz w:val="32"/>
          <w:szCs w:val="32"/>
          <w:lang w:val="en-US" w:eastAsia="zh-CN"/>
        </w:rPr>
        <w:t>四、评估内容</w:t>
      </w:r>
      <w:bookmarkEnd w:id="26"/>
    </w:p>
    <w:p w14:paraId="689E963D">
      <w:pPr>
        <w:keepNext w:val="0"/>
        <w:pageBreakBefore w:val="0"/>
        <w:widowControl w:val="0"/>
        <w:kinsoku/>
        <w:topLinePunct w:val="0"/>
        <w:bidi w:val="0"/>
        <w:spacing w:line="240" w:lineRule="auto"/>
        <w:ind w:leftChars="0" w:firstLine="643" w:firstLineChars="200"/>
        <w:jc w:val="both"/>
        <w:outlineLvl w:val="1"/>
        <w:rPr>
          <w:rFonts w:hint="default" w:ascii="楷体_GB2312" w:hAnsi="楷体_GB2312" w:eastAsia="楷体_GB2312" w:cs="楷体_GB2312"/>
          <w:b/>
          <w:bCs/>
          <w:color w:val="000000" w:themeColor="text1"/>
          <w:sz w:val="32"/>
          <w:szCs w:val="32"/>
          <w:lang w:val="en-US" w:eastAsia="zh-CN"/>
          <w14:textFill>
            <w14:solidFill>
              <w14:schemeClr w14:val="tx1"/>
            </w14:solidFill>
          </w14:textFill>
        </w:rPr>
      </w:pPr>
      <w:bookmarkStart w:id="27" w:name="_Toc18492"/>
      <w:r>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t>（</w:t>
      </w:r>
      <w:r>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t>一</w:t>
      </w:r>
      <w:r>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t>）</w:t>
      </w:r>
      <w:r>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t>立项必要性</w:t>
      </w:r>
      <w:bookmarkEnd w:id="27"/>
    </w:p>
    <w:p w14:paraId="39B8E684">
      <w:pPr>
        <w:pStyle w:val="16"/>
        <w:keepNext w:val="0"/>
        <w:keepLines w:val="0"/>
        <w:pageBreakBefore w:val="0"/>
        <w:widowControl w:val="0"/>
        <w:kinsoku/>
        <w:wordWrap/>
        <w:overflowPunct/>
        <w:topLinePunct w:val="0"/>
        <w:autoSpaceDE/>
        <w:autoSpaceDN/>
        <w:bidi w:val="0"/>
        <w:adjustRightInd/>
        <w:snapToGrid/>
        <w:spacing w:after="0"/>
        <w:ind w:left="0" w:leftChars="0" w:firstLine="0" w:firstLineChars="0"/>
        <w:jc w:val="center"/>
        <w:textAlignment w:val="auto"/>
        <w:rPr>
          <w:rFonts w:hint="eastAsia" w:ascii="仿宋" w:hAnsi="仿宋" w:eastAsia="仿宋" w:cs="仿宋"/>
          <w:b/>
          <w:bCs/>
          <w:kern w:val="2"/>
          <w:sz w:val="28"/>
          <w:szCs w:val="28"/>
          <w:lang w:val="en-US" w:eastAsia="zh-CN" w:bidi="ar-SA"/>
        </w:rPr>
      </w:pPr>
      <w:r>
        <w:rPr>
          <w:rFonts w:hint="eastAsia" w:ascii="仿宋" w:hAnsi="仿宋" w:eastAsia="仿宋" w:cs="仿宋"/>
          <w:b/>
          <w:bCs/>
          <w:kern w:val="2"/>
          <w:sz w:val="28"/>
          <w:szCs w:val="28"/>
          <w:lang w:val="en-US" w:eastAsia="zh-CN" w:bidi="ar-SA"/>
        </w:rPr>
        <w:t>表4：项目立项必要性得分情况</w:t>
      </w:r>
    </w:p>
    <w:tbl>
      <w:tblPr>
        <w:tblStyle w:val="17"/>
        <w:tblW w:w="7361"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53"/>
        <w:gridCol w:w="1870"/>
        <w:gridCol w:w="2083"/>
        <w:gridCol w:w="890"/>
        <w:gridCol w:w="1065"/>
      </w:tblGrid>
      <w:tr w14:paraId="55AEA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9" w:hRule="atLeast"/>
          <w:tblHeader/>
          <w:jc w:val="center"/>
        </w:trPr>
        <w:tc>
          <w:tcPr>
            <w:tcW w:w="1453"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158426BC">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一级指标</w:t>
            </w:r>
          </w:p>
        </w:tc>
        <w:tc>
          <w:tcPr>
            <w:tcW w:w="1870"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065401B3">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二级指标</w:t>
            </w:r>
          </w:p>
        </w:tc>
        <w:tc>
          <w:tcPr>
            <w:tcW w:w="2083"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1D92E1F3">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三级指标</w:t>
            </w:r>
          </w:p>
        </w:tc>
        <w:tc>
          <w:tcPr>
            <w:tcW w:w="890"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2726748C">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权重</w:t>
            </w:r>
          </w:p>
        </w:tc>
        <w:tc>
          <w:tcPr>
            <w:tcW w:w="1065"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0BCF8B62">
            <w:pPr>
              <w:keepNext w:val="0"/>
              <w:keepLines w:val="0"/>
              <w:widowControl/>
              <w:suppressLineNumbers w:val="0"/>
              <w:jc w:val="center"/>
              <w:textAlignment w:val="center"/>
              <w:rPr>
                <w:rFonts w:hint="eastAsia" w:ascii="仿宋" w:hAnsi="仿宋" w:eastAsia="仿宋" w:cs="仿宋"/>
                <w:b w:val="0"/>
                <w:bCs w:val="0"/>
                <w:i w:val="0"/>
                <w:iCs w:val="0"/>
                <w:color w:val="auto"/>
                <w:sz w:val="24"/>
                <w:szCs w:val="24"/>
                <w:u w:val="none"/>
                <w:lang w:val="en-US" w:eastAsia="zh-CN"/>
              </w:rPr>
            </w:pPr>
            <w:r>
              <w:rPr>
                <w:rFonts w:hint="eastAsia" w:ascii="仿宋" w:hAnsi="仿宋" w:eastAsia="仿宋" w:cs="仿宋"/>
                <w:b w:val="0"/>
                <w:bCs w:val="0"/>
                <w:i w:val="0"/>
                <w:iCs w:val="0"/>
                <w:color w:val="auto"/>
                <w:sz w:val="24"/>
                <w:szCs w:val="24"/>
                <w:u w:val="none"/>
                <w:lang w:val="en-US" w:eastAsia="zh-CN"/>
              </w:rPr>
              <w:t>得分</w:t>
            </w:r>
          </w:p>
        </w:tc>
      </w:tr>
      <w:tr w14:paraId="547DFE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6" w:hRule="atLeast"/>
          <w:jc w:val="center"/>
        </w:trPr>
        <w:tc>
          <w:tcPr>
            <w:tcW w:w="145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CF272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立项必要性（15）</w:t>
            </w:r>
          </w:p>
        </w:tc>
        <w:tc>
          <w:tcPr>
            <w:tcW w:w="187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C76651">
            <w:pPr>
              <w:keepNext w:val="0"/>
              <w:keepLines w:val="0"/>
              <w:widowControl/>
              <w:suppressLineNumbers w:val="0"/>
              <w:jc w:val="center"/>
              <w:textAlignment w:val="center"/>
              <w:rPr>
                <w:rFonts w:hint="default" w:ascii="仿宋" w:hAnsi="仿宋" w:eastAsia="仿宋" w:cs="仿宋"/>
                <w:i w:val="0"/>
                <w:iCs w:val="0"/>
                <w:color w:val="000000"/>
                <w:sz w:val="24"/>
                <w:szCs w:val="24"/>
                <w:u w:val="none"/>
                <w:lang w:val="en-US"/>
              </w:rPr>
            </w:pPr>
            <w:r>
              <w:rPr>
                <w:rFonts w:hint="eastAsia" w:ascii="仿宋" w:hAnsi="仿宋" w:eastAsia="仿宋" w:cs="仿宋"/>
                <w:i w:val="0"/>
                <w:iCs w:val="0"/>
                <w:color w:val="000000"/>
                <w:kern w:val="0"/>
                <w:sz w:val="24"/>
                <w:szCs w:val="24"/>
                <w:u w:val="none"/>
                <w:lang w:val="en-US" w:eastAsia="zh-CN" w:bidi="ar"/>
              </w:rPr>
              <w:t>立项依据充分性（12）</w:t>
            </w:r>
          </w:p>
        </w:tc>
        <w:tc>
          <w:tcPr>
            <w:tcW w:w="20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7AF9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政策相关性</w:t>
            </w:r>
          </w:p>
        </w:tc>
        <w:tc>
          <w:tcPr>
            <w:tcW w:w="8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C833A5">
            <w:pPr>
              <w:jc w:val="center"/>
              <w:rPr>
                <w:rFonts w:hint="eastAsia"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3</w:t>
            </w:r>
          </w:p>
        </w:tc>
        <w:tc>
          <w:tcPr>
            <w:tcW w:w="10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9A083">
            <w:pPr>
              <w:jc w:val="center"/>
              <w:rPr>
                <w:rFonts w:hint="eastAsia"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3</w:t>
            </w:r>
          </w:p>
        </w:tc>
      </w:tr>
      <w:tr w14:paraId="1A6757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8" w:hRule="atLeast"/>
          <w:jc w:val="center"/>
        </w:trPr>
        <w:tc>
          <w:tcPr>
            <w:tcW w:w="145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FCE775">
            <w:pPr>
              <w:jc w:val="center"/>
              <w:rPr>
                <w:rFonts w:hint="eastAsia" w:ascii="仿宋" w:hAnsi="仿宋" w:eastAsia="仿宋" w:cs="仿宋"/>
                <w:i w:val="0"/>
                <w:iCs w:val="0"/>
                <w:color w:val="000000"/>
                <w:sz w:val="24"/>
                <w:szCs w:val="24"/>
                <w:u w:val="none"/>
              </w:rPr>
            </w:pPr>
          </w:p>
        </w:tc>
        <w:tc>
          <w:tcPr>
            <w:tcW w:w="18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5544E1">
            <w:pPr>
              <w:jc w:val="center"/>
              <w:rPr>
                <w:rFonts w:hint="eastAsia" w:ascii="仿宋" w:hAnsi="仿宋" w:eastAsia="仿宋" w:cs="仿宋"/>
                <w:i w:val="0"/>
                <w:iCs w:val="0"/>
                <w:color w:val="000000"/>
                <w:sz w:val="24"/>
                <w:szCs w:val="24"/>
                <w:u w:val="none"/>
              </w:rPr>
            </w:pPr>
          </w:p>
        </w:tc>
        <w:tc>
          <w:tcPr>
            <w:tcW w:w="20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E6C7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职能相关性</w:t>
            </w:r>
          </w:p>
        </w:tc>
        <w:tc>
          <w:tcPr>
            <w:tcW w:w="8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F02C6">
            <w:pPr>
              <w:jc w:val="center"/>
              <w:rPr>
                <w:rFonts w:hint="eastAsia"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4</w:t>
            </w:r>
          </w:p>
        </w:tc>
        <w:tc>
          <w:tcPr>
            <w:tcW w:w="10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763C0">
            <w:pPr>
              <w:jc w:val="center"/>
              <w:rPr>
                <w:rFonts w:hint="eastAsia"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4</w:t>
            </w:r>
          </w:p>
        </w:tc>
      </w:tr>
      <w:tr w14:paraId="4DD279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0" w:hRule="atLeast"/>
          <w:jc w:val="center"/>
        </w:trPr>
        <w:tc>
          <w:tcPr>
            <w:tcW w:w="145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BC1D2B">
            <w:pPr>
              <w:jc w:val="center"/>
              <w:rPr>
                <w:rFonts w:hint="eastAsia" w:ascii="仿宋" w:hAnsi="仿宋" w:eastAsia="仿宋" w:cs="仿宋"/>
                <w:i w:val="0"/>
                <w:iCs w:val="0"/>
                <w:color w:val="000000"/>
                <w:sz w:val="24"/>
                <w:szCs w:val="24"/>
                <w:u w:val="none"/>
              </w:rPr>
            </w:pPr>
          </w:p>
        </w:tc>
        <w:tc>
          <w:tcPr>
            <w:tcW w:w="1870"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59FC2970">
            <w:pPr>
              <w:jc w:val="center"/>
              <w:rPr>
                <w:rFonts w:hint="eastAsia" w:ascii="仿宋" w:hAnsi="仿宋" w:eastAsia="仿宋" w:cs="仿宋"/>
                <w:i w:val="0"/>
                <w:iCs w:val="0"/>
                <w:color w:val="000000"/>
                <w:sz w:val="24"/>
                <w:szCs w:val="24"/>
                <w:u w:val="none"/>
              </w:rPr>
            </w:pPr>
          </w:p>
        </w:tc>
        <w:tc>
          <w:tcPr>
            <w:tcW w:w="2083" w:type="dxa"/>
            <w:tcBorders>
              <w:top w:val="single" w:color="000000" w:sz="4" w:space="0"/>
              <w:left w:val="single" w:color="000000" w:sz="4" w:space="0"/>
              <w:bottom w:val="single" w:color="auto" w:sz="4" w:space="0"/>
              <w:right w:val="single" w:color="000000" w:sz="4" w:space="0"/>
            </w:tcBorders>
            <w:shd w:val="clear" w:color="auto" w:fill="auto"/>
            <w:vAlign w:val="center"/>
          </w:tcPr>
          <w:p w14:paraId="38DE81E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需求相关性</w:t>
            </w:r>
          </w:p>
        </w:tc>
        <w:tc>
          <w:tcPr>
            <w:tcW w:w="8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E8C3E0">
            <w:pPr>
              <w:jc w:val="center"/>
              <w:rPr>
                <w:rFonts w:hint="eastAsia"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5</w:t>
            </w:r>
          </w:p>
        </w:tc>
        <w:tc>
          <w:tcPr>
            <w:tcW w:w="10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79EDD">
            <w:pPr>
              <w:jc w:val="center"/>
              <w:rPr>
                <w:rFonts w:hint="eastAsia"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5</w:t>
            </w:r>
          </w:p>
        </w:tc>
      </w:tr>
      <w:tr w14:paraId="78A4AB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jc w:val="center"/>
        </w:trPr>
        <w:tc>
          <w:tcPr>
            <w:tcW w:w="1453"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2257BB8F">
            <w:pPr>
              <w:jc w:val="center"/>
              <w:rPr>
                <w:rFonts w:hint="eastAsia" w:ascii="仿宋" w:hAnsi="仿宋" w:eastAsia="仿宋" w:cs="仿宋"/>
                <w:i w:val="0"/>
                <w:iCs w:val="0"/>
                <w:color w:val="000000"/>
                <w:sz w:val="24"/>
                <w:szCs w:val="24"/>
                <w:u w:val="none"/>
              </w:rPr>
            </w:pPr>
          </w:p>
        </w:tc>
        <w:tc>
          <w:tcPr>
            <w:tcW w:w="1870" w:type="dxa"/>
            <w:tcBorders>
              <w:top w:val="single" w:color="auto" w:sz="4" w:space="0"/>
              <w:left w:val="single" w:color="auto" w:sz="4" w:space="0"/>
              <w:bottom w:val="single" w:color="auto" w:sz="4" w:space="0"/>
              <w:right w:val="single" w:color="auto" w:sz="4" w:space="0"/>
            </w:tcBorders>
            <w:shd w:val="clear" w:color="auto" w:fill="auto"/>
            <w:vAlign w:val="center"/>
          </w:tcPr>
          <w:p w14:paraId="3165EF3E">
            <w:pPr>
              <w:keepNext w:val="0"/>
              <w:keepLines w:val="0"/>
              <w:widowControl/>
              <w:suppressLineNumbers w:val="0"/>
              <w:jc w:val="center"/>
              <w:textAlignment w:val="center"/>
              <w:rPr>
                <w:rFonts w:hint="default" w:ascii="仿宋" w:hAnsi="仿宋" w:eastAsia="仿宋" w:cs="仿宋"/>
                <w:i w:val="0"/>
                <w:iCs w:val="0"/>
                <w:color w:val="000000"/>
                <w:sz w:val="24"/>
                <w:szCs w:val="24"/>
                <w:u w:val="none"/>
                <w:lang w:val="en-US"/>
              </w:rPr>
            </w:pPr>
            <w:r>
              <w:rPr>
                <w:rFonts w:hint="eastAsia" w:ascii="仿宋" w:hAnsi="仿宋" w:eastAsia="仿宋" w:cs="仿宋"/>
                <w:i w:val="0"/>
                <w:iCs w:val="0"/>
                <w:color w:val="000000"/>
                <w:kern w:val="0"/>
                <w:sz w:val="24"/>
                <w:szCs w:val="24"/>
                <w:u w:val="none"/>
                <w:lang w:val="en-US" w:eastAsia="zh-CN" w:bidi="ar"/>
              </w:rPr>
              <w:t>财政投入相关性（3）</w:t>
            </w:r>
          </w:p>
        </w:tc>
        <w:tc>
          <w:tcPr>
            <w:tcW w:w="2083" w:type="dxa"/>
            <w:tcBorders>
              <w:top w:val="single" w:color="auto" w:sz="4" w:space="0"/>
              <w:left w:val="single" w:color="auto" w:sz="4" w:space="0"/>
              <w:bottom w:val="single" w:color="auto" w:sz="4" w:space="0"/>
              <w:right w:val="single" w:color="auto" w:sz="4" w:space="0"/>
            </w:tcBorders>
            <w:shd w:val="clear" w:color="auto" w:fill="auto"/>
            <w:vAlign w:val="center"/>
          </w:tcPr>
          <w:p w14:paraId="7730185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财政投入相关性</w:t>
            </w:r>
          </w:p>
        </w:tc>
        <w:tc>
          <w:tcPr>
            <w:tcW w:w="890" w:type="dxa"/>
            <w:tcBorders>
              <w:top w:val="single" w:color="000000" w:sz="4" w:space="0"/>
              <w:left w:val="single" w:color="auto" w:sz="4" w:space="0"/>
              <w:bottom w:val="single" w:color="000000" w:sz="4" w:space="0"/>
              <w:right w:val="single" w:color="000000" w:sz="4" w:space="0"/>
            </w:tcBorders>
            <w:shd w:val="clear" w:color="auto" w:fill="auto"/>
            <w:noWrap/>
            <w:vAlign w:val="center"/>
          </w:tcPr>
          <w:p w14:paraId="7F976D65">
            <w:pPr>
              <w:jc w:val="center"/>
              <w:rPr>
                <w:rFonts w:hint="eastAsia"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3</w:t>
            </w:r>
          </w:p>
        </w:tc>
        <w:tc>
          <w:tcPr>
            <w:tcW w:w="10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402445">
            <w:pPr>
              <w:jc w:val="center"/>
              <w:rPr>
                <w:rFonts w:hint="default"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3</w:t>
            </w:r>
          </w:p>
        </w:tc>
      </w:tr>
    </w:tbl>
    <w:p w14:paraId="113AFBEE">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项目立项必要性方面，指标总分15分，石狮市跨境电商品牌培育全流程服务评估得分为15分。具体如下：</w:t>
      </w:r>
    </w:p>
    <w:p w14:paraId="616910DE">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default" w:ascii="仿宋_GB2312" w:hAnsi="仿宋_GB2312" w:eastAsia="仿宋_GB2312" w:cs="仿宋_GB2312"/>
          <w:b/>
          <w:bCs/>
          <w:color w:val="auto"/>
          <w:kern w:val="0"/>
          <w:sz w:val="32"/>
          <w:szCs w:val="32"/>
          <w:highlight w:val="none"/>
          <w:lang w:val="en-US" w:eastAsia="zh-CN" w:bidi="ar-SA"/>
        </w:rPr>
      </w:pPr>
      <w:bookmarkStart w:id="28" w:name="_Toc5569"/>
      <w:bookmarkStart w:id="29" w:name="_Toc17737"/>
      <w:r>
        <w:rPr>
          <w:rFonts w:hint="eastAsia" w:ascii="仿宋_GB2312" w:hAnsi="仿宋_GB2312" w:eastAsia="仿宋_GB2312" w:cs="仿宋_GB2312"/>
          <w:b/>
          <w:bCs/>
          <w:color w:val="auto"/>
          <w:kern w:val="0"/>
          <w:sz w:val="32"/>
          <w:szCs w:val="32"/>
          <w:highlight w:val="none"/>
          <w:lang w:val="en-US" w:eastAsia="zh-CN" w:bidi="ar-SA"/>
        </w:rPr>
        <w:t>1.</w:t>
      </w:r>
      <w:bookmarkEnd w:id="28"/>
      <w:r>
        <w:rPr>
          <w:rFonts w:hint="eastAsia" w:ascii="仿宋_GB2312" w:hAnsi="仿宋_GB2312" w:eastAsia="仿宋_GB2312" w:cs="仿宋_GB2312"/>
          <w:b/>
          <w:bCs/>
          <w:color w:val="auto"/>
          <w:kern w:val="0"/>
          <w:sz w:val="32"/>
          <w:szCs w:val="32"/>
          <w:highlight w:val="none"/>
          <w:lang w:val="en-US" w:eastAsia="zh-CN" w:bidi="ar-SA"/>
        </w:rPr>
        <w:t>立项依据充分性</w:t>
      </w:r>
      <w:bookmarkEnd w:id="29"/>
    </w:p>
    <w:p w14:paraId="604D536E">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（1）政策相关性</w:t>
      </w:r>
    </w:p>
    <w:p w14:paraId="239629C7">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党的十九大报告首次提出“拓展对外贸易，培育贸易新业态新模式，推进贸易强国建设”，将跨境电商提升至国家战略高度。习近平总书记在首届中国国际进口博览会开幕式上进一步强调“激发进口潜力，加快跨境电商等新业态新模式发展”，为行业指明方向。李克强总理多次主持国务院常务会议，明确要求对新业态新模式坚持“鼓励创新、包容审慎”的监管原则，为跨境电商发展营造宽松环境。国家通过一系列政策支持构建全链条扶持体系。</w:t>
      </w:r>
    </w:p>
    <w:p w14:paraId="5295D3A0">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在税收优惠与商品清单扩容方面，2018年，财政部等部门调整跨境电商零售进口税收政策，将单次交易限值从2000元提高至5000元，年度限值从2万元提高至2.6万元，并新增63个税目商品，清单商品总数达1321个，满足居民多元化消费需求。2024年，商务部等九部门联合发布《关于拓展跨境电商出口推进海外仓建设的意见》，提出统筹利用现有资金渠道支持海外仓发展，并编制出口海外仓业务退税操作指引，降低企业运营成本。</w:t>
      </w:r>
    </w:p>
    <w:p w14:paraId="7E7F5A7D">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在监管模式创新方面，2019年，商务部等部门印发《关于完善跨境电子商务零售进口监管有关工作的通知》，明确跨境电商零售进口商品按个人自用进境物品监管，不执行首次进口许可批件要求，稳定市场预期。2024年，政策进一步简化出口流程，允许企业开展跨境电商出口海外仓业务无需备案，仅需传输订仓单电子数据，大幅降低合规成本。</w:t>
      </w:r>
    </w:p>
    <w:p w14:paraId="58790B99">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在区域布局优化方面，自2015年起，我国分六批设立165个跨境电商综合试验区，形成覆盖全国的试验网络。综试区通过“两平台”（线上综合服务、线下产业园区）和“六体系”（信息共享、金融服务、智能物流等）建设，探索可复制推广的经验。</w:t>
      </w:r>
    </w:p>
    <w:p w14:paraId="43EDD610">
      <w:pPr>
        <w:keepNext w:val="0"/>
        <w:keepLines w:val="0"/>
        <w:pageBreakBefore w:val="0"/>
        <w:widowControl w:val="0"/>
        <w:kinsoku/>
        <w:wordWrap/>
        <w:overflowPunct/>
        <w:topLinePunct w:val="0"/>
        <w:autoSpaceDE/>
        <w:autoSpaceDN/>
        <w:bidi w:val="0"/>
        <w:adjustRightInd/>
        <w:snapToGrid/>
        <w:spacing w:line="560" w:lineRule="exact"/>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2024年政策提出支持地方依托综试区培育“跨境电商赋能产业带”模式，推动特色产业集群国际化。根据评分规则，该指标满分3分，得3分。</w:t>
      </w:r>
    </w:p>
    <w:p w14:paraId="19F7FDE9">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（2）职能相关性</w:t>
      </w:r>
    </w:p>
    <w:p w14:paraId="4E02C832">
      <w:pPr>
        <w:keepNext w:val="0"/>
        <w:keepLines w:val="0"/>
        <w:pageBreakBefore w:val="0"/>
        <w:widowControl w:val="0"/>
        <w:kinsoku/>
        <w:wordWrap/>
        <w:overflowPunct/>
        <w:topLinePunct w:val="0"/>
        <w:autoSpaceDE/>
        <w:autoSpaceDN/>
        <w:bidi w:val="0"/>
        <w:adjustRightInd/>
        <w:snapToGrid/>
        <w:spacing w:line="560" w:lineRule="exact"/>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商务局的服务职责主要有：负责拟定商贸服务业、流通行业、市场体系建设，拟定并组织实施全市口岸发展规划和年度开放计划，指导和管理全市外商投资促进工作，拟定并组织实施全市口岸发展规划和年度开放计划，负责承担市场采购贸易、口岸方面的行政辅助性、事务性工作等等。石狮市商务局承担“促进产业集群与跨境电商深度融合”的任务。因此，“石狮市跨境电商品牌培育全流程服务”项目的实施与石狮市商务局职能密切相关。根据评分规则，该指标满分4分，得4分。</w:t>
      </w:r>
    </w:p>
    <w:p w14:paraId="085A1AC9">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需求相关性</w:t>
      </w:r>
    </w:p>
    <w:p w14:paraId="51B951E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①国家战略层面的必然要求</w:t>
      </w:r>
    </w:p>
    <w:p w14:paraId="5E2CA3E3">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党的十九大以来，党中央将跨境电商视为“贸易强国建设”的关键抓手。2023年国务院《关于推动外贸稳规模优结构的意见》明确提出“支持外贸企业通过跨境电商等新业态新模式拓展销售渠道、培育自主品牌”，并鼓励发展“跨境电商+产业带”模式。2024年中共中央办公厅、国务院办公厅发布的《关于数字贸易改革创新发展的意见》进一步强调“推进跨境电商综合试验区建设，支持‘跨境电商+产业带’发展”，要求打造具有国际竞争力的数字产业集群。石狮市跨境电商品牌培育全流程服务能够落实国家战略、推动贸易高质量发展，因此项目的实施是国家战略层面的必然要求。</w:t>
      </w:r>
    </w:p>
    <w:p w14:paraId="68E69B08">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②产业转型的迫切需求</w:t>
      </w:r>
    </w:p>
    <w:p w14:paraId="1B0403D4">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传统低价竞争、同质化产品泛滥导致跨境电商产业利润空间压缩，叠加全球贸易规则收紧（如小额豁免政策调整）、合规成本攀升（税务、知识产权保护要求强化），倒逼企业摆脱粗放模式。此外，消费者需求向品质化、个性化升级，新兴市场崛起与数字化技术迭代，创造新赛道。产业转型已上升为行业可持续发展的必然选择。石狮市作为“全球男装供应链中心”，拥有亚洲最大的服装市场和全球纺织采购基地，年出口服装超11亿件，覆盖190个国家和地区。然而，其跨境电商发展长期面临“规模层次不高、合规化经营和品牌意识不强、专业人才缺乏”等痛点。传统外贸企业亟须通过品牌培育提升国际竞争力，摆脱低价竞争模式，转向高附加值的产品与服务。石狮市跨境电商品牌培育全流程服务帮助跨境电商新店铺实现零的突破、培养孵化一批龙头跨境电商企业、提供跨境电商自主品牌注册服务，满足传统制造型企业产业转型的迫切需求。</w:t>
      </w:r>
    </w:p>
    <w:p w14:paraId="35E1290D">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③</w:t>
      </w:r>
      <w:r>
        <w:rPr>
          <w:rFonts w:hint="eastAsia" w:ascii="仿宋_GB2312" w:hAnsi="仿宋_GB2312" w:eastAsia="仿宋_GB2312" w:cs="仿宋_GB2312"/>
          <w:color w:val="auto"/>
          <w:kern w:val="0"/>
          <w:sz w:val="32"/>
          <w:szCs w:val="32"/>
          <w:highlight w:val="none"/>
          <w:lang w:val="en-US" w:eastAsia="zh-CN" w:bidi="ar-SA"/>
        </w:rPr>
        <w:t>促进就业与产业集群升级的需要</w:t>
      </w:r>
    </w:p>
    <w:p w14:paraId="3214658F">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就业层面，跨境电商通过“平台运营、数字营销、跨境物流、海外仓管理、AI技术应用”等新业态，创造了千万级就业岗位，尤其为中小微企业、青年群体、传统外贸转型人员提供灵活就业与创业机会。相关数据显示，中国跨境电商产业链从业人员已超1000万，年均岗位需求达200万，成为缓解结构性就业矛盾的关键抓手。产业集群升级层面，跨境电商倒逼传统制造向“品牌化、数字化、柔性化”转型：通过直面海外消费需求，驱动企业优化产品设计、提升品质标准；依托大数据精准定位市场，助力产业带打造差异化品牌，摆脱低价竞争；海外仓与智能供应链体系降低出口成本，增强产业链韧性。当前，全球贸易数字化加速与“双循环”战略叠加，传统产业集群面临转型压力，而跨境电商与产业带深度融合，正是破解“低端锁定”、推动区域经济协同发展的核心路径。迫切需要加速政策赋能、人才培育与技术服务创新，释放跨境电商对就业扩容与产业升级的倍增效应。石狮市跨境电商品牌培育全流程服务</w:t>
      </w:r>
      <w:r>
        <w:rPr>
          <w:rFonts w:ascii="Times New Roman" w:hAnsi="Times New Roman" w:eastAsia="仿宋_GB2312" w:cs="Times New Roman"/>
          <w:b w:val="0"/>
          <w:bCs w:val="0"/>
          <w:color w:val="auto"/>
          <w:sz w:val="32"/>
          <w:szCs w:val="32"/>
        </w:rPr>
        <w:t>强化人才支撑</w:t>
      </w:r>
      <w:r>
        <w:rPr>
          <w:rFonts w:hint="eastAsia" w:ascii="Times New Roman" w:hAnsi="Times New Roman" w:eastAsia="仿宋_GB2312" w:cs="Times New Roman"/>
          <w:b w:val="0"/>
          <w:bCs w:val="0"/>
          <w:color w:val="auto"/>
          <w:sz w:val="32"/>
          <w:szCs w:val="32"/>
          <w:lang w:eastAsia="zh-CN"/>
        </w:rPr>
        <w:t>，</w:t>
      </w:r>
      <w:r>
        <w:rPr>
          <w:rFonts w:hint="eastAsia" w:ascii="Times New Roman" w:hAnsi="Times New Roman" w:eastAsia="仿宋_GB2312" w:cs="Times New Roman"/>
          <w:b w:val="0"/>
          <w:bCs w:val="0"/>
          <w:color w:val="auto"/>
          <w:sz w:val="32"/>
          <w:szCs w:val="32"/>
          <w:lang w:val="en-US" w:eastAsia="zh-CN"/>
        </w:rPr>
        <w:t>涵养人才队伍，计划通过与高校开展产教融合合作、建立跨境电商专家智库团队，提升电商人才素养，满足</w:t>
      </w:r>
      <w:r>
        <w:rPr>
          <w:rFonts w:hint="eastAsia" w:ascii="仿宋_GB2312" w:hAnsi="仿宋_GB2312" w:eastAsia="仿宋_GB2312" w:cs="仿宋_GB2312"/>
          <w:color w:val="auto"/>
          <w:kern w:val="0"/>
          <w:sz w:val="32"/>
          <w:szCs w:val="32"/>
          <w:highlight w:val="none"/>
          <w:lang w:val="en-US" w:eastAsia="zh-CN" w:bidi="ar-SA"/>
        </w:rPr>
        <w:t>促进就业与产业集群升级的需要。</w:t>
      </w:r>
    </w:p>
    <w:p w14:paraId="7E182081">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④优化壮大石狮跨境电商产业生态的需要</w:t>
      </w:r>
    </w:p>
    <w:p w14:paraId="2D5B3FB2">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当前跨境电商发展面临资源碎片化、服务链条割裂、创新能力不足等痛点：上下游企业协同效率低，物流、金融、合规等配套服务未形成系统化支撑；中小卖家缺乏品牌孵化、技术赋能等资源，难以突破规模瓶颈。同时，在全球贸易数字化加速与产业链重构趋势下，迫切需要构建“平台+产业带+服务生态”的完整体系：整合制造、物流、数据、金融等要素，推动供应链数字化升级；培育专业服务商集群，提供市场洞察、合规风控、本地化营销等全流程解决方案；强化产学研合作，孵化技术创新与人才供给。优化产业生态不仅助力企业降本增效、规避风险，更通过集群效应提升区域竞争力，推动“中国制造”向“中国服务+中国品牌”转型，实现从单一贸易通道到全球化价值网络的战略跃升，这已成为抢占国际电商赛道、构建双循环新发展格局的迫切任务。</w:t>
      </w:r>
    </w:p>
    <w:p w14:paraId="6A09CB53">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充分拓展全省首创跨境电商公共服务中心带动效应，鼓励采取购买服务方式，引进行业协会或第三方专业机构服务运营石狮市跨境电商公共服务中心，丰富完善跨境综合服务水平，组织各类跨境电商活动，引导辖区传统外贸、生产制造和商贸流通企业，拓展跨境电商业务，进一步优化壮大石狮跨境电商产业生态。</w:t>
      </w:r>
    </w:p>
    <w:p w14:paraId="1F4B3319">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bookmarkStart w:id="30" w:name="_Toc2289"/>
      <w:r>
        <w:rPr>
          <w:rFonts w:hint="default" w:ascii="仿宋_GB2312" w:hAnsi="仿宋_GB2312" w:eastAsia="仿宋_GB2312" w:cs="仿宋_GB2312"/>
          <w:color w:val="auto"/>
          <w:kern w:val="0"/>
          <w:sz w:val="32"/>
          <w:szCs w:val="32"/>
          <w:highlight w:val="none"/>
          <w:lang w:val="en-US" w:eastAsia="zh-CN" w:bidi="ar-SA"/>
        </w:rPr>
        <w:t>因此，为进一步提升跨境电商公共中心服务水平，提供系统孵化、开店指导等服务</w:t>
      </w:r>
      <w:r>
        <w:rPr>
          <w:rFonts w:hint="eastAsia" w:ascii="仿宋_GB2312" w:hAnsi="仿宋_GB2312" w:eastAsia="仿宋_GB2312" w:cs="仿宋_GB2312"/>
          <w:color w:val="auto"/>
          <w:kern w:val="0"/>
          <w:sz w:val="32"/>
          <w:szCs w:val="32"/>
          <w:highlight w:val="none"/>
          <w:lang w:val="en-US" w:eastAsia="zh-CN" w:bidi="ar-SA"/>
        </w:rPr>
        <w:t>，石狮市提供跨境电商品牌培育全流程服务</w:t>
      </w:r>
      <w:r>
        <w:rPr>
          <w:rFonts w:hint="default" w:ascii="仿宋_GB2312" w:hAnsi="仿宋_GB2312" w:eastAsia="仿宋_GB2312" w:cs="仿宋_GB2312"/>
          <w:color w:val="auto"/>
          <w:kern w:val="0"/>
          <w:sz w:val="32"/>
          <w:szCs w:val="32"/>
          <w:highlight w:val="none"/>
          <w:lang w:val="en-US" w:eastAsia="zh-CN" w:bidi="ar-SA"/>
        </w:rPr>
        <w:t>的需求十分迫切，且不具有替代性。项目的建设有利于引导更多本地传统外贸企业、创业者</w:t>
      </w:r>
      <w:r>
        <w:rPr>
          <w:rFonts w:hint="eastAsia" w:ascii="仿宋_GB2312" w:hAnsi="仿宋_GB2312" w:eastAsia="仿宋_GB2312" w:cs="仿宋_GB2312"/>
          <w:color w:val="auto"/>
          <w:kern w:val="0"/>
          <w:sz w:val="32"/>
          <w:szCs w:val="32"/>
          <w:highlight w:val="none"/>
          <w:lang w:val="en-US" w:eastAsia="zh-CN" w:bidi="ar-SA"/>
        </w:rPr>
        <w:t>通过</w:t>
      </w:r>
      <w:r>
        <w:rPr>
          <w:rFonts w:hint="default" w:ascii="仿宋_GB2312" w:hAnsi="仿宋_GB2312" w:eastAsia="仿宋_GB2312" w:cs="仿宋_GB2312"/>
          <w:color w:val="auto"/>
          <w:kern w:val="0"/>
          <w:sz w:val="32"/>
          <w:szCs w:val="32"/>
          <w:highlight w:val="none"/>
          <w:lang w:val="en-US" w:eastAsia="zh-CN" w:bidi="ar-SA"/>
        </w:rPr>
        <w:t>跨境电商扩展海外市场，抢抓新增长点</w:t>
      </w:r>
      <w:r>
        <w:rPr>
          <w:rFonts w:hint="eastAsia" w:ascii="仿宋_GB2312" w:hAnsi="仿宋_GB2312" w:eastAsia="仿宋_GB2312" w:cs="仿宋_GB2312"/>
          <w:color w:val="auto"/>
          <w:kern w:val="0"/>
          <w:sz w:val="32"/>
          <w:szCs w:val="32"/>
          <w:highlight w:val="none"/>
          <w:lang w:val="en-US" w:eastAsia="zh-CN" w:bidi="ar-SA"/>
        </w:rPr>
        <w:t>，</w:t>
      </w:r>
      <w:r>
        <w:rPr>
          <w:rFonts w:hint="default" w:ascii="仿宋_GB2312" w:hAnsi="仿宋_GB2312" w:eastAsia="仿宋_GB2312" w:cs="仿宋_GB2312"/>
          <w:color w:val="auto"/>
          <w:kern w:val="0"/>
          <w:sz w:val="32"/>
          <w:szCs w:val="32"/>
          <w:highlight w:val="none"/>
          <w:lang w:val="en-US" w:eastAsia="zh-CN" w:bidi="ar-SA"/>
        </w:rPr>
        <w:t>项目拥有确定的受益对象。根据评分规则，满分5分，得5分。</w:t>
      </w:r>
    </w:p>
    <w:p w14:paraId="782B47E1">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eastAsia" w:ascii="仿宋_GB2312" w:hAnsi="仿宋_GB2312" w:eastAsia="仿宋_GB2312" w:cs="仿宋_GB2312"/>
          <w:b/>
          <w:bCs/>
          <w:color w:val="auto"/>
          <w:kern w:val="0"/>
          <w:sz w:val="32"/>
          <w:szCs w:val="32"/>
          <w:highlight w:val="none"/>
          <w:lang w:val="en-US" w:eastAsia="zh-CN" w:bidi="ar-SA"/>
        </w:rPr>
      </w:pPr>
      <w:bookmarkStart w:id="31" w:name="_Toc16483"/>
      <w:r>
        <w:rPr>
          <w:rFonts w:hint="eastAsia" w:ascii="仿宋_GB2312" w:hAnsi="仿宋_GB2312" w:eastAsia="仿宋_GB2312" w:cs="仿宋_GB2312"/>
          <w:b/>
          <w:bCs/>
          <w:color w:val="auto"/>
          <w:kern w:val="0"/>
          <w:sz w:val="32"/>
          <w:szCs w:val="32"/>
          <w:highlight w:val="none"/>
          <w:lang w:val="en-US" w:eastAsia="zh-CN" w:bidi="ar-SA"/>
        </w:rPr>
        <w:t>2.</w:t>
      </w:r>
      <w:bookmarkEnd w:id="30"/>
      <w:r>
        <w:rPr>
          <w:rFonts w:hint="eastAsia" w:ascii="仿宋_GB2312" w:hAnsi="仿宋_GB2312" w:eastAsia="仿宋_GB2312" w:cs="仿宋_GB2312"/>
          <w:b/>
          <w:bCs/>
          <w:color w:val="auto"/>
          <w:kern w:val="0"/>
          <w:sz w:val="32"/>
          <w:szCs w:val="32"/>
          <w:highlight w:val="none"/>
          <w:lang w:val="en-US" w:eastAsia="zh-CN" w:bidi="ar-SA"/>
        </w:rPr>
        <w:t>财政投入相关性</w:t>
      </w:r>
      <w:bookmarkEnd w:id="31"/>
    </w:p>
    <w:p w14:paraId="684265D1">
      <w:pPr>
        <w:pStyle w:val="16"/>
        <w:pageBreakBefore w:val="0"/>
        <w:kinsoku/>
        <w:wordWrap/>
        <w:overflowPunct/>
        <w:topLinePunct w:val="0"/>
        <w:autoSpaceDE/>
        <w:autoSpaceDN/>
        <w:bidi w:val="0"/>
        <w:adjustRightInd/>
        <w:snapToGrid/>
        <w:spacing w:after="0" w:line="560" w:lineRule="exact"/>
        <w:ind w:left="0" w:leftChars="0" w:firstLine="640" w:firstLineChars="200"/>
        <w:textAlignment w:val="auto"/>
        <w:rPr>
          <w:rFonts w:hint="default" w:ascii="Times New Roman" w:hAnsi="Times New Roman" w:eastAsia="仿宋_GB2312" w:cs="Times New Roman"/>
          <w:color w:val="auto"/>
          <w:sz w:val="32"/>
          <w:szCs w:val="32"/>
          <w:lang w:val="en-US" w:eastAsia="zh-CN"/>
        </w:rPr>
      </w:pPr>
      <w:r>
        <w:rPr>
          <w:rFonts w:hint="eastAsia" w:ascii="仿宋_GB2312" w:hAnsi="仿宋_GB2312" w:eastAsia="仿宋_GB2312" w:cs="仿宋_GB2312"/>
          <w:color w:val="auto"/>
          <w:kern w:val="0"/>
          <w:sz w:val="32"/>
          <w:szCs w:val="32"/>
          <w:highlight w:val="none"/>
          <w:lang w:val="en-US" w:eastAsia="zh-CN" w:bidi="ar-SA"/>
        </w:rPr>
        <w:t>石狮市跨境电商品牌培育全流程服务</w:t>
      </w:r>
      <w:r>
        <w:rPr>
          <w:rFonts w:hint="default" w:ascii="Times New Roman" w:hAnsi="Times New Roman" w:eastAsia="仿宋_GB2312" w:cs="Times New Roman"/>
          <w:color w:val="auto"/>
          <w:sz w:val="32"/>
          <w:szCs w:val="32"/>
          <w:lang w:val="en-US" w:eastAsia="zh-CN"/>
        </w:rPr>
        <w:t>全面整合跨境电商领域各方面资源，围绕形成一站式服务的总体要求，目的是丰富完善跨境综合服务水平，组织各类跨境电商活动，引导辖区传统外贸、生产制造和商贸流通企业，拓展跨境电商业务，进一步优化壮大石狮跨境电商产业生态。</w:t>
      </w:r>
      <w:r>
        <w:rPr>
          <w:rFonts w:hint="eastAsia" w:ascii="Times New Roman" w:hAnsi="Times New Roman" w:eastAsia="仿宋_GB2312" w:cs="Times New Roman"/>
          <w:color w:val="auto"/>
          <w:sz w:val="32"/>
          <w:szCs w:val="32"/>
          <w:lang w:val="en-US" w:eastAsia="zh-CN"/>
        </w:rPr>
        <w:t>本项目通过</w:t>
      </w:r>
      <w:r>
        <w:rPr>
          <w:rFonts w:hint="default" w:ascii="Times New Roman" w:hAnsi="Times New Roman" w:eastAsia="仿宋_GB2312" w:cs="Times New Roman"/>
          <w:color w:val="auto"/>
          <w:sz w:val="32"/>
          <w:szCs w:val="32"/>
          <w:lang w:val="en-US" w:eastAsia="zh-CN"/>
        </w:rPr>
        <w:t>跨境电商领域的多数企业而非个别企业</w:t>
      </w:r>
      <w:r>
        <w:rPr>
          <w:rFonts w:hint="eastAsia" w:ascii="Times New Roman" w:hAnsi="Times New Roman" w:eastAsia="仿宋_GB2312" w:cs="Times New Roman"/>
          <w:color w:val="auto"/>
          <w:sz w:val="32"/>
          <w:szCs w:val="32"/>
          <w:lang w:val="en-US" w:eastAsia="zh-CN"/>
        </w:rPr>
        <w:t>，以</w:t>
      </w:r>
      <w:r>
        <w:rPr>
          <w:rFonts w:hint="default" w:ascii="Times New Roman" w:hAnsi="Times New Roman" w:eastAsia="仿宋_GB2312" w:cs="Times New Roman"/>
          <w:color w:val="auto"/>
          <w:sz w:val="32"/>
          <w:szCs w:val="32"/>
          <w:lang w:val="en-US" w:eastAsia="zh-CN"/>
        </w:rPr>
        <w:t>推动整个行业升级、提升区域外贸竞争力等公共目标为导向，而非仅为少数企业的品牌盈利服务</w:t>
      </w:r>
      <w:r>
        <w:rPr>
          <w:rFonts w:hint="eastAsia" w:ascii="Times New Roman" w:hAnsi="Times New Roman" w:eastAsia="仿宋_GB2312" w:cs="Times New Roman"/>
          <w:color w:val="auto"/>
          <w:sz w:val="32"/>
          <w:szCs w:val="32"/>
          <w:lang w:val="en-US" w:eastAsia="zh-CN"/>
        </w:rPr>
        <w:t>，</w:t>
      </w:r>
      <w:r>
        <w:rPr>
          <w:rFonts w:hint="default" w:ascii="Times New Roman" w:hAnsi="Times New Roman" w:eastAsia="仿宋_GB2312" w:cs="Times New Roman"/>
          <w:color w:val="auto"/>
          <w:sz w:val="32"/>
          <w:szCs w:val="32"/>
          <w:lang w:val="en-US" w:eastAsia="zh-CN"/>
        </w:rPr>
        <w:t>具备公共性的核心属性。</w:t>
      </w:r>
    </w:p>
    <w:p w14:paraId="2B58D91D">
      <w:pPr>
        <w:pStyle w:val="16"/>
        <w:pageBreakBefore w:val="0"/>
        <w:kinsoku/>
        <w:wordWrap/>
        <w:overflowPunct/>
        <w:topLinePunct w:val="0"/>
        <w:autoSpaceDE/>
        <w:autoSpaceDN/>
        <w:bidi w:val="0"/>
        <w:adjustRightInd/>
        <w:snapToGrid/>
        <w:spacing w:after="0" w:line="560" w:lineRule="exact"/>
        <w:ind w:left="0" w:leftChars="0" w:firstLine="640" w:firstLineChars="200"/>
        <w:textAlignment w:val="auto"/>
        <w:rPr>
          <w:rFonts w:hint="eastAsia" w:ascii="Times New Roman" w:hAnsi="Times New Roman" w:eastAsia="仿宋_GB2312" w:cs="Times New Roman"/>
          <w:color w:val="auto"/>
          <w:sz w:val="32"/>
          <w:szCs w:val="32"/>
          <w:lang w:val="en-US" w:eastAsia="zh-CN"/>
        </w:rPr>
      </w:pPr>
      <w:r>
        <w:rPr>
          <w:rFonts w:hint="eastAsia" w:ascii="Times New Roman" w:hAnsi="Times New Roman" w:eastAsia="仿宋_GB2312" w:cs="Times New Roman"/>
          <w:color w:val="auto"/>
          <w:sz w:val="32"/>
          <w:szCs w:val="32"/>
          <w:lang w:val="en-US" w:eastAsia="zh-CN"/>
        </w:rPr>
        <w:t>因此，</w:t>
      </w:r>
      <w:r>
        <w:rPr>
          <w:rFonts w:hint="default" w:ascii="Times New Roman" w:hAnsi="Times New Roman" w:eastAsia="仿宋_GB2312" w:cs="Times New Roman"/>
          <w:color w:val="auto"/>
          <w:sz w:val="32"/>
          <w:szCs w:val="32"/>
          <w:lang w:val="en-US" w:eastAsia="zh-CN"/>
        </w:rPr>
        <w:t>跨境电商品牌培育全流程</w:t>
      </w:r>
      <w:r>
        <w:rPr>
          <w:rFonts w:hint="eastAsia" w:ascii="Times New Roman" w:hAnsi="Times New Roman" w:eastAsia="仿宋_GB2312" w:cs="Times New Roman"/>
          <w:color w:val="auto"/>
          <w:sz w:val="32"/>
          <w:szCs w:val="32"/>
          <w:lang w:val="en-US" w:eastAsia="zh-CN"/>
        </w:rPr>
        <w:t>服务</w:t>
      </w:r>
      <w:r>
        <w:rPr>
          <w:rFonts w:hint="default" w:ascii="Times New Roman" w:hAnsi="Times New Roman" w:eastAsia="仿宋_GB2312" w:cs="Times New Roman"/>
          <w:color w:val="auto"/>
          <w:sz w:val="32"/>
          <w:szCs w:val="32"/>
          <w:lang w:val="en-US" w:eastAsia="zh-CN"/>
        </w:rPr>
        <w:t>不仅具备公共性，更是公共财政在数字经济时代履行资源配置职能的重要载体。其可持续发展</w:t>
      </w:r>
      <w:r>
        <w:rPr>
          <w:rFonts w:hint="eastAsia" w:ascii="Times New Roman" w:hAnsi="Times New Roman" w:eastAsia="仿宋_GB2312" w:cs="Times New Roman"/>
          <w:color w:val="auto"/>
          <w:sz w:val="32"/>
          <w:szCs w:val="32"/>
          <w:lang w:val="en-US" w:eastAsia="zh-CN"/>
        </w:rPr>
        <w:t>需要</w:t>
      </w:r>
      <w:r>
        <w:rPr>
          <w:rFonts w:hint="default" w:ascii="Times New Roman" w:hAnsi="Times New Roman" w:eastAsia="仿宋_GB2312" w:cs="Times New Roman"/>
          <w:color w:val="auto"/>
          <w:sz w:val="32"/>
          <w:szCs w:val="32"/>
          <w:lang w:val="en-US" w:eastAsia="zh-CN"/>
        </w:rPr>
        <w:t>依赖政策的精准性、资金使用的透明性和效果评估的科学性，以实现公共资源的最优配置。项目有明显的经济、社会、环境或可持续性效益</w:t>
      </w:r>
      <w:r>
        <w:rPr>
          <w:rFonts w:hint="eastAsia" w:ascii="Times New Roman" w:hAnsi="Times New Roman" w:eastAsia="仿宋_GB2312" w:cs="Times New Roman"/>
          <w:color w:val="auto"/>
          <w:sz w:val="32"/>
          <w:szCs w:val="32"/>
          <w:lang w:val="en-US" w:eastAsia="zh-CN"/>
        </w:rPr>
        <w:t>，</w:t>
      </w:r>
      <w:r>
        <w:rPr>
          <w:rFonts w:hint="default" w:ascii="Times New Roman" w:hAnsi="Times New Roman" w:eastAsia="仿宋_GB2312" w:cs="Times New Roman"/>
          <w:color w:val="auto"/>
          <w:sz w:val="32"/>
          <w:szCs w:val="32"/>
          <w:lang w:val="en-US" w:eastAsia="zh-CN"/>
        </w:rPr>
        <w:t>根据评分规则，满分</w:t>
      </w:r>
      <w:r>
        <w:rPr>
          <w:rFonts w:hint="eastAsia" w:ascii="Times New Roman" w:hAnsi="Times New Roman" w:eastAsia="仿宋_GB2312" w:cs="Times New Roman"/>
          <w:color w:val="auto"/>
          <w:sz w:val="32"/>
          <w:szCs w:val="32"/>
          <w:lang w:val="en-US" w:eastAsia="zh-CN"/>
        </w:rPr>
        <w:t>3</w:t>
      </w:r>
      <w:r>
        <w:rPr>
          <w:rFonts w:hint="default" w:ascii="Times New Roman" w:hAnsi="Times New Roman" w:eastAsia="仿宋_GB2312" w:cs="Times New Roman"/>
          <w:color w:val="auto"/>
          <w:sz w:val="32"/>
          <w:szCs w:val="32"/>
          <w:lang w:val="en-US" w:eastAsia="zh-CN"/>
        </w:rPr>
        <w:t>分，得</w:t>
      </w:r>
      <w:r>
        <w:rPr>
          <w:rFonts w:hint="eastAsia" w:ascii="Times New Roman" w:hAnsi="Times New Roman" w:eastAsia="仿宋_GB2312" w:cs="Times New Roman"/>
          <w:color w:val="auto"/>
          <w:sz w:val="32"/>
          <w:szCs w:val="32"/>
          <w:lang w:val="en-US" w:eastAsia="zh-CN"/>
        </w:rPr>
        <w:t>3</w:t>
      </w:r>
      <w:r>
        <w:rPr>
          <w:rFonts w:hint="default" w:ascii="Times New Roman" w:hAnsi="Times New Roman" w:eastAsia="仿宋_GB2312" w:cs="Times New Roman"/>
          <w:color w:val="auto"/>
          <w:sz w:val="32"/>
          <w:szCs w:val="32"/>
          <w:lang w:val="en-US" w:eastAsia="zh-CN"/>
        </w:rPr>
        <w:t>分。</w:t>
      </w:r>
    </w:p>
    <w:p w14:paraId="4AEB5BBB">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1"/>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pPr>
      <w:bookmarkStart w:id="32" w:name="_Toc30148"/>
      <w:r>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t>（</w:t>
      </w:r>
      <w:r>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t>二</w:t>
      </w:r>
      <w:r>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t>）</w:t>
      </w:r>
      <w:r>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t>投入经济性</w:t>
      </w:r>
      <w:bookmarkEnd w:id="32"/>
    </w:p>
    <w:p w14:paraId="3589422E">
      <w:pPr>
        <w:keepNext w:val="0"/>
        <w:keepLines w:val="0"/>
        <w:pageBreakBefore w:val="0"/>
        <w:kinsoku/>
        <w:wordWrap/>
        <w:overflowPunct/>
        <w:topLinePunct w:val="0"/>
        <w:autoSpaceDE/>
        <w:autoSpaceDN/>
        <w:bidi w:val="0"/>
        <w:adjustRightInd/>
        <w:snapToGrid/>
        <w:spacing w:line="560" w:lineRule="exact"/>
        <w:ind w:firstLine="562" w:firstLineChars="200"/>
        <w:jc w:val="center"/>
        <w:textAlignment w:val="auto"/>
        <w:rPr>
          <w:rFonts w:hint="eastAsia" w:ascii="仿宋" w:hAnsi="仿宋" w:eastAsia="仿宋" w:cs="仿宋"/>
          <w:b/>
          <w:bCs/>
          <w:kern w:val="2"/>
          <w:sz w:val="28"/>
          <w:szCs w:val="28"/>
          <w:lang w:val="en-US" w:eastAsia="zh-CN" w:bidi="ar-SA"/>
        </w:rPr>
      </w:pPr>
      <w:r>
        <w:rPr>
          <w:rFonts w:hint="eastAsia" w:ascii="仿宋" w:hAnsi="仿宋" w:eastAsia="仿宋" w:cs="仿宋"/>
          <w:b/>
          <w:bCs/>
          <w:kern w:val="2"/>
          <w:sz w:val="28"/>
          <w:szCs w:val="28"/>
          <w:lang w:val="en-US" w:eastAsia="zh-CN" w:bidi="ar-SA"/>
        </w:rPr>
        <w:t>表5：项目投入经济性得分情况</w:t>
      </w:r>
    </w:p>
    <w:tbl>
      <w:tblPr>
        <w:tblStyle w:val="17"/>
        <w:tblW w:w="73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453"/>
        <w:gridCol w:w="1613"/>
        <w:gridCol w:w="2405"/>
        <w:gridCol w:w="825"/>
        <w:gridCol w:w="1065"/>
      </w:tblGrid>
      <w:tr w14:paraId="14D8C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19" w:hRule="atLeast"/>
          <w:tblHeader/>
          <w:jc w:val="center"/>
        </w:trPr>
        <w:tc>
          <w:tcPr>
            <w:tcW w:w="1453" w:type="dxa"/>
            <w:shd w:val="clear" w:color="auto" w:fill="D7D7D7" w:themeFill="background1" w:themeFillShade="D8"/>
            <w:vAlign w:val="center"/>
          </w:tcPr>
          <w:p w14:paraId="51515050">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一级指标</w:t>
            </w:r>
          </w:p>
        </w:tc>
        <w:tc>
          <w:tcPr>
            <w:tcW w:w="1613" w:type="dxa"/>
            <w:shd w:val="clear" w:color="auto" w:fill="D7D7D7" w:themeFill="background1" w:themeFillShade="D8"/>
            <w:vAlign w:val="center"/>
          </w:tcPr>
          <w:p w14:paraId="1DBCC68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二级指标</w:t>
            </w:r>
          </w:p>
        </w:tc>
        <w:tc>
          <w:tcPr>
            <w:tcW w:w="2405" w:type="dxa"/>
            <w:shd w:val="clear" w:color="auto" w:fill="D7D7D7" w:themeFill="background1" w:themeFillShade="D8"/>
            <w:vAlign w:val="center"/>
          </w:tcPr>
          <w:p w14:paraId="21C33162">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三级指标</w:t>
            </w:r>
          </w:p>
        </w:tc>
        <w:tc>
          <w:tcPr>
            <w:tcW w:w="825" w:type="dxa"/>
            <w:shd w:val="clear" w:color="auto" w:fill="D7D7D7" w:themeFill="background1" w:themeFillShade="D8"/>
            <w:vAlign w:val="center"/>
          </w:tcPr>
          <w:p w14:paraId="6D497D21">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权重</w:t>
            </w:r>
          </w:p>
        </w:tc>
        <w:tc>
          <w:tcPr>
            <w:tcW w:w="1065" w:type="dxa"/>
            <w:shd w:val="clear" w:color="auto" w:fill="D7D7D7" w:themeFill="background1" w:themeFillShade="D8"/>
            <w:vAlign w:val="center"/>
          </w:tcPr>
          <w:p w14:paraId="297EB0A5">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得分</w:t>
            </w:r>
          </w:p>
        </w:tc>
      </w:tr>
      <w:tr w14:paraId="47870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453" w:type="dxa"/>
            <w:vMerge w:val="restart"/>
            <w:shd w:val="clear" w:color="auto" w:fill="auto"/>
            <w:vAlign w:val="center"/>
          </w:tcPr>
          <w:p w14:paraId="05F2D603">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投入经济性（20）</w:t>
            </w:r>
          </w:p>
        </w:tc>
        <w:tc>
          <w:tcPr>
            <w:tcW w:w="1613" w:type="dxa"/>
            <w:vMerge w:val="restart"/>
            <w:shd w:val="clear" w:color="auto" w:fill="auto"/>
            <w:vAlign w:val="center"/>
          </w:tcPr>
          <w:p w14:paraId="34D73E5A">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预算投入合理性（11）</w:t>
            </w:r>
          </w:p>
        </w:tc>
        <w:tc>
          <w:tcPr>
            <w:tcW w:w="2405" w:type="dxa"/>
            <w:shd w:val="clear" w:color="auto" w:fill="auto"/>
            <w:vAlign w:val="center"/>
          </w:tcPr>
          <w:p w14:paraId="450B0222">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预算编制完备性</w:t>
            </w:r>
          </w:p>
        </w:tc>
        <w:tc>
          <w:tcPr>
            <w:tcW w:w="825" w:type="dxa"/>
            <w:shd w:val="clear" w:color="auto" w:fill="auto"/>
            <w:noWrap/>
            <w:vAlign w:val="center"/>
          </w:tcPr>
          <w:p w14:paraId="47E58281">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6</w:t>
            </w:r>
          </w:p>
        </w:tc>
        <w:tc>
          <w:tcPr>
            <w:tcW w:w="1065" w:type="dxa"/>
            <w:shd w:val="clear" w:color="auto" w:fill="auto"/>
            <w:noWrap/>
            <w:vAlign w:val="center"/>
          </w:tcPr>
          <w:p w14:paraId="6329DF26">
            <w:pPr>
              <w:keepNext w:val="0"/>
              <w:keepLines w:val="0"/>
              <w:widowControl/>
              <w:suppressLineNumbers w:val="0"/>
              <w:jc w:val="center"/>
              <w:textAlignment w:val="center"/>
              <w:rPr>
                <w:rFonts w:hint="default"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6</w:t>
            </w:r>
          </w:p>
        </w:tc>
      </w:tr>
      <w:tr w14:paraId="642EE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1453" w:type="dxa"/>
            <w:vMerge w:val="continue"/>
            <w:shd w:val="clear" w:color="auto" w:fill="auto"/>
            <w:vAlign w:val="center"/>
          </w:tcPr>
          <w:p w14:paraId="2F971007">
            <w:pPr>
              <w:jc w:val="center"/>
              <w:rPr>
                <w:rFonts w:hint="eastAsia" w:ascii="仿宋" w:hAnsi="仿宋" w:eastAsia="仿宋" w:cs="仿宋"/>
                <w:b w:val="0"/>
                <w:bCs w:val="0"/>
                <w:i w:val="0"/>
                <w:iCs w:val="0"/>
                <w:color w:val="000000"/>
                <w:kern w:val="0"/>
                <w:sz w:val="24"/>
                <w:szCs w:val="24"/>
                <w:u w:val="none"/>
                <w:lang w:val="en-US" w:eastAsia="zh-CN" w:bidi="ar"/>
              </w:rPr>
            </w:pPr>
          </w:p>
        </w:tc>
        <w:tc>
          <w:tcPr>
            <w:tcW w:w="1613" w:type="dxa"/>
            <w:vMerge w:val="continue"/>
            <w:shd w:val="clear" w:color="auto" w:fill="auto"/>
            <w:vAlign w:val="center"/>
          </w:tcPr>
          <w:p w14:paraId="146E6978">
            <w:pPr>
              <w:jc w:val="center"/>
              <w:rPr>
                <w:rFonts w:hint="eastAsia" w:ascii="仿宋" w:hAnsi="仿宋" w:eastAsia="仿宋" w:cs="仿宋"/>
                <w:b w:val="0"/>
                <w:bCs w:val="0"/>
                <w:i w:val="0"/>
                <w:iCs w:val="0"/>
                <w:color w:val="000000"/>
                <w:kern w:val="0"/>
                <w:sz w:val="24"/>
                <w:szCs w:val="24"/>
                <w:u w:val="none"/>
                <w:lang w:val="en-US" w:eastAsia="zh-CN" w:bidi="ar"/>
              </w:rPr>
            </w:pPr>
          </w:p>
        </w:tc>
        <w:tc>
          <w:tcPr>
            <w:tcW w:w="2405" w:type="dxa"/>
            <w:shd w:val="clear" w:color="auto" w:fill="auto"/>
            <w:vAlign w:val="center"/>
          </w:tcPr>
          <w:p w14:paraId="19C6181D">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预算编制合理性</w:t>
            </w:r>
          </w:p>
        </w:tc>
        <w:tc>
          <w:tcPr>
            <w:tcW w:w="825" w:type="dxa"/>
            <w:shd w:val="clear" w:color="auto" w:fill="auto"/>
            <w:noWrap/>
            <w:vAlign w:val="center"/>
          </w:tcPr>
          <w:p w14:paraId="5408AAE0">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5</w:t>
            </w:r>
          </w:p>
        </w:tc>
        <w:tc>
          <w:tcPr>
            <w:tcW w:w="1065" w:type="dxa"/>
            <w:shd w:val="clear" w:color="auto" w:fill="auto"/>
            <w:noWrap/>
            <w:vAlign w:val="center"/>
          </w:tcPr>
          <w:p w14:paraId="491CB837">
            <w:pPr>
              <w:keepNext w:val="0"/>
              <w:keepLines w:val="0"/>
              <w:widowControl/>
              <w:suppressLineNumbers w:val="0"/>
              <w:jc w:val="center"/>
              <w:textAlignment w:val="center"/>
              <w:rPr>
                <w:rFonts w:hint="default"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3</w:t>
            </w:r>
          </w:p>
        </w:tc>
      </w:tr>
      <w:tr w14:paraId="30028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1453" w:type="dxa"/>
            <w:vMerge w:val="continue"/>
            <w:shd w:val="clear" w:color="auto" w:fill="auto"/>
            <w:vAlign w:val="center"/>
          </w:tcPr>
          <w:p w14:paraId="5E0A512E">
            <w:pPr>
              <w:jc w:val="center"/>
              <w:rPr>
                <w:rFonts w:hint="eastAsia" w:ascii="仿宋" w:hAnsi="仿宋" w:eastAsia="仿宋" w:cs="仿宋"/>
                <w:b w:val="0"/>
                <w:bCs w:val="0"/>
                <w:i w:val="0"/>
                <w:iCs w:val="0"/>
                <w:color w:val="000000"/>
                <w:kern w:val="0"/>
                <w:sz w:val="24"/>
                <w:szCs w:val="24"/>
                <w:u w:val="none"/>
                <w:lang w:val="en-US" w:eastAsia="zh-CN" w:bidi="ar"/>
              </w:rPr>
            </w:pPr>
          </w:p>
        </w:tc>
        <w:tc>
          <w:tcPr>
            <w:tcW w:w="1613" w:type="dxa"/>
            <w:vMerge w:val="restart"/>
            <w:shd w:val="clear" w:color="auto" w:fill="auto"/>
            <w:vAlign w:val="center"/>
          </w:tcPr>
          <w:p w14:paraId="7C118D8F">
            <w:pPr>
              <w:keepNext w:val="0"/>
              <w:keepLines w:val="0"/>
              <w:widowControl/>
              <w:suppressLineNumbers w:val="0"/>
              <w:jc w:val="center"/>
              <w:textAlignment w:val="center"/>
              <w:rPr>
                <w:rFonts w:hint="default"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预算成本控制有效性（9）</w:t>
            </w:r>
          </w:p>
        </w:tc>
        <w:tc>
          <w:tcPr>
            <w:tcW w:w="2405" w:type="dxa"/>
            <w:shd w:val="clear" w:color="auto" w:fill="auto"/>
            <w:vAlign w:val="center"/>
          </w:tcPr>
          <w:p w14:paraId="150CC1A9">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成本控制措施完备性</w:t>
            </w:r>
          </w:p>
        </w:tc>
        <w:tc>
          <w:tcPr>
            <w:tcW w:w="825" w:type="dxa"/>
            <w:shd w:val="clear" w:color="auto" w:fill="auto"/>
            <w:noWrap/>
            <w:vAlign w:val="center"/>
          </w:tcPr>
          <w:p w14:paraId="64246A75">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6</w:t>
            </w:r>
          </w:p>
        </w:tc>
        <w:tc>
          <w:tcPr>
            <w:tcW w:w="1065" w:type="dxa"/>
            <w:shd w:val="clear" w:color="auto" w:fill="auto"/>
            <w:noWrap/>
            <w:vAlign w:val="center"/>
          </w:tcPr>
          <w:p w14:paraId="412A4780">
            <w:pPr>
              <w:keepNext w:val="0"/>
              <w:keepLines w:val="0"/>
              <w:widowControl/>
              <w:suppressLineNumbers w:val="0"/>
              <w:jc w:val="center"/>
              <w:textAlignment w:val="center"/>
              <w:rPr>
                <w:rFonts w:hint="default"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6</w:t>
            </w:r>
          </w:p>
        </w:tc>
      </w:tr>
      <w:tr w14:paraId="2645D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1453" w:type="dxa"/>
            <w:vMerge w:val="continue"/>
            <w:shd w:val="clear" w:color="auto" w:fill="auto"/>
            <w:vAlign w:val="center"/>
          </w:tcPr>
          <w:p w14:paraId="04609A4D">
            <w:pPr>
              <w:jc w:val="center"/>
              <w:rPr>
                <w:rFonts w:hint="eastAsia" w:ascii="仿宋" w:hAnsi="仿宋" w:eastAsia="仿宋" w:cs="仿宋"/>
                <w:b w:val="0"/>
                <w:bCs w:val="0"/>
                <w:i w:val="0"/>
                <w:iCs w:val="0"/>
                <w:color w:val="000000"/>
                <w:kern w:val="0"/>
                <w:sz w:val="24"/>
                <w:szCs w:val="24"/>
                <w:u w:val="none"/>
                <w:lang w:val="en-US" w:eastAsia="zh-CN" w:bidi="ar"/>
              </w:rPr>
            </w:pPr>
          </w:p>
        </w:tc>
        <w:tc>
          <w:tcPr>
            <w:tcW w:w="1613" w:type="dxa"/>
            <w:vMerge w:val="continue"/>
            <w:shd w:val="clear" w:color="auto" w:fill="auto"/>
            <w:vAlign w:val="center"/>
          </w:tcPr>
          <w:p w14:paraId="56809A7C">
            <w:pPr>
              <w:jc w:val="center"/>
              <w:rPr>
                <w:rFonts w:hint="eastAsia" w:ascii="仿宋" w:hAnsi="仿宋" w:eastAsia="仿宋" w:cs="仿宋"/>
                <w:b w:val="0"/>
                <w:bCs w:val="0"/>
                <w:i w:val="0"/>
                <w:iCs w:val="0"/>
                <w:color w:val="000000"/>
                <w:kern w:val="0"/>
                <w:sz w:val="24"/>
                <w:szCs w:val="24"/>
                <w:u w:val="none"/>
                <w:lang w:val="en-US" w:eastAsia="zh-CN" w:bidi="ar"/>
              </w:rPr>
            </w:pPr>
          </w:p>
        </w:tc>
        <w:tc>
          <w:tcPr>
            <w:tcW w:w="2405" w:type="dxa"/>
            <w:shd w:val="clear" w:color="auto" w:fill="auto"/>
            <w:vAlign w:val="center"/>
          </w:tcPr>
          <w:p w14:paraId="09F2D139">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成本控制措施有效性</w:t>
            </w:r>
          </w:p>
        </w:tc>
        <w:tc>
          <w:tcPr>
            <w:tcW w:w="825" w:type="dxa"/>
            <w:shd w:val="clear" w:color="auto" w:fill="auto"/>
            <w:noWrap/>
            <w:vAlign w:val="center"/>
          </w:tcPr>
          <w:p w14:paraId="362ED467">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3</w:t>
            </w:r>
          </w:p>
        </w:tc>
        <w:tc>
          <w:tcPr>
            <w:tcW w:w="1065" w:type="dxa"/>
            <w:shd w:val="clear" w:color="auto" w:fill="auto"/>
            <w:noWrap/>
            <w:vAlign w:val="center"/>
          </w:tcPr>
          <w:p w14:paraId="5035486A">
            <w:pPr>
              <w:keepNext w:val="0"/>
              <w:keepLines w:val="0"/>
              <w:widowControl/>
              <w:suppressLineNumbers w:val="0"/>
              <w:jc w:val="center"/>
              <w:textAlignment w:val="center"/>
              <w:rPr>
                <w:rFonts w:hint="default"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1</w:t>
            </w:r>
          </w:p>
        </w:tc>
      </w:tr>
    </w:tbl>
    <w:p w14:paraId="242A271E">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项目投入经济性方面，指标总分20分，石狮市跨境电商品牌培育全流程服务评估得分为16分。具体如下：</w:t>
      </w:r>
    </w:p>
    <w:p w14:paraId="0485025F">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eastAsia" w:ascii="仿宋_GB2312" w:hAnsi="仿宋_GB2312" w:eastAsia="仿宋_GB2312" w:cs="仿宋_GB2312"/>
          <w:b/>
          <w:bCs/>
          <w:color w:val="auto"/>
          <w:kern w:val="0"/>
          <w:sz w:val="32"/>
          <w:szCs w:val="32"/>
          <w:highlight w:val="none"/>
          <w:lang w:val="en-US" w:eastAsia="zh-CN" w:bidi="ar-SA"/>
        </w:rPr>
      </w:pPr>
      <w:bookmarkStart w:id="33" w:name="_Toc17921"/>
      <w:bookmarkStart w:id="34" w:name="_Toc10566"/>
      <w:r>
        <w:rPr>
          <w:rFonts w:hint="eastAsia" w:ascii="仿宋_GB2312" w:hAnsi="仿宋_GB2312" w:eastAsia="仿宋_GB2312" w:cs="仿宋_GB2312"/>
          <w:b/>
          <w:bCs/>
          <w:color w:val="auto"/>
          <w:kern w:val="0"/>
          <w:sz w:val="32"/>
          <w:szCs w:val="32"/>
          <w:highlight w:val="none"/>
          <w:lang w:val="en-US" w:eastAsia="zh-CN" w:bidi="ar-SA"/>
        </w:rPr>
        <w:t>1.</w:t>
      </w:r>
      <w:bookmarkEnd w:id="33"/>
      <w:r>
        <w:rPr>
          <w:rFonts w:hint="eastAsia" w:ascii="仿宋_GB2312" w:hAnsi="仿宋_GB2312" w:eastAsia="仿宋_GB2312" w:cs="仿宋_GB2312"/>
          <w:b/>
          <w:bCs/>
          <w:color w:val="auto"/>
          <w:kern w:val="0"/>
          <w:sz w:val="32"/>
          <w:szCs w:val="32"/>
          <w:highlight w:val="none"/>
          <w:lang w:val="en-US" w:eastAsia="zh-CN" w:bidi="ar-SA"/>
        </w:rPr>
        <w:t>预算投入合理性</w:t>
      </w:r>
      <w:bookmarkEnd w:id="34"/>
    </w:p>
    <w:p w14:paraId="103575A2">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为确定项目建设成本，石狮市商务局委托福建云锋招标有限公司，根据《中华人民共和国政府采购法》等有关规定，对“石狮市跨境电商品牌培育全流程服务”项目采购控制价进行预询价，获取本项目的预算金额。根据询价函具体内容，项目涵盖基础服务、进阶主体孵化、数据服务平台、实地实体实操及人才建设五大模块，每个模块均细化至具体服务指标（如企业走访量、孵化数量、活动场次等），无显著缺项。测算指标与项目服务内容紧密挂钩，如基础服务模块明确“每年走访50家企业”“建立企业数据库”等量化目标，进阶孵化模块设定“三年销售额增长总量分阶段达标”等可验证指标，数据真实客观，测算依据充分，评价认为预算编制具备完备性。</w:t>
      </w:r>
    </w:p>
    <w:p w14:paraId="54AB2ABD">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通过委托专业招标机构开展市场询价，根据《中华人民共和国政府采购法》等有关规定获取三家供应商报价（897.5万元-898.8万元），按此目标测算，每年度预算符合最高不超过300万元/年。但三家报价企业河北乐猫网络科技有限公司（8981500元）、南京捷盛物业管理有限公司（8975000元）、浙江国贸数字科技有限公司（8988000元）业务领域差异显著。河北乐猫网络科技有限公司核心业务：软件开发、软件销售、信息系统运行维护、物联网应用服务、大数据服务、供应链管理等；南京捷盛物业管理有限公司核心业务：物业管理、停车场服务、家政服务、专业保洁、信息咨询服务等。两家企业与跨境电商相关业务关联性低，在跨境电商核心服务（如品牌孵化）方面的能力与经验可能不足。浙江国贸数字科技有限公司是国家级跨境电商服务标准化试点企业，是浙江省商务厅认定的唯一跨境电商综合服务平台，服务覆盖全球20+主流电商平台，累计孵化企业超2800家，拥有独立站建设、品牌营销、合规运营等全链路服务能力。专注于跨境电商全流程服务，旗下“麒麟计划”整合国内外资源，提供全球开店、品牌推广、供应链服务、政府合规支持等六大服务体系，直接覆盖跨境电商品牌培育全流程。</w:t>
      </w:r>
      <w:r>
        <w:rPr>
          <w:rFonts w:hint="eastAsia" w:ascii="仿宋_GB2312" w:hAnsi="仿宋_GB2312" w:eastAsia="仿宋_GB2312" w:cs="仿宋_GB2312"/>
          <w:b/>
          <w:bCs/>
          <w:color w:val="auto"/>
          <w:kern w:val="0"/>
          <w:sz w:val="32"/>
          <w:szCs w:val="32"/>
          <w:highlight w:val="none"/>
          <w:lang w:val="en-US" w:eastAsia="zh-CN" w:bidi="ar-SA"/>
        </w:rPr>
        <w:t>具体问题表现在：</w:t>
      </w:r>
      <w:r>
        <w:rPr>
          <w:rFonts w:hint="eastAsia" w:ascii="仿宋_GB2312" w:hAnsi="仿宋_GB2312" w:eastAsia="仿宋_GB2312" w:cs="仿宋_GB2312"/>
          <w:color w:val="auto"/>
          <w:kern w:val="0"/>
          <w:sz w:val="32"/>
          <w:szCs w:val="32"/>
          <w:highlight w:val="none"/>
          <w:lang w:val="en-US" w:eastAsia="zh-CN" w:bidi="ar-SA"/>
        </w:rPr>
        <w:t>项目实施单位在编制采购预算前，虽然按规定开展了需求调查，但仅通过线上官方网站公告这一种方式来收集供应商的意见，限制了信息的来源范围。从参与调查的供应商数量来看，最终仅有三家供应商参与其中，样本量显著不足导致所收集到的信息代表性有限。由于参与的供应商数量过少，无法全面涵盖市场上主流的供应商群体，难以触及那些潜在的优质供应商。由于样本的局限性，所收集到的关键信息（采购项目价格的合理区间、实施成本的具体构成等）不够充分、全面，无法为采购预算的编制提供准确、可靠的依据。此外，非专业供应商可能无法提供全流程服务（如国际物流、海外仓管理），影响项目效果。根据评分规则，该指标扣2分。</w:t>
      </w:r>
    </w:p>
    <w:p w14:paraId="5D894120">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上，项目通过市场询价确保成本可控，又以具体服务指标为支撑，整体上预算编制具备完备性与合理性。但参与的供应商数量过少，并且两家供应商与跨境电商相关业务关联性低，在跨境电商核心服务（如品牌孵化）方面的能力与经验可能不足，影响报价合理性。根据评分规则，该指标满分11分，扣2分，得9分。</w:t>
      </w:r>
    </w:p>
    <w:p w14:paraId="2EC8B662">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eastAsia" w:ascii="仿宋_GB2312" w:hAnsi="仿宋_GB2312" w:eastAsia="仿宋_GB2312" w:cs="仿宋_GB2312"/>
          <w:color w:val="auto"/>
          <w:kern w:val="0"/>
          <w:sz w:val="32"/>
          <w:szCs w:val="32"/>
          <w:highlight w:val="none"/>
          <w:lang w:val="en-US" w:eastAsia="zh-CN" w:bidi="ar-SA"/>
        </w:rPr>
      </w:pPr>
      <w:bookmarkStart w:id="35" w:name="_Toc8895"/>
      <w:bookmarkStart w:id="36" w:name="_Toc31937"/>
      <w:r>
        <w:rPr>
          <w:rFonts w:hint="eastAsia" w:ascii="仿宋_GB2312" w:hAnsi="仿宋_GB2312" w:eastAsia="仿宋_GB2312" w:cs="仿宋_GB2312"/>
          <w:b/>
          <w:bCs/>
          <w:color w:val="auto"/>
          <w:kern w:val="0"/>
          <w:sz w:val="32"/>
          <w:szCs w:val="32"/>
          <w:highlight w:val="none"/>
          <w:lang w:val="en-US" w:eastAsia="zh-CN" w:bidi="ar-SA"/>
        </w:rPr>
        <w:t>2.</w:t>
      </w:r>
      <w:bookmarkEnd w:id="35"/>
      <w:r>
        <w:rPr>
          <w:rFonts w:hint="eastAsia" w:ascii="仿宋_GB2312" w:hAnsi="仿宋_GB2312" w:eastAsia="仿宋_GB2312" w:cs="仿宋_GB2312"/>
          <w:b/>
          <w:bCs/>
          <w:color w:val="auto"/>
          <w:kern w:val="0"/>
          <w:sz w:val="32"/>
          <w:szCs w:val="32"/>
          <w:highlight w:val="none"/>
          <w:lang w:val="en-US" w:eastAsia="zh-CN" w:bidi="ar-SA"/>
        </w:rPr>
        <w:t>成本控制有效性</w:t>
      </w:r>
      <w:bookmarkEnd w:id="36"/>
    </w:p>
    <w:p w14:paraId="5B0C36CD">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本项目制定了基础的成本控制框架，具有成本控制措施且具有一定可操作性。通过“基础目标费用+激励目标费用”的支付结构，将成本与绩效挂钩（如超额完成部分按比例奖励），结合“未达50%完成率则不支付并追回预付款”的强约束条款，形成有效的成本风险共担机制。通过“预付款保函+财政审核”双控机制确保资金安全，结合“分阶段考核支付”模式，将成本与项目进度紧密挂钩（如未达考核目标则暂停支付），形成有效的过程管控。此外，支付比例上限（50%/100%）进一步规避资金超支风险，符合成本控制目标。</w:t>
      </w:r>
    </w:p>
    <w:p w14:paraId="15F2BE28">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但项目成本措施考虑不完善，缺乏事前预算调整预案。例如根据“石狮市跨境电商品牌培育全流程服务”2023年与2024年的专项审计结果（详见附件1），指标“培养孵化一批龙头跨境电商企业项目”和“帮助一批跨境电商新店铺出单项目”两年都未达到年度应达成数，并且在两年平均审计综合评价低于70%的情况下，2025年项目未制定相应的成本控制措施，难以有效应对历史遗留问题。根据评分规则，该指标扣2分。</w:t>
      </w:r>
    </w:p>
    <w:p w14:paraId="6AA81BE7">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综上所述，项目成本控制措施基本完备但考虑不完善，具备一定有效性但在流程细化和动态调整机制上可进一步优化。根据评分规则，满分9分，扣2分，得7分。</w:t>
      </w:r>
    </w:p>
    <w:p w14:paraId="617EDC58">
      <w:pPr>
        <w:keepNext w:val="0"/>
        <w:pageBreakBefore w:val="0"/>
        <w:widowControl w:val="0"/>
        <w:kinsoku/>
        <w:topLinePunct w:val="0"/>
        <w:bidi w:val="0"/>
        <w:spacing w:line="240" w:lineRule="auto"/>
        <w:ind w:leftChars="0" w:firstLine="643" w:firstLineChars="200"/>
        <w:jc w:val="both"/>
        <w:outlineLvl w:val="1"/>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pPr>
      <w:bookmarkStart w:id="37" w:name="_Toc15745"/>
      <w:r>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t>（三）绩效目标合理性</w:t>
      </w:r>
      <w:bookmarkEnd w:id="37"/>
    </w:p>
    <w:p w14:paraId="16EB8069">
      <w:pPr>
        <w:pageBreakBefore w:val="0"/>
        <w:kinsoku/>
        <w:wordWrap/>
        <w:overflowPunct/>
        <w:topLinePunct w:val="0"/>
        <w:autoSpaceDE/>
        <w:autoSpaceDN/>
        <w:bidi w:val="0"/>
        <w:adjustRightInd/>
        <w:snapToGrid/>
        <w:spacing w:line="360" w:lineRule="auto"/>
        <w:ind w:firstLine="562" w:firstLineChars="200"/>
        <w:jc w:val="center"/>
        <w:rPr>
          <w:rFonts w:hint="eastAsia" w:ascii="仿宋" w:hAnsi="仿宋" w:eastAsia="仿宋" w:cs="仿宋"/>
          <w:b/>
          <w:bCs/>
          <w:kern w:val="2"/>
          <w:sz w:val="28"/>
          <w:szCs w:val="28"/>
          <w:lang w:val="en-US" w:eastAsia="zh-CN" w:bidi="ar-SA"/>
        </w:rPr>
      </w:pPr>
      <w:r>
        <w:rPr>
          <w:rFonts w:hint="eastAsia" w:ascii="仿宋" w:hAnsi="仿宋" w:eastAsia="仿宋" w:cs="仿宋"/>
          <w:b/>
          <w:bCs/>
          <w:kern w:val="2"/>
          <w:sz w:val="28"/>
          <w:szCs w:val="28"/>
          <w:lang w:val="en-US" w:eastAsia="zh-CN" w:bidi="ar-SA"/>
        </w:rPr>
        <w:t>表6：绩效目标合理性得分情况</w:t>
      </w:r>
    </w:p>
    <w:tbl>
      <w:tblPr>
        <w:tblStyle w:val="17"/>
        <w:tblW w:w="73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453"/>
        <w:gridCol w:w="1613"/>
        <w:gridCol w:w="2340"/>
        <w:gridCol w:w="890"/>
        <w:gridCol w:w="1065"/>
      </w:tblGrid>
      <w:tr w14:paraId="5CEAC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19" w:hRule="atLeast"/>
          <w:tblHeader/>
          <w:jc w:val="center"/>
        </w:trPr>
        <w:tc>
          <w:tcPr>
            <w:tcW w:w="1453" w:type="dxa"/>
            <w:shd w:val="clear" w:color="auto" w:fill="D7D7D7" w:themeFill="background1" w:themeFillShade="D8"/>
            <w:vAlign w:val="center"/>
          </w:tcPr>
          <w:p w14:paraId="5F361625">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一级指标</w:t>
            </w:r>
          </w:p>
        </w:tc>
        <w:tc>
          <w:tcPr>
            <w:tcW w:w="1613" w:type="dxa"/>
            <w:shd w:val="clear" w:color="auto" w:fill="D7D7D7" w:themeFill="background1" w:themeFillShade="D8"/>
            <w:vAlign w:val="center"/>
          </w:tcPr>
          <w:p w14:paraId="6D458F4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二级指标</w:t>
            </w:r>
          </w:p>
        </w:tc>
        <w:tc>
          <w:tcPr>
            <w:tcW w:w="2340" w:type="dxa"/>
            <w:shd w:val="clear" w:color="auto" w:fill="D7D7D7" w:themeFill="background1" w:themeFillShade="D8"/>
            <w:vAlign w:val="center"/>
          </w:tcPr>
          <w:p w14:paraId="29FAB013">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三级指标</w:t>
            </w:r>
          </w:p>
        </w:tc>
        <w:tc>
          <w:tcPr>
            <w:tcW w:w="890" w:type="dxa"/>
            <w:shd w:val="clear" w:color="auto" w:fill="D7D7D7" w:themeFill="background1" w:themeFillShade="D8"/>
            <w:vAlign w:val="center"/>
          </w:tcPr>
          <w:p w14:paraId="04511281">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权重</w:t>
            </w:r>
          </w:p>
        </w:tc>
        <w:tc>
          <w:tcPr>
            <w:tcW w:w="1065" w:type="dxa"/>
            <w:shd w:val="clear" w:color="auto" w:fill="D7D7D7" w:themeFill="background1" w:themeFillShade="D8"/>
            <w:vAlign w:val="center"/>
          </w:tcPr>
          <w:p w14:paraId="6AEC13B7">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得分</w:t>
            </w:r>
          </w:p>
        </w:tc>
      </w:tr>
      <w:tr w14:paraId="6A106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453" w:type="dxa"/>
            <w:vMerge w:val="restart"/>
            <w:shd w:val="clear" w:color="auto" w:fill="auto"/>
            <w:vAlign w:val="center"/>
          </w:tcPr>
          <w:p w14:paraId="0D580C8C">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绩效目标合理性（22）</w:t>
            </w:r>
          </w:p>
        </w:tc>
        <w:tc>
          <w:tcPr>
            <w:tcW w:w="1613" w:type="dxa"/>
            <w:vMerge w:val="restart"/>
            <w:shd w:val="clear" w:color="auto" w:fill="auto"/>
            <w:vAlign w:val="center"/>
          </w:tcPr>
          <w:p w14:paraId="67BA8854">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目标明确性（8）</w:t>
            </w:r>
          </w:p>
        </w:tc>
        <w:tc>
          <w:tcPr>
            <w:tcW w:w="2340" w:type="dxa"/>
            <w:shd w:val="clear" w:color="auto" w:fill="auto"/>
            <w:vAlign w:val="center"/>
          </w:tcPr>
          <w:p w14:paraId="41234E5D">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绩效目标完备性</w:t>
            </w:r>
          </w:p>
        </w:tc>
        <w:tc>
          <w:tcPr>
            <w:tcW w:w="890" w:type="dxa"/>
            <w:shd w:val="clear" w:color="auto" w:fill="auto"/>
            <w:noWrap/>
            <w:vAlign w:val="center"/>
          </w:tcPr>
          <w:p w14:paraId="21A25492">
            <w:pPr>
              <w:jc w:val="center"/>
              <w:rPr>
                <w:rFonts w:hint="default"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2</w:t>
            </w:r>
          </w:p>
        </w:tc>
        <w:tc>
          <w:tcPr>
            <w:tcW w:w="1065" w:type="dxa"/>
            <w:shd w:val="clear" w:color="auto" w:fill="auto"/>
            <w:noWrap/>
            <w:vAlign w:val="center"/>
          </w:tcPr>
          <w:p w14:paraId="4694F2DD">
            <w:pPr>
              <w:keepNext w:val="0"/>
              <w:keepLines w:val="0"/>
              <w:widowControl/>
              <w:suppressLineNumbers w:val="0"/>
              <w:jc w:val="center"/>
              <w:textAlignment w:val="center"/>
              <w:rPr>
                <w:rFonts w:hint="default" w:ascii="仿宋" w:hAnsi="仿宋" w:eastAsia="仿宋" w:cs="仿宋"/>
                <w:i w:val="0"/>
                <w:iCs w:val="0"/>
                <w:color w:val="000000" w:themeColor="text1"/>
                <w:sz w:val="24"/>
                <w:szCs w:val="24"/>
                <w:u w:val="none"/>
                <w:lang w:val="en-US" w:eastAsia="zh-CN"/>
                <w14:textFill>
                  <w14:solidFill>
                    <w14:schemeClr w14:val="tx1"/>
                  </w14:solidFill>
                </w14:textFill>
              </w:rPr>
            </w:pPr>
            <w:r>
              <w:rPr>
                <w:rFonts w:hint="eastAsia" w:ascii="仿宋" w:hAnsi="仿宋" w:eastAsia="仿宋" w:cs="仿宋"/>
                <w:i w:val="0"/>
                <w:iCs w:val="0"/>
                <w:color w:val="000000" w:themeColor="text1"/>
                <w:sz w:val="24"/>
                <w:szCs w:val="24"/>
                <w:u w:val="none"/>
                <w:lang w:val="en-US" w:eastAsia="zh-CN"/>
                <w14:textFill>
                  <w14:solidFill>
                    <w14:schemeClr w14:val="tx1"/>
                  </w14:solidFill>
                </w14:textFill>
              </w:rPr>
              <w:t>2</w:t>
            </w:r>
          </w:p>
        </w:tc>
      </w:tr>
      <w:tr w14:paraId="7527E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1453" w:type="dxa"/>
            <w:vMerge w:val="continue"/>
            <w:shd w:val="clear" w:color="auto" w:fill="auto"/>
            <w:vAlign w:val="center"/>
          </w:tcPr>
          <w:p w14:paraId="16C3F58C">
            <w:pPr>
              <w:jc w:val="center"/>
              <w:rPr>
                <w:rFonts w:hint="eastAsia" w:ascii="仿宋" w:hAnsi="仿宋" w:eastAsia="仿宋" w:cs="仿宋"/>
                <w:b w:val="0"/>
                <w:bCs w:val="0"/>
                <w:i w:val="0"/>
                <w:iCs w:val="0"/>
                <w:color w:val="000000"/>
                <w:kern w:val="0"/>
                <w:sz w:val="24"/>
                <w:szCs w:val="24"/>
                <w:u w:val="none"/>
                <w:lang w:val="en-US" w:eastAsia="zh-CN" w:bidi="ar"/>
              </w:rPr>
            </w:pPr>
          </w:p>
        </w:tc>
        <w:tc>
          <w:tcPr>
            <w:tcW w:w="1613" w:type="dxa"/>
            <w:vMerge w:val="continue"/>
            <w:shd w:val="clear" w:color="auto" w:fill="auto"/>
            <w:vAlign w:val="center"/>
          </w:tcPr>
          <w:p w14:paraId="36C1427A">
            <w:pPr>
              <w:jc w:val="center"/>
              <w:rPr>
                <w:rFonts w:hint="eastAsia" w:ascii="仿宋" w:hAnsi="仿宋" w:eastAsia="仿宋" w:cs="仿宋"/>
                <w:b w:val="0"/>
                <w:bCs w:val="0"/>
                <w:i w:val="0"/>
                <w:iCs w:val="0"/>
                <w:color w:val="000000"/>
                <w:kern w:val="0"/>
                <w:sz w:val="24"/>
                <w:szCs w:val="24"/>
                <w:u w:val="none"/>
                <w:lang w:val="en-US" w:eastAsia="zh-CN" w:bidi="ar"/>
              </w:rPr>
            </w:pPr>
          </w:p>
        </w:tc>
        <w:tc>
          <w:tcPr>
            <w:tcW w:w="2340" w:type="dxa"/>
            <w:shd w:val="clear" w:color="auto" w:fill="auto"/>
            <w:vAlign w:val="center"/>
          </w:tcPr>
          <w:p w14:paraId="417B3DD4">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绩效目标明确性</w:t>
            </w:r>
          </w:p>
        </w:tc>
        <w:tc>
          <w:tcPr>
            <w:tcW w:w="890" w:type="dxa"/>
            <w:shd w:val="clear" w:color="auto" w:fill="auto"/>
            <w:noWrap/>
            <w:vAlign w:val="center"/>
          </w:tcPr>
          <w:p w14:paraId="198B2A9D">
            <w:pPr>
              <w:jc w:val="center"/>
              <w:rPr>
                <w:rFonts w:hint="default"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6</w:t>
            </w:r>
          </w:p>
        </w:tc>
        <w:tc>
          <w:tcPr>
            <w:tcW w:w="1065" w:type="dxa"/>
            <w:shd w:val="clear" w:color="auto" w:fill="auto"/>
            <w:noWrap/>
            <w:vAlign w:val="center"/>
          </w:tcPr>
          <w:p w14:paraId="2B4CA537">
            <w:pPr>
              <w:keepNext w:val="0"/>
              <w:keepLines w:val="0"/>
              <w:widowControl/>
              <w:suppressLineNumbers w:val="0"/>
              <w:jc w:val="center"/>
              <w:textAlignment w:val="center"/>
              <w:rPr>
                <w:rFonts w:hint="default" w:ascii="仿宋" w:hAnsi="仿宋" w:eastAsia="仿宋" w:cs="仿宋"/>
                <w:i w:val="0"/>
                <w:iCs w:val="0"/>
                <w:color w:val="000000" w:themeColor="text1"/>
                <w:sz w:val="24"/>
                <w:szCs w:val="24"/>
                <w:u w:val="none"/>
                <w:lang w:val="en-US" w:eastAsia="zh-CN"/>
                <w14:textFill>
                  <w14:solidFill>
                    <w14:schemeClr w14:val="tx1"/>
                  </w14:solidFill>
                </w14:textFill>
              </w:rPr>
            </w:pPr>
            <w:r>
              <w:rPr>
                <w:rFonts w:hint="eastAsia" w:ascii="仿宋" w:hAnsi="仿宋" w:eastAsia="仿宋" w:cs="仿宋"/>
                <w:i w:val="0"/>
                <w:iCs w:val="0"/>
                <w:color w:val="000000" w:themeColor="text1"/>
                <w:sz w:val="24"/>
                <w:szCs w:val="24"/>
                <w:u w:val="none"/>
                <w:lang w:val="en-US" w:eastAsia="zh-CN"/>
                <w14:textFill>
                  <w14:solidFill>
                    <w14:schemeClr w14:val="tx1"/>
                  </w14:solidFill>
                </w14:textFill>
              </w:rPr>
              <w:t>4</w:t>
            </w:r>
          </w:p>
        </w:tc>
      </w:tr>
      <w:tr w14:paraId="6DD00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1453" w:type="dxa"/>
            <w:vMerge w:val="continue"/>
            <w:shd w:val="clear" w:color="auto" w:fill="auto"/>
            <w:vAlign w:val="center"/>
          </w:tcPr>
          <w:p w14:paraId="78CDAB05">
            <w:pPr>
              <w:jc w:val="center"/>
              <w:rPr>
                <w:rFonts w:hint="eastAsia" w:ascii="仿宋" w:hAnsi="仿宋" w:eastAsia="仿宋" w:cs="仿宋"/>
                <w:b w:val="0"/>
                <w:bCs w:val="0"/>
                <w:i w:val="0"/>
                <w:iCs w:val="0"/>
                <w:color w:val="000000"/>
                <w:kern w:val="0"/>
                <w:sz w:val="24"/>
                <w:szCs w:val="24"/>
                <w:u w:val="none"/>
                <w:lang w:val="en-US" w:eastAsia="zh-CN" w:bidi="ar"/>
              </w:rPr>
            </w:pPr>
          </w:p>
        </w:tc>
        <w:tc>
          <w:tcPr>
            <w:tcW w:w="1613" w:type="dxa"/>
            <w:vMerge w:val="restart"/>
            <w:shd w:val="clear" w:color="auto" w:fill="auto"/>
            <w:vAlign w:val="center"/>
          </w:tcPr>
          <w:p w14:paraId="6AEECD68">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目标合理性（14）</w:t>
            </w:r>
          </w:p>
        </w:tc>
        <w:tc>
          <w:tcPr>
            <w:tcW w:w="2340" w:type="dxa"/>
            <w:shd w:val="clear" w:color="auto" w:fill="auto"/>
            <w:vAlign w:val="center"/>
          </w:tcPr>
          <w:p w14:paraId="0F3693D7">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绩效目标匹配性</w:t>
            </w:r>
          </w:p>
        </w:tc>
        <w:tc>
          <w:tcPr>
            <w:tcW w:w="890" w:type="dxa"/>
            <w:shd w:val="clear" w:color="auto" w:fill="auto"/>
            <w:noWrap/>
            <w:vAlign w:val="center"/>
          </w:tcPr>
          <w:p w14:paraId="03507491">
            <w:pPr>
              <w:jc w:val="center"/>
              <w:rPr>
                <w:rFonts w:hint="default"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6</w:t>
            </w:r>
          </w:p>
        </w:tc>
        <w:tc>
          <w:tcPr>
            <w:tcW w:w="1065" w:type="dxa"/>
            <w:shd w:val="clear" w:color="auto" w:fill="auto"/>
            <w:noWrap/>
            <w:vAlign w:val="center"/>
          </w:tcPr>
          <w:p w14:paraId="08B93250">
            <w:pPr>
              <w:keepNext w:val="0"/>
              <w:keepLines w:val="0"/>
              <w:widowControl/>
              <w:suppressLineNumbers w:val="0"/>
              <w:jc w:val="center"/>
              <w:textAlignment w:val="center"/>
              <w:rPr>
                <w:rFonts w:hint="default" w:ascii="仿宋" w:hAnsi="仿宋" w:eastAsia="仿宋" w:cs="仿宋"/>
                <w:i w:val="0"/>
                <w:iCs w:val="0"/>
                <w:color w:val="000000" w:themeColor="text1"/>
                <w:sz w:val="24"/>
                <w:szCs w:val="24"/>
                <w:u w:val="none"/>
                <w:lang w:val="en-US" w:eastAsia="zh-CN"/>
                <w14:textFill>
                  <w14:solidFill>
                    <w14:schemeClr w14:val="tx1"/>
                  </w14:solidFill>
                </w14:textFill>
              </w:rPr>
            </w:pPr>
            <w:r>
              <w:rPr>
                <w:rFonts w:hint="eastAsia" w:ascii="仿宋" w:hAnsi="仿宋" w:eastAsia="仿宋" w:cs="仿宋"/>
                <w:i w:val="0"/>
                <w:iCs w:val="0"/>
                <w:color w:val="000000" w:themeColor="text1"/>
                <w:sz w:val="24"/>
                <w:szCs w:val="24"/>
                <w:u w:val="none"/>
                <w:lang w:val="en-US" w:eastAsia="zh-CN"/>
                <w14:textFill>
                  <w14:solidFill>
                    <w14:schemeClr w14:val="tx1"/>
                  </w14:solidFill>
                </w14:textFill>
              </w:rPr>
              <w:t>5</w:t>
            </w:r>
          </w:p>
        </w:tc>
      </w:tr>
      <w:tr w14:paraId="02F9F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1453" w:type="dxa"/>
            <w:vMerge w:val="continue"/>
            <w:shd w:val="clear" w:color="auto" w:fill="auto"/>
            <w:vAlign w:val="center"/>
          </w:tcPr>
          <w:p w14:paraId="7CC856C6">
            <w:pPr>
              <w:jc w:val="center"/>
              <w:rPr>
                <w:rFonts w:hint="eastAsia" w:ascii="仿宋" w:hAnsi="仿宋" w:eastAsia="仿宋" w:cs="仿宋"/>
                <w:b w:val="0"/>
                <w:bCs w:val="0"/>
                <w:i w:val="0"/>
                <w:iCs w:val="0"/>
                <w:color w:val="000000"/>
                <w:kern w:val="0"/>
                <w:sz w:val="24"/>
                <w:szCs w:val="24"/>
                <w:u w:val="none"/>
                <w:lang w:val="en-US" w:eastAsia="zh-CN" w:bidi="ar"/>
              </w:rPr>
            </w:pPr>
          </w:p>
        </w:tc>
        <w:tc>
          <w:tcPr>
            <w:tcW w:w="1613" w:type="dxa"/>
            <w:vMerge w:val="continue"/>
            <w:shd w:val="clear" w:color="auto" w:fill="auto"/>
            <w:vAlign w:val="center"/>
          </w:tcPr>
          <w:p w14:paraId="34A4FFB7">
            <w:pPr>
              <w:jc w:val="center"/>
              <w:rPr>
                <w:rFonts w:hint="eastAsia" w:ascii="仿宋" w:hAnsi="仿宋" w:eastAsia="仿宋" w:cs="仿宋"/>
                <w:b w:val="0"/>
                <w:bCs w:val="0"/>
                <w:i w:val="0"/>
                <w:iCs w:val="0"/>
                <w:color w:val="000000"/>
                <w:kern w:val="0"/>
                <w:sz w:val="24"/>
                <w:szCs w:val="24"/>
                <w:u w:val="none"/>
                <w:lang w:val="en-US" w:eastAsia="zh-CN" w:bidi="ar"/>
              </w:rPr>
            </w:pPr>
          </w:p>
        </w:tc>
        <w:tc>
          <w:tcPr>
            <w:tcW w:w="2340" w:type="dxa"/>
            <w:shd w:val="clear" w:color="auto" w:fill="auto"/>
            <w:vAlign w:val="center"/>
          </w:tcPr>
          <w:p w14:paraId="75155FEC">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绩效目标前瞻性</w:t>
            </w:r>
          </w:p>
        </w:tc>
        <w:tc>
          <w:tcPr>
            <w:tcW w:w="890" w:type="dxa"/>
            <w:shd w:val="clear" w:color="auto" w:fill="auto"/>
            <w:noWrap/>
            <w:vAlign w:val="center"/>
          </w:tcPr>
          <w:p w14:paraId="63C2CD35">
            <w:pPr>
              <w:jc w:val="center"/>
              <w:rPr>
                <w:rFonts w:hint="eastAsia"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3</w:t>
            </w:r>
          </w:p>
        </w:tc>
        <w:tc>
          <w:tcPr>
            <w:tcW w:w="1065" w:type="dxa"/>
            <w:shd w:val="clear" w:color="auto" w:fill="auto"/>
            <w:noWrap/>
            <w:vAlign w:val="center"/>
          </w:tcPr>
          <w:p w14:paraId="508AD49A">
            <w:pPr>
              <w:keepNext w:val="0"/>
              <w:keepLines w:val="0"/>
              <w:widowControl/>
              <w:suppressLineNumbers w:val="0"/>
              <w:jc w:val="center"/>
              <w:textAlignment w:val="center"/>
              <w:rPr>
                <w:rFonts w:hint="default" w:ascii="仿宋" w:hAnsi="仿宋" w:eastAsia="仿宋" w:cs="仿宋"/>
                <w:i w:val="0"/>
                <w:iCs w:val="0"/>
                <w:color w:val="000000" w:themeColor="text1"/>
                <w:sz w:val="24"/>
                <w:szCs w:val="24"/>
                <w:u w:val="none"/>
                <w:lang w:val="en-US" w:eastAsia="zh-CN"/>
                <w14:textFill>
                  <w14:solidFill>
                    <w14:schemeClr w14:val="tx1"/>
                  </w14:solidFill>
                </w14:textFill>
              </w:rPr>
            </w:pPr>
            <w:r>
              <w:rPr>
                <w:rFonts w:hint="eastAsia" w:ascii="仿宋" w:hAnsi="仿宋" w:eastAsia="仿宋" w:cs="仿宋"/>
                <w:i w:val="0"/>
                <w:iCs w:val="0"/>
                <w:color w:val="000000"/>
                <w:kern w:val="0"/>
                <w:sz w:val="22"/>
                <w:szCs w:val="22"/>
                <w:u w:val="none"/>
                <w:lang w:val="en-US" w:eastAsia="zh-CN" w:bidi="ar"/>
              </w:rPr>
              <w:t>2</w:t>
            </w:r>
          </w:p>
        </w:tc>
      </w:tr>
      <w:tr w14:paraId="67DE6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1453" w:type="dxa"/>
            <w:vMerge w:val="continue"/>
            <w:shd w:val="clear" w:color="auto" w:fill="auto"/>
            <w:vAlign w:val="center"/>
          </w:tcPr>
          <w:p w14:paraId="2607CBAB">
            <w:pPr>
              <w:jc w:val="center"/>
              <w:rPr>
                <w:rFonts w:hint="eastAsia" w:ascii="仿宋" w:hAnsi="仿宋" w:eastAsia="仿宋" w:cs="仿宋"/>
                <w:b w:val="0"/>
                <w:bCs w:val="0"/>
                <w:i w:val="0"/>
                <w:iCs w:val="0"/>
                <w:color w:val="000000"/>
                <w:kern w:val="0"/>
                <w:sz w:val="24"/>
                <w:szCs w:val="24"/>
                <w:u w:val="none"/>
                <w:lang w:val="en-US" w:eastAsia="zh-CN" w:bidi="ar"/>
              </w:rPr>
            </w:pPr>
          </w:p>
        </w:tc>
        <w:tc>
          <w:tcPr>
            <w:tcW w:w="1613" w:type="dxa"/>
            <w:vMerge w:val="continue"/>
            <w:shd w:val="clear" w:color="auto" w:fill="auto"/>
            <w:vAlign w:val="center"/>
          </w:tcPr>
          <w:p w14:paraId="45D21BBF">
            <w:pPr>
              <w:jc w:val="center"/>
              <w:rPr>
                <w:rFonts w:hint="eastAsia" w:ascii="仿宋" w:hAnsi="仿宋" w:eastAsia="仿宋" w:cs="仿宋"/>
                <w:b w:val="0"/>
                <w:bCs w:val="0"/>
                <w:i w:val="0"/>
                <w:iCs w:val="0"/>
                <w:color w:val="000000"/>
                <w:kern w:val="0"/>
                <w:sz w:val="24"/>
                <w:szCs w:val="24"/>
                <w:u w:val="none"/>
                <w:lang w:val="en-US" w:eastAsia="zh-CN" w:bidi="ar"/>
              </w:rPr>
            </w:pPr>
          </w:p>
        </w:tc>
        <w:tc>
          <w:tcPr>
            <w:tcW w:w="2340" w:type="dxa"/>
            <w:shd w:val="clear" w:color="auto" w:fill="auto"/>
            <w:vAlign w:val="center"/>
          </w:tcPr>
          <w:p w14:paraId="222A82B0">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绩效指标量化、细化</w:t>
            </w:r>
          </w:p>
        </w:tc>
        <w:tc>
          <w:tcPr>
            <w:tcW w:w="890" w:type="dxa"/>
            <w:shd w:val="clear" w:color="auto" w:fill="auto"/>
            <w:noWrap/>
            <w:vAlign w:val="center"/>
          </w:tcPr>
          <w:p w14:paraId="7A9EE10B">
            <w:pPr>
              <w:jc w:val="center"/>
              <w:rPr>
                <w:rFonts w:hint="default"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5</w:t>
            </w:r>
          </w:p>
        </w:tc>
        <w:tc>
          <w:tcPr>
            <w:tcW w:w="1065" w:type="dxa"/>
            <w:shd w:val="clear" w:color="auto" w:fill="auto"/>
            <w:noWrap/>
            <w:vAlign w:val="center"/>
          </w:tcPr>
          <w:p w14:paraId="4A82CA0B">
            <w:pPr>
              <w:keepNext w:val="0"/>
              <w:keepLines w:val="0"/>
              <w:widowControl/>
              <w:suppressLineNumbers w:val="0"/>
              <w:jc w:val="center"/>
              <w:textAlignment w:val="center"/>
              <w:rPr>
                <w:rFonts w:hint="default" w:ascii="仿宋" w:hAnsi="仿宋" w:eastAsia="仿宋" w:cs="仿宋"/>
                <w:i w:val="0"/>
                <w:iCs w:val="0"/>
                <w:color w:val="000000" w:themeColor="text1"/>
                <w:sz w:val="24"/>
                <w:szCs w:val="24"/>
                <w:u w:val="none"/>
                <w:lang w:val="en-US" w:eastAsia="zh-CN"/>
                <w14:textFill>
                  <w14:solidFill>
                    <w14:schemeClr w14:val="tx1"/>
                  </w14:solidFill>
                </w14:textFill>
              </w:rPr>
            </w:pPr>
            <w:r>
              <w:rPr>
                <w:rFonts w:hint="eastAsia" w:ascii="仿宋" w:hAnsi="仿宋" w:eastAsia="仿宋" w:cs="仿宋"/>
                <w:i w:val="0"/>
                <w:iCs w:val="0"/>
                <w:color w:val="000000" w:themeColor="text1"/>
                <w:sz w:val="24"/>
                <w:szCs w:val="24"/>
                <w:u w:val="none"/>
                <w:lang w:val="en-US" w:eastAsia="zh-CN"/>
                <w14:textFill>
                  <w14:solidFill>
                    <w14:schemeClr w14:val="tx1"/>
                  </w14:solidFill>
                </w14:textFill>
              </w:rPr>
              <w:t>3</w:t>
            </w:r>
          </w:p>
        </w:tc>
      </w:tr>
    </w:tbl>
    <w:p w14:paraId="30DA03BD">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绩效目标合理性方面，指标总分22分，石狮市跨境电商品牌培育全流程服务评估得分为16分。具体如下：</w:t>
      </w:r>
    </w:p>
    <w:p w14:paraId="5E163827">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eastAsia" w:ascii="仿宋_GB2312" w:hAnsi="仿宋_GB2312" w:eastAsia="仿宋_GB2312" w:cs="仿宋_GB2312"/>
          <w:b/>
          <w:bCs/>
          <w:color w:val="auto"/>
          <w:kern w:val="0"/>
          <w:sz w:val="32"/>
          <w:szCs w:val="32"/>
          <w:highlight w:val="none"/>
          <w:lang w:val="en-US" w:eastAsia="zh-CN" w:bidi="ar-SA"/>
        </w:rPr>
      </w:pPr>
      <w:bookmarkStart w:id="38" w:name="_Toc18228"/>
      <w:bookmarkStart w:id="39" w:name="_Toc31260"/>
      <w:r>
        <w:rPr>
          <w:rFonts w:hint="eastAsia" w:ascii="仿宋_GB2312" w:hAnsi="仿宋_GB2312" w:eastAsia="仿宋_GB2312" w:cs="仿宋_GB2312"/>
          <w:b/>
          <w:bCs/>
          <w:color w:val="auto"/>
          <w:kern w:val="0"/>
          <w:sz w:val="32"/>
          <w:szCs w:val="32"/>
          <w:highlight w:val="none"/>
          <w:lang w:val="en-US" w:eastAsia="zh-CN" w:bidi="ar-SA"/>
        </w:rPr>
        <w:t>1.绩效目标</w:t>
      </w:r>
      <w:bookmarkEnd w:id="38"/>
      <w:r>
        <w:rPr>
          <w:rFonts w:hint="eastAsia" w:ascii="仿宋_GB2312" w:hAnsi="仿宋_GB2312" w:eastAsia="仿宋_GB2312" w:cs="仿宋_GB2312"/>
          <w:b/>
          <w:bCs/>
          <w:color w:val="auto"/>
          <w:kern w:val="0"/>
          <w:sz w:val="32"/>
          <w:szCs w:val="32"/>
          <w:highlight w:val="none"/>
          <w:lang w:val="en-US" w:eastAsia="zh-CN" w:bidi="ar-SA"/>
        </w:rPr>
        <w:t>明确性</w:t>
      </w:r>
      <w:bookmarkEnd w:id="39"/>
    </w:p>
    <w:p w14:paraId="3A45EF20">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b w:val="0"/>
          <w:bCs w:val="0"/>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①</w:t>
      </w:r>
      <w:r>
        <w:rPr>
          <w:rFonts w:hint="eastAsia" w:ascii="仿宋_GB2312" w:hAnsi="仿宋_GB2312" w:eastAsia="仿宋_GB2312" w:cs="仿宋_GB2312"/>
          <w:b w:val="0"/>
          <w:bCs w:val="0"/>
          <w:color w:val="auto"/>
          <w:kern w:val="0"/>
          <w:sz w:val="32"/>
          <w:szCs w:val="32"/>
          <w:highlight w:val="none"/>
          <w:lang w:val="en-US" w:eastAsia="zh-CN" w:bidi="ar-SA"/>
        </w:rPr>
        <w:t>绩效目标完备性</w:t>
      </w:r>
    </w:p>
    <w:p w14:paraId="64CC4455">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商务局按照相关要求申报绩效目标，分别就成本指标、产出指标、效益指标、满意度指标等四个方面对该项目提出具体目标和考核指标。项目绩效目标明确，项目受益群体定位准确，项目指标设置与项目绩效目标相关。根据评分规则，该指标满分2分，得2分。</w:t>
      </w:r>
    </w:p>
    <w:p w14:paraId="31B3A702">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②绩效目标明确性</w:t>
      </w:r>
    </w:p>
    <w:p w14:paraId="40ABF400">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部分绩效目标设定不够明确。以“帮助跨境电商企业实现销售额增长”这一指标为例，没有明确说明增长的基准是什么，是相对于上一年度同期，还是项目实施前的某个阶段。此外，“组织参加重要跨境电商会展活动”指标也缺乏对参展效果、参展企业收获等方面的明确要求。根据评分规则，满分6分，扣2分，得4分。</w:t>
      </w:r>
    </w:p>
    <w:p w14:paraId="5CBF653B">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综上所述，石狮市跨境电商品牌培育全流程服务在目标明确性方面部分符合要求但也存在需要完善之处，根据评分规则，满分8分，扣2分，得6分。</w:t>
      </w:r>
    </w:p>
    <w:p w14:paraId="5A330BEF">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default" w:ascii="仿宋_GB2312" w:hAnsi="仿宋_GB2312" w:eastAsia="仿宋_GB2312" w:cs="仿宋_GB2312"/>
          <w:b/>
          <w:bCs/>
          <w:color w:val="auto"/>
          <w:kern w:val="0"/>
          <w:sz w:val="32"/>
          <w:szCs w:val="32"/>
          <w:highlight w:val="none"/>
          <w:lang w:val="en-US" w:eastAsia="zh-CN" w:bidi="ar-SA"/>
        </w:rPr>
      </w:pPr>
      <w:bookmarkStart w:id="40" w:name="_Toc32147"/>
      <w:bookmarkStart w:id="41" w:name="_Toc30311"/>
      <w:r>
        <w:rPr>
          <w:rFonts w:hint="eastAsia" w:ascii="仿宋_GB2312" w:hAnsi="仿宋_GB2312" w:eastAsia="仿宋_GB2312" w:cs="仿宋_GB2312"/>
          <w:b/>
          <w:bCs/>
          <w:color w:val="auto"/>
          <w:kern w:val="0"/>
          <w:sz w:val="32"/>
          <w:szCs w:val="32"/>
          <w:highlight w:val="none"/>
          <w:lang w:val="en-US" w:eastAsia="zh-CN" w:bidi="ar-SA"/>
        </w:rPr>
        <w:t>2.绩效目标合理性</w:t>
      </w:r>
      <w:bookmarkEnd w:id="40"/>
      <w:bookmarkEnd w:id="41"/>
    </w:p>
    <w:p w14:paraId="571D412F">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bookmarkStart w:id="42" w:name="_Toc25139"/>
      <w:r>
        <w:rPr>
          <w:rFonts w:hint="eastAsia" w:ascii="仿宋_GB2312" w:hAnsi="仿宋_GB2312" w:eastAsia="仿宋_GB2312" w:cs="仿宋_GB2312"/>
          <w:color w:val="auto"/>
          <w:kern w:val="0"/>
          <w:sz w:val="32"/>
          <w:szCs w:val="32"/>
          <w:highlight w:val="none"/>
          <w:lang w:val="en-US" w:eastAsia="zh-CN" w:bidi="ar-SA"/>
        </w:rPr>
        <w:t>①绩效目标匹配性</w:t>
      </w:r>
      <w:bookmarkEnd w:id="42"/>
    </w:p>
    <w:p w14:paraId="1A73B422">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跨境电商品牌培育全流程服务按照《石狮市关于推动电商高质量发展若干措施》（狮商务规〔2024〕1号）文件内容规定设置项目绩效目标，项目总体绩效目标为：进一步提升跨境电商公共中心服务水平，提供系统孵化、开店指导等服务，引导更多本地传统外贸企业、创业者通过跨境电商扩展海外市场，抢抓新增长点。但根据现有绩效指标无法依据该指标的评估结果对项目活动内容和形式进行有效改进，不利于项目服务质量的持续提升和优化。例如，即使活动场次达到目标值，但无法确定活动是否真正满足了企业的需求，以及如何在下一次活动中进行改进。“举办泉州级超百人大型活动场次”目标值设定为2025年半年举办0场，2025年举办1场，缺乏充分的依据和论证，可能导致活动举办过于形式化，无法满足企业真正的学习和交流需求。根据评分规则，满分6分，扣1分，得5分。</w:t>
      </w:r>
    </w:p>
    <w:p w14:paraId="33649709">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bookmarkStart w:id="43" w:name="_Toc27525"/>
      <w:r>
        <w:rPr>
          <w:rFonts w:hint="eastAsia" w:ascii="仿宋_GB2312" w:hAnsi="仿宋_GB2312" w:eastAsia="仿宋_GB2312" w:cs="仿宋_GB2312"/>
          <w:color w:val="auto"/>
          <w:kern w:val="0"/>
          <w:sz w:val="32"/>
          <w:szCs w:val="32"/>
          <w:highlight w:val="none"/>
          <w:lang w:val="en-US" w:eastAsia="zh-CN" w:bidi="ar-SA"/>
        </w:rPr>
        <w:t>②绩效目标前瞻性</w:t>
      </w:r>
      <w:bookmarkEnd w:id="43"/>
    </w:p>
    <w:p w14:paraId="7806C172">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部分指标设置过于笼统，缺乏一定的前瞻性和挑战性，难以直观反映项目主要构成。根据《财政部关于印发〈中央部门项目支出核心绩效目标和指标设置及取值指引（试行）〉的通知》（财预〔2021〕101号）中关于绩效指标的类型和设置要求：质量指标需要反映预期提供的公共产品或服务达到的标准和水平。本项目绩效目标产出指标中质量指标“资金使用合规性”衡量项目资金是否严格遵循预算方案、政府采购规范及财经纪律使用，重点考察资金拨付流程的合法性、支出的合理性及档案管理的规范性，难以直观反映项目主要产出构成；“举办泉州级超百人大型活动场次”主要体现的是活动的规模和数量，并非直接反映项目服务的质量。因此，产出质量指标缺乏有效的评判标准，根据评分规则，满分3分，扣1分，得2分。</w:t>
      </w:r>
    </w:p>
    <w:p w14:paraId="378FC9C0">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bookmarkStart w:id="44" w:name="_Toc19003"/>
      <w:r>
        <w:rPr>
          <w:rFonts w:hint="eastAsia" w:ascii="仿宋_GB2312" w:hAnsi="仿宋_GB2312" w:eastAsia="仿宋_GB2312" w:cs="仿宋_GB2312"/>
          <w:color w:val="auto"/>
          <w:kern w:val="0"/>
          <w:sz w:val="32"/>
          <w:szCs w:val="32"/>
          <w:highlight w:val="none"/>
          <w:lang w:val="en-US" w:eastAsia="zh-CN" w:bidi="ar-SA"/>
        </w:rPr>
        <w:t>③绩效指标量化、细化</w:t>
      </w:r>
      <w:bookmarkEnd w:id="44"/>
    </w:p>
    <w:p w14:paraId="474F47E4">
      <w:pPr>
        <w:pStyle w:val="37"/>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本项目绩效指标设置有适当的定性和定量指标，</w:t>
      </w:r>
      <w:r>
        <w:rPr>
          <w:rFonts w:hint="eastAsia" w:ascii="仿宋_GB2312" w:hAnsi="仿宋_GB2312" w:eastAsia="仿宋_GB2312" w:cs="仿宋_GB2312"/>
          <w:color w:val="auto"/>
          <w:kern w:val="2"/>
          <w:sz w:val="32"/>
          <w:szCs w:val="32"/>
          <w:highlight w:val="none"/>
          <w:lang w:val="en-US" w:eastAsia="zh-CN" w:bidi="ar-SA"/>
        </w:rPr>
        <w:t>部分指标未实现清晰可衡量的细化。在数量指标中，“服务人次”虽然有2025年半年目标值和2025年目标值，但未对服务人次的构成进行细化，如不同服务模块（系统孵化、开店指导等）的服务人次分别是多少。质量指标中的“帮助跨境电商企业实现销售额增长”，仅给出了目标值，但没有说明增长的基准是什么，是与上一年度相比还是与某个特定时期相比。社会效益指标中的“组织参加重要跨境电商会展活动”场次目标值设定为1，但没有明确该活动的重要程度如何界定，以及参加该活动预期带来的具体效益。</w:t>
      </w:r>
      <w:r>
        <w:rPr>
          <w:rFonts w:hint="eastAsia" w:ascii="仿宋_GB2312" w:hAnsi="仿宋_GB2312" w:eastAsia="仿宋_GB2312" w:cs="仿宋_GB2312"/>
          <w:color w:val="auto"/>
          <w:kern w:val="0"/>
          <w:sz w:val="32"/>
          <w:szCs w:val="32"/>
          <w:highlight w:val="none"/>
          <w:lang w:val="en-US" w:eastAsia="zh-CN" w:bidi="ar-SA"/>
        </w:rPr>
        <w:t>因此，根据评分规则，满分5分，扣2分，得3分。</w:t>
      </w:r>
    </w:p>
    <w:p w14:paraId="2ADBFAA4">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综上所述，石狮市跨境电商品牌培育全流程服务绩效目标合理性欠妥，根据评分规则，满分14分，扣4分，得10分。</w:t>
      </w:r>
    </w:p>
    <w:p w14:paraId="42FA275E">
      <w:pPr>
        <w:keepNext w:val="0"/>
        <w:pageBreakBefore w:val="0"/>
        <w:widowControl w:val="0"/>
        <w:kinsoku/>
        <w:topLinePunct w:val="0"/>
        <w:bidi w:val="0"/>
        <w:spacing w:line="240" w:lineRule="auto"/>
        <w:ind w:leftChars="0" w:firstLine="643" w:firstLineChars="200"/>
        <w:jc w:val="both"/>
        <w:outlineLvl w:val="1"/>
        <w:rPr>
          <w:rFonts w:hint="default" w:ascii="楷体_GB2312" w:hAnsi="楷体_GB2312" w:eastAsia="楷体_GB2312" w:cs="楷体_GB2312"/>
          <w:b/>
          <w:bCs/>
          <w:color w:val="000000" w:themeColor="text1"/>
          <w:sz w:val="32"/>
          <w:szCs w:val="32"/>
          <w:lang w:val="en-US" w:eastAsia="zh-CN"/>
          <w14:textFill>
            <w14:solidFill>
              <w14:schemeClr w14:val="tx1"/>
            </w14:solidFill>
          </w14:textFill>
        </w:rPr>
      </w:pPr>
      <w:bookmarkStart w:id="45" w:name="_Toc7969"/>
      <w:r>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t>（四）项目可行性</w:t>
      </w:r>
      <w:bookmarkEnd w:id="45"/>
    </w:p>
    <w:p w14:paraId="233C1158">
      <w:pPr>
        <w:pageBreakBefore w:val="0"/>
        <w:kinsoku/>
        <w:wordWrap/>
        <w:overflowPunct/>
        <w:topLinePunct w:val="0"/>
        <w:autoSpaceDE/>
        <w:autoSpaceDN/>
        <w:bidi w:val="0"/>
        <w:adjustRightInd/>
        <w:snapToGrid/>
        <w:spacing w:line="360" w:lineRule="auto"/>
        <w:ind w:firstLine="562" w:firstLineChars="200"/>
        <w:jc w:val="center"/>
        <w:rPr>
          <w:rFonts w:hint="eastAsia" w:ascii="仿宋" w:hAnsi="仿宋" w:eastAsia="仿宋" w:cs="仿宋"/>
          <w:b/>
          <w:bCs/>
          <w:kern w:val="2"/>
          <w:sz w:val="28"/>
          <w:szCs w:val="28"/>
          <w:lang w:val="en-US" w:eastAsia="zh-CN" w:bidi="ar-SA"/>
        </w:rPr>
      </w:pPr>
      <w:r>
        <w:rPr>
          <w:rFonts w:hint="eastAsia" w:ascii="仿宋" w:hAnsi="仿宋" w:eastAsia="仿宋" w:cs="仿宋"/>
          <w:b/>
          <w:bCs/>
          <w:kern w:val="2"/>
          <w:sz w:val="28"/>
          <w:szCs w:val="28"/>
          <w:lang w:val="en-US" w:eastAsia="zh-CN" w:bidi="ar-SA"/>
        </w:rPr>
        <w:t>表7：项目可行性得分情况</w:t>
      </w:r>
    </w:p>
    <w:tbl>
      <w:tblPr>
        <w:tblStyle w:val="17"/>
        <w:tblW w:w="73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453"/>
        <w:gridCol w:w="1613"/>
        <w:gridCol w:w="2340"/>
        <w:gridCol w:w="890"/>
        <w:gridCol w:w="1065"/>
      </w:tblGrid>
      <w:tr w14:paraId="71CA8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19" w:hRule="atLeast"/>
          <w:tblHeader/>
          <w:jc w:val="center"/>
        </w:trPr>
        <w:tc>
          <w:tcPr>
            <w:tcW w:w="1453" w:type="dxa"/>
            <w:shd w:val="clear" w:color="auto" w:fill="D7D7D7" w:themeFill="background1" w:themeFillShade="D8"/>
            <w:vAlign w:val="center"/>
          </w:tcPr>
          <w:p w14:paraId="620297A1">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一级指标</w:t>
            </w:r>
          </w:p>
        </w:tc>
        <w:tc>
          <w:tcPr>
            <w:tcW w:w="1613" w:type="dxa"/>
            <w:shd w:val="clear" w:color="auto" w:fill="D7D7D7" w:themeFill="background1" w:themeFillShade="D8"/>
            <w:vAlign w:val="center"/>
          </w:tcPr>
          <w:p w14:paraId="2A5F561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二级指标</w:t>
            </w:r>
          </w:p>
        </w:tc>
        <w:tc>
          <w:tcPr>
            <w:tcW w:w="2340" w:type="dxa"/>
            <w:shd w:val="clear" w:color="auto" w:fill="D7D7D7" w:themeFill="background1" w:themeFillShade="D8"/>
            <w:vAlign w:val="center"/>
          </w:tcPr>
          <w:p w14:paraId="5424B48D">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三级指标</w:t>
            </w:r>
          </w:p>
        </w:tc>
        <w:tc>
          <w:tcPr>
            <w:tcW w:w="890" w:type="dxa"/>
            <w:shd w:val="clear" w:color="auto" w:fill="D7D7D7" w:themeFill="background1" w:themeFillShade="D8"/>
            <w:vAlign w:val="center"/>
          </w:tcPr>
          <w:p w14:paraId="551EDDC5">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权重</w:t>
            </w:r>
          </w:p>
        </w:tc>
        <w:tc>
          <w:tcPr>
            <w:tcW w:w="1065" w:type="dxa"/>
            <w:shd w:val="clear" w:color="auto" w:fill="D7D7D7" w:themeFill="background1" w:themeFillShade="D8"/>
            <w:vAlign w:val="center"/>
          </w:tcPr>
          <w:p w14:paraId="1080C3E4">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lang w:val="en-US" w:eastAsia="zh-CN"/>
              </w:rPr>
            </w:pPr>
            <w:r>
              <w:rPr>
                <w:rFonts w:hint="eastAsia" w:ascii="仿宋" w:hAnsi="仿宋" w:eastAsia="仿宋" w:cs="仿宋"/>
                <w:b w:val="0"/>
                <w:bCs w:val="0"/>
                <w:i w:val="0"/>
                <w:iCs w:val="0"/>
                <w:color w:val="000000"/>
                <w:sz w:val="24"/>
                <w:szCs w:val="24"/>
                <w:u w:val="none"/>
                <w:lang w:val="en-US" w:eastAsia="zh-CN"/>
              </w:rPr>
              <w:t>得分</w:t>
            </w:r>
          </w:p>
        </w:tc>
      </w:tr>
      <w:tr w14:paraId="2BF51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1453" w:type="dxa"/>
            <w:vMerge w:val="restart"/>
            <w:shd w:val="clear" w:color="auto" w:fill="auto"/>
            <w:vAlign w:val="center"/>
          </w:tcPr>
          <w:p w14:paraId="33CE414B">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项目可行性（28）</w:t>
            </w:r>
          </w:p>
        </w:tc>
        <w:tc>
          <w:tcPr>
            <w:tcW w:w="1613" w:type="dxa"/>
            <w:vMerge w:val="restart"/>
            <w:shd w:val="clear" w:color="auto" w:fill="auto"/>
            <w:vAlign w:val="center"/>
          </w:tcPr>
          <w:p w14:paraId="12248033">
            <w:pPr>
              <w:keepNext w:val="0"/>
              <w:keepLines w:val="0"/>
              <w:widowControl/>
              <w:suppressLineNumbers w:val="0"/>
              <w:jc w:val="center"/>
              <w:textAlignment w:val="center"/>
              <w:rPr>
                <w:rFonts w:hint="default"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实施可行性（10）</w:t>
            </w:r>
          </w:p>
        </w:tc>
        <w:tc>
          <w:tcPr>
            <w:tcW w:w="2340" w:type="dxa"/>
            <w:shd w:val="clear" w:color="auto" w:fill="auto"/>
            <w:vAlign w:val="center"/>
          </w:tcPr>
          <w:p w14:paraId="4129FE40">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需求方案完备性</w:t>
            </w:r>
          </w:p>
        </w:tc>
        <w:tc>
          <w:tcPr>
            <w:tcW w:w="890" w:type="dxa"/>
            <w:shd w:val="clear" w:color="auto" w:fill="auto"/>
            <w:noWrap/>
            <w:vAlign w:val="center"/>
          </w:tcPr>
          <w:p w14:paraId="20ABFED2">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2</w:t>
            </w:r>
          </w:p>
        </w:tc>
        <w:tc>
          <w:tcPr>
            <w:tcW w:w="1065" w:type="dxa"/>
            <w:shd w:val="clear" w:color="auto" w:fill="auto"/>
            <w:noWrap/>
            <w:vAlign w:val="center"/>
          </w:tcPr>
          <w:p w14:paraId="70B779D3">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2</w:t>
            </w:r>
          </w:p>
        </w:tc>
      </w:tr>
      <w:tr w14:paraId="4505E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1453" w:type="dxa"/>
            <w:vMerge w:val="continue"/>
            <w:shd w:val="clear" w:color="auto" w:fill="auto"/>
            <w:vAlign w:val="center"/>
          </w:tcPr>
          <w:p w14:paraId="21559504">
            <w:pPr>
              <w:jc w:val="center"/>
              <w:rPr>
                <w:rFonts w:hint="eastAsia" w:ascii="仿宋" w:hAnsi="仿宋" w:eastAsia="仿宋" w:cs="仿宋"/>
                <w:b w:val="0"/>
                <w:bCs w:val="0"/>
                <w:i w:val="0"/>
                <w:iCs w:val="0"/>
                <w:color w:val="000000"/>
                <w:kern w:val="0"/>
                <w:sz w:val="24"/>
                <w:szCs w:val="24"/>
                <w:u w:val="none"/>
                <w:lang w:val="en-US" w:eastAsia="zh-CN" w:bidi="ar"/>
              </w:rPr>
            </w:pPr>
          </w:p>
        </w:tc>
        <w:tc>
          <w:tcPr>
            <w:tcW w:w="1613" w:type="dxa"/>
            <w:vMerge w:val="continue"/>
            <w:shd w:val="clear" w:color="auto" w:fill="auto"/>
            <w:vAlign w:val="center"/>
          </w:tcPr>
          <w:p w14:paraId="7D8B0DFA">
            <w:pPr>
              <w:jc w:val="center"/>
              <w:rPr>
                <w:rFonts w:hint="eastAsia" w:ascii="仿宋" w:hAnsi="仿宋" w:eastAsia="仿宋" w:cs="仿宋"/>
                <w:b w:val="0"/>
                <w:bCs w:val="0"/>
                <w:i w:val="0"/>
                <w:iCs w:val="0"/>
                <w:color w:val="000000"/>
                <w:kern w:val="0"/>
                <w:sz w:val="24"/>
                <w:szCs w:val="24"/>
                <w:u w:val="none"/>
                <w:lang w:val="en-US" w:eastAsia="zh-CN" w:bidi="ar"/>
              </w:rPr>
            </w:pPr>
          </w:p>
        </w:tc>
        <w:tc>
          <w:tcPr>
            <w:tcW w:w="2340" w:type="dxa"/>
            <w:shd w:val="clear" w:color="auto" w:fill="auto"/>
            <w:vAlign w:val="center"/>
          </w:tcPr>
          <w:p w14:paraId="3FE04F49">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项目内容明确性</w:t>
            </w:r>
          </w:p>
        </w:tc>
        <w:tc>
          <w:tcPr>
            <w:tcW w:w="890" w:type="dxa"/>
            <w:shd w:val="clear" w:color="auto" w:fill="auto"/>
            <w:noWrap/>
            <w:vAlign w:val="center"/>
          </w:tcPr>
          <w:p w14:paraId="7130C357">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2</w:t>
            </w:r>
          </w:p>
        </w:tc>
        <w:tc>
          <w:tcPr>
            <w:tcW w:w="1065" w:type="dxa"/>
            <w:shd w:val="clear" w:color="auto" w:fill="auto"/>
            <w:noWrap/>
            <w:vAlign w:val="center"/>
          </w:tcPr>
          <w:p w14:paraId="3506FB44">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1</w:t>
            </w:r>
          </w:p>
        </w:tc>
      </w:tr>
      <w:tr w14:paraId="7BE1D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1453" w:type="dxa"/>
            <w:vMerge w:val="continue"/>
            <w:shd w:val="clear" w:color="auto" w:fill="auto"/>
            <w:vAlign w:val="center"/>
          </w:tcPr>
          <w:p w14:paraId="385E8B79">
            <w:pPr>
              <w:jc w:val="center"/>
              <w:rPr>
                <w:rFonts w:hint="eastAsia" w:ascii="仿宋" w:hAnsi="仿宋" w:eastAsia="仿宋" w:cs="仿宋"/>
                <w:b w:val="0"/>
                <w:bCs w:val="0"/>
                <w:i w:val="0"/>
                <w:iCs w:val="0"/>
                <w:color w:val="000000"/>
                <w:kern w:val="0"/>
                <w:sz w:val="24"/>
                <w:szCs w:val="24"/>
                <w:u w:val="none"/>
                <w:lang w:val="en-US" w:eastAsia="zh-CN" w:bidi="ar"/>
              </w:rPr>
            </w:pPr>
          </w:p>
        </w:tc>
        <w:tc>
          <w:tcPr>
            <w:tcW w:w="1613" w:type="dxa"/>
            <w:vMerge w:val="continue"/>
            <w:shd w:val="clear" w:color="auto" w:fill="auto"/>
            <w:vAlign w:val="center"/>
          </w:tcPr>
          <w:p w14:paraId="5AE39534">
            <w:pPr>
              <w:jc w:val="center"/>
              <w:rPr>
                <w:rFonts w:hint="eastAsia" w:ascii="仿宋" w:hAnsi="仿宋" w:eastAsia="仿宋" w:cs="仿宋"/>
                <w:b w:val="0"/>
                <w:bCs w:val="0"/>
                <w:i w:val="0"/>
                <w:iCs w:val="0"/>
                <w:color w:val="000000"/>
                <w:kern w:val="0"/>
                <w:sz w:val="24"/>
                <w:szCs w:val="24"/>
                <w:u w:val="none"/>
                <w:lang w:val="en-US" w:eastAsia="zh-CN" w:bidi="ar"/>
              </w:rPr>
            </w:pPr>
          </w:p>
        </w:tc>
        <w:tc>
          <w:tcPr>
            <w:tcW w:w="2340" w:type="dxa"/>
            <w:shd w:val="clear" w:color="auto" w:fill="auto"/>
            <w:vAlign w:val="center"/>
          </w:tcPr>
          <w:p w14:paraId="471F58E5">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项目时效性</w:t>
            </w:r>
          </w:p>
        </w:tc>
        <w:tc>
          <w:tcPr>
            <w:tcW w:w="890" w:type="dxa"/>
            <w:shd w:val="clear" w:color="auto" w:fill="auto"/>
            <w:noWrap/>
            <w:vAlign w:val="center"/>
          </w:tcPr>
          <w:p w14:paraId="7C2AAB1D">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4</w:t>
            </w:r>
          </w:p>
        </w:tc>
        <w:tc>
          <w:tcPr>
            <w:tcW w:w="1065" w:type="dxa"/>
            <w:shd w:val="clear" w:color="auto" w:fill="auto"/>
            <w:noWrap/>
            <w:vAlign w:val="center"/>
          </w:tcPr>
          <w:p w14:paraId="2C667C55">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4</w:t>
            </w:r>
          </w:p>
        </w:tc>
      </w:tr>
      <w:tr w14:paraId="77F96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1453" w:type="dxa"/>
            <w:vMerge w:val="continue"/>
            <w:shd w:val="clear" w:color="auto" w:fill="auto"/>
            <w:vAlign w:val="center"/>
          </w:tcPr>
          <w:p w14:paraId="4A2A9096">
            <w:pPr>
              <w:jc w:val="center"/>
              <w:rPr>
                <w:rFonts w:hint="eastAsia" w:ascii="仿宋" w:hAnsi="仿宋" w:eastAsia="仿宋" w:cs="仿宋"/>
                <w:b w:val="0"/>
                <w:bCs w:val="0"/>
                <w:i w:val="0"/>
                <w:iCs w:val="0"/>
                <w:color w:val="000000"/>
                <w:kern w:val="0"/>
                <w:sz w:val="24"/>
                <w:szCs w:val="24"/>
                <w:u w:val="none"/>
                <w:lang w:val="en-US" w:eastAsia="zh-CN" w:bidi="ar"/>
              </w:rPr>
            </w:pPr>
          </w:p>
        </w:tc>
        <w:tc>
          <w:tcPr>
            <w:tcW w:w="1613" w:type="dxa"/>
            <w:vMerge w:val="continue"/>
            <w:shd w:val="clear" w:color="auto" w:fill="auto"/>
            <w:vAlign w:val="center"/>
          </w:tcPr>
          <w:p w14:paraId="2328DE91">
            <w:pPr>
              <w:jc w:val="center"/>
              <w:rPr>
                <w:rFonts w:hint="eastAsia" w:ascii="仿宋" w:hAnsi="仿宋" w:eastAsia="仿宋" w:cs="仿宋"/>
                <w:b w:val="0"/>
                <w:bCs w:val="0"/>
                <w:i w:val="0"/>
                <w:iCs w:val="0"/>
                <w:color w:val="000000"/>
                <w:kern w:val="0"/>
                <w:sz w:val="24"/>
                <w:szCs w:val="24"/>
                <w:u w:val="none"/>
                <w:lang w:val="en-US" w:eastAsia="zh-CN" w:bidi="ar"/>
              </w:rPr>
            </w:pPr>
          </w:p>
        </w:tc>
        <w:tc>
          <w:tcPr>
            <w:tcW w:w="2340" w:type="dxa"/>
            <w:shd w:val="clear" w:color="auto" w:fill="auto"/>
            <w:vAlign w:val="center"/>
          </w:tcPr>
          <w:p w14:paraId="59ED76EE">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需求方案合理性</w:t>
            </w:r>
          </w:p>
        </w:tc>
        <w:tc>
          <w:tcPr>
            <w:tcW w:w="890" w:type="dxa"/>
            <w:shd w:val="clear" w:color="auto" w:fill="auto"/>
            <w:noWrap/>
            <w:vAlign w:val="center"/>
          </w:tcPr>
          <w:p w14:paraId="4F4D95B0">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2</w:t>
            </w:r>
          </w:p>
        </w:tc>
        <w:tc>
          <w:tcPr>
            <w:tcW w:w="1065" w:type="dxa"/>
            <w:shd w:val="clear" w:color="auto" w:fill="auto"/>
            <w:noWrap/>
            <w:vAlign w:val="center"/>
          </w:tcPr>
          <w:p w14:paraId="5A667E26">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2</w:t>
            </w:r>
          </w:p>
        </w:tc>
      </w:tr>
      <w:tr w14:paraId="4D102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1453" w:type="dxa"/>
            <w:vMerge w:val="continue"/>
            <w:shd w:val="clear" w:color="auto" w:fill="auto"/>
            <w:vAlign w:val="center"/>
          </w:tcPr>
          <w:p w14:paraId="32C6593F">
            <w:pPr>
              <w:jc w:val="center"/>
              <w:rPr>
                <w:rFonts w:hint="eastAsia" w:ascii="仿宋" w:hAnsi="仿宋" w:eastAsia="仿宋" w:cs="仿宋"/>
                <w:b w:val="0"/>
                <w:bCs w:val="0"/>
                <w:i w:val="0"/>
                <w:iCs w:val="0"/>
                <w:color w:val="000000"/>
                <w:kern w:val="0"/>
                <w:sz w:val="24"/>
                <w:szCs w:val="24"/>
                <w:u w:val="none"/>
                <w:lang w:val="en-US" w:eastAsia="zh-CN" w:bidi="ar"/>
              </w:rPr>
            </w:pPr>
          </w:p>
        </w:tc>
        <w:tc>
          <w:tcPr>
            <w:tcW w:w="1613" w:type="dxa"/>
            <w:vMerge w:val="restart"/>
            <w:shd w:val="clear" w:color="auto" w:fill="auto"/>
            <w:vAlign w:val="center"/>
          </w:tcPr>
          <w:p w14:paraId="586B1E74">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过程控制有效性</w:t>
            </w:r>
          </w:p>
          <w:p w14:paraId="0AA15CA9">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（7）</w:t>
            </w:r>
          </w:p>
        </w:tc>
        <w:tc>
          <w:tcPr>
            <w:tcW w:w="2340" w:type="dxa"/>
            <w:shd w:val="clear" w:color="auto" w:fill="auto"/>
            <w:vAlign w:val="center"/>
          </w:tcPr>
          <w:p w14:paraId="5B306D1B">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组织机构健全性</w:t>
            </w:r>
          </w:p>
        </w:tc>
        <w:tc>
          <w:tcPr>
            <w:tcW w:w="890" w:type="dxa"/>
            <w:shd w:val="clear" w:color="auto" w:fill="auto"/>
            <w:noWrap/>
            <w:vAlign w:val="center"/>
          </w:tcPr>
          <w:p w14:paraId="3E515418">
            <w:pPr>
              <w:keepNext w:val="0"/>
              <w:keepLines w:val="0"/>
              <w:widowControl/>
              <w:suppressLineNumbers w:val="0"/>
              <w:jc w:val="center"/>
              <w:textAlignment w:val="center"/>
              <w:rPr>
                <w:rFonts w:hint="eastAsia"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i w:val="0"/>
                <w:iCs w:val="0"/>
                <w:color w:val="000000"/>
                <w:kern w:val="0"/>
                <w:sz w:val="22"/>
                <w:szCs w:val="22"/>
                <w:u w:val="none"/>
                <w:lang w:val="en-US" w:eastAsia="zh-CN" w:bidi="ar"/>
              </w:rPr>
              <w:t>2</w:t>
            </w:r>
          </w:p>
        </w:tc>
        <w:tc>
          <w:tcPr>
            <w:tcW w:w="1065" w:type="dxa"/>
            <w:shd w:val="clear" w:color="auto" w:fill="auto"/>
            <w:noWrap/>
            <w:vAlign w:val="center"/>
          </w:tcPr>
          <w:p w14:paraId="7EEF8FF6">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i w:val="0"/>
                <w:iCs w:val="0"/>
                <w:color w:val="000000"/>
                <w:kern w:val="0"/>
                <w:sz w:val="22"/>
                <w:szCs w:val="22"/>
                <w:u w:val="none"/>
                <w:lang w:val="en-US" w:eastAsia="zh-CN" w:bidi="ar"/>
              </w:rPr>
              <w:t>2</w:t>
            </w:r>
          </w:p>
        </w:tc>
      </w:tr>
      <w:tr w14:paraId="2F432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1453" w:type="dxa"/>
            <w:vMerge w:val="continue"/>
            <w:shd w:val="clear" w:color="auto" w:fill="auto"/>
            <w:vAlign w:val="center"/>
          </w:tcPr>
          <w:p w14:paraId="509E20A4">
            <w:pPr>
              <w:jc w:val="center"/>
              <w:rPr>
                <w:rFonts w:hint="eastAsia" w:ascii="仿宋" w:hAnsi="仿宋" w:eastAsia="仿宋" w:cs="仿宋"/>
                <w:b w:val="0"/>
                <w:bCs w:val="0"/>
                <w:i w:val="0"/>
                <w:iCs w:val="0"/>
                <w:color w:val="000000"/>
                <w:kern w:val="0"/>
                <w:sz w:val="24"/>
                <w:szCs w:val="24"/>
                <w:u w:val="none"/>
                <w:lang w:val="en-US" w:eastAsia="zh-CN" w:bidi="ar"/>
              </w:rPr>
            </w:pPr>
          </w:p>
        </w:tc>
        <w:tc>
          <w:tcPr>
            <w:tcW w:w="1613" w:type="dxa"/>
            <w:vMerge w:val="continue"/>
            <w:shd w:val="clear" w:color="auto" w:fill="auto"/>
            <w:vAlign w:val="center"/>
          </w:tcPr>
          <w:p w14:paraId="1BDD1889">
            <w:pPr>
              <w:jc w:val="center"/>
              <w:rPr>
                <w:rFonts w:hint="eastAsia" w:ascii="仿宋" w:hAnsi="仿宋" w:eastAsia="仿宋" w:cs="仿宋"/>
                <w:b w:val="0"/>
                <w:bCs w:val="0"/>
                <w:i w:val="0"/>
                <w:iCs w:val="0"/>
                <w:color w:val="000000"/>
                <w:kern w:val="0"/>
                <w:sz w:val="24"/>
                <w:szCs w:val="24"/>
                <w:u w:val="none"/>
                <w:lang w:val="en-US" w:eastAsia="zh-CN" w:bidi="ar"/>
              </w:rPr>
            </w:pPr>
          </w:p>
        </w:tc>
        <w:tc>
          <w:tcPr>
            <w:tcW w:w="2340" w:type="dxa"/>
            <w:shd w:val="clear" w:color="auto" w:fill="auto"/>
            <w:vAlign w:val="center"/>
          </w:tcPr>
          <w:p w14:paraId="69FC0F78">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管理制度健全性</w:t>
            </w:r>
          </w:p>
        </w:tc>
        <w:tc>
          <w:tcPr>
            <w:tcW w:w="890" w:type="dxa"/>
            <w:shd w:val="clear" w:color="auto" w:fill="auto"/>
            <w:noWrap/>
            <w:vAlign w:val="center"/>
          </w:tcPr>
          <w:p w14:paraId="13A7431F">
            <w:pPr>
              <w:keepNext w:val="0"/>
              <w:keepLines w:val="0"/>
              <w:widowControl/>
              <w:suppressLineNumbers w:val="0"/>
              <w:jc w:val="center"/>
              <w:textAlignment w:val="center"/>
              <w:rPr>
                <w:rFonts w:hint="eastAsia"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i w:val="0"/>
                <w:iCs w:val="0"/>
                <w:color w:val="000000"/>
                <w:kern w:val="0"/>
                <w:sz w:val="22"/>
                <w:szCs w:val="22"/>
                <w:u w:val="none"/>
                <w:lang w:val="en-US" w:eastAsia="zh-CN" w:bidi="ar"/>
              </w:rPr>
              <w:t>2</w:t>
            </w:r>
          </w:p>
        </w:tc>
        <w:tc>
          <w:tcPr>
            <w:tcW w:w="1065" w:type="dxa"/>
            <w:shd w:val="clear" w:color="auto" w:fill="auto"/>
            <w:noWrap/>
            <w:vAlign w:val="center"/>
          </w:tcPr>
          <w:p w14:paraId="4225BD47">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1</w:t>
            </w:r>
          </w:p>
        </w:tc>
      </w:tr>
      <w:tr w14:paraId="5449E0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1453" w:type="dxa"/>
            <w:vMerge w:val="continue"/>
            <w:shd w:val="clear" w:color="auto" w:fill="auto"/>
            <w:vAlign w:val="center"/>
          </w:tcPr>
          <w:p w14:paraId="64B0BBD2">
            <w:pPr>
              <w:jc w:val="center"/>
              <w:rPr>
                <w:rFonts w:hint="eastAsia" w:ascii="仿宋" w:hAnsi="仿宋" w:eastAsia="仿宋" w:cs="仿宋"/>
                <w:b w:val="0"/>
                <w:bCs w:val="0"/>
                <w:i w:val="0"/>
                <w:iCs w:val="0"/>
                <w:color w:val="000000"/>
                <w:kern w:val="0"/>
                <w:sz w:val="24"/>
                <w:szCs w:val="24"/>
                <w:u w:val="none"/>
                <w:lang w:val="en-US" w:eastAsia="zh-CN" w:bidi="ar"/>
              </w:rPr>
            </w:pPr>
          </w:p>
        </w:tc>
        <w:tc>
          <w:tcPr>
            <w:tcW w:w="1613" w:type="dxa"/>
            <w:vMerge w:val="continue"/>
            <w:shd w:val="clear" w:color="auto" w:fill="auto"/>
            <w:vAlign w:val="center"/>
          </w:tcPr>
          <w:p w14:paraId="17D453FA">
            <w:pPr>
              <w:jc w:val="center"/>
              <w:rPr>
                <w:rFonts w:hint="eastAsia" w:ascii="仿宋" w:hAnsi="仿宋" w:eastAsia="仿宋" w:cs="仿宋"/>
                <w:b w:val="0"/>
                <w:bCs w:val="0"/>
                <w:i w:val="0"/>
                <w:iCs w:val="0"/>
                <w:color w:val="000000"/>
                <w:kern w:val="0"/>
                <w:sz w:val="24"/>
                <w:szCs w:val="24"/>
                <w:u w:val="none"/>
                <w:lang w:val="en-US" w:eastAsia="zh-CN" w:bidi="ar"/>
              </w:rPr>
            </w:pPr>
          </w:p>
        </w:tc>
        <w:tc>
          <w:tcPr>
            <w:tcW w:w="2340" w:type="dxa"/>
            <w:shd w:val="clear" w:color="auto" w:fill="auto"/>
            <w:vAlign w:val="center"/>
          </w:tcPr>
          <w:p w14:paraId="79BE3A1D">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管控措施有效性</w:t>
            </w:r>
          </w:p>
        </w:tc>
        <w:tc>
          <w:tcPr>
            <w:tcW w:w="890" w:type="dxa"/>
            <w:shd w:val="clear" w:color="auto" w:fill="auto"/>
            <w:noWrap/>
            <w:vAlign w:val="center"/>
          </w:tcPr>
          <w:p w14:paraId="14A7F27F">
            <w:pPr>
              <w:keepNext w:val="0"/>
              <w:keepLines w:val="0"/>
              <w:widowControl/>
              <w:suppressLineNumbers w:val="0"/>
              <w:jc w:val="center"/>
              <w:textAlignment w:val="center"/>
              <w:rPr>
                <w:rFonts w:hint="eastAsia"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i w:val="0"/>
                <w:iCs w:val="0"/>
                <w:color w:val="000000"/>
                <w:kern w:val="0"/>
                <w:sz w:val="22"/>
                <w:szCs w:val="22"/>
                <w:u w:val="none"/>
                <w:lang w:val="en-US" w:eastAsia="zh-CN" w:bidi="ar"/>
              </w:rPr>
              <w:t>3</w:t>
            </w:r>
          </w:p>
        </w:tc>
        <w:tc>
          <w:tcPr>
            <w:tcW w:w="1065" w:type="dxa"/>
            <w:shd w:val="clear" w:color="auto" w:fill="auto"/>
            <w:noWrap/>
            <w:vAlign w:val="center"/>
          </w:tcPr>
          <w:p w14:paraId="1DEBF828">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2</w:t>
            </w:r>
          </w:p>
        </w:tc>
      </w:tr>
      <w:tr w14:paraId="2352E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1453" w:type="dxa"/>
            <w:vMerge w:val="continue"/>
            <w:shd w:val="clear" w:color="auto" w:fill="auto"/>
            <w:vAlign w:val="center"/>
          </w:tcPr>
          <w:p w14:paraId="29C7F430">
            <w:pPr>
              <w:jc w:val="center"/>
              <w:rPr>
                <w:rFonts w:hint="eastAsia" w:ascii="仿宋" w:hAnsi="仿宋" w:eastAsia="仿宋" w:cs="仿宋"/>
                <w:b w:val="0"/>
                <w:bCs w:val="0"/>
                <w:i w:val="0"/>
                <w:iCs w:val="0"/>
                <w:color w:val="000000"/>
                <w:kern w:val="0"/>
                <w:sz w:val="24"/>
                <w:szCs w:val="24"/>
                <w:u w:val="none"/>
                <w:lang w:val="en-US" w:eastAsia="zh-CN" w:bidi="ar"/>
              </w:rPr>
            </w:pPr>
          </w:p>
        </w:tc>
        <w:tc>
          <w:tcPr>
            <w:tcW w:w="1613" w:type="dxa"/>
            <w:vMerge w:val="restart"/>
            <w:shd w:val="clear" w:color="auto" w:fill="auto"/>
            <w:vAlign w:val="center"/>
          </w:tcPr>
          <w:p w14:paraId="1FB61D28">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项目可持续性</w:t>
            </w:r>
          </w:p>
          <w:p w14:paraId="36AB7C4E">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（11）</w:t>
            </w:r>
          </w:p>
        </w:tc>
        <w:tc>
          <w:tcPr>
            <w:tcW w:w="2340" w:type="dxa"/>
            <w:shd w:val="clear" w:color="auto" w:fill="auto"/>
            <w:vAlign w:val="center"/>
          </w:tcPr>
          <w:p w14:paraId="7D1F5D8C">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组织机构可持续性</w:t>
            </w:r>
          </w:p>
        </w:tc>
        <w:tc>
          <w:tcPr>
            <w:tcW w:w="890" w:type="dxa"/>
            <w:shd w:val="clear" w:color="auto" w:fill="auto"/>
            <w:noWrap/>
            <w:vAlign w:val="center"/>
          </w:tcPr>
          <w:p w14:paraId="44E9576E">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5</w:t>
            </w:r>
          </w:p>
        </w:tc>
        <w:tc>
          <w:tcPr>
            <w:tcW w:w="1065" w:type="dxa"/>
            <w:shd w:val="clear" w:color="auto" w:fill="auto"/>
            <w:noWrap/>
            <w:vAlign w:val="center"/>
          </w:tcPr>
          <w:p w14:paraId="67416346">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highlight w:val="none"/>
                <w:u w:val="none"/>
                <w:lang w:val="en-US" w:eastAsia="zh-CN" w:bidi="ar"/>
              </w:rPr>
            </w:pPr>
            <w:r>
              <w:rPr>
                <w:rFonts w:hint="eastAsia" w:ascii="仿宋" w:hAnsi="仿宋" w:eastAsia="仿宋" w:cs="仿宋"/>
                <w:b w:val="0"/>
                <w:bCs w:val="0"/>
                <w:i w:val="0"/>
                <w:iCs w:val="0"/>
                <w:color w:val="auto"/>
                <w:kern w:val="0"/>
                <w:sz w:val="24"/>
                <w:szCs w:val="24"/>
                <w:highlight w:val="none"/>
                <w:u w:val="none"/>
                <w:lang w:val="en-US" w:eastAsia="zh-CN" w:bidi="ar"/>
              </w:rPr>
              <w:t>5</w:t>
            </w:r>
          </w:p>
        </w:tc>
      </w:tr>
      <w:tr w14:paraId="78F4E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1453" w:type="dxa"/>
            <w:vMerge w:val="continue"/>
            <w:shd w:val="clear" w:color="auto" w:fill="auto"/>
            <w:vAlign w:val="center"/>
          </w:tcPr>
          <w:p w14:paraId="792D0843">
            <w:pPr>
              <w:jc w:val="center"/>
              <w:rPr>
                <w:rFonts w:hint="eastAsia" w:ascii="仿宋" w:hAnsi="仿宋" w:eastAsia="仿宋" w:cs="仿宋"/>
                <w:b w:val="0"/>
                <w:bCs w:val="0"/>
                <w:i w:val="0"/>
                <w:iCs w:val="0"/>
                <w:color w:val="000000"/>
                <w:kern w:val="0"/>
                <w:sz w:val="24"/>
                <w:szCs w:val="24"/>
                <w:u w:val="none"/>
                <w:lang w:val="en-US" w:eastAsia="zh-CN" w:bidi="ar"/>
              </w:rPr>
            </w:pPr>
          </w:p>
        </w:tc>
        <w:tc>
          <w:tcPr>
            <w:tcW w:w="1613" w:type="dxa"/>
            <w:vMerge w:val="continue"/>
            <w:shd w:val="clear" w:color="auto" w:fill="auto"/>
            <w:vAlign w:val="center"/>
          </w:tcPr>
          <w:p w14:paraId="4E5B3D93">
            <w:pPr>
              <w:jc w:val="center"/>
              <w:rPr>
                <w:rFonts w:hint="eastAsia" w:ascii="仿宋" w:hAnsi="仿宋" w:eastAsia="仿宋" w:cs="仿宋"/>
                <w:b w:val="0"/>
                <w:bCs w:val="0"/>
                <w:i w:val="0"/>
                <w:iCs w:val="0"/>
                <w:color w:val="000000"/>
                <w:kern w:val="0"/>
                <w:sz w:val="24"/>
                <w:szCs w:val="24"/>
                <w:u w:val="none"/>
                <w:lang w:val="en-US" w:eastAsia="zh-CN" w:bidi="ar"/>
              </w:rPr>
            </w:pPr>
          </w:p>
        </w:tc>
        <w:tc>
          <w:tcPr>
            <w:tcW w:w="2340" w:type="dxa"/>
            <w:shd w:val="clear" w:color="auto" w:fill="auto"/>
            <w:vAlign w:val="center"/>
          </w:tcPr>
          <w:p w14:paraId="64152513">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产出效果可持续性</w:t>
            </w:r>
          </w:p>
        </w:tc>
        <w:tc>
          <w:tcPr>
            <w:tcW w:w="890" w:type="dxa"/>
            <w:shd w:val="clear" w:color="auto" w:fill="auto"/>
            <w:noWrap/>
            <w:vAlign w:val="center"/>
          </w:tcPr>
          <w:p w14:paraId="479A0E8F">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6</w:t>
            </w:r>
          </w:p>
        </w:tc>
        <w:tc>
          <w:tcPr>
            <w:tcW w:w="1065" w:type="dxa"/>
            <w:shd w:val="clear" w:color="auto" w:fill="auto"/>
            <w:noWrap/>
            <w:vAlign w:val="center"/>
          </w:tcPr>
          <w:p w14:paraId="09DC3111">
            <w:pPr>
              <w:keepNext w:val="0"/>
              <w:keepLines w:val="0"/>
              <w:widowControl/>
              <w:suppressLineNumbers w:val="0"/>
              <w:jc w:val="center"/>
              <w:textAlignment w:val="center"/>
              <w:rPr>
                <w:rFonts w:hint="eastAsia" w:ascii="仿宋" w:hAnsi="仿宋" w:eastAsia="仿宋" w:cs="仿宋"/>
                <w:b w:val="0"/>
                <w:bCs w:val="0"/>
                <w:i w:val="0"/>
                <w:iCs w:val="0"/>
                <w:color w:val="auto"/>
                <w:kern w:val="0"/>
                <w:sz w:val="24"/>
                <w:szCs w:val="24"/>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4</w:t>
            </w:r>
          </w:p>
        </w:tc>
      </w:tr>
    </w:tbl>
    <w:p w14:paraId="324DF9F0">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项目可行性方面，指标总分28分，石狮市跨境电商品牌培育全流程服务评估得分为23分。具体如下：</w:t>
      </w:r>
    </w:p>
    <w:p w14:paraId="5F373B00">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eastAsia" w:ascii="仿宋_GB2312" w:hAnsi="仿宋_GB2312" w:eastAsia="仿宋_GB2312" w:cs="仿宋_GB2312"/>
          <w:color w:val="auto"/>
          <w:kern w:val="0"/>
          <w:sz w:val="32"/>
          <w:szCs w:val="32"/>
          <w:highlight w:val="none"/>
          <w:lang w:val="en-US" w:eastAsia="zh-CN" w:bidi="ar-SA"/>
        </w:rPr>
      </w:pPr>
      <w:bookmarkStart w:id="46" w:name="_Toc16258"/>
      <w:bookmarkStart w:id="47" w:name="_Toc28754"/>
      <w:r>
        <w:rPr>
          <w:rFonts w:hint="eastAsia" w:ascii="仿宋_GB2312" w:hAnsi="仿宋_GB2312" w:eastAsia="仿宋_GB2312" w:cs="仿宋_GB2312"/>
          <w:b/>
          <w:bCs/>
          <w:color w:val="auto"/>
          <w:kern w:val="0"/>
          <w:sz w:val="32"/>
          <w:szCs w:val="32"/>
          <w:highlight w:val="none"/>
          <w:lang w:val="en-US" w:eastAsia="zh-CN" w:bidi="ar-SA"/>
        </w:rPr>
        <w:t>1.实施</w:t>
      </w:r>
      <w:bookmarkEnd w:id="46"/>
      <w:r>
        <w:rPr>
          <w:rFonts w:hint="eastAsia" w:ascii="仿宋_GB2312" w:hAnsi="仿宋_GB2312" w:eastAsia="仿宋_GB2312" w:cs="仿宋_GB2312"/>
          <w:b/>
          <w:bCs/>
          <w:color w:val="auto"/>
          <w:kern w:val="0"/>
          <w:sz w:val="32"/>
          <w:szCs w:val="32"/>
          <w:highlight w:val="none"/>
          <w:lang w:val="en-US" w:eastAsia="zh-CN" w:bidi="ar-SA"/>
        </w:rPr>
        <w:t>可行性</w:t>
      </w:r>
      <w:bookmarkEnd w:id="47"/>
      <w:bookmarkStart w:id="48" w:name="_Toc701"/>
    </w:p>
    <w:p w14:paraId="326BBF5C">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本项目根据《石狮市关于推动电商高质量发展若干措施》（狮商务电商〔2024〕8号）认真组织实施，严格履行项目申报程序，及时做好预算等报批工作，按照实际编制了采购需求内容，实施内容明确具体，需求方案切实可行。</w:t>
      </w:r>
    </w:p>
    <w:p w14:paraId="046E83BA">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但项目内容与绩效目标匹配度不足，产出数量指标设置与项目实施内容产生偏离，只将项目实施内容简单理解为“对跨境电商企业服务的人次”，未能将第三方服务机构应该提供的主要服务内容如线上数据服务、业务拓展服务等纳入产出指标。在项目内容明确性方面，未设置经济效益指标，如业务拓展服务项目中提升跨境电商销售额。根据该情况，满分2分，扣1分，得1分。</w:t>
      </w:r>
    </w:p>
    <w:p w14:paraId="67692C9F">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商务局根据项目内容制定了详细的计划安排，一季度完成2025年-2027年购买跨境电商公共服务预算确认、二季度完成购买内容优化及确认、三季度完成招投标工作、四季度前签订合同。项目的前期进度与计划相匹配，按计划执行前期审批和招投标流程，2025年5月23日泉州市内外贸高质量发展总指挥部牵头成立石狮市跨境电商公共服务中心；2025年7月17日石狮市商务局与浙江国贸数字科技有限公司成功签订政府采购合同（服务类），项目组织、程序安排清晰合理，相关基础设施条件等能够有效保障。此外，根据在石狮市跨境电商公共服务中心现场调研情况，项目已经初步制定有2025年度计划安排。</w:t>
      </w:r>
    </w:p>
    <w:p w14:paraId="2B13C019">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综上所述，石狮市跨境电商品牌培育全流程服务的实施可行性较强，但项目实施内容与项目绩效目标匹配度不足。因此，根据评分规则，满分10分，扣1分，得9分。</w:t>
      </w:r>
    </w:p>
    <w:p w14:paraId="60C69800">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eastAsia" w:ascii="仿宋_GB2312" w:hAnsi="仿宋_GB2312" w:eastAsia="仿宋_GB2312" w:cs="仿宋_GB2312"/>
          <w:color w:val="auto"/>
          <w:kern w:val="0"/>
          <w:sz w:val="32"/>
          <w:szCs w:val="32"/>
          <w:highlight w:val="none"/>
          <w:lang w:val="en-US" w:eastAsia="zh-CN" w:bidi="ar-SA"/>
        </w:rPr>
      </w:pPr>
      <w:bookmarkStart w:id="49" w:name="_Toc28180"/>
      <w:r>
        <w:rPr>
          <w:rFonts w:hint="eastAsia" w:ascii="仿宋_GB2312" w:hAnsi="仿宋_GB2312" w:eastAsia="仿宋_GB2312" w:cs="仿宋_GB2312"/>
          <w:b/>
          <w:bCs/>
          <w:color w:val="auto"/>
          <w:kern w:val="0"/>
          <w:sz w:val="32"/>
          <w:szCs w:val="32"/>
          <w:highlight w:val="none"/>
          <w:lang w:val="en-US" w:eastAsia="zh-CN" w:bidi="ar-SA"/>
        </w:rPr>
        <w:t>2.</w:t>
      </w:r>
      <w:bookmarkEnd w:id="48"/>
      <w:r>
        <w:rPr>
          <w:rFonts w:hint="eastAsia" w:ascii="仿宋_GB2312" w:hAnsi="仿宋_GB2312" w:eastAsia="仿宋_GB2312" w:cs="仿宋_GB2312"/>
          <w:b/>
          <w:bCs/>
          <w:color w:val="auto"/>
          <w:kern w:val="0"/>
          <w:sz w:val="32"/>
          <w:szCs w:val="32"/>
          <w:highlight w:val="none"/>
          <w:lang w:val="en-US" w:eastAsia="zh-CN" w:bidi="ar-SA"/>
        </w:rPr>
        <w:t>过程控制有效性</w:t>
      </w:r>
      <w:bookmarkEnd w:id="49"/>
    </w:p>
    <w:p w14:paraId="77327EB2">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资金管理方面，石狮市商务局制定《石狮市商务局专项资金管理使用制度》，在专项资金的申请、使用、监督、结算和归档等方面进行规范和约束，确保专项资金的安全和有效使用，提高资金使用效益。各相关部门和人员严格按照制度要求进行操作，加强沟通和协作，确保专项资金管理的透明和规范。根据市财政局有关文件规定，结合实际制定《石狮市商务局预算绩效管理制度》，逐步建立完善“预算编制有目标、预算执行有监控、预算完成有评价、评价结果有反馈、反馈结果有应用”的预算绩效管理机制。</w:t>
      </w:r>
    </w:p>
    <w:p w14:paraId="08ABC0C3">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微软雅黑" w:hAnsi="微软雅黑" w:eastAsia="微软雅黑"/>
          <w:sz w:val="27"/>
          <w:highlight w:val="none"/>
          <w:lang w:val="en-US" w:eastAsia="zh-CN"/>
        </w:rPr>
      </w:pPr>
      <w:r>
        <w:rPr>
          <w:rFonts w:hint="eastAsia" w:ascii="仿宋_GB2312" w:hAnsi="仿宋_GB2312" w:eastAsia="仿宋_GB2312" w:cs="仿宋_GB2312"/>
          <w:color w:val="auto"/>
          <w:kern w:val="0"/>
          <w:sz w:val="32"/>
          <w:szCs w:val="32"/>
          <w:highlight w:val="none"/>
          <w:lang w:val="en-US" w:eastAsia="zh-CN" w:bidi="ar-SA"/>
        </w:rPr>
        <w:t>管理制度方面，根据2025年的考核指标，服务团队需要指定1名联络员，负责对外联系工作，进行季度工作汇报。但在石狮市跨境电商品牌培育全流程服务尚未正式成文，形成书面、具体的质量监督、日常管理等业务管理制度和管理手册，也未见其会议纪要、工作记录等管理措施、管理行为的佐证材料。根据评分规则，管理制度健全性方面满分2分，扣1分，得2分。</w:t>
      </w:r>
    </w:p>
    <w:p w14:paraId="76DC8F9E">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组织机构方面，石狮市跨境电商品牌培育全流程服务由石狮市商务局负责项目统筹管理，内设综合股（行政审核审批股）、商贸电商股、国际经贸股、外资促进股、口岸管理股、石狮市市场采购贸易服务中心、石狮市商贸服务中心七大部门。项目的组织机构较为健全，职责分工明确，人员条件与项目相关。因此，根据评分规则，组织机构健全性方面满分2分，得2分。</w:t>
      </w:r>
    </w:p>
    <w:p w14:paraId="36B28FE9">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管控措施方面，石狮市跨境电商品牌培育全流程服务在申报审批、调整程序及资金管理方面设有总体规范，但无其他管控措施、机制，管控措施有效性不足。因此，根据评分规则，管控措施有效性方面满分3分，扣1分，得2分。</w:t>
      </w:r>
    </w:p>
    <w:p w14:paraId="6D1D134B">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综上所述，石狮市跨境电商品牌培育全流程服务的过程保障有效性强，但需要增加其他管控措施、机制。根据评分规则，满分7分，扣2分，得5分。</w:t>
      </w:r>
    </w:p>
    <w:p w14:paraId="2B857ED2">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default" w:ascii="仿宋_GB2312" w:hAnsi="仿宋_GB2312" w:eastAsia="仿宋_GB2312" w:cs="仿宋_GB2312"/>
          <w:b/>
          <w:bCs/>
          <w:color w:val="auto"/>
          <w:kern w:val="0"/>
          <w:sz w:val="32"/>
          <w:szCs w:val="32"/>
          <w:highlight w:val="none"/>
          <w:lang w:val="en-US" w:eastAsia="zh-CN" w:bidi="ar-SA"/>
        </w:rPr>
      </w:pPr>
      <w:bookmarkStart w:id="50" w:name="_Toc20230"/>
      <w:bookmarkStart w:id="51" w:name="_Toc26236"/>
      <w:r>
        <w:rPr>
          <w:rFonts w:hint="eastAsia" w:ascii="仿宋_GB2312" w:hAnsi="仿宋_GB2312" w:eastAsia="仿宋_GB2312" w:cs="仿宋_GB2312"/>
          <w:b/>
          <w:bCs/>
          <w:color w:val="auto"/>
          <w:kern w:val="0"/>
          <w:sz w:val="32"/>
          <w:szCs w:val="32"/>
          <w:highlight w:val="none"/>
          <w:lang w:val="en-US" w:eastAsia="zh-CN" w:bidi="ar-SA"/>
        </w:rPr>
        <w:t>3.</w:t>
      </w:r>
      <w:bookmarkEnd w:id="50"/>
      <w:r>
        <w:rPr>
          <w:rFonts w:hint="eastAsia" w:ascii="仿宋_GB2312" w:hAnsi="仿宋_GB2312" w:eastAsia="仿宋_GB2312" w:cs="仿宋_GB2312"/>
          <w:b/>
          <w:bCs/>
          <w:color w:val="auto"/>
          <w:kern w:val="0"/>
          <w:sz w:val="32"/>
          <w:szCs w:val="32"/>
          <w:highlight w:val="none"/>
          <w:lang w:val="en-US" w:eastAsia="zh-CN" w:bidi="ar-SA"/>
        </w:rPr>
        <w:t>项目可持续性</w:t>
      </w:r>
      <w:bookmarkEnd w:id="51"/>
    </w:p>
    <w:p w14:paraId="29B3F76B">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跨境电商品牌培育全流程服务依据《石狮市支持品牌电商发展若干措施》（狮政规〔2022〕5号）、《石狮市关于推动电商高质量发展若干措施的通知》（狮商务规〔2024〕1号）、《石狮市人民政府办公室关于成立石狮优品出海指挥部的通知》（狮政办〔2025〕3号）等有关工作要求，以政府购买第三方专业机构服务的形式，提供跨境电商品牌培育全流程服务，内容包括但不限于跨境电商品牌培育、跨境电商品牌孵化成长服务、跨境电商品牌管理指导服务、品牌出海数字营销服务、跨境电商品牌数据监测系统建设、跨境电商综合服务平台建设等，深化石狮市跨境电商公共服务中心第三方专业运营模式，优化服务体系，提升服务水平，帮助企业拓展跨境电商渠道。2024年《石狮市关于推动电商高质量发展若干措施》明确，通过政府购买服务形式引入第三方专业机构运营石狮市跨境电商公共服务中心，每年预算最高300万元，确保服务延续性。由石狮市商务局对项目进行实施管理和运行，组织机构健全，成员稳定，非临时机构。根据评分规则，组织机构可持续性方面满分5分，得5分。</w:t>
      </w:r>
    </w:p>
    <w:p w14:paraId="19A2B3F7">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通过石狮市跨境电商品牌培育全流程服务的实施内容以及预期绩效目标可知，该项目的实施符合石狮电商产业发展实际，优化电商发展环境，支持企业持续提质创新，促进电商产业规模、贡献双跃升。从文件《石狮市支持品牌电商发展若干措施》（狮政规〔2022〕5号）、《石狮市关于推动电商高质量发展若干措施的通知》（狮商务规〔2024〕1号）可以看到石狮市对跨境电商品牌培育全流程服务的政策激励，涵盖支持品牌建设、支持品牌营销、支持品牌供应链、支持开拓国际市场等。例如在支持开拓国际市场方面根据培育对象的跨境电商年销售额、跨境电商品牌培育数量、头部卖家数量等指标实施年度综合评价，最高给予奖励400万元/年。政策具有长期规划，有效期至2027年，制度具有创新性，具有一定社会效益。</w:t>
      </w:r>
    </w:p>
    <w:p w14:paraId="072A16CA">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但结合上一期石狮市跨境电商品牌培育全流程服务的专项审计报告，2025年项目产出效果可持续性面临一定挑战。石狮市商务局委托泉州众和有限责任会计师事务所对浙江国贸数字科技有限公司关于“石狮市跨境电商品牌培育全流程服务”2023年度与2024年度指标完成情况进行审计。根据具体指标、考核权数及交付要求，2023年审计综合评价为71%，2024年审计综合评价为66.88%，两年平均低于70%，具体审计情况如附件1所示。2023年在指标“培养孵化一批龙头跨境电商企业项目”“帮助一批跨境电商新店铺出单项目”上未达到年度应达成数；2024年在指标“培养孵化一批龙头跨境电商企业项目”“帮助一批跨境电商新店铺出单项目”“培育跨境电商自主品牌项目”上未达到年度应达成数。从上一期项目实际完成情况来看，2025年项目在获得社会效益、文化效益的持续力不足。因此，根据评分规则，产出效果可持续性满分6分，扣2分，得4分。</w:t>
      </w:r>
    </w:p>
    <w:p w14:paraId="3E1B1AAC">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综上所述，石狮市跨境电商品牌培育全流程服务在组织保障、过程管控大体上表现优异，但在项目可持续性上有所不足，根据评分规则，指标满分11分，扣2分，得9分。</w:t>
      </w:r>
    </w:p>
    <w:p w14:paraId="02595E9E">
      <w:pPr>
        <w:keepNext w:val="0"/>
        <w:pageBreakBefore w:val="0"/>
        <w:widowControl w:val="0"/>
        <w:kinsoku/>
        <w:topLinePunct w:val="0"/>
        <w:bidi w:val="0"/>
        <w:spacing w:line="240" w:lineRule="auto"/>
        <w:ind w:leftChars="0" w:firstLine="643" w:firstLineChars="200"/>
        <w:jc w:val="both"/>
        <w:outlineLvl w:val="1"/>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pPr>
      <w:bookmarkStart w:id="52" w:name="_Toc5927"/>
      <w:r>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t>（五）筹资可行性</w:t>
      </w:r>
      <w:bookmarkEnd w:id="52"/>
    </w:p>
    <w:p w14:paraId="00E45CEB">
      <w:pPr>
        <w:pageBreakBefore w:val="0"/>
        <w:kinsoku/>
        <w:wordWrap/>
        <w:overflowPunct/>
        <w:topLinePunct w:val="0"/>
        <w:autoSpaceDE/>
        <w:autoSpaceDN/>
        <w:bidi w:val="0"/>
        <w:adjustRightInd/>
        <w:snapToGrid/>
        <w:spacing w:line="360" w:lineRule="auto"/>
        <w:ind w:firstLine="562" w:firstLineChars="200"/>
        <w:jc w:val="center"/>
        <w:rPr>
          <w:rFonts w:hint="eastAsia" w:ascii="仿宋" w:hAnsi="仿宋" w:eastAsia="仿宋" w:cs="仿宋"/>
          <w:b/>
          <w:bCs/>
          <w:kern w:val="2"/>
          <w:sz w:val="28"/>
          <w:szCs w:val="28"/>
          <w:lang w:val="en-US" w:eastAsia="zh-CN" w:bidi="ar-SA"/>
        </w:rPr>
      </w:pPr>
      <w:r>
        <w:rPr>
          <w:rFonts w:hint="eastAsia" w:ascii="仿宋" w:hAnsi="仿宋" w:eastAsia="仿宋" w:cs="仿宋"/>
          <w:b/>
          <w:bCs/>
          <w:kern w:val="2"/>
          <w:sz w:val="28"/>
          <w:szCs w:val="28"/>
          <w:lang w:val="en-US" w:eastAsia="zh-CN" w:bidi="ar-SA"/>
        </w:rPr>
        <w:t>表8：筹资可行性得分情况</w:t>
      </w:r>
    </w:p>
    <w:tbl>
      <w:tblPr>
        <w:tblStyle w:val="17"/>
        <w:tblW w:w="73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453"/>
        <w:gridCol w:w="1613"/>
        <w:gridCol w:w="2340"/>
        <w:gridCol w:w="890"/>
        <w:gridCol w:w="1065"/>
      </w:tblGrid>
      <w:tr w14:paraId="70C0B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19" w:hRule="atLeast"/>
          <w:tblHeader/>
          <w:jc w:val="center"/>
        </w:trPr>
        <w:tc>
          <w:tcPr>
            <w:tcW w:w="1453" w:type="dxa"/>
            <w:shd w:val="clear" w:color="auto" w:fill="D7D7D7" w:themeFill="background1" w:themeFillShade="D8"/>
            <w:vAlign w:val="center"/>
          </w:tcPr>
          <w:p w14:paraId="59132CCF">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一级指标</w:t>
            </w:r>
          </w:p>
        </w:tc>
        <w:tc>
          <w:tcPr>
            <w:tcW w:w="1613" w:type="dxa"/>
            <w:shd w:val="clear" w:color="auto" w:fill="D7D7D7" w:themeFill="background1" w:themeFillShade="D8"/>
            <w:vAlign w:val="center"/>
          </w:tcPr>
          <w:p w14:paraId="7E085DB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二级指标</w:t>
            </w:r>
          </w:p>
        </w:tc>
        <w:tc>
          <w:tcPr>
            <w:tcW w:w="2340" w:type="dxa"/>
            <w:shd w:val="clear" w:color="auto" w:fill="D7D7D7" w:themeFill="background1" w:themeFillShade="D8"/>
            <w:vAlign w:val="center"/>
          </w:tcPr>
          <w:p w14:paraId="5E065AE8">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三级指标</w:t>
            </w:r>
          </w:p>
        </w:tc>
        <w:tc>
          <w:tcPr>
            <w:tcW w:w="890" w:type="dxa"/>
            <w:shd w:val="clear" w:color="auto" w:fill="D7D7D7" w:themeFill="background1" w:themeFillShade="D8"/>
            <w:vAlign w:val="center"/>
          </w:tcPr>
          <w:p w14:paraId="285FBDBD">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权重</w:t>
            </w:r>
          </w:p>
        </w:tc>
        <w:tc>
          <w:tcPr>
            <w:tcW w:w="1065" w:type="dxa"/>
            <w:shd w:val="clear" w:color="auto" w:fill="D7D7D7" w:themeFill="background1" w:themeFillShade="D8"/>
            <w:vAlign w:val="center"/>
          </w:tcPr>
          <w:p w14:paraId="2352B320">
            <w:pPr>
              <w:keepNext w:val="0"/>
              <w:keepLines w:val="0"/>
              <w:widowControl/>
              <w:suppressLineNumbers w:val="0"/>
              <w:jc w:val="center"/>
              <w:textAlignment w:val="center"/>
              <w:rPr>
                <w:rFonts w:hint="eastAsia" w:ascii="仿宋" w:hAnsi="仿宋" w:eastAsia="仿宋" w:cs="仿宋"/>
                <w:b w:val="0"/>
                <w:bCs w:val="0"/>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得分</w:t>
            </w:r>
          </w:p>
        </w:tc>
      </w:tr>
      <w:tr w14:paraId="31CE4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1453" w:type="dxa"/>
            <w:vMerge w:val="restart"/>
            <w:shd w:val="clear" w:color="auto" w:fill="auto"/>
            <w:vAlign w:val="center"/>
          </w:tcPr>
          <w:p w14:paraId="29237AF7">
            <w:pPr>
              <w:jc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筹资可行性（15）</w:t>
            </w:r>
          </w:p>
        </w:tc>
        <w:tc>
          <w:tcPr>
            <w:tcW w:w="1613" w:type="dxa"/>
            <w:vMerge w:val="restart"/>
            <w:shd w:val="clear" w:color="auto" w:fill="auto"/>
            <w:vAlign w:val="center"/>
          </w:tcPr>
          <w:p w14:paraId="3B9C1905">
            <w:pPr>
              <w:keepNext w:val="0"/>
              <w:keepLines w:val="0"/>
              <w:widowControl/>
              <w:suppressLineNumbers w:val="0"/>
              <w:jc w:val="center"/>
              <w:textAlignment w:val="center"/>
              <w:rPr>
                <w:rFonts w:hint="eastAsia"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筹资合规性</w:t>
            </w:r>
          </w:p>
          <w:p w14:paraId="4DA0E5C5">
            <w:pPr>
              <w:keepNext w:val="0"/>
              <w:keepLines w:val="0"/>
              <w:widowControl/>
              <w:suppressLineNumbers w:val="0"/>
              <w:jc w:val="center"/>
              <w:textAlignment w:val="center"/>
              <w:rPr>
                <w:rFonts w:hint="eastAsia"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（10）</w:t>
            </w:r>
          </w:p>
        </w:tc>
        <w:tc>
          <w:tcPr>
            <w:tcW w:w="2340" w:type="dxa"/>
            <w:shd w:val="clear" w:color="auto" w:fill="auto"/>
            <w:vAlign w:val="center"/>
          </w:tcPr>
          <w:p w14:paraId="70280859">
            <w:pPr>
              <w:keepNext w:val="0"/>
              <w:keepLines w:val="0"/>
              <w:widowControl/>
              <w:suppressLineNumbers w:val="0"/>
              <w:jc w:val="center"/>
              <w:textAlignment w:val="center"/>
              <w:rPr>
                <w:rFonts w:hint="eastAsia"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i w:val="0"/>
                <w:iCs w:val="0"/>
                <w:color w:val="auto"/>
                <w:kern w:val="0"/>
                <w:sz w:val="22"/>
                <w:szCs w:val="22"/>
                <w:u w:val="none"/>
                <w:lang w:val="en-US" w:eastAsia="zh-CN" w:bidi="ar"/>
              </w:rPr>
              <w:t>筹资渠道合规性</w:t>
            </w:r>
          </w:p>
        </w:tc>
        <w:tc>
          <w:tcPr>
            <w:tcW w:w="890" w:type="dxa"/>
            <w:shd w:val="clear" w:color="auto" w:fill="auto"/>
            <w:noWrap/>
            <w:vAlign w:val="center"/>
          </w:tcPr>
          <w:p w14:paraId="336B6783">
            <w:pPr>
              <w:keepNext w:val="0"/>
              <w:keepLines w:val="0"/>
              <w:widowControl/>
              <w:suppressLineNumbers w:val="0"/>
              <w:jc w:val="center"/>
              <w:textAlignment w:val="center"/>
              <w:rPr>
                <w:rFonts w:hint="eastAsia"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i w:val="0"/>
                <w:iCs w:val="0"/>
                <w:color w:val="auto"/>
                <w:kern w:val="0"/>
                <w:sz w:val="22"/>
                <w:szCs w:val="22"/>
                <w:u w:val="none"/>
                <w:lang w:val="en-US" w:eastAsia="zh-CN" w:bidi="ar"/>
              </w:rPr>
              <w:t>4</w:t>
            </w:r>
          </w:p>
        </w:tc>
        <w:tc>
          <w:tcPr>
            <w:tcW w:w="1065" w:type="dxa"/>
            <w:shd w:val="clear" w:color="auto" w:fill="auto"/>
            <w:noWrap/>
            <w:vAlign w:val="center"/>
          </w:tcPr>
          <w:p w14:paraId="07CEE07C">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4</w:t>
            </w:r>
          </w:p>
        </w:tc>
      </w:tr>
      <w:tr w14:paraId="2E22C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1453" w:type="dxa"/>
            <w:vMerge w:val="continue"/>
            <w:shd w:val="clear" w:color="auto" w:fill="auto"/>
            <w:vAlign w:val="center"/>
          </w:tcPr>
          <w:p w14:paraId="177AB4DB">
            <w:pPr>
              <w:jc w:val="center"/>
              <w:rPr>
                <w:rFonts w:hint="eastAsia" w:ascii="仿宋" w:hAnsi="仿宋" w:eastAsia="仿宋" w:cs="仿宋"/>
                <w:b w:val="0"/>
                <w:bCs w:val="0"/>
                <w:i w:val="0"/>
                <w:iCs w:val="0"/>
                <w:color w:val="auto"/>
                <w:kern w:val="0"/>
                <w:sz w:val="24"/>
                <w:szCs w:val="24"/>
                <w:u w:val="none"/>
                <w:lang w:val="en-US" w:eastAsia="zh-CN" w:bidi="ar"/>
              </w:rPr>
            </w:pPr>
          </w:p>
        </w:tc>
        <w:tc>
          <w:tcPr>
            <w:tcW w:w="1613" w:type="dxa"/>
            <w:vMerge w:val="continue"/>
            <w:shd w:val="clear" w:color="auto" w:fill="auto"/>
            <w:vAlign w:val="center"/>
          </w:tcPr>
          <w:p w14:paraId="55738A36">
            <w:pPr>
              <w:jc w:val="center"/>
              <w:rPr>
                <w:rFonts w:hint="eastAsia" w:ascii="仿宋" w:hAnsi="仿宋" w:eastAsia="仿宋" w:cs="仿宋"/>
                <w:b w:val="0"/>
                <w:bCs w:val="0"/>
                <w:i w:val="0"/>
                <w:iCs w:val="0"/>
                <w:color w:val="auto"/>
                <w:kern w:val="0"/>
                <w:sz w:val="24"/>
                <w:szCs w:val="24"/>
                <w:u w:val="none"/>
                <w:lang w:val="en-US" w:eastAsia="zh-CN" w:bidi="ar"/>
              </w:rPr>
            </w:pPr>
          </w:p>
        </w:tc>
        <w:tc>
          <w:tcPr>
            <w:tcW w:w="2340" w:type="dxa"/>
            <w:shd w:val="clear" w:color="auto" w:fill="auto"/>
            <w:vAlign w:val="center"/>
          </w:tcPr>
          <w:p w14:paraId="6CB79790">
            <w:pPr>
              <w:keepNext w:val="0"/>
              <w:keepLines w:val="0"/>
              <w:widowControl/>
              <w:suppressLineNumbers w:val="0"/>
              <w:jc w:val="center"/>
              <w:textAlignment w:val="center"/>
              <w:rPr>
                <w:rFonts w:hint="eastAsia"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i w:val="0"/>
                <w:iCs w:val="0"/>
                <w:color w:val="auto"/>
                <w:kern w:val="0"/>
                <w:sz w:val="22"/>
                <w:szCs w:val="22"/>
                <w:u w:val="none"/>
                <w:lang w:val="en-US" w:eastAsia="zh-CN" w:bidi="ar"/>
              </w:rPr>
              <w:t>筹资程序合规性</w:t>
            </w:r>
          </w:p>
        </w:tc>
        <w:tc>
          <w:tcPr>
            <w:tcW w:w="890" w:type="dxa"/>
            <w:shd w:val="clear" w:color="auto" w:fill="auto"/>
            <w:noWrap/>
            <w:vAlign w:val="center"/>
          </w:tcPr>
          <w:p w14:paraId="7ADCD03F">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6</w:t>
            </w:r>
          </w:p>
        </w:tc>
        <w:tc>
          <w:tcPr>
            <w:tcW w:w="1065" w:type="dxa"/>
            <w:shd w:val="clear" w:color="auto" w:fill="auto"/>
            <w:noWrap/>
            <w:vAlign w:val="center"/>
          </w:tcPr>
          <w:p w14:paraId="39D35DF6">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6</w:t>
            </w:r>
          </w:p>
        </w:tc>
      </w:tr>
      <w:tr w14:paraId="46D12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1453" w:type="dxa"/>
            <w:vMerge w:val="continue"/>
            <w:shd w:val="clear" w:color="auto" w:fill="auto"/>
            <w:vAlign w:val="center"/>
          </w:tcPr>
          <w:p w14:paraId="12E88B65">
            <w:pPr>
              <w:jc w:val="center"/>
              <w:rPr>
                <w:rFonts w:hint="eastAsia" w:ascii="仿宋" w:hAnsi="仿宋" w:eastAsia="仿宋" w:cs="仿宋"/>
                <w:b w:val="0"/>
                <w:bCs w:val="0"/>
                <w:i w:val="0"/>
                <w:iCs w:val="0"/>
                <w:color w:val="auto"/>
                <w:kern w:val="0"/>
                <w:sz w:val="24"/>
                <w:szCs w:val="24"/>
                <w:u w:val="none"/>
                <w:lang w:val="en-US" w:eastAsia="zh-CN" w:bidi="ar"/>
              </w:rPr>
            </w:pPr>
          </w:p>
        </w:tc>
        <w:tc>
          <w:tcPr>
            <w:tcW w:w="1613" w:type="dxa"/>
            <w:vMerge w:val="restart"/>
            <w:shd w:val="clear" w:color="auto" w:fill="auto"/>
            <w:vAlign w:val="center"/>
          </w:tcPr>
          <w:p w14:paraId="1122B9E9">
            <w:pPr>
              <w:keepNext w:val="0"/>
              <w:keepLines w:val="0"/>
              <w:widowControl/>
              <w:suppressLineNumbers w:val="0"/>
              <w:jc w:val="center"/>
              <w:textAlignment w:val="center"/>
              <w:rPr>
                <w:rFonts w:hint="eastAsia"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财政投入合理性</w:t>
            </w:r>
          </w:p>
          <w:p w14:paraId="5CE9F23E">
            <w:pPr>
              <w:keepNext w:val="0"/>
              <w:keepLines w:val="0"/>
              <w:widowControl/>
              <w:suppressLineNumbers w:val="0"/>
              <w:jc w:val="center"/>
              <w:textAlignment w:val="center"/>
              <w:rPr>
                <w:rFonts w:hint="default"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（5）</w:t>
            </w:r>
          </w:p>
        </w:tc>
        <w:tc>
          <w:tcPr>
            <w:tcW w:w="2340" w:type="dxa"/>
            <w:shd w:val="clear" w:color="auto" w:fill="auto"/>
            <w:vAlign w:val="center"/>
          </w:tcPr>
          <w:p w14:paraId="1AE7EB82">
            <w:pPr>
              <w:keepNext w:val="0"/>
              <w:keepLines w:val="0"/>
              <w:widowControl/>
              <w:suppressLineNumbers w:val="0"/>
              <w:jc w:val="center"/>
              <w:textAlignment w:val="center"/>
              <w:rPr>
                <w:rFonts w:hint="eastAsia"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i w:val="0"/>
                <w:iCs w:val="0"/>
                <w:color w:val="auto"/>
                <w:kern w:val="0"/>
                <w:sz w:val="22"/>
                <w:szCs w:val="22"/>
                <w:u w:val="none"/>
                <w:lang w:val="en-US" w:eastAsia="zh-CN" w:bidi="ar"/>
              </w:rPr>
              <w:t>财政投入预算能力</w:t>
            </w:r>
          </w:p>
        </w:tc>
        <w:tc>
          <w:tcPr>
            <w:tcW w:w="890" w:type="dxa"/>
            <w:shd w:val="clear" w:color="auto" w:fill="auto"/>
            <w:noWrap/>
            <w:vAlign w:val="center"/>
          </w:tcPr>
          <w:p w14:paraId="38904306">
            <w:pPr>
              <w:keepNext w:val="0"/>
              <w:keepLines w:val="0"/>
              <w:widowControl/>
              <w:suppressLineNumbers w:val="0"/>
              <w:jc w:val="center"/>
              <w:textAlignment w:val="center"/>
              <w:rPr>
                <w:rFonts w:hint="eastAsia"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i w:val="0"/>
                <w:iCs w:val="0"/>
                <w:color w:val="auto"/>
                <w:kern w:val="0"/>
                <w:sz w:val="22"/>
                <w:szCs w:val="22"/>
                <w:u w:val="none"/>
                <w:lang w:val="en-US" w:eastAsia="zh-CN" w:bidi="ar"/>
              </w:rPr>
              <w:t>3</w:t>
            </w:r>
          </w:p>
        </w:tc>
        <w:tc>
          <w:tcPr>
            <w:tcW w:w="1065" w:type="dxa"/>
            <w:shd w:val="clear" w:color="auto" w:fill="auto"/>
            <w:noWrap/>
            <w:vAlign w:val="center"/>
          </w:tcPr>
          <w:p w14:paraId="0DDB2929">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3</w:t>
            </w:r>
          </w:p>
        </w:tc>
      </w:tr>
      <w:tr w14:paraId="35751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1453" w:type="dxa"/>
            <w:vMerge w:val="continue"/>
            <w:shd w:val="clear" w:color="auto" w:fill="auto"/>
            <w:vAlign w:val="center"/>
          </w:tcPr>
          <w:p w14:paraId="03BA5645">
            <w:pPr>
              <w:jc w:val="center"/>
              <w:rPr>
                <w:rFonts w:hint="eastAsia" w:ascii="仿宋" w:hAnsi="仿宋" w:eastAsia="仿宋" w:cs="仿宋"/>
                <w:b w:val="0"/>
                <w:bCs w:val="0"/>
                <w:i w:val="0"/>
                <w:iCs w:val="0"/>
                <w:color w:val="auto"/>
                <w:kern w:val="0"/>
                <w:sz w:val="24"/>
                <w:szCs w:val="24"/>
                <w:u w:val="none"/>
                <w:lang w:val="en-US" w:eastAsia="zh-CN" w:bidi="ar"/>
              </w:rPr>
            </w:pPr>
          </w:p>
        </w:tc>
        <w:tc>
          <w:tcPr>
            <w:tcW w:w="1613" w:type="dxa"/>
            <w:vMerge w:val="continue"/>
            <w:shd w:val="clear" w:color="auto" w:fill="auto"/>
            <w:vAlign w:val="center"/>
          </w:tcPr>
          <w:p w14:paraId="3E19B4BC">
            <w:pPr>
              <w:jc w:val="center"/>
              <w:rPr>
                <w:rFonts w:hint="eastAsia" w:ascii="仿宋" w:hAnsi="仿宋" w:eastAsia="仿宋" w:cs="仿宋"/>
                <w:b w:val="0"/>
                <w:bCs w:val="0"/>
                <w:i w:val="0"/>
                <w:iCs w:val="0"/>
                <w:color w:val="auto"/>
                <w:kern w:val="0"/>
                <w:sz w:val="24"/>
                <w:szCs w:val="24"/>
                <w:u w:val="none"/>
                <w:lang w:val="en-US" w:eastAsia="zh-CN" w:bidi="ar"/>
              </w:rPr>
            </w:pPr>
          </w:p>
        </w:tc>
        <w:tc>
          <w:tcPr>
            <w:tcW w:w="2340" w:type="dxa"/>
            <w:shd w:val="clear" w:color="auto" w:fill="auto"/>
            <w:vAlign w:val="center"/>
          </w:tcPr>
          <w:p w14:paraId="261380F7">
            <w:pPr>
              <w:keepNext w:val="0"/>
              <w:keepLines w:val="0"/>
              <w:widowControl/>
              <w:suppressLineNumbers w:val="0"/>
              <w:jc w:val="center"/>
              <w:textAlignment w:val="center"/>
              <w:rPr>
                <w:rFonts w:hint="eastAsia"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i w:val="0"/>
                <w:iCs w:val="0"/>
                <w:color w:val="auto"/>
                <w:kern w:val="0"/>
                <w:sz w:val="22"/>
                <w:szCs w:val="22"/>
                <w:u w:val="none"/>
                <w:lang w:val="en-US" w:eastAsia="zh-CN" w:bidi="ar"/>
              </w:rPr>
              <w:t>财政投入重复性</w:t>
            </w:r>
          </w:p>
        </w:tc>
        <w:tc>
          <w:tcPr>
            <w:tcW w:w="890" w:type="dxa"/>
            <w:shd w:val="clear" w:color="auto" w:fill="auto"/>
            <w:noWrap/>
            <w:vAlign w:val="center"/>
          </w:tcPr>
          <w:p w14:paraId="3B5DFC77">
            <w:pPr>
              <w:keepNext w:val="0"/>
              <w:keepLines w:val="0"/>
              <w:widowControl/>
              <w:suppressLineNumbers w:val="0"/>
              <w:jc w:val="center"/>
              <w:textAlignment w:val="center"/>
              <w:rPr>
                <w:rFonts w:hint="eastAsia"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i w:val="0"/>
                <w:iCs w:val="0"/>
                <w:color w:val="auto"/>
                <w:kern w:val="0"/>
                <w:sz w:val="22"/>
                <w:szCs w:val="22"/>
                <w:u w:val="none"/>
                <w:lang w:val="en-US" w:eastAsia="zh-CN" w:bidi="ar"/>
              </w:rPr>
              <w:t>2</w:t>
            </w:r>
          </w:p>
        </w:tc>
        <w:tc>
          <w:tcPr>
            <w:tcW w:w="1065" w:type="dxa"/>
            <w:shd w:val="clear" w:color="auto" w:fill="auto"/>
            <w:noWrap/>
            <w:vAlign w:val="center"/>
          </w:tcPr>
          <w:p w14:paraId="31732251">
            <w:pPr>
              <w:keepNext w:val="0"/>
              <w:keepLines w:val="0"/>
              <w:widowControl/>
              <w:suppressLineNumbers w:val="0"/>
              <w:jc w:val="center"/>
              <w:textAlignment w:val="center"/>
              <w:rPr>
                <w:rFonts w:hint="default" w:ascii="仿宋" w:hAnsi="仿宋" w:eastAsia="仿宋" w:cs="仿宋"/>
                <w:b w:val="0"/>
                <w:bCs w:val="0"/>
                <w:i w:val="0"/>
                <w:iCs w:val="0"/>
                <w:color w:val="auto"/>
                <w:kern w:val="0"/>
                <w:sz w:val="24"/>
                <w:szCs w:val="24"/>
                <w:u w:val="none"/>
                <w:lang w:val="en-US" w:eastAsia="zh-CN" w:bidi="ar"/>
              </w:rPr>
            </w:pPr>
            <w:r>
              <w:rPr>
                <w:rFonts w:hint="eastAsia" w:ascii="仿宋" w:hAnsi="仿宋" w:eastAsia="仿宋" w:cs="仿宋"/>
                <w:b w:val="0"/>
                <w:bCs w:val="0"/>
                <w:i w:val="0"/>
                <w:iCs w:val="0"/>
                <w:color w:val="auto"/>
                <w:kern w:val="0"/>
                <w:sz w:val="24"/>
                <w:szCs w:val="24"/>
                <w:u w:val="none"/>
                <w:lang w:val="en-US" w:eastAsia="zh-CN" w:bidi="ar"/>
              </w:rPr>
              <w:t>2</w:t>
            </w:r>
          </w:p>
        </w:tc>
      </w:tr>
    </w:tbl>
    <w:p w14:paraId="18B83270">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筹资可行性方面，指标总分15分，石狮市跨境电商品牌培育全流程服务评估得分为15分。具体如下：</w:t>
      </w:r>
    </w:p>
    <w:p w14:paraId="6F483D6D">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eastAsia" w:ascii="仿宋_GB2312" w:hAnsi="仿宋_GB2312" w:eastAsia="仿宋_GB2312" w:cs="仿宋_GB2312"/>
          <w:b/>
          <w:bCs/>
          <w:color w:val="auto"/>
          <w:kern w:val="0"/>
          <w:sz w:val="32"/>
          <w:szCs w:val="32"/>
          <w:highlight w:val="none"/>
          <w:lang w:val="en-US" w:eastAsia="zh-CN" w:bidi="ar-SA"/>
        </w:rPr>
      </w:pPr>
      <w:bookmarkStart w:id="53" w:name="_Toc10926"/>
      <w:bookmarkStart w:id="54" w:name="_Toc18841"/>
      <w:r>
        <w:rPr>
          <w:rFonts w:hint="eastAsia" w:ascii="仿宋_GB2312" w:hAnsi="仿宋_GB2312" w:eastAsia="仿宋_GB2312" w:cs="仿宋_GB2312"/>
          <w:b/>
          <w:bCs/>
          <w:color w:val="auto"/>
          <w:kern w:val="0"/>
          <w:sz w:val="32"/>
          <w:szCs w:val="32"/>
          <w:highlight w:val="none"/>
          <w:lang w:val="en-US" w:eastAsia="zh-CN" w:bidi="ar-SA"/>
        </w:rPr>
        <w:t>1.筹资合规性</w:t>
      </w:r>
      <w:bookmarkEnd w:id="53"/>
      <w:bookmarkEnd w:id="54"/>
    </w:p>
    <w:p w14:paraId="37A6222F">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跨境电商品牌培育全流程服务资金总额299万元，全部来源财政拨款。2024年政策明确，通过政府购买服务形式引入第三方机构运营跨境电商公共服务中心，每年预算最高300万元，资金来源稳定且符合规定。总体来看，项目明确申报条件和流程，程序科学规范，政府通过购买服务引入第三方机构，明确权责，财权与事权匹配。根据评分标准，满分10分，得10分。</w:t>
      </w:r>
    </w:p>
    <w:p w14:paraId="5B8D4B40">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eastAsia" w:ascii="仿宋_GB2312" w:hAnsi="仿宋_GB2312" w:eastAsia="仿宋_GB2312" w:cs="仿宋_GB2312"/>
          <w:b/>
          <w:bCs/>
          <w:color w:val="auto"/>
          <w:kern w:val="0"/>
          <w:sz w:val="32"/>
          <w:szCs w:val="32"/>
          <w:highlight w:val="none"/>
          <w:lang w:val="en-US" w:eastAsia="zh-CN" w:bidi="ar-SA"/>
        </w:rPr>
      </w:pPr>
      <w:bookmarkStart w:id="55" w:name="_Toc11850"/>
      <w:bookmarkStart w:id="56" w:name="_Toc26100"/>
      <w:r>
        <w:rPr>
          <w:rFonts w:hint="eastAsia" w:ascii="仿宋_GB2312" w:hAnsi="仿宋_GB2312" w:eastAsia="仿宋_GB2312" w:cs="仿宋_GB2312"/>
          <w:b/>
          <w:bCs/>
          <w:color w:val="auto"/>
          <w:kern w:val="0"/>
          <w:sz w:val="32"/>
          <w:szCs w:val="32"/>
          <w:highlight w:val="none"/>
          <w:lang w:val="en-US" w:eastAsia="zh-CN" w:bidi="ar-SA"/>
        </w:rPr>
        <w:t>2.财政投入</w:t>
      </w:r>
      <w:bookmarkEnd w:id="55"/>
      <w:r>
        <w:rPr>
          <w:rFonts w:hint="eastAsia" w:ascii="仿宋_GB2312" w:hAnsi="仿宋_GB2312" w:eastAsia="仿宋_GB2312" w:cs="仿宋_GB2312"/>
          <w:b/>
          <w:bCs/>
          <w:color w:val="auto"/>
          <w:kern w:val="0"/>
          <w:sz w:val="32"/>
          <w:szCs w:val="32"/>
          <w:highlight w:val="none"/>
          <w:lang w:val="en-US" w:eastAsia="zh-CN" w:bidi="ar-SA"/>
        </w:rPr>
        <w:t>合理性</w:t>
      </w:r>
      <w:bookmarkEnd w:id="56"/>
    </w:p>
    <w:p w14:paraId="1160FC78">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石狮市跨境电商品牌培育全流程服务</w:t>
      </w:r>
      <w:r>
        <w:rPr>
          <w:rFonts w:hint="default" w:ascii="Times New Roman" w:hAnsi="Times New Roman" w:eastAsia="仿宋_GB2312" w:cs="Times New Roman"/>
          <w:color w:val="auto"/>
          <w:sz w:val="32"/>
          <w:szCs w:val="32"/>
          <w:lang w:eastAsia="zh-CN"/>
        </w:rPr>
        <w:t>金额</w:t>
      </w:r>
      <w:r>
        <w:rPr>
          <w:rFonts w:hint="eastAsia" w:ascii="仿宋_GB2312" w:hAnsi="仿宋_GB2312" w:eastAsia="仿宋_GB2312" w:cs="仿宋_GB2312"/>
          <w:color w:val="auto"/>
          <w:kern w:val="0"/>
          <w:sz w:val="32"/>
          <w:szCs w:val="32"/>
          <w:highlight w:val="none"/>
          <w:lang w:val="en-US" w:eastAsia="zh-CN" w:bidi="ar-SA"/>
        </w:rPr>
        <w:t>未超出石狮市财政承受能力和政府投资能力，故财政资金支持方式科学合理。项目的实施与各级财政部门和其他部门没有类似项目资金重复投入，并不存在财政资金投入重复性。财政投入合理性较强，根据评分标准，满分5分，得5分。</w:t>
      </w:r>
    </w:p>
    <w:p w14:paraId="5B4B0194">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color w:val="FF0000"/>
          <w:lang w:val="en-US" w:eastAsia="zh-CN"/>
        </w:rPr>
      </w:pPr>
      <w:r>
        <w:rPr>
          <w:rFonts w:hint="eastAsia" w:ascii="仿宋_GB2312" w:hAnsi="仿宋_GB2312" w:eastAsia="仿宋_GB2312" w:cs="仿宋_GB2312"/>
          <w:color w:val="auto"/>
          <w:kern w:val="0"/>
          <w:sz w:val="32"/>
          <w:szCs w:val="32"/>
          <w:highlight w:val="none"/>
          <w:lang w:val="en-US" w:eastAsia="zh-CN" w:bidi="ar-SA"/>
        </w:rPr>
        <w:t>综上所述，项目在筹资合规性和财政投入方面表现良好，但需进一步细化筹资程序中的风险应对措施，总体筹资可行性较高，具备实施基础。根据评分标准，满分15分，得15分。</w:t>
      </w:r>
    </w:p>
    <w:p w14:paraId="7DBF2F8A">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0"/>
        <w:rPr>
          <w:rFonts w:hint="eastAsia" w:ascii="黑体" w:hAnsi="黑体" w:eastAsia="黑体" w:cs="黑体"/>
          <w:b/>
          <w:bCs/>
          <w:color w:val="auto"/>
          <w:sz w:val="32"/>
          <w:szCs w:val="32"/>
          <w:lang w:val="zh-CN" w:eastAsia="zh-CN"/>
        </w:rPr>
      </w:pPr>
      <w:bookmarkStart w:id="57" w:name="_Toc24383"/>
      <w:r>
        <w:rPr>
          <w:rFonts w:hint="eastAsia" w:ascii="黑体" w:hAnsi="黑体" w:eastAsia="黑体" w:cs="黑体"/>
          <w:b/>
          <w:bCs/>
          <w:color w:val="auto"/>
          <w:sz w:val="32"/>
          <w:szCs w:val="32"/>
          <w:lang w:val="en-US" w:eastAsia="zh-CN"/>
        </w:rPr>
        <w:t>五</w:t>
      </w:r>
      <w:r>
        <w:rPr>
          <w:rFonts w:hint="eastAsia" w:ascii="黑体" w:hAnsi="黑体" w:eastAsia="黑体" w:cs="黑体"/>
          <w:b/>
          <w:bCs/>
          <w:color w:val="auto"/>
          <w:sz w:val="32"/>
          <w:szCs w:val="32"/>
          <w:lang w:val="zh-CN" w:eastAsia="zh-CN"/>
        </w:rPr>
        <w:t>、总体结论</w:t>
      </w:r>
      <w:bookmarkEnd w:id="57"/>
    </w:p>
    <w:p w14:paraId="2B9E9058">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通过对前述5个一级指标、11个二级指标以及26个三级指标评分的分析评估，全面评估该项目的预期绩效情况，评估总分分，详见下表。</w:t>
      </w:r>
    </w:p>
    <w:p w14:paraId="48FD0357">
      <w:pPr>
        <w:pStyle w:val="5"/>
        <w:keepNext w:val="0"/>
        <w:keepLines w:val="0"/>
        <w:pageBreakBefore w:val="0"/>
        <w:widowControl/>
        <w:kinsoku/>
        <w:wordWrap/>
        <w:overflowPunct/>
        <w:topLinePunct w:val="0"/>
        <w:autoSpaceDE/>
        <w:autoSpaceDN/>
        <w:bidi w:val="0"/>
        <w:adjustRightInd/>
        <w:snapToGrid/>
        <w:ind w:left="0" w:leftChars="0" w:firstLine="0" w:firstLineChars="0"/>
        <w:jc w:val="center"/>
        <w:textAlignment w:val="auto"/>
        <w:rPr>
          <w:rFonts w:hint="eastAsia" w:ascii="仿宋" w:hAnsi="仿宋" w:eastAsia="仿宋" w:cs="仿宋"/>
          <w:b/>
          <w:bCs/>
          <w:kern w:val="2"/>
          <w:sz w:val="28"/>
          <w:szCs w:val="28"/>
          <w:lang w:val="en-US" w:eastAsia="zh-CN" w:bidi="ar-SA"/>
        </w:rPr>
      </w:pPr>
      <w:r>
        <w:rPr>
          <w:rFonts w:hint="eastAsia" w:ascii="仿宋" w:hAnsi="仿宋" w:eastAsia="仿宋" w:cs="仿宋"/>
          <w:b/>
          <w:bCs/>
          <w:kern w:val="2"/>
          <w:sz w:val="28"/>
          <w:szCs w:val="28"/>
          <w:lang w:val="en-US" w:eastAsia="zh-CN" w:bidi="ar-SA"/>
        </w:rPr>
        <w:t>表9：石狮市跨境电商品牌培育全流程服务</w:t>
      </w:r>
    </w:p>
    <w:p w14:paraId="17DC4351">
      <w:pPr>
        <w:pStyle w:val="5"/>
        <w:keepNext w:val="0"/>
        <w:keepLines w:val="0"/>
        <w:pageBreakBefore w:val="0"/>
        <w:widowControl/>
        <w:kinsoku/>
        <w:wordWrap/>
        <w:overflowPunct/>
        <w:topLinePunct w:val="0"/>
        <w:autoSpaceDE/>
        <w:autoSpaceDN/>
        <w:bidi w:val="0"/>
        <w:adjustRightInd/>
        <w:snapToGrid/>
        <w:ind w:left="0" w:leftChars="0" w:firstLine="0" w:firstLineChars="0"/>
        <w:jc w:val="center"/>
        <w:textAlignment w:val="auto"/>
        <w:rPr>
          <w:rFonts w:hint="default" w:ascii="仿宋" w:hAnsi="仿宋" w:eastAsia="仿宋" w:cs="仿宋"/>
          <w:b/>
          <w:bCs/>
          <w:kern w:val="2"/>
          <w:sz w:val="28"/>
          <w:szCs w:val="28"/>
          <w:lang w:val="en-US" w:eastAsia="zh-CN" w:bidi="ar-SA"/>
        </w:rPr>
      </w:pPr>
      <w:r>
        <w:rPr>
          <w:rFonts w:hint="eastAsia" w:ascii="仿宋" w:hAnsi="仿宋" w:eastAsia="仿宋" w:cs="仿宋"/>
          <w:b/>
          <w:bCs/>
          <w:kern w:val="2"/>
          <w:sz w:val="28"/>
          <w:szCs w:val="28"/>
          <w:lang w:val="en-US" w:eastAsia="zh-CN" w:bidi="ar-SA"/>
        </w:rPr>
        <w:t>事前绩效评估指标得分汇总表</w:t>
      </w:r>
    </w:p>
    <w:tbl>
      <w:tblPr>
        <w:tblStyle w:val="17"/>
        <w:tblW w:w="633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377"/>
        <w:gridCol w:w="1164"/>
        <w:gridCol w:w="1164"/>
        <w:gridCol w:w="1633"/>
      </w:tblGrid>
      <w:tr w14:paraId="5601DE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cantSplit/>
          <w:trHeight w:val="447" w:hRule="atLeast"/>
          <w:tblHeader/>
          <w:jc w:val="center"/>
        </w:trPr>
        <w:tc>
          <w:tcPr>
            <w:tcW w:w="237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19DAF1E0">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ascii="仿宋" w:hAnsi="仿宋" w:eastAsia="仿宋" w:cs="仿宋"/>
                <w:b/>
                <w:bCs/>
                <w:i w:val="0"/>
                <w:iCs w:val="0"/>
                <w:color w:val="auto"/>
                <w:sz w:val="24"/>
                <w:szCs w:val="24"/>
                <w:u w:val="none"/>
              </w:rPr>
            </w:pPr>
            <w:r>
              <w:rPr>
                <w:rFonts w:hint="eastAsia" w:ascii="仿宋" w:hAnsi="仿宋" w:eastAsia="仿宋" w:cs="仿宋"/>
                <w:b/>
                <w:bCs/>
                <w:i w:val="0"/>
                <w:iCs w:val="0"/>
                <w:color w:val="auto"/>
                <w:kern w:val="0"/>
                <w:sz w:val="24"/>
                <w:szCs w:val="24"/>
                <w:u w:val="none"/>
                <w:lang w:val="en-US" w:eastAsia="zh-CN" w:bidi="ar"/>
              </w:rPr>
              <w:t>一级指标</w:t>
            </w:r>
          </w:p>
        </w:tc>
        <w:tc>
          <w:tcPr>
            <w:tcW w:w="1164"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14:paraId="33507D70">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eastAsia" w:ascii="仿宋" w:hAnsi="仿宋" w:eastAsia="仿宋" w:cs="仿宋"/>
                <w:b/>
                <w:bCs/>
                <w:i w:val="0"/>
                <w:iCs w:val="0"/>
                <w:color w:val="auto"/>
                <w:sz w:val="24"/>
                <w:szCs w:val="24"/>
                <w:u w:val="none"/>
              </w:rPr>
            </w:pPr>
            <w:r>
              <w:rPr>
                <w:rFonts w:hint="eastAsia" w:ascii="仿宋" w:hAnsi="仿宋" w:eastAsia="仿宋" w:cs="仿宋"/>
                <w:b/>
                <w:bCs/>
                <w:i w:val="0"/>
                <w:iCs w:val="0"/>
                <w:color w:val="auto"/>
                <w:kern w:val="0"/>
                <w:sz w:val="24"/>
                <w:szCs w:val="24"/>
                <w:u w:val="none"/>
                <w:lang w:val="en-US" w:eastAsia="zh-CN" w:bidi="ar"/>
              </w:rPr>
              <w:t>分值</w:t>
            </w:r>
          </w:p>
        </w:tc>
        <w:tc>
          <w:tcPr>
            <w:tcW w:w="1164"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14:paraId="647F1A7E">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eastAsia" w:ascii="仿宋" w:hAnsi="仿宋" w:eastAsia="仿宋" w:cs="仿宋"/>
                <w:b/>
                <w:bCs/>
                <w:i w:val="0"/>
                <w:iCs w:val="0"/>
                <w:color w:val="auto"/>
                <w:sz w:val="24"/>
                <w:szCs w:val="24"/>
                <w:u w:val="none"/>
              </w:rPr>
            </w:pPr>
            <w:r>
              <w:rPr>
                <w:rFonts w:hint="eastAsia" w:ascii="仿宋" w:hAnsi="仿宋" w:eastAsia="仿宋" w:cs="仿宋"/>
                <w:b/>
                <w:bCs/>
                <w:i w:val="0"/>
                <w:iCs w:val="0"/>
                <w:color w:val="auto"/>
                <w:kern w:val="0"/>
                <w:sz w:val="24"/>
                <w:szCs w:val="24"/>
                <w:u w:val="none"/>
                <w:lang w:val="en-US" w:eastAsia="zh-CN" w:bidi="ar"/>
              </w:rPr>
              <w:t>得分</w:t>
            </w:r>
          </w:p>
        </w:tc>
        <w:tc>
          <w:tcPr>
            <w:tcW w:w="1633"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14:paraId="2D279CBD">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eastAsia" w:ascii="仿宋" w:hAnsi="仿宋" w:eastAsia="仿宋" w:cs="仿宋"/>
                <w:b/>
                <w:bCs/>
                <w:i w:val="0"/>
                <w:iCs w:val="0"/>
                <w:color w:val="auto"/>
                <w:sz w:val="24"/>
                <w:szCs w:val="24"/>
                <w:u w:val="none"/>
              </w:rPr>
            </w:pPr>
            <w:r>
              <w:rPr>
                <w:rFonts w:hint="eastAsia" w:ascii="仿宋" w:hAnsi="仿宋" w:eastAsia="仿宋" w:cs="仿宋"/>
                <w:b/>
                <w:bCs/>
                <w:i w:val="0"/>
                <w:iCs w:val="0"/>
                <w:color w:val="auto"/>
                <w:kern w:val="0"/>
                <w:sz w:val="24"/>
                <w:szCs w:val="24"/>
                <w:u w:val="none"/>
                <w:lang w:val="en-US" w:eastAsia="zh-CN" w:bidi="ar"/>
              </w:rPr>
              <w:t>得分率</w:t>
            </w:r>
          </w:p>
        </w:tc>
      </w:tr>
      <w:tr w14:paraId="770563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2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DDB19">
            <w:pPr>
              <w:keepNext w:val="0"/>
              <w:keepLines w:val="0"/>
              <w:widowControl/>
              <w:suppressLineNumbers w:val="0"/>
              <w:jc w:val="center"/>
              <w:textAlignment w:val="center"/>
              <w:rPr>
                <w:rFonts w:hint="eastAsia" w:ascii="仿宋" w:hAnsi="仿宋" w:eastAsia="仿宋" w:cs="仿宋"/>
                <w:i w:val="0"/>
                <w:iCs w:val="0"/>
                <w:color w:val="auto"/>
                <w:sz w:val="24"/>
                <w:szCs w:val="24"/>
                <w:u w:val="none"/>
              </w:rPr>
            </w:pPr>
            <w:r>
              <w:rPr>
                <w:rFonts w:hint="eastAsia" w:ascii="仿宋" w:hAnsi="仿宋" w:eastAsia="仿宋" w:cs="仿宋"/>
                <w:i w:val="0"/>
                <w:iCs w:val="0"/>
                <w:color w:val="auto"/>
                <w:kern w:val="0"/>
                <w:sz w:val="24"/>
                <w:szCs w:val="24"/>
                <w:u w:val="none"/>
                <w:lang w:val="en-US" w:eastAsia="zh-CN" w:bidi="ar"/>
              </w:rPr>
              <w:t>立项必要性</w:t>
            </w:r>
          </w:p>
        </w:tc>
        <w:tc>
          <w:tcPr>
            <w:tcW w:w="1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975A22">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default" w:ascii="仿宋" w:hAnsi="仿宋" w:eastAsia="仿宋" w:cs="仿宋"/>
                <w:i w:val="0"/>
                <w:iCs w:val="0"/>
                <w:color w:val="auto"/>
                <w:sz w:val="24"/>
                <w:szCs w:val="24"/>
                <w:u w:val="none"/>
                <w:lang w:val="en-US"/>
              </w:rPr>
            </w:pPr>
            <w:r>
              <w:rPr>
                <w:rFonts w:hint="eastAsia" w:ascii="仿宋" w:hAnsi="仿宋" w:eastAsia="仿宋" w:cs="仿宋"/>
                <w:i w:val="0"/>
                <w:iCs w:val="0"/>
                <w:color w:val="auto"/>
                <w:kern w:val="0"/>
                <w:sz w:val="24"/>
                <w:szCs w:val="24"/>
                <w:u w:val="none"/>
                <w:lang w:val="en-US" w:eastAsia="zh-CN" w:bidi="ar"/>
              </w:rPr>
              <w:t>15</w:t>
            </w:r>
          </w:p>
        </w:tc>
        <w:tc>
          <w:tcPr>
            <w:tcW w:w="1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A1B2AA">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eastAsia" w:ascii="仿宋" w:hAnsi="仿宋" w:eastAsia="仿宋" w:cs="仿宋"/>
                <w:i w:val="0"/>
                <w:iCs w:val="0"/>
                <w:color w:val="auto"/>
                <w:sz w:val="24"/>
                <w:szCs w:val="24"/>
                <w:u w:val="none"/>
              </w:rPr>
            </w:pPr>
            <w:r>
              <w:rPr>
                <w:rFonts w:hint="eastAsia" w:ascii="仿宋" w:hAnsi="仿宋" w:eastAsia="仿宋" w:cs="仿宋"/>
                <w:i w:val="0"/>
                <w:iCs w:val="0"/>
                <w:color w:val="auto"/>
                <w:kern w:val="0"/>
                <w:sz w:val="24"/>
                <w:szCs w:val="24"/>
                <w:u w:val="none"/>
                <w:lang w:val="en-US" w:eastAsia="zh-CN" w:bidi="ar"/>
              </w:rPr>
              <w:t>15</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84403">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100.00%</w:t>
            </w:r>
          </w:p>
        </w:tc>
      </w:tr>
      <w:tr w14:paraId="2A0F5E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2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DF7E4">
            <w:pPr>
              <w:keepNext w:val="0"/>
              <w:keepLines w:val="0"/>
              <w:widowControl/>
              <w:suppressLineNumbers w:val="0"/>
              <w:jc w:val="center"/>
              <w:textAlignment w:val="center"/>
              <w:rPr>
                <w:rFonts w:hint="eastAsia" w:ascii="仿宋" w:hAnsi="仿宋" w:eastAsia="仿宋" w:cs="仿宋"/>
                <w:i w:val="0"/>
                <w:iCs w:val="0"/>
                <w:color w:val="auto"/>
                <w:sz w:val="24"/>
                <w:szCs w:val="24"/>
                <w:u w:val="none"/>
              </w:rPr>
            </w:pPr>
            <w:r>
              <w:rPr>
                <w:rFonts w:hint="eastAsia" w:ascii="仿宋" w:hAnsi="仿宋" w:eastAsia="仿宋" w:cs="仿宋"/>
                <w:i w:val="0"/>
                <w:iCs w:val="0"/>
                <w:color w:val="auto"/>
                <w:kern w:val="0"/>
                <w:sz w:val="24"/>
                <w:szCs w:val="24"/>
                <w:u w:val="none"/>
                <w:lang w:val="en-US" w:eastAsia="zh-CN" w:bidi="ar"/>
              </w:rPr>
              <w:t>投入经济性</w:t>
            </w:r>
          </w:p>
        </w:tc>
        <w:tc>
          <w:tcPr>
            <w:tcW w:w="1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C25F9">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default" w:ascii="仿宋" w:hAnsi="仿宋" w:eastAsia="仿宋" w:cs="仿宋"/>
                <w:i w:val="0"/>
                <w:iCs w:val="0"/>
                <w:color w:val="auto"/>
                <w:sz w:val="24"/>
                <w:szCs w:val="24"/>
                <w:u w:val="none"/>
                <w:lang w:val="en-US"/>
              </w:rPr>
            </w:pPr>
            <w:r>
              <w:rPr>
                <w:rFonts w:hint="eastAsia" w:ascii="仿宋" w:hAnsi="仿宋" w:eastAsia="仿宋" w:cs="仿宋"/>
                <w:i w:val="0"/>
                <w:iCs w:val="0"/>
                <w:color w:val="auto"/>
                <w:kern w:val="0"/>
                <w:sz w:val="24"/>
                <w:szCs w:val="24"/>
                <w:u w:val="none"/>
                <w:lang w:val="en-US" w:eastAsia="zh-CN" w:bidi="ar"/>
              </w:rPr>
              <w:t>20</w:t>
            </w:r>
          </w:p>
        </w:tc>
        <w:tc>
          <w:tcPr>
            <w:tcW w:w="1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988C6">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default"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16</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D2214A">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80.00%</w:t>
            </w:r>
          </w:p>
        </w:tc>
      </w:tr>
      <w:tr w14:paraId="216C63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2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3CC3B">
            <w:pPr>
              <w:keepNext w:val="0"/>
              <w:keepLines w:val="0"/>
              <w:widowControl/>
              <w:suppressLineNumbers w:val="0"/>
              <w:jc w:val="center"/>
              <w:textAlignment w:val="center"/>
              <w:rPr>
                <w:rFonts w:hint="eastAsia" w:ascii="仿宋" w:hAnsi="仿宋" w:eastAsia="仿宋" w:cs="仿宋"/>
                <w:i w:val="0"/>
                <w:iCs w:val="0"/>
                <w:color w:val="auto"/>
                <w:sz w:val="24"/>
                <w:szCs w:val="24"/>
                <w:u w:val="none"/>
              </w:rPr>
            </w:pPr>
            <w:r>
              <w:rPr>
                <w:rFonts w:hint="eastAsia" w:ascii="仿宋" w:hAnsi="仿宋" w:eastAsia="仿宋" w:cs="仿宋"/>
                <w:i w:val="0"/>
                <w:iCs w:val="0"/>
                <w:color w:val="auto"/>
                <w:kern w:val="0"/>
                <w:sz w:val="24"/>
                <w:szCs w:val="24"/>
                <w:u w:val="none"/>
                <w:lang w:val="en-US" w:eastAsia="zh-CN" w:bidi="ar"/>
              </w:rPr>
              <w:t>绩效目标合理性</w:t>
            </w:r>
          </w:p>
        </w:tc>
        <w:tc>
          <w:tcPr>
            <w:tcW w:w="1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1B1346">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default"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22</w:t>
            </w:r>
          </w:p>
        </w:tc>
        <w:tc>
          <w:tcPr>
            <w:tcW w:w="1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52BE2">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default"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16</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98AAB">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72.73%</w:t>
            </w:r>
          </w:p>
        </w:tc>
      </w:tr>
      <w:tr w14:paraId="316410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2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B7F96">
            <w:pPr>
              <w:keepNext w:val="0"/>
              <w:keepLines w:val="0"/>
              <w:widowControl/>
              <w:suppressLineNumbers w:val="0"/>
              <w:jc w:val="center"/>
              <w:textAlignment w:val="center"/>
              <w:rPr>
                <w:rFonts w:hint="eastAsia" w:ascii="仿宋" w:hAnsi="仿宋" w:eastAsia="仿宋" w:cs="仿宋"/>
                <w:i w:val="0"/>
                <w:iCs w:val="0"/>
                <w:color w:val="auto"/>
                <w:sz w:val="24"/>
                <w:szCs w:val="24"/>
                <w:u w:val="none"/>
              </w:rPr>
            </w:pPr>
            <w:r>
              <w:rPr>
                <w:rFonts w:hint="eastAsia" w:ascii="仿宋" w:hAnsi="仿宋" w:eastAsia="仿宋" w:cs="仿宋"/>
                <w:i w:val="0"/>
                <w:iCs w:val="0"/>
                <w:color w:val="auto"/>
                <w:kern w:val="0"/>
                <w:sz w:val="24"/>
                <w:szCs w:val="24"/>
                <w:u w:val="none"/>
                <w:lang w:val="en-US" w:eastAsia="zh-CN" w:bidi="ar"/>
              </w:rPr>
              <w:t>项目可行性</w:t>
            </w:r>
          </w:p>
        </w:tc>
        <w:tc>
          <w:tcPr>
            <w:tcW w:w="1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42DF2">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default"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28</w:t>
            </w:r>
          </w:p>
        </w:tc>
        <w:tc>
          <w:tcPr>
            <w:tcW w:w="1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65507">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default"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23</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89E97">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82.14%</w:t>
            </w:r>
          </w:p>
        </w:tc>
      </w:tr>
      <w:tr w14:paraId="6D24B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7" w:hRule="atLeast"/>
          <w:jc w:val="center"/>
        </w:trPr>
        <w:tc>
          <w:tcPr>
            <w:tcW w:w="23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F5254">
            <w:pPr>
              <w:keepNext w:val="0"/>
              <w:keepLines w:val="0"/>
              <w:widowControl/>
              <w:suppressLineNumbers w:val="0"/>
              <w:jc w:val="center"/>
              <w:textAlignment w:val="center"/>
              <w:rPr>
                <w:rFonts w:hint="eastAsia" w:ascii="仿宋" w:hAnsi="仿宋" w:eastAsia="仿宋" w:cs="仿宋"/>
                <w:i w:val="0"/>
                <w:iCs w:val="0"/>
                <w:color w:val="auto"/>
                <w:sz w:val="24"/>
                <w:szCs w:val="24"/>
                <w:u w:val="none"/>
              </w:rPr>
            </w:pPr>
            <w:r>
              <w:rPr>
                <w:rFonts w:hint="eastAsia" w:ascii="仿宋" w:hAnsi="仿宋" w:eastAsia="仿宋" w:cs="仿宋"/>
                <w:i w:val="0"/>
                <w:iCs w:val="0"/>
                <w:color w:val="auto"/>
                <w:kern w:val="0"/>
                <w:sz w:val="24"/>
                <w:szCs w:val="24"/>
                <w:u w:val="none"/>
                <w:lang w:val="en-US" w:eastAsia="zh-CN" w:bidi="ar"/>
              </w:rPr>
              <w:t>筹资可行性</w:t>
            </w:r>
          </w:p>
        </w:tc>
        <w:tc>
          <w:tcPr>
            <w:tcW w:w="1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F376F">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default" w:ascii="仿宋" w:hAnsi="仿宋" w:eastAsia="仿宋" w:cs="仿宋"/>
                <w:i w:val="0"/>
                <w:iCs w:val="0"/>
                <w:color w:val="auto"/>
                <w:sz w:val="24"/>
                <w:szCs w:val="24"/>
                <w:u w:val="none"/>
                <w:lang w:val="en-US" w:eastAsia="zh-CN"/>
              </w:rPr>
            </w:pPr>
            <w:r>
              <w:rPr>
                <w:rFonts w:hint="eastAsia" w:ascii="仿宋" w:hAnsi="仿宋" w:eastAsia="仿宋" w:cs="仿宋"/>
                <w:i w:val="0"/>
                <w:iCs w:val="0"/>
                <w:color w:val="auto"/>
                <w:sz w:val="24"/>
                <w:szCs w:val="24"/>
                <w:u w:val="none"/>
                <w:lang w:val="en-US" w:eastAsia="zh-CN"/>
              </w:rPr>
              <w:t>15</w:t>
            </w:r>
          </w:p>
        </w:tc>
        <w:tc>
          <w:tcPr>
            <w:tcW w:w="1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184F2">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default" w:ascii="仿宋" w:hAnsi="仿宋" w:eastAsia="仿宋" w:cs="仿宋"/>
                <w:i w:val="0"/>
                <w:iCs w:val="0"/>
                <w:color w:val="auto"/>
                <w:sz w:val="24"/>
                <w:szCs w:val="24"/>
                <w:u w:val="none"/>
                <w:lang w:val="en-US"/>
              </w:rPr>
            </w:pPr>
            <w:r>
              <w:rPr>
                <w:rFonts w:hint="eastAsia" w:ascii="仿宋" w:hAnsi="仿宋" w:eastAsia="仿宋" w:cs="仿宋"/>
                <w:i w:val="0"/>
                <w:iCs w:val="0"/>
                <w:color w:val="auto"/>
                <w:kern w:val="0"/>
                <w:sz w:val="24"/>
                <w:szCs w:val="24"/>
                <w:u w:val="none"/>
                <w:lang w:val="en-US" w:eastAsia="zh-CN" w:bidi="ar"/>
              </w:rPr>
              <w:t>15</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2C13D">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eastAsia" w:ascii="仿宋" w:hAnsi="仿宋" w:eastAsia="仿宋" w:cs="仿宋"/>
                <w:i w:val="0"/>
                <w:iCs w:val="0"/>
                <w:color w:val="auto"/>
                <w:kern w:val="0"/>
                <w:sz w:val="24"/>
                <w:szCs w:val="24"/>
                <w:u w:val="none"/>
                <w:lang w:val="en-US" w:eastAsia="zh-CN" w:bidi="ar"/>
              </w:rPr>
            </w:pPr>
            <w:r>
              <w:rPr>
                <w:rFonts w:hint="eastAsia" w:ascii="仿宋" w:hAnsi="仿宋" w:eastAsia="仿宋" w:cs="仿宋"/>
                <w:i w:val="0"/>
                <w:iCs w:val="0"/>
                <w:color w:val="auto"/>
                <w:kern w:val="0"/>
                <w:sz w:val="24"/>
                <w:szCs w:val="24"/>
                <w:u w:val="none"/>
                <w:lang w:val="en-US" w:eastAsia="zh-CN" w:bidi="ar"/>
              </w:rPr>
              <w:t>100.00%</w:t>
            </w:r>
          </w:p>
        </w:tc>
      </w:tr>
      <w:tr w14:paraId="211E85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7"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5C5CBB">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eastAsia" w:ascii="仿宋" w:hAnsi="仿宋" w:eastAsia="仿宋" w:cs="仿宋"/>
                <w:b/>
                <w:bCs/>
                <w:i w:val="0"/>
                <w:iCs w:val="0"/>
                <w:color w:val="auto"/>
                <w:sz w:val="24"/>
                <w:szCs w:val="24"/>
                <w:u w:val="none"/>
              </w:rPr>
            </w:pPr>
            <w:r>
              <w:rPr>
                <w:rFonts w:hint="eastAsia" w:ascii="仿宋" w:hAnsi="仿宋" w:eastAsia="仿宋" w:cs="仿宋"/>
                <w:b/>
                <w:bCs/>
                <w:i w:val="0"/>
                <w:iCs w:val="0"/>
                <w:color w:val="auto"/>
                <w:kern w:val="0"/>
                <w:sz w:val="24"/>
                <w:szCs w:val="24"/>
                <w:u w:val="none"/>
                <w:lang w:val="en-US" w:eastAsia="zh-CN" w:bidi="ar"/>
              </w:rPr>
              <w:t>合计</w:t>
            </w:r>
          </w:p>
        </w:tc>
        <w:tc>
          <w:tcPr>
            <w:tcW w:w="1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6EAED">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eastAsia" w:ascii="仿宋" w:hAnsi="仿宋" w:eastAsia="仿宋" w:cs="仿宋"/>
                <w:b/>
                <w:bCs/>
                <w:i w:val="0"/>
                <w:iCs w:val="0"/>
                <w:color w:val="auto"/>
                <w:sz w:val="24"/>
                <w:szCs w:val="24"/>
                <w:u w:val="none"/>
              </w:rPr>
            </w:pPr>
            <w:r>
              <w:rPr>
                <w:rFonts w:hint="eastAsia" w:ascii="仿宋" w:hAnsi="仿宋" w:eastAsia="仿宋" w:cs="仿宋"/>
                <w:b/>
                <w:bCs/>
                <w:i w:val="0"/>
                <w:iCs w:val="0"/>
                <w:color w:val="auto"/>
                <w:kern w:val="0"/>
                <w:sz w:val="24"/>
                <w:szCs w:val="24"/>
                <w:u w:val="none"/>
                <w:lang w:val="en-US" w:eastAsia="zh-CN" w:bidi="ar"/>
              </w:rPr>
              <w:t>100</w:t>
            </w:r>
          </w:p>
        </w:tc>
        <w:tc>
          <w:tcPr>
            <w:tcW w:w="11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138978">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default" w:ascii="仿宋" w:hAnsi="仿宋" w:eastAsia="仿宋" w:cs="仿宋"/>
                <w:b/>
                <w:bCs/>
                <w:i w:val="0"/>
                <w:iCs w:val="0"/>
                <w:color w:val="auto"/>
                <w:sz w:val="24"/>
                <w:szCs w:val="24"/>
                <w:u w:val="none"/>
                <w:lang w:val="en-US" w:eastAsia="zh-CN"/>
              </w:rPr>
            </w:pPr>
            <w:r>
              <w:rPr>
                <w:rFonts w:hint="eastAsia" w:ascii="仿宋" w:hAnsi="仿宋" w:eastAsia="仿宋" w:cs="仿宋"/>
                <w:b/>
                <w:bCs/>
                <w:i w:val="0"/>
                <w:iCs w:val="0"/>
                <w:color w:val="auto"/>
                <w:sz w:val="24"/>
                <w:szCs w:val="24"/>
                <w:u w:val="none"/>
                <w:lang w:val="en-US" w:eastAsia="zh-CN"/>
              </w:rPr>
              <w:t>85</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9F32E8">
            <w:pPr>
              <w:keepNext w:val="0"/>
              <w:keepLines w:val="0"/>
              <w:pageBreakBefore w:val="0"/>
              <w:widowControl/>
              <w:suppressLineNumbers w:val="0"/>
              <w:kinsoku/>
              <w:wordWrap/>
              <w:overflowPunct/>
              <w:topLinePunct w:val="0"/>
              <w:autoSpaceDE/>
              <w:autoSpaceDN/>
              <w:bidi w:val="0"/>
              <w:snapToGrid/>
              <w:ind w:left="0" w:leftChars="0"/>
              <w:jc w:val="center"/>
              <w:textAlignment w:val="center"/>
              <w:rPr>
                <w:rFonts w:hint="eastAsia" w:ascii="仿宋" w:hAnsi="仿宋" w:eastAsia="仿宋" w:cs="仿宋"/>
                <w:b/>
                <w:bCs/>
                <w:i w:val="0"/>
                <w:iCs w:val="0"/>
                <w:color w:val="auto"/>
                <w:sz w:val="24"/>
                <w:szCs w:val="24"/>
                <w:u w:val="none"/>
              </w:rPr>
            </w:pPr>
            <w:r>
              <w:rPr>
                <w:rFonts w:hint="eastAsia" w:ascii="仿宋" w:hAnsi="仿宋" w:eastAsia="仿宋" w:cs="仿宋"/>
                <w:b/>
                <w:bCs/>
                <w:i w:val="0"/>
                <w:iCs w:val="0"/>
                <w:color w:val="auto"/>
                <w:kern w:val="0"/>
                <w:sz w:val="24"/>
                <w:szCs w:val="24"/>
                <w:u w:val="none"/>
                <w:lang w:val="en-US" w:eastAsia="zh-CN" w:bidi="ar"/>
              </w:rPr>
              <w:t>85.00%</w:t>
            </w:r>
          </w:p>
        </w:tc>
      </w:tr>
    </w:tbl>
    <w:p w14:paraId="1A4FF29B">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跨境电商品牌培育全流程服务实施思路清晰，目标定位准确，总体需求方案明确，项目的组织管理和运行维护条件完备，项目实施为跨境电商品牌化发展提供了系统性支撑，因此本项目实施是合理可行的。但项目需重点关注绩效目标设置科学性及过程管控精细化程度，风险应对措施未知，相关信息还有待完善。综合绩效评估结论为“建议调整后实施”。</w:t>
      </w:r>
    </w:p>
    <w:p w14:paraId="0E455BBD">
      <w:pPr>
        <w:keepNext w:val="0"/>
        <w:keepLines w:val="0"/>
        <w:pageBreakBefore w:val="0"/>
        <w:widowControl w:val="0"/>
        <w:kinsoku/>
        <w:wordWrap/>
        <w:overflowPunct/>
        <w:topLinePunct w:val="0"/>
        <w:autoSpaceDE/>
        <w:autoSpaceDN/>
        <w:bidi w:val="0"/>
        <w:snapToGrid/>
        <w:spacing w:line="560" w:lineRule="exact"/>
        <w:ind w:leftChars="0" w:firstLine="643" w:firstLineChars="200"/>
        <w:jc w:val="both"/>
        <w:outlineLvl w:val="1"/>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pPr>
      <w:bookmarkStart w:id="58" w:name="_Toc3062"/>
      <w:r>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t>（一）存在的主要问题</w:t>
      </w:r>
      <w:bookmarkEnd w:id="58"/>
    </w:p>
    <w:p w14:paraId="2F1642EC">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eastAsia" w:ascii="仿宋_GB2312" w:hAnsi="仿宋_GB2312" w:eastAsia="仿宋_GB2312" w:cs="仿宋_GB2312"/>
          <w:b/>
          <w:bCs/>
          <w:color w:val="auto"/>
          <w:kern w:val="0"/>
          <w:sz w:val="32"/>
          <w:szCs w:val="32"/>
          <w:highlight w:val="none"/>
          <w:lang w:val="en-US" w:eastAsia="zh-CN" w:bidi="ar-SA"/>
        </w:rPr>
      </w:pPr>
      <w:bookmarkStart w:id="59" w:name="_Toc11838"/>
      <w:r>
        <w:rPr>
          <w:rFonts w:hint="eastAsia" w:ascii="仿宋_GB2312" w:hAnsi="仿宋_GB2312" w:eastAsia="仿宋_GB2312" w:cs="仿宋_GB2312"/>
          <w:b/>
          <w:bCs/>
          <w:color w:val="auto"/>
          <w:kern w:val="0"/>
          <w:sz w:val="32"/>
          <w:szCs w:val="32"/>
          <w:highlight w:val="none"/>
          <w:lang w:val="en-US" w:eastAsia="zh-CN" w:bidi="ar-SA"/>
        </w:rPr>
        <w:t>1.报价供应商业务领域与项目需求错配</w:t>
      </w:r>
      <w:bookmarkEnd w:id="59"/>
    </w:p>
    <w:p w14:paraId="0829AC72">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实施单位在编制采购预算前，虽然按规定开展了需求调查，但仅通过线上官方网站公告这一种方式来收集供应商的意见，限制了信息的来源范围。从参与调查的供应商数量来看，最终仅有三家供应商参与其中，样本量显著不足导致所收集到的信息代表性有限。由于参与的供应商数量过少，无法全面涵盖市场上主流的供应商群体，更难以触及那些潜在的优质供应商。由于样本的局限性，所收集到的关键信息（采购项目价格的合理区间、实施成本的具体构成等）不够充分、全面，无法为采购预算的编制提供准确、可靠的依据，</w:t>
      </w:r>
      <w:r>
        <w:rPr>
          <w:rFonts w:hint="default" w:ascii="仿宋_GB2312" w:hAnsi="仿宋_GB2312" w:eastAsia="仿宋_GB2312" w:cs="仿宋_GB2312"/>
          <w:color w:val="auto"/>
          <w:kern w:val="0"/>
          <w:sz w:val="32"/>
          <w:szCs w:val="32"/>
          <w:highlight w:val="none"/>
          <w:lang w:val="en-US" w:eastAsia="zh-CN" w:bidi="ar-SA"/>
        </w:rPr>
        <w:t>增加预算偏离风险，给成本控制与预算合理性带来挑战</w:t>
      </w:r>
      <w:r>
        <w:rPr>
          <w:rFonts w:hint="eastAsia" w:ascii="仿宋_GB2312" w:hAnsi="仿宋_GB2312" w:eastAsia="仿宋_GB2312" w:cs="仿宋_GB2312"/>
          <w:color w:val="auto"/>
          <w:kern w:val="0"/>
          <w:sz w:val="32"/>
          <w:szCs w:val="32"/>
          <w:highlight w:val="none"/>
          <w:lang w:val="en-US" w:eastAsia="zh-CN" w:bidi="ar-SA"/>
        </w:rPr>
        <w:t>。前期市场调研不充分，未能规范参与询价企业的资质，三家报价公司中有两家业务领域与项目需求错配。</w:t>
      </w:r>
      <w:r>
        <w:rPr>
          <w:rFonts w:hint="default" w:ascii="仿宋_GB2312" w:hAnsi="仿宋_GB2312" w:eastAsia="仿宋_GB2312" w:cs="仿宋_GB2312"/>
          <w:color w:val="auto"/>
          <w:kern w:val="0"/>
          <w:sz w:val="32"/>
          <w:szCs w:val="32"/>
          <w:highlight w:val="none"/>
          <w:lang w:val="en-US" w:eastAsia="zh-CN" w:bidi="ar-SA"/>
        </w:rPr>
        <w:t>河北乐猫网络科技有限公司与南京捷盛物业管理有限公司核心业务集中于软件开发、物业管理等领域，与跨境电商品牌培育全流程服务（如国际物流、海外仓管理、品牌孵化）关联性低，不熟悉跨境电商行业特性，</w:t>
      </w:r>
      <w:r>
        <w:rPr>
          <w:rFonts w:hint="eastAsia" w:ascii="仿宋_GB2312" w:hAnsi="仿宋_GB2312" w:eastAsia="仿宋_GB2312" w:cs="仿宋_GB2312"/>
          <w:color w:val="auto"/>
          <w:kern w:val="0"/>
          <w:sz w:val="32"/>
          <w:szCs w:val="32"/>
          <w:highlight w:val="none"/>
          <w:lang w:val="en-US" w:eastAsia="zh-CN" w:bidi="ar-SA"/>
        </w:rPr>
        <w:t>影响项目效果，</w:t>
      </w:r>
      <w:r>
        <w:rPr>
          <w:rFonts w:hint="default" w:ascii="仿宋_GB2312" w:hAnsi="仿宋_GB2312" w:eastAsia="仿宋_GB2312" w:cs="仿宋_GB2312"/>
          <w:color w:val="auto"/>
          <w:kern w:val="0"/>
          <w:sz w:val="32"/>
          <w:szCs w:val="32"/>
          <w:highlight w:val="none"/>
          <w:lang w:val="en-US" w:eastAsia="zh-CN" w:bidi="ar-SA"/>
        </w:rPr>
        <w:t>降低项目效果可持续性。</w:t>
      </w:r>
    </w:p>
    <w:p w14:paraId="18BA4C7F">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default" w:ascii="仿宋_GB2312" w:hAnsi="仿宋_GB2312" w:eastAsia="仿宋_GB2312" w:cs="仿宋_GB2312"/>
          <w:b/>
          <w:bCs/>
          <w:color w:val="auto"/>
          <w:kern w:val="0"/>
          <w:sz w:val="32"/>
          <w:szCs w:val="32"/>
          <w:highlight w:val="none"/>
          <w:lang w:val="en-US" w:eastAsia="zh-CN" w:bidi="ar-SA"/>
        </w:rPr>
      </w:pPr>
      <w:bookmarkStart w:id="60" w:name="_Toc14227"/>
      <w:r>
        <w:rPr>
          <w:rFonts w:hint="eastAsia" w:ascii="仿宋_GB2312" w:hAnsi="仿宋_GB2312" w:eastAsia="仿宋_GB2312" w:cs="仿宋_GB2312"/>
          <w:b/>
          <w:bCs/>
          <w:color w:val="auto"/>
          <w:kern w:val="0"/>
          <w:sz w:val="32"/>
          <w:szCs w:val="32"/>
          <w:highlight w:val="none"/>
          <w:lang w:val="en-US" w:eastAsia="zh-CN" w:bidi="ar-SA"/>
        </w:rPr>
        <w:t>2.相关成本管控措施考虑不完善</w:t>
      </w:r>
      <w:bookmarkEnd w:id="60"/>
    </w:p>
    <w:p w14:paraId="4FBAAB4D">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项目制定了基础的成本控制框架，具有成本控制措施且具有一定可操作性，但项目成本措施考虑不完善。在两年平均审计综合评价低于70%的情况下，2025年项目成本控制措施在流程细化和动态调整机制上可进一步优化，以有效应对历史遗留问题与外部冲击，提高成本控制措施的全面有效性。针对历史项目中未达年度应达成数的遗留问题提出具体的成本控制方案。例如，说明如何避免在项目执行过程中因各种意外因素导致成本超支，针对之前项目成本措施不完善的问题进行改进和优化，确保在预算降低的情况下项目能顺利达到预期目标。此外，没有评估新增服务内容对项目成本的影响，以及如何根据成本情况调整服务内容和规模。</w:t>
      </w:r>
    </w:p>
    <w:p w14:paraId="66F67690">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eastAsia" w:ascii="仿宋_GB2312" w:hAnsi="仿宋_GB2312" w:eastAsia="仿宋_GB2312" w:cs="仿宋_GB2312"/>
          <w:b/>
          <w:bCs/>
          <w:color w:val="auto"/>
          <w:kern w:val="0"/>
          <w:sz w:val="32"/>
          <w:szCs w:val="32"/>
          <w:highlight w:val="none"/>
          <w:lang w:val="en-US" w:eastAsia="zh-CN" w:bidi="ar-SA"/>
        </w:rPr>
      </w:pPr>
      <w:bookmarkStart w:id="61" w:name="_Toc20155"/>
      <w:r>
        <w:rPr>
          <w:rFonts w:hint="eastAsia" w:ascii="仿宋_GB2312" w:hAnsi="仿宋_GB2312" w:eastAsia="仿宋_GB2312" w:cs="仿宋_GB2312"/>
          <w:b/>
          <w:bCs/>
          <w:color w:val="auto"/>
          <w:kern w:val="0"/>
          <w:sz w:val="32"/>
          <w:szCs w:val="32"/>
          <w:highlight w:val="none"/>
          <w:lang w:val="en-US" w:eastAsia="zh-CN" w:bidi="ar-SA"/>
        </w:rPr>
        <w:t>3.</w:t>
      </w:r>
      <w:bookmarkEnd w:id="61"/>
      <w:bookmarkStart w:id="62" w:name="_Toc9401"/>
      <w:r>
        <w:rPr>
          <w:rFonts w:hint="eastAsia" w:ascii="仿宋_GB2312" w:hAnsi="仿宋_GB2312" w:eastAsia="仿宋_GB2312" w:cs="仿宋_GB2312"/>
          <w:b/>
          <w:bCs/>
          <w:color w:val="auto"/>
          <w:kern w:val="0"/>
          <w:sz w:val="32"/>
          <w:szCs w:val="32"/>
          <w:highlight w:val="none"/>
          <w:lang w:val="en-US" w:eastAsia="zh-CN" w:bidi="ar-SA"/>
        </w:rPr>
        <w:t>绩效指标设置合理性不足</w:t>
      </w:r>
      <w:bookmarkEnd w:id="62"/>
    </w:p>
    <w:p w14:paraId="34CC08B1">
      <w:pPr>
        <w:ind w:firstLine="640" w:firstLineChars="200"/>
        <w:rPr>
          <w:rFonts w:hint="eastAsia"/>
          <w:lang w:val="en-US" w:eastAsia="zh-CN"/>
        </w:rPr>
      </w:pPr>
      <w:bookmarkStart w:id="63" w:name="_Toc14169"/>
      <w:r>
        <w:rPr>
          <w:rFonts w:hint="eastAsia" w:ascii="仿宋_GB2312" w:hAnsi="仿宋_GB2312" w:eastAsia="仿宋_GB2312" w:cs="仿宋_GB2312"/>
          <w:b w:val="0"/>
          <w:bCs w:val="0"/>
          <w:color w:val="auto"/>
          <w:kern w:val="0"/>
          <w:sz w:val="32"/>
          <w:szCs w:val="32"/>
          <w:highlight w:val="none"/>
          <w:lang w:val="en-US" w:eastAsia="zh-CN" w:bidi="ar-SA"/>
        </w:rPr>
        <w:t>本项目资金绩效目标表</w:t>
      </w:r>
      <w:bookmarkEnd w:id="63"/>
      <w:r>
        <w:rPr>
          <w:rFonts w:hint="eastAsia" w:ascii="仿宋_GB2312" w:hAnsi="仿宋_GB2312" w:eastAsia="仿宋_GB2312" w:cs="仿宋_GB2312"/>
          <w:b w:val="0"/>
          <w:bCs w:val="0"/>
          <w:color w:val="auto"/>
          <w:kern w:val="0"/>
          <w:sz w:val="32"/>
          <w:szCs w:val="32"/>
          <w:highlight w:val="none"/>
          <w:lang w:val="en-US" w:eastAsia="zh-CN" w:bidi="ar-SA"/>
        </w:rPr>
        <w:t>中指标设置不够合理。</w:t>
      </w:r>
      <w:r>
        <w:rPr>
          <w:rFonts w:hint="eastAsia" w:ascii="仿宋_GB2312" w:hAnsi="仿宋_GB2312" w:eastAsia="仿宋_GB2312" w:cs="仿宋_GB2312"/>
          <w:color w:val="auto"/>
          <w:kern w:val="0"/>
          <w:sz w:val="32"/>
          <w:szCs w:val="32"/>
          <w:highlight w:val="none"/>
          <w:lang w:val="en-US" w:eastAsia="zh-CN" w:bidi="ar-SA"/>
        </w:rPr>
        <w:t>首先，绩效目标匹配性不足，根据现有绩效指标无法依据该指标的评估结果对项目活动内容和形式进行有效改进，不利于项目服务质量的持续提升和优化。其次，绩效目标设置准确性和合理性欠妥，本项目绩效目标产出指标中质量指标设置为“资金使用合规性”，该指标无法满足质量指标反映预期提供的公共产品或服务达到的标准和水平的需要；“举办泉州级超百人大型活动场次”主要体现的是活动的规模和数量，并非直接反映项目服务的质量。另外，本项目绩效指标设置有适当的定性和定量指标，但</w:t>
      </w:r>
      <w:r>
        <w:rPr>
          <w:rFonts w:hint="eastAsia" w:ascii="仿宋_GB2312" w:hAnsi="仿宋_GB2312" w:eastAsia="仿宋_GB2312" w:cs="仿宋_GB2312"/>
          <w:color w:val="auto"/>
          <w:kern w:val="2"/>
          <w:sz w:val="32"/>
          <w:szCs w:val="32"/>
          <w:highlight w:val="none"/>
          <w:lang w:val="en-US" w:eastAsia="zh-CN" w:bidi="ar-SA"/>
        </w:rPr>
        <w:t>部分指标未实现清晰可衡量的细化。</w:t>
      </w:r>
    </w:p>
    <w:p w14:paraId="5CDA3970">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eastAsia" w:ascii="仿宋_GB2312" w:hAnsi="仿宋_GB2312" w:eastAsia="仿宋_GB2312" w:cs="仿宋_GB2312"/>
          <w:b/>
          <w:bCs/>
          <w:color w:val="auto"/>
          <w:kern w:val="0"/>
          <w:sz w:val="32"/>
          <w:szCs w:val="32"/>
          <w:highlight w:val="none"/>
          <w:lang w:val="en-US" w:eastAsia="zh-CN" w:bidi="ar-SA"/>
        </w:rPr>
      </w:pPr>
      <w:bookmarkStart w:id="64" w:name="_Toc29069"/>
      <w:r>
        <w:rPr>
          <w:rFonts w:hint="eastAsia" w:ascii="仿宋_GB2312" w:hAnsi="仿宋_GB2312" w:eastAsia="仿宋_GB2312" w:cs="仿宋_GB2312"/>
          <w:b/>
          <w:bCs/>
          <w:color w:val="auto"/>
          <w:kern w:val="0"/>
          <w:sz w:val="32"/>
          <w:szCs w:val="32"/>
          <w:highlight w:val="none"/>
          <w:lang w:val="en-US" w:eastAsia="zh-CN" w:bidi="ar-SA"/>
        </w:rPr>
        <w:t>4.实施机构日常监管佐证材料不足</w:t>
      </w:r>
      <w:bookmarkEnd w:id="64"/>
    </w:p>
    <w:p w14:paraId="11247914">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跨境电商品牌培育全流程服务尚未正式成文，形成书面、具体的质量监督、日常管理等业务管理制度和管理手册，也未见其会议纪要、工作记录等管理措施、管理行为的佐证材料。实施机构日常监管不到位，无法为项目后续运作提供有力保障。</w:t>
      </w:r>
    </w:p>
    <w:p w14:paraId="6D9C9697">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default" w:ascii="仿宋_GB2312" w:hAnsi="仿宋_GB2312" w:eastAsia="仿宋_GB2312" w:cs="仿宋_GB2312"/>
          <w:b/>
          <w:bCs/>
          <w:color w:val="auto"/>
          <w:kern w:val="0"/>
          <w:sz w:val="32"/>
          <w:szCs w:val="32"/>
          <w:highlight w:val="none"/>
          <w:lang w:val="en-US" w:eastAsia="zh-CN" w:bidi="ar-SA"/>
        </w:rPr>
      </w:pPr>
      <w:bookmarkStart w:id="65" w:name="_Toc31514"/>
      <w:r>
        <w:rPr>
          <w:rFonts w:hint="eastAsia" w:ascii="仿宋_GB2312" w:hAnsi="仿宋_GB2312" w:eastAsia="仿宋_GB2312" w:cs="仿宋_GB2312"/>
          <w:b/>
          <w:bCs/>
          <w:color w:val="auto"/>
          <w:kern w:val="0"/>
          <w:sz w:val="32"/>
          <w:szCs w:val="32"/>
          <w:highlight w:val="none"/>
          <w:lang w:val="en-US" w:eastAsia="zh-CN" w:bidi="ar-SA"/>
        </w:rPr>
        <w:t>5.项目产出效果可持续性不足</w:t>
      </w:r>
      <w:bookmarkEnd w:id="65"/>
    </w:p>
    <w:p w14:paraId="46602277">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根据“石狮市跨境电商品牌培育全流程服务”2023年与2024年度指标完成情况的专项审计报告，从具体指标、考核权数及交付要求，2023年审计综合评价为71%，2024年审计综合评价为66.88%，两年平均低于70%。从上一期项目实际完成情况来看，2025年度项目在获得社会效益、文化效益的持续力不足。</w:t>
      </w:r>
    </w:p>
    <w:p w14:paraId="37F6C3A5">
      <w:pPr>
        <w:keepNext w:val="0"/>
        <w:keepLines w:val="0"/>
        <w:pageBreakBefore w:val="0"/>
        <w:widowControl w:val="0"/>
        <w:kinsoku/>
        <w:wordWrap/>
        <w:overflowPunct/>
        <w:topLinePunct w:val="0"/>
        <w:autoSpaceDE/>
        <w:autoSpaceDN/>
        <w:bidi w:val="0"/>
        <w:snapToGrid/>
        <w:spacing w:line="560" w:lineRule="exact"/>
        <w:ind w:leftChars="0" w:firstLine="643" w:firstLineChars="200"/>
        <w:jc w:val="both"/>
        <w:outlineLvl w:val="1"/>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pPr>
      <w:bookmarkStart w:id="66" w:name="_Toc14596"/>
      <w:r>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t>（二）</w:t>
      </w:r>
      <w:r>
        <w:rPr>
          <w:rFonts w:hint="eastAsia" w:ascii="楷体_GB2312" w:hAnsi="楷体_GB2312" w:eastAsia="楷体_GB2312" w:cs="楷体_GB2312"/>
          <w:b/>
          <w:bCs/>
          <w:color w:val="000000" w:themeColor="text1"/>
          <w:sz w:val="32"/>
          <w:szCs w:val="32"/>
          <w:lang w:val="en-US" w:eastAsia="zh-CN"/>
          <w14:textFill>
            <w14:solidFill>
              <w14:schemeClr w14:val="tx1"/>
            </w14:solidFill>
          </w14:textFill>
        </w:rPr>
        <w:t>相关</w:t>
      </w:r>
      <w:r>
        <w:rPr>
          <w:rFonts w:hint="eastAsia" w:ascii="楷体_GB2312" w:hAnsi="楷体_GB2312" w:eastAsia="楷体_GB2312" w:cs="楷体_GB2312"/>
          <w:b/>
          <w:bCs/>
          <w:color w:val="000000" w:themeColor="text1"/>
          <w:sz w:val="32"/>
          <w:szCs w:val="32"/>
          <w:lang w:val="zh-CN" w:eastAsia="zh-CN"/>
          <w14:textFill>
            <w14:solidFill>
              <w14:schemeClr w14:val="tx1"/>
            </w14:solidFill>
          </w14:textFill>
        </w:rPr>
        <w:t>建议</w:t>
      </w:r>
      <w:bookmarkEnd w:id="66"/>
    </w:p>
    <w:p w14:paraId="6A9A91F4">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default" w:ascii="仿宋_GB2312" w:hAnsi="仿宋_GB2312" w:eastAsia="仿宋_GB2312" w:cs="仿宋_GB2312"/>
          <w:b/>
          <w:bCs/>
          <w:color w:val="auto"/>
          <w:kern w:val="0"/>
          <w:sz w:val="32"/>
          <w:szCs w:val="32"/>
          <w:highlight w:val="none"/>
          <w:lang w:val="en-US" w:eastAsia="zh-CN" w:bidi="ar-SA"/>
        </w:rPr>
      </w:pPr>
      <w:bookmarkStart w:id="67" w:name="_Toc12169"/>
      <w:r>
        <w:rPr>
          <w:rFonts w:hint="eastAsia" w:ascii="仿宋_GB2312" w:hAnsi="仿宋_GB2312" w:eastAsia="仿宋_GB2312" w:cs="仿宋_GB2312"/>
          <w:b/>
          <w:bCs/>
          <w:color w:val="auto"/>
          <w:kern w:val="0"/>
          <w:sz w:val="32"/>
          <w:szCs w:val="32"/>
          <w:highlight w:val="none"/>
          <w:lang w:val="en-US" w:eastAsia="zh-CN" w:bidi="ar-SA"/>
        </w:rPr>
        <w:t>1.强化项目前期的市场调研</w:t>
      </w:r>
      <w:bookmarkEnd w:id="67"/>
    </w:p>
    <w:p w14:paraId="0A50ED75">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实施单位在后续开展同类项目时，需进一步拓展市场调研的途径。除利用线上官方网站发布公告外，还应积极通过行业展会、供应商推荐、专业咨询机构等多种方式，广泛收集供应商信息。在收集过程中，要确保至少覆盖5家主流供应商。同时，综合运用线下访谈、研读行业报告等多种数据来源，从多个维度获取信息，以此保证所收集到的市场信息全面且准确。在收集信息时，不能仅仅局限于采购金额，还需对项目建设内容、功能范围、技术规格、实施难度以及服务要求等关键要素展开深入调研与分析。此外，在供应商的选择上提出明确的标准，重构供应商筛选标准，优先选择具备跨境电商全流程服务资质的企业，要求供应商提供近三年与项目相关的跨境电商服务案例（如独立站建设、海外仓运营数据）。</w:t>
      </w:r>
    </w:p>
    <w:p w14:paraId="35651483">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default" w:ascii="仿宋_GB2312" w:hAnsi="仿宋_GB2312" w:eastAsia="仿宋_GB2312" w:cs="仿宋_GB2312"/>
          <w:b/>
          <w:bCs/>
          <w:color w:val="auto"/>
          <w:kern w:val="0"/>
          <w:sz w:val="32"/>
          <w:szCs w:val="32"/>
          <w:highlight w:val="none"/>
          <w:lang w:val="en-US" w:eastAsia="zh-CN" w:bidi="ar-SA"/>
        </w:rPr>
      </w:pPr>
      <w:bookmarkStart w:id="68" w:name="_Toc15202"/>
      <w:r>
        <w:rPr>
          <w:rFonts w:hint="eastAsia" w:ascii="仿宋_GB2312" w:hAnsi="仿宋_GB2312" w:eastAsia="仿宋_GB2312" w:cs="仿宋_GB2312"/>
          <w:b/>
          <w:bCs/>
          <w:color w:val="auto"/>
          <w:kern w:val="0"/>
          <w:sz w:val="32"/>
          <w:szCs w:val="32"/>
          <w:highlight w:val="none"/>
          <w:lang w:val="en-US" w:eastAsia="zh-CN" w:bidi="ar-SA"/>
        </w:rPr>
        <w:t>2.制定针对性预防措施</w:t>
      </w:r>
      <w:bookmarkEnd w:id="68"/>
    </w:p>
    <w:p w14:paraId="1DB77D3E">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结合2023年与2024年专项审计的结果，重点分析未达到年度应达成数的指标，识别可能影响指标达成的关键因素。基于历史完成率与风险系数，重新设定当年年度目标值。完善相关成本管控措施，在成本控制中设定预警阈值，如年度偏差率超10%，自动扣减下年度预算5%。</w:t>
      </w:r>
    </w:p>
    <w:p w14:paraId="443B24B4">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eastAsia" w:ascii="仿宋_GB2312" w:hAnsi="仿宋_GB2312" w:eastAsia="仿宋_GB2312" w:cs="仿宋_GB2312"/>
          <w:b/>
          <w:bCs/>
          <w:color w:val="auto"/>
          <w:kern w:val="0"/>
          <w:sz w:val="32"/>
          <w:szCs w:val="32"/>
          <w:highlight w:val="none"/>
          <w:lang w:val="en-US" w:eastAsia="zh-CN" w:bidi="ar-SA"/>
        </w:rPr>
      </w:pPr>
      <w:bookmarkStart w:id="69" w:name="_Toc2314"/>
      <w:r>
        <w:rPr>
          <w:rFonts w:hint="eastAsia" w:ascii="仿宋_GB2312" w:hAnsi="仿宋_GB2312" w:eastAsia="仿宋_GB2312" w:cs="仿宋_GB2312"/>
          <w:b/>
          <w:bCs/>
          <w:color w:val="auto"/>
          <w:kern w:val="0"/>
          <w:sz w:val="32"/>
          <w:szCs w:val="32"/>
          <w:highlight w:val="none"/>
          <w:lang w:val="en-US" w:eastAsia="zh-CN" w:bidi="ar-SA"/>
        </w:rPr>
        <w:t>3.优化项目绩效目标设置</w:t>
      </w:r>
      <w:bookmarkEnd w:id="69"/>
    </w:p>
    <w:p w14:paraId="12D75033">
      <w:pPr>
        <w:keepNext w:val="0"/>
        <w:keepLines w:val="0"/>
        <w:pageBreakBefore w:val="0"/>
        <w:widowControl w:val="0"/>
        <w:tabs>
          <w:tab w:val="left" w:pos="541"/>
        </w:tabs>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auto"/>
          <w:kern w:val="0"/>
          <w:sz w:val="32"/>
          <w:szCs w:val="32"/>
          <w:highlight w:val="none"/>
          <w:lang w:val="en-US" w:eastAsia="zh-CN" w:bidi="ar-SA"/>
        </w:rPr>
        <w:t>提升对绩效目标设置的重视程度，加大绩效目标设置的审核力度，修正不合理指标，优化目标设置逻辑，确保绩效目标的合理性。针对绩效目标设置过程中存在的问题提出以下具体建议：第一，细化购买服务类项目成本指标设置，可以从总成本、分项成本和单位成本三个方面综合反映。第二，数量指标设置时应对现有定性和定量指标进行细化，定性指标可以通过制定评分标准、设立等级划分等方式，使其具备可量化性；定量指标则应明确计算方法和数据来源，确保数据的准确性和可靠性。第三，产出质量指标设置需要反映预期提供的公共产品和服务达到的标准、水平和效果，可结合项目招标采购需求书、服务合同的相关服务质量条款，设置相应的产出质量指标。</w:t>
      </w:r>
    </w:p>
    <w:p w14:paraId="760DC025">
      <w:pPr>
        <w:keepNext w:val="0"/>
        <w:keepLines w:val="0"/>
        <w:pageBreakBefore w:val="0"/>
        <w:widowControl/>
        <w:suppressLineNumbers w:val="0"/>
        <w:kinsoku/>
        <w:wordWrap/>
        <w:overflowPunct/>
        <w:topLinePunct w:val="0"/>
        <w:autoSpaceDE/>
        <w:autoSpaceDN/>
        <w:bidi w:val="0"/>
        <w:adjustRightInd/>
        <w:snapToGrid/>
        <w:spacing w:line="560" w:lineRule="exact"/>
        <w:ind w:left="0" w:leftChars="0" w:right="0" w:firstLine="643" w:firstLineChars="200"/>
        <w:jc w:val="both"/>
        <w:textAlignment w:val="auto"/>
        <w:outlineLvl w:val="2"/>
        <w:rPr>
          <w:rFonts w:hint="eastAsia" w:ascii="仿宋_GB2312" w:hAnsi="仿宋_GB2312" w:eastAsia="仿宋_GB2312" w:cs="仿宋_GB2312"/>
          <w:color w:val="auto"/>
          <w:kern w:val="0"/>
          <w:sz w:val="32"/>
          <w:szCs w:val="32"/>
          <w:highlight w:val="none"/>
          <w:lang w:val="en-US" w:eastAsia="zh-CN" w:bidi="ar-SA"/>
        </w:rPr>
      </w:pPr>
      <w:bookmarkStart w:id="70" w:name="_Toc20004"/>
      <w:r>
        <w:rPr>
          <w:rFonts w:hint="eastAsia" w:ascii="仿宋_GB2312" w:hAnsi="仿宋_GB2312" w:eastAsia="仿宋_GB2312" w:cs="仿宋_GB2312"/>
          <w:b/>
          <w:bCs/>
          <w:color w:val="auto"/>
          <w:kern w:val="0"/>
          <w:sz w:val="32"/>
          <w:szCs w:val="32"/>
          <w:highlight w:val="none"/>
          <w:lang w:val="en-US" w:eastAsia="zh-CN" w:bidi="ar-SA"/>
        </w:rPr>
        <w:t>4.完善</w:t>
      </w:r>
      <w:bookmarkStart w:id="71" w:name="_Toc17761"/>
      <w:bookmarkStart w:id="72" w:name="_Toc21191"/>
      <w:r>
        <w:rPr>
          <w:rFonts w:hint="eastAsia" w:ascii="仿宋_GB2312" w:hAnsi="仿宋_GB2312" w:eastAsia="仿宋_GB2312" w:cs="仿宋_GB2312"/>
          <w:b/>
          <w:bCs/>
          <w:color w:val="auto"/>
          <w:kern w:val="0"/>
          <w:sz w:val="32"/>
          <w:szCs w:val="32"/>
          <w:highlight w:val="none"/>
          <w:lang w:val="en-US" w:eastAsia="zh-CN" w:bidi="ar-SA"/>
        </w:rPr>
        <w:t>项目长效管理机制</w:t>
      </w:r>
      <w:bookmarkEnd w:id="70"/>
      <w:bookmarkEnd w:id="71"/>
      <w:bookmarkEnd w:id="72"/>
    </w:p>
    <w:p w14:paraId="3086A018">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b/>
          <w:bCs/>
          <w:color w:val="auto"/>
          <w:kern w:val="0"/>
          <w:sz w:val="32"/>
          <w:szCs w:val="32"/>
          <w:highlight w:val="none"/>
          <w:lang w:val="en-US" w:eastAsia="zh-CN" w:bidi="ar-SA"/>
        </w:rPr>
      </w:pPr>
      <w:bookmarkStart w:id="73" w:name="_Toc29187"/>
      <w:r>
        <w:rPr>
          <w:rFonts w:hint="eastAsia" w:ascii="仿宋_GB2312" w:hAnsi="仿宋_GB2312" w:eastAsia="仿宋_GB2312" w:cs="仿宋_GB2312"/>
          <w:color w:val="auto"/>
          <w:kern w:val="0"/>
          <w:sz w:val="32"/>
          <w:szCs w:val="32"/>
          <w:highlight w:val="none"/>
          <w:lang w:val="en-US" w:eastAsia="zh-CN" w:bidi="ar-SA"/>
        </w:rPr>
        <w:t>项目长效管理机制的完善性是实现项目建设目标的重要保障。建立规范化、标准化、制度化的运行维护体系，通过运行维护制度与运行维护技术支持队伍的建设，能有效实现运行维护工作的高效率，提高整体的运行维护水平。</w:t>
      </w:r>
      <w:bookmarkEnd w:id="73"/>
      <w:r>
        <w:rPr>
          <w:rFonts w:hint="eastAsia" w:ascii="仿宋_GB2312" w:hAnsi="仿宋_GB2312" w:eastAsia="仿宋_GB2312" w:cs="仿宋_GB2312"/>
          <w:color w:val="auto"/>
          <w:kern w:val="0"/>
          <w:sz w:val="32"/>
          <w:szCs w:val="32"/>
          <w:highlight w:val="none"/>
          <w:lang w:val="en-US" w:eastAsia="zh-CN" w:bidi="ar-SA"/>
        </w:rPr>
        <w:t>及时编制项目相应的监督、奖惩等管控制度与业务管理制度，提升管控效能，完善项目长效管理机制，保障项目可持续运营。</w:t>
      </w:r>
    </w:p>
    <w:p w14:paraId="128BE73D">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0"/>
        <w:rPr>
          <w:rFonts w:hint="eastAsia" w:ascii="黑体" w:hAnsi="黑体" w:eastAsia="黑体" w:cs="黑体"/>
          <w:b/>
          <w:bCs/>
          <w:color w:val="auto"/>
          <w:sz w:val="32"/>
          <w:szCs w:val="32"/>
          <w:lang w:val="en-US" w:eastAsia="zh-CN"/>
        </w:rPr>
      </w:pPr>
      <w:bookmarkStart w:id="74" w:name="_Toc12177"/>
      <w:r>
        <w:rPr>
          <w:rFonts w:hint="eastAsia" w:ascii="黑体" w:hAnsi="黑体" w:eastAsia="黑体" w:cs="黑体"/>
          <w:b/>
          <w:bCs/>
          <w:color w:val="auto"/>
          <w:sz w:val="32"/>
          <w:szCs w:val="32"/>
          <w:lang w:val="en-US" w:eastAsia="zh-CN"/>
        </w:rPr>
        <w:t>六、附件</w:t>
      </w:r>
      <w:bookmarkEnd w:id="74"/>
    </w:p>
    <w:p w14:paraId="4214F5D7">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bookmarkStart w:id="75" w:name="_Toc16664"/>
      <w:bookmarkStart w:id="76" w:name="_Toc19777"/>
      <w:bookmarkStart w:id="77" w:name="_Toc20083"/>
      <w:bookmarkStart w:id="78" w:name="_Toc7526"/>
      <w:bookmarkStart w:id="79" w:name="_Toc27273"/>
      <w:r>
        <w:rPr>
          <w:rFonts w:hint="eastAsia" w:ascii="仿宋_GB2312" w:hAnsi="仿宋_GB2312" w:eastAsia="仿宋_GB2312" w:cs="仿宋_GB2312"/>
          <w:color w:val="000000" w:themeColor="text1"/>
          <w:sz w:val="32"/>
          <w:szCs w:val="32"/>
          <w:lang w:val="en-US" w:eastAsia="zh-CN"/>
          <w14:textFill>
            <w14:solidFill>
              <w14:schemeClr w14:val="tx1"/>
            </w14:solidFill>
          </w14:textFill>
        </w:rPr>
        <w:t>附件1:2023年与2024年度指标审计情况</w:t>
      </w:r>
    </w:p>
    <w:p w14:paraId="26AAD02A">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附件</w:t>
      </w:r>
      <w:bookmarkEnd w:id="75"/>
      <w:bookmarkEnd w:id="76"/>
      <w:bookmarkEnd w:id="77"/>
      <w:bookmarkEnd w:id="78"/>
      <w:bookmarkEnd w:id="79"/>
      <w:r>
        <w:rPr>
          <w:rFonts w:hint="eastAsia" w:ascii="仿宋_GB2312" w:hAnsi="仿宋_GB2312" w:eastAsia="仿宋_GB2312" w:cs="仿宋_GB2312"/>
          <w:color w:val="000000" w:themeColor="text1"/>
          <w:sz w:val="32"/>
          <w:szCs w:val="32"/>
          <w:lang w:val="en-US" w:eastAsia="zh-CN"/>
          <w14:textFill>
            <w14:solidFill>
              <w14:schemeClr w14:val="tx1"/>
            </w14:solidFill>
          </w14:textFill>
        </w:rPr>
        <w:t>2：石狮市跨境电商品牌培育全流程服务事前绩效评估评分表</w:t>
      </w:r>
    </w:p>
    <w:p w14:paraId="7AD931AA">
      <w:pPr>
        <w:pStyle w:val="14"/>
        <w:keepNext w:val="0"/>
        <w:keepLines w:val="0"/>
        <w:pageBreakBefore w:val="0"/>
        <w:widowControl/>
        <w:kinsoku/>
        <w:wordWrap/>
        <w:overflowPunct/>
        <w:topLinePunct w:val="0"/>
        <w:autoSpaceDE/>
        <w:autoSpaceDN/>
        <w:bidi w:val="0"/>
        <w:snapToGrid/>
        <w:spacing w:after="0" w:line="560" w:lineRule="exact"/>
        <w:ind w:left="0" w:leftChars="0" w:firstLine="640" w:firstLineChars="200"/>
        <w:jc w:val="left"/>
        <w:outlineLvl w:val="9"/>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附件3：调研照片</w:t>
      </w:r>
    </w:p>
    <w:p w14:paraId="799F3020">
      <w:pPr>
        <w:pStyle w:val="14"/>
        <w:keepNext w:val="0"/>
        <w:keepLines w:val="0"/>
        <w:pageBreakBefore w:val="0"/>
        <w:widowControl/>
        <w:kinsoku/>
        <w:wordWrap/>
        <w:overflowPunct/>
        <w:topLinePunct w:val="0"/>
        <w:autoSpaceDE/>
        <w:autoSpaceDN/>
        <w:bidi w:val="0"/>
        <w:snapToGrid/>
        <w:spacing w:after="0" w:line="560" w:lineRule="exact"/>
        <w:ind w:left="0" w:leftChars="0" w:firstLine="640" w:firstLineChars="200"/>
        <w:jc w:val="left"/>
        <w:outlineLvl w:val="9"/>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附件4：编制单位签章</w:t>
      </w:r>
    </w:p>
    <w:p w14:paraId="3FB203D7">
      <w:pPr>
        <w:pStyle w:val="14"/>
        <w:keepNext w:val="0"/>
        <w:keepLines w:val="0"/>
        <w:pageBreakBefore w:val="0"/>
        <w:widowControl/>
        <w:kinsoku/>
        <w:wordWrap/>
        <w:overflowPunct/>
        <w:topLinePunct w:val="0"/>
        <w:autoSpaceDE/>
        <w:autoSpaceDN/>
        <w:bidi w:val="0"/>
        <w:snapToGrid/>
        <w:spacing w:after="0" w:line="560" w:lineRule="exact"/>
        <w:ind w:firstLine="640" w:firstLineChars="200"/>
        <w:jc w:val="left"/>
        <w:outlineLvl w:val="9"/>
        <w:rPr>
          <w:rFonts w:hint="default" w:ascii="仿宋" w:hAnsi="仿宋" w:eastAsia="仿宋" w:cs="仿宋"/>
          <w:color w:val="FF0000"/>
          <w:sz w:val="28"/>
          <w:szCs w:val="28"/>
          <w:lang w:val="en-US" w:eastAsia="zh-CN"/>
        </w:rPr>
      </w:pP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附件5：公司营业执照</w:t>
      </w:r>
    </w:p>
    <w:p w14:paraId="3870A121">
      <w:pPr>
        <w:pStyle w:val="5"/>
        <w:keepNext w:val="0"/>
        <w:keepLines w:val="0"/>
        <w:pageBreakBefore w:val="0"/>
        <w:widowControl/>
        <w:numPr>
          <w:ilvl w:val="0"/>
          <w:numId w:val="0"/>
        </w:numPr>
        <w:kinsoku/>
        <w:wordWrap/>
        <w:overflowPunct/>
        <w:topLinePunct w:val="0"/>
        <w:autoSpaceDE/>
        <w:autoSpaceDN/>
        <w:bidi w:val="0"/>
        <w:snapToGrid/>
        <w:spacing w:line="240" w:lineRule="auto"/>
        <w:ind w:left="0" w:leftChars="0" w:firstLine="560" w:firstLineChars="200"/>
        <w:jc w:val="left"/>
        <w:outlineLvl w:val="9"/>
        <w:rPr>
          <w:rFonts w:hint="eastAsia" w:ascii="仿宋" w:hAnsi="仿宋" w:eastAsia="仿宋" w:cs="宋体"/>
          <w:b w:val="0"/>
          <w:bCs w:val="0"/>
          <w:color w:val="FF0000"/>
          <w:kern w:val="0"/>
          <w:sz w:val="28"/>
          <w:szCs w:val="28"/>
          <w:lang w:val="en-US" w:eastAsia="zh-CN" w:bidi="ar-SA"/>
        </w:rPr>
      </w:pPr>
    </w:p>
    <w:p w14:paraId="7BCCB11B">
      <w:pPr>
        <w:pageBreakBefore w:val="0"/>
        <w:kinsoku/>
        <w:wordWrap/>
        <w:overflowPunct/>
        <w:topLinePunct w:val="0"/>
        <w:autoSpaceDE/>
        <w:autoSpaceDN/>
        <w:bidi w:val="0"/>
        <w:snapToGrid/>
        <w:ind w:left="0" w:leftChars="0"/>
        <w:rPr>
          <w:rFonts w:hint="eastAsia" w:ascii="仿宋" w:hAnsi="仿宋" w:eastAsia="仿宋" w:cs="宋体"/>
          <w:b w:val="0"/>
          <w:bCs w:val="0"/>
          <w:color w:val="000000"/>
          <w:kern w:val="0"/>
          <w:sz w:val="28"/>
          <w:szCs w:val="28"/>
          <w:lang w:val="en-US" w:eastAsia="zh-CN" w:bidi="ar-SA"/>
        </w:rPr>
      </w:pPr>
      <w:r>
        <w:rPr>
          <w:rFonts w:hint="eastAsia" w:ascii="仿宋" w:hAnsi="仿宋" w:eastAsia="仿宋" w:cs="宋体"/>
          <w:b w:val="0"/>
          <w:bCs w:val="0"/>
          <w:color w:val="000000"/>
          <w:kern w:val="0"/>
          <w:sz w:val="28"/>
          <w:szCs w:val="28"/>
          <w:lang w:val="en-US" w:eastAsia="zh-CN" w:bidi="ar-SA"/>
        </w:rPr>
        <w:br w:type="page"/>
      </w:r>
    </w:p>
    <w:p w14:paraId="0D92AEDD">
      <w:pPr>
        <w:pStyle w:val="5"/>
        <w:keepNext w:val="0"/>
        <w:keepLines w:val="0"/>
        <w:pageBreakBefore w:val="0"/>
        <w:widowControl/>
        <w:numPr>
          <w:ilvl w:val="0"/>
          <w:numId w:val="0"/>
        </w:numPr>
        <w:kinsoku/>
        <w:wordWrap/>
        <w:overflowPunct/>
        <w:topLinePunct w:val="0"/>
        <w:autoSpaceDE/>
        <w:autoSpaceDN/>
        <w:bidi w:val="0"/>
        <w:snapToGrid/>
        <w:spacing w:line="240" w:lineRule="auto"/>
        <w:ind w:left="0" w:leftChars="0" w:firstLine="560" w:firstLineChars="200"/>
        <w:jc w:val="left"/>
        <w:rPr>
          <w:rFonts w:hint="default" w:ascii="仿宋" w:hAnsi="仿宋" w:eastAsia="仿宋" w:cs="宋体"/>
          <w:b w:val="0"/>
          <w:bCs w:val="0"/>
          <w:color w:val="000000"/>
          <w:kern w:val="0"/>
          <w:sz w:val="28"/>
          <w:szCs w:val="28"/>
          <w:lang w:val="en-US" w:eastAsia="zh-CN" w:bidi="ar-SA"/>
        </w:rPr>
        <w:sectPr>
          <w:footerReference r:id="rId11" w:type="default"/>
          <w:pgSz w:w="11906" w:h="16838"/>
          <w:pgMar w:top="1440" w:right="1587" w:bottom="1440" w:left="1519" w:header="851" w:footer="992" w:gutter="0"/>
          <w:pgNumType w:fmt="decimal"/>
          <w:cols w:space="425" w:num="1"/>
          <w:docGrid w:type="lines" w:linePitch="312" w:charSpace="0"/>
        </w:sectPr>
      </w:pPr>
    </w:p>
    <w:p w14:paraId="005986CC">
      <w:pPr>
        <w:pStyle w:val="5"/>
        <w:keepNext w:val="0"/>
        <w:keepLines w:val="0"/>
        <w:pageBreakBefore w:val="0"/>
        <w:widowControl/>
        <w:numPr>
          <w:ilvl w:val="0"/>
          <w:numId w:val="0"/>
        </w:numPr>
        <w:kinsoku/>
        <w:wordWrap/>
        <w:overflowPunct/>
        <w:topLinePunct w:val="0"/>
        <w:autoSpaceDE/>
        <w:autoSpaceDN/>
        <w:bidi w:val="0"/>
        <w:adjustRightInd/>
        <w:snapToGrid/>
        <w:spacing w:line="240" w:lineRule="auto"/>
        <w:ind w:left="0" w:leftChars="0" w:firstLine="0" w:firstLineChars="0"/>
        <w:jc w:val="left"/>
        <w:textAlignment w:val="auto"/>
        <w:outlineLvl w:val="0"/>
        <w:rPr>
          <w:rFonts w:hint="eastAsia" w:ascii="仿宋_GB2312" w:hAnsi="仿宋_GB2312" w:eastAsia="仿宋_GB2312" w:cs="仿宋_GB2312"/>
          <w:b/>
          <w:bCs/>
          <w:color w:val="auto"/>
          <w:kern w:val="0"/>
          <w:sz w:val="32"/>
          <w:szCs w:val="32"/>
          <w:highlight w:val="none"/>
          <w:lang w:val="en-US" w:eastAsia="zh-CN" w:bidi="ar-SA"/>
        </w:rPr>
      </w:pPr>
      <w:bookmarkStart w:id="80" w:name="_Toc2126"/>
      <w:bookmarkStart w:id="81" w:name="_Toc13185"/>
      <w:bookmarkStart w:id="82" w:name="_Toc24749"/>
      <w:bookmarkStart w:id="83" w:name="_Toc4733"/>
      <w:bookmarkStart w:id="84" w:name="_Toc2455"/>
      <w:r>
        <w:rPr>
          <w:rFonts w:hint="eastAsia" w:ascii="仿宋_GB2312" w:hAnsi="仿宋_GB2312" w:eastAsia="仿宋_GB2312" w:cs="仿宋_GB2312"/>
          <w:b/>
          <w:bCs/>
          <w:color w:val="auto"/>
          <w:kern w:val="0"/>
          <w:sz w:val="32"/>
          <w:szCs w:val="32"/>
          <w:highlight w:val="none"/>
          <w:lang w:val="en-US" w:eastAsia="zh-CN" w:bidi="ar-SA"/>
        </w:rPr>
        <w:t>附件1:2023年与2024年度指标审计情况</w:t>
      </w:r>
      <w:bookmarkEnd w:id="80"/>
    </w:p>
    <w:tbl>
      <w:tblPr>
        <w:tblStyle w:val="17"/>
        <w:tblW w:w="1280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597"/>
        <w:gridCol w:w="2933"/>
        <w:gridCol w:w="901"/>
        <w:gridCol w:w="857"/>
        <w:gridCol w:w="519"/>
        <w:gridCol w:w="569"/>
        <w:gridCol w:w="971"/>
        <w:gridCol w:w="722"/>
        <w:gridCol w:w="874"/>
        <w:gridCol w:w="545"/>
        <w:gridCol w:w="788"/>
        <w:gridCol w:w="1532"/>
      </w:tblGrid>
      <w:tr w14:paraId="42AB78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cantSplit/>
          <w:trHeight w:val="270" w:hRule="atLeast"/>
          <w:jc w:val="center"/>
        </w:trPr>
        <w:tc>
          <w:tcPr>
            <w:tcW w:w="159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E9F92C">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项目</w:t>
            </w:r>
          </w:p>
        </w:tc>
        <w:tc>
          <w:tcPr>
            <w:tcW w:w="29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6351A7">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指标</w:t>
            </w:r>
          </w:p>
        </w:tc>
        <w:tc>
          <w:tcPr>
            <w:tcW w:w="1758"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01BDB">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合同约定数量</w:t>
            </w:r>
          </w:p>
        </w:tc>
        <w:tc>
          <w:tcPr>
            <w:tcW w:w="2059"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4EF6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审计核定数</w:t>
            </w:r>
          </w:p>
        </w:tc>
        <w:tc>
          <w:tcPr>
            <w:tcW w:w="1596"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F1BE7">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合同约定数量</w:t>
            </w:r>
          </w:p>
        </w:tc>
        <w:tc>
          <w:tcPr>
            <w:tcW w:w="286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F23EF">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审计核定数</w:t>
            </w:r>
          </w:p>
        </w:tc>
      </w:tr>
      <w:tr w14:paraId="13A20F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810" w:hRule="atLeast"/>
          <w:jc w:val="center"/>
        </w:trPr>
        <w:tc>
          <w:tcPr>
            <w:tcW w:w="1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C6ABEC">
            <w:pPr>
              <w:widowControl/>
              <w:jc w:val="center"/>
              <w:rPr>
                <w:rFonts w:hint="eastAsia" w:ascii="宋体" w:hAnsi="宋体" w:eastAsia="宋体" w:cs="宋体"/>
                <w:b/>
                <w:bCs/>
                <w:i w:val="0"/>
                <w:iCs w:val="0"/>
                <w:color w:val="000000"/>
                <w:sz w:val="22"/>
                <w:szCs w:val="22"/>
                <w:u w:val="none"/>
              </w:rPr>
            </w:pPr>
          </w:p>
        </w:tc>
        <w:tc>
          <w:tcPr>
            <w:tcW w:w="2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5B63CE">
            <w:pPr>
              <w:widowControl/>
              <w:jc w:val="center"/>
              <w:rPr>
                <w:rFonts w:hint="eastAsia" w:ascii="宋体" w:hAnsi="宋体" w:eastAsia="宋体" w:cs="宋体"/>
                <w:b/>
                <w:bCs/>
                <w:i w:val="0"/>
                <w:iCs w:val="0"/>
                <w:color w:val="000000"/>
                <w:sz w:val="22"/>
                <w:szCs w:val="22"/>
                <w:u w:val="none"/>
              </w:rPr>
            </w:pPr>
          </w:p>
        </w:tc>
        <w:tc>
          <w:tcPr>
            <w:tcW w:w="901" w:type="dxa"/>
            <w:tcBorders>
              <w:top w:val="single" w:color="000000" w:sz="4" w:space="0"/>
              <w:left w:val="nil"/>
              <w:bottom w:val="single" w:color="000000" w:sz="4" w:space="0"/>
              <w:right w:val="single" w:color="000000" w:sz="4" w:space="0"/>
            </w:tcBorders>
            <w:shd w:val="clear" w:color="auto" w:fill="auto"/>
            <w:vAlign w:val="center"/>
          </w:tcPr>
          <w:p w14:paraId="39811D99">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2023年应完成数</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CEA7C">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2023年考核权重</w:t>
            </w:r>
          </w:p>
        </w:tc>
        <w:tc>
          <w:tcPr>
            <w:tcW w:w="5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5D69D">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年实际完成数</w:t>
            </w:r>
          </w:p>
        </w:tc>
        <w:tc>
          <w:tcPr>
            <w:tcW w:w="5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9B8D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实际完成考核数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713A0">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年考核权重</w:t>
            </w:r>
          </w:p>
        </w:tc>
        <w:tc>
          <w:tcPr>
            <w:tcW w:w="722" w:type="dxa"/>
            <w:tcBorders>
              <w:top w:val="single" w:color="000000" w:sz="4" w:space="0"/>
              <w:left w:val="nil"/>
              <w:bottom w:val="single" w:color="000000" w:sz="4" w:space="0"/>
              <w:right w:val="single" w:color="000000" w:sz="4" w:space="0"/>
            </w:tcBorders>
            <w:shd w:val="clear" w:color="auto" w:fill="auto"/>
            <w:vAlign w:val="center"/>
          </w:tcPr>
          <w:p w14:paraId="27BB89BA">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2024年应完成数</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8A1A8">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2024年考核权重</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48914">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年实际完成数</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274D1">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考核完成率</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C48EE">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年考核权重</w:t>
            </w:r>
          </w:p>
        </w:tc>
      </w:tr>
      <w:tr w14:paraId="43E5AC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159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BCA55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培养孵化一批龙头跨境电商企业</w:t>
            </w: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9E73351">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跨境电商年销售额≥70万美元（家）</w:t>
            </w:r>
          </w:p>
        </w:tc>
        <w:tc>
          <w:tcPr>
            <w:tcW w:w="9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0E6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8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02DC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5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DF4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6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432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9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47A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3.20%</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975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077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67F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011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26.67%</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150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3.20%</w:t>
            </w:r>
          </w:p>
        </w:tc>
      </w:tr>
      <w:tr w14:paraId="6A8A7E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jc w:val="center"/>
        </w:trPr>
        <w:tc>
          <w:tcPr>
            <w:tcW w:w="1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19B434">
            <w:pPr>
              <w:widowControl/>
              <w:jc w:val="center"/>
              <w:rPr>
                <w:rFonts w:hint="eastAsia" w:ascii="宋体" w:hAnsi="宋体" w:eastAsia="宋体" w:cs="宋体"/>
                <w:b/>
                <w:bCs/>
                <w:i w:val="0"/>
                <w:iCs w:val="0"/>
                <w:color w:val="000000"/>
                <w:sz w:val="22"/>
                <w:szCs w:val="22"/>
                <w:u w:val="none"/>
              </w:rPr>
            </w:pP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BB87975">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跨境电商年销售额≥150万美元（家）</w:t>
            </w:r>
          </w:p>
        </w:tc>
        <w:tc>
          <w:tcPr>
            <w:tcW w:w="9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204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8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1CD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5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031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6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E05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9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923C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4.80%</w:t>
            </w:r>
          </w:p>
        </w:tc>
        <w:tc>
          <w:tcPr>
            <w:tcW w:w="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BB2B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8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6A7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C50F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7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03A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15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B07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1.12%</w:t>
            </w:r>
          </w:p>
        </w:tc>
      </w:tr>
      <w:tr w14:paraId="53DFDB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jc w:val="center"/>
        </w:trPr>
        <w:tc>
          <w:tcPr>
            <w:tcW w:w="1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E62EBF">
            <w:pPr>
              <w:widowControl/>
              <w:jc w:val="center"/>
              <w:rPr>
                <w:rFonts w:hint="eastAsia" w:ascii="宋体" w:hAnsi="宋体" w:eastAsia="宋体" w:cs="宋体"/>
                <w:b/>
                <w:bCs/>
                <w:i w:val="0"/>
                <w:iCs w:val="0"/>
                <w:color w:val="000000"/>
                <w:sz w:val="22"/>
                <w:szCs w:val="22"/>
                <w:u w:val="none"/>
              </w:rPr>
            </w:pP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8DA77FC">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跨境电商年销售额≥400万美元（家）</w:t>
            </w:r>
          </w:p>
        </w:tc>
        <w:tc>
          <w:tcPr>
            <w:tcW w:w="9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6D8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935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82D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56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C24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596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8E1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8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A67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C73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7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43C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15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7074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140571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jc w:val="center"/>
        </w:trPr>
        <w:tc>
          <w:tcPr>
            <w:tcW w:w="1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79AC9E">
            <w:pPr>
              <w:widowControl/>
              <w:jc w:val="center"/>
              <w:rPr>
                <w:rFonts w:hint="eastAsia" w:ascii="宋体" w:hAnsi="宋体" w:eastAsia="宋体" w:cs="宋体"/>
                <w:b/>
                <w:bCs/>
                <w:i w:val="0"/>
                <w:iCs w:val="0"/>
                <w:color w:val="000000"/>
                <w:sz w:val="22"/>
                <w:szCs w:val="22"/>
                <w:u w:val="none"/>
              </w:rPr>
            </w:pP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590573A">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跨境电商年销售额≥1000万美元（家）</w:t>
            </w:r>
          </w:p>
        </w:tc>
        <w:tc>
          <w:tcPr>
            <w:tcW w:w="9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D31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B3A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347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56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8FB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D22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BE7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B58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D98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7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0D6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15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016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28A3A0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jc w:val="center"/>
        </w:trPr>
        <w:tc>
          <w:tcPr>
            <w:tcW w:w="1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593FCC">
            <w:pPr>
              <w:widowControl/>
              <w:jc w:val="center"/>
              <w:rPr>
                <w:rFonts w:hint="eastAsia" w:ascii="宋体" w:hAnsi="宋体" w:eastAsia="宋体" w:cs="宋体"/>
                <w:b/>
                <w:bCs/>
                <w:i w:val="0"/>
                <w:iCs w:val="0"/>
                <w:color w:val="000000"/>
                <w:sz w:val="22"/>
                <w:szCs w:val="22"/>
                <w:u w:val="none"/>
              </w:rPr>
            </w:pP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4B063F1">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跨境电商年销售额≥2000万美元（家）</w:t>
            </w:r>
          </w:p>
        </w:tc>
        <w:tc>
          <w:tcPr>
            <w:tcW w:w="9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245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8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1B0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5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A10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56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A06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DC1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48F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C63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E126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7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C687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15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F08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r w14:paraId="1EF8DD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159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42B139">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举办一系列跨境电商活动</w:t>
            </w: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CD19C1E">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跨境电商省级大赛（次）</w:t>
            </w:r>
          </w:p>
        </w:tc>
        <w:tc>
          <w:tcPr>
            <w:tcW w:w="9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8C1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73E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286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FB1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7EC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3C2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D53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43F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19A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8A9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r>
      <w:tr w14:paraId="7DB311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1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F5FDBD">
            <w:pPr>
              <w:widowControl/>
              <w:jc w:val="center"/>
              <w:rPr>
                <w:rFonts w:hint="eastAsia" w:ascii="宋体" w:hAnsi="宋体" w:eastAsia="宋体" w:cs="宋体"/>
                <w:b/>
                <w:bCs/>
                <w:i w:val="0"/>
                <w:iCs w:val="0"/>
                <w:color w:val="000000"/>
                <w:sz w:val="22"/>
                <w:szCs w:val="22"/>
                <w:u w:val="none"/>
              </w:rPr>
            </w:pP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E3F99B2">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跨境电商高峰论坛（场）</w:t>
            </w:r>
          </w:p>
        </w:tc>
        <w:tc>
          <w:tcPr>
            <w:tcW w:w="9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2DE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15E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869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079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D9C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204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CCF4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789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F2D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E87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r>
      <w:tr w14:paraId="20194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1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AA76E9">
            <w:pPr>
              <w:widowControl/>
              <w:jc w:val="center"/>
              <w:rPr>
                <w:rFonts w:hint="eastAsia" w:ascii="宋体" w:hAnsi="宋体" w:eastAsia="宋体" w:cs="宋体"/>
                <w:b/>
                <w:bCs/>
                <w:i w:val="0"/>
                <w:iCs w:val="0"/>
                <w:color w:val="000000"/>
                <w:sz w:val="22"/>
                <w:szCs w:val="22"/>
                <w:u w:val="none"/>
              </w:rPr>
            </w:pP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EB89301">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跨境电商游学活动（期）</w:t>
            </w:r>
          </w:p>
        </w:tc>
        <w:tc>
          <w:tcPr>
            <w:tcW w:w="9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EA5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F87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192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536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59B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9AD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743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A03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37C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137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r>
      <w:tr w14:paraId="68AFEB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1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CEAEC7">
            <w:pPr>
              <w:widowControl/>
              <w:jc w:val="center"/>
              <w:rPr>
                <w:rFonts w:hint="eastAsia" w:ascii="宋体" w:hAnsi="宋体" w:eastAsia="宋体" w:cs="宋体"/>
                <w:b/>
                <w:bCs/>
                <w:i w:val="0"/>
                <w:iCs w:val="0"/>
                <w:color w:val="000000"/>
                <w:sz w:val="22"/>
                <w:szCs w:val="22"/>
                <w:u w:val="none"/>
              </w:rPr>
            </w:pP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3DFB7A6">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官方平台线下活动</w:t>
            </w:r>
          </w:p>
        </w:tc>
        <w:tc>
          <w:tcPr>
            <w:tcW w:w="9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9C8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C78E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5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B44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5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23A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559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D91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B9B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01D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AC0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5AA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r>
      <w:tr w14:paraId="0C6B4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1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F3E16A">
            <w:pPr>
              <w:widowControl/>
              <w:jc w:val="center"/>
              <w:rPr>
                <w:rFonts w:hint="eastAsia" w:ascii="宋体" w:hAnsi="宋体" w:eastAsia="宋体" w:cs="宋体"/>
                <w:b/>
                <w:bCs/>
                <w:i w:val="0"/>
                <w:iCs w:val="0"/>
                <w:color w:val="000000"/>
                <w:sz w:val="22"/>
                <w:szCs w:val="22"/>
                <w:u w:val="none"/>
              </w:rPr>
            </w:pP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62E14CB">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跨境电商卖家互动（场）</w:t>
            </w:r>
          </w:p>
        </w:tc>
        <w:tc>
          <w:tcPr>
            <w:tcW w:w="9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256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EB2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AD3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DCB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79A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92C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969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024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F32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ABB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r>
      <w:tr w14:paraId="052380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1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260AA2">
            <w:pPr>
              <w:widowControl/>
              <w:jc w:val="center"/>
              <w:rPr>
                <w:rFonts w:hint="eastAsia" w:ascii="宋体" w:hAnsi="宋体" w:eastAsia="宋体" w:cs="宋体"/>
                <w:b/>
                <w:bCs/>
                <w:i w:val="0"/>
                <w:iCs w:val="0"/>
                <w:color w:val="000000"/>
                <w:sz w:val="22"/>
                <w:szCs w:val="22"/>
                <w:u w:val="none"/>
              </w:rPr>
            </w:pP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1E02B74">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线下实操培训（场）</w:t>
            </w:r>
          </w:p>
        </w:tc>
        <w:tc>
          <w:tcPr>
            <w:tcW w:w="9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C99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781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392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5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72E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3CB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D56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EF9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416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665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8B3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r>
      <w:tr w14:paraId="3B4E24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1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AAAE13">
            <w:pPr>
              <w:widowControl/>
              <w:jc w:val="center"/>
              <w:rPr>
                <w:rFonts w:hint="eastAsia" w:ascii="宋体" w:hAnsi="宋体" w:eastAsia="宋体" w:cs="宋体"/>
                <w:b/>
                <w:bCs/>
                <w:i w:val="0"/>
                <w:iCs w:val="0"/>
                <w:color w:val="000000"/>
                <w:sz w:val="22"/>
                <w:szCs w:val="22"/>
                <w:u w:val="none"/>
              </w:rPr>
            </w:pP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54F730C">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跨境电商采购供需对接会（场）</w:t>
            </w:r>
          </w:p>
        </w:tc>
        <w:tc>
          <w:tcPr>
            <w:tcW w:w="9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50E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9CC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DD2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674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A12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B66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D1F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CBD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53F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AEC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r>
      <w:tr w14:paraId="3308DB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15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4E805A">
            <w:pPr>
              <w:widowControl/>
              <w:jc w:val="center"/>
              <w:rPr>
                <w:rFonts w:hint="eastAsia" w:ascii="宋体" w:hAnsi="宋体" w:eastAsia="宋体" w:cs="宋体"/>
                <w:b/>
                <w:bCs/>
                <w:i w:val="0"/>
                <w:iCs w:val="0"/>
                <w:color w:val="000000"/>
                <w:sz w:val="22"/>
                <w:szCs w:val="22"/>
                <w:u w:val="none"/>
              </w:rPr>
            </w:pP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493C36F">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政策宣讲会（场）</w:t>
            </w:r>
          </w:p>
        </w:tc>
        <w:tc>
          <w:tcPr>
            <w:tcW w:w="9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479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FB2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052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5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A0F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360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594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F8F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10B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7E9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B81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r>
      <w:tr w14:paraId="0A1001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jc w:val="center"/>
        </w:trPr>
        <w:tc>
          <w:tcPr>
            <w:tcW w:w="1597"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72C4839">
            <w:pPr>
              <w:keepNext w:val="0"/>
              <w:keepLines w:val="0"/>
              <w:widowControl/>
              <w:suppressLineNumbers w:val="0"/>
              <w:jc w:val="center"/>
              <w:textAlignment w:val="bottom"/>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跨境电商数据统计及监测</w:t>
            </w: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FEDF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跨境电商数据统计及监测</w:t>
            </w:r>
          </w:p>
        </w:tc>
        <w:tc>
          <w:tcPr>
            <w:tcW w:w="9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7A9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A14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5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B5F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5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370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667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5DC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F75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B37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934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738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r>
      <w:tr w14:paraId="63B368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jc w:val="center"/>
        </w:trPr>
        <w:tc>
          <w:tcPr>
            <w:tcW w:w="1597"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C8A2AB9">
            <w:pPr>
              <w:keepNext w:val="0"/>
              <w:keepLines w:val="0"/>
              <w:widowControl/>
              <w:suppressLineNumbers w:val="0"/>
              <w:jc w:val="center"/>
              <w:textAlignment w:val="bottom"/>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帮助一批跨境电商新店铺出单</w:t>
            </w: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1BC8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帮助一批跨境电商新店铺出单（个）</w:t>
            </w:r>
          </w:p>
        </w:tc>
        <w:tc>
          <w:tcPr>
            <w:tcW w:w="9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B94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67D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5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B0C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5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881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E85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3.60%</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8EA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2D5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B82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71</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476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71%</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FBC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4.26%</w:t>
            </w:r>
          </w:p>
        </w:tc>
      </w:tr>
      <w:tr w14:paraId="3F92FB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1597"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862FBDB">
            <w:pPr>
              <w:keepNext w:val="0"/>
              <w:keepLines w:val="0"/>
              <w:widowControl/>
              <w:suppressLineNumbers w:val="0"/>
              <w:jc w:val="center"/>
              <w:textAlignment w:val="bottom"/>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培育跨境电商自主品牌</w:t>
            </w: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40C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帮助企业注册国际商标（家）</w:t>
            </w:r>
          </w:p>
        </w:tc>
        <w:tc>
          <w:tcPr>
            <w:tcW w:w="9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B48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8BC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3C6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51</w:t>
            </w:r>
          </w:p>
        </w:tc>
        <w:tc>
          <w:tcPr>
            <w:tcW w:w="5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D17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866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075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C6F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2F3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35D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317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4.45%</w:t>
            </w:r>
          </w:p>
        </w:tc>
      </w:tr>
      <w:tr w14:paraId="20D045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jc w:val="center"/>
        </w:trPr>
        <w:tc>
          <w:tcPr>
            <w:tcW w:w="1597"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64D6B8B">
            <w:pPr>
              <w:keepNext w:val="0"/>
              <w:keepLines w:val="0"/>
              <w:widowControl/>
              <w:suppressLineNumbers w:val="0"/>
              <w:jc w:val="center"/>
              <w:textAlignment w:val="bottom"/>
              <w:rPr>
                <w:rFonts w:hint="eastAsia" w:ascii="宋体" w:hAnsi="宋体" w:eastAsia="宋体" w:cs="宋体"/>
                <w:b/>
                <w:bCs/>
                <w:i w:val="0"/>
                <w:iCs w:val="0"/>
                <w:color w:val="000000"/>
                <w:kern w:val="0"/>
                <w:sz w:val="22"/>
                <w:szCs w:val="22"/>
                <w:u w:val="none"/>
                <w:lang w:val="en-US" w:eastAsia="zh-CN" w:bidi="ar"/>
              </w:rPr>
            </w:pPr>
            <w:r>
              <w:rPr>
                <w:rFonts w:hint="eastAsia" w:ascii="宋体" w:hAnsi="宋体" w:eastAsia="宋体" w:cs="宋体"/>
                <w:b/>
                <w:bCs/>
                <w:i w:val="0"/>
                <w:iCs w:val="0"/>
                <w:color w:val="000000"/>
                <w:kern w:val="0"/>
                <w:sz w:val="22"/>
                <w:szCs w:val="22"/>
                <w:u w:val="none"/>
                <w:lang w:val="en-US" w:eastAsia="zh-CN" w:bidi="ar"/>
              </w:rPr>
              <w:t>协助企业解决实质性问题</w:t>
            </w: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BB2E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协助企业解决实质性问题（家）</w:t>
            </w:r>
          </w:p>
        </w:tc>
        <w:tc>
          <w:tcPr>
            <w:tcW w:w="9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16D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8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CA0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5BE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67</w:t>
            </w:r>
          </w:p>
        </w:tc>
        <w:tc>
          <w:tcPr>
            <w:tcW w:w="5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2A2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927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FD8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99C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097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7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61F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5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D4C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r>
      <w:tr w14:paraId="2FC19A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1597"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9897794">
            <w:pPr>
              <w:keepNext w:val="0"/>
              <w:keepLines w:val="0"/>
              <w:widowControl/>
              <w:suppressLineNumbers w:val="0"/>
              <w:jc w:val="center"/>
              <w:textAlignment w:val="bottom"/>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协助导入服务商资源</w:t>
            </w: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3B7E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导入服务商资源（家）</w:t>
            </w:r>
          </w:p>
        </w:tc>
        <w:tc>
          <w:tcPr>
            <w:tcW w:w="9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97F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8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48A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E16D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56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CCE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9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52DC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A55A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8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546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590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7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6ECD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15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F3D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4.85%</w:t>
            </w:r>
          </w:p>
        </w:tc>
      </w:tr>
      <w:tr w14:paraId="561AFB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atLeast"/>
          <w:jc w:val="center"/>
        </w:trPr>
        <w:tc>
          <w:tcPr>
            <w:tcW w:w="15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EDB3C">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合计</w:t>
            </w:r>
          </w:p>
        </w:tc>
        <w:tc>
          <w:tcPr>
            <w:tcW w:w="29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4DF82">
            <w:pPr>
              <w:widowControl/>
              <w:jc w:val="left"/>
              <w:rPr>
                <w:rFonts w:hint="eastAsia" w:ascii="宋体" w:hAnsi="宋体" w:eastAsia="宋体" w:cs="宋体"/>
                <w:b/>
                <w:bCs/>
                <w:i w:val="0"/>
                <w:iCs w:val="0"/>
                <w:color w:val="000000"/>
                <w:sz w:val="22"/>
                <w:szCs w:val="22"/>
                <w:u w:val="none"/>
              </w:rPr>
            </w:pPr>
          </w:p>
        </w:tc>
        <w:tc>
          <w:tcPr>
            <w:tcW w:w="9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D4768">
            <w:pPr>
              <w:widowControl/>
              <w:jc w:val="center"/>
              <w:rPr>
                <w:rFonts w:hint="eastAsia" w:ascii="宋体" w:hAnsi="宋体" w:eastAsia="宋体" w:cs="宋体"/>
                <w:b/>
                <w:bCs/>
                <w:i w:val="0"/>
                <w:iCs w:val="0"/>
                <w:color w:val="000000"/>
                <w:sz w:val="22"/>
                <w:szCs w:val="22"/>
                <w:u w:val="none"/>
              </w:rPr>
            </w:pPr>
          </w:p>
        </w:tc>
        <w:tc>
          <w:tcPr>
            <w:tcW w:w="8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3B83C">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100%</w:t>
            </w:r>
          </w:p>
        </w:tc>
        <w:tc>
          <w:tcPr>
            <w:tcW w:w="5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25B76E">
            <w:pPr>
              <w:widowControl/>
              <w:jc w:val="center"/>
              <w:rPr>
                <w:rFonts w:hint="eastAsia" w:ascii="宋体" w:hAnsi="宋体" w:eastAsia="宋体" w:cs="宋体"/>
                <w:b/>
                <w:bCs/>
                <w:i w:val="0"/>
                <w:iCs w:val="0"/>
                <w:color w:val="000000"/>
                <w:sz w:val="22"/>
                <w:szCs w:val="22"/>
                <w:u w:val="none"/>
              </w:rPr>
            </w:pPr>
          </w:p>
        </w:tc>
        <w:tc>
          <w:tcPr>
            <w:tcW w:w="56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7D6B6">
            <w:pPr>
              <w:widowControl/>
              <w:jc w:val="center"/>
              <w:rPr>
                <w:rFonts w:hint="eastAsia" w:ascii="宋体" w:hAnsi="宋体" w:eastAsia="宋体" w:cs="宋体"/>
                <w:b/>
                <w:bCs/>
                <w:i w:val="0"/>
                <w:iCs w:val="0"/>
                <w:color w:val="000000"/>
                <w:sz w:val="22"/>
                <w:szCs w:val="22"/>
                <w:u w:val="none"/>
              </w:rPr>
            </w:pPr>
          </w:p>
        </w:tc>
        <w:tc>
          <w:tcPr>
            <w:tcW w:w="9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43AC0">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70.6%</w:t>
            </w:r>
          </w:p>
        </w:tc>
        <w:tc>
          <w:tcPr>
            <w:tcW w:w="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F45B42">
            <w:pPr>
              <w:widowControl/>
              <w:jc w:val="center"/>
              <w:rPr>
                <w:rFonts w:hint="eastAsia" w:ascii="宋体" w:hAnsi="宋体" w:eastAsia="宋体" w:cs="宋体"/>
                <w:b/>
                <w:bCs/>
                <w:i w:val="0"/>
                <w:iCs w:val="0"/>
                <w:color w:val="000000"/>
                <w:sz w:val="22"/>
                <w:szCs w:val="22"/>
                <w:u w:val="none"/>
              </w:rPr>
            </w:pPr>
          </w:p>
        </w:tc>
        <w:tc>
          <w:tcPr>
            <w:tcW w:w="8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E6A2F">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100%</w:t>
            </w:r>
          </w:p>
        </w:tc>
        <w:tc>
          <w:tcPr>
            <w:tcW w:w="5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9B8A3">
            <w:pPr>
              <w:widowControl/>
              <w:jc w:val="center"/>
              <w:rPr>
                <w:rFonts w:hint="eastAsia" w:ascii="宋体" w:hAnsi="宋体" w:eastAsia="宋体" w:cs="宋体"/>
                <w:b/>
                <w:bCs/>
                <w:i w:val="0"/>
                <w:iCs w:val="0"/>
                <w:color w:val="000000"/>
                <w:sz w:val="22"/>
                <w:szCs w:val="22"/>
                <w:u w:val="none"/>
              </w:rPr>
            </w:pPr>
          </w:p>
        </w:tc>
        <w:tc>
          <w:tcPr>
            <w:tcW w:w="78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7A137">
            <w:pPr>
              <w:widowControl/>
              <w:jc w:val="center"/>
              <w:rPr>
                <w:rFonts w:hint="eastAsia" w:ascii="宋体" w:hAnsi="宋体" w:eastAsia="宋体" w:cs="宋体"/>
                <w:b/>
                <w:bCs/>
                <w:i w:val="0"/>
                <w:iCs w:val="0"/>
                <w:color w:val="000000"/>
                <w:sz w:val="22"/>
                <w:szCs w:val="22"/>
                <w:u w:val="none"/>
              </w:rPr>
            </w:pPr>
          </w:p>
        </w:tc>
        <w:tc>
          <w:tcPr>
            <w:tcW w:w="15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9DF79">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66.88%</w:t>
            </w:r>
          </w:p>
        </w:tc>
      </w:tr>
    </w:tbl>
    <w:p w14:paraId="53E59744">
      <w:pPr>
        <w:pStyle w:val="5"/>
        <w:keepNext w:val="0"/>
        <w:keepLines w:val="0"/>
        <w:pageBreakBefore w:val="0"/>
        <w:widowControl/>
        <w:numPr>
          <w:ilvl w:val="0"/>
          <w:numId w:val="0"/>
        </w:numPr>
        <w:kinsoku/>
        <w:wordWrap/>
        <w:overflowPunct/>
        <w:topLinePunct w:val="0"/>
        <w:autoSpaceDE/>
        <w:autoSpaceDN/>
        <w:bidi w:val="0"/>
        <w:adjustRightInd/>
        <w:snapToGrid/>
        <w:spacing w:line="240" w:lineRule="auto"/>
        <w:ind w:left="0" w:leftChars="0" w:firstLine="0" w:firstLineChars="0"/>
        <w:jc w:val="left"/>
        <w:textAlignment w:val="auto"/>
        <w:outlineLvl w:val="0"/>
        <w:rPr>
          <w:rFonts w:hint="eastAsia" w:ascii="仿宋_GB2312" w:hAnsi="仿宋_GB2312" w:eastAsia="仿宋_GB2312" w:cs="仿宋_GB2312"/>
          <w:b/>
          <w:bCs/>
          <w:color w:val="auto"/>
          <w:kern w:val="0"/>
          <w:sz w:val="32"/>
          <w:szCs w:val="32"/>
          <w:highlight w:val="none"/>
          <w:lang w:val="en-US" w:eastAsia="zh-CN" w:bidi="ar-SA"/>
        </w:rPr>
        <w:sectPr>
          <w:headerReference r:id="rId12" w:type="default"/>
          <w:pgSz w:w="16838" w:h="11906" w:orient="landscape"/>
          <w:pgMar w:top="1519" w:right="1440" w:bottom="1587" w:left="1440" w:header="851" w:footer="992" w:gutter="0"/>
          <w:pgNumType w:fmt="decimal"/>
          <w:cols w:space="425" w:num="1"/>
          <w:docGrid w:type="lines" w:linePitch="312" w:charSpace="0"/>
        </w:sectPr>
      </w:pPr>
    </w:p>
    <w:p w14:paraId="39CC9549">
      <w:pPr>
        <w:pStyle w:val="5"/>
        <w:keepNext w:val="0"/>
        <w:keepLines w:val="0"/>
        <w:pageBreakBefore w:val="0"/>
        <w:widowControl/>
        <w:numPr>
          <w:ilvl w:val="0"/>
          <w:numId w:val="0"/>
        </w:numPr>
        <w:kinsoku/>
        <w:wordWrap/>
        <w:overflowPunct/>
        <w:topLinePunct w:val="0"/>
        <w:autoSpaceDE/>
        <w:autoSpaceDN/>
        <w:bidi w:val="0"/>
        <w:adjustRightInd/>
        <w:snapToGrid/>
        <w:spacing w:line="240" w:lineRule="auto"/>
        <w:ind w:left="0" w:leftChars="0" w:firstLine="0" w:firstLineChars="0"/>
        <w:jc w:val="left"/>
        <w:textAlignment w:val="auto"/>
        <w:outlineLvl w:val="0"/>
        <w:rPr>
          <w:rFonts w:hint="default" w:ascii="仿宋_GB2312" w:hAnsi="仿宋_GB2312" w:eastAsia="仿宋_GB2312" w:cs="仿宋_GB2312"/>
          <w:b/>
          <w:bCs/>
          <w:color w:val="auto"/>
          <w:kern w:val="0"/>
          <w:sz w:val="32"/>
          <w:szCs w:val="32"/>
          <w:highlight w:val="none"/>
          <w:lang w:val="en-US" w:eastAsia="zh-CN" w:bidi="ar-SA"/>
        </w:rPr>
      </w:pPr>
      <w:bookmarkStart w:id="85" w:name="_Toc6529"/>
      <w:r>
        <w:rPr>
          <w:rFonts w:hint="eastAsia" w:ascii="仿宋_GB2312" w:hAnsi="仿宋_GB2312" w:eastAsia="仿宋_GB2312" w:cs="仿宋_GB2312"/>
          <w:b/>
          <w:bCs/>
          <w:color w:val="auto"/>
          <w:kern w:val="0"/>
          <w:sz w:val="32"/>
          <w:szCs w:val="32"/>
          <w:highlight w:val="none"/>
          <w:lang w:val="en-US" w:eastAsia="zh-CN" w:bidi="ar-SA"/>
        </w:rPr>
        <w:t>附件</w:t>
      </w:r>
      <w:bookmarkEnd w:id="81"/>
      <w:bookmarkEnd w:id="82"/>
      <w:r>
        <w:rPr>
          <w:rFonts w:hint="eastAsia" w:ascii="仿宋_GB2312" w:hAnsi="仿宋_GB2312" w:eastAsia="仿宋_GB2312" w:cs="仿宋_GB2312"/>
          <w:b/>
          <w:bCs/>
          <w:color w:val="auto"/>
          <w:kern w:val="0"/>
          <w:sz w:val="32"/>
          <w:szCs w:val="32"/>
          <w:highlight w:val="none"/>
          <w:lang w:val="en-US" w:eastAsia="zh-CN" w:bidi="ar-SA"/>
        </w:rPr>
        <w:t>2：石狮市跨境电商品牌培育全流程服务</w:t>
      </w:r>
      <w:r>
        <w:rPr>
          <w:rFonts w:hint="default" w:ascii="仿宋_GB2312" w:hAnsi="仿宋_GB2312" w:eastAsia="仿宋_GB2312" w:cs="仿宋_GB2312"/>
          <w:b/>
          <w:bCs/>
          <w:color w:val="auto"/>
          <w:kern w:val="0"/>
          <w:sz w:val="32"/>
          <w:szCs w:val="32"/>
          <w:highlight w:val="none"/>
          <w:lang w:val="en-US" w:eastAsia="zh-CN" w:bidi="ar-SA"/>
        </w:rPr>
        <w:t>事前绩效评估评分表</w:t>
      </w:r>
      <w:bookmarkEnd w:id="83"/>
      <w:bookmarkEnd w:id="84"/>
      <w:bookmarkEnd w:id="85"/>
    </w:p>
    <w:tbl>
      <w:tblPr>
        <w:tblStyle w:val="17"/>
        <w:tblW w:w="1519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104"/>
        <w:gridCol w:w="1188"/>
        <w:gridCol w:w="1940"/>
        <w:gridCol w:w="3147"/>
        <w:gridCol w:w="775"/>
        <w:gridCol w:w="6257"/>
        <w:gridCol w:w="782"/>
      </w:tblGrid>
      <w:tr w14:paraId="38A1B7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2" w:hRule="atLeast"/>
          <w:tblHeader/>
          <w:jc w:val="center"/>
        </w:trPr>
        <w:tc>
          <w:tcPr>
            <w:tcW w:w="1104"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71D50D7B">
            <w:pPr>
              <w:keepNext w:val="0"/>
              <w:keepLines w:val="0"/>
              <w:widowControl/>
              <w:suppressLineNumbers w:val="0"/>
              <w:jc w:val="center"/>
              <w:textAlignment w:val="center"/>
              <w:rPr>
                <w:rFonts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一级指标</w:t>
            </w:r>
          </w:p>
        </w:tc>
        <w:tc>
          <w:tcPr>
            <w:tcW w:w="1188"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7DDB74B7">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二级指标</w:t>
            </w:r>
          </w:p>
        </w:tc>
        <w:tc>
          <w:tcPr>
            <w:tcW w:w="1940"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743613D0">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三级指标</w:t>
            </w:r>
          </w:p>
        </w:tc>
        <w:tc>
          <w:tcPr>
            <w:tcW w:w="3147"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474D5C7E">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指标解释</w:t>
            </w:r>
          </w:p>
        </w:tc>
        <w:tc>
          <w:tcPr>
            <w:tcW w:w="775"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591988B9">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权重</w:t>
            </w:r>
          </w:p>
        </w:tc>
        <w:tc>
          <w:tcPr>
            <w:tcW w:w="6257"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7B86F0DD">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评分标准</w:t>
            </w:r>
          </w:p>
        </w:tc>
        <w:tc>
          <w:tcPr>
            <w:tcW w:w="782"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4471BD43">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得分</w:t>
            </w:r>
          </w:p>
        </w:tc>
      </w:tr>
      <w:tr w14:paraId="45B2E2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jc w:val="center"/>
        </w:trPr>
        <w:tc>
          <w:tcPr>
            <w:tcW w:w="110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2E241E">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立项必要性（15）</w:t>
            </w:r>
          </w:p>
        </w:tc>
        <w:tc>
          <w:tcPr>
            <w:tcW w:w="11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22B4DC">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立项依据充分性</w:t>
            </w: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76DCF">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政策相关性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E375D">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项目与宏观政策的相关性</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AD260">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D570A">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与国家、省、市、相关行业宏观政策相关，有相关政策依据，得3分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BB5AA">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r>
      <w:tr w14:paraId="70BCC4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11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F3A9CA">
            <w:pPr>
              <w:widowControl/>
              <w:jc w:val="center"/>
              <w:rPr>
                <w:rFonts w:hint="eastAsia" w:ascii="仿宋" w:hAnsi="仿宋" w:eastAsia="仿宋" w:cs="仿宋"/>
                <w:i w:val="0"/>
                <w:iCs w:val="0"/>
                <w:color w:val="000000"/>
                <w:sz w:val="22"/>
                <w:szCs w:val="22"/>
                <w:u w:val="none"/>
              </w:rPr>
            </w:pPr>
          </w:p>
        </w:tc>
        <w:tc>
          <w:tcPr>
            <w:tcW w:w="11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1B5C54">
            <w:pPr>
              <w:widowControl/>
              <w:jc w:val="center"/>
              <w:rPr>
                <w:rFonts w:hint="eastAsia" w:ascii="仿宋" w:hAnsi="仿宋" w:eastAsia="仿宋" w:cs="仿宋"/>
                <w:i w:val="0"/>
                <w:iCs w:val="0"/>
                <w:color w:val="000000"/>
                <w:sz w:val="22"/>
                <w:szCs w:val="22"/>
                <w:u w:val="none"/>
              </w:rPr>
            </w:pP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7D2C2">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职能相关性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4433B">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项目与部门职能的相关性</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DF25D">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18540">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①与主管部门职能相关，得2分；</w:t>
            </w:r>
            <w:r>
              <w:rPr>
                <w:rFonts w:hint="eastAsia" w:ascii="仿宋" w:hAnsi="仿宋" w:eastAsia="仿宋" w:cs="仿宋"/>
                <w:i w:val="0"/>
                <w:iCs w:val="0"/>
                <w:color w:val="000000"/>
                <w:kern w:val="0"/>
                <w:sz w:val="22"/>
                <w:szCs w:val="22"/>
                <w:u w:val="none"/>
                <w:lang w:val="en-US" w:eastAsia="zh-CN" w:bidi="ar"/>
              </w:rPr>
              <w:br w:type="textWrapping"/>
            </w:r>
            <w:r>
              <w:rPr>
                <w:rFonts w:hint="eastAsia" w:ascii="仿宋" w:hAnsi="仿宋" w:eastAsia="仿宋" w:cs="仿宋"/>
                <w:i w:val="0"/>
                <w:iCs w:val="0"/>
                <w:color w:val="000000"/>
                <w:kern w:val="0"/>
                <w:sz w:val="22"/>
                <w:szCs w:val="22"/>
                <w:u w:val="none"/>
                <w:lang w:val="en-US" w:eastAsia="zh-CN" w:bidi="ar"/>
              </w:rPr>
              <w:t>②与部门规划及当年重点工作相关，得2分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13AD4">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r>
      <w:tr w14:paraId="5D5285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0" w:hRule="atLeast"/>
          <w:jc w:val="center"/>
        </w:trPr>
        <w:tc>
          <w:tcPr>
            <w:tcW w:w="11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DAFC72">
            <w:pPr>
              <w:widowControl/>
              <w:jc w:val="center"/>
              <w:rPr>
                <w:rFonts w:hint="eastAsia" w:ascii="仿宋" w:hAnsi="仿宋" w:eastAsia="仿宋" w:cs="仿宋"/>
                <w:i w:val="0"/>
                <w:iCs w:val="0"/>
                <w:color w:val="000000"/>
                <w:sz w:val="22"/>
                <w:szCs w:val="22"/>
                <w:u w:val="none"/>
              </w:rPr>
            </w:pPr>
          </w:p>
        </w:tc>
        <w:tc>
          <w:tcPr>
            <w:tcW w:w="11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3F4218">
            <w:pPr>
              <w:widowControl/>
              <w:jc w:val="center"/>
              <w:rPr>
                <w:rFonts w:hint="eastAsia" w:ascii="仿宋" w:hAnsi="仿宋" w:eastAsia="仿宋" w:cs="仿宋"/>
                <w:i w:val="0"/>
                <w:iCs w:val="0"/>
                <w:color w:val="000000"/>
                <w:sz w:val="22"/>
                <w:szCs w:val="22"/>
                <w:u w:val="none"/>
              </w:rPr>
            </w:pP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B8B9C">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需求相关性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AE90A">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项目与现实需求的相关性</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B5E3F8">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11E38">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①有现实需求迫切且具有不可替代性，得3分；</w:t>
            </w:r>
            <w:r>
              <w:rPr>
                <w:rFonts w:hint="eastAsia" w:ascii="仿宋" w:hAnsi="仿宋" w:eastAsia="仿宋" w:cs="仿宋"/>
                <w:i w:val="0"/>
                <w:iCs w:val="0"/>
                <w:color w:val="000000"/>
                <w:kern w:val="0"/>
                <w:sz w:val="22"/>
                <w:szCs w:val="22"/>
                <w:u w:val="none"/>
                <w:lang w:val="en-US" w:eastAsia="zh-CN" w:bidi="ar"/>
              </w:rPr>
              <w:br w:type="textWrapping"/>
            </w:r>
            <w:r>
              <w:rPr>
                <w:rFonts w:hint="eastAsia" w:ascii="仿宋" w:hAnsi="仿宋" w:eastAsia="仿宋" w:cs="仿宋"/>
                <w:i w:val="0"/>
                <w:iCs w:val="0"/>
                <w:color w:val="000000"/>
                <w:kern w:val="0"/>
                <w:sz w:val="22"/>
                <w:szCs w:val="22"/>
                <w:u w:val="none"/>
                <w:lang w:val="en-US" w:eastAsia="zh-CN" w:bidi="ar"/>
              </w:rPr>
              <w:t>②有确定的服务对象或受益对象，得2分。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62504">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r>
      <w:tr w14:paraId="208F9B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0" w:hRule="atLeast"/>
          <w:jc w:val="center"/>
        </w:trPr>
        <w:tc>
          <w:tcPr>
            <w:tcW w:w="11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724E02">
            <w:pPr>
              <w:widowControl/>
              <w:jc w:val="center"/>
              <w:rPr>
                <w:rFonts w:hint="eastAsia" w:ascii="仿宋" w:hAnsi="仿宋" w:eastAsia="仿宋" w:cs="仿宋"/>
                <w:i w:val="0"/>
                <w:iCs w:val="0"/>
                <w:color w:val="000000"/>
                <w:sz w:val="22"/>
                <w:szCs w:val="22"/>
                <w:u w:val="none"/>
              </w:rPr>
            </w:pPr>
          </w:p>
        </w:tc>
        <w:tc>
          <w:tcPr>
            <w:tcW w:w="1188" w:type="dxa"/>
            <w:tcBorders>
              <w:top w:val="nil"/>
              <w:left w:val="single" w:color="000000" w:sz="4" w:space="0"/>
              <w:bottom w:val="nil"/>
              <w:right w:val="single" w:color="000000" w:sz="4" w:space="0"/>
            </w:tcBorders>
            <w:shd w:val="clear" w:color="auto" w:fill="auto"/>
            <w:vAlign w:val="center"/>
          </w:tcPr>
          <w:p w14:paraId="5E37EDAE">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财政投入</w:t>
            </w: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42FEC">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财政投入相关性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B28EB">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项目是否具有公共性，是否属于公共财政支持范围</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D1E4F">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69B01">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①是否有明显的经济、社会、环境或可持续性效益。得2分；</w:t>
            </w:r>
            <w:r>
              <w:rPr>
                <w:rFonts w:hint="eastAsia" w:ascii="仿宋" w:hAnsi="仿宋" w:eastAsia="仿宋" w:cs="仿宋"/>
                <w:i w:val="0"/>
                <w:iCs w:val="0"/>
                <w:color w:val="000000"/>
                <w:kern w:val="0"/>
                <w:sz w:val="22"/>
                <w:szCs w:val="22"/>
                <w:u w:val="none"/>
                <w:lang w:val="en-US" w:eastAsia="zh-CN" w:bidi="ar"/>
              </w:rPr>
              <w:br w:type="textWrapping"/>
            </w:r>
            <w:r>
              <w:rPr>
                <w:rFonts w:hint="eastAsia" w:ascii="仿宋" w:hAnsi="仿宋" w:eastAsia="仿宋" w:cs="仿宋"/>
                <w:i w:val="0"/>
                <w:iCs w:val="0"/>
                <w:color w:val="000000"/>
                <w:kern w:val="0"/>
                <w:sz w:val="22"/>
                <w:szCs w:val="22"/>
                <w:u w:val="none"/>
                <w:lang w:val="en-US" w:eastAsia="zh-CN" w:bidi="ar"/>
              </w:rPr>
              <w:t>②项目具有公共性，属于公共财政支持范围，得1分。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357CA">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r>
      <w:tr w14:paraId="13C576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40" w:hRule="atLeast"/>
          <w:jc w:val="center"/>
        </w:trPr>
        <w:tc>
          <w:tcPr>
            <w:tcW w:w="110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65D8A8">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投入经济性（20）</w:t>
            </w:r>
          </w:p>
        </w:tc>
        <w:tc>
          <w:tcPr>
            <w:tcW w:w="1188" w:type="dxa"/>
            <w:vMerge w:val="restart"/>
            <w:tcBorders>
              <w:top w:val="single" w:color="000000" w:sz="4" w:space="0"/>
              <w:left w:val="single" w:color="000000" w:sz="4" w:space="0"/>
              <w:bottom w:val="nil"/>
              <w:right w:val="single" w:color="000000" w:sz="4" w:space="0"/>
            </w:tcBorders>
            <w:shd w:val="clear" w:color="auto" w:fill="auto"/>
            <w:vAlign w:val="center"/>
          </w:tcPr>
          <w:p w14:paraId="65949572">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预算投入合理性</w:t>
            </w: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E5DA7">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预算编制完备性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4A644">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是否编制项目预算，预算是否完善</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67799">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6</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81E47">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①编制有项目预算，得3分；</w:t>
            </w:r>
            <w:r>
              <w:rPr>
                <w:rFonts w:hint="eastAsia" w:ascii="仿宋" w:hAnsi="仿宋" w:eastAsia="仿宋" w:cs="仿宋"/>
                <w:i w:val="0"/>
                <w:iCs w:val="0"/>
                <w:color w:val="000000"/>
                <w:kern w:val="0"/>
                <w:sz w:val="22"/>
                <w:szCs w:val="22"/>
                <w:u w:val="none"/>
                <w:lang w:val="en-US" w:eastAsia="zh-CN" w:bidi="ar"/>
              </w:rPr>
              <w:br w:type="textWrapping"/>
            </w:r>
            <w:r>
              <w:rPr>
                <w:rFonts w:hint="eastAsia" w:ascii="仿宋" w:hAnsi="仿宋" w:eastAsia="仿宋" w:cs="仿宋"/>
                <w:i w:val="0"/>
                <w:iCs w:val="0"/>
                <w:color w:val="000000"/>
                <w:kern w:val="0"/>
                <w:sz w:val="22"/>
                <w:szCs w:val="22"/>
                <w:u w:val="none"/>
                <w:lang w:val="en-US" w:eastAsia="zh-CN" w:bidi="ar"/>
              </w:rPr>
              <w:t>②预算编制完整，无明显缺项，发现一处扣1分，最多扣5分。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882EF">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6</w:t>
            </w:r>
          </w:p>
        </w:tc>
      </w:tr>
      <w:tr w14:paraId="2BC2D6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60" w:hRule="atLeast"/>
          <w:jc w:val="center"/>
        </w:trPr>
        <w:tc>
          <w:tcPr>
            <w:tcW w:w="11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E98E8D">
            <w:pPr>
              <w:widowControl/>
              <w:jc w:val="center"/>
              <w:rPr>
                <w:rFonts w:hint="eastAsia" w:ascii="仿宋" w:hAnsi="仿宋" w:eastAsia="仿宋" w:cs="仿宋"/>
                <w:i w:val="0"/>
                <w:iCs w:val="0"/>
                <w:color w:val="000000"/>
                <w:sz w:val="22"/>
                <w:szCs w:val="22"/>
                <w:u w:val="none"/>
              </w:rPr>
            </w:pPr>
          </w:p>
        </w:tc>
        <w:tc>
          <w:tcPr>
            <w:tcW w:w="1188" w:type="dxa"/>
            <w:vMerge w:val="continue"/>
            <w:tcBorders>
              <w:top w:val="single" w:color="000000" w:sz="4" w:space="0"/>
              <w:left w:val="single" w:color="000000" w:sz="4" w:space="0"/>
              <w:bottom w:val="nil"/>
              <w:right w:val="single" w:color="000000" w:sz="4" w:space="0"/>
            </w:tcBorders>
            <w:shd w:val="clear" w:color="auto" w:fill="auto"/>
            <w:vAlign w:val="center"/>
          </w:tcPr>
          <w:p w14:paraId="2A30E525">
            <w:pPr>
              <w:widowControl/>
              <w:jc w:val="center"/>
              <w:rPr>
                <w:rFonts w:hint="eastAsia" w:ascii="仿宋" w:hAnsi="仿宋" w:eastAsia="仿宋" w:cs="仿宋"/>
                <w:i w:val="0"/>
                <w:iCs w:val="0"/>
                <w:color w:val="000000"/>
                <w:sz w:val="22"/>
                <w:szCs w:val="22"/>
                <w:u w:val="none"/>
              </w:rPr>
            </w:pP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898F5">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预算编制合理性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F6147">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预算编制是否合理，依据是否充分，投入产出是否相匹配</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B8672">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5</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22342">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①项目预算投入测算方式合理，相关测算依据充分，得2分；</w:t>
            </w:r>
            <w:r>
              <w:rPr>
                <w:rFonts w:hint="eastAsia" w:ascii="仿宋" w:hAnsi="仿宋" w:eastAsia="仿宋" w:cs="仿宋"/>
                <w:i w:val="0"/>
                <w:iCs w:val="0"/>
                <w:color w:val="000000"/>
                <w:kern w:val="0"/>
                <w:sz w:val="22"/>
                <w:szCs w:val="22"/>
                <w:u w:val="none"/>
                <w:lang w:val="en-US" w:eastAsia="zh-CN" w:bidi="ar"/>
              </w:rPr>
              <w:br w:type="textWrapping"/>
            </w:r>
            <w:r>
              <w:rPr>
                <w:rFonts w:hint="eastAsia" w:ascii="仿宋" w:hAnsi="仿宋" w:eastAsia="仿宋" w:cs="仿宋"/>
                <w:i w:val="0"/>
                <w:iCs w:val="0"/>
                <w:color w:val="000000"/>
                <w:kern w:val="0"/>
                <w:sz w:val="22"/>
                <w:szCs w:val="22"/>
                <w:u w:val="none"/>
                <w:lang w:val="en-US" w:eastAsia="zh-CN" w:bidi="ar"/>
              </w:rPr>
              <w:t>②项目预算投入成本测算过程是否规范，数据是否全面、真实和客观，得3分。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F1D03">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3</w:t>
            </w:r>
          </w:p>
        </w:tc>
      </w:tr>
      <w:tr w14:paraId="6D269B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80" w:hRule="atLeast"/>
          <w:jc w:val="center"/>
        </w:trPr>
        <w:tc>
          <w:tcPr>
            <w:tcW w:w="11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D99C1E">
            <w:pPr>
              <w:widowControl/>
              <w:jc w:val="center"/>
              <w:rPr>
                <w:rFonts w:hint="eastAsia" w:ascii="仿宋" w:hAnsi="仿宋" w:eastAsia="仿宋" w:cs="仿宋"/>
                <w:i w:val="0"/>
                <w:iCs w:val="0"/>
                <w:color w:val="000000"/>
                <w:sz w:val="22"/>
                <w:szCs w:val="22"/>
                <w:u w:val="none"/>
              </w:rPr>
            </w:pPr>
          </w:p>
        </w:tc>
        <w:tc>
          <w:tcPr>
            <w:tcW w:w="11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267163">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预算成本控制有效性</w:t>
            </w: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4B5E5">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成本控制措施完备性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FFD1B">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项目是否制定相关成本控制措施</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82810">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6</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1B276">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①项目制定有成本控制措施，得3分；</w:t>
            </w:r>
            <w:r>
              <w:rPr>
                <w:rFonts w:hint="eastAsia" w:ascii="仿宋" w:hAnsi="仿宋" w:eastAsia="仿宋" w:cs="仿宋"/>
                <w:i w:val="0"/>
                <w:iCs w:val="0"/>
                <w:color w:val="000000"/>
                <w:kern w:val="0"/>
                <w:sz w:val="22"/>
                <w:szCs w:val="22"/>
                <w:u w:val="none"/>
                <w:lang w:val="en-US" w:eastAsia="zh-CN" w:bidi="ar"/>
              </w:rPr>
              <w:br w:type="textWrapping"/>
            </w:r>
            <w:r>
              <w:rPr>
                <w:rFonts w:hint="eastAsia" w:ascii="仿宋" w:hAnsi="仿宋" w:eastAsia="仿宋" w:cs="仿宋"/>
                <w:i w:val="0"/>
                <w:iCs w:val="0"/>
                <w:color w:val="000000"/>
                <w:kern w:val="0"/>
                <w:sz w:val="22"/>
                <w:szCs w:val="22"/>
                <w:u w:val="none"/>
                <w:lang w:val="en-US" w:eastAsia="zh-CN" w:bidi="ar"/>
              </w:rPr>
              <w:t>②项目成本措施考虑完善，发现一处明显漏洞扣1分，最多扣3分。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0DD4F">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6</w:t>
            </w:r>
          </w:p>
        </w:tc>
      </w:tr>
      <w:tr w14:paraId="03F4B0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0" w:hRule="atLeast"/>
          <w:jc w:val="center"/>
        </w:trPr>
        <w:tc>
          <w:tcPr>
            <w:tcW w:w="11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48CB39">
            <w:pPr>
              <w:widowControl/>
              <w:jc w:val="center"/>
              <w:rPr>
                <w:rFonts w:hint="eastAsia" w:ascii="仿宋" w:hAnsi="仿宋" w:eastAsia="仿宋" w:cs="仿宋"/>
                <w:i w:val="0"/>
                <w:iCs w:val="0"/>
                <w:color w:val="000000"/>
                <w:sz w:val="22"/>
                <w:szCs w:val="22"/>
                <w:u w:val="none"/>
              </w:rPr>
            </w:pPr>
          </w:p>
        </w:tc>
        <w:tc>
          <w:tcPr>
            <w:tcW w:w="11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49405C">
            <w:pPr>
              <w:widowControl/>
              <w:jc w:val="center"/>
              <w:rPr>
                <w:rFonts w:hint="eastAsia" w:ascii="仿宋" w:hAnsi="仿宋" w:eastAsia="仿宋" w:cs="仿宋"/>
                <w:i w:val="0"/>
                <w:iCs w:val="0"/>
                <w:color w:val="000000"/>
                <w:sz w:val="22"/>
                <w:szCs w:val="22"/>
                <w:u w:val="none"/>
              </w:rPr>
            </w:pP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5716D">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成本控制措施有效性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F81EF">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项目采取成本控制措施是否有效</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C531F">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3</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429BA">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项目制定的成本控制措施切实有效，具有可操作性，得3分。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62347">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1</w:t>
            </w:r>
          </w:p>
        </w:tc>
      </w:tr>
      <w:tr w14:paraId="03DAF9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jc w:val="center"/>
        </w:trPr>
        <w:tc>
          <w:tcPr>
            <w:tcW w:w="110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DFB51A5">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绩效目标合理性（22）</w:t>
            </w:r>
          </w:p>
        </w:tc>
        <w:tc>
          <w:tcPr>
            <w:tcW w:w="11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4F3C15">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目标明确性</w:t>
            </w: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F6D9C">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绩效目标完备性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FABEF">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是否申报绩效目标</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46FBF">
            <w:pPr>
              <w:keepNext w:val="0"/>
              <w:keepLines w:val="0"/>
              <w:widowControl/>
              <w:suppressLineNumbers w:val="0"/>
              <w:jc w:val="center"/>
              <w:textAlignment w:val="center"/>
              <w:rPr>
                <w:rFonts w:hint="default"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2</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9A8D9">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按照相关要求申报绩效目标，未申报不得分。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71A60">
            <w:pPr>
              <w:keepNext w:val="0"/>
              <w:keepLines w:val="0"/>
              <w:widowControl/>
              <w:suppressLineNumbers w:val="0"/>
              <w:jc w:val="center"/>
              <w:textAlignment w:val="center"/>
              <w:rPr>
                <w:rFonts w:hint="default"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2</w:t>
            </w:r>
          </w:p>
        </w:tc>
      </w:tr>
      <w:tr w14:paraId="58DFFD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jc w:val="center"/>
        </w:trPr>
        <w:tc>
          <w:tcPr>
            <w:tcW w:w="11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87DA44">
            <w:pPr>
              <w:widowControl/>
              <w:jc w:val="center"/>
              <w:rPr>
                <w:rFonts w:hint="eastAsia" w:ascii="仿宋" w:hAnsi="仿宋" w:eastAsia="仿宋" w:cs="仿宋"/>
                <w:i w:val="0"/>
                <w:iCs w:val="0"/>
                <w:color w:val="000000"/>
                <w:sz w:val="22"/>
                <w:szCs w:val="22"/>
                <w:u w:val="none"/>
              </w:rPr>
            </w:pPr>
          </w:p>
        </w:tc>
        <w:tc>
          <w:tcPr>
            <w:tcW w:w="11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4D4939">
            <w:pPr>
              <w:widowControl/>
              <w:jc w:val="center"/>
              <w:rPr>
                <w:rFonts w:hint="eastAsia" w:ascii="仿宋" w:hAnsi="仿宋" w:eastAsia="仿宋" w:cs="仿宋"/>
                <w:i w:val="0"/>
                <w:iCs w:val="0"/>
                <w:color w:val="000000"/>
                <w:sz w:val="22"/>
                <w:szCs w:val="22"/>
                <w:u w:val="none"/>
              </w:rPr>
            </w:pP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BDEA3">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绩效目标明确性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6BDA1">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绩效目标设定是否清晰、细化、可衡量等，用以反映和考核项目绩效目标的明细化情况。</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19AAC2">
            <w:pPr>
              <w:keepNext w:val="0"/>
              <w:keepLines w:val="0"/>
              <w:widowControl/>
              <w:suppressLineNumbers w:val="0"/>
              <w:jc w:val="center"/>
              <w:textAlignment w:val="center"/>
              <w:rPr>
                <w:rFonts w:hint="default"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6</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08FEA">
            <w:pPr>
              <w:keepNext w:val="0"/>
              <w:keepLines w:val="0"/>
              <w:widowControl/>
              <w:suppressLineNumbers w:val="0"/>
              <w:jc w:val="left"/>
              <w:textAlignment w:val="center"/>
              <w:rPr>
                <w:rFonts w:hint="eastAsia" w:ascii="仿宋" w:hAnsi="仿宋" w:eastAsia="仿宋" w:cs="仿宋"/>
                <w:i w:val="0"/>
                <w:iCs w:val="0"/>
                <w:color w:val="000000"/>
                <w:kern w:val="0"/>
                <w:sz w:val="22"/>
                <w:szCs w:val="22"/>
                <w:highlight w:val="none"/>
                <w:u w:val="none"/>
                <w:lang w:val="en-US" w:eastAsia="zh-CN" w:bidi="ar"/>
              </w:rPr>
            </w:pPr>
            <w:r>
              <w:rPr>
                <w:rFonts w:hint="eastAsia" w:ascii="仿宋" w:hAnsi="仿宋" w:eastAsia="仿宋" w:cs="仿宋"/>
                <w:i w:val="0"/>
                <w:iCs w:val="0"/>
                <w:color w:val="000000"/>
                <w:kern w:val="0"/>
                <w:sz w:val="22"/>
                <w:szCs w:val="22"/>
                <w:highlight w:val="none"/>
                <w:u w:val="none"/>
                <w:lang w:val="en-US" w:eastAsia="zh-CN" w:bidi="ar"/>
              </w:rPr>
              <w:t>①项目受益群体定位准确，得2分；</w:t>
            </w:r>
          </w:p>
          <w:p w14:paraId="2996DFFA">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highlight w:val="none"/>
                <w:u w:val="none"/>
                <w:lang w:val="en-US" w:eastAsia="zh-CN" w:bidi="ar"/>
              </w:rPr>
              <w:t>②绩效目标细化分解为具体的绩效指标，且清晰、可衡量，得2分；</w:t>
            </w:r>
            <w:r>
              <w:rPr>
                <w:rFonts w:hint="eastAsia" w:ascii="仿宋" w:hAnsi="仿宋" w:eastAsia="仿宋" w:cs="仿宋"/>
                <w:i w:val="0"/>
                <w:iCs w:val="0"/>
                <w:color w:val="000000"/>
                <w:kern w:val="0"/>
                <w:sz w:val="22"/>
                <w:szCs w:val="22"/>
                <w:highlight w:val="none"/>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③绩效指标与项目目标任务数或计划数相对应，得2分。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76432">
            <w:pPr>
              <w:keepNext w:val="0"/>
              <w:keepLines w:val="0"/>
              <w:widowControl/>
              <w:suppressLineNumbers w:val="0"/>
              <w:jc w:val="center"/>
              <w:textAlignment w:val="center"/>
              <w:rPr>
                <w:rFonts w:hint="default"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4</w:t>
            </w:r>
          </w:p>
        </w:tc>
      </w:tr>
      <w:tr w14:paraId="029C86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jc w:val="center"/>
        </w:trPr>
        <w:tc>
          <w:tcPr>
            <w:tcW w:w="11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C3E5CA">
            <w:pPr>
              <w:widowControl/>
              <w:jc w:val="center"/>
              <w:rPr>
                <w:rFonts w:hint="eastAsia" w:ascii="仿宋" w:hAnsi="仿宋" w:eastAsia="仿宋" w:cs="仿宋"/>
                <w:i w:val="0"/>
                <w:iCs w:val="0"/>
                <w:color w:val="000000"/>
                <w:sz w:val="22"/>
                <w:szCs w:val="22"/>
                <w:u w:val="none"/>
              </w:rPr>
            </w:pPr>
          </w:p>
        </w:tc>
        <w:tc>
          <w:tcPr>
            <w:tcW w:w="1188" w:type="dxa"/>
            <w:vMerge w:val="restart"/>
            <w:tcBorders>
              <w:top w:val="nil"/>
              <w:left w:val="single" w:color="000000" w:sz="4" w:space="0"/>
              <w:bottom w:val="single" w:color="000000" w:sz="4" w:space="0"/>
              <w:right w:val="single" w:color="000000" w:sz="4" w:space="0"/>
            </w:tcBorders>
            <w:shd w:val="clear" w:color="auto" w:fill="auto"/>
            <w:vAlign w:val="center"/>
          </w:tcPr>
          <w:p w14:paraId="22943108">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目标合理性</w:t>
            </w: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1FDAE">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绩效目标匹配性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A1591">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绩效目标与项目预计解决的问题是否匹配，是否用以反映和考核项目绩效目标与项目实施的相符情况。</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DB7D1">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6</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24478">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①绩效目标与部门长期规划相关，与年度目标一致，与项目设计解决的问题相匹配，得3分；</w:t>
            </w:r>
            <w:r>
              <w:rPr>
                <w:rFonts w:hint="eastAsia" w:ascii="仿宋" w:hAnsi="仿宋" w:eastAsia="仿宋" w:cs="仿宋"/>
                <w:i w:val="0"/>
                <w:iCs w:val="0"/>
                <w:color w:val="000000"/>
                <w:kern w:val="0"/>
                <w:sz w:val="22"/>
                <w:szCs w:val="22"/>
                <w:u w:val="none"/>
                <w:lang w:val="en-US" w:eastAsia="zh-CN" w:bidi="ar"/>
              </w:rPr>
              <w:br w:type="textWrapping"/>
            </w:r>
            <w:r>
              <w:rPr>
                <w:rFonts w:hint="eastAsia" w:ascii="仿宋" w:hAnsi="仿宋" w:eastAsia="仿宋" w:cs="仿宋"/>
                <w:i w:val="0"/>
                <w:iCs w:val="0"/>
                <w:color w:val="000000"/>
                <w:kern w:val="0"/>
                <w:sz w:val="22"/>
                <w:szCs w:val="22"/>
                <w:highlight w:val="none"/>
                <w:u w:val="none"/>
                <w:lang w:val="en-US" w:eastAsia="zh-CN" w:bidi="ar"/>
              </w:rPr>
              <w:t>②绩效目标与项目现实需求相匹配，得3分。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68561">
            <w:pPr>
              <w:keepNext w:val="0"/>
              <w:keepLines w:val="0"/>
              <w:widowControl/>
              <w:suppressLineNumbers w:val="0"/>
              <w:jc w:val="center"/>
              <w:textAlignment w:val="center"/>
              <w:rPr>
                <w:rFonts w:hint="default"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5</w:t>
            </w:r>
          </w:p>
        </w:tc>
      </w:tr>
      <w:tr w14:paraId="044D11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98" w:hRule="atLeast"/>
          <w:jc w:val="center"/>
        </w:trPr>
        <w:tc>
          <w:tcPr>
            <w:tcW w:w="11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6A5A1A">
            <w:pPr>
              <w:widowControl/>
              <w:jc w:val="center"/>
              <w:rPr>
                <w:rFonts w:hint="eastAsia" w:ascii="仿宋" w:hAnsi="仿宋" w:eastAsia="仿宋" w:cs="仿宋"/>
                <w:i w:val="0"/>
                <w:iCs w:val="0"/>
                <w:color w:val="000000"/>
                <w:sz w:val="22"/>
                <w:szCs w:val="22"/>
                <w:u w:val="none"/>
              </w:rPr>
            </w:pPr>
          </w:p>
        </w:tc>
        <w:tc>
          <w:tcPr>
            <w:tcW w:w="1188" w:type="dxa"/>
            <w:vMerge w:val="continue"/>
            <w:tcBorders>
              <w:top w:val="nil"/>
              <w:left w:val="single" w:color="000000" w:sz="4" w:space="0"/>
              <w:bottom w:val="single" w:color="000000" w:sz="4" w:space="0"/>
              <w:right w:val="single" w:color="000000" w:sz="4" w:space="0"/>
            </w:tcBorders>
            <w:shd w:val="clear" w:color="auto" w:fill="auto"/>
            <w:vAlign w:val="center"/>
          </w:tcPr>
          <w:p w14:paraId="4627F4EB">
            <w:pPr>
              <w:widowControl/>
              <w:jc w:val="center"/>
              <w:rPr>
                <w:rFonts w:hint="eastAsia" w:ascii="仿宋" w:hAnsi="仿宋" w:eastAsia="仿宋" w:cs="仿宋"/>
                <w:i w:val="0"/>
                <w:iCs w:val="0"/>
                <w:color w:val="000000"/>
                <w:sz w:val="22"/>
                <w:szCs w:val="22"/>
                <w:u w:val="none"/>
              </w:rPr>
            </w:pP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E85EE">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绩效目标前瞻性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08CD3">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绩效目标是否具有一定的前瞻性和挑战性</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3ABC08">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B35AD">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highlight w:val="none"/>
                <w:u w:val="none"/>
                <w:lang w:val="en-US" w:eastAsia="zh-CN" w:bidi="ar"/>
              </w:rPr>
              <w:t>项目绩效目标设置准确、全面、合理，得3分</w:t>
            </w:r>
            <w:r>
              <w:rPr>
                <w:rFonts w:hint="eastAsia" w:ascii="仿宋" w:hAnsi="仿宋" w:eastAsia="仿宋" w:cs="仿宋"/>
                <w:i w:val="0"/>
                <w:iCs w:val="0"/>
                <w:color w:val="000000"/>
                <w:kern w:val="0"/>
                <w:sz w:val="22"/>
                <w:szCs w:val="22"/>
                <w:u w:val="none"/>
                <w:lang w:val="en-US" w:eastAsia="zh-CN" w:bidi="ar"/>
              </w:rPr>
              <w:t>。</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AD225">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2</w:t>
            </w:r>
          </w:p>
        </w:tc>
      </w:tr>
      <w:tr w14:paraId="335770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80" w:hRule="atLeast"/>
          <w:jc w:val="center"/>
        </w:trPr>
        <w:tc>
          <w:tcPr>
            <w:tcW w:w="11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ABF95B">
            <w:pPr>
              <w:widowControl/>
              <w:jc w:val="center"/>
              <w:rPr>
                <w:rFonts w:hint="eastAsia" w:ascii="仿宋" w:hAnsi="仿宋" w:eastAsia="仿宋" w:cs="仿宋"/>
                <w:i w:val="0"/>
                <w:iCs w:val="0"/>
                <w:color w:val="000000"/>
                <w:sz w:val="22"/>
                <w:szCs w:val="22"/>
                <w:u w:val="none"/>
              </w:rPr>
            </w:pPr>
          </w:p>
        </w:tc>
        <w:tc>
          <w:tcPr>
            <w:tcW w:w="1188" w:type="dxa"/>
            <w:vMerge w:val="continue"/>
            <w:tcBorders>
              <w:top w:val="nil"/>
              <w:left w:val="single" w:color="000000" w:sz="4" w:space="0"/>
              <w:bottom w:val="single" w:color="000000" w:sz="4" w:space="0"/>
              <w:right w:val="single" w:color="000000" w:sz="4" w:space="0"/>
            </w:tcBorders>
            <w:shd w:val="clear" w:color="auto" w:fill="auto"/>
            <w:vAlign w:val="center"/>
          </w:tcPr>
          <w:p w14:paraId="32BAE351">
            <w:pPr>
              <w:widowControl/>
              <w:jc w:val="center"/>
              <w:rPr>
                <w:rFonts w:hint="eastAsia" w:ascii="仿宋" w:hAnsi="仿宋" w:eastAsia="仿宋" w:cs="仿宋"/>
                <w:i w:val="0"/>
                <w:iCs w:val="0"/>
                <w:color w:val="000000"/>
                <w:sz w:val="22"/>
                <w:szCs w:val="22"/>
                <w:u w:val="none"/>
              </w:rPr>
            </w:pP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9FB3F">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绩效指标量化、细化</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16F6D">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绩效指标是否细化、量化，指标值是否合理、可考核</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FD2D0">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B9BE1">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①绩效指标设置有适当的定性和定量指标，得3分；</w:t>
            </w:r>
            <w:r>
              <w:rPr>
                <w:rFonts w:hint="eastAsia" w:ascii="仿宋" w:hAnsi="仿宋" w:eastAsia="仿宋" w:cs="仿宋"/>
                <w:i w:val="0"/>
                <w:iCs w:val="0"/>
                <w:color w:val="000000"/>
                <w:kern w:val="0"/>
                <w:sz w:val="22"/>
                <w:szCs w:val="22"/>
                <w:u w:val="none"/>
                <w:lang w:val="en-US" w:eastAsia="zh-CN" w:bidi="ar"/>
              </w:rPr>
              <w:br w:type="textWrapping"/>
            </w:r>
            <w:r>
              <w:rPr>
                <w:rFonts w:hint="eastAsia" w:ascii="仿宋" w:hAnsi="仿宋" w:eastAsia="仿宋" w:cs="仿宋"/>
                <w:i w:val="0"/>
                <w:iCs w:val="0"/>
                <w:color w:val="000000"/>
                <w:kern w:val="0"/>
                <w:sz w:val="22"/>
                <w:szCs w:val="22"/>
                <w:u w:val="none"/>
                <w:lang w:val="en-US" w:eastAsia="zh-CN" w:bidi="ar"/>
              </w:rPr>
              <w:t>②绩效指标值设置合理，数据可取得，可考核性强，得2分。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53C93">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3</w:t>
            </w:r>
          </w:p>
        </w:tc>
      </w:tr>
      <w:tr w14:paraId="107D0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jc w:val="center"/>
        </w:trPr>
        <w:tc>
          <w:tcPr>
            <w:tcW w:w="1104" w:type="dxa"/>
            <w:vMerge w:val="restart"/>
            <w:tcBorders>
              <w:top w:val="single" w:color="000000" w:sz="4" w:space="0"/>
              <w:left w:val="single" w:color="000000" w:sz="4" w:space="0"/>
              <w:right w:val="single" w:color="000000" w:sz="4" w:space="0"/>
            </w:tcBorders>
            <w:shd w:val="clear" w:color="auto" w:fill="auto"/>
            <w:vAlign w:val="center"/>
          </w:tcPr>
          <w:p w14:paraId="6F0DE39D">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项目可行性（28）</w:t>
            </w:r>
          </w:p>
        </w:tc>
        <w:tc>
          <w:tcPr>
            <w:tcW w:w="11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D56675">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实施可行性</w:t>
            </w: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B79A9">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需求方案完备性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432BB">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是否制定项目需求方案</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D4B86">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B865A">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制定有项目需求方案，得2分；否则0分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43283">
            <w:pPr>
              <w:keepNext w:val="0"/>
              <w:keepLines w:val="0"/>
              <w:widowControl/>
              <w:suppressLineNumbers w:val="0"/>
              <w:jc w:val="center"/>
              <w:textAlignment w:val="center"/>
              <w:rPr>
                <w:rFonts w:hint="default"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2</w:t>
            </w:r>
          </w:p>
        </w:tc>
      </w:tr>
      <w:tr w14:paraId="02A4E8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20" w:hRule="atLeast"/>
          <w:jc w:val="center"/>
        </w:trPr>
        <w:tc>
          <w:tcPr>
            <w:tcW w:w="1104" w:type="dxa"/>
            <w:vMerge w:val="continue"/>
            <w:tcBorders>
              <w:left w:val="single" w:color="000000" w:sz="4" w:space="0"/>
              <w:right w:val="single" w:color="000000" w:sz="4" w:space="0"/>
            </w:tcBorders>
            <w:shd w:val="clear" w:color="auto" w:fill="auto"/>
            <w:vAlign w:val="center"/>
          </w:tcPr>
          <w:p w14:paraId="4E89C1A5">
            <w:pPr>
              <w:widowControl/>
              <w:jc w:val="center"/>
              <w:rPr>
                <w:rFonts w:hint="eastAsia" w:ascii="仿宋" w:hAnsi="仿宋" w:eastAsia="仿宋" w:cs="仿宋"/>
                <w:i w:val="0"/>
                <w:iCs w:val="0"/>
                <w:color w:val="000000"/>
                <w:sz w:val="22"/>
                <w:szCs w:val="22"/>
                <w:u w:val="none"/>
              </w:rPr>
            </w:pPr>
          </w:p>
        </w:tc>
        <w:tc>
          <w:tcPr>
            <w:tcW w:w="11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9B5C53">
            <w:pPr>
              <w:widowControl/>
              <w:jc w:val="center"/>
              <w:rPr>
                <w:rFonts w:hint="eastAsia" w:ascii="仿宋" w:hAnsi="仿宋" w:eastAsia="仿宋" w:cs="仿宋"/>
                <w:i w:val="0"/>
                <w:iCs w:val="0"/>
                <w:color w:val="000000"/>
                <w:sz w:val="22"/>
                <w:szCs w:val="22"/>
                <w:u w:val="none"/>
              </w:rPr>
            </w:pP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164DB">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项目内容明确性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9A2A8">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项目内容是否明确、具体，与绩效目标是否匹配，各项程序是否明确、规范。</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60F7D">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2</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B4BA1">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①项目实施内容明确具体，得1分；</w:t>
            </w:r>
            <w:r>
              <w:rPr>
                <w:rFonts w:hint="eastAsia" w:ascii="仿宋" w:hAnsi="仿宋" w:eastAsia="仿宋" w:cs="仿宋"/>
                <w:i w:val="0"/>
                <w:iCs w:val="0"/>
                <w:color w:val="000000"/>
                <w:kern w:val="0"/>
                <w:sz w:val="22"/>
                <w:szCs w:val="22"/>
                <w:u w:val="none"/>
                <w:lang w:val="en-US" w:eastAsia="zh-CN" w:bidi="ar"/>
              </w:rPr>
              <w:br w:type="textWrapping"/>
            </w:r>
            <w:r>
              <w:rPr>
                <w:rFonts w:hint="eastAsia" w:ascii="仿宋" w:hAnsi="仿宋" w:eastAsia="仿宋" w:cs="仿宋"/>
                <w:i w:val="0"/>
                <w:iCs w:val="0"/>
                <w:color w:val="000000"/>
                <w:kern w:val="0"/>
                <w:sz w:val="22"/>
                <w:szCs w:val="22"/>
                <w:u w:val="none"/>
                <w:lang w:val="en-US" w:eastAsia="zh-CN" w:bidi="ar"/>
              </w:rPr>
              <w:t>②项目实施内容与项目绩效目标相匹配，得1分。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C6DA3">
            <w:pPr>
              <w:keepNext w:val="0"/>
              <w:keepLines w:val="0"/>
              <w:widowControl/>
              <w:suppressLineNumbers w:val="0"/>
              <w:jc w:val="center"/>
              <w:textAlignment w:val="center"/>
              <w:rPr>
                <w:rFonts w:hint="default"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1</w:t>
            </w:r>
          </w:p>
        </w:tc>
      </w:tr>
      <w:tr w14:paraId="299202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0" w:hRule="atLeast"/>
          <w:jc w:val="center"/>
        </w:trPr>
        <w:tc>
          <w:tcPr>
            <w:tcW w:w="1104" w:type="dxa"/>
            <w:vMerge w:val="continue"/>
            <w:tcBorders>
              <w:left w:val="single" w:color="000000" w:sz="4" w:space="0"/>
              <w:right w:val="single" w:color="000000" w:sz="4" w:space="0"/>
            </w:tcBorders>
            <w:shd w:val="clear" w:color="auto" w:fill="auto"/>
            <w:vAlign w:val="center"/>
          </w:tcPr>
          <w:p w14:paraId="4AD68CFE">
            <w:pPr>
              <w:widowControl/>
              <w:jc w:val="center"/>
              <w:rPr>
                <w:rFonts w:hint="eastAsia" w:ascii="仿宋" w:hAnsi="仿宋" w:eastAsia="仿宋" w:cs="仿宋"/>
                <w:i w:val="0"/>
                <w:iCs w:val="0"/>
                <w:color w:val="000000"/>
                <w:sz w:val="22"/>
                <w:szCs w:val="22"/>
                <w:u w:val="none"/>
              </w:rPr>
            </w:pPr>
          </w:p>
        </w:tc>
        <w:tc>
          <w:tcPr>
            <w:tcW w:w="11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13FBF7">
            <w:pPr>
              <w:widowControl/>
              <w:jc w:val="center"/>
              <w:rPr>
                <w:rFonts w:hint="eastAsia" w:ascii="仿宋" w:hAnsi="仿宋" w:eastAsia="仿宋" w:cs="仿宋"/>
                <w:i w:val="0"/>
                <w:iCs w:val="0"/>
                <w:color w:val="000000"/>
                <w:sz w:val="22"/>
                <w:szCs w:val="22"/>
                <w:u w:val="none"/>
              </w:rPr>
            </w:pP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BD4B9">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项目时效性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0C585">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项目流程进展是否顺利，能否按计划执行</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F122A">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66F73">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①项目进度安排合理，得2分；</w:t>
            </w:r>
            <w:r>
              <w:rPr>
                <w:rFonts w:hint="eastAsia" w:ascii="仿宋" w:hAnsi="仿宋" w:eastAsia="仿宋" w:cs="仿宋"/>
                <w:i w:val="0"/>
                <w:iCs w:val="0"/>
                <w:color w:val="000000"/>
                <w:kern w:val="0"/>
                <w:sz w:val="22"/>
                <w:szCs w:val="22"/>
                <w:u w:val="none"/>
                <w:lang w:val="en-US" w:eastAsia="zh-CN" w:bidi="ar"/>
              </w:rPr>
              <w:br w:type="textWrapping"/>
            </w:r>
            <w:r>
              <w:rPr>
                <w:rFonts w:hint="eastAsia" w:ascii="仿宋" w:hAnsi="仿宋" w:eastAsia="仿宋" w:cs="仿宋"/>
                <w:i w:val="0"/>
                <w:iCs w:val="0"/>
                <w:color w:val="000000"/>
                <w:kern w:val="0"/>
                <w:sz w:val="22"/>
                <w:szCs w:val="22"/>
                <w:u w:val="none"/>
                <w:lang w:val="en-US" w:eastAsia="zh-CN" w:bidi="ar"/>
              </w:rPr>
              <w:t>②项目前期进度与计划相匹配，按照计划执行前期审批、评审和招投标等流程，确保项目按期开展，得2分。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52C1A">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4</w:t>
            </w:r>
          </w:p>
        </w:tc>
      </w:tr>
      <w:tr w14:paraId="23B51D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00" w:hRule="atLeast"/>
          <w:jc w:val="center"/>
        </w:trPr>
        <w:tc>
          <w:tcPr>
            <w:tcW w:w="1104" w:type="dxa"/>
            <w:vMerge w:val="continue"/>
            <w:tcBorders>
              <w:left w:val="single" w:color="000000" w:sz="4" w:space="0"/>
              <w:right w:val="single" w:color="000000" w:sz="4" w:space="0"/>
            </w:tcBorders>
            <w:shd w:val="clear" w:color="auto" w:fill="auto"/>
            <w:vAlign w:val="center"/>
          </w:tcPr>
          <w:p w14:paraId="6E07E4A2">
            <w:pPr>
              <w:widowControl/>
              <w:jc w:val="center"/>
              <w:rPr>
                <w:rFonts w:hint="eastAsia" w:ascii="仿宋" w:hAnsi="仿宋" w:eastAsia="仿宋" w:cs="仿宋"/>
                <w:i w:val="0"/>
                <w:iCs w:val="0"/>
                <w:color w:val="000000"/>
                <w:sz w:val="22"/>
                <w:szCs w:val="22"/>
                <w:u w:val="none"/>
              </w:rPr>
            </w:pPr>
          </w:p>
        </w:tc>
        <w:tc>
          <w:tcPr>
            <w:tcW w:w="11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6375DB">
            <w:pPr>
              <w:widowControl/>
              <w:jc w:val="center"/>
              <w:rPr>
                <w:rFonts w:hint="eastAsia" w:ascii="仿宋" w:hAnsi="仿宋" w:eastAsia="仿宋" w:cs="仿宋"/>
                <w:i w:val="0"/>
                <w:iCs w:val="0"/>
                <w:color w:val="000000"/>
                <w:sz w:val="22"/>
                <w:szCs w:val="22"/>
                <w:u w:val="none"/>
              </w:rPr>
            </w:pP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306E8">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实施方案合理性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775C3">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与项目有关的基础设施条件是否能够得以有效保障</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58946">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2</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9D5F3">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①项目组织、进度安排清晰合理，得1分；</w:t>
            </w:r>
            <w:r>
              <w:rPr>
                <w:rFonts w:hint="eastAsia" w:ascii="仿宋" w:hAnsi="仿宋" w:eastAsia="仿宋" w:cs="仿宋"/>
                <w:i w:val="0"/>
                <w:iCs w:val="0"/>
                <w:color w:val="000000"/>
                <w:kern w:val="0"/>
                <w:sz w:val="22"/>
                <w:szCs w:val="22"/>
                <w:u w:val="none"/>
                <w:lang w:val="en-US" w:eastAsia="zh-CN" w:bidi="ar"/>
              </w:rPr>
              <w:br w:type="textWrapping"/>
            </w:r>
            <w:r>
              <w:rPr>
                <w:rFonts w:hint="eastAsia" w:ascii="仿宋" w:hAnsi="仿宋" w:eastAsia="仿宋" w:cs="仿宋"/>
                <w:i w:val="0"/>
                <w:iCs w:val="0"/>
                <w:color w:val="000000"/>
                <w:kern w:val="0"/>
                <w:sz w:val="22"/>
                <w:szCs w:val="22"/>
                <w:u w:val="none"/>
                <w:lang w:val="en-US" w:eastAsia="zh-CN" w:bidi="ar"/>
              </w:rPr>
              <w:t>②项目相关基础设施条件等能够有效保障，方案切实可行，得1分。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96C06">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2</w:t>
            </w:r>
          </w:p>
        </w:tc>
      </w:tr>
      <w:tr w14:paraId="598342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5" w:hRule="atLeast"/>
          <w:jc w:val="center"/>
        </w:trPr>
        <w:tc>
          <w:tcPr>
            <w:tcW w:w="1104" w:type="dxa"/>
            <w:vMerge w:val="continue"/>
            <w:tcBorders>
              <w:left w:val="single" w:color="000000" w:sz="4" w:space="0"/>
              <w:right w:val="single" w:color="000000" w:sz="4" w:space="0"/>
            </w:tcBorders>
            <w:shd w:val="clear" w:color="auto" w:fill="auto"/>
            <w:vAlign w:val="center"/>
          </w:tcPr>
          <w:p w14:paraId="02860339">
            <w:pPr>
              <w:widowControl/>
              <w:jc w:val="center"/>
              <w:rPr>
                <w:rFonts w:hint="eastAsia" w:ascii="仿宋" w:hAnsi="仿宋" w:eastAsia="仿宋" w:cs="仿宋"/>
                <w:i w:val="0"/>
                <w:iCs w:val="0"/>
                <w:color w:val="000000"/>
                <w:sz w:val="22"/>
                <w:szCs w:val="22"/>
                <w:u w:val="none"/>
              </w:rPr>
            </w:pPr>
          </w:p>
        </w:tc>
        <w:tc>
          <w:tcPr>
            <w:tcW w:w="11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191A4B">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过程控制有效性</w:t>
            </w: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62D58">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组织机构健全性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4C074">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组织机构计划是否合理可行</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75A73E">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81441">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①组织机构计划健全合理，得1分；</w:t>
            </w:r>
            <w:r>
              <w:rPr>
                <w:rFonts w:hint="eastAsia" w:ascii="仿宋" w:hAnsi="仿宋" w:eastAsia="仿宋" w:cs="仿宋"/>
                <w:i w:val="0"/>
                <w:iCs w:val="0"/>
                <w:color w:val="000000"/>
                <w:kern w:val="0"/>
                <w:sz w:val="22"/>
                <w:szCs w:val="22"/>
                <w:u w:val="none"/>
                <w:lang w:val="en-US" w:eastAsia="zh-CN" w:bidi="ar"/>
              </w:rPr>
              <w:br w:type="textWrapping"/>
            </w:r>
            <w:r>
              <w:rPr>
                <w:rFonts w:hint="eastAsia" w:ascii="仿宋" w:hAnsi="仿宋" w:eastAsia="仿宋" w:cs="仿宋"/>
                <w:i w:val="0"/>
                <w:iCs w:val="0"/>
                <w:color w:val="000000"/>
                <w:kern w:val="0"/>
                <w:sz w:val="22"/>
                <w:szCs w:val="22"/>
                <w:u w:val="none"/>
                <w:lang w:val="en-US" w:eastAsia="zh-CN" w:bidi="ar"/>
              </w:rPr>
              <w:t>②人员配备职责分工明确、合理，得1分。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F9B67">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r>
      <w:tr w14:paraId="021C50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00" w:hRule="atLeast"/>
          <w:jc w:val="center"/>
        </w:trPr>
        <w:tc>
          <w:tcPr>
            <w:tcW w:w="1104" w:type="dxa"/>
            <w:vMerge w:val="continue"/>
            <w:tcBorders>
              <w:left w:val="single" w:color="000000" w:sz="4" w:space="0"/>
              <w:right w:val="single" w:color="000000" w:sz="4" w:space="0"/>
            </w:tcBorders>
            <w:shd w:val="clear" w:color="auto" w:fill="auto"/>
            <w:vAlign w:val="center"/>
          </w:tcPr>
          <w:p w14:paraId="76E8AD54">
            <w:pPr>
              <w:widowControl/>
              <w:jc w:val="center"/>
              <w:rPr>
                <w:rFonts w:hint="eastAsia" w:ascii="仿宋" w:hAnsi="仿宋" w:eastAsia="仿宋" w:cs="仿宋"/>
                <w:i w:val="0"/>
                <w:iCs w:val="0"/>
                <w:color w:val="000000"/>
                <w:sz w:val="22"/>
                <w:szCs w:val="22"/>
                <w:u w:val="none"/>
              </w:rPr>
            </w:pPr>
          </w:p>
        </w:tc>
        <w:tc>
          <w:tcPr>
            <w:tcW w:w="11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58D0C1">
            <w:pPr>
              <w:widowControl/>
              <w:jc w:val="center"/>
              <w:rPr>
                <w:rFonts w:hint="eastAsia" w:ascii="仿宋" w:hAnsi="仿宋" w:eastAsia="仿宋" w:cs="仿宋"/>
                <w:i w:val="0"/>
                <w:iCs w:val="0"/>
                <w:color w:val="000000"/>
                <w:sz w:val="22"/>
                <w:szCs w:val="22"/>
                <w:u w:val="none"/>
              </w:rPr>
            </w:pP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2E61D">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管理制度健全性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2993D">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管理制度是否健全</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8A0">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2C358">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①制定有管理制度，得1分；</w:t>
            </w:r>
            <w:r>
              <w:rPr>
                <w:rFonts w:hint="eastAsia" w:ascii="仿宋" w:hAnsi="仿宋" w:eastAsia="仿宋" w:cs="仿宋"/>
                <w:i w:val="0"/>
                <w:iCs w:val="0"/>
                <w:color w:val="000000"/>
                <w:kern w:val="0"/>
                <w:sz w:val="22"/>
                <w:szCs w:val="22"/>
                <w:u w:val="none"/>
                <w:lang w:val="en-US" w:eastAsia="zh-CN" w:bidi="ar"/>
              </w:rPr>
              <w:br w:type="textWrapping"/>
            </w:r>
            <w:r>
              <w:rPr>
                <w:rFonts w:hint="eastAsia" w:ascii="仿宋" w:hAnsi="仿宋" w:eastAsia="仿宋" w:cs="仿宋"/>
                <w:i w:val="0"/>
                <w:iCs w:val="0"/>
                <w:color w:val="000000"/>
                <w:kern w:val="0"/>
                <w:sz w:val="22"/>
                <w:szCs w:val="22"/>
                <w:u w:val="none"/>
                <w:lang w:val="en-US" w:eastAsia="zh-CN" w:bidi="ar"/>
              </w:rPr>
              <w:t>②有相应的监督、奖惩等管控制度，业务管理制度、标准规程健全，与项目切实相关，可操作性强，得1分。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5C495">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1</w:t>
            </w:r>
          </w:p>
        </w:tc>
      </w:tr>
      <w:tr w14:paraId="5668B2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0" w:hRule="atLeast"/>
          <w:jc w:val="center"/>
        </w:trPr>
        <w:tc>
          <w:tcPr>
            <w:tcW w:w="1104" w:type="dxa"/>
            <w:vMerge w:val="continue"/>
            <w:tcBorders>
              <w:left w:val="single" w:color="000000" w:sz="4" w:space="0"/>
              <w:right w:val="single" w:color="000000" w:sz="4" w:space="0"/>
            </w:tcBorders>
            <w:shd w:val="clear" w:color="auto" w:fill="auto"/>
            <w:vAlign w:val="center"/>
          </w:tcPr>
          <w:p w14:paraId="7B40E714">
            <w:pPr>
              <w:widowControl/>
              <w:jc w:val="center"/>
              <w:rPr>
                <w:rFonts w:hint="eastAsia" w:ascii="仿宋" w:hAnsi="仿宋" w:eastAsia="仿宋" w:cs="仿宋"/>
                <w:i w:val="0"/>
                <w:iCs w:val="0"/>
                <w:color w:val="000000"/>
                <w:sz w:val="22"/>
                <w:szCs w:val="22"/>
                <w:u w:val="none"/>
              </w:rPr>
            </w:pPr>
          </w:p>
        </w:tc>
        <w:tc>
          <w:tcPr>
            <w:tcW w:w="1188"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6D4B2F88">
            <w:pPr>
              <w:widowControl/>
              <w:jc w:val="center"/>
              <w:rPr>
                <w:rFonts w:hint="eastAsia" w:ascii="仿宋" w:hAnsi="仿宋" w:eastAsia="仿宋" w:cs="仿宋"/>
                <w:i w:val="0"/>
                <w:iCs w:val="0"/>
                <w:color w:val="000000"/>
                <w:sz w:val="22"/>
                <w:szCs w:val="22"/>
                <w:u w:val="none"/>
              </w:rPr>
            </w:pP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4C36A">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highlight w:val="none"/>
                <w:u w:val="none"/>
                <w:lang w:val="en-US" w:eastAsia="zh-CN" w:bidi="ar"/>
              </w:rPr>
              <w:t>管控措施有效性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322BE">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是否有相应的监控措施，管控措施是否可行、有效</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C0519">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3</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69B94">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highlight w:val="none"/>
                <w:u w:val="none"/>
                <w:lang w:val="en-US" w:eastAsia="zh-CN" w:bidi="ar"/>
              </w:rPr>
              <w:t>项目申报、审批、调整及项目资金申请、审批、拨付等方面已履行或计划履行的程序是否规范，发现一处不规范扣1分，最多扣3分。</w:t>
            </w:r>
          </w:p>
        </w:tc>
        <w:tc>
          <w:tcPr>
            <w:tcW w:w="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6467B">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r>
      <w:tr w14:paraId="02F171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20" w:hRule="atLeast"/>
          <w:jc w:val="center"/>
        </w:trPr>
        <w:tc>
          <w:tcPr>
            <w:tcW w:w="1104" w:type="dxa"/>
            <w:vMerge w:val="continue"/>
            <w:tcBorders>
              <w:left w:val="single" w:color="000000" w:sz="4" w:space="0"/>
              <w:right w:val="single" w:color="000000" w:sz="4" w:space="0"/>
            </w:tcBorders>
            <w:shd w:val="clear" w:color="auto" w:fill="auto"/>
            <w:vAlign w:val="center"/>
          </w:tcPr>
          <w:p w14:paraId="3E41CDB7">
            <w:pPr>
              <w:widowControl/>
              <w:jc w:val="center"/>
              <w:rPr>
                <w:rFonts w:hint="eastAsia" w:ascii="仿宋" w:hAnsi="仿宋" w:eastAsia="仿宋" w:cs="仿宋"/>
                <w:i w:val="0"/>
                <w:iCs w:val="0"/>
                <w:color w:val="000000"/>
                <w:sz w:val="22"/>
                <w:szCs w:val="22"/>
                <w:u w:val="none"/>
              </w:rPr>
            </w:pPr>
          </w:p>
        </w:tc>
        <w:tc>
          <w:tcPr>
            <w:tcW w:w="1188" w:type="dxa"/>
            <w:vMerge w:val="restart"/>
            <w:tcBorders>
              <w:top w:val="single" w:color="auto" w:sz="4" w:space="0"/>
              <w:left w:val="single" w:color="auto" w:sz="4" w:space="0"/>
              <w:right w:val="single" w:color="auto" w:sz="4" w:space="0"/>
            </w:tcBorders>
            <w:shd w:val="clear" w:color="auto" w:fill="auto"/>
            <w:vAlign w:val="center"/>
          </w:tcPr>
          <w:p w14:paraId="4D4C0ED2">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项目可持续性</w:t>
            </w:r>
          </w:p>
        </w:tc>
        <w:tc>
          <w:tcPr>
            <w:tcW w:w="1940" w:type="dxa"/>
            <w:tcBorders>
              <w:top w:val="single" w:color="000000" w:sz="4" w:space="0"/>
              <w:left w:val="single" w:color="auto" w:sz="4" w:space="0"/>
              <w:bottom w:val="single" w:color="000000" w:sz="4" w:space="0"/>
              <w:right w:val="single" w:color="000000" w:sz="4" w:space="0"/>
            </w:tcBorders>
            <w:shd w:val="clear" w:color="auto" w:fill="auto"/>
            <w:vAlign w:val="center"/>
          </w:tcPr>
          <w:p w14:paraId="1618D6F9">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组织机构可持续性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0A4CE">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组织机构是否临时机构，成员是否稳定，能否持续运转，能否取得持续运行的保障经费</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95D86">
            <w:pPr>
              <w:keepNext w:val="0"/>
              <w:keepLines w:val="0"/>
              <w:widowControl/>
              <w:suppressLineNumbers w:val="0"/>
              <w:jc w:val="center"/>
              <w:textAlignment w:val="center"/>
              <w:rPr>
                <w:rFonts w:hint="default"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5</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63708">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组织机构能够持续运转，项目人员、经费等能得到持续保障，得5分。</w:t>
            </w:r>
          </w:p>
        </w:tc>
        <w:tc>
          <w:tcPr>
            <w:tcW w:w="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62977">
            <w:pPr>
              <w:keepNext w:val="0"/>
              <w:keepLines w:val="0"/>
              <w:widowControl/>
              <w:suppressLineNumbers w:val="0"/>
              <w:jc w:val="center"/>
              <w:textAlignment w:val="center"/>
              <w:rPr>
                <w:rFonts w:hint="eastAsia" w:ascii="仿宋" w:hAnsi="仿宋" w:eastAsia="仿宋" w:cs="仿宋"/>
                <w:i w:val="0"/>
                <w:iCs w:val="0"/>
                <w:color w:val="000000"/>
                <w:sz w:val="22"/>
                <w:szCs w:val="22"/>
                <w:highlight w:val="cyan"/>
                <w:u w:val="none"/>
                <w:lang w:val="en-US" w:eastAsia="zh-CN"/>
              </w:rPr>
            </w:pPr>
            <w:r>
              <w:rPr>
                <w:rFonts w:hint="eastAsia" w:ascii="仿宋" w:hAnsi="仿宋" w:eastAsia="仿宋" w:cs="仿宋"/>
                <w:i w:val="0"/>
                <w:iCs w:val="0"/>
                <w:color w:val="000000"/>
                <w:kern w:val="0"/>
                <w:sz w:val="22"/>
                <w:szCs w:val="22"/>
                <w:highlight w:val="none"/>
                <w:u w:val="none"/>
                <w:lang w:val="en-US" w:eastAsia="zh-CN" w:bidi="ar"/>
              </w:rPr>
              <w:t>5</w:t>
            </w:r>
          </w:p>
        </w:tc>
      </w:tr>
      <w:tr w14:paraId="24D70A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40" w:hRule="atLeast"/>
          <w:jc w:val="center"/>
        </w:trPr>
        <w:tc>
          <w:tcPr>
            <w:tcW w:w="1104" w:type="dxa"/>
            <w:vMerge w:val="continue"/>
            <w:tcBorders>
              <w:left w:val="single" w:color="000000" w:sz="4" w:space="0"/>
              <w:bottom w:val="single" w:color="000000" w:sz="4" w:space="0"/>
              <w:right w:val="single" w:color="000000" w:sz="4" w:space="0"/>
            </w:tcBorders>
            <w:shd w:val="clear" w:color="auto" w:fill="auto"/>
            <w:vAlign w:val="center"/>
          </w:tcPr>
          <w:p w14:paraId="2986783F">
            <w:pPr>
              <w:widowControl/>
              <w:jc w:val="center"/>
              <w:rPr>
                <w:rFonts w:hint="eastAsia" w:ascii="仿宋" w:hAnsi="仿宋" w:eastAsia="仿宋" w:cs="仿宋"/>
                <w:i w:val="0"/>
                <w:iCs w:val="0"/>
                <w:color w:val="000000"/>
                <w:sz w:val="22"/>
                <w:szCs w:val="22"/>
                <w:u w:val="none"/>
              </w:rPr>
            </w:pPr>
          </w:p>
        </w:tc>
        <w:tc>
          <w:tcPr>
            <w:tcW w:w="1188" w:type="dxa"/>
            <w:vMerge w:val="continue"/>
            <w:tcBorders>
              <w:left w:val="single" w:color="auto" w:sz="4" w:space="0"/>
              <w:bottom w:val="single" w:color="auto" w:sz="4" w:space="0"/>
              <w:right w:val="single" w:color="auto" w:sz="4" w:space="0"/>
            </w:tcBorders>
            <w:shd w:val="clear" w:color="auto" w:fill="auto"/>
            <w:vAlign w:val="center"/>
          </w:tcPr>
          <w:p w14:paraId="52F786F4">
            <w:pPr>
              <w:widowControl/>
              <w:jc w:val="center"/>
              <w:rPr>
                <w:rFonts w:hint="eastAsia" w:ascii="仿宋" w:hAnsi="仿宋" w:eastAsia="仿宋" w:cs="仿宋"/>
                <w:i w:val="0"/>
                <w:iCs w:val="0"/>
                <w:color w:val="000000"/>
                <w:sz w:val="22"/>
                <w:szCs w:val="22"/>
                <w:u w:val="none"/>
              </w:rPr>
            </w:pPr>
          </w:p>
        </w:tc>
        <w:tc>
          <w:tcPr>
            <w:tcW w:w="19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144DC">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产出效果可持续性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1DB33">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项目产出、效果能否持续，社会效益、环境效益、文化效益等是否可持续</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1CD34">
            <w:pPr>
              <w:keepNext w:val="0"/>
              <w:keepLines w:val="0"/>
              <w:widowControl/>
              <w:suppressLineNumbers w:val="0"/>
              <w:jc w:val="center"/>
              <w:textAlignment w:val="center"/>
              <w:rPr>
                <w:rFonts w:hint="default"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6</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67488">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项目产出能够持续，产生的社会效益、环境效益、文化效益等可持续获得，得6分。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DCD41">
            <w:pPr>
              <w:keepNext w:val="0"/>
              <w:keepLines w:val="0"/>
              <w:widowControl/>
              <w:suppressLineNumbers w:val="0"/>
              <w:jc w:val="center"/>
              <w:textAlignment w:val="center"/>
              <w:rPr>
                <w:rFonts w:hint="eastAsia" w:ascii="仿宋" w:hAnsi="仿宋" w:eastAsia="仿宋" w:cs="仿宋"/>
                <w:i w:val="0"/>
                <w:iCs w:val="0"/>
                <w:color w:val="000000"/>
                <w:sz w:val="22"/>
                <w:szCs w:val="22"/>
                <w:highlight w:val="none"/>
                <w:u w:val="none"/>
                <w:lang w:val="en-US" w:eastAsia="zh-CN"/>
              </w:rPr>
            </w:pPr>
            <w:r>
              <w:rPr>
                <w:rFonts w:hint="eastAsia" w:ascii="仿宋" w:hAnsi="仿宋" w:eastAsia="仿宋" w:cs="仿宋"/>
                <w:i w:val="0"/>
                <w:iCs w:val="0"/>
                <w:color w:val="000000"/>
                <w:sz w:val="22"/>
                <w:szCs w:val="22"/>
                <w:highlight w:val="none"/>
                <w:u w:val="none"/>
                <w:lang w:val="en-US" w:eastAsia="zh-CN"/>
              </w:rPr>
              <w:t>4</w:t>
            </w:r>
          </w:p>
        </w:tc>
      </w:tr>
      <w:tr w14:paraId="15FE59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jc w:val="center"/>
        </w:trPr>
        <w:tc>
          <w:tcPr>
            <w:tcW w:w="1104" w:type="dxa"/>
            <w:vMerge w:val="restart"/>
            <w:tcBorders>
              <w:top w:val="single" w:color="000000" w:sz="4" w:space="0"/>
              <w:left w:val="single" w:color="000000" w:sz="4" w:space="0"/>
              <w:right w:val="single" w:color="auto" w:sz="4" w:space="0"/>
            </w:tcBorders>
            <w:shd w:val="clear" w:color="auto" w:fill="auto"/>
            <w:vAlign w:val="center"/>
          </w:tcPr>
          <w:p w14:paraId="255FF241">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筹资可行性（15）</w:t>
            </w:r>
          </w:p>
        </w:tc>
        <w:tc>
          <w:tcPr>
            <w:tcW w:w="1188" w:type="dxa"/>
            <w:vMerge w:val="restart"/>
            <w:tcBorders>
              <w:top w:val="single" w:color="auto" w:sz="4" w:space="0"/>
              <w:left w:val="single" w:color="auto" w:sz="4" w:space="0"/>
              <w:right w:val="single" w:color="auto" w:sz="4" w:space="0"/>
            </w:tcBorders>
            <w:shd w:val="clear" w:color="auto" w:fill="auto"/>
            <w:vAlign w:val="center"/>
          </w:tcPr>
          <w:p w14:paraId="709CFB60">
            <w:pPr>
              <w:widowControl/>
              <w:jc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筹资合规性</w:t>
            </w:r>
          </w:p>
        </w:tc>
        <w:tc>
          <w:tcPr>
            <w:tcW w:w="1940" w:type="dxa"/>
            <w:tcBorders>
              <w:top w:val="single" w:color="000000" w:sz="4" w:space="0"/>
              <w:left w:val="single" w:color="auto" w:sz="4" w:space="0"/>
              <w:bottom w:val="single" w:color="000000" w:sz="4" w:space="0"/>
              <w:right w:val="single" w:color="000000" w:sz="4" w:space="0"/>
            </w:tcBorders>
            <w:shd w:val="clear" w:color="auto" w:fill="auto"/>
            <w:vAlign w:val="center"/>
          </w:tcPr>
          <w:p w14:paraId="56C36E29">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筹资渠道合规性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7E701">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资金筹措渠道是否经过论证、是否符合相关规范</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A9D74">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B7CFE">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①计划资金来源渠道符合相关规定，经过相关论证，得2分；</w:t>
            </w:r>
            <w:r>
              <w:rPr>
                <w:rFonts w:hint="eastAsia" w:ascii="仿宋" w:hAnsi="仿宋" w:eastAsia="仿宋" w:cs="仿宋"/>
                <w:i w:val="0"/>
                <w:iCs w:val="0"/>
                <w:color w:val="000000"/>
                <w:kern w:val="0"/>
                <w:sz w:val="22"/>
                <w:szCs w:val="22"/>
                <w:u w:val="none"/>
                <w:lang w:val="en-US" w:eastAsia="zh-CN" w:bidi="ar"/>
              </w:rPr>
              <w:br w:type="textWrapping"/>
            </w:r>
            <w:r>
              <w:rPr>
                <w:rFonts w:hint="eastAsia" w:ascii="仿宋" w:hAnsi="仿宋" w:eastAsia="仿宋" w:cs="仿宋"/>
                <w:i w:val="0"/>
                <w:iCs w:val="0"/>
                <w:color w:val="000000"/>
                <w:kern w:val="0"/>
                <w:sz w:val="22"/>
                <w:szCs w:val="22"/>
                <w:u w:val="none"/>
                <w:lang w:val="en-US" w:eastAsia="zh-CN" w:bidi="ar"/>
              </w:rPr>
              <w:t>②各项筹资渠道的资金筹集是否可行，得2分。</w:t>
            </w:r>
          </w:p>
        </w:tc>
        <w:tc>
          <w:tcPr>
            <w:tcW w:w="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21736">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r>
      <w:tr w14:paraId="496F6A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jc w:val="center"/>
        </w:trPr>
        <w:tc>
          <w:tcPr>
            <w:tcW w:w="1104" w:type="dxa"/>
            <w:vMerge w:val="continue"/>
            <w:tcBorders>
              <w:left w:val="single" w:color="000000" w:sz="4" w:space="0"/>
              <w:right w:val="single" w:color="auto" w:sz="4" w:space="0"/>
            </w:tcBorders>
            <w:shd w:val="clear" w:color="auto" w:fill="auto"/>
            <w:vAlign w:val="center"/>
          </w:tcPr>
          <w:p w14:paraId="7CC54B42">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p>
        </w:tc>
        <w:tc>
          <w:tcPr>
            <w:tcW w:w="1188" w:type="dxa"/>
            <w:vMerge w:val="continue"/>
            <w:tcBorders>
              <w:left w:val="single" w:color="auto" w:sz="4" w:space="0"/>
              <w:bottom w:val="single" w:color="auto" w:sz="4" w:space="0"/>
              <w:right w:val="single" w:color="auto" w:sz="4" w:space="0"/>
            </w:tcBorders>
            <w:shd w:val="clear" w:color="auto" w:fill="auto"/>
            <w:vAlign w:val="center"/>
          </w:tcPr>
          <w:p w14:paraId="5D9A95AB">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p>
        </w:tc>
        <w:tc>
          <w:tcPr>
            <w:tcW w:w="1940" w:type="dxa"/>
            <w:tcBorders>
              <w:top w:val="single" w:color="000000" w:sz="4" w:space="0"/>
              <w:left w:val="single" w:color="auto" w:sz="4" w:space="0"/>
              <w:bottom w:val="single" w:color="000000" w:sz="4" w:space="0"/>
              <w:right w:val="single" w:color="000000" w:sz="4" w:space="0"/>
            </w:tcBorders>
            <w:shd w:val="clear" w:color="auto" w:fill="auto"/>
            <w:vAlign w:val="center"/>
          </w:tcPr>
          <w:p w14:paraId="0ED1AF8F">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筹资程序合规性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C0FC2">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资金筹措渠道、筹措程序是否科学、规范，是否经过论证、依据材料是否齐全等</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BB5111">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sz w:val="22"/>
                <w:szCs w:val="22"/>
                <w:u w:val="none"/>
                <w:lang w:val="en-US" w:eastAsia="zh-CN"/>
              </w:rPr>
              <w:t>6</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99F03">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①资金筹措程序是否科学规范，是否经过相关论证，论证资料是否齐全，得2分；</w:t>
            </w:r>
            <w:r>
              <w:rPr>
                <w:rFonts w:hint="eastAsia" w:ascii="仿宋" w:hAnsi="仿宋" w:eastAsia="仿宋" w:cs="仿宋"/>
                <w:i w:val="0"/>
                <w:iCs w:val="0"/>
                <w:color w:val="000000"/>
                <w:kern w:val="0"/>
                <w:sz w:val="22"/>
                <w:szCs w:val="22"/>
                <w:u w:val="none"/>
                <w:lang w:val="en-US" w:eastAsia="zh-CN" w:bidi="ar"/>
              </w:rPr>
              <w:br w:type="textWrapping"/>
            </w:r>
            <w:r>
              <w:rPr>
                <w:rFonts w:hint="eastAsia" w:ascii="仿宋" w:hAnsi="仿宋" w:eastAsia="仿宋" w:cs="仿宋"/>
                <w:i w:val="0"/>
                <w:iCs w:val="0"/>
                <w:color w:val="000000"/>
                <w:kern w:val="0"/>
                <w:sz w:val="22"/>
                <w:szCs w:val="22"/>
                <w:u w:val="none"/>
                <w:lang w:val="en-US" w:eastAsia="zh-CN" w:bidi="ar"/>
              </w:rPr>
              <w:t>②对筹资风险认识是否全面；是否设定应对措施；应对措施是否可行、有效，得3分；</w:t>
            </w:r>
            <w:r>
              <w:rPr>
                <w:rFonts w:hint="eastAsia" w:ascii="仿宋" w:hAnsi="仿宋" w:eastAsia="仿宋" w:cs="仿宋"/>
                <w:i w:val="0"/>
                <w:iCs w:val="0"/>
                <w:color w:val="000000"/>
                <w:kern w:val="0"/>
                <w:sz w:val="22"/>
                <w:szCs w:val="22"/>
                <w:u w:val="none"/>
                <w:lang w:val="en-US" w:eastAsia="zh-CN" w:bidi="ar"/>
              </w:rPr>
              <w:br w:type="textWrapping"/>
            </w:r>
            <w:r>
              <w:rPr>
                <w:rFonts w:hint="eastAsia" w:ascii="仿宋" w:hAnsi="仿宋" w:eastAsia="仿宋" w:cs="仿宋"/>
                <w:i w:val="0"/>
                <w:iCs w:val="0"/>
                <w:color w:val="000000"/>
                <w:kern w:val="0"/>
                <w:sz w:val="22"/>
                <w:szCs w:val="22"/>
                <w:u w:val="none"/>
                <w:lang w:val="en-US" w:eastAsia="zh-CN" w:bidi="ar"/>
              </w:rPr>
              <w:t>③资金筹措体现权责对等，财权和事权匹配，得1分。</w:t>
            </w:r>
          </w:p>
        </w:tc>
        <w:tc>
          <w:tcPr>
            <w:tcW w:w="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B3B210">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6</w:t>
            </w:r>
          </w:p>
        </w:tc>
      </w:tr>
      <w:tr w14:paraId="7361E0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80" w:hRule="atLeast"/>
          <w:jc w:val="center"/>
        </w:trPr>
        <w:tc>
          <w:tcPr>
            <w:tcW w:w="1104" w:type="dxa"/>
            <w:vMerge w:val="continue"/>
            <w:tcBorders>
              <w:left w:val="single" w:color="000000" w:sz="4" w:space="0"/>
              <w:right w:val="single" w:color="auto" w:sz="4" w:space="0"/>
            </w:tcBorders>
            <w:shd w:val="clear" w:color="auto" w:fill="auto"/>
            <w:vAlign w:val="center"/>
          </w:tcPr>
          <w:p w14:paraId="73D219F1">
            <w:pPr>
              <w:widowControl/>
              <w:jc w:val="center"/>
              <w:rPr>
                <w:rFonts w:hint="eastAsia" w:ascii="仿宋" w:hAnsi="仿宋" w:eastAsia="仿宋" w:cs="仿宋"/>
                <w:i w:val="0"/>
                <w:iCs w:val="0"/>
                <w:color w:val="000000"/>
                <w:sz w:val="22"/>
                <w:szCs w:val="22"/>
                <w:u w:val="none"/>
              </w:rPr>
            </w:pPr>
          </w:p>
        </w:tc>
        <w:tc>
          <w:tcPr>
            <w:tcW w:w="1188" w:type="dxa"/>
            <w:vMerge w:val="restart"/>
            <w:tcBorders>
              <w:top w:val="single" w:color="auto" w:sz="4" w:space="0"/>
              <w:left w:val="single" w:color="auto" w:sz="4" w:space="0"/>
              <w:right w:val="single" w:color="auto" w:sz="4" w:space="0"/>
            </w:tcBorders>
            <w:shd w:val="clear" w:color="auto" w:fill="auto"/>
            <w:vAlign w:val="center"/>
          </w:tcPr>
          <w:p w14:paraId="43A9E37B">
            <w:pPr>
              <w:widowControl/>
              <w:jc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财政投入</w:t>
            </w:r>
          </w:p>
        </w:tc>
        <w:tc>
          <w:tcPr>
            <w:tcW w:w="1940" w:type="dxa"/>
            <w:tcBorders>
              <w:top w:val="single" w:color="000000" w:sz="4" w:space="0"/>
              <w:left w:val="single" w:color="auto" w:sz="4" w:space="0"/>
              <w:bottom w:val="single" w:color="000000" w:sz="4" w:space="0"/>
              <w:right w:val="single" w:color="000000" w:sz="4" w:space="0"/>
            </w:tcBorders>
            <w:shd w:val="clear" w:color="auto" w:fill="auto"/>
            <w:vAlign w:val="center"/>
          </w:tcPr>
          <w:p w14:paraId="5C40FC18">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财政投入预算能力</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5C80D">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市、区财政资金配套方式和承受能力是否科学合理；财政资金支持方式是否科学合理。</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D61E1">
            <w:pPr>
              <w:keepNext w:val="0"/>
              <w:keepLines w:val="0"/>
              <w:widowControl/>
              <w:suppressLineNumbers w:val="0"/>
              <w:jc w:val="center"/>
              <w:textAlignment w:val="center"/>
              <w:rPr>
                <w:rFonts w:hint="eastAsia"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kern w:val="0"/>
                <w:sz w:val="22"/>
                <w:szCs w:val="22"/>
                <w:u w:val="none"/>
                <w:lang w:val="en-US" w:eastAsia="zh-CN" w:bidi="ar"/>
              </w:rPr>
              <w:t>3</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02522">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①考虑财政预算及配套能力，合乎实际，得3分；</w:t>
            </w:r>
            <w:r>
              <w:rPr>
                <w:rFonts w:hint="eastAsia" w:ascii="仿宋" w:hAnsi="仿宋" w:eastAsia="仿宋" w:cs="仿宋"/>
                <w:i w:val="0"/>
                <w:iCs w:val="0"/>
                <w:color w:val="000000"/>
                <w:kern w:val="0"/>
                <w:sz w:val="22"/>
                <w:szCs w:val="22"/>
                <w:u w:val="none"/>
                <w:lang w:val="en-US" w:eastAsia="zh-CN" w:bidi="ar"/>
              </w:rPr>
              <w:br w:type="textWrapping"/>
            </w:r>
            <w:r>
              <w:rPr>
                <w:rFonts w:hint="eastAsia" w:ascii="仿宋" w:hAnsi="仿宋" w:eastAsia="仿宋" w:cs="仿宋"/>
                <w:i w:val="0"/>
                <w:iCs w:val="0"/>
                <w:color w:val="000000"/>
                <w:kern w:val="0"/>
                <w:sz w:val="22"/>
                <w:szCs w:val="22"/>
                <w:u w:val="none"/>
                <w:lang w:val="en-US" w:eastAsia="zh-CN" w:bidi="ar"/>
              </w:rPr>
              <w:t>②不符合财政预算能力，直接为项目否定指标。</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77B2B">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r>
      <w:tr w14:paraId="73E681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40" w:hRule="atLeast"/>
          <w:jc w:val="center"/>
        </w:trPr>
        <w:tc>
          <w:tcPr>
            <w:tcW w:w="1104" w:type="dxa"/>
            <w:vMerge w:val="continue"/>
            <w:tcBorders>
              <w:left w:val="single" w:color="000000" w:sz="4" w:space="0"/>
              <w:bottom w:val="nil"/>
              <w:right w:val="single" w:color="auto" w:sz="4" w:space="0"/>
            </w:tcBorders>
            <w:shd w:val="clear" w:color="auto" w:fill="auto"/>
            <w:vAlign w:val="center"/>
          </w:tcPr>
          <w:p w14:paraId="483467DC">
            <w:pPr>
              <w:widowControl/>
              <w:jc w:val="center"/>
              <w:rPr>
                <w:rFonts w:hint="eastAsia" w:ascii="仿宋" w:hAnsi="仿宋" w:eastAsia="仿宋" w:cs="仿宋"/>
                <w:i w:val="0"/>
                <w:iCs w:val="0"/>
                <w:color w:val="000000"/>
                <w:sz w:val="22"/>
                <w:szCs w:val="22"/>
                <w:u w:val="none"/>
              </w:rPr>
            </w:pPr>
          </w:p>
        </w:tc>
        <w:tc>
          <w:tcPr>
            <w:tcW w:w="1188" w:type="dxa"/>
            <w:vMerge w:val="continue"/>
            <w:tcBorders>
              <w:left w:val="single" w:color="auto" w:sz="4" w:space="0"/>
              <w:bottom w:val="single" w:color="auto" w:sz="4" w:space="0"/>
              <w:right w:val="single" w:color="auto" w:sz="4" w:space="0"/>
            </w:tcBorders>
            <w:shd w:val="clear" w:color="auto" w:fill="auto"/>
            <w:vAlign w:val="center"/>
          </w:tcPr>
          <w:p w14:paraId="51097C01">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p>
        </w:tc>
        <w:tc>
          <w:tcPr>
            <w:tcW w:w="1940" w:type="dxa"/>
            <w:tcBorders>
              <w:top w:val="single" w:color="000000" w:sz="4" w:space="0"/>
              <w:left w:val="single" w:color="auto" w:sz="4" w:space="0"/>
              <w:bottom w:val="single" w:color="000000" w:sz="4" w:space="0"/>
              <w:right w:val="single" w:color="000000" w:sz="4" w:space="0"/>
            </w:tcBorders>
            <w:shd w:val="clear" w:color="auto" w:fill="auto"/>
            <w:vAlign w:val="center"/>
          </w:tcPr>
          <w:p w14:paraId="1354044A">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财政投入重复性</w:t>
            </w:r>
          </w:p>
        </w:tc>
        <w:tc>
          <w:tcPr>
            <w:tcW w:w="3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08100">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各级财政部门和其他部门是否有类似项目资金重复投入</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72041">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32743">
            <w:pPr>
              <w:keepNext w:val="0"/>
              <w:keepLines w:val="0"/>
              <w:widowControl/>
              <w:suppressLineNumbers w:val="0"/>
              <w:jc w:val="left"/>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考虑各级财政部门投入，特别是同级财政资金是否有类似项目，酌情计分</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13A77">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r>
      <w:tr w14:paraId="236182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jc w:val="center"/>
        </w:trPr>
        <w:tc>
          <w:tcPr>
            <w:tcW w:w="7379" w:type="dxa"/>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3E5EA6">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合计</w:t>
            </w:r>
          </w:p>
        </w:tc>
        <w:tc>
          <w:tcPr>
            <w:tcW w:w="7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E5C46">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100</w:t>
            </w:r>
          </w:p>
        </w:tc>
        <w:tc>
          <w:tcPr>
            <w:tcW w:w="62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8F5AE">
            <w:pPr>
              <w:widowControl/>
              <w:jc w:val="center"/>
              <w:rPr>
                <w:rFonts w:hint="eastAsia" w:ascii="仿宋" w:hAnsi="仿宋" w:eastAsia="仿宋" w:cs="仿宋"/>
                <w:i w:val="0"/>
                <w:iCs w:val="0"/>
                <w:color w:val="000000"/>
                <w:sz w:val="22"/>
                <w:szCs w:val="22"/>
                <w:u w:val="none"/>
              </w:rPr>
            </w:pP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C6A38">
            <w:pPr>
              <w:keepNext w:val="0"/>
              <w:keepLines w:val="0"/>
              <w:widowControl/>
              <w:suppressLineNumbers w:val="0"/>
              <w:jc w:val="center"/>
              <w:textAlignment w:val="center"/>
              <w:rPr>
                <w:rFonts w:hint="default" w:ascii="仿宋" w:hAnsi="仿宋" w:eastAsia="仿宋" w:cs="仿宋"/>
                <w:i w:val="0"/>
                <w:iCs w:val="0"/>
                <w:color w:val="000000"/>
                <w:sz w:val="22"/>
                <w:szCs w:val="22"/>
                <w:u w:val="none"/>
                <w:lang w:val="en-US" w:eastAsia="zh-CN"/>
              </w:rPr>
            </w:pPr>
            <w:r>
              <w:rPr>
                <w:rFonts w:hint="eastAsia" w:ascii="仿宋" w:hAnsi="仿宋" w:eastAsia="仿宋" w:cs="仿宋"/>
                <w:i w:val="0"/>
                <w:iCs w:val="0"/>
                <w:color w:val="000000"/>
                <w:sz w:val="22"/>
                <w:szCs w:val="22"/>
                <w:u w:val="none"/>
                <w:lang w:val="en-US" w:eastAsia="zh-CN"/>
              </w:rPr>
              <w:t>85</w:t>
            </w:r>
          </w:p>
        </w:tc>
      </w:tr>
    </w:tbl>
    <w:p w14:paraId="24BEC33C">
      <w:pPr>
        <w:pStyle w:val="5"/>
        <w:keepNext w:val="0"/>
        <w:keepLines w:val="0"/>
        <w:pageBreakBefore w:val="0"/>
        <w:widowControl/>
        <w:numPr>
          <w:ilvl w:val="0"/>
          <w:numId w:val="0"/>
        </w:numPr>
        <w:kinsoku/>
        <w:wordWrap/>
        <w:overflowPunct/>
        <w:topLinePunct w:val="0"/>
        <w:autoSpaceDE/>
        <w:autoSpaceDN/>
        <w:bidi w:val="0"/>
        <w:adjustRightInd/>
        <w:snapToGrid/>
        <w:spacing w:line="240" w:lineRule="auto"/>
        <w:ind w:left="0" w:leftChars="0" w:firstLine="0" w:firstLineChars="0"/>
        <w:jc w:val="left"/>
        <w:textAlignment w:val="auto"/>
        <w:outlineLvl w:val="0"/>
        <w:rPr>
          <w:rFonts w:hint="default" w:ascii="仿宋" w:hAnsi="仿宋" w:eastAsia="仿宋" w:cs="宋体"/>
          <w:b w:val="0"/>
          <w:bCs w:val="0"/>
          <w:color w:val="000000"/>
          <w:kern w:val="0"/>
          <w:sz w:val="28"/>
          <w:szCs w:val="28"/>
          <w:lang w:val="en-US" w:eastAsia="zh-CN"/>
        </w:rPr>
        <w:sectPr>
          <w:pgSz w:w="16838" w:h="11906" w:orient="landscape"/>
          <w:pgMar w:top="1519" w:right="1440" w:bottom="1587" w:left="1440" w:header="851" w:footer="992" w:gutter="0"/>
          <w:pgNumType w:fmt="decimal"/>
          <w:cols w:space="425" w:num="1"/>
          <w:docGrid w:type="lines" w:linePitch="312" w:charSpace="0"/>
        </w:sectPr>
      </w:pPr>
    </w:p>
    <w:p w14:paraId="512A1097">
      <w:pPr>
        <w:pStyle w:val="5"/>
        <w:keepNext w:val="0"/>
        <w:keepLines w:val="0"/>
        <w:pageBreakBefore w:val="0"/>
        <w:widowControl/>
        <w:numPr>
          <w:ilvl w:val="0"/>
          <w:numId w:val="0"/>
        </w:numPr>
        <w:kinsoku/>
        <w:wordWrap/>
        <w:overflowPunct/>
        <w:topLinePunct w:val="0"/>
        <w:autoSpaceDE/>
        <w:autoSpaceDN/>
        <w:bidi w:val="0"/>
        <w:adjustRightInd/>
        <w:snapToGrid/>
        <w:spacing w:line="240" w:lineRule="auto"/>
        <w:ind w:left="0" w:leftChars="0" w:firstLine="0" w:firstLineChars="0"/>
        <w:jc w:val="left"/>
        <w:textAlignment w:val="auto"/>
        <w:outlineLvl w:val="0"/>
        <w:rPr>
          <w:rFonts w:hint="eastAsia" w:ascii="仿宋_GB2312" w:hAnsi="仿宋_GB2312" w:eastAsia="仿宋_GB2312" w:cs="仿宋_GB2312"/>
          <w:b/>
          <w:bCs/>
          <w:color w:val="auto"/>
          <w:kern w:val="0"/>
          <w:sz w:val="32"/>
          <w:szCs w:val="32"/>
          <w:highlight w:val="none"/>
          <w:lang w:val="en-US" w:eastAsia="zh-CN" w:bidi="ar-SA"/>
        </w:rPr>
      </w:pPr>
      <w:bookmarkStart w:id="86" w:name="_Toc7256"/>
      <w:bookmarkStart w:id="87" w:name="_Toc29384"/>
      <w:bookmarkStart w:id="88" w:name="_Toc17964"/>
      <w:bookmarkStart w:id="89" w:name="_Toc21446"/>
      <w:bookmarkStart w:id="90" w:name="_Toc14943"/>
      <w:bookmarkStart w:id="91" w:name="_Toc23163"/>
      <w:bookmarkStart w:id="92" w:name="_Toc19729"/>
      <w:bookmarkStart w:id="93" w:name="_Toc28447"/>
      <w:r>
        <w:rPr>
          <w:rFonts w:hint="eastAsia" w:ascii="仿宋_GB2312" w:hAnsi="仿宋_GB2312" w:eastAsia="仿宋_GB2312" w:cs="仿宋_GB2312"/>
          <w:b/>
          <w:bCs/>
          <w:color w:val="auto"/>
          <w:kern w:val="0"/>
          <w:sz w:val="32"/>
          <w:szCs w:val="32"/>
          <w:highlight w:val="none"/>
          <w:lang w:val="en-US" w:eastAsia="zh-CN" w:bidi="ar-SA"/>
        </w:rPr>
        <w:drawing>
          <wp:anchor distT="0" distB="0" distL="114300" distR="114300" simplePos="0" relativeHeight="251664384" behindDoc="0" locked="0" layoutInCell="1" allowOverlap="1">
            <wp:simplePos x="0" y="0"/>
            <wp:positionH relativeFrom="column">
              <wp:posOffset>31115</wp:posOffset>
            </wp:positionH>
            <wp:positionV relativeFrom="paragraph">
              <wp:posOffset>5756910</wp:posOffset>
            </wp:positionV>
            <wp:extent cx="5718175" cy="2978150"/>
            <wp:effectExtent l="0" t="0" r="15875" b="12700"/>
            <wp:wrapSquare wrapText="bothSides"/>
            <wp:docPr id="8" name="图片 8" descr="cfa41e7a90527f596cd41aad7db7f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fa41e7a90527f596cd41aad7db7f66"/>
                    <pic:cNvPicPr>
                      <a:picLocks noChangeAspect="1"/>
                    </pic:cNvPicPr>
                  </pic:nvPicPr>
                  <pic:blipFill>
                    <a:blip r:embed="rId17"/>
                    <a:stretch>
                      <a:fillRect/>
                    </a:stretch>
                  </pic:blipFill>
                  <pic:spPr>
                    <a:xfrm>
                      <a:off x="0" y="0"/>
                      <a:ext cx="5718175" cy="2978150"/>
                    </a:xfrm>
                    <a:prstGeom prst="rect">
                      <a:avLst/>
                    </a:prstGeom>
                  </pic:spPr>
                </pic:pic>
              </a:graphicData>
            </a:graphic>
          </wp:anchor>
        </w:drawing>
      </w:r>
      <w:r>
        <w:rPr>
          <w:rFonts w:hint="default" w:ascii="仿宋_GB2312" w:hAnsi="仿宋_GB2312" w:eastAsia="仿宋_GB2312" w:cs="仿宋_GB2312"/>
          <w:b/>
          <w:bCs/>
          <w:color w:val="auto"/>
          <w:kern w:val="0"/>
          <w:sz w:val="32"/>
          <w:szCs w:val="32"/>
          <w:highlight w:val="none"/>
          <w:lang w:val="en-US" w:eastAsia="zh-CN" w:bidi="ar-SA"/>
        </w:rPr>
        <w:drawing>
          <wp:anchor distT="0" distB="0" distL="114300" distR="114300" simplePos="0" relativeHeight="251663360" behindDoc="0" locked="0" layoutInCell="1" allowOverlap="1">
            <wp:simplePos x="0" y="0"/>
            <wp:positionH relativeFrom="column">
              <wp:posOffset>-24130</wp:posOffset>
            </wp:positionH>
            <wp:positionV relativeFrom="paragraph">
              <wp:posOffset>436245</wp:posOffset>
            </wp:positionV>
            <wp:extent cx="5824855" cy="2491740"/>
            <wp:effectExtent l="0" t="0" r="4445" b="3810"/>
            <wp:wrapSquare wrapText="bothSides"/>
            <wp:docPr id="1" name="图片 1" descr="6ed30ba03ef1ca1573ca62f09a2a05a"/>
            <wp:cNvGraphicFramePr/>
            <a:graphic xmlns:a="http://schemas.openxmlformats.org/drawingml/2006/main">
              <a:graphicData uri="http://schemas.openxmlformats.org/drawingml/2006/picture">
                <pic:pic xmlns:pic="http://schemas.openxmlformats.org/drawingml/2006/picture">
                  <pic:nvPicPr>
                    <pic:cNvPr id="1" name="图片 1" descr="6ed30ba03ef1ca1573ca62f09a2a05a"/>
                    <pic:cNvPicPr/>
                  </pic:nvPicPr>
                  <pic:blipFill>
                    <a:blip r:embed="rId18"/>
                    <a:stretch>
                      <a:fillRect/>
                    </a:stretch>
                  </pic:blipFill>
                  <pic:spPr>
                    <a:xfrm>
                      <a:off x="0" y="0"/>
                      <a:ext cx="5824855" cy="2491740"/>
                    </a:xfrm>
                    <a:prstGeom prst="rect">
                      <a:avLst/>
                    </a:prstGeom>
                  </pic:spPr>
                </pic:pic>
              </a:graphicData>
            </a:graphic>
          </wp:anchor>
        </w:drawing>
      </w:r>
      <w:r>
        <w:rPr>
          <w:rFonts w:hint="eastAsia" w:ascii="仿宋_GB2312" w:hAnsi="仿宋_GB2312" w:eastAsia="仿宋_GB2312" w:cs="仿宋_GB2312"/>
          <w:b/>
          <w:bCs/>
          <w:color w:val="auto"/>
          <w:kern w:val="0"/>
          <w:sz w:val="32"/>
          <w:szCs w:val="32"/>
          <w:highlight w:val="none"/>
          <w:lang w:val="en-US" w:eastAsia="zh-CN" w:bidi="ar-SA"/>
        </w:rPr>
        <w:t>附件3：调研照片</w:t>
      </w:r>
      <w:r>
        <w:rPr>
          <w:rFonts w:hint="default" w:ascii="仿宋_GB2312" w:hAnsi="仿宋_GB2312" w:eastAsia="仿宋_GB2312" w:cs="仿宋_GB2312"/>
          <w:b/>
          <w:bCs/>
          <w:color w:val="auto"/>
          <w:kern w:val="0"/>
          <w:sz w:val="32"/>
          <w:szCs w:val="32"/>
          <w:highlight w:val="none"/>
          <w:lang w:val="en-US" w:eastAsia="zh-CN" w:bidi="ar-SA"/>
        </w:rPr>
        <w:drawing>
          <wp:inline distT="0" distB="0" distL="114300" distR="114300">
            <wp:extent cx="5752465" cy="2663190"/>
            <wp:effectExtent l="0" t="0" r="635" b="3810"/>
            <wp:docPr id="6" name="图片 6" descr="3b2cc7584b5638c163dacaf6394c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3b2cc7584b5638c163dacaf6394c611"/>
                    <pic:cNvPicPr>
                      <a:picLocks noChangeAspect="1"/>
                    </pic:cNvPicPr>
                  </pic:nvPicPr>
                  <pic:blipFill>
                    <a:blip r:embed="rId19"/>
                    <a:stretch>
                      <a:fillRect/>
                    </a:stretch>
                  </pic:blipFill>
                  <pic:spPr>
                    <a:xfrm>
                      <a:off x="0" y="0"/>
                      <a:ext cx="5752465" cy="2663190"/>
                    </a:xfrm>
                    <a:prstGeom prst="rect">
                      <a:avLst/>
                    </a:prstGeom>
                  </pic:spPr>
                </pic:pic>
              </a:graphicData>
            </a:graphic>
          </wp:inline>
        </w:drawing>
      </w:r>
      <w:bookmarkEnd w:id="86"/>
    </w:p>
    <w:p w14:paraId="1C0AEC9A">
      <w:pPr>
        <w:pStyle w:val="5"/>
        <w:keepNext w:val="0"/>
        <w:keepLines w:val="0"/>
        <w:pageBreakBefore w:val="0"/>
        <w:widowControl/>
        <w:numPr>
          <w:ilvl w:val="0"/>
          <w:numId w:val="0"/>
        </w:numPr>
        <w:kinsoku/>
        <w:wordWrap/>
        <w:overflowPunct/>
        <w:topLinePunct w:val="0"/>
        <w:autoSpaceDE/>
        <w:autoSpaceDN/>
        <w:bidi w:val="0"/>
        <w:adjustRightInd/>
        <w:snapToGrid/>
        <w:spacing w:line="240" w:lineRule="auto"/>
        <w:ind w:left="0" w:leftChars="0" w:firstLine="0" w:firstLineChars="0"/>
        <w:jc w:val="left"/>
        <w:textAlignment w:val="auto"/>
        <w:outlineLvl w:val="0"/>
        <w:rPr>
          <w:rFonts w:hint="eastAsia" w:ascii="仿宋_GB2312" w:hAnsi="仿宋_GB2312" w:eastAsia="仿宋_GB2312" w:cs="仿宋_GB2312"/>
          <w:b/>
          <w:bCs/>
          <w:color w:val="auto"/>
          <w:kern w:val="0"/>
          <w:sz w:val="32"/>
          <w:szCs w:val="32"/>
          <w:highlight w:val="none"/>
          <w:lang w:val="en-US" w:eastAsia="zh-CN" w:bidi="ar-SA"/>
        </w:rPr>
        <w:sectPr>
          <w:headerReference r:id="rId13" w:type="default"/>
          <w:footerReference r:id="rId14" w:type="default"/>
          <w:pgSz w:w="11906" w:h="16838"/>
          <w:pgMar w:top="1519" w:right="1134" w:bottom="1587" w:left="1134" w:header="851" w:footer="992" w:gutter="0"/>
          <w:pgBorders>
            <w:top w:val="none" w:sz="0" w:space="0"/>
            <w:left w:val="none" w:sz="0" w:space="0"/>
            <w:bottom w:val="none" w:sz="0" w:space="0"/>
            <w:right w:val="none" w:sz="0" w:space="0"/>
          </w:pgBorders>
          <w:pgNumType w:fmt="decimal"/>
          <w:cols w:space="425" w:num="1"/>
          <w:docGrid w:type="lines" w:linePitch="312" w:charSpace="0"/>
        </w:sectPr>
      </w:pPr>
    </w:p>
    <w:bookmarkEnd w:id="87"/>
    <w:bookmarkEnd w:id="88"/>
    <w:bookmarkEnd w:id="89"/>
    <w:bookmarkEnd w:id="90"/>
    <w:bookmarkEnd w:id="91"/>
    <w:bookmarkEnd w:id="92"/>
    <w:bookmarkEnd w:id="93"/>
    <w:p w14:paraId="3FBD4970">
      <w:pPr>
        <w:pStyle w:val="5"/>
        <w:keepNext w:val="0"/>
        <w:keepLines w:val="0"/>
        <w:pageBreakBefore w:val="0"/>
        <w:widowControl/>
        <w:numPr>
          <w:ilvl w:val="0"/>
          <w:numId w:val="0"/>
        </w:numPr>
        <w:kinsoku/>
        <w:wordWrap/>
        <w:overflowPunct/>
        <w:topLinePunct w:val="0"/>
        <w:autoSpaceDE/>
        <w:autoSpaceDN/>
        <w:bidi w:val="0"/>
        <w:adjustRightInd/>
        <w:snapToGrid/>
        <w:spacing w:line="240" w:lineRule="auto"/>
        <w:ind w:left="0" w:leftChars="0" w:firstLine="0" w:firstLineChars="0"/>
        <w:jc w:val="left"/>
        <w:textAlignment w:val="auto"/>
        <w:outlineLvl w:val="0"/>
        <w:rPr>
          <w:rFonts w:hint="default" w:ascii="仿宋_GB2312" w:hAnsi="仿宋_GB2312" w:eastAsia="仿宋_GB2312" w:cs="仿宋_GB2312"/>
          <w:b/>
          <w:bCs/>
          <w:color w:val="auto"/>
          <w:kern w:val="0"/>
          <w:sz w:val="32"/>
          <w:szCs w:val="32"/>
          <w:highlight w:val="none"/>
          <w:lang w:val="en-US" w:eastAsia="zh-CN" w:bidi="ar-SA"/>
        </w:rPr>
      </w:pPr>
      <w:bookmarkStart w:id="94" w:name="_Toc5743"/>
      <w:bookmarkStart w:id="95" w:name="_Toc24172"/>
      <w:bookmarkStart w:id="96" w:name="_Toc15996"/>
      <w:bookmarkStart w:id="97" w:name="_Toc8646"/>
      <w:bookmarkStart w:id="98" w:name="_Toc16557"/>
      <w:bookmarkStart w:id="99" w:name="_Toc3820"/>
      <w:bookmarkStart w:id="100" w:name="_Toc14159"/>
      <w:bookmarkStart w:id="101" w:name="_Toc18301"/>
      <w:bookmarkStart w:id="102" w:name="_Toc22074"/>
      <w:r>
        <w:rPr>
          <w:rFonts w:hint="eastAsia" w:ascii="仿宋_GB2312" w:hAnsi="仿宋_GB2312" w:eastAsia="仿宋_GB2312" w:cs="仿宋_GB2312"/>
          <w:b/>
          <w:bCs/>
          <w:color w:val="auto"/>
          <w:kern w:val="0"/>
          <w:sz w:val="32"/>
          <w:szCs w:val="32"/>
          <w:highlight w:val="none"/>
          <w:lang w:val="en-US" w:eastAsia="zh-CN" w:bidi="ar-SA"/>
        </w:rPr>
        <w:t>附件4：编制单位签章</w:t>
      </w:r>
      <w:bookmarkEnd w:id="94"/>
    </w:p>
    <w:tbl>
      <w:tblPr>
        <w:tblStyle w:val="1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73"/>
        <w:gridCol w:w="7449"/>
      </w:tblGrid>
      <w:tr w14:paraId="420493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93" w:hRule="atLeast"/>
          <w:jc w:val="center"/>
        </w:trPr>
        <w:tc>
          <w:tcPr>
            <w:tcW w:w="1073" w:type="dxa"/>
            <w:vAlign w:val="center"/>
          </w:tcPr>
          <w:p w14:paraId="635312AC">
            <w:pPr>
              <w:widowControl w:val="0"/>
              <w:jc w:val="distribute"/>
              <w:rPr>
                <w:rFonts w:hint="eastAsia" w:ascii="黑体" w:hAnsi="黑体" w:eastAsia="黑体" w:cs="华文中宋"/>
                <w:color w:val="auto"/>
                <w:sz w:val="28"/>
                <w:szCs w:val="28"/>
              </w:rPr>
            </w:pPr>
            <w:r>
              <w:rPr>
                <w:rFonts w:hint="eastAsia" w:ascii="黑体" w:hAnsi="黑体" w:eastAsia="黑体" w:cs="华文中宋"/>
                <w:color w:val="auto"/>
                <w:sz w:val="28"/>
                <w:szCs w:val="28"/>
              </w:rPr>
              <w:t>项目</w:t>
            </w:r>
          </w:p>
          <w:p w14:paraId="2187E43B">
            <w:pPr>
              <w:widowControl w:val="0"/>
              <w:jc w:val="distribute"/>
              <w:rPr>
                <w:rFonts w:ascii="黑体" w:hAnsi="黑体" w:eastAsia="黑体" w:cs="华文中宋"/>
                <w:color w:val="auto"/>
                <w:sz w:val="28"/>
                <w:szCs w:val="28"/>
              </w:rPr>
            </w:pPr>
            <w:r>
              <w:rPr>
                <w:rFonts w:hint="eastAsia" w:ascii="黑体" w:hAnsi="黑体" w:eastAsia="黑体" w:cs="华文中宋"/>
                <w:color w:val="auto"/>
                <w:sz w:val="28"/>
                <w:szCs w:val="28"/>
              </w:rPr>
              <w:t>名称</w:t>
            </w:r>
          </w:p>
        </w:tc>
        <w:tc>
          <w:tcPr>
            <w:tcW w:w="7449" w:type="dxa"/>
            <w:vAlign w:val="center"/>
          </w:tcPr>
          <w:p w14:paraId="557771DF">
            <w:pPr>
              <w:widowControl w:val="0"/>
              <w:jc w:val="center"/>
              <w:rPr>
                <w:rFonts w:hint="default" w:ascii="仿宋" w:hAnsi="仿宋" w:eastAsia="仿宋" w:cs="华文中宋"/>
                <w:color w:val="auto"/>
                <w:sz w:val="30"/>
                <w:szCs w:val="30"/>
                <w:lang w:val="en-US" w:eastAsia="zh-CN"/>
              </w:rPr>
            </w:pPr>
            <w:r>
              <w:rPr>
                <w:rFonts w:hint="eastAsia" w:ascii="仿宋" w:hAnsi="仿宋" w:eastAsia="仿宋" w:cs="华文中宋"/>
                <w:color w:val="auto"/>
                <w:sz w:val="30"/>
                <w:szCs w:val="30"/>
                <w:u w:val="single"/>
                <w:lang w:val="en-US" w:eastAsia="zh-CN"/>
              </w:rPr>
              <w:t xml:space="preserve">     </w:t>
            </w:r>
            <w:r>
              <w:rPr>
                <w:rFonts w:hint="eastAsia" w:ascii="仿宋" w:hAnsi="仿宋" w:eastAsia="仿宋" w:cs="华文中宋"/>
                <w:color w:val="auto"/>
                <w:sz w:val="30"/>
                <w:szCs w:val="30"/>
                <w:u w:val="single"/>
                <w:lang w:eastAsia="zh-CN"/>
              </w:rPr>
              <w:t>石狮市跨境电商品牌培育全流程服务</w:t>
            </w:r>
            <w:r>
              <w:rPr>
                <w:rFonts w:hint="eastAsia" w:ascii="仿宋" w:hAnsi="仿宋" w:eastAsia="仿宋" w:cs="华文中宋"/>
                <w:color w:val="auto"/>
                <w:sz w:val="30"/>
                <w:szCs w:val="30"/>
                <w:u w:val="single"/>
                <w:lang w:val="en-US" w:eastAsia="zh-CN"/>
              </w:rPr>
              <w:t xml:space="preserve">    </w:t>
            </w:r>
          </w:p>
        </w:tc>
      </w:tr>
      <w:tr w14:paraId="159E07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17" w:hRule="atLeast"/>
          <w:jc w:val="center"/>
        </w:trPr>
        <w:tc>
          <w:tcPr>
            <w:tcW w:w="1073" w:type="dxa"/>
            <w:vAlign w:val="center"/>
          </w:tcPr>
          <w:p w14:paraId="346C9E29">
            <w:pPr>
              <w:widowControl w:val="0"/>
              <w:spacing w:line="300" w:lineRule="exact"/>
              <w:jc w:val="distribute"/>
              <w:rPr>
                <w:rFonts w:hint="eastAsia" w:ascii="黑体" w:hAnsi="黑体" w:eastAsia="黑体" w:cs="华文中宋"/>
                <w:color w:val="auto"/>
                <w:sz w:val="28"/>
                <w:szCs w:val="28"/>
              </w:rPr>
            </w:pPr>
            <w:r>
              <w:rPr>
                <w:rFonts w:hint="eastAsia" w:ascii="黑体" w:hAnsi="黑体" w:eastAsia="黑体" w:cs="华文中宋"/>
                <w:color w:val="auto"/>
                <w:sz w:val="28"/>
                <w:szCs w:val="28"/>
              </w:rPr>
              <w:t>编制</w:t>
            </w:r>
          </w:p>
          <w:p w14:paraId="1E41BC39">
            <w:pPr>
              <w:widowControl w:val="0"/>
              <w:spacing w:line="300" w:lineRule="exact"/>
              <w:jc w:val="distribute"/>
              <w:rPr>
                <w:rFonts w:hint="eastAsia" w:ascii="黑体" w:hAnsi="黑体" w:eastAsia="黑体" w:cs="华文中宋"/>
                <w:color w:val="auto"/>
                <w:sz w:val="28"/>
                <w:szCs w:val="28"/>
              </w:rPr>
            </w:pPr>
            <w:r>
              <w:rPr>
                <w:rFonts w:hint="eastAsia" w:ascii="黑体" w:hAnsi="黑体" w:eastAsia="黑体" w:cs="华文中宋"/>
                <w:color w:val="auto"/>
                <w:sz w:val="28"/>
                <w:szCs w:val="28"/>
              </w:rPr>
              <w:t>单位</w:t>
            </w:r>
          </w:p>
          <w:p w14:paraId="16C1202A">
            <w:pPr>
              <w:widowControl w:val="0"/>
              <w:jc w:val="distribute"/>
              <w:rPr>
                <w:rFonts w:ascii="黑体" w:hAnsi="黑体" w:eastAsia="黑体" w:cs="华文中宋"/>
                <w:color w:val="auto"/>
                <w:szCs w:val="21"/>
              </w:rPr>
            </w:pPr>
            <w:r>
              <w:rPr>
                <w:rFonts w:hint="eastAsia" w:ascii="黑体" w:hAnsi="黑体" w:eastAsia="黑体" w:cs="华文中宋"/>
                <w:color w:val="auto"/>
                <w:szCs w:val="21"/>
              </w:rPr>
              <w:t>（盖章）</w:t>
            </w:r>
          </w:p>
        </w:tc>
        <w:tc>
          <w:tcPr>
            <w:tcW w:w="7449" w:type="dxa"/>
            <w:tcBorders>
              <w:bottom w:val="single" w:color="auto" w:sz="4" w:space="0"/>
            </w:tcBorders>
            <w:vAlign w:val="center"/>
          </w:tcPr>
          <w:p w14:paraId="0503BDED">
            <w:pPr>
              <w:widowControl w:val="0"/>
              <w:jc w:val="center"/>
              <w:rPr>
                <w:rFonts w:ascii="仿宋_GB2312" w:hAnsi="华文中宋" w:eastAsia="仿宋_GB2312" w:cs="华文中宋"/>
                <w:color w:val="auto"/>
                <w:sz w:val="32"/>
                <w:szCs w:val="32"/>
              </w:rPr>
            </w:pPr>
          </w:p>
        </w:tc>
      </w:tr>
      <w:tr w14:paraId="25C316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39" w:hRule="atLeast"/>
          <w:jc w:val="center"/>
        </w:trPr>
        <w:tc>
          <w:tcPr>
            <w:tcW w:w="1073" w:type="dxa"/>
            <w:vAlign w:val="center"/>
          </w:tcPr>
          <w:p w14:paraId="2579061F">
            <w:pPr>
              <w:widowControl w:val="0"/>
              <w:jc w:val="distribute"/>
              <w:rPr>
                <w:rFonts w:hint="eastAsia" w:ascii="黑体" w:hAnsi="黑体" w:eastAsia="黑体" w:cs="华文中宋"/>
                <w:color w:val="auto"/>
                <w:sz w:val="28"/>
                <w:szCs w:val="28"/>
              </w:rPr>
            </w:pPr>
            <w:r>
              <w:rPr>
                <w:rFonts w:hint="eastAsia" w:ascii="黑体" w:hAnsi="黑体" w:eastAsia="黑体" w:cs="华文中宋"/>
                <w:color w:val="auto"/>
                <w:sz w:val="28"/>
                <w:szCs w:val="28"/>
                <w:lang w:val="en-US" w:eastAsia="zh-CN"/>
              </w:rPr>
              <w:t>主评人</w:t>
            </w:r>
          </w:p>
          <w:p w14:paraId="47DD6A77">
            <w:pPr>
              <w:widowControl w:val="0"/>
              <w:jc w:val="distribute"/>
              <w:rPr>
                <w:rFonts w:ascii="黑体" w:hAnsi="黑体" w:eastAsia="黑体" w:cs="华文中宋"/>
                <w:color w:val="auto"/>
                <w:szCs w:val="21"/>
              </w:rPr>
            </w:pPr>
            <w:r>
              <w:rPr>
                <w:rFonts w:hint="eastAsia" w:ascii="黑体" w:hAnsi="黑体" w:eastAsia="黑体" w:cs="华文中宋"/>
                <w:color w:val="auto"/>
                <w:szCs w:val="21"/>
              </w:rPr>
              <w:t>（签章）</w:t>
            </w:r>
          </w:p>
        </w:tc>
        <w:tc>
          <w:tcPr>
            <w:tcW w:w="7449" w:type="dxa"/>
            <w:tcBorders>
              <w:top w:val="single" w:color="auto" w:sz="4" w:space="0"/>
              <w:bottom w:val="single" w:color="auto" w:sz="4" w:space="0"/>
            </w:tcBorders>
            <w:vAlign w:val="center"/>
          </w:tcPr>
          <w:p w14:paraId="310831EA">
            <w:pPr>
              <w:widowControl w:val="0"/>
              <w:jc w:val="center"/>
              <w:rPr>
                <w:rFonts w:ascii="仿宋_GB2312" w:hAnsi="华文中宋" w:eastAsia="仿宋_GB2312" w:cs="华文中宋"/>
                <w:color w:val="auto"/>
                <w:sz w:val="32"/>
                <w:szCs w:val="32"/>
              </w:rPr>
            </w:pPr>
          </w:p>
        </w:tc>
      </w:tr>
      <w:tr w14:paraId="3A769A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40" w:hRule="atLeast"/>
          <w:jc w:val="center"/>
        </w:trPr>
        <w:tc>
          <w:tcPr>
            <w:tcW w:w="1073" w:type="dxa"/>
            <w:vAlign w:val="center"/>
          </w:tcPr>
          <w:p w14:paraId="1AFFE2BD">
            <w:pPr>
              <w:widowControl w:val="0"/>
              <w:jc w:val="distribute"/>
              <w:rPr>
                <w:rFonts w:ascii="黑体" w:hAnsi="黑体" w:eastAsia="黑体" w:cs="华文中宋"/>
                <w:color w:val="auto"/>
                <w:sz w:val="28"/>
                <w:szCs w:val="28"/>
              </w:rPr>
            </w:pPr>
            <w:r>
              <w:rPr>
                <w:rFonts w:hint="eastAsia" w:ascii="黑体" w:hAnsi="黑体" w:eastAsia="黑体" w:cs="华文中宋"/>
                <w:color w:val="auto"/>
                <w:sz w:val="28"/>
                <w:szCs w:val="28"/>
              </w:rPr>
              <w:t>校对人</w:t>
            </w:r>
            <w:r>
              <w:rPr>
                <w:rFonts w:hint="eastAsia" w:ascii="黑体" w:hAnsi="黑体" w:eastAsia="黑体" w:cs="华文中宋"/>
                <w:color w:val="auto"/>
                <w:szCs w:val="21"/>
              </w:rPr>
              <w:t>（签章）</w:t>
            </w:r>
          </w:p>
        </w:tc>
        <w:tc>
          <w:tcPr>
            <w:tcW w:w="7449" w:type="dxa"/>
            <w:tcBorders>
              <w:top w:val="single" w:color="auto" w:sz="4" w:space="0"/>
              <w:bottom w:val="single" w:color="auto" w:sz="4" w:space="0"/>
            </w:tcBorders>
            <w:vAlign w:val="center"/>
          </w:tcPr>
          <w:p w14:paraId="7F623A62">
            <w:pPr>
              <w:widowControl w:val="0"/>
              <w:jc w:val="center"/>
              <w:rPr>
                <w:rFonts w:ascii="仿宋_GB2312" w:hAnsi="华文中宋" w:eastAsia="仿宋_GB2312" w:cs="华文中宋"/>
                <w:color w:val="auto"/>
                <w:sz w:val="32"/>
                <w:szCs w:val="32"/>
              </w:rPr>
            </w:pPr>
          </w:p>
        </w:tc>
      </w:tr>
      <w:tr w14:paraId="33C7E8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0" w:hRule="atLeast"/>
          <w:jc w:val="center"/>
        </w:trPr>
        <w:tc>
          <w:tcPr>
            <w:tcW w:w="1073" w:type="dxa"/>
            <w:vAlign w:val="center"/>
          </w:tcPr>
          <w:p w14:paraId="65A5D078">
            <w:pPr>
              <w:widowControl w:val="0"/>
              <w:jc w:val="distribute"/>
              <w:rPr>
                <w:rFonts w:ascii="黑体" w:hAnsi="黑体" w:eastAsia="黑体" w:cs="华文中宋"/>
                <w:color w:val="auto"/>
                <w:sz w:val="28"/>
                <w:szCs w:val="28"/>
              </w:rPr>
            </w:pPr>
            <w:r>
              <w:rPr>
                <w:rFonts w:hint="eastAsia" w:ascii="黑体" w:hAnsi="黑体" w:eastAsia="黑体" w:cs="华文中宋"/>
                <w:color w:val="auto"/>
                <w:sz w:val="28"/>
                <w:szCs w:val="28"/>
                <w:lang w:val="en-US" w:eastAsia="zh-CN"/>
              </w:rPr>
              <w:t>复核人</w:t>
            </w:r>
            <w:r>
              <w:rPr>
                <w:rFonts w:hint="eastAsia" w:ascii="黑体" w:hAnsi="黑体" w:eastAsia="黑体" w:cs="华文中宋"/>
                <w:color w:val="auto"/>
                <w:szCs w:val="21"/>
              </w:rPr>
              <w:t>（签章）</w:t>
            </w:r>
          </w:p>
        </w:tc>
        <w:tc>
          <w:tcPr>
            <w:tcW w:w="7449" w:type="dxa"/>
            <w:tcBorders>
              <w:top w:val="single" w:color="auto" w:sz="4" w:space="0"/>
              <w:bottom w:val="single" w:color="auto" w:sz="4" w:space="0"/>
            </w:tcBorders>
            <w:vAlign w:val="center"/>
          </w:tcPr>
          <w:p w14:paraId="0084FB29">
            <w:pPr>
              <w:widowControl w:val="0"/>
              <w:jc w:val="center"/>
              <w:rPr>
                <w:rFonts w:ascii="仿宋_GB2312" w:hAnsi="华文中宋" w:eastAsia="仿宋_GB2312" w:cs="华文中宋"/>
                <w:color w:val="auto"/>
                <w:sz w:val="32"/>
                <w:szCs w:val="32"/>
              </w:rPr>
            </w:pPr>
          </w:p>
        </w:tc>
      </w:tr>
      <w:tr w14:paraId="1F015B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93" w:hRule="atLeast"/>
          <w:jc w:val="center"/>
        </w:trPr>
        <w:tc>
          <w:tcPr>
            <w:tcW w:w="1073" w:type="dxa"/>
            <w:vAlign w:val="center"/>
          </w:tcPr>
          <w:p w14:paraId="03630310">
            <w:pPr>
              <w:widowControl w:val="0"/>
              <w:jc w:val="center"/>
              <w:rPr>
                <w:rFonts w:ascii="黑体" w:hAnsi="黑体" w:eastAsia="黑体" w:cs="华文中宋"/>
                <w:color w:val="auto"/>
                <w:sz w:val="32"/>
                <w:szCs w:val="32"/>
              </w:rPr>
            </w:pPr>
            <w:r>
              <w:rPr>
                <w:rFonts w:hint="eastAsia" w:ascii="黑体" w:hAnsi="黑体" w:eastAsia="黑体" w:cs="华文中宋"/>
                <w:color w:val="auto"/>
                <w:sz w:val="32"/>
                <w:szCs w:val="32"/>
              </w:rPr>
              <w:t>时间</w:t>
            </w:r>
          </w:p>
        </w:tc>
        <w:tc>
          <w:tcPr>
            <w:tcW w:w="7449" w:type="dxa"/>
            <w:tcBorders>
              <w:top w:val="single" w:color="auto" w:sz="4" w:space="0"/>
            </w:tcBorders>
            <w:vAlign w:val="center"/>
          </w:tcPr>
          <w:p w14:paraId="4E3546F5">
            <w:pPr>
              <w:widowControl w:val="0"/>
              <w:jc w:val="center"/>
              <w:rPr>
                <w:rFonts w:ascii="仿宋" w:hAnsi="仿宋" w:eastAsia="仿宋" w:cs="华文中宋"/>
                <w:color w:val="auto"/>
                <w:sz w:val="32"/>
                <w:szCs w:val="32"/>
              </w:rPr>
            </w:pPr>
            <w:r>
              <w:rPr>
                <w:rFonts w:hint="eastAsia" w:ascii="仿宋" w:hAnsi="仿宋" w:eastAsia="仿宋" w:cs="华文中宋"/>
                <w:color w:val="auto"/>
                <w:sz w:val="32"/>
                <w:szCs w:val="32"/>
              </w:rPr>
              <w:t>202</w:t>
            </w:r>
            <w:r>
              <w:rPr>
                <w:rFonts w:hint="eastAsia" w:ascii="仿宋" w:hAnsi="仿宋" w:eastAsia="仿宋" w:cs="华文中宋"/>
                <w:color w:val="auto"/>
                <w:sz w:val="32"/>
                <w:szCs w:val="32"/>
                <w:lang w:val="en-US" w:eastAsia="zh-CN"/>
              </w:rPr>
              <w:t>5</w:t>
            </w:r>
            <w:r>
              <w:rPr>
                <w:rFonts w:hint="eastAsia" w:ascii="仿宋" w:hAnsi="仿宋" w:eastAsia="仿宋" w:cs="华文中宋"/>
                <w:color w:val="auto"/>
                <w:sz w:val="32"/>
                <w:szCs w:val="32"/>
              </w:rPr>
              <w:t>年</w:t>
            </w:r>
            <w:r>
              <w:rPr>
                <w:rFonts w:hint="eastAsia" w:ascii="仿宋" w:hAnsi="仿宋" w:eastAsia="仿宋" w:cs="华文中宋"/>
                <w:color w:val="auto"/>
                <w:sz w:val="32"/>
                <w:szCs w:val="32"/>
                <w:lang w:val="en-US" w:eastAsia="zh-CN"/>
              </w:rPr>
              <w:t>8</w:t>
            </w:r>
            <w:r>
              <w:rPr>
                <w:rFonts w:hint="eastAsia" w:ascii="仿宋" w:hAnsi="仿宋" w:eastAsia="仿宋" w:cs="华文中宋"/>
                <w:color w:val="auto"/>
                <w:sz w:val="32"/>
                <w:szCs w:val="32"/>
              </w:rPr>
              <w:t>月</w:t>
            </w:r>
          </w:p>
        </w:tc>
      </w:tr>
    </w:tbl>
    <w:p w14:paraId="0F5805E3">
      <w:pPr>
        <w:rPr>
          <w:rFonts w:hint="default"/>
          <w:lang w:val="en-US" w:eastAsia="zh-CN"/>
        </w:rPr>
      </w:pPr>
    </w:p>
    <w:p w14:paraId="78BD07BB">
      <w:pPr>
        <w:jc w:val="left"/>
        <w:outlineLvl w:val="0"/>
        <w:rPr>
          <w:rFonts w:hint="eastAsia" w:ascii="仿宋" w:hAnsi="仿宋" w:eastAsia="仿宋" w:cs="宋体"/>
          <w:b/>
          <w:bCs/>
          <w:color w:val="000000"/>
          <w:kern w:val="0"/>
          <w:sz w:val="28"/>
          <w:szCs w:val="28"/>
          <w:lang w:val="en-US" w:eastAsia="zh-CN" w:bidi="ar-SA"/>
        </w:rPr>
        <w:sectPr>
          <w:pgSz w:w="11906" w:h="16838"/>
          <w:pgMar w:top="1519" w:right="1134" w:bottom="1587" w:left="113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341888A0">
      <w:pPr>
        <w:pStyle w:val="5"/>
        <w:keepNext w:val="0"/>
        <w:keepLines w:val="0"/>
        <w:pageBreakBefore w:val="0"/>
        <w:widowControl/>
        <w:numPr>
          <w:ilvl w:val="0"/>
          <w:numId w:val="0"/>
        </w:numPr>
        <w:kinsoku/>
        <w:wordWrap/>
        <w:overflowPunct/>
        <w:topLinePunct w:val="0"/>
        <w:autoSpaceDE/>
        <w:autoSpaceDN/>
        <w:bidi w:val="0"/>
        <w:adjustRightInd/>
        <w:snapToGrid/>
        <w:spacing w:line="240" w:lineRule="auto"/>
        <w:ind w:left="0" w:leftChars="0" w:firstLine="0" w:firstLineChars="0"/>
        <w:jc w:val="left"/>
        <w:textAlignment w:val="auto"/>
        <w:outlineLvl w:val="0"/>
        <w:rPr>
          <w:rFonts w:hint="eastAsia" w:ascii="仿宋_GB2312" w:hAnsi="仿宋_GB2312" w:eastAsia="仿宋_GB2312" w:cs="仿宋_GB2312"/>
          <w:b/>
          <w:bCs/>
          <w:color w:val="auto"/>
          <w:kern w:val="0"/>
          <w:sz w:val="32"/>
          <w:szCs w:val="32"/>
          <w:highlight w:val="none"/>
          <w:lang w:val="en-US" w:eastAsia="zh-CN" w:bidi="ar-SA"/>
        </w:rPr>
      </w:pPr>
      <w:bookmarkStart w:id="103" w:name="_Toc28289"/>
      <w:r>
        <w:rPr>
          <w:rFonts w:hint="eastAsia" w:ascii="仿宋_GB2312" w:hAnsi="仿宋_GB2312" w:eastAsia="仿宋_GB2312" w:cs="仿宋_GB2312"/>
          <w:b/>
          <w:bCs/>
          <w:color w:val="auto"/>
          <w:kern w:val="0"/>
          <w:sz w:val="32"/>
          <w:szCs w:val="32"/>
          <w:highlight w:val="none"/>
          <w:lang w:val="en-US" w:eastAsia="zh-CN" w:bidi="ar-SA"/>
        </w:rPr>
        <w:t>附件5：营业执照</w:t>
      </w:r>
      <w:bookmarkEnd w:id="95"/>
      <w:bookmarkEnd w:id="96"/>
      <w:bookmarkEnd w:id="97"/>
      <w:bookmarkEnd w:id="98"/>
      <w:bookmarkEnd w:id="99"/>
      <w:bookmarkEnd w:id="100"/>
      <w:bookmarkEnd w:id="101"/>
      <w:bookmarkEnd w:id="102"/>
      <w:bookmarkEnd w:id="103"/>
    </w:p>
    <w:p w14:paraId="35A8571C">
      <w:pPr>
        <w:rPr>
          <w:rFonts w:ascii="黑体" w:hAnsi="黑体" w:eastAsia="黑体" w:cs="黑体"/>
          <w:color w:val="auto"/>
          <w:sz w:val="44"/>
          <w:szCs w:val="44"/>
        </w:rPr>
      </w:pPr>
      <w:r>
        <w:rPr>
          <w:rFonts w:hint="eastAsia" w:eastAsia="黑体"/>
          <w:lang w:eastAsia="zh-CN"/>
        </w:rPr>
        <w:drawing>
          <wp:anchor distT="0" distB="0" distL="114300" distR="114300" simplePos="0" relativeHeight="251662336" behindDoc="0" locked="0" layoutInCell="1" allowOverlap="1">
            <wp:simplePos x="0" y="0"/>
            <wp:positionH relativeFrom="column">
              <wp:posOffset>-1158875</wp:posOffset>
            </wp:positionH>
            <wp:positionV relativeFrom="paragraph">
              <wp:posOffset>1327150</wp:posOffset>
            </wp:positionV>
            <wp:extent cx="7929245" cy="5609590"/>
            <wp:effectExtent l="0" t="0" r="10160" b="14605"/>
            <wp:wrapSquare wrapText="bothSides"/>
            <wp:docPr id="16" name="图片 16" descr="2b3d139fc160ef5342389a9ad11ef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b3d139fc160ef5342389a9ad11ef27"/>
                    <pic:cNvPicPr>
                      <a:picLocks noChangeAspect="1"/>
                    </pic:cNvPicPr>
                  </pic:nvPicPr>
                  <pic:blipFill>
                    <a:blip r:embed="rId20"/>
                    <a:stretch>
                      <a:fillRect/>
                    </a:stretch>
                  </pic:blipFill>
                  <pic:spPr>
                    <a:xfrm rot="16200000">
                      <a:off x="0" y="0"/>
                      <a:ext cx="7929245" cy="5609590"/>
                    </a:xfrm>
                    <a:prstGeom prst="rect">
                      <a:avLst/>
                    </a:prstGeom>
                  </pic:spPr>
                </pic:pic>
              </a:graphicData>
            </a:graphic>
          </wp:anchor>
        </w:drawing>
      </w:r>
    </w:p>
    <w:p w14:paraId="6FF353A6">
      <w:pPr>
        <w:pStyle w:val="33"/>
        <w:ind w:left="0" w:leftChars="0" w:firstLine="0" w:firstLineChars="0"/>
        <w:outlineLvl w:val="9"/>
        <w:rPr>
          <w:rFonts w:hint="eastAsia"/>
          <w:sz w:val="28"/>
          <w:szCs w:val="28"/>
          <w:lang w:val="zh-CN"/>
        </w:rPr>
      </w:pPr>
    </w:p>
    <w:sectPr>
      <w:pgSz w:w="11906" w:h="16838"/>
      <w:pgMar w:top="1519" w:right="1134" w:bottom="1587" w:left="1134"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embedRegular r:id="rId1" w:fontKey="{D9374C63-B226-48AD-B5CF-C2D48875C44B}"/>
  </w:font>
  <w:font w:name="黑体">
    <w:panose1 w:val="02010609060101010101"/>
    <w:charset w:val="86"/>
    <w:family w:val="auto"/>
    <w:pitch w:val="default"/>
    <w:sig w:usb0="800002BF" w:usb1="38CF7CFA" w:usb2="00000016" w:usb3="00000000" w:csb0="00040001" w:csb1="00000000"/>
    <w:embedRegular r:id="rId2" w:fontKey="{1EF2CB20-F61F-4AA7-84B7-B80D35BB52BD}"/>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libri Light">
    <w:altName w:val="Calibri"/>
    <w:panose1 w:val="020F0302020204030204"/>
    <w:charset w:val="00"/>
    <w:family w:val="swiss"/>
    <w:pitch w:val="default"/>
    <w:sig w:usb0="00000000" w:usb1="00000000" w:usb2="00000009" w:usb3="00000000" w:csb0="200001FF" w:csb1="00000000"/>
  </w:font>
  <w:font w:name="Helvetica Neue">
    <w:altName w:val="Times New Roman"/>
    <w:panose1 w:val="02000503000000020004"/>
    <w:charset w:val="00"/>
    <w:family w:val="auto"/>
    <w:pitch w:val="default"/>
    <w:sig w:usb0="00000000" w:usb1="00000000" w:usb2="00000010" w:usb3="00000000" w:csb0="00000000"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embedRegular r:id="rId3" w:fontKey="{138130B5-AF8F-4A55-ABDB-85589C3E0305}"/>
  </w:font>
  <w:font w:name="方正小标宋简体">
    <w:panose1 w:val="03000509000000000000"/>
    <w:charset w:val="86"/>
    <w:family w:val="auto"/>
    <w:pitch w:val="default"/>
    <w:sig w:usb0="00000001" w:usb1="080E0000" w:usb2="00000000" w:usb3="00000000" w:csb0="00040000" w:csb1="00000000"/>
    <w:embedRegular r:id="rId4" w:fontKey="{2438AC20-0204-4BE1-8FCD-D243DAD4C1D7}"/>
  </w:font>
  <w:font w:name="方正粗黑宋简体">
    <w:panose1 w:val="02000000000000000000"/>
    <w:charset w:val="86"/>
    <w:family w:val="auto"/>
    <w:pitch w:val="default"/>
    <w:sig w:usb0="A00002BF" w:usb1="184F6CFA" w:usb2="00000012" w:usb3="00000000" w:csb0="00040001" w:csb1="00000000"/>
    <w:embedRegular r:id="rId5" w:fontKey="{361E8520-BFB8-437D-B1F1-4963C8E70215}"/>
  </w:font>
  <w:font w:name="仿宋_GB2312">
    <w:panose1 w:val="02010609030101010101"/>
    <w:charset w:val="86"/>
    <w:family w:val="modern"/>
    <w:pitch w:val="default"/>
    <w:sig w:usb0="00000001" w:usb1="080E0000" w:usb2="00000000" w:usb3="00000000" w:csb0="00040000" w:csb1="00000000"/>
    <w:embedRegular r:id="rId6" w:fontKey="{9031AACD-E9E5-419F-98CA-0F2E8EF0EA22}"/>
  </w:font>
  <w:font w:name="楷体_GB2312">
    <w:panose1 w:val="02010609030101010101"/>
    <w:charset w:val="86"/>
    <w:family w:val="auto"/>
    <w:pitch w:val="default"/>
    <w:sig w:usb0="00000001" w:usb1="080E0000" w:usb2="00000000" w:usb3="00000000" w:csb0="00040000" w:csb1="00000000"/>
    <w:embedRegular r:id="rId7" w:fontKey="{60961622-92A0-4F65-B56D-3F93A9E266AA}"/>
  </w:font>
  <w:font w:name="华文中宋">
    <w:panose1 w:val="02010600040101010101"/>
    <w:charset w:val="86"/>
    <w:family w:val="auto"/>
    <w:pitch w:val="default"/>
    <w:sig w:usb0="00000287" w:usb1="080F0000" w:usb2="00000000" w:usb3="00000000" w:csb0="0004009F" w:csb1="DFD70000"/>
    <w:embedRegular r:id="rId8" w:fontKey="{A32465D1-82D0-438D-8FA3-4FF53E777682}"/>
  </w:font>
  <w:font w:name="微软雅黑">
    <w:panose1 w:val="020B0503020204020204"/>
    <w:charset w:val="86"/>
    <w:family w:val="auto"/>
    <w:pitch w:val="default"/>
    <w:sig w:usb0="80000287" w:usb1="280F3C52" w:usb2="00000016" w:usb3="00000000" w:csb0="0004001F" w:csb1="00000000"/>
    <w:embedRegular r:id="rId9" w:fontKey="{7A7D09FC-9797-444E-8536-6550B5A1E38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D504FA">
    <w:pPr>
      <w:pStyle w:val="1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AF0A8B">
    <w:pPr>
      <w:pStyle w:val="10"/>
      <w:ind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8D2F23">
                          <w:pPr>
                            <w:pStyle w:val="10"/>
                            <w:ind w:firstLine="360"/>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66C/ssAgAAV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roL+ywCAABVBAAADgAAAAAAAAABACAAAAAfAQAAZHJzL2Uyb0RvYy54bWxQSwUGAAAAAAYA&#10;BgBZAQAAvQUAAAAA&#10;">
              <v:fill on="f" focussize="0,0"/>
              <v:stroke on="f" weight="0.5pt"/>
              <v:imagedata o:title=""/>
              <o:lock v:ext="edit" aspectratio="f"/>
              <v:textbox inset="0mm,0mm,0mm,0mm" style="mso-fit-shape-to-text:t;">
                <w:txbxContent>
                  <w:p w14:paraId="5C8D2F23">
                    <w:pPr>
                      <w:pStyle w:val="10"/>
                      <w:ind w:firstLine="360"/>
                    </w:pPr>
                    <w:r>
                      <w:fldChar w:fldCharType="begin"/>
                    </w:r>
                    <w:r>
                      <w:instrText xml:space="preserve"> PAGE  \* MERGEFORMAT </w:instrText>
                    </w:r>
                    <w:r>
                      <w:fldChar w:fldCharType="separate"/>
                    </w:r>
                    <w:r>
                      <w:t>8</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F67B0">
    <w:pPr>
      <w:pStyle w:val="10"/>
      <w:ind w:firstLine="360"/>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BC3E79">
                          <w:pPr>
                            <w:pStyle w:val="1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28BC3E79">
                    <w:pPr>
                      <w:pStyle w:val="1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8E50E1">
    <w:pPr>
      <w:pStyle w:val="10"/>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622AF64">
                          <w:pPr>
                            <w:pStyle w:val="10"/>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6622AF64">
                    <w:pPr>
                      <w:pStyle w:val="10"/>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A8DE79">
    <w:pPr>
      <w:pStyle w:val="10"/>
      <w:ind w:firstLine="360"/>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07DCF5">
                          <w:pPr>
                            <w:pStyle w:val="10"/>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5A07DCF5">
                    <w:pPr>
                      <w:pStyle w:val="10"/>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34B5E6">
    <w:pPr>
      <w:pStyle w:val="10"/>
      <w:jc w:val="cente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06C1D8">
                          <w:pPr>
                            <w:pStyle w:val="10"/>
                          </w:pPr>
                          <w:r>
                            <w:fldChar w:fldCharType="begin"/>
                          </w:r>
                          <w:r>
                            <w:instrText xml:space="preserve"> PAGE  \* MERGEFORMAT </w:instrText>
                          </w:r>
                          <w:r>
                            <w:fldChar w:fldCharType="separate"/>
                          </w:r>
                          <w:r>
                            <w:t>39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0F06C1D8">
                    <w:pPr>
                      <w:pStyle w:val="10"/>
                    </w:pPr>
                    <w:r>
                      <w:fldChar w:fldCharType="begin"/>
                    </w:r>
                    <w:r>
                      <w:instrText xml:space="preserve"> PAGE  \* MERGEFORMAT </w:instrText>
                    </w:r>
                    <w:r>
                      <w:fldChar w:fldCharType="separate"/>
                    </w:r>
                    <w:r>
                      <w:t>39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411553">
    <w:pPr>
      <w:pStyle w:val="11"/>
      <w:pBdr>
        <w:top w:val="none" w:color="auto" w:sz="0" w:space="0"/>
        <w:left w:val="none" w:color="auto" w:sz="0" w:space="0"/>
        <w:bottom w:val="none" w:color="auto" w:sz="0" w:space="0"/>
        <w:right w:val="none" w:color="auto" w:sz="0" w:space="0"/>
        <w:between w:val="none" w:color="auto" w:sz="0" w:space="0"/>
      </w:pBdr>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87ABA9">
    <w:pPr>
      <w:pStyle w:val="11"/>
      <w:pBdr>
        <w:bottom w:val="single" w:color="auto" w:sz="4" w:space="0"/>
      </w:pBdr>
      <w:jc w:val="left"/>
      <w:rPr>
        <w:rFonts w:hint="eastAsia" w:eastAsiaTheme="minorEastAsia"/>
        <w:lang w:val="en-US" w:eastAsia="zh-CN"/>
      </w:rPr>
    </w:pPr>
    <w:r>
      <w:rPr>
        <w:rFonts w:hint="eastAsia"/>
        <w:b/>
        <w:bCs/>
        <w:sz w:val="18"/>
        <w:szCs w:val="18"/>
      </w:rPr>
      <w:drawing>
        <wp:anchor distT="0" distB="0" distL="114300" distR="114300" simplePos="0" relativeHeight="251665408" behindDoc="0" locked="0" layoutInCell="1" allowOverlap="1">
          <wp:simplePos x="0" y="0"/>
          <wp:positionH relativeFrom="column">
            <wp:posOffset>-375920</wp:posOffset>
          </wp:positionH>
          <wp:positionV relativeFrom="paragraph">
            <wp:posOffset>-110490</wp:posOffset>
          </wp:positionV>
          <wp:extent cx="314325" cy="306705"/>
          <wp:effectExtent l="0" t="0" r="9525" b="17145"/>
          <wp:wrapSquare wrapText="bothSides"/>
          <wp:docPr id="4" name="图片 4"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SUS\AppData\Local\Temp\WeChat Files\f186046fc3a4df704901618a4b76ec6.png"/>
                  <pic:cNvPicPr>
                    <a:picLocks noChangeAspect="1" noChangeArrowheads="1"/>
                  </pic:cNvPicPr>
                </pic:nvPicPr>
                <pic:blipFill>
                  <a:blip r:embed="rId1"/>
                  <a:srcRect/>
                  <a:stretch>
                    <a:fillRect/>
                  </a:stretch>
                </pic:blipFill>
                <pic:spPr>
                  <a:xfrm>
                    <a:off x="0" y="0"/>
                    <a:ext cx="314325" cy="306705"/>
                  </a:xfrm>
                  <a:prstGeom prst="rect">
                    <a:avLst/>
                  </a:prstGeom>
                  <a:noFill/>
                  <a:ln w="9525" cmpd="sng">
                    <a:noFill/>
                    <a:miter lim="800000"/>
                    <a:headEnd/>
                    <a:tailEnd/>
                  </a:ln>
                  <a:effectLst/>
                </pic:spPr>
              </pic:pic>
            </a:graphicData>
          </a:graphic>
        </wp:anchor>
      </w:drawing>
    </w:r>
    <w:r>
      <w:rPr>
        <w:rFonts w:hint="eastAsia"/>
      </w:rPr>
      <w:t>泉州市招标咨询中心</w:t>
    </w:r>
    <w:r>
      <w:rPr>
        <w:rFonts w:hint="eastAsia"/>
        <w:lang w:val="en-US" w:eastAsia="zh-CN"/>
      </w:rPr>
      <w:t>有限公司</w:t>
    </w:r>
  </w:p>
  <w:p w14:paraId="7DDF42F9">
    <w:pPr>
      <w:pStyle w:val="1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01E950">
    <w:pPr>
      <w:pStyle w:val="11"/>
      <w:pBdr>
        <w:top w:val="none" w:color="auto" w:sz="0" w:space="0"/>
        <w:left w:val="none" w:color="auto" w:sz="0" w:space="0"/>
        <w:bottom w:val="single" w:color="auto" w:sz="4" w:space="0"/>
        <w:right w:val="none" w:color="auto" w:sz="0" w:space="0"/>
        <w:between w:val="none" w:color="auto" w:sz="0" w:space="0"/>
      </w:pBdr>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5FA674">
    <w:pPr>
      <w:pStyle w:val="11"/>
      <w:pBdr>
        <w:bottom w:val="single" w:color="auto" w:sz="4" w:space="0"/>
      </w:pBdr>
      <w:jc w:val="right"/>
      <w:rPr>
        <w:rFonts w:hint="eastAsia" w:eastAsiaTheme="minorEastAsia"/>
        <w:lang w:val="en-US" w:eastAsia="zh-CN"/>
      </w:rPr>
    </w:pPr>
    <w:r>
      <w:rPr>
        <w:rFonts w:hint="eastAsia"/>
        <w:b/>
        <w:bCs/>
        <w:sz w:val="18"/>
        <w:szCs w:val="18"/>
      </w:rPr>
      <w:drawing>
        <wp:anchor distT="0" distB="0" distL="114300" distR="114300" simplePos="0" relativeHeight="251664384" behindDoc="0" locked="0" layoutInCell="1" allowOverlap="1">
          <wp:simplePos x="0" y="0"/>
          <wp:positionH relativeFrom="column">
            <wp:posOffset>5603240</wp:posOffset>
          </wp:positionH>
          <wp:positionV relativeFrom="paragraph">
            <wp:posOffset>-99695</wp:posOffset>
          </wp:positionV>
          <wp:extent cx="314325" cy="306705"/>
          <wp:effectExtent l="0" t="0" r="9525" b="17145"/>
          <wp:wrapSquare wrapText="bothSides"/>
          <wp:docPr id="5" name="图片 5"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SUS\AppData\Local\Temp\WeChat Files\f186046fc3a4df704901618a4b76ec6.png"/>
                  <pic:cNvPicPr>
                    <a:picLocks noChangeAspect="1" noChangeArrowheads="1"/>
                  </pic:cNvPicPr>
                </pic:nvPicPr>
                <pic:blipFill>
                  <a:blip r:embed="rId1"/>
                  <a:srcRect/>
                  <a:stretch>
                    <a:fillRect/>
                  </a:stretch>
                </pic:blipFill>
                <pic:spPr>
                  <a:xfrm>
                    <a:off x="0" y="0"/>
                    <a:ext cx="314325" cy="306705"/>
                  </a:xfrm>
                  <a:prstGeom prst="rect">
                    <a:avLst/>
                  </a:prstGeom>
                  <a:noFill/>
                  <a:ln w="9525" cmpd="sng">
                    <a:noFill/>
                    <a:miter lim="800000"/>
                    <a:headEnd/>
                    <a:tailEnd/>
                  </a:ln>
                  <a:effectLst/>
                </pic:spPr>
              </pic:pic>
            </a:graphicData>
          </a:graphic>
        </wp:anchor>
      </w:drawing>
    </w:r>
    <w:r>
      <w:rPr>
        <w:rFonts w:hint="eastAsia"/>
      </w:rPr>
      <w:t>泉州市招标咨询中心</w:t>
    </w:r>
    <w:r>
      <w:rPr>
        <w:rFonts w:hint="eastAsia"/>
        <w:lang w:val="en-US" w:eastAsia="zh-CN"/>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26E0E0">
    <w:pPr>
      <w:pStyle w:val="11"/>
      <w:pBdr>
        <w:bottom w:val="single" w:color="auto" w:sz="4" w:space="0"/>
      </w:pBdr>
      <w:jc w:val="right"/>
      <w:rPr>
        <w:rFonts w:hint="eastAsia" w:eastAsiaTheme="minorEastAsia"/>
        <w:lang w:eastAsia="zh-CN"/>
      </w:rPr>
    </w:pPr>
    <w:r>
      <w:rPr>
        <w:rFonts w:hint="eastAsia"/>
        <w:b/>
        <w:bCs/>
        <w:sz w:val="18"/>
        <w:szCs w:val="18"/>
      </w:rPr>
      <w:drawing>
        <wp:anchor distT="0" distB="0" distL="114300" distR="114300" simplePos="0" relativeHeight="251661312" behindDoc="0" locked="0" layoutInCell="1" allowOverlap="1">
          <wp:simplePos x="0" y="0"/>
          <wp:positionH relativeFrom="column">
            <wp:posOffset>8889365</wp:posOffset>
          </wp:positionH>
          <wp:positionV relativeFrom="paragraph">
            <wp:posOffset>-116205</wp:posOffset>
          </wp:positionV>
          <wp:extent cx="314325" cy="306705"/>
          <wp:effectExtent l="0" t="0" r="9525" b="17145"/>
          <wp:wrapSquare wrapText="bothSides"/>
          <wp:docPr id="10" name="图片 10"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SUS\AppData\Local\Temp\WeChat Files\f186046fc3a4df704901618a4b76ec6.png"/>
                  <pic:cNvPicPr>
                    <a:picLocks noChangeAspect="1" noChangeArrowheads="1"/>
                  </pic:cNvPicPr>
                </pic:nvPicPr>
                <pic:blipFill>
                  <a:blip r:embed="rId1"/>
                  <a:srcRect/>
                  <a:stretch>
                    <a:fillRect/>
                  </a:stretch>
                </pic:blipFill>
                <pic:spPr>
                  <a:xfrm>
                    <a:off x="0" y="0"/>
                    <a:ext cx="314325" cy="306705"/>
                  </a:xfrm>
                  <a:prstGeom prst="rect">
                    <a:avLst/>
                  </a:prstGeom>
                  <a:noFill/>
                  <a:ln w="9525" cmpd="sng">
                    <a:noFill/>
                    <a:miter lim="800000"/>
                    <a:headEnd/>
                    <a:tailEnd/>
                  </a:ln>
                  <a:effectLst/>
                </pic:spPr>
              </pic:pic>
            </a:graphicData>
          </a:graphic>
        </wp:anchor>
      </w:drawing>
    </w:r>
    <w:r>
      <w:rPr>
        <w:rFonts w:hint="eastAsia"/>
      </w:rPr>
      <w:t>泉州市招标咨询中心</w:t>
    </w:r>
    <w:r>
      <w:rPr>
        <w:rFonts w:hint="eastAsia"/>
        <w:lang w:val="en-US" w:eastAsia="zh-CN"/>
      </w:rPr>
      <w:t>有限公司</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6669C6">
    <w:pPr>
      <w:pStyle w:val="11"/>
      <w:pBdr>
        <w:bottom w:val="single" w:color="auto" w:sz="4" w:space="0"/>
      </w:pBdr>
      <w:jc w:val="right"/>
      <w:rPr>
        <w:rFonts w:hint="eastAsia" w:eastAsiaTheme="minorEastAsia"/>
        <w:lang w:eastAsia="zh-CN"/>
      </w:rPr>
    </w:pPr>
    <w:r>
      <w:rPr>
        <w:rFonts w:hint="eastAsia"/>
        <w:b/>
        <w:bCs/>
        <w:sz w:val="18"/>
        <w:szCs w:val="18"/>
      </w:rPr>
      <w:drawing>
        <wp:anchor distT="0" distB="0" distL="114300" distR="114300" simplePos="0" relativeHeight="251660288" behindDoc="0" locked="0" layoutInCell="1" allowOverlap="1">
          <wp:simplePos x="0" y="0"/>
          <wp:positionH relativeFrom="column">
            <wp:posOffset>6139815</wp:posOffset>
          </wp:positionH>
          <wp:positionV relativeFrom="paragraph">
            <wp:posOffset>-48260</wp:posOffset>
          </wp:positionV>
          <wp:extent cx="314325" cy="306705"/>
          <wp:effectExtent l="0" t="0" r="9525" b="17145"/>
          <wp:wrapSquare wrapText="bothSides"/>
          <wp:docPr id="76" name="图片 76"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C:\Users\ASUS\AppData\Local\Temp\WeChat Files\f186046fc3a4df704901618a4b76ec6.png"/>
                  <pic:cNvPicPr>
                    <a:picLocks noChangeAspect="1" noChangeArrowheads="1"/>
                  </pic:cNvPicPr>
                </pic:nvPicPr>
                <pic:blipFill>
                  <a:blip r:embed="rId1"/>
                  <a:srcRect/>
                  <a:stretch>
                    <a:fillRect/>
                  </a:stretch>
                </pic:blipFill>
                <pic:spPr>
                  <a:xfrm>
                    <a:off x="0" y="0"/>
                    <a:ext cx="314325" cy="306705"/>
                  </a:xfrm>
                  <a:prstGeom prst="rect">
                    <a:avLst/>
                  </a:prstGeom>
                  <a:noFill/>
                  <a:ln w="9525" cmpd="sng">
                    <a:noFill/>
                    <a:miter lim="800000"/>
                    <a:headEnd/>
                    <a:tailEnd/>
                  </a:ln>
                  <a:effectLst/>
                </pic:spPr>
              </pic:pic>
            </a:graphicData>
          </a:graphic>
        </wp:anchor>
      </w:drawing>
    </w:r>
    <w:r>
      <w:rPr>
        <w:rFonts w:hint="eastAsia"/>
      </w:rPr>
      <w:t>泉州市招标咨询中心</w:t>
    </w:r>
    <w:r>
      <w:rPr>
        <w:rFonts w:hint="eastAsia"/>
        <w:lang w:val="en-US" w:eastAsia="zh-CN"/>
      </w:rPr>
      <w:t>有限公司</w:t>
    </w:r>
  </w:p>
  <w:p w14:paraId="3465B346">
    <w:pPr>
      <w:pStyle w:val="11"/>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1B8F26A"/>
    <w:multiLevelType w:val="singleLevel"/>
    <w:tmpl w:val="51B8F26A"/>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documentProtection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AwNDYwMzU0MWE2MDUxMTJiOTU1MGFlODkxMGI1N2UifQ=="/>
  </w:docVars>
  <w:rsids>
    <w:rsidRoot w:val="194B69D7"/>
    <w:rsid w:val="00011941"/>
    <w:rsid w:val="00022273"/>
    <w:rsid w:val="00076B7C"/>
    <w:rsid w:val="000B295A"/>
    <w:rsid w:val="000F7D9D"/>
    <w:rsid w:val="001D1480"/>
    <w:rsid w:val="001E2F1D"/>
    <w:rsid w:val="001F127F"/>
    <w:rsid w:val="00241650"/>
    <w:rsid w:val="0027456D"/>
    <w:rsid w:val="002938D2"/>
    <w:rsid w:val="002B0D79"/>
    <w:rsid w:val="002E1E76"/>
    <w:rsid w:val="00340689"/>
    <w:rsid w:val="00370C91"/>
    <w:rsid w:val="003A4DCE"/>
    <w:rsid w:val="003D321D"/>
    <w:rsid w:val="003E431A"/>
    <w:rsid w:val="00412FE4"/>
    <w:rsid w:val="00423FBD"/>
    <w:rsid w:val="004974F1"/>
    <w:rsid w:val="004C63BB"/>
    <w:rsid w:val="005A34B5"/>
    <w:rsid w:val="00603E2F"/>
    <w:rsid w:val="00606030"/>
    <w:rsid w:val="006452DC"/>
    <w:rsid w:val="00707672"/>
    <w:rsid w:val="007902C2"/>
    <w:rsid w:val="007C6FE6"/>
    <w:rsid w:val="007E5D3B"/>
    <w:rsid w:val="008B00AE"/>
    <w:rsid w:val="008C6E28"/>
    <w:rsid w:val="009224FE"/>
    <w:rsid w:val="00964067"/>
    <w:rsid w:val="009924F5"/>
    <w:rsid w:val="009A539E"/>
    <w:rsid w:val="009B6AE2"/>
    <w:rsid w:val="009F6F18"/>
    <w:rsid w:val="00A5113F"/>
    <w:rsid w:val="00B61177"/>
    <w:rsid w:val="00B8368F"/>
    <w:rsid w:val="00BB6F0D"/>
    <w:rsid w:val="00BE071C"/>
    <w:rsid w:val="00C507B9"/>
    <w:rsid w:val="00C60DB4"/>
    <w:rsid w:val="00C8123D"/>
    <w:rsid w:val="00CD0C1C"/>
    <w:rsid w:val="00D021C9"/>
    <w:rsid w:val="00D222E8"/>
    <w:rsid w:val="00D633D3"/>
    <w:rsid w:val="00D85725"/>
    <w:rsid w:val="00D87161"/>
    <w:rsid w:val="00DB3262"/>
    <w:rsid w:val="00DE6CE1"/>
    <w:rsid w:val="00E05F75"/>
    <w:rsid w:val="00E0729A"/>
    <w:rsid w:val="00E34502"/>
    <w:rsid w:val="00E56CB3"/>
    <w:rsid w:val="00E76254"/>
    <w:rsid w:val="00E93D89"/>
    <w:rsid w:val="00EA17C3"/>
    <w:rsid w:val="00EA52CA"/>
    <w:rsid w:val="00EB6647"/>
    <w:rsid w:val="00EC79FB"/>
    <w:rsid w:val="00ED67A6"/>
    <w:rsid w:val="00F66D05"/>
    <w:rsid w:val="01560C99"/>
    <w:rsid w:val="018242C7"/>
    <w:rsid w:val="01E21263"/>
    <w:rsid w:val="02300ADD"/>
    <w:rsid w:val="023A10C1"/>
    <w:rsid w:val="0272202F"/>
    <w:rsid w:val="028670EF"/>
    <w:rsid w:val="03311CD5"/>
    <w:rsid w:val="03332087"/>
    <w:rsid w:val="03C335C1"/>
    <w:rsid w:val="04243DB5"/>
    <w:rsid w:val="04B3257D"/>
    <w:rsid w:val="052D11E7"/>
    <w:rsid w:val="070A0F55"/>
    <w:rsid w:val="07363FAA"/>
    <w:rsid w:val="09576998"/>
    <w:rsid w:val="0A6F1AB0"/>
    <w:rsid w:val="0A8235E3"/>
    <w:rsid w:val="0AA415C8"/>
    <w:rsid w:val="0B09169D"/>
    <w:rsid w:val="0CE40ECE"/>
    <w:rsid w:val="0CEE30FC"/>
    <w:rsid w:val="0D6431B8"/>
    <w:rsid w:val="0DA9418B"/>
    <w:rsid w:val="0DBF4E07"/>
    <w:rsid w:val="0E0B07B8"/>
    <w:rsid w:val="0F09372F"/>
    <w:rsid w:val="10B820FF"/>
    <w:rsid w:val="119C6BDD"/>
    <w:rsid w:val="11D129C7"/>
    <w:rsid w:val="124D57E6"/>
    <w:rsid w:val="12730A42"/>
    <w:rsid w:val="12910929"/>
    <w:rsid w:val="12BC340B"/>
    <w:rsid w:val="1322500F"/>
    <w:rsid w:val="136D0728"/>
    <w:rsid w:val="13AD40C8"/>
    <w:rsid w:val="14EF4427"/>
    <w:rsid w:val="15256ED7"/>
    <w:rsid w:val="154D0182"/>
    <w:rsid w:val="155E0924"/>
    <w:rsid w:val="16367B1F"/>
    <w:rsid w:val="1698541C"/>
    <w:rsid w:val="176453C4"/>
    <w:rsid w:val="18E54848"/>
    <w:rsid w:val="194B69D7"/>
    <w:rsid w:val="19A540AB"/>
    <w:rsid w:val="1A9A51D3"/>
    <w:rsid w:val="1AB31597"/>
    <w:rsid w:val="1AF8002E"/>
    <w:rsid w:val="1D271DC8"/>
    <w:rsid w:val="1E2F2A87"/>
    <w:rsid w:val="1E5F4863"/>
    <w:rsid w:val="206D1FC1"/>
    <w:rsid w:val="207210D6"/>
    <w:rsid w:val="21D02A2F"/>
    <w:rsid w:val="234436D4"/>
    <w:rsid w:val="24DC6BA4"/>
    <w:rsid w:val="252945DA"/>
    <w:rsid w:val="258403C0"/>
    <w:rsid w:val="27851966"/>
    <w:rsid w:val="28701C33"/>
    <w:rsid w:val="28C66066"/>
    <w:rsid w:val="29CF181E"/>
    <w:rsid w:val="2A056CE7"/>
    <w:rsid w:val="2AA946F8"/>
    <w:rsid w:val="2B965768"/>
    <w:rsid w:val="2BD94488"/>
    <w:rsid w:val="2BF51A0F"/>
    <w:rsid w:val="2D6329A9"/>
    <w:rsid w:val="2DC117C8"/>
    <w:rsid w:val="2DC85E27"/>
    <w:rsid w:val="2E1001F4"/>
    <w:rsid w:val="2EDB4780"/>
    <w:rsid w:val="2F3E191F"/>
    <w:rsid w:val="30DD2A72"/>
    <w:rsid w:val="312312C2"/>
    <w:rsid w:val="31C76D90"/>
    <w:rsid w:val="31DA4154"/>
    <w:rsid w:val="320D02BF"/>
    <w:rsid w:val="32534AC5"/>
    <w:rsid w:val="33533C31"/>
    <w:rsid w:val="335A1F1F"/>
    <w:rsid w:val="33716B4D"/>
    <w:rsid w:val="344924A8"/>
    <w:rsid w:val="34CE30DB"/>
    <w:rsid w:val="34D00132"/>
    <w:rsid w:val="3556374E"/>
    <w:rsid w:val="355E2200"/>
    <w:rsid w:val="36A23F8F"/>
    <w:rsid w:val="36DB1B38"/>
    <w:rsid w:val="38434433"/>
    <w:rsid w:val="3A9F4429"/>
    <w:rsid w:val="3ACC6377"/>
    <w:rsid w:val="3BE66E28"/>
    <w:rsid w:val="3C06647F"/>
    <w:rsid w:val="3C3C07B7"/>
    <w:rsid w:val="3C517C85"/>
    <w:rsid w:val="3C8E1FA3"/>
    <w:rsid w:val="3C9C1A33"/>
    <w:rsid w:val="3CFA586A"/>
    <w:rsid w:val="3D380DB2"/>
    <w:rsid w:val="3DA41EF8"/>
    <w:rsid w:val="3EF44850"/>
    <w:rsid w:val="3F57633F"/>
    <w:rsid w:val="3F6E13BB"/>
    <w:rsid w:val="3FAD0D18"/>
    <w:rsid w:val="3FC217B1"/>
    <w:rsid w:val="41314E40"/>
    <w:rsid w:val="427A45C5"/>
    <w:rsid w:val="42884BB0"/>
    <w:rsid w:val="42C709DB"/>
    <w:rsid w:val="45022641"/>
    <w:rsid w:val="4564373B"/>
    <w:rsid w:val="45C612D0"/>
    <w:rsid w:val="46031B0E"/>
    <w:rsid w:val="466B6BDE"/>
    <w:rsid w:val="46B0037D"/>
    <w:rsid w:val="471E0180"/>
    <w:rsid w:val="47993F16"/>
    <w:rsid w:val="47ED5839"/>
    <w:rsid w:val="48142DC6"/>
    <w:rsid w:val="48AA3F09"/>
    <w:rsid w:val="49B4264E"/>
    <w:rsid w:val="49DA0539"/>
    <w:rsid w:val="4A590F28"/>
    <w:rsid w:val="4A64138E"/>
    <w:rsid w:val="4AAC2BA9"/>
    <w:rsid w:val="4AB60988"/>
    <w:rsid w:val="4AB93CAB"/>
    <w:rsid w:val="4B736555"/>
    <w:rsid w:val="4C7958ED"/>
    <w:rsid w:val="4CE865CF"/>
    <w:rsid w:val="4CEE31C5"/>
    <w:rsid w:val="4DD239E9"/>
    <w:rsid w:val="4FA72737"/>
    <w:rsid w:val="501D0707"/>
    <w:rsid w:val="504B3267"/>
    <w:rsid w:val="50B74C36"/>
    <w:rsid w:val="50C57353"/>
    <w:rsid w:val="50D92DFE"/>
    <w:rsid w:val="523676EA"/>
    <w:rsid w:val="54155187"/>
    <w:rsid w:val="54752E3E"/>
    <w:rsid w:val="552C5E92"/>
    <w:rsid w:val="55DF67AD"/>
    <w:rsid w:val="57515907"/>
    <w:rsid w:val="57C95893"/>
    <w:rsid w:val="58980F42"/>
    <w:rsid w:val="5D3C6BEF"/>
    <w:rsid w:val="5DB73D2B"/>
    <w:rsid w:val="5E23086E"/>
    <w:rsid w:val="5E231B5D"/>
    <w:rsid w:val="5E783C56"/>
    <w:rsid w:val="5EE67C30"/>
    <w:rsid w:val="60316920"/>
    <w:rsid w:val="6062112C"/>
    <w:rsid w:val="60FE4679"/>
    <w:rsid w:val="61D27B22"/>
    <w:rsid w:val="61F239CD"/>
    <w:rsid w:val="637218F8"/>
    <w:rsid w:val="63876304"/>
    <w:rsid w:val="64763E74"/>
    <w:rsid w:val="64D0662B"/>
    <w:rsid w:val="651109DE"/>
    <w:rsid w:val="6556347B"/>
    <w:rsid w:val="658049F1"/>
    <w:rsid w:val="6650370B"/>
    <w:rsid w:val="676F20C1"/>
    <w:rsid w:val="69981B4C"/>
    <w:rsid w:val="6B472278"/>
    <w:rsid w:val="6BC8789F"/>
    <w:rsid w:val="6BD91127"/>
    <w:rsid w:val="6D3E1C39"/>
    <w:rsid w:val="6D515EC5"/>
    <w:rsid w:val="6DB56CBE"/>
    <w:rsid w:val="6F747077"/>
    <w:rsid w:val="700276D4"/>
    <w:rsid w:val="70F97040"/>
    <w:rsid w:val="72A9042B"/>
    <w:rsid w:val="72DF5E55"/>
    <w:rsid w:val="72E421C6"/>
    <w:rsid w:val="72F43D69"/>
    <w:rsid w:val="7329156C"/>
    <w:rsid w:val="740D53A5"/>
    <w:rsid w:val="740F3B71"/>
    <w:rsid w:val="743C4528"/>
    <w:rsid w:val="75607B71"/>
    <w:rsid w:val="76C23869"/>
    <w:rsid w:val="770B46B3"/>
    <w:rsid w:val="774F1BDA"/>
    <w:rsid w:val="789E2ABD"/>
    <w:rsid w:val="78F3488C"/>
    <w:rsid w:val="79874288"/>
    <w:rsid w:val="79E32474"/>
    <w:rsid w:val="7B2B3B67"/>
    <w:rsid w:val="7B66037D"/>
    <w:rsid w:val="7BC02E83"/>
    <w:rsid w:val="7C1F6EEA"/>
    <w:rsid w:val="7C775021"/>
    <w:rsid w:val="7CFD2584"/>
    <w:rsid w:val="7D146DE8"/>
    <w:rsid w:val="7DB66434"/>
    <w:rsid w:val="7E3D5278"/>
    <w:rsid w:val="7EC01DE0"/>
    <w:rsid w:val="ECF3CD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1"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qFormat="1" w:uiPriority="99"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rPr>
      <w:rFonts w:asciiTheme="minorHAnsi" w:hAnsiTheme="minorHAnsi" w:eastAsiaTheme="minorEastAsia" w:cstheme="minorBidi"/>
      <w:kern w:val="2"/>
      <w:sz w:val="21"/>
      <w:szCs w:val="22"/>
      <w:lang w:val="en-US" w:eastAsia="zh-CN" w:bidi="ar-SA"/>
    </w:rPr>
  </w:style>
  <w:style w:type="paragraph" w:styleId="2">
    <w:name w:val="heading 1"/>
    <w:basedOn w:val="1"/>
    <w:next w:val="1"/>
    <w:autoRedefine/>
    <w:qFormat/>
    <w:uiPriority w:val="9"/>
    <w:pPr>
      <w:keepNext/>
      <w:keepLines/>
      <w:spacing w:before="340" w:after="330" w:line="578" w:lineRule="auto"/>
      <w:outlineLvl w:val="0"/>
    </w:pPr>
    <w:rPr>
      <w:b/>
      <w:bCs/>
      <w:kern w:val="44"/>
      <w:sz w:val="44"/>
      <w:szCs w:val="44"/>
    </w:rPr>
  </w:style>
  <w:style w:type="paragraph" w:styleId="3">
    <w:name w:val="heading 2"/>
    <w:basedOn w:val="1"/>
    <w:next w:val="1"/>
    <w:autoRedefine/>
    <w:qFormat/>
    <w:uiPriority w:val="9"/>
    <w:pPr>
      <w:keepNext/>
      <w:keepLines/>
      <w:adjustRightInd/>
      <w:spacing w:line="240" w:lineRule="auto"/>
      <w:jc w:val="both"/>
      <w:textAlignment w:val="auto"/>
      <w:outlineLvl w:val="1"/>
    </w:pPr>
    <w:rPr>
      <w:rFonts w:ascii="Calibri Light" w:hAnsi="Calibri Light" w:eastAsia="楷体" w:cs="宋体"/>
      <w:b/>
      <w:bCs/>
      <w:kern w:val="2"/>
      <w:sz w:val="32"/>
      <w:szCs w:val="32"/>
    </w:rPr>
  </w:style>
  <w:style w:type="paragraph" w:styleId="4">
    <w:name w:val="heading 3"/>
    <w:basedOn w:val="1"/>
    <w:next w:val="1"/>
    <w:qFormat/>
    <w:uiPriority w:val="1"/>
    <w:pPr>
      <w:widowControl w:val="0"/>
      <w:adjustRightInd/>
      <w:snapToGrid/>
      <w:spacing w:after="0"/>
      <w:ind w:left="541" w:hanging="402"/>
      <w:jc w:val="both"/>
      <w:outlineLvl w:val="2"/>
    </w:pPr>
    <w:rPr>
      <w:rFonts w:ascii="黑体" w:hAnsi="黑体" w:eastAsia="黑体" w:cs="黑体"/>
      <w:kern w:val="2"/>
      <w:sz w:val="32"/>
      <w:szCs w:val="32"/>
      <w:lang w:val="zh-CN" w:bidi="zh-CN"/>
    </w:rPr>
  </w:style>
  <w:style w:type="character" w:default="1" w:styleId="19">
    <w:name w:val="Default Paragraph Font"/>
    <w:autoRedefine/>
    <w:semiHidden/>
    <w:unhideWhenUsed/>
    <w:qFormat/>
    <w:uiPriority w:val="1"/>
  </w:style>
  <w:style w:type="table" w:default="1" w:styleId="17">
    <w:name w:val="Normal Table"/>
    <w:autoRedefine/>
    <w:semiHidden/>
    <w:unhideWhenUsed/>
    <w:qFormat/>
    <w:uiPriority w:val="99"/>
    <w:tblPr>
      <w:tblCellMar>
        <w:top w:w="0" w:type="dxa"/>
        <w:left w:w="108" w:type="dxa"/>
        <w:bottom w:w="0" w:type="dxa"/>
        <w:right w:w="108" w:type="dxa"/>
      </w:tblCellMar>
    </w:tblPr>
  </w:style>
  <w:style w:type="paragraph" w:styleId="5">
    <w:name w:val="Normal Indent"/>
    <w:basedOn w:val="1"/>
    <w:autoRedefine/>
    <w:qFormat/>
    <w:uiPriority w:val="0"/>
    <w:pPr>
      <w:ind w:firstLine="420" w:firstLineChars="200"/>
    </w:pPr>
    <w:rPr>
      <w:rFonts w:eastAsia="宋体"/>
      <w:sz w:val="21"/>
    </w:rPr>
  </w:style>
  <w:style w:type="paragraph" w:styleId="6">
    <w:name w:val="annotation text"/>
    <w:basedOn w:val="1"/>
    <w:qFormat/>
    <w:uiPriority w:val="0"/>
    <w:pPr>
      <w:jc w:val="left"/>
    </w:pPr>
  </w:style>
  <w:style w:type="paragraph" w:styleId="7">
    <w:name w:val="Body Text"/>
    <w:basedOn w:val="1"/>
    <w:next w:val="1"/>
    <w:link w:val="28"/>
    <w:autoRedefine/>
    <w:qFormat/>
    <w:uiPriority w:val="1"/>
    <w:rPr>
      <w:rFonts w:ascii="宋体" w:hAnsi="宋体" w:eastAsia="宋体" w:cs="宋体"/>
      <w:sz w:val="32"/>
      <w:szCs w:val="32"/>
      <w:lang w:val="zh-CN" w:bidi="zh-CN"/>
    </w:rPr>
  </w:style>
  <w:style w:type="paragraph" w:styleId="8">
    <w:name w:val="Body Text Indent"/>
    <w:basedOn w:val="1"/>
    <w:next w:val="1"/>
    <w:autoRedefine/>
    <w:qFormat/>
    <w:uiPriority w:val="0"/>
    <w:pPr>
      <w:spacing w:line="500" w:lineRule="exact"/>
      <w:ind w:left="1588" w:leftChars="832" w:firstLine="433" w:firstLineChars="196"/>
    </w:pPr>
    <w:rPr>
      <w:sz w:val="24"/>
    </w:rPr>
  </w:style>
  <w:style w:type="paragraph" w:styleId="9">
    <w:name w:val="toc 3"/>
    <w:basedOn w:val="1"/>
    <w:next w:val="1"/>
    <w:autoRedefine/>
    <w:unhideWhenUsed/>
    <w:qFormat/>
    <w:uiPriority w:val="39"/>
    <w:pPr>
      <w:ind w:left="840" w:leftChars="400"/>
    </w:pPr>
  </w:style>
  <w:style w:type="paragraph" w:styleId="10">
    <w:name w:val="footer"/>
    <w:basedOn w:val="1"/>
    <w:link w:val="27"/>
    <w:autoRedefine/>
    <w:unhideWhenUsed/>
    <w:qFormat/>
    <w:uiPriority w:val="99"/>
    <w:pPr>
      <w:tabs>
        <w:tab w:val="center" w:pos="4153"/>
        <w:tab w:val="right" w:pos="8306"/>
      </w:tabs>
      <w:snapToGrid w:val="0"/>
    </w:pPr>
    <w:rPr>
      <w:sz w:val="18"/>
      <w:szCs w:val="18"/>
    </w:rPr>
  </w:style>
  <w:style w:type="paragraph" w:styleId="11">
    <w:name w:val="header"/>
    <w:basedOn w:val="1"/>
    <w:autoRedefine/>
    <w:unhideWhenUsed/>
    <w:qFormat/>
    <w:uiPriority w:val="99"/>
    <w:pPr>
      <w:tabs>
        <w:tab w:val="center" w:pos="4153"/>
        <w:tab w:val="right" w:pos="8306"/>
      </w:tabs>
      <w:snapToGrid w:val="0"/>
    </w:pPr>
    <w:rPr>
      <w:sz w:val="18"/>
      <w:szCs w:val="18"/>
    </w:rPr>
  </w:style>
  <w:style w:type="paragraph" w:styleId="12">
    <w:name w:val="toc 1"/>
    <w:basedOn w:val="1"/>
    <w:next w:val="1"/>
    <w:autoRedefine/>
    <w:qFormat/>
    <w:uiPriority w:val="39"/>
    <w:pPr>
      <w:tabs>
        <w:tab w:val="right" w:leader="dot" w:pos="8777"/>
      </w:tabs>
      <w:spacing w:line="360" w:lineRule="auto"/>
    </w:pPr>
    <w:rPr>
      <w:rFonts w:ascii="Times New Roman" w:hAnsi="Times New Roman" w:eastAsia="宋体" w:cs="Times New Roman"/>
      <w:szCs w:val="24"/>
    </w:rPr>
  </w:style>
  <w:style w:type="paragraph" w:styleId="13">
    <w:name w:val="toc 2"/>
    <w:basedOn w:val="1"/>
    <w:next w:val="1"/>
    <w:autoRedefine/>
    <w:unhideWhenUsed/>
    <w:qFormat/>
    <w:uiPriority w:val="39"/>
    <w:pPr>
      <w:ind w:left="420" w:leftChars="200"/>
    </w:pPr>
  </w:style>
  <w:style w:type="paragraph" w:styleId="14">
    <w:name w:val="Body Text 2"/>
    <w:basedOn w:val="1"/>
    <w:link w:val="26"/>
    <w:autoRedefine/>
    <w:unhideWhenUsed/>
    <w:qFormat/>
    <w:uiPriority w:val="99"/>
    <w:pPr>
      <w:adjustRightInd w:val="0"/>
      <w:spacing w:after="120" w:line="480" w:lineRule="auto"/>
      <w:textAlignment w:val="baseline"/>
    </w:pPr>
    <w:rPr>
      <w:rFonts w:ascii="Calibri" w:hAnsi="Calibri" w:eastAsia="宋体" w:cs="Calibri"/>
      <w:kern w:val="0"/>
      <w:sz w:val="24"/>
      <w:szCs w:val="24"/>
    </w:rPr>
  </w:style>
  <w:style w:type="paragraph" w:styleId="15">
    <w:name w:val="Normal (Web)"/>
    <w:basedOn w:val="1"/>
    <w:autoRedefine/>
    <w:qFormat/>
    <w:uiPriority w:val="99"/>
    <w:pPr>
      <w:spacing w:before="100" w:beforeAutospacing="1" w:after="100" w:afterAutospacing="1"/>
    </w:pPr>
    <w:rPr>
      <w:rFonts w:ascii="宋体" w:hAnsi="宋体" w:eastAsia="宋体" w:cs="Times New Roman"/>
      <w:kern w:val="0"/>
      <w:sz w:val="24"/>
      <w:szCs w:val="24"/>
    </w:rPr>
  </w:style>
  <w:style w:type="paragraph" w:styleId="16">
    <w:name w:val="Body Text First Indent 2"/>
    <w:basedOn w:val="8"/>
    <w:autoRedefine/>
    <w:qFormat/>
    <w:uiPriority w:val="0"/>
    <w:pPr>
      <w:spacing w:after="120" w:line="240" w:lineRule="auto"/>
      <w:ind w:left="420" w:leftChars="200" w:firstLine="420" w:firstLineChars="200"/>
    </w:pPr>
    <w:rPr>
      <w:sz w:val="21"/>
    </w:rPr>
  </w:style>
  <w:style w:type="table" w:styleId="18">
    <w:name w:val="Table Grid"/>
    <w:basedOn w:val="17"/>
    <w:autoRedefine/>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autoRedefine/>
    <w:qFormat/>
    <w:uiPriority w:val="22"/>
    <w:rPr>
      <w:b/>
      <w:bCs/>
    </w:rPr>
  </w:style>
  <w:style w:type="character" w:styleId="21">
    <w:name w:val="Hyperlink"/>
    <w:basedOn w:val="19"/>
    <w:autoRedefine/>
    <w:unhideWhenUsed/>
    <w:qFormat/>
    <w:uiPriority w:val="99"/>
    <w:rPr>
      <w:color w:val="0563C1" w:themeColor="hyperlink"/>
      <w:u w:val="single"/>
      <w14:textFill>
        <w14:solidFill>
          <w14:schemeClr w14:val="hlink"/>
        </w14:solidFill>
      </w14:textFill>
    </w:rPr>
  </w:style>
  <w:style w:type="paragraph" w:customStyle="1" w:styleId="22">
    <w:name w:val="Heading #1|1"/>
    <w:basedOn w:val="1"/>
    <w:autoRedefine/>
    <w:qFormat/>
    <w:uiPriority w:val="0"/>
    <w:pPr>
      <w:spacing w:after="100"/>
      <w:jc w:val="center"/>
      <w:outlineLvl w:val="0"/>
    </w:pPr>
    <w:rPr>
      <w:rFonts w:ascii="宋体" w:hAnsi="宋体" w:eastAsia="宋体" w:cs="宋体"/>
      <w:sz w:val="30"/>
      <w:szCs w:val="30"/>
      <w:lang w:val="zh-TW" w:eastAsia="zh-TW" w:bidi="zh-TW"/>
    </w:rPr>
  </w:style>
  <w:style w:type="paragraph" w:customStyle="1" w:styleId="23">
    <w:name w:val="Other|1"/>
    <w:basedOn w:val="1"/>
    <w:autoRedefine/>
    <w:qFormat/>
    <w:uiPriority w:val="0"/>
    <w:pPr>
      <w:ind w:firstLine="220"/>
    </w:pPr>
    <w:rPr>
      <w:rFonts w:ascii="宋体" w:hAnsi="宋体" w:eastAsia="宋体" w:cs="宋体"/>
      <w:sz w:val="20"/>
      <w:szCs w:val="20"/>
      <w:lang w:val="zh-TW" w:eastAsia="zh-TW" w:bidi="zh-TW"/>
    </w:rPr>
  </w:style>
  <w:style w:type="character" w:customStyle="1" w:styleId="24">
    <w:name w:val="font91"/>
    <w:basedOn w:val="19"/>
    <w:autoRedefine/>
    <w:qFormat/>
    <w:uiPriority w:val="0"/>
    <w:rPr>
      <w:rFonts w:hint="eastAsia" w:ascii="仿宋" w:hAnsi="仿宋" w:eastAsia="仿宋" w:cs="仿宋"/>
      <w:color w:val="000000"/>
      <w:sz w:val="18"/>
      <w:szCs w:val="18"/>
      <w:u w:val="none"/>
    </w:rPr>
  </w:style>
  <w:style w:type="character" w:customStyle="1" w:styleId="25">
    <w:name w:val="font61"/>
    <w:basedOn w:val="19"/>
    <w:autoRedefine/>
    <w:qFormat/>
    <w:uiPriority w:val="0"/>
    <w:rPr>
      <w:rFonts w:hint="eastAsia" w:ascii="黑体" w:hAnsi="宋体" w:eastAsia="黑体" w:cs="黑体"/>
      <w:color w:val="000000"/>
      <w:sz w:val="16"/>
      <w:szCs w:val="16"/>
      <w:u w:val="none"/>
    </w:rPr>
  </w:style>
  <w:style w:type="character" w:customStyle="1" w:styleId="26">
    <w:name w:val="正文文本 2 字符"/>
    <w:basedOn w:val="19"/>
    <w:link w:val="14"/>
    <w:autoRedefine/>
    <w:qFormat/>
    <w:uiPriority w:val="99"/>
    <w:rPr>
      <w:rFonts w:ascii="Calibri" w:hAnsi="Calibri" w:eastAsia="宋体" w:cs="Calibri"/>
      <w:sz w:val="24"/>
      <w:szCs w:val="24"/>
    </w:rPr>
  </w:style>
  <w:style w:type="character" w:customStyle="1" w:styleId="27">
    <w:name w:val="页脚 字符"/>
    <w:basedOn w:val="19"/>
    <w:link w:val="10"/>
    <w:autoRedefine/>
    <w:qFormat/>
    <w:uiPriority w:val="99"/>
    <w:rPr>
      <w:kern w:val="2"/>
      <w:sz w:val="18"/>
      <w:szCs w:val="18"/>
    </w:rPr>
  </w:style>
  <w:style w:type="character" w:customStyle="1" w:styleId="28">
    <w:name w:val="正文文本 字符"/>
    <w:basedOn w:val="19"/>
    <w:link w:val="7"/>
    <w:autoRedefine/>
    <w:qFormat/>
    <w:uiPriority w:val="1"/>
    <w:rPr>
      <w:rFonts w:ascii="宋体" w:hAnsi="宋体" w:eastAsia="宋体" w:cs="宋体"/>
      <w:kern w:val="2"/>
      <w:sz w:val="32"/>
      <w:szCs w:val="32"/>
      <w:lang w:val="zh-CN" w:bidi="zh-CN"/>
    </w:rPr>
  </w:style>
  <w:style w:type="paragraph" w:customStyle="1" w:styleId="29">
    <w:name w:val="TOC Heading"/>
    <w:basedOn w:val="2"/>
    <w:next w:val="1"/>
    <w:autoRedefine/>
    <w:unhideWhenUsed/>
    <w:qFormat/>
    <w:uiPriority w:val="39"/>
    <w:pPr>
      <w:spacing w:before="240" w:after="0" w:line="259" w:lineRule="auto"/>
      <w:outlineLvl w:val="9"/>
    </w:pPr>
    <w:rPr>
      <w:rFonts w:asciiTheme="majorHAnsi" w:hAnsiTheme="majorHAnsi" w:eastAsiaTheme="majorEastAsia" w:cstheme="majorBidi"/>
      <w:b w:val="0"/>
      <w:bCs w:val="0"/>
      <w:color w:val="2E75B6" w:themeColor="accent1" w:themeShade="BF"/>
      <w:kern w:val="0"/>
      <w:sz w:val="32"/>
      <w:szCs w:val="32"/>
    </w:rPr>
  </w:style>
  <w:style w:type="paragraph" w:customStyle="1" w:styleId="30">
    <w:name w:val="WPSOffice手动目录 1"/>
    <w:autoRedefine/>
    <w:qFormat/>
    <w:uiPriority w:val="0"/>
    <w:pPr>
      <w:ind w:leftChars="0"/>
    </w:pPr>
    <w:rPr>
      <w:rFonts w:ascii="Times New Roman" w:hAnsi="Times New Roman" w:eastAsia="宋体" w:cs="Times New Roman"/>
      <w:sz w:val="20"/>
      <w:szCs w:val="20"/>
    </w:rPr>
  </w:style>
  <w:style w:type="paragraph" w:customStyle="1" w:styleId="31">
    <w:name w:val="WPSOffice手动目录 2"/>
    <w:autoRedefine/>
    <w:qFormat/>
    <w:uiPriority w:val="0"/>
    <w:pPr>
      <w:ind w:leftChars="200"/>
    </w:pPr>
    <w:rPr>
      <w:rFonts w:ascii="Times New Roman" w:hAnsi="Times New Roman" w:eastAsia="宋体" w:cs="Times New Roman"/>
      <w:sz w:val="20"/>
      <w:szCs w:val="20"/>
    </w:rPr>
  </w:style>
  <w:style w:type="paragraph" w:customStyle="1" w:styleId="32">
    <w:name w:val="WPSOffice手动目录 3"/>
    <w:autoRedefine/>
    <w:qFormat/>
    <w:uiPriority w:val="0"/>
    <w:pPr>
      <w:ind w:leftChars="400"/>
    </w:pPr>
    <w:rPr>
      <w:rFonts w:ascii="Times New Roman" w:hAnsi="Times New Roman" w:eastAsia="宋体" w:cs="Times New Roman"/>
      <w:sz w:val="20"/>
      <w:szCs w:val="20"/>
    </w:rPr>
  </w:style>
  <w:style w:type="paragraph" w:customStyle="1" w:styleId="33">
    <w:name w:val="BodyText1I2"/>
    <w:basedOn w:val="34"/>
    <w:autoRedefine/>
    <w:qFormat/>
    <w:uiPriority w:val="0"/>
    <w:pPr>
      <w:spacing w:after="0"/>
      <w:ind w:left="0" w:leftChars="0" w:firstLine="420" w:firstLineChars="200"/>
    </w:pPr>
    <w:rPr>
      <w:rFonts w:ascii="宋体" w:hAnsi="宋体"/>
      <w:sz w:val="28"/>
      <w:szCs w:val="28"/>
    </w:rPr>
  </w:style>
  <w:style w:type="paragraph" w:customStyle="1" w:styleId="34">
    <w:name w:val="BodyTextIndent"/>
    <w:basedOn w:val="1"/>
    <w:autoRedefine/>
    <w:qFormat/>
    <w:uiPriority w:val="0"/>
    <w:pPr>
      <w:spacing w:after="120"/>
      <w:ind w:left="420" w:leftChars="200"/>
      <w:textAlignment w:val="baseline"/>
    </w:pPr>
  </w:style>
  <w:style w:type="paragraph" w:customStyle="1" w:styleId="35">
    <w:name w:val="Table Text"/>
    <w:basedOn w:val="1"/>
    <w:autoRedefine/>
    <w:semiHidden/>
    <w:qFormat/>
    <w:uiPriority w:val="0"/>
    <w:rPr>
      <w:rFonts w:ascii="仿宋" w:hAnsi="仿宋" w:eastAsia="仿宋" w:cs="仿宋"/>
      <w:sz w:val="24"/>
      <w:szCs w:val="24"/>
      <w:lang w:val="en-US" w:eastAsia="en-US" w:bidi="ar-SA"/>
    </w:rPr>
  </w:style>
  <w:style w:type="table" w:customStyle="1" w:styleId="36">
    <w:name w:val="Table Normal"/>
    <w:autoRedefine/>
    <w:semiHidden/>
    <w:unhideWhenUsed/>
    <w:qFormat/>
    <w:uiPriority w:val="0"/>
    <w:tblPr>
      <w:tblCellMar>
        <w:top w:w="0" w:type="dxa"/>
        <w:left w:w="0" w:type="dxa"/>
        <w:bottom w:w="0" w:type="dxa"/>
        <w:right w:w="0" w:type="dxa"/>
      </w:tblCellMar>
    </w:tblPr>
  </w:style>
  <w:style w:type="paragraph" w:customStyle="1" w:styleId="37">
    <w:name w:val="List Paragraph"/>
    <w:qFormat/>
    <w:uiPriority w:val="34"/>
    <w:pPr>
      <w:widowControl w:val="0"/>
      <w:ind w:firstLine="420" w:firstLineChars="200"/>
      <w:jc w:val="both"/>
    </w:pPr>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jpeg"/><Relationship Id="rId18" Type="http://schemas.openxmlformats.org/officeDocument/2006/relationships/image" Target="media/image4.jpeg"/><Relationship Id="rId17" Type="http://schemas.openxmlformats.org/officeDocument/2006/relationships/image" Target="media/image3.jpeg"/><Relationship Id="rId16" Type="http://schemas.openxmlformats.org/officeDocument/2006/relationships/image" Target="media/image2.png"/><Relationship Id="rId15" Type="http://schemas.openxmlformats.org/officeDocument/2006/relationships/theme" Target="theme/theme1.xml"/><Relationship Id="rId14" Type="http://schemas.openxmlformats.org/officeDocument/2006/relationships/footer" Target="footer6.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50</Pages>
  <Words>2928</Words>
  <Characters>3066</Characters>
  <Lines>168</Lines>
  <Paragraphs>47</Paragraphs>
  <TotalTime>35</TotalTime>
  <ScaleCrop>false</ScaleCrop>
  <LinksUpToDate>false</LinksUpToDate>
  <CharactersWithSpaces>3214</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2023-03-07T14:22:00Z</dcterms:created>
  <dc:creator>Administrator</dc:creator>
  <cp:lastModifiedBy>Day丶17</cp:lastModifiedBy>
  <cp:lastPrinted>2025-09-02T09:53:00Z</cp:lastPrinted>
  <dcterms:modified xsi:type="dcterms:W3CDTF">2026-07-20T01:19:36Z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C4EAB54ADA8149D0941C96A97293E98D_13</vt:lpwstr>
  </property>
  <property fmtid="{D5CDD505-2E9C-101B-9397-08002B2CF9AE}" pid="4" name="KSOTemplateDocerSaveRecord">
    <vt:lpwstr>eyJoZGlkIjoiZDI1YTc4ZGRlZTE4ZWFlMjI5YmQ4MzczOGY3NmZhOGMiLCJ1c2VySWQiOiI0Njc0NjIyMzcifQ==</vt:lpwstr>
  </property>
</Properties>
</file>