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7"/>
        <w:tblW w:w="0" w:type="auto"/>
        <w:jc w:val="center"/>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522"/>
      </w:tblGrid>
      <w:tr w14:paraId="6C9693C6">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676" w:hRule="atLeast"/>
          <w:jc w:val="center"/>
        </w:trPr>
        <w:tc>
          <w:tcPr>
            <w:tcW w:w="8522" w:type="dxa"/>
            <w:vAlign w:val="center"/>
          </w:tcPr>
          <w:p w14:paraId="44921B8C">
            <w:pPr>
              <w:jc w:val="center"/>
            </w:pPr>
            <w:r>
              <w:rPr>
                <w:rFonts w:hint="eastAsia"/>
              </w:rPr>
              <w:drawing>
                <wp:inline distT="0" distB="0" distL="114300" distR="114300">
                  <wp:extent cx="1913255" cy="1915795"/>
                  <wp:effectExtent l="0" t="0" r="6985" b="4445"/>
                  <wp:docPr id="49" name="图片 49" descr="dc1f9523b3904ead08136ab3a6640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dc1f9523b3904ead08136ab3a66403a"/>
                          <pic:cNvPicPr>
                            <a:picLocks noChangeAspect="1"/>
                          </pic:cNvPicPr>
                        </pic:nvPicPr>
                        <pic:blipFill>
                          <a:blip r:embed="rId23"/>
                          <a:stretch>
                            <a:fillRect/>
                          </a:stretch>
                        </pic:blipFill>
                        <pic:spPr>
                          <a:xfrm>
                            <a:off x="0" y="0"/>
                            <a:ext cx="1917869" cy="1919948"/>
                          </a:xfrm>
                          <a:prstGeom prst="rect">
                            <a:avLst/>
                          </a:prstGeom>
                        </pic:spPr>
                      </pic:pic>
                    </a:graphicData>
                  </a:graphic>
                </wp:inline>
              </w:drawing>
            </w:r>
          </w:p>
        </w:tc>
      </w:tr>
    </w:tbl>
    <w:p w14:paraId="725DB494"/>
    <w:tbl>
      <w:tblPr>
        <w:tblStyle w:val="17"/>
        <w:tblW w:w="0" w:type="auto"/>
        <w:jc w:val="center"/>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522"/>
      </w:tblGrid>
      <w:tr w14:paraId="4630ECB0">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820" w:hRule="atLeast"/>
          <w:jc w:val="center"/>
        </w:trPr>
        <w:tc>
          <w:tcPr>
            <w:tcW w:w="8522" w:type="dxa"/>
            <w:vAlign w:val="center"/>
          </w:tcPr>
          <w:p w14:paraId="1503BF0E">
            <w:pPr>
              <w:jc w:val="center"/>
              <w:rPr>
                <w:rFonts w:hint="eastAsia" w:ascii="方正小标宋简体" w:hAnsi="仿宋" w:eastAsia="方正小标宋简体"/>
                <w:b/>
                <w:color w:val="auto"/>
                <w:sz w:val="52"/>
                <w:szCs w:val="52"/>
                <w:lang w:val="en-US" w:eastAsia="zh-CN"/>
              </w:rPr>
            </w:pPr>
            <w:r>
              <w:rPr>
                <w:rFonts w:hint="eastAsia" w:ascii="方正小标宋简体" w:hAnsi="仿宋" w:eastAsia="方正小标宋简体"/>
                <w:b/>
                <w:color w:val="auto"/>
                <w:sz w:val="52"/>
                <w:szCs w:val="52"/>
                <w:lang w:val="en-US" w:eastAsia="zh-CN"/>
              </w:rPr>
              <w:t>石狮市殡葬服务所减免基本殡葬</w:t>
            </w:r>
          </w:p>
          <w:p w14:paraId="023C8267">
            <w:pPr>
              <w:jc w:val="center"/>
              <w:rPr>
                <w:rFonts w:hint="default" w:eastAsiaTheme="minorEastAsia"/>
                <w:color w:val="auto"/>
                <w:lang w:val="en-US" w:eastAsia="zh-CN"/>
              </w:rPr>
            </w:pPr>
            <w:r>
              <w:rPr>
                <w:rFonts w:hint="eastAsia" w:ascii="方正小标宋简体" w:hAnsi="仿宋" w:eastAsia="方正小标宋简体"/>
                <w:b/>
                <w:color w:val="auto"/>
                <w:sz w:val="52"/>
                <w:szCs w:val="52"/>
                <w:lang w:val="en-US" w:eastAsia="zh-CN"/>
              </w:rPr>
              <w:t>服务费专项</w:t>
            </w:r>
          </w:p>
        </w:tc>
      </w:tr>
    </w:tbl>
    <w:p w14:paraId="17DD9107">
      <w:pPr>
        <w:rPr>
          <w:color w:val="auto"/>
        </w:rPr>
      </w:pPr>
    </w:p>
    <w:tbl>
      <w:tblPr>
        <w:tblStyle w:val="1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662"/>
      </w:tblGrid>
      <w:tr w14:paraId="37128B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5" w:hRule="atLeast"/>
          <w:jc w:val="center"/>
        </w:trPr>
        <w:tc>
          <w:tcPr>
            <w:tcW w:w="6662" w:type="dxa"/>
            <w:vAlign w:val="center"/>
          </w:tcPr>
          <w:p w14:paraId="163A632C">
            <w:pPr>
              <w:jc w:val="distribute"/>
              <w:rPr>
                <w:rFonts w:hint="eastAsia" w:ascii="方正粗黑宋简体" w:hAnsi="方正粗黑宋简体" w:eastAsia="方正粗黑宋简体" w:cs="Arial"/>
                <w:color w:val="auto"/>
                <w:sz w:val="72"/>
                <w:szCs w:val="72"/>
                <w:lang w:val="en-US" w:eastAsia="zh-CN"/>
              </w:rPr>
            </w:pPr>
            <w:r>
              <w:rPr>
                <w:rFonts w:hint="eastAsia" w:ascii="方正粗黑宋简体" w:hAnsi="方正粗黑宋简体" w:eastAsia="方正粗黑宋简体" w:cs="Arial"/>
                <w:color w:val="auto"/>
                <w:sz w:val="72"/>
                <w:szCs w:val="72"/>
              </w:rPr>
              <w:t>绩效评价</w:t>
            </w:r>
            <w:r>
              <w:rPr>
                <w:rFonts w:hint="eastAsia" w:ascii="方正粗黑宋简体" w:hAnsi="方正粗黑宋简体" w:eastAsia="方正粗黑宋简体" w:cs="Arial"/>
                <w:color w:val="auto"/>
                <w:sz w:val="72"/>
                <w:szCs w:val="72"/>
                <w:lang w:val="en-US" w:eastAsia="zh-CN"/>
              </w:rPr>
              <w:t>报告</w:t>
            </w:r>
          </w:p>
        </w:tc>
      </w:tr>
    </w:tbl>
    <w:p w14:paraId="6F185670">
      <w:pPr>
        <w:rPr>
          <w:color w:val="auto"/>
        </w:rPr>
      </w:pPr>
    </w:p>
    <w:p w14:paraId="3D85E6B1">
      <w:pPr>
        <w:jc w:val="center"/>
        <w:rPr>
          <w:rFonts w:hint="eastAsia" w:ascii="仿宋_GB2312" w:hAnsi="仿宋_GB2312" w:eastAsia="仿宋_GB2312" w:cs="仿宋_GB2312"/>
          <w:color w:val="auto"/>
          <w:sz w:val="28"/>
          <w:szCs w:val="28"/>
          <w:lang w:val="en-US" w:eastAsia="zh-CN"/>
        </w:rPr>
      </w:pPr>
      <w:r>
        <w:rPr>
          <w:rFonts w:hint="eastAsia" w:ascii="仿宋_GB2312" w:hAnsi="仿宋_GB2312" w:eastAsia="仿宋_GB2312" w:cs="仿宋_GB2312"/>
          <w:color w:val="auto"/>
          <w:sz w:val="28"/>
          <w:szCs w:val="28"/>
          <w:lang w:val="en-US" w:eastAsia="zh-CN"/>
        </w:rPr>
        <w:t>（修订稿）</w:t>
      </w:r>
    </w:p>
    <w:p w14:paraId="344090B2">
      <w:pPr>
        <w:rPr>
          <w:color w:val="auto"/>
        </w:rPr>
      </w:pPr>
    </w:p>
    <w:tbl>
      <w:tblPr>
        <w:tblStyle w:val="1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196"/>
        <w:gridCol w:w="1725"/>
        <w:gridCol w:w="4469"/>
        <w:gridCol w:w="1132"/>
      </w:tblGrid>
      <w:tr w14:paraId="774447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1196" w:type="dxa"/>
          </w:tcPr>
          <w:p w14:paraId="63784FA5">
            <w:pPr>
              <w:rPr>
                <w:color w:val="auto"/>
              </w:rPr>
            </w:pPr>
          </w:p>
        </w:tc>
        <w:tc>
          <w:tcPr>
            <w:tcW w:w="1725" w:type="dxa"/>
            <w:vAlign w:val="center"/>
          </w:tcPr>
          <w:p w14:paraId="4AB3F89C">
            <w:pPr>
              <w:jc w:val="center"/>
              <w:rPr>
                <w:rFonts w:ascii="楷体_GB2312" w:hAnsi="仿宋" w:eastAsia="楷体_GB2312" w:cs="仿宋"/>
                <w:b/>
                <w:color w:val="auto"/>
                <w:kern w:val="0"/>
                <w:sz w:val="32"/>
                <w:szCs w:val="32"/>
                <w:lang w:val="zh-CN" w:bidi="zh-CN"/>
              </w:rPr>
            </w:pPr>
            <w:r>
              <w:rPr>
                <w:rFonts w:ascii="楷体_GB2312" w:hAnsi="仿宋" w:eastAsia="楷体_GB2312" w:cs="仿宋"/>
                <w:b/>
                <w:color w:val="auto"/>
                <w:kern w:val="0"/>
                <w:sz w:val="32"/>
                <w:szCs w:val="32"/>
                <w:lang w:val="zh-CN" w:bidi="zh-CN"/>
              </w:rPr>
              <w:t>委托单位</w:t>
            </w:r>
            <w:r>
              <w:rPr>
                <w:rFonts w:hint="eastAsia" w:ascii="楷体_GB2312" w:hAnsi="仿宋" w:eastAsia="楷体_GB2312" w:cs="仿宋"/>
                <w:b/>
                <w:color w:val="auto"/>
                <w:kern w:val="0"/>
                <w:sz w:val="32"/>
                <w:szCs w:val="32"/>
                <w:lang w:val="zh-CN" w:bidi="zh-CN"/>
              </w:rPr>
              <w:t>：</w:t>
            </w:r>
          </w:p>
        </w:tc>
        <w:tc>
          <w:tcPr>
            <w:tcW w:w="4469" w:type="dxa"/>
            <w:vAlign w:val="center"/>
          </w:tcPr>
          <w:p w14:paraId="05AE0633">
            <w:pPr>
              <w:jc w:val="both"/>
              <w:rPr>
                <w:rFonts w:ascii="楷体_GB2312" w:hAnsi="仿宋" w:eastAsia="楷体_GB2312" w:cs="仿宋"/>
                <w:b/>
                <w:color w:val="auto"/>
                <w:kern w:val="0"/>
                <w:sz w:val="32"/>
                <w:szCs w:val="32"/>
                <w:lang w:val="zh-CN" w:bidi="zh-CN"/>
              </w:rPr>
            </w:pPr>
            <w:r>
              <w:rPr>
                <w:rFonts w:hint="eastAsia" w:ascii="楷体_GB2312" w:hAnsi="仿宋" w:eastAsia="楷体_GB2312" w:cs="仿宋"/>
                <w:b/>
                <w:color w:val="auto"/>
                <w:kern w:val="0"/>
                <w:sz w:val="32"/>
                <w:szCs w:val="32"/>
                <w:lang w:val="zh-CN" w:bidi="zh-CN"/>
              </w:rPr>
              <w:t>石狮市财政局</w:t>
            </w:r>
          </w:p>
        </w:tc>
        <w:tc>
          <w:tcPr>
            <w:tcW w:w="1132" w:type="dxa"/>
          </w:tcPr>
          <w:p w14:paraId="1B31135F">
            <w:pPr>
              <w:rPr>
                <w:color w:val="auto"/>
              </w:rPr>
            </w:pPr>
          </w:p>
        </w:tc>
      </w:tr>
      <w:tr w14:paraId="5DDE0D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1196" w:type="dxa"/>
          </w:tcPr>
          <w:p w14:paraId="26CDC6FD">
            <w:pPr>
              <w:rPr>
                <w:color w:val="auto"/>
              </w:rPr>
            </w:pPr>
          </w:p>
        </w:tc>
        <w:tc>
          <w:tcPr>
            <w:tcW w:w="1725" w:type="dxa"/>
            <w:vAlign w:val="center"/>
          </w:tcPr>
          <w:p w14:paraId="02C427A5">
            <w:pPr>
              <w:jc w:val="center"/>
              <w:rPr>
                <w:rFonts w:ascii="楷体_GB2312" w:hAnsi="仿宋" w:eastAsia="楷体_GB2312" w:cs="仿宋"/>
                <w:b/>
                <w:color w:val="auto"/>
                <w:kern w:val="0"/>
                <w:sz w:val="32"/>
                <w:szCs w:val="32"/>
                <w:lang w:val="zh-CN" w:bidi="zh-CN"/>
              </w:rPr>
            </w:pPr>
            <w:r>
              <w:rPr>
                <w:rFonts w:ascii="楷体_GB2312" w:hAnsi="仿宋" w:eastAsia="楷体_GB2312" w:cs="仿宋"/>
                <w:b/>
                <w:color w:val="auto"/>
                <w:kern w:val="0"/>
                <w:sz w:val="32"/>
                <w:szCs w:val="32"/>
                <w:lang w:val="zh-CN" w:bidi="zh-CN"/>
              </w:rPr>
              <w:t>实施单位</w:t>
            </w:r>
            <w:r>
              <w:rPr>
                <w:rFonts w:hint="eastAsia" w:ascii="楷体_GB2312" w:hAnsi="仿宋" w:eastAsia="楷体_GB2312" w:cs="仿宋"/>
                <w:b/>
                <w:color w:val="auto"/>
                <w:kern w:val="0"/>
                <w:sz w:val="32"/>
                <w:szCs w:val="32"/>
                <w:lang w:val="zh-CN" w:bidi="zh-CN"/>
              </w:rPr>
              <w:t>：</w:t>
            </w:r>
          </w:p>
        </w:tc>
        <w:tc>
          <w:tcPr>
            <w:tcW w:w="4469" w:type="dxa"/>
            <w:vAlign w:val="center"/>
          </w:tcPr>
          <w:p w14:paraId="35D96204">
            <w:pPr>
              <w:jc w:val="both"/>
              <w:rPr>
                <w:rFonts w:ascii="楷体_GB2312" w:hAnsi="仿宋" w:eastAsia="楷体_GB2312" w:cs="仿宋"/>
                <w:b/>
                <w:color w:val="auto"/>
                <w:kern w:val="0"/>
                <w:sz w:val="32"/>
                <w:szCs w:val="32"/>
                <w:lang w:val="zh-CN" w:bidi="zh-CN"/>
              </w:rPr>
            </w:pPr>
            <w:r>
              <w:rPr>
                <w:rFonts w:hint="eastAsia" w:ascii="楷体_GB2312" w:hAnsi="仿宋" w:eastAsia="楷体_GB2312" w:cs="仿宋"/>
                <w:b/>
                <w:color w:val="auto"/>
                <w:kern w:val="0"/>
                <w:sz w:val="32"/>
                <w:szCs w:val="32"/>
                <w:lang w:val="zh-CN" w:bidi="zh-CN"/>
              </w:rPr>
              <w:t>石狮市殡葬服务所</w:t>
            </w:r>
          </w:p>
        </w:tc>
        <w:tc>
          <w:tcPr>
            <w:tcW w:w="1132" w:type="dxa"/>
          </w:tcPr>
          <w:p w14:paraId="164CC999">
            <w:pPr>
              <w:rPr>
                <w:color w:val="auto"/>
              </w:rPr>
            </w:pPr>
          </w:p>
        </w:tc>
      </w:tr>
      <w:tr w14:paraId="058425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1196" w:type="dxa"/>
          </w:tcPr>
          <w:p w14:paraId="08AF968A">
            <w:pPr>
              <w:rPr>
                <w:color w:val="auto"/>
              </w:rPr>
            </w:pPr>
          </w:p>
        </w:tc>
        <w:tc>
          <w:tcPr>
            <w:tcW w:w="1725" w:type="dxa"/>
            <w:vAlign w:val="center"/>
          </w:tcPr>
          <w:p w14:paraId="67F15370">
            <w:pPr>
              <w:jc w:val="center"/>
              <w:rPr>
                <w:rFonts w:ascii="楷体_GB2312" w:hAnsi="仿宋" w:eastAsia="楷体_GB2312" w:cs="仿宋"/>
                <w:b/>
                <w:color w:val="auto"/>
                <w:kern w:val="0"/>
                <w:sz w:val="32"/>
                <w:szCs w:val="32"/>
                <w:lang w:val="zh-CN" w:bidi="zh-CN"/>
              </w:rPr>
            </w:pPr>
            <w:r>
              <w:rPr>
                <w:rFonts w:ascii="楷体_GB2312" w:hAnsi="仿宋" w:eastAsia="楷体_GB2312" w:cs="仿宋"/>
                <w:b/>
                <w:color w:val="auto"/>
                <w:kern w:val="0"/>
                <w:sz w:val="32"/>
                <w:szCs w:val="32"/>
                <w:lang w:val="zh-CN" w:bidi="zh-CN"/>
              </w:rPr>
              <w:t>编制单位</w:t>
            </w:r>
            <w:r>
              <w:rPr>
                <w:rFonts w:hint="eastAsia" w:ascii="楷体_GB2312" w:hAnsi="仿宋" w:eastAsia="楷体_GB2312" w:cs="仿宋"/>
                <w:b/>
                <w:color w:val="auto"/>
                <w:kern w:val="0"/>
                <w:sz w:val="32"/>
                <w:szCs w:val="32"/>
                <w:lang w:val="zh-CN" w:bidi="zh-CN"/>
              </w:rPr>
              <w:t>：</w:t>
            </w:r>
          </w:p>
        </w:tc>
        <w:tc>
          <w:tcPr>
            <w:tcW w:w="4469" w:type="dxa"/>
            <w:vAlign w:val="center"/>
          </w:tcPr>
          <w:p w14:paraId="5D74C5E7">
            <w:pPr>
              <w:jc w:val="both"/>
              <w:rPr>
                <w:rFonts w:hint="default" w:ascii="楷体_GB2312" w:hAnsi="仿宋" w:eastAsia="楷体_GB2312" w:cs="仿宋"/>
                <w:b/>
                <w:color w:val="auto"/>
                <w:kern w:val="0"/>
                <w:sz w:val="32"/>
                <w:szCs w:val="32"/>
                <w:lang w:val="en-US" w:bidi="zh-CN"/>
              </w:rPr>
            </w:pPr>
            <w:r>
              <w:rPr>
                <w:rFonts w:ascii="楷体_GB2312" w:hAnsi="仿宋" w:eastAsia="楷体_GB2312" w:cs="仿宋"/>
                <w:b/>
                <w:color w:val="auto"/>
                <w:kern w:val="0"/>
                <w:sz w:val="32"/>
                <w:szCs w:val="32"/>
                <w:lang w:val="zh-CN" w:bidi="zh-CN"/>
              </w:rPr>
              <w:t>泉州市招标咨询中心</w:t>
            </w:r>
            <w:r>
              <w:rPr>
                <w:rFonts w:hint="eastAsia" w:ascii="楷体_GB2312" w:hAnsi="仿宋" w:eastAsia="楷体_GB2312" w:cs="仿宋"/>
                <w:b/>
                <w:color w:val="auto"/>
                <w:kern w:val="0"/>
                <w:sz w:val="32"/>
                <w:szCs w:val="32"/>
                <w:lang w:val="en-US" w:bidi="zh-CN"/>
              </w:rPr>
              <w:t>有限公司</w:t>
            </w:r>
          </w:p>
        </w:tc>
        <w:tc>
          <w:tcPr>
            <w:tcW w:w="1132" w:type="dxa"/>
          </w:tcPr>
          <w:p w14:paraId="6F51A7CA">
            <w:pPr>
              <w:rPr>
                <w:color w:val="auto"/>
              </w:rPr>
            </w:pPr>
          </w:p>
        </w:tc>
      </w:tr>
    </w:tbl>
    <w:p w14:paraId="29D3BFC2">
      <w:pPr>
        <w:rPr>
          <w:color w:val="auto"/>
        </w:rPr>
      </w:pPr>
    </w:p>
    <w:p w14:paraId="1A551F48">
      <w:pPr>
        <w:rPr>
          <w:color w:val="auto"/>
        </w:rPr>
      </w:pPr>
    </w:p>
    <w:tbl>
      <w:tblPr>
        <w:tblStyle w:val="17"/>
        <w:tblW w:w="0" w:type="auto"/>
        <w:jc w:val="center"/>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522"/>
      </w:tblGrid>
      <w:tr w14:paraId="5AFE4618">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16" w:hRule="atLeast"/>
          <w:jc w:val="center"/>
        </w:trPr>
        <w:tc>
          <w:tcPr>
            <w:tcW w:w="8522" w:type="dxa"/>
            <w:vAlign w:val="center"/>
          </w:tcPr>
          <w:p w14:paraId="5FE78685">
            <w:pPr>
              <w:jc w:val="center"/>
              <w:rPr>
                <w:color w:val="auto"/>
              </w:rPr>
            </w:pPr>
            <w:r>
              <w:rPr>
                <w:rFonts w:hint="eastAsia" w:ascii="楷体_GB2312" w:hAnsi="仿宋" w:eastAsia="楷体_GB2312" w:cs="仿宋"/>
                <w:b/>
                <w:color w:val="auto"/>
                <w:kern w:val="0"/>
                <w:sz w:val="32"/>
                <w:szCs w:val="32"/>
                <w:lang w:val="zh-CN" w:bidi="zh-CN"/>
              </w:rPr>
              <w:t>202</w:t>
            </w:r>
            <w:r>
              <w:rPr>
                <w:rFonts w:hint="eastAsia" w:ascii="楷体_GB2312" w:hAnsi="仿宋" w:eastAsia="楷体_GB2312" w:cs="仿宋"/>
                <w:b/>
                <w:color w:val="auto"/>
                <w:kern w:val="0"/>
                <w:sz w:val="32"/>
                <w:szCs w:val="32"/>
                <w:lang w:val="en-US" w:bidi="zh-CN"/>
              </w:rPr>
              <w:t>5</w:t>
            </w:r>
            <w:r>
              <w:rPr>
                <w:rFonts w:hint="eastAsia" w:ascii="楷体_GB2312" w:hAnsi="仿宋" w:eastAsia="楷体_GB2312" w:cs="仿宋"/>
                <w:b/>
                <w:color w:val="auto"/>
                <w:kern w:val="0"/>
                <w:sz w:val="32"/>
                <w:szCs w:val="32"/>
                <w:lang w:val="zh-CN" w:bidi="zh-CN"/>
              </w:rPr>
              <w:t>年</w:t>
            </w:r>
            <w:r>
              <w:rPr>
                <w:rFonts w:hint="eastAsia" w:ascii="楷体_GB2312" w:hAnsi="仿宋" w:eastAsia="楷体_GB2312" w:cs="仿宋"/>
                <w:b/>
                <w:color w:val="auto"/>
                <w:kern w:val="0"/>
                <w:sz w:val="32"/>
                <w:szCs w:val="32"/>
                <w:lang w:val="en-US" w:bidi="zh-CN"/>
              </w:rPr>
              <w:t>8</w:t>
            </w:r>
            <w:r>
              <w:rPr>
                <w:rFonts w:hint="eastAsia" w:ascii="楷体_GB2312" w:hAnsi="仿宋" w:eastAsia="楷体_GB2312" w:cs="仿宋"/>
                <w:b/>
                <w:color w:val="auto"/>
                <w:kern w:val="0"/>
                <w:sz w:val="32"/>
                <w:szCs w:val="32"/>
                <w:lang w:val="zh-CN" w:bidi="zh-CN"/>
              </w:rPr>
              <w:t>月</w:t>
            </w:r>
          </w:p>
        </w:tc>
      </w:tr>
    </w:tbl>
    <w:p w14:paraId="56FA1A6B"/>
    <w:p w14:paraId="37A2B2B3">
      <w:pPr>
        <w:pStyle w:val="15"/>
        <w:keepNext w:val="0"/>
        <w:keepLines w:val="0"/>
        <w:pageBreakBefore w:val="0"/>
        <w:widowControl w:val="0"/>
        <w:kinsoku/>
        <w:wordWrap/>
        <w:overflowPunct/>
        <w:topLinePunct w:val="0"/>
        <w:autoSpaceDE/>
        <w:autoSpaceDN/>
        <w:bidi w:val="0"/>
        <w:adjustRightInd/>
        <w:snapToGrid/>
        <w:spacing w:after="0" w:line="240" w:lineRule="auto"/>
        <w:ind w:left="0" w:leftChars="0" w:right="0" w:firstLine="0" w:firstLineChars="0"/>
        <w:jc w:val="center"/>
        <w:textAlignment w:val="auto"/>
        <w:rPr>
          <w:rFonts w:hint="eastAsia" w:ascii="仿宋" w:hAnsi="仿宋" w:eastAsia="仿宋" w:cs="仿宋"/>
          <w:b/>
          <w:color w:val="auto"/>
          <w:kern w:val="2"/>
          <w:sz w:val="44"/>
          <w:szCs w:val="44"/>
          <w:highlight w:val="none"/>
          <w:lang w:val="en-US" w:eastAsia="zh-CN" w:bidi="ar-SA"/>
        </w:rPr>
        <w:sectPr>
          <w:headerReference r:id="rId3" w:type="default"/>
          <w:footerReference r:id="rId5" w:type="default"/>
          <w:headerReference r:id="rId4" w:type="even"/>
          <w:pgSz w:w="11906" w:h="16838"/>
          <w:pgMar w:top="1417" w:right="1304" w:bottom="1417" w:left="130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65BFA6D6">
      <w:pPr>
        <w:rPr>
          <w:rFonts w:hint="eastAsia"/>
          <w:lang w:val="en-US" w:eastAsia="zh-CN"/>
        </w:rPr>
        <w:sectPr>
          <w:headerReference r:id="rId6" w:type="even"/>
          <w:pgSz w:w="11906" w:h="16838"/>
          <w:pgMar w:top="1417" w:right="1304" w:bottom="1417" w:left="130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255F0D48">
      <w:pPr>
        <w:rPr>
          <w:rFonts w:hint="eastAsia"/>
          <w:lang w:val="en-US" w:eastAsia="zh-CN"/>
        </w:rPr>
      </w:pPr>
    </w:p>
    <w:tbl>
      <w:tblPr>
        <w:tblStyle w:val="17"/>
        <w:tblpPr w:leftFromText="180" w:rightFromText="180" w:vertAnchor="text" w:horzAnchor="page" w:tblpXSpec="center" w:tblpY="622"/>
        <w:tblOverlap w:val="never"/>
        <w:tblW w:w="0" w:type="auto"/>
        <w:jc w:val="center"/>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522"/>
      </w:tblGrid>
      <w:tr w14:paraId="369C8FE4">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2930" w:hRule="atLeast"/>
          <w:jc w:val="center"/>
        </w:trPr>
        <w:tc>
          <w:tcPr>
            <w:tcW w:w="8522" w:type="dxa"/>
            <w:vAlign w:val="center"/>
          </w:tcPr>
          <w:p w14:paraId="1FDD9660">
            <w:pPr>
              <w:widowControl w:val="0"/>
              <w:spacing w:line="360" w:lineRule="auto"/>
              <w:jc w:val="center"/>
              <w:rPr>
                <w:rFonts w:ascii="方正小标宋简体" w:hAnsi="仿宋" w:eastAsia="方正小标宋简体"/>
                <w:b/>
                <w:color w:val="auto"/>
                <w:w w:val="33"/>
                <w:sz w:val="52"/>
                <w:szCs w:val="52"/>
              </w:rPr>
            </w:pPr>
            <w:r>
              <w:rPr>
                <w:rFonts w:hint="eastAsia" w:ascii="方正小标宋简体" w:hAnsi="仿宋" w:eastAsia="方正小标宋简体"/>
                <w:b/>
                <w:color w:val="auto"/>
                <w:sz w:val="52"/>
                <w:szCs w:val="52"/>
                <w:lang w:eastAsia="zh-CN"/>
              </w:rPr>
              <w:t>石狮市殡葬服务所</w:t>
            </w:r>
            <w:r>
              <w:rPr>
                <w:rFonts w:hint="eastAsia" w:ascii="方正小标宋简体" w:hAnsi="仿宋" w:eastAsia="方正小标宋简体"/>
                <w:b/>
                <w:color w:val="auto"/>
                <w:sz w:val="52"/>
                <w:szCs w:val="52"/>
                <w:lang w:val="en-US" w:eastAsia="zh-CN"/>
              </w:rPr>
              <w:t>减免基本殡葬服务费专项</w:t>
            </w:r>
          </w:p>
        </w:tc>
      </w:tr>
    </w:tbl>
    <w:p w14:paraId="3BDBCE1F">
      <w:pPr>
        <w:pStyle w:val="15"/>
        <w:keepNext w:val="0"/>
        <w:keepLines w:val="0"/>
        <w:pageBreakBefore w:val="0"/>
        <w:widowControl w:val="0"/>
        <w:kinsoku/>
        <w:wordWrap/>
        <w:overflowPunct/>
        <w:topLinePunct w:val="0"/>
        <w:autoSpaceDE/>
        <w:autoSpaceDN/>
        <w:bidi w:val="0"/>
        <w:adjustRightInd/>
        <w:snapToGrid/>
        <w:spacing w:after="0" w:line="240" w:lineRule="auto"/>
        <w:ind w:left="0" w:leftChars="0" w:right="0" w:firstLine="0" w:firstLineChars="0"/>
        <w:jc w:val="center"/>
        <w:textAlignment w:val="auto"/>
        <w:rPr>
          <w:rFonts w:hint="eastAsia" w:ascii="仿宋" w:hAnsi="仿宋" w:eastAsia="仿宋" w:cs="仿宋"/>
          <w:b/>
          <w:color w:val="auto"/>
          <w:kern w:val="2"/>
          <w:sz w:val="44"/>
          <w:szCs w:val="44"/>
          <w:highlight w:val="none"/>
          <w:lang w:val="en-US" w:eastAsia="zh-CN" w:bidi="ar-SA"/>
        </w:rPr>
      </w:pPr>
    </w:p>
    <w:p w14:paraId="62EF1D82">
      <w:pPr>
        <w:rPr>
          <w:color w:val="auto"/>
        </w:rPr>
      </w:pPr>
    </w:p>
    <w:p w14:paraId="08E54888">
      <w:pPr>
        <w:rPr>
          <w:color w:val="auto"/>
        </w:rPr>
      </w:pPr>
    </w:p>
    <w:tbl>
      <w:tblPr>
        <w:tblStyle w:val="17"/>
        <w:tblW w:w="0" w:type="auto"/>
        <w:jc w:val="center"/>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8522"/>
      </w:tblGrid>
      <w:tr w14:paraId="55C21471">
        <w:tblPrEx>
          <w:tblBorders>
            <w:top w:val="none" w:color="auto" w:sz="0" w:space="0"/>
            <w:left w:val="none" w:color="auto" w:sz="0" w:space="0"/>
            <w:bottom w:val="none" w:color="auto" w:sz="0" w:space="0"/>
            <w:right w:val="none" w:color="auto" w:sz="0"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8522" w:type="dxa"/>
            <w:vAlign w:val="center"/>
          </w:tcPr>
          <w:p w14:paraId="41414D0F">
            <w:pPr>
              <w:widowControl w:val="0"/>
              <w:jc w:val="center"/>
              <w:rPr>
                <w:rFonts w:ascii="方正粗黑宋简体" w:hAnsi="方正粗黑宋简体" w:eastAsia="方正粗黑宋简体"/>
                <w:color w:val="auto"/>
                <w:sz w:val="72"/>
                <w:szCs w:val="72"/>
              </w:rPr>
            </w:pPr>
            <w:r>
              <w:rPr>
                <w:rFonts w:hint="eastAsia" w:ascii="方正粗黑宋简体" w:hAnsi="方正粗黑宋简体" w:eastAsia="方正粗黑宋简体"/>
                <w:color w:val="auto"/>
                <w:sz w:val="72"/>
                <w:szCs w:val="72"/>
              </w:rPr>
              <w:t>绩效</w:t>
            </w:r>
            <w:r>
              <w:rPr>
                <w:rFonts w:hint="eastAsia" w:ascii="方正粗黑宋简体" w:hAnsi="方正粗黑宋简体" w:eastAsia="方正粗黑宋简体"/>
                <w:color w:val="auto"/>
                <w:sz w:val="72"/>
                <w:szCs w:val="72"/>
                <w:lang w:val="en-US" w:eastAsia="zh-CN"/>
              </w:rPr>
              <w:t>评价</w:t>
            </w:r>
            <w:r>
              <w:rPr>
                <w:rFonts w:hint="eastAsia" w:ascii="方正粗黑宋简体" w:hAnsi="方正粗黑宋简体" w:eastAsia="方正粗黑宋简体"/>
                <w:color w:val="auto"/>
                <w:sz w:val="72"/>
                <w:szCs w:val="72"/>
              </w:rPr>
              <w:t>报告</w:t>
            </w:r>
          </w:p>
        </w:tc>
      </w:tr>
    </w:tbl>
    <w:p w14:paraId="09A1C344"/>
    <w:p w14:paraId="2BB379D8"/>
    <w:tbl>
      <w:tblPr>
        <w:tblStyle w:val="17"/>
        <w:tblpPr w:leftFromText="180" w:rightFromText="180" w:vertAnchor="text" w:horzAnchor="page" w:tblpXSpec="center" w:tblpY="413"/>
        <w:tblOverlap w:val="never"/>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915"/>
        <w:gridCol w:w="4325"/>
      </w:tblGrid>
      <w:tr w14:paraId="164EBE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tcPr>
          <w:p w14:paraId="0841C4EF">
            <w:pPr>
              <w:widowControl w:val="0"/>
              <w:spacing w:after="10" w:line="700" w:lineRule="exact"/>
              <w:ind w:right="-53" w:rightChars="-25"/>
              <w:jc w:val="distribute"/>
              <w:rPr>
                <w:rFonts w:ascii="仿宋_GB2312" w:hAnsi="华文中宋" w:eastAsia="仿宋_GB2312" w:cs="华文中宋"/>
                <w:b/>
                <w:w w:val="125"/>
                <w:sz w:val="32"/>
                <w:szCs w:val="32"/>
              </w:rPr>
            </w:pPr>
            <w:r>
              <w:rPr>
                <w:rFonts w:hint="eastAsia" w:ascii="仿宋_GB2312" w:hAnsi="华文中宋" w:eastAsia="仿宋_GB2312" w:cs="华文中宋"/>
                <w:b/>
                <w:w w:val="125"/>
                <w:sz w:val="32"/>
                <w:szCs w:val="32"/>
              </w:rPr>
              <w:t>编制单位</w:t>
            </w:r>
            <w:r>
              <w:rPr>
                <w:rFonts w:hint="eastAsia" w:ascii="仿宋_GB2312" w:hAnsi="华文中宋" w:eastAsia="仿宋_GB2312" w:cs="华文中宋"/>
                <w:b/>
                <w:sz w:val="32"/>
                <w:szCs w:val="32"/>
              </w:rPr>
              <w:t>：</w:t>
            </w:r>
          </w:p>
        </w:tc>
        <w:tc>
          <w:tcPr>
            <w:tcW w:w="4325" w:type="dxa"/>
            <w:vAlign w:val="center"/>
          </w:tcPr>
          <w:p w14:paraId="5B9B7FE1">
            <w:pPr>
              <w:widowControl w:val="0"/>
              <w:spacing w:after="10" w:line="700" w:lineRule="exact"/>
              <w:ind w:right="-53" w:rightChars="-25"/>
              <w:jc w:val="both"/>
              <w:rPr>
                <w:rFonts w:ascii="仿宋_GB2312" w:hAnsi="华文中宋" w:eastAsia="仿宋_GB2312" w:cs="华文中宋"/>
                <w:sz w:val="32"/>
                <w:szCs w:val="32"/>
              </w:rPr>
            </w:pPr>
            <w:r>
              <w:rPr>
                <w:rFonts w:hint="eastAsia" w:ascii="仿宋_GB2312" w:hAnsi="华文中宋" w:eastAsia="仿宋_GB2312" w:cs="华文中宋"/>
                <w:sz w:val="32"/>
                <w:szCs w:val="32"/>
              </w:rPr>
              <w:t>泉州市招标咨询中心有限公司</w:t>
            </w:r>
          </w:p>
        </w:tc>
      </w:tr>
      <w:tr w14:paraId="37D26A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tcPr>
          <w:p w14:paraId="0342D456">
            <w:pPr>
              <w:widowControl w:val="0"/>
              <w:spacing w:after="10" w:line="700" w:lineRule="exact"/>
              <w:ind w:right="-53" w:rightChars="-25"/>
              <w:jc w:val="distribute"/>
              <w:rPr>
                <w:rFonts w:ascii="仿宋_GB2312" w:hAnsi="华文中宋" w:eastAsia="仿宋_GB2312" w:cs="华文中宋"/>
                <w:b/>
                <w:w w:val="125"/>
                <w:sz w:val="32"/>
                <w:szCs w:val="32"/>
              </w:rPr>
            </w:pPr>
            <w:r>
              <w:rPr>
                <w:rFonts w:hint="eastAsia" w:ascii="仿宋_GB2312" w:hAnsi="华文中宋" w:eastAsia="仿宋_GB2312" w:cs="华文中宋"/>
                <w:b/>
                <w:w w:val="125"/>
                <w:sz w:val="32"/>
                <w:szCs w:val="32"/>
              </w:rPr>
              <w:t>主</w:t>
            </w:r>
            <w:r>
              <w:rPr>
                <w:rFonts w:hint="eastAsia" w:ascii="仿宋_GB2312" w:hAnsi="华文中宋" w:eastAsia="仿宋_GB2312" w:cs="华文中宋"/>
                <w:b/>
                <w:w w:val="125"/>
                <w:sz w:val="32"/>
                <w:szCs w:val="32"/>
                <w:lang w:val="en-US" w:eastAsia="zh-CN"/>
              </w:rPr>
              <w:t>评</w:t>
            </w:r>
            <w:r>
              <w:rPr>
                <w:rFonts w:hint="eastAsia" w:ascii="仿宋_GB2312" w:hAnsi="华文中宋" w:eastAsia="仿宋_GB2312" w:cs="华文中宋"/>
                <w:b/>
                <w:w w:val="125"/>
                <w:sz w:val="32"/>
                <w:szCs w:val="32"/>
              </w:rPr>
              <w:t>人：</w:t>
            </w:r>
          </w:p>
        </w:tc>
        <w:tc>
          <w:tcPr>
            <w:tcW w:w="4325" w:type="dxa"/>
            <w:vAlign w:val="center"/>
          </w:tcPr>
          <w:p w14:paraId="714E4017">
            <w:pPr>
              <w:widowControl w:val="0"/>
              <w:spacing w:after="10" w:line="700" w:lineRule="exact"/>
              <w:ind w:right="-53" w:rightChars="-25"/>
              <w:jc w:val="both"/>
              <w:rPr>
                <w:rFonts w:ascii="仿宋_GB2312" w:hAnsi="华文中宋" w:eastAsia="仿宋_GB2312" w:cs="华文中宋"/>
                <w:color w:val="auto"/>
                <w:sz w:val="32"/>
                <w:szCs w:val="32"/>
              </w:rPr>
            </w:pPr>
            <w:r>
              <w:rPr>
                <w:rFonts w:hint="eastAsia" w:ascii="仿宋_GB2312" w:hAnsi="华文中宋" w:eastAsia="仿宋_GB2312" w:cs="华文中宋"/>
                <w:color w:val="auto"/>
                <w:sz w:val="32"/>
                <w:szCs w:val="32"/>
              </w:rPr>
              <w:t>翁燕瑜（中级经济师）</w:t>
            </w:r>
          </w:p>
        </w:tc>
      </w:tr>
      <w:tr w14:paraId="3B3A4B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vMerge w:val="restart"/>
          </w:tcPr>
          <w:p w14:paraId="502F7B61">
            <w:pPr>
              <w:widowControl w:val="0"/>
              <w:spacing w:after="10" w:line="700" w:lineRule="exact"/>
              <w:ind w:right="-53" w:rightChars="-25"/>
              <w:jc w:val="distribute"/>
              <w:rPr>
                <w:rFonts w:ascii="仿宋_GB2312" w:hAnsi="华文中宋" w:eastAsia="仿宋_GB2312" w:cs="华文中宋"/>
                <w:b/>
                <w:w w:val="125"/>
                <w:sz w:val="32"/>
                <w:szCs w:val="32"/>
              </w:rPr>
            </w:pPr>
            <w:r>
              <w:rPr>
                <w:rFonts w:hint="eastAsia" w:ascii="仿宋_GB2312" w:hAnsi="华文中宋" w:eastAsia="仿宋_GB2312" w:cs="华文中宋"/>
                <w:b/>
                <w:w w:val="125"/>
                <w:sz w:val="32"/>
                <w:szCs w:val="32"/>
              </w:rPr>
              <w:t>编制人员：</w:t>
            </w:r>
          </w:p>
        </w:tc>
        <w:tc>
          <w:tcPr>
            <w:tcW w:w="4325" w:type="dxa"/>
            <w:vAlign w:val="center"/>
          </w:tcPr>
          <w:p w14:paraId="4EAA4EB6">
            <w:pPr>
              <w:widowControl w:val="0"/>
              <w:spacing w:after="10" w:line="700" w:lineRule="exact"/>
              <w:ind w:right="-53" w:rightChars="-25"/>
              <w:jc w:val="both"/>
              <w:rPr>
                <w:rFonts w:ascii="仿宋_GB2312" w:hAnsi="华文中宋" w:eastAsia="仿宋_GB2312" w:cs="华文中宋"/>
                <w:color w:val="auto"/>
                <w:sz w:val="32"/>
                <w:szCs w:val="32"/>
              </w:rPr>
            </w:pPr>
            <w:r>
              <w:rPr>
                <w:rFonts w:hint="eastAsia" w:ascii="仿宋_GB2312" w:hAnsi="华文中宋" w:eastAsia="仿宋_GB2312" w:cs="华文中宋"/>
                <w:color w:val="auto"/>
                <w:sz w:val="32"/>
                <w:szCs w:val="32"/>
              </w:rPr>
              <w:t>吴文静（</w:t>
            </w:r>
            <w:r>
              <w:rPr>
                <w:rFonts w:hint="eastAsia" w:ascii="仿宋_GB2312" w:hAnsi="华文中宋" w:eastAsia="仿宋_GB2312" w:cs="华文中宋"/>
                <w:color w:val="auto"/>
                <w:sz w:val="32"/>
                <w:szCs w:val="32"/>
                <w:lang w:val="en-US" w:eastAsia="zh-CN"/>
              </w:rPr>
              <w:t>绩效评价师</w:t>
            </w:r>
            <w:r>
              <w:rPr>
                <w:rFonts w:hint="eastAsia" w:ascii="仿宋_GB2312" w:hAnsi="华文中宋" w:eastAsia="仿宋_GB2312" w:cs="华文中宋"/>
                <w:color w:val="auto"/>
                <w:sz w:val="32"/>
                <w:szCs w:val="32"/>
              </w:rPr>
              <w:t>）</w:t>
            </w:r>
          </w:p>
        </w:tc>
      </w:tr>
      <w:tr w14:paraId="23B1BA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vMerge w:val="continue"/>
          </w:tcPr>
          <w:p w14:paraId="70085435">
            <w:pPr>
              <w:widowControl w:val="0"/>
              <w:spacing w:after="10" w:line="700" w:lineRule="exact"/>
              <w:ind w:right="-53" w:rightChars="-25"/>
              <w:jc w:val="distribute"/>
              <w:rPr>
                <w:rFonts w:ascii="仿宋_GB2312" w:hAnsi="华文中宋" w:eastAsia="仿宋_GB2312" w:cs="华文中宋"/>
                <w:b/>
                <w:w w:val="125"/>
                <w:sz w:val="32"/>
                <w:szCs w:val="32"/>
              </w:rPr>
            </w:pPr>
          </w:p>
        </w:tc>
        <w:tc>
          <w:tcPr>
            <w:tcW w:w="4325" w:type="dxa"/>
            <w:vAlign w:val="center"/>
          </w:tcPr>
          <w:p w14:paraId="4414BC5B">
            <w:pPr>
              <w:widowControl w:val="0"/>
              <w:spacing w:after="10" w:line="700" w:lineRule="exact"/>
              <w:ind w:right="-53" w:rightChars="-25"/>
              <w:jc w:val="both"/>
              <w:rPr>
                <w:rFonts w:ascii="仿宋_GB2312" w:hAnsi="华文中宋" w:eastAsia="仿宋_GB2312" w:cs="华文中宋"/>
                <w:color w:val="auto"/>
                <w:sz w:val="32"/>
                <w:szCs w:val="32"/>
              </w:rPr>
            </w:pPr>
            <w:r>
              <w:rPr>
                <w:rFonts w:hint="eastAsia" w:ascii="仿宋_GB2312" w:hAnsi="华文中宋" w:eastAsia="仿宋_GB2312" w:cs="华文中宋"/>
                <w:color w:val="auto"/>
                <w:sz w:val="32"/>
                <w:szCs w:val="32"/>
              </w:rPr>
              <w:t>范富琳（项目经理）</w:t>
            </w:r>
          </w:p>
        </w:tc>
      </w:tr>
      <w:tr w14:paraId="33F632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tcPr>
          <w:p w14:paraId="0FA557D5">
            <w:pPr>
              <w:widowControl w:val="0"/>
              <w:spacing w:after="10" w:line="700" w:lineRule="exact"/>
              <w:ind w:right="-53" w:rightChars="-25"/>
              <w:jc w:val="distribute"/>
              <w:rPr>
                <w:rFonts w:hint="eastAsia" w:ascii="仿宋_GB2312" w:hAnsi="华文中宋" w:eastAsia="仿宋_GB2312" w:cs="华文中宋"/>
                <w:b/>
                <w:w w:val="125"/>
                <w:sz w:val="32"/>
                <w:szCs w:val="32"/>
              </w:rPr>
            </w:pPr>
            <w:r>
              <w:rPr>
                <w:rFonts w:hint="eastAsia" w:ascii="仿宋_GB2312" w:hAnsi="华文中宋" w:eastAsia="仿宋_GB2312" w:cs="华文中宋"/>
                <w:b/>
                <w:w w:val="125"/>
                <w:sz w:val="32"/>
                <w:szCs w:val="32"/>
              </w:rPr>
              <w:t>校对人：</w:t>
            </w:r>
          </w:p>
        </w:tc>
        <w:tc>
          <w:tcPr>
            <w:tcW w:w="4325" w:type="dxa"/>
            <w:vAlign w:val="center"/>
          </w:tcPr>
          <w:p w14:paraId="2FC5F6C5">
            <w:pPr>
              <w:widowControl w:val="0"/>
              <w:spacing w:after="10" w:line="700" w:lineRule="exact"/>
              <w:ind w:right="-53" w:rightChars="-25"/>
              <w:jc w:val="both"/>
              <w:rPr>
                <w:rFonts w:hint="eastAsia" w:ascii="仿宋_GB2312" w:hAnsi="华文中宋" w:eastAsia="仿宋_GB2312" w:cs="华文中宋"/>
                <w:color w:val="auto"/>
                <w:sz w:val="32"/>
                <w:szCs w:val="32"/>
                <w:lang w:val="en-US" w:eastAsia="zh-CN"/>
              </w:rPr>
            </w:pPr>
            <w:r>
              <w:rPr>
                <w:rFonts w:hint="eastAsia" w:ascii="仿宋_GB2312" w:hAnsi="华文中宋" w:eastAsia="仿宋_GB2312" w:cs="华文中宋"/>
                <w:color w:val="auto"/>
                <w:sz w:val="32"/>
                <w:szCs w:val="32"/>
                <w:lang w:val="en-US" w:eastAsia="zh-CN"/>
              </w:rPr>
              <w:t>曾桂梅（中级工程师）</w:t>
            </w:r>
          </w:p>
        </w:tc>
      </w:tr>
      <w:tr w14:paraId="796581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2915" w:type="dxa"/>
          </w:tcPr>
          <w:p w14:paraId="19D812DD">
            <w:pPr>
              <w:widowControl w:val="0"/>
              <w:spacing w:after="10" w:line="700" w:lineRule="exact"/>
              <w:ind w:right="-53" w:rightChars="-25"/>
              <w:jc w:val="distribute"/>
              <w:rPr>
                <w:rFonts w:hint="eastAsia" w:ascii="仿宋_GB2312" w:hAnsi="华文中宋" w:eastAsia="仿宋_GB2312" w:cs="华文中宋"/>
                <w:b/>
                <w:w w:val="125"/>
                <w:sz w:val="32"/>
                <w:szCs w:val="32"/>
                <w:lang w:val="en-US" w:eastAsia="zh-CN"/>
              </w:rPr>
            </w:pPr>
            <w:r>
              <w:rPr>
                <w:rFonts w:hint="eastAsia" w:ascii="仿宋_GB2312" w:hAnsi="华文中宋" w:eastAsia="仿宋_GB2312" w:cs="华文中宋"/>
                <w:b/>
                <w:w w:val="125"/>
                <w:sz w:val="32"/>
                <w:szCs w:val="32"/>
                <w:lang w:val="en-US" w:eastAsia="zh-CN"/>
              </w:rPr>
              <w:t>复核人：</w:t>
            </w:r>
          </w:p>
        </w:tc>
        <w:tc>
          <w:tcPr>
            <w:tcW w:w="4325" w:type="dxa"/>
            <w:vAlign w:val="center"/>
          </w:tcPr>
          <w:p w14:paraId="5363A822">
            <w:pPr>
              <w:widowControl w:val="0"/>
              <w:spacing w:after="10" w:line="700" w:lineRule="exact"/>
              <w:ind w:right="-53" w:rightChars="-25"/>
              <w:jc w:val="both"/>
              <w:rPr>
                <w:rFonts w:hint="default" w:ascii="仿宋_GB2312" w:hAnsi="华文中宋" w:eastAsia="仿宋_GB2312" w:cs="华文中宋"/>
                <w:color w:val="auto"/>
                <w:sz w:val="32"/>
                <w:szCs w:val="32"/>
                <w:lang w:val="en-US" w:eastAsia="zh-CN"/>
              </w:rPr>
            </w:pPr>
            <w:r>
              <w:rPr>
                <w:rFonts w:hint="eastAsia" w:ascii="仿宋_GB2312" w:hAnsi="华文中宋" w:eastAsia="仿宋_GB2312" w:cs="华文中宋"/>
                <w:color w:val="auto"/>
                <w:sz w:val="32"/>
                <w:szCs w:val="32"/>
              </w:rPr>
              <w:t>王梅玲（中级会计师）</w:t>
            </w:r>
          </w:p>
        </w:tc>
      </w:tr>
    </w:tbl>
    <w:p w14:paraId="37A1769F">
      <w:pPr>
        <w:pStyle w:val="12"/>
        <w:keepNext w:val="0"/>
        <w:keepLines w:val="0"/>
        <w:pageBreakBefore w:val="0"/>
        <w:tabs>
          <w:tab w:val="right" w:leader="dot" w:pos="9298"/>
        </w:tabs>
        <w:kinsoku/>
        <w:wordWrap/>
        <w:topLinePunct w:val="0"/>
        <w:bidi w:val="0"/>
        <w:snapToGrid/>
        <w:spacing w:line="240" w:lineRule="auto"/>
        <w:rPr>
          <w:rFonts w:hint="eastAsia" w:ascii="仿宋" w:hAnsi="仿宋" w:eastAsia="仿宋" w:cs="仿宋"/>
          <w:color w:val="auto"/>
          <w:szCs w:val="28"/>
          <w:highlight w:val="none"/>
          <w:lang w:val="en-US" w:eastAsia="zh-CN"/>
        </w:rPr>
        <w:sectPr>
          <w:pgSz w:w="11906" w:h="16838"/>
          <w:pgMar w:top="1417" w:right="1304" w:bottom="1417" w:left="1304"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6E278C7C">
      <w:pPr>
        <w:rPr>
          <w:rFonts w:hint="eastAsia"/>
          <w:lang w:val="en-US" w:eastAsia="zh-CN"/>
        </w:rPr>
        <w:sectPr>
          <w:pgSz w:w="11906" w:h="16838"/>
          <w:pgMar w:top="1417" w:right="1304" w:bottom="1417" w:left="1304" w:header="851" w:footer="992" w:gutter="0"/>
          <w:pgBorders>
            <w:top w:val="none" w:sz="0" w:space="0"/>
            <w:left w:val="none" w:sz="0" w:space="0"/>
            <w:bottom w:val="none" w:sz="0" w:space="0"/>
            <w:right w:val="none" w:sz="0" w:space="0"/>
          </w:pgBorders>
          <w:pgNumType w:fmt="decimal"/>
          <w:cols w:space="425" w:num="1"/>
          <w:docGrid w:type="lines" w:linePitch="312" w:charSpace="0"/>
        </w:sectPr>
      </w:pPr>
    </w:p>
    <w:sdt>
      <w:sdtPr>
        <w:rPr>
          <w:rFonts w:ascii="宋体" w:hAnsi="宋体" w:eastAsia="宋体" w:cstheme="minorBidi"/>
          <w:b/>
          <w:bCs/>
          <w:color w:val="auto"/>
          <w:kern w:val="2"/>
          <w:sz w:val="32"/>
          <w:szCs w:val="36"/>
          <w:lang w:val="en-US" w:eastAsia="zh-CN" w:bidi="ar-SA"/>
        </w:rPr>
        <w:id w:val="147466838"/>
        <w15:color w:val="DBDBDB"/>
        <w:docPartObj>
          <w:docPartGallery w:val="Table of Contents"/>
          <w:docPartUnique/>
        </w:docPartObj>
      </w:sdtPr>
      <w:sdtEndPr>
        <w:rPr>
          <w:rFonts w:hint="eastAsia" w:ascii="仿宋" w:hAnsi="仿宋" w:eastAsia="仿宋" w:cs="仿宋"/>
          <w:b w:val="0"/>
          <w:bCs/>
          <w:color w:val="auto"/>
          <w:kern w:val="2"/>
          <w:sz w:val="32"/>
          <w:szCs w:val="28"/>
          <w:lang w:val="en-US" w:eastAsia="zh-CN" w:bidi="ar-SA"/>
        </w:rPr>
      </w:sdtEndPr>
      <w:sdtContent>
        <w:p w14:paraId="1AA0C0F0">
          <w:pPr>
            <w:pageBreakBefore w:val="0"/>
            <w:widowControl/>
            <w:kinsoku/>
            <w:wordWrap/>
            <w:overflowPunct/>
            <w:topLinePunct w:val="0"/>
            <w:autoSpaceDE/>
            <w:autoSpaceDN/>
            <w:bidi w:val="0"/>
            <w:adjustRightInd/>
            <w:snapToGrid/>
            <w:spacing w:before="0" w:beforeLines="0" w:after="0" w:afterLines="0" w:line="360" w:lineRule="auto"/>
            <w:ind w:left="0" w:leftChars="0" w:right="0" w:rightChars="0" w:firstLine="0" w:firstLineChars="0"/>
            <w:jc w:val="center"/>
            <w:textAlignment w:val="auto"/>
            <w:rPr>
              <w:rFonts w:hint="eastAsia" w:ascii="仿宋" w:hAnsi="仿宋" w:eastAsia="仿宋" w:cs="仿宋"/>
              <w:bCs/>
              <w:color w:val="FF0000"/>
              <w:kern w:val="2"/>
              <w:sz w:val="21"/>
              <w:szCs w:val="28"/>
              <w:lang w:val="en-US" w:eastAsia="zh-CN" w:bidi="ar-SA"/>
            </w:rPr>
          </w:pPr>
          <w:bookmarkStart w:id="0" w:name="_Toc11345"/>
          <w:bookmarkStart w:id="1" w:name="_Toc6290"/>
          <w:bookmarkStart w:id="2" w:name="_Toc23972"/>
          <w:bookmarkStart w:id="3" w:name="_Toc24913"/>
          <w:bookmarkStart w:id="4" w:name="_Toc13371"/>
          <w:r>
            <w:rPr>
              <w:rFonts w:hint="eastAsia" w:ascii="方正小标宋简体" w:hAnsi="方正小标宋简体" w:eastAsia="方正小标宋简体" w:cs="方正小标宋简体"/>
              <w:b/>
              <w:bCs/>
              <w:color w:val="auto"/>
              <w:sz w:val="44"/>
              <w:szCs w:val="48"/>
            </w:rPr>
            <w:t>目</w:t>
          </w:r>
          <w:r>
            <w:rPr>
              <w:rFonts w:hint="eastAsia" w:ascii="方正小标宋简体" w:hAnsi="方正小标宋简体" w:eastAsia="方正小标宋简体" w:cs="方正小标宋简体"/>
              <w:b/>
              <w:bCs/>
              <w:color w:val="auto"/>
              <w:sz w:val="44"/>
              <w:szCs w:val="48"/>
              <w:lang w:val="en-US" w:eastAsia="zh-CN"/>
            </w:rPr>
            <w:t xml:space="preserve"> </w:t>
          </w:r>
          <w:r>
            <w:rPr>
              <w:rFonts w:hint="eastAsia" w:ascii="方正小标宋简体" w:hAnsi="方正小标宋简体" w:eastAsia="方正小标宋简体" w:cs="方正小标宋简体"/>
              <w:b/>
              <w:bCs/>
              <w:color w:val="auto"/>
              <w:sz w:val="44"/>
              <w:szCs w:val="48"/>
            </w:rPr>
            <w:t>录</w:t>
          </w:r>
          <w:r>
            <w:rPr>
              <w:rFonts w:hint="eastAsia" w:ascii="仿宋" w:hAnsi="仿宋" w:eastAsia="仿宋" w:cs="仿宋"/>
              <w:b/>
              <w:bCs/>
              <w:color w:val="FF0000"/>
              <w:kern w:val="2"/>
              <w:sz w:val="28"/>
              <w:szCs w:val="28"/>
              <w:lang w:val="en-US" w:eastAsia="zh-CN"/>
            </w:rPr>
            <w:fldChar w:fldCharType="begin"/>
          </w:r>
          <w:r>
            <w:rPr>
              <w:rFonts w:hint="eastAsia" w:ascii="仿宋" w:hAnsi="仿宋" w:eastAsia="仿宋" w:cs="仿宋"/>
              <w:b/>
              <w:bCs/>
              <w:color w:val="FF0000"/>
              <w:kern w:val="2"/>
              <w:sz w:val="28"/>
              <w:szCs w:val="28"/>
              <w:lang w:val="en-US" w:eastAsia="zh-CN"/>
            </w:rPr>
            <w:instrText xml:space="preserve">TOC \o "1-3" \h \u </w:instrText>
          </w:r>
          <w:r>
            <w:rPr>
              <w:rFonts w:hint="eastAsia" w:ascii="仿宋" w:hAnsi="仿宋" w:eastAsia="仿宋" w:cs="仿宋"/>
              <w:b/>
              <w:bCs/>
              <w:color w:val="FF0000"/>
              <w:kern w:val="2"/>
              <w:sz w:val="28"/>
              <w:szCs w:val="28"/>
              <w:lang w:val="en-US" w:eastAsia="zh-CN"/>
            </w:rPr>
            <w:fldChar w:fldCharType="separate"/>
          </w:r>
        </w:p>
        <w:p w14:paraId="1221E28E">
          <w:pPr>
            <w:pStyle w:val="12"/>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_Toc17956 </w:instrText>
          </w:r>
          <w:r>
            <w:rPr>
              <w:rFonts w:hint="eastAsia" w:ascii="仿宋" w:hAnsi="仿宋" w:eastAsia="仿宋" w:cs="仿宋"/>
              <w:bCs/>
              <w:kern w:val="2"/>
              <w:sz w:val="32"/>
              <w:szCs w:val="32"/>
              <w:lang w:val="en-US" w:eastAsia="zh-CN"/>
            </w:rPr>
            <w:fldChar w:fldCharType="separate"/>
          </w:r>
          <w:r>
            <w:rPr>
              <w:rFonts w:hint="eastAsia" w:ascii="黑体" w:hAnsi="黑体" w:eastAsia="黑体" w:cs="黑体"/>
              <w:bCs/>
              <w:sz w:val="32"/>
              <w:szCs w:val="32"/>
              <w:lang w:val="en-US" w:eastAsia="zh-CN"/>
            </w:rPr>
            <w:t>前 言</w:t>
          </w:r>
          <w:r>
            <w:rPr>
              <w:sz w:val="32"/>
              <w:szCs w:val="32"/>
            </w:rPr>
            <w:tab/>
          </w:r>
          <w:r>
            <w:rPr>
              <w:sz w:val="32"/>
              <w:szCs w:val="32"/>
            </w:rPr>
            <w:fldChar w:fldCharType="begin"/>
          </w:r>
          <w:r>
            <w:rPr>
              <w:sz w:val="32"/>
              <w:szCs w:val="32"/>
            </w:rPr>
            <w:instrText xml:space="preserve"> PAGEREF _Toc17956 \h </w:instrText>
          </w:r>
          <w:r>
            <w:rPr>
              <w:sz w:val="32"/>
              <w:szCs w:val="32"/>
            </w:rPr>
            <w:fldChar w:fldCharType="separate"/>
          </w:r>
          <w:r>
            <w:rPr>
              <w:sz w:val="32"/>
              <w:szCs w:val="32"/>
            </w:rPr>
            <w:t>1</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09ECA174">
          <w:pPr>
            <w:pStyle w:val="12"/>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_Toc24718 </w:instrText>
          </w:r>
          <w:r>
            <w:rPr>
              <w:rFonts w:hint="eastAsia" w:ascii="仿宋" w:hAnsi="仿宋" w:eastAsia="仿宋" w:cs="仿宋"/>
              <w:bCs/>
              <w:kern w:val="2"/>
              <w:sz w:val="32"/>
              <w:szCs w:val="32"/>
              <w:lang w:val="en-US" w:eastAsia="zh-CN"/>
            </w:rPr>
            <w:fldChar w:fldCharType="separate"/>
          </w:r>
          <w:r>
            <w:rPr>
              <w:rFonts w:hint="eastAsia" w:ascii="黑体" w:hAnsi="黑体" w:eastAsia="黑体" w:cs="黑体"/>
              <w:bCs/>
              <w:sz w:val="32"/>
              <w:szCs w:val="32"/>
              <w:highlight w:val="none"/>
              <w:lang w:val="en-US" w:eastAsia="zh-CN"/>
            </w:rPr>
            <w:t>一、项目基本情况</w:t>
          </w:r>
          <w:r>
            <w:rPr>
              <w:sz w:val="32"/>
              <w:szCs w:val="32"/>
            </w:rPr>
            <w:tab/>
          </w:r>
          <w:r>
            <w:rPr>
              <w:sz w:val="32"/>
              <w:szCs w:val="32"/>
            </w:rPr>
            <w:fldChar w:fldCharType="begin"/>
          </w:r>
          <w:r>
            <w:rPr>
              <w:sz w:val="32"/>
              <w:szCs w:val="32"/>
            </w:rPr>
            <w:instrText xml:space="preserve"> PAGEREF _Toc24718 \h </w:instrText>
          </w:r>
          <w:r>
            <w:rPr>
              <w:sz w:val="32"/>
              <w:szCs w:val="32"/>
            </w:rPr>
            <w:fldChar w:fldCharType="separate"/>
          </w:r>
          <w:r>
            <w:rPr>
              <w:sz w:val="32"/>
              <w:szCs w:val="32"/>
            </w:rPr>
            <w:t>2</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56F9CAE9">
          <w:pPr>
            <w:pStyle w:val="13"/>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_Toc2766 </w:instrText>
          </w:r>
          <w:r>
            <w:rPr>
              <w:rFonts w:hint="eastAsia" w:ascii="仿宋" w:hAnsi="仿宋" w:eastAsia="仿宋" w:cs="仿宋"/>
              <w:bCs/>
              <w:kern w:val="2"/>
              <w:sz w:val="32"/>
              <w:szCs w:val="32"/>
              <w:lang w:val="en-US" w:eastAsia="zh-CN"/>
            </w:rPr>
            <w:fldChar w:fldCharType="separate"/>
          </w:r>
          <w:r>
            <w:rPr>
              <w:rFonts w:hint="eastAsia" w:ascii="楷体_GB2312" w:hAnsi="楷体_GB2312" w:eastAsia="楷体_GB2312" w:cs="楷体_GB2312"/>
              <w:bCs/>
              <w:sz w:val="32"/>
              <w:szCs w:val="32"/>
              <w:highlight w:val="none"/>
              <w:lang w:val="en-US" w:eastAsia="zh-CN"/>
            </w:rPr>
            <w:t>（一）项目背景</w:t>
          </w:r>
          <w:r>
            <w:rPr>
              <w:sz w:val="32"/>
              <w:szCs w:val="32"/>
            </w:rPr>
            <w:tab/>
          </w:r>
          <w:r>
            <w:rPr>
              <w:sz w:val="32"/>
              <w:szCs w:val="32"/>
            </w:rPr>
            <w:fldChar w:fldCharType="begin"/>
          </w:r>
          <w:r>
            <w:rPr>
              <w:sz w:val="32"/>
              <w:szCs w:val="32"/>
            </w:rPr>
            <w:instrText xml:space="preserve"> PAGEREF _Toc2766 \h </w:instrText>
          </w:r>
          <w:r>
            <w:rPr>
              <w:sz w:val="32"/>
              <w:szCs w:val="32"/>
            </w:rPr>
            <w:fldChar w:fldCharType="separate"/>
          </w:r>
          <w:r>
            <w:rPr>
              <w:sz w:val="32"/>
              <w:szCs w:val="32"/>
            </w:rPr>
            <w:t>2</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69640DE9">
          <w:pPr>
            <w:pStyle w:val="13"/>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_Toc28745 </w:instrText>
          </w:r>
          <w:r>
            <w:rPr>
              <w:rFonts w:hint="eastAsia" w:ascii="仿宋" w:hAnsi="仿宋" w:eastAsia="仿宋" w:cs="仿宋"/>
              <w:bCs/>
              <w:kern w:val="2"/>
              <w:sz w:val="32"/>
              <w:szCs w:val="32"/>
              <w:lang w:val="en-US" w:eastAsia="zh-CN"/>
            </w:rPr>
            <w:fldChar w:fldCharType="separate"/>
          </w:r>
          <w:r>
            <w:rPr>
              <w:rFonts w:hint="eastAsia" w:ascii="楷体_GB2312" w:hAnsi="楷体_GB2312" w:eastAsia="楷体_GB2312" w:cs="楷体_GB2312"/>
              <w:bCs/>
              <w:sz w:val="32"/>
              <w:szCs w:val="32"/>
              <w:highlight w:val="none"/>
              <w:lang w:val="en-US" w:eastAsia="zh-CN"/>
            </w:rPr>
            <w:t>（二）项目内容</w:t>
          </w:r>
          <w:r>
            <w:rPr>
              <w:sz w:val="32"/>
              <w:szCs w:val="32"/>
            </w:rPr>
            <w:tab/>
          </w:r>
          <w:r>
            <w:rPr>
              <w:sz w:val="32"/>
              <w:szCs w:val="32"/>
            </w:rPr>
            <w:fldChar w:fldCharType="begin"/>
          </w:r>
          <w:r>
            <w:rPr>
              <w:sz w:val="32"/>
              <w:szCs w:val="32"/>
            </w:rPr>
            <w:instrText xml:space="preserve"> PAGEREF _Toc28745 \h </w:instrText>
          </w:r>
          <w:r>
            <w:rPr>
              <w:sz w:val="32"/>
              <w:szCs w:val="32"/>
            </w:rPr>
            <w:fldChar w:fldCharType="separate"/>
          </w:r>
          <w:r>
            <w:rPr>
              <w:sz w:val="32"/>
              <w:szCs w:val="32"/>
            </w:rPr>
            <w:t>2</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7B8FFBB9">
          <w:pPr>
            <w:pStyle w:val="13"/>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_Toc24856 </w:instrText>
          </w:r>
          <w:r>
            <w:rPr>
              <w:rFonts w:hint="eastAsia" w:ascii="仿宋" w:hAnsi="仿宋" w:eastAsia="仿宋" w:cs="仿宋"/>
              <w:bCs/>
              <w:kern w:val="2"/>
              <w:sz w:val="32"/>
              <w:szCs w:val="32"/>
              <w:lang w:val="en-US" w:eastAsia="zh-CN"/>
            </w:rPr>
            <w:fldChar w:fldCharType="separate"/>
          </w:r>
          <w:r>
            <w:rPr>
              <w:rFonts w:hint="eastAsia" w:ascii="楷体_GB2312" w:hAnsi="楷体_GB2312" w:eastAsia="楷体_GB2312" w:cs="楷体_GB2312"/>
              <w:bCs/>
              <w:sz w:val="32"/>
              <w:szCs w:val="32"/>
              <w:highlight w:val="none"/>
              <w:lang w:val="en-US" w:eastAsia="zh-CN"/>
            </w:rPr>
            <w:t>（三）项目组织管理情况</w:t>
          </w:r>
          <w:r>
            <w:rPr>
              <w:sz w:val="32"/>
              <w:szCs w:val="32"/>
            </w:rPr>
            <w:tab/>
          </w:r>
          <w:r>
            <w:rPr>
              <w:sz w:val="32"/>
              <w:szCs w:val="32"/>
            </w:rPr>
            <w:fldChar w:fldCharType="begin"/>
          </w:r>
          <w:r>
            <w:rPr>
              <w:sz w:val="32"/>
              <w:szCs w:val="32"/>
            </w:rPr>
            <w:instrText xml:space="preserve"> PAGEREF _Toc24856 \h </w:instrText>
          </w:r>
          <w:r>
            <w:rPr>
              <w:sz w:val="32"/>
              <w:szCs w:val="32"/>
            </w:rPr>
            <w:fldChar w:fldCharType="separate"/>
          </w:r>
          <w:r>
            <w:rPr>
              <w:sz w:val="32"/>
              <w:szCs w:val="32"/>
            </w:rPr>
            <w:t>4</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70F7D63B">
          <w:pPr>
            <w:pStyle w:val="13"/>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_Toc283 </w:instrText>
          </w:r>
          <w:r>
            <w:rPr>
              <w:rFonts w:hint="eastAsia" w:ascii="仿宋" w:hAnsi="仿宋" w:eastAsia="仿宋" w:cs="仿宋"/>
              <w:bCs/>
              <w:kern w:val="2"/>
              <w:sz w:val="32"/>
              <w:szCs w:val="32"/>
              <w:lang w:val="en-US" w:eastAsia="zh-CN"/>
            </w:rPr>
            <w:fldChar w:fldCharType="separate"/>
          </w:r>
          <w:r>
            <w:rPr>
              <w:rFonts w:hint="eastAsia" w:ascii="楷体_GB2312" w:hAnsi="楷体_GB2312" w:eastAsia="楷体_GB2312" w:cs="楷体_GB2312"/>
              <w:bCs/>
              <w:sz w:val="32"/>
              <w:szCs w:val="32"/>
              <w:highlight w:val="none"/>
              <w:lang w:val="en-US" w:eastAsia="zh-CN"/>
            </w:rPr>
            <w:t>（四）项目资金投入情况</w:t>
          </w:r>
          <w:r>
            <w:rPr>
              <w:sz w:val="32"/>
              <w:szCs w:val="32"/>
            </w:rPr>
            <w:tab/>
          </w:r>
          <w:r>
            <w:rPr>
              <w:sz w:val="32"/>
              <w:szCs w:val="32"/>
            </w:rPr>
            <w:fldChar w:fldCharType="begin"/>
          </w:r>
          <w:r>
            <w:rPr>
              <w:sz w:val="32"/>
              <w:szCs w:val="32"/>
            </w:rPr>
            <w:instrText xml:space="preserve"> PAGEREF _Toc283 \h </w:instrText>
          </w:r>
          <w:r>
            <w:rPr>
              <w:sz w:val="32"/>
              <w:szCs w:val="32"/>
            </w:rPr>
            <w:fldChar w:fldCharType="separate"/>
          </w:r>
          <w:r>
            <w:rPr>
              <w:sz w:val="32"/>
              <w:szCs w:val="32"/>
            </w:rPr>
            <w:t>5</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460BB098">
          <w:pPr>
            <w:pStyle w:val="13"/>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_Toc1841 </w:instrText>
          </w:r>
          <w:r>
            <w:rPr>
              <w:rFonts w:hint="eastAsia" w:ascii="仿宋" w:hAnsi="仿宋" w:eastAsia="仿宋" w:cs="仿宋"/>
              <w:bCs/>
              <w:kern w:val="2"/>
              <w:sz w:val="32"/>
              <w:szCs w:val="32"/>
              <w:lang w:val="en-US" w:eastAsia="zh-CN"/>
            </w:rPr>
            <w:fldChar w:fldCharType="separate"/>
          </w:r>
          <w:r>
            <w:rPr>
              <w:rFonts w:hint="eastAsia" w:ascii="楷体_GB2312" w:hAnsi="楷体_GB2312" w:eastAsia="楷体_GB2312" w:cs="楷体_GB2312"/>
              <w:bCs/>
              <w:sz w:val="32"/>
              <w:szCs w:val="32"/>
              <w:highlight w:val="none"/>
              <w:lang w:val="en-US" w:eastAsia="zh-CN"/>
            </w:rPr>
            <w:t>（五）项目绩效目标</w:t>
          </w:r>
          <w:r>
            <w:rPr>
              <w:sz w:val="32"/>
              <w:szCs w:val="32"/>
            </w:rPr>
            <w:tab/>
          </w:r>
          <w:r>
            <w:rPr>
              <w:sz w:val="32"/>
              <w:szCs w:val="32"/>
            </w:rPr>
            <w:fldChar w:fldCharType="begin"/>
          </w:r>
          <w:r>
            <w:rPr>
              <w:sz w:val="32"/>
              <w:szCs w:val="32"/>
            </w:rPr>
            <w:instrText xml:space="preserve"> PAGEREF _Toc1841 \h </w:instrText>
          </w:r>
          <w:r>
            <w:rPr>
              <w:sz w:val="32"/>
              <w:szCs w:val="32"/>
            </w:rPr>
            <w:fldChar w:fldCharType="separate"/>
          </w:r>
          <w:r>
            <w:rPr>
              <w:sz w:val="32"/>
              <w:szCs w:val="32"/>
            </w:rPr>
            <w:t>5</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49E69776">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_Toc19012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sz w:val="32"/>
              <w:szCs w:val="32"/>
              <w:highlight w:val="none"/>
              <w:lang w:val="en-US" w:eastAsia="zh-CN"/>
            </w:rPr>
            <w:t>1.项目总体绩效目标</w:t>
          </w:r>
          <w:r>
            <w:rPr>
              <w:sz w:val="32"/>
              <w:szCs w:val="32"/>
            </w:rPr>
            <w:tab/>
          </w:r>
          <w:r>
            <w:rPr>
              <w:sz w:val="32"/>
              <w:szCs w:val="32"/>
            </w:rPr>
            <w:fldChar w:fldCharType="begin"/>
          </w:r>
          <w:r>
            <w:rPr>
              <w:sz w:val="32"/>
              <w:szCs w:val="32"/>
            </w:rPr>
            <w:instrText xml:space="preserve"> PAGEREF _Toc19012 \h </w:instrText>
          </w:r>
          <w:r>
            <w:rPr>
              <w:sz w:val="32"/>
              <w:szCs w:val="32"/>
            </w:rPr>
            <w:fldChar w:fldCharType="separate"/>
          </w:r>
          <w:r>
            <w:rPr>
              <w:sz w:val="32"/>
              <w:szCs w:val="32"/>
            </w:rPr>
            <w:t>6</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58F6E937">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_Toc10745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sz w:val="32"/>
              <w:szCs w:val="32"/>
              <w:highlight w:val="none"/>
              <w:lang w:val="en-US" w:eastAsia="zh-CN"/>
            </w:rPr>
            <w:t>2.项目绩效指标</w:t>
          </w:r>
          <w:r>
            <w:rPr>
              <w:sz w:val="32"/>
              <w:szCs w:val="32"/>
            </w:rPr>
            <w:tab/>
          </w:r>
          <w:r>
            <w:rPr>
              <w:sz w:val="32"/>
              <w:szCs w:val="32"/>
            </w:rPr>
            <w:fldChar w:fldCharType="begin"/>
          </w:r>
          <w:r>
            <w:rPr>
              <w:sz w:val="32"/>
              <w:szCs w:val="32"/>
            </w:rPr>
            <w:instrText xml:space="preserve"> PAGEREF _Toc10745 \h </w:instrText>
          </w:r>
          <w:r>
            <w:rPr>
              <w:sz w:val="32"/>
              <w:szCs w:val="32"/>
            </w:rPr>
            <w:fldChar w:fldCharType="separate"/>
          </w:r>
          <w:r>
            <w:rPr>
              <w:sz w:val="32"/>
              <w:szCs w:val="32"/>
            </w:rPr>
            <w:t>6</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195C2AB2">
          <w:pPr>
            <w:pStyle w:val="12"/>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_Toc21819 </w:instrText>
          </w:r>
          <w:r>
            <w:rPr>
              <w:rFonts w:hint="eastAsia" w:ascii="仿宋" w:hAnsi="仿宋" w:eastAsia="仿宋" w:cs="仿宋"/>
              <w:bCs/>
              <w:kern w:val="2"/>
              <w:sz w:val="32"/>
              <w:szCs w:val="32"/>
              <w:lang w:val="en-US" w:eastAsia="zh-CN"/>
            </w:rPr>
            <w:fldChar w:fldCharType="separate"/>
          </w:r>
          <w:r>
            <w:rPr>
              <w:rFonts w:hint="eastAsia" w:ascii="黑体" w:hAnsi="黑体" w:eastAsia="黑体" w:cs="黑体"/>
              <w:bCs/>
              <w:sz w:val="32"/>
              <w:szCs w:val="32"/>
              <w:highlight w:val="none"/>
              <w:lang w:val="en-US" w:eastAsia="zh-CN"/>
            </w:rPr>
            <w:t>二、绩效评价工作开展情况</w:t>
          </w:r>
          <w:r>
            <w:rPr>
              <w:sz w:val="32"/>
              <w:szCs w:val="32"/>
            </w:rPr>
            <w:tab/>
          </w:r>
          <w:r>
            <w:rPr>
              <w:sz w:val="32"/>
              <w:szCs w:val="32"/>
            </w:rPr>
            <w:fldChar w:fldCharType="begin"/>
          </w:r>
          <w:r>
            <w:rPr>
              <w:sz w:val="32"/>
              <w:szCs w:val="32"/>
            </w:rPr>
            <w:instrText xml:space="preserve"> PAGEREF _Toc21819 \h </w:instrText>
          </w:r>
          <w:r>
            <w:rPr>
              <w:sz w:val="32"/>
              <w:szCs w:val="32"/>
            </w:rPr>
            <w:fldChar w:fldCharType="separate"/>
          </w:r>
          <w:r>
            <w:rPr>
              <w:sz w:val="32"/>
              <w:szCs w:val="32"/>
            </w:rPr>
            <w:t>6</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41076B18">
          <w:pPr>
            <w:pStyle w:val="13"/>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_Toc25793 </w:instrText>
          </w:r>
          <w:r>
            <w:rPr>
              <w:rFonts w:hint="eastAsia" w:ascii="仿宋" w:hAnsi="仿宋" w:eastAsia="仿宋" w:cs="仿宋"/>
              <w:bCs/>
              <w:kern w:val="2"/>
              <w:sz w:val="32"/>
              <w:szCs w:val="32"/>
              <w:lang w:val="en-US" w:eastAsia="zh-CN"/>
            </w:rPr>
            <w:fldChar w:fldCharType="separate"/>
          </w:r>
          <w:r>
            <w:rPr>
              <w:rFonts w:hint="eastAsia" w:ascii="楷体_GB2312" w:hAnsi="楷体_GB2312" w:eastAsia="楷体_GB2312" w:cs="楷体_GB2312"/>
              <w:bCs/>
              <w:sz w:val="32"/>
              <w:szCs w:val="32"/>
              <w:highlight w:val="none"/>
              <w:lang w:val="en-US" w:eastAsia="zh-CN"/>
            </w:rPr>
            <w:t>（一）评价目的</w:t>
          </w:r>
          <w:r>
            <w:rPr>
              <w:sz w:val="32"/>
              <w:szCs w:val="32"/>
            </w:rPr>
            <w:tab/>
          </w:r>
          <w:r>
            <w:rPr>
              <w:sz w:val="32"/>
              <w:szCs w:val="32"/>
            </w:rPr>
            <w:fldChar w:fldCharType="begin"/>
          </w:r>
          <w:r>
            <w:rPr>
              <w:sz w:val="32"/>
              <w:szCs w:val="32"/>
            </w:rPr>
            <w:instrText xml:space="preserve"> PAGEREF _Toc25793 \h </w:instrText>
          </w:r>
          <w:r>
            <w:rPr>
              <w:sz w:val="32"/>
              <w:szCs w:val="32"/>
            </w:rPr>
            <w:fldChar w:fldCharType="separate"/>
          </w:r>
          <w:r>
            <w:rPr>
              <w:sz w:val="32"/>
              <w:szCs w:val="32"/>
            </w:rPr>
            <w:t>7</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2BFC798E">
          <w:pPr>
            <w:pStyle w:val="13"/>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_Toc28925 </w:instrText>
          </w:r>
          <w:r>
            <w:rPr>
              <w:rFonts w:hint="eastAsia" w:ascii="仿宋" w:hAnsi="仿宋" w:eastAsia="仿宋" w:cs="仿宋"/>
              <w:bCs/>
              <w:kern w:val="2"/>
              <w:sz w:val="32"/>
              <w:szCs w:val="32"/>
              <w:lang w:val="en-US" w:eastAsia="zh-CN"/>
            </w:rPr>
            <w:fldChar w:fldCharType="separate"/>
          </w:r>
          <w:r>
            <w:rPr>
              <w:rFonts w:hint="eastAsia" w:ascii="楷体_GB2312" w:hAnsi="楷体_GB2312" w:eastAsia="楷体_GB2312" w:cs="楷体_GB2312"/>
              <w:bCs/>
              <w:sz w:val="32"/>
              <w:szCs w:val="32"/>
              <w:highlight w:val="none"/>
              <w:lang w:val="en-US" w:eastAsia="zh-CN"/>
            </w:rPr>
            <w:t>（二）评价对象及范围</w:t>
          </w:r>
          <w:r>
            <w:rPr>
              <w:sz w:val="32"/>
              <w:szCs w:val="32"/>
            </w:rPr>
            <w:tab/>
          </w:r>
          <w:r>
            <w:rPr>
              <w:sz w:val="32"/>
              <w:szCs w:val="32"/>
            </w:rPr>
            <w:fldChar w:fldCharType="begin"/>
          </w:r>
          <w:r>
            <w:rPr>
              <w:sz w:val="32"/>
              <w:szCs w:val="32"/>
            </w:rPr>
            <w:instrText xml:space="preserve"> PAGEREF _Toc28925 \h </w:instrText>
          </w:r>
          <w:r>
            <w:rPr>
              <w:sz w:val="32"/>
              <w:szCs w:val="32"/>
            </w:rPr>
            <w:fldChar w:fldCharType="separate"/>
          </w:r>
          <w:r>
            <w:rPr>
              <w:sz w:val="32"/>
              <w:szCs w:val="32"/>
            </w:rPr>
            <w:t>7</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1752F2E4">
          <w:pPr>
            <w:pStyle w:val="13"/>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_Toc4052 </w:instrText>
          </w:r>
          <w:r>
            <w:rPr>
              <w:rFonts w:hint="eastAsia" w:ascii="仿宋" w:hAnsi="仿宋" w:eastAsia="仿宋" w:cs="仿宋"/>
              <w:bCs/>
              <w:kern w:val="2"/>
              <w:sz w:val="32"/>
              <w:szCs w:val="32"/>
              <w:lang w:val="en-US" w:eastAsia="zh-CN"/>
            </w:rPr>
            <w:fldChar w:fldCharType="separate"/>
          </w:r>
          <w:r>
            <w:rPr>
              <w:rFonts w:hint="eastAsia" w:ascii="楷体_GB2312" w:hAnsi="楷体_GB2312" w:eastAsia="楷体_GB2312" w:cs="楷体_GB2312"/>
              <w:bCs/>
              <w:sz w:val="32"/>
              <w:szCs w:val="32"/>
              <w:highlight w:val="none"/>
              <w:lang w:val="en-US" w:eastAsia="zh-CN"/>
            </w:rPr>
            <w:t>（三）评价依据</w:t>
          </w:r>
          <w:r>
            <w:rPr>
              <w:sz w:val="32"/>
              <w:szCs w:val="32"/>
            </w:rPr>
            <w:tab/>
          </w:r>
          <w:r>
            <w:rPr>
              <w:sz w:val="32"/>
              <w:szCs w:val="32"/>
            </w:rPr>
            <w:fldChar w:fldCharType="begin"/>
          </w:r>
          <w:r>
            <w:rPr>
              <w:sz w:val="32"/>
              <w:szCs w:val="32"/>
            </w:rPr>
            <w:instrText xml:space="preserve"> PAGEREF _Toc4052 \h </w:instrText>
          </w:r>
          <w:r>
            <w:rPr>
              <w:sz w:val="32"/>
              <w:szCs w:val="32"/>
            </w:rPr>
            <w:fldChar w:fldCharType="separate"/>
          </w:r>
          <w:r>
            <w:rPr>
              <w:sz w:val="32"/>
              <w:szCs w:val="32"/>
            </w:rPr>
            <w:t>7</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5BA6813D">
          <w:pPr>
            <w:pStyle w:val="13"/>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_Toc19676 </w:instrText>
          </w:r>
          <w:r>
            <w:rPr>
              <w:rFonts w:hint="eastAsia" w:ascii="仿宋" w:hAnsi="仿宋" w:eastAsia="仿宋" w:cs="仿宋"/>
              <w:bCs/>
              <w:kern w:val="2"/>
              <w:sz w:val="32"/>
              <w:szCs w:val="32"/>
              <w:lang w:val="en-US" w:eastAsia="zh-CN"/>
            </w:rPr>
            <w:fldChar w:fldCharType="separate"/>
          </w:r>
          <w:r>
            <w:rPr>
              <w:rFonts w:hint="eastAsia" w:ascii="楷体_GB2312" w:hAnsi="楷体_GB2312" w:eastAsia="楷体_GB2312" w:cs="楷体_GB2312"/>
              <w:bCs/>
              <w:sz w:val="32"/>
              <w:szCs w:val="32"/>
              <w:highlight w:val="none"/>
              <w:lang w:val="en-US" w:eastAsia="zh-CN"/>
            </w:rPr>
            <w:t>（四）评价原则和评价指标体系</w:t>
          </w:r>
          <w:r>
            <w:rPr>
              <w:sz w:val="32"/>
              <w:szCs w:val="32"/>
            </w:rPr>
            <w:tab/>
          </w:r>
          <w:r>
            <w:rPr>
              <w:sz w:val="32"/>
              <w:szCs w:val="32"/>
            </w:rPr>
            <w:fldChar w:fldCharType="begin"/>
          </w:r>
          <w:r>
            <w:rPr>
              <w:sz w:val="32"/>
              <w:szCs w:val="32"/>
            </w:rPr>
            <w:instrText xml:space="preserve"> PAGEREF _Toc19676 \h </w:instrText>
          </w:r>
          <w:r>
            <w:rPr>
              <w:sz w:val="32"/>
              <w:szCs w:val="32"/>
            </w:rPr>
            <w:fldChar w:fldCharType="separate"/>
          </w:r>
          <w:r>
            <w:rPr>
              <w:sz w:val="32"/>
              <w:szCs w:val="32"/>
            </w:rPr>
            <w:t>8</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5A236713">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_Toc23690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sz w:val="32"/>
              <w:szCs w:val="32"/>
              <w:highlight w:val="none"/>
              <w:lang w:val="en-US" w:eastAsia="zh-CN"/>
            </w:rPr>
            <w:t>1.评价原则</w:t>
          </w:r>
          <w:r>
            <w:rPr>
              <w:sz w:val="32"/>
              <w:szCs w:val="32"/>
            </w:rPr>
            <w:tab/>
          </w:r>
          <w:r>
            <w:rPr>
              <w:sz w:val="32"/>
              <w:szCs w:val="32"/>
            </w:rPr>
            <w:fldChar w:fldCharType="begin"/>
          </w:r>
          <w:r>
            <w:rPr>
              <w:sz w:val="32"/>
              <w:szCs w:val="32"/>
            </w:rPr>
            <w:instrText xml:space="preserve"> PAGEREF _Toc23690 \h </w:instrText>
          </w:r>
          <w:r>
            <w:rPr>
              <w:sz w:val="32"/>
              <w:szCs w:val="32"/>
            </w:rPr>
            <w:fldChar w:fldCharType="separate"/>
          </w:r>
          <w:r>
            <w:rPr>
              <w:sz w:val="32"/>
              <w:szCs w:val="32"/>
            </w:rPr>
            <w:t>8</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66C6B500">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_Toc24286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sz w:val="32"/>
              <w:szCs w:val="32"/>
              <w:highlight w:val="none"/>
              <w:lang w:val="en-US" w:eastAsia="zh-CN"/>
            </w:rPr>
            <w:t>2.绩效评价指标体系</w:t>
          </w:r>
          <w:r>
            <w:rPr>
              <w:sz w:val="32"/>
              <w:szCs w:val="32"/>
            </w:rPr>
            <w:tab/>
          </w:r>
          <w:r>
            <w:rPr>
              <w:sz w:val="32"/>
              <w:szCs w:val="32"/>
            </w:rPr>
            <w:fldChar w:fldCharType="begin"/>
          </w:r>
          <w:r>
            <w:rPr>
              <w:sz w:val="32"/>
              <w:szCs w:val="32"/>
            </w:rPr>
            <w:instrText xml:space="preserve"> PAGEREF _Toc24286 \h </w:instrText>
          </w:r>
          <w:r>
            <w:rPr>
              <w:sz w:val="32"/>
              <w:szCs w:val="32"/>
            </w:rPr>
            <w:fldChar w:fldCharType="separate"/>
          </w:r>
          <w:r>
            <w:rPr>
              <w:sz w:val="32"/>
              <w:szCs w:val="32"/>
            </w:rPr>
            <w:t>8</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103AE19C">
          <w:pPr>
            <w:pStyle w:val="13"/>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_Toc29366 </w:instrText>
          </w:r>
          <w:r>
            <w:rPr>
              <w:rFonts w:hint="eastAsia" w:ascii="仿宋" w:hAnsi="仿宋" w:eastAsia="仿宋" w:cs="仿宋"/>
              <w:bCs/>
              <w:kern w:val="2"/>
              <w:sz w:val="32"/>
              <w:szCs w:val="32"/>
              <w:lang w:val="en-US" w:eastAsia="zh-CN"/>
            </w:rPr>
            <w:fldChar w:fldCharType="separate"/>
          </w:r>
          <w:r>
            <w:rPr>
              <w:rFonts w:hint="eastAsia" w:ascii="楷体_GB2312" w:hAnsi="楷体_GB2312" w:eastAsia="楷体_GB2312" w:cs="楷体_GB2312"/>
              <w:bCs/>
              <w:sz w:val="32"/>
              <w:szCs w:val="32"/>
              <w:highlight w:val="none"/>
              <w:lang w:val="en-US" w:eastAsia="zh-CN"/>
            </w:rPr>
            <w:t>（五）评价方法和评价标准</w:t>
          </w:r>
          <w:r>
            <w:rPr>
              <w:sz w:val="32"/>
              <w:szCs w:val="32"/>
            </w:rPr>
            <w:tab/>
          </w:r>
          <w:r>
            <w:rPr>
              <w:sz w:val="32"/>
              <w:szCs w:val="32"/>
            </w:rPr>
            <w:fldChar w:fldCharType="begin"/>
          </w:r>
          <w:r>
            <w:rPr>
              <w:sz w:val="32"/>
              <w:szCs w:val="32"/>
            </w:rPr>
            <w:instrText xml:space="preserve"> PAGEREF _Toc29366 \h </w:instrText>
          </w:r>
          <w:r>
            <w:rPr>
              <w:sz w:val="32"/>
              <w:szCs w:val="32"/>
            </w:rPr>
            <w:fldChar w:fldCharType="separate"/>
          </w:r>
          <w:r>
            <w:rPr>
              <w:sz w:val="32"/>
              <w:szCs w:val="32"/>
            </w:rPr>
            <w:t>9</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0EF101D8">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_Toc6629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sz w:val="32"/>
              <w:szCs w:val="32"/>
              <w:highlight w:val="none"/>
              <w:lang w:val="en-US" w:eastAsia="zh-CN"/>
            </w:rPr>
            <w:t>1.评价方法</w:t>
          </w:r>
          <w:r>
            <w:rPr>
              <w:sz w:val="32"/>
              <w:szCs w:val="32"/>
            </w:rPr>
            <w:tab/>
          </w:r>
          <w:r>
            <w:rPr>
              <w:sz w:val="32"/>
              <w:szCs w:val="32"/>
            </w:rPr>
            <w:fldChar w:fldCharType="begin"/>
          </w:r>
          <w:r>
            <w:rPr>
              <w:sz w:val="32"/>
              <w:szCs w:val="32"/>
            </w:rPr>
            <w:instrText xml:space="preserve"> PAGEREF _Toc6629 \h </w:instrText>
          </w:r>
          <w:r>
            <w:rPr>
              <w:sz w:val="32"/>
              <w:szCs w:val="32"/>
            </w:rPr>
            <w:fldChar w:fldCharType="separate"/>
          </w:r>
          <w:r>
            <w:rPr>
              <w:sz w:val="32"/>
              <w:szCs w:val="32"/>
            </w:rPr>
            <w:t>9</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7933D6A4">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_Toc8869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sz w:val="32"/>
              <w:szCs w:val="32"/>
              <w:highlight w:val="none"/>
              <w:lang w:val="en-US" w:eastAsia="zh-CN"/>
            </w:rPr>
            <w:t>2.评价标准</w:t>
          </w:r>
          <w:r>
            <w:rPr>
              <w:sz w:val="32"/>
              <w:szCs w:val="32"/>
            </w:rPr>
            <w:tab/>
          </w:r>
          <w:r>
            <w:rPr>
              <w:sz w:val="32"/>
              <w:szCs w:val="32"/>
            </w:rPr>
            <w:fldChar w:fldCharType="begin"/>
          </w:r>
          <w:r>
            <w:rPr>
              <w:sz w:val="32"/>
              <w:szCs w:val="32"/>
            </w:rPr>
            <w:instrText xml:space="preserve"> PAGEREF _Toc8869 \h </w:instrText>
          </w:r>
          <w:r>
            <w:rPr>
              <w:sz w:val="32"/>
              <w:szCs w:val="32"/>
            </w:rPr>
            <w:fldChar w:fldCharType="separate"/>
          </w:r>
          <w:r>
            <w:rPr>
              <w:sz w:val="32"/>
              <w:szCs w:val="32"/>
            </w:rPr>
            <w:t>9</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475A6C5B">
          <w:pPr>
            <w:pStyle w:val="13"/>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_Toc23090 </w:instrText>
          </w:r>
          <w:r>
            <w:rPr>
              <w:rFonts w:hint="eastAsia" w:ascii="仿宋" w:hAnsi="仿宋" w:eastAsia="仿宋" w:cs="仿宋"/>
              <w:bCs/>
              <w:kern w:val="2"/>
              <w:sz w:val="32"/>
              <w:szCs w:val="32"/>
              <w:lang w:val="en-US" w:eastAsia="zh-CN"/>
            </w:rPr>
            <w:fldChar w:fldCharType="separate"/>
          </w:r>
          <w:r>
            <w:rPr>
              <w:rFonts w:hint="eastAsia" w:ascii="楷体_GB2312" w:hAnsi="楷体_GB2312" w:eastAsia="楷体_GB2312" w:cs="楷体_GB2312"/>
              <w:bCs/>
              <w:sz w:val="32"/>
              <w:szCs w:val="32"/>
              <w:highlight w:val="none"/>
              <w:lang w:val="en-US" w:eastAsia="zh-CN"/>
            </w:rPr>
            <w:t>（六）绩效评价工作过程</w:t>
          </w:r>
          <w:r>
            <w:rPr>
              <w:sz w:val="32"/>
              <w:szCs w:val="32"/>
            </w:rPr>
            <w:tab/>
          </w:r>
          <w:r>
            <w:rPr>
              <w:sz w:val="32"/>
              <w:szCs w:val="32"/>
            </w:rPr>
            <w:fldChar w:fldCharType="begin"/>
          </w:r>
          <w:r>
            <w:rPr>
              <w:sz w:val="32"/>
              <w:szCs w:val="32"/>
            </w:rPr>
            <w:instrText xml:space="preserve"> PAGEREF _Toc23090 \h </w:instrText>
          </w:r>
          <w:r>
            <w:rPr>
              <w:sz w:val="32"/>
              <w:szCs w:val="32"/>
            </w:rPr>
            <w:fldChar w:fldCharType="separate"/>
          </w:r>
          <w:r>
            <w:rPr>
              <w:sz w:val="32"/>
              <w:szCs w:val="32"/>
            </w:rPr>
            <w:t>10</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15CE86A5">
          <w:pPr>
            <w:pStyle w:val="12"/>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_Toc6162 </w:instrText>
          </w:r>
          <w:r>
            <w:rPr>
              <w:rFonts w:hint="eastAsia" w:ascii="仿宋" w:hAnsi="仿宋" w:eastAsia="仿宋" w:cs="仿宋"/>
              <w:bCs/>
              <w:kern w:val="2"/>
              <w:sz w:val="32"/>
              <w:szCs w:val="32"/>
              <w:lang w:val="en-US" w:eastAsia="zh-CN"/>
            </w:rPr>
            <w:fldChar w:fldCharType="separate"/>
          </w:r>
          <w:r>
            <w:rPr>
              <w:rFonts w:hint="eastAsia" w:ascii="黑体" w:hAnsi="黑体" w:eastAsia="黑体" w:cs="黑体"/>
              <w:bCs/>
              <w:sz w:val="32"/>
              <w:szCs w:val="32"/>
              <w:highlight w:val="none"/>
              <w:lang w:val="en-US" w:eastAsia="zh-CN"/>
            </w:rPr>
            <w:t>三、综合评价结论及分析</w:t>
          </w:r>
          <w:r>
            <w:rPr>
              <w:sz w:val="32"/>
              <w:szCs w:val="32"/>
            </w:rPr>
            <w:tab/>
          </w:r>
          <w:r>
            <w:rPr>
              <w:sz w:val="32"/>
              <w:szCs w:val="32"/>
            </w:rPr>
            <w:fldChar w:fldCharType="begin"/>
          </w:r>
          <w:r>
            <w:rPr>
              <w:sz w:val="32"/>
              <w:szCs w:val="32"/>
            </w:rPr>
            <w:instrText xml:space="preserve"> PAGEREF _Toc6162 \h </w:instrText>
          </w:r>
          <w:r>
            <w:rPr>
              <w:sz w:val="32"/>
              <w:szCs w:val="32"/>
            </w:rPr>
            <w:fldChar w:fldCharType="separate"/>
          </w:r>
          <w:r>
            <w:rPr>
              <w:sz w:val="32"/>
              <w:szCs w:val="32"/>
            </w:rPr>
            <w:t>10</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2B67BDE0">
          <w:pPr>
            <w:pStyle w:val="13"/>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_Toc25358 </w:instrText>
          </w:r>
          <w:r>
            <w:rPr>
              <w:rFonts w:hint="eastAsia" w:ascii="仿宋" w:hAnsi="仿宋" w:eastAsia="仿宋" w:cs="仿宋"/>
              <w:bCs/>
              <w:kern w:val="2"/>
              <w:sz w:val="32"/>
              <w:szCs w:val="32"/>
              <w:lang w:val="en-US" w:eastAsia="zh-CN"/>
            </w:rPr>
            <w:fldChar w:fldCharType="separate"/>
          </w:r>
          <w:r>
            <w:rPr>
              <w:rFonts w:hint="eastAsia" w:ascii="楷体_GB2312" w:hAnsi="楷体_GB2312" w:eastAsia="楷体_GB2312" w:cs="楷体_GB2312"/>
              <w:bCs/>
              <w:sz w:val="32"/>
              <w:szCs w:val="32"/>
              <w:highlight w:val="none"/>
              <w:lang w:val="en-US" w:eastAsia="zh-CN"/>
            </w:rPr>
            <w:t>（一）项目综合评价</w:t>
          </w:r>
          <w:r>
            <w:rPr>
              <w:sz w:val="32"/>
              <w:szCs w:val="32"/>
            </w:rPr>
            <w:tab/>
          </w:r>
          <w:r>
            <w:rPr>
              <w:sz w:val="32"/>
              <w:szCs w:val="32"/>
            </w:rPr>
            <w:fldChar w:fldCharType="begin"/>
          </w:r>
          <w:r>
            <w:rPr>
              <w:sz w:val="32"/>
              <w:szCs w:val="32"/>
            </w:rPr>
            <w:instrText xml:space="preserve"> PAGEREF _Toc25358 \h </w:instrText>
          </w:r>
          <w:r>
            <w:rPr>
              <w:sz w:val="32"/>
              <w:szCs w:val="32"/>
            </w:rPr>
            <w:fldChar w:fldCharType="separate"/>
          </w:r>
          <w:r>
            <w:rPr>
              <w:sz w:val="32"/>
              <w:szCs w:val="32"/>
            </w:rPr>
            <w:t>10</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04187369">
          <w:pPr>
            <w:pStyle w:val="13"/>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_Toc7607 </w:instrText>
          </w:r>
          <w:r>
            <w:rPr>
              <w:rFonts w:hint="eastAsia" w:ascii="仿宋" w:hAnsi="仿宋" w:eastAsia="仿宋" w:cs="仿宋"/>
              <w:bCs/>
              <w:kern w:val="2"/>
              <w:sz w:val="32"/>
              <w:szCs w:val="32"/>
              <w:lang w:val="en-US" w:eastAsia="zh-CN"/>
            </w:rPr>
            <w:fldChar w:fldCharType="separate"/>
          </w:r>
          <w:r>
            <w:rPr>
              <w:rFonts w:hint="eastAsia" w:ascii="楷体_GB2312" w:hAnsi="楷体_GB2312" w:eastAsia="楷体_GB2312" w:cs="楷体_GB2312"/>
              <w:bCs/>
              <w:sz w:val="32"/>
              <w:szCs w:val="32"/>
              <w:highlight w:val="none"/>
              <w:lang w:val="en-US" w:eastAsia="zh-CN"/>
            </w:rPr>
            <w:t>（二）项目绩效分析</w:t>
          </w:r>
          <w:r>
            <w:rPr>
              <w:sz w:val="32"/>
              <w:szCs w:val="32"/>
            </w:rPr>
            <w:tab/>
          </w:r>
          <w:r>
            <w:rPr>
              <w:sz w:val="32"/>
              <w:szCs w:val="32"/>
            </w:rPr>
            <w:fldChar w:fldCharType="begin"/>
          </w:r>
          <w:r>
            <w:rPr>
              <w:sz w:val="32"/>
              <w:szCs w:val="32"/>
            </w:rPr>
            <w:instrText xml:space="preserve"> PAGEREF _Toc7607 \h </w:instrText>
          </w:r>
          <w:r>
            <w:rPr>
              <w:sz w:val="32"/>
              <w:szCs w:val="32"/>
            </w:rPr>
            <w:fldChar w:fldCharType="separate"/>
          </w:r>
          <w:r>
            <w:rPr>
              <w:sz w:val="32"/>
              <w:szCs w:val="32"/>
            </w:rPr>
            <w:t>11</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7747A387">
          <w:pPr>
            <w:pStyle w:val="12"/>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_Toc24212 </w:instrText>
          </w:r>
          <w:r>
            <w:rPr>
              <w:rFonts w:hint="eastAsia" w:ascii="仿宋" w:hAnsi="仿宋" w:eastAsia="仿宋" w:cs="仿宋"/>
              <w:bCs/>
              <w:kern w:val="2"/>
              <w:sz w:val="32"/>
              <w:szCs w:val="32"/>
              <w:lang w:val="en-US" w:eastAsia="zh-CN"/>
            </w:rPr>
            <w:fldChar w:fldCharType="separate"/>
          </w:r>
          <w:r>
            <w:rPr>
              <w:rFonts w:hint="eastAsia" w:ascii="黑体" w:hAnsi="黑体" w:eastAsia="黑体" w:cs="黑体"/>
              <w:bCs/>
              <w:sz w:val="32"/>
              <w:szCs w:val="32"/>
              <w:highlight w:val="none"/>
              <w:lang w:val="en-US" w:eastAsia="zh-CN"/>
            </w:rPr>
            <w:t>四、绩效评价指标分析</w:t>
          </w:r>
          <w:r>
            <w:rPr>
              <w:sz w:val="32"/>
              <w:szCs w:val="32"/>
            </w:rPr>
            <w:tab/>
          </w:r>
          <w:r>
            <w:rPr>
              <w:sz w:val="32"/>
              <w:szCs w:val="32"/>
            </w:rPr>
            <w:fldChar w:fldCharType="begin"/>
          </w:r>
          <w:r>
            <w:rPr>
              <w:sz w:val="32"/>
              <w:szCs w:val="32"/>
            </w:rPr>
            <w:instrText xml:space="preserve"> PAGEREF _Toc24212 \h </w:instrText>
          </w:r>
          <w:r>
            <w:rPr>
              <w:sz w:val="32"/>
              <w:szCs w:val="32"/>
            </w:rPr>
            <w:fldChar w:fldCharType="separate"/>
          </w:r>
          <w:r>
            <w:rPr>
              <w:sz w:val="32"/>
              <w:szCs w:val="32"/>
            </w:rPr>
            <w:t>11</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256DD9DE">
          <w:pPr>
            <w:pStyle w:val="13"/>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_Toc15970 </w:instrText>
          </w:r>
          <w:r>
            <w:rPr>
              <w:rFonts w:hint="eastAsia" w:ascii="仿宋" w:hAnsi="仿宋" w:eastAsia="仿宋" w:cs="仿宋"/>
              <w:bCs/>
              <w:kern w:val="2"/>
              <w:sz w:val="32"/>
              <w:szCs w:val="32"/>
              <w:lang w:val="en-US" w:eastAsia="zh-CN"/>
            </w:rPr>
            <w:fldChar w:fldCharType="separate"/>
          </w:r>
          <w:r>
            <w:rPr>
              <w:rFonts w:hint="eastAsia" w:ascii="楷体_GB2312" w:hAnsi="楷体_GB2312" w:eastAsia="楷体_GB2312" w:cs="楷体_GB2312"/>
              <w:bCs/>
              <w:sz w:val="32"/>
              <w:szCs w:val="32"/>
              <w:highlight w:val="none"/>
              <w:lang w:val="en-US" w:eastAsia="zh-CN"/>
            </w:rPr>
            <w:t>（一）项目决策情况</w:t>
          </w:r>
          <w:r>
            <w:rPr>
              <w:sz w:val="32"/>
              <w:szCs w:val="32"/>
            </w:rPr>
            <w:tab/>
          </w:r>
          <w:r>
            <w:rPr>
              <w:sz w:val="32"/>
              <w:szCs w:val="32"/>
            </w:rPr>
            <w:fldChar w:fldCharType="begin"/>
          </w:r>
          <w:r>
            <w:rPr>
              <w:sz w:val="32"/>
              <w:szCs w:val="32"/>
            </w:rPr>
            <w:instrText xml:space="preserve"> PAGEREF _Toc15970 \h </w:instrText>
          </w:r>
          <w:r>
            <w:rPr>
              <w:sz w:val="32"/>
              <w:szCs w:val="32"/>
            </w:rPr>
            <w:fldChar w:fldCharType="separate"/>
          </w:r>
          <w:r>
            <w:rPr>
              <w:sz w:val="32"/>
              <w:szCs w:val="32"/>
            </w:rPr>
            <w:t>11</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32F0BB9C">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_Toc6388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sz w:val="32"/>
              <w:szCs w:val="32"/>
              <w:highlight w:val="none"/>
              <w:lang w:val="en-US" w:eastAsia="zh-CN"/>
            </w:rPr>
            <w:t>1.项目立项</w:t>
          </w:r>
          <w:r>
            <w:rPr>
              <w:sz w:val="32"/>
              <w:szCs w:val="32"/>
            </w:rPr>
            <w:tab/>
          </w:r>
          <w:r>
            <w:rPr>
              <w:sz w:val="32"/>
              <w:szCs w:val="32"/>
            </w:rPr>
            <w:fldChar w:fldCharType="begin"/>
          </w:r>
          <w:r>
            <w:rPr>
              <w:sz w:val="32"/>
              <w:szCs w:val="32"/>
            </w:rPr>
            <w:instrText xml:space="preserve"> PAGEREF _Toc6388 \h </w:instrText>
          </w:r>
          <w:r>
            <w:rPr>
              <w:sz w:val="32"/>
              <w:szCs w:val="32"/>
            </w:rPr>
            <w:fldChar w:fldCharType="separate"/>
          </w:r>
          <w:r>
            <w:rPr>
              <w:sz w:val="32"/>
              <w:szCs w:val="32"/>
            </w:rPr>
            <w:t>11</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44548665">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_Toc14266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sz w:val="32"/>
              <w:szCs w:val="32"/>
              <w:highlight w:val="none"/>
              <w:lang w:val="en-US" w:eastAsia="zh-CN"/>
            </w:rPr>
            <w:t>2.绩效目标</w:t>
          </w:r>
          <w:r>
            <w:rPr>
              <w:sz w:val="32"/>
              <w:szCs w:val="32"/>
            </w:rPr>
            <w:tab/>
          </w:r>
          <w:r>
            <w:rPr>
              <w:sz w:val="32"/>
              <w:szCs w:val="32"/>
            </w:rPr>
            <w:fldChar w:fldCharType="begin"/>
          </w:r>
          <w:r>
            <w:rPr>
              <w:sz w:val="32"/>
              <w:szCs w:val="32"/>
            </w:rPr>
            <w:instrText xml:space="preserve"> PAGEREF _Toc14266 \h </w:instrText>
          </w:r>
          <w:r>
            <w:rPr>
              <w:sz w:val="32"/>
              <w:szCs w:val="32"/>
            </w:rPr>
            <w:fldChar w:fldCharType="separate"/>
          </w:r>
          <w:r>
            <w:rPr>
              <w:sz w:val="32"/>
              <w:szCs w:val="32"/>
            </w:rPr>
            <w:t>13</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623A97E7">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_Toc15015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sz w:val="32"/>
              <w:szCs w:val="32"/>
              <w:highlight w:val="none"/>
              <w:lang w:val="en-US" w:eastAsia="zh-CN"/>
            </w:rPr>
            <w:t>3.资金投入</w:t>
          </w:r>
          <w:r>
            <w:rPr>
              <w:sz w:val="32"/>
              <w:szCs w:val="32"/>
            </w:rPr>
            <w:tab/>
          </w:r>
          <w:r>
            <w:rPr>
              <w:sz w:val="32"/>
              <w:szCs w:val="32"/>
            </w:rPr>
            <w:fldChar w:fldCharType="begin"/>
          </w:r>
          <w:r>
            <w:rPr>
              <w:sz w:val="32"/>
              <w:szCs w:val="32"/>
            </w:rPr>
            <w:instrText xml:space="preserve"> PAGEREF _Toc15015 \h </w:instrText>
          </w:r>
          <w:r>
            <w:rPr>
              <w:sz w:val="32"/>
              <w:szCs w:val="32"/>
            </w:rPr>
            <w:fldChar w:fldCharType="separate"/>
          </w:r>
          <w:r>
            <w:rPr>
              <w:sz w:val="32"/>
              <w:szCs w:val="32"/>
            </w:rPr>
            <w:t>14</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794E5DDE">
          <w:pPr>
            <w:pStyle w:val="13"/>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_Toc5137 </w:instrText>
          </w:r>
          <w:r>
            <w:rPr>
              <w:rFonts w:hint="eastAsia" w:ascii="仿宋" w:hAnsi="仿宋" w:eastAsia="仿宋" w:cs="仿宋"/>
              <w:bCs/>
              <w:kern w:val="2"/>
              <w:sz w:val="32"/>
              <w:szCs w:val="32"/>
              <w:lang w:val="en-US" w:eastAsia="zh-CN"/>
            </w:rPr>
            <w:fldChar w:fldCharType="separate"/>
          </w:r>
          <w:r>
            <w:rPr>
              <w:rFonts w:hint="eastAsia" w:ascii="楷体_GB2312" w:hAnsi="楷体_GB2312" w:eastAsia="楷体_GB2312" w:cs="楷体_GB2312"/>
              <w:bCs/>
              <w:sz w:val="32"/>
              <w:szCs w:val="32"/>
              <w:highlight w:val="none"/>
              <w:lang w:val="en-US" w:eastAsia="zh-CN"/>
            </w:rPr>
            <w:t>（二）项目过程情况</w:t>
          </w:r>
          <w:r>
            <w:rPr>
              <w:sz w:val="32"/>
              <w:szCs w:val="32"/>
            </w:rPr>
            <w:tab/>
          </w:r>
          <w:r>
            <w:rPr>
              <w:sz w:val="32"/>
              <w:szCs w:val="32"/>
            </w:rPr>
            <w:fldChar w:fldCharType="begin"/>
          </w:r>
          <w:r>
            <w:rPr>
              <w:sz w:val="32"/>
              <w:szCs w:val="32"/>
            </w:rPr>
            <w:instrText xml:space="preserve"> PAGEREF _Toc5137 \h </w:instrText>
          </w:r>
          <w:r>
            <w:rPr>
              <w:sz w:val="32"/>
              <w:szCs w:val="32"/>
            </w:rPr>
            <w:fldChar w:fldCharType="separate"/>
          </w:r>
          <w:r>
            <w:rPr>
              <w:sz w:val="32"/>
              <w:szCs w:val="32"/>
            </w:rPr>
            <w:t>15</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002F9CE3">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_Toc8557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sz w:val="32"/>
              <w:szCs w:val="32"/>
              <w:highlight w:val="none"/>
              <w:lang w:val="en-US" w:eastAsia="zh-CN"/>
            </w:rPr>
            <w:t>1.资金管理</w:t>
          </w:r>
          <w:r>
            <w:rPr>
              <w:sz w:val="32"/>
              <w:szCs w:val="32"/>
            </w:rPr>
            <w:tab/>
          </w:r>
          <w:r>
            <w:rPr>
              <w:sz w:val="32"/>
              <w:szCs w:val="32"/>
            </w:rPr>
            <w:fldChar w:fldCharType="begin"/>
          </w:r>
          <w:r>
            <w:rPr>
              <w:sz w:val="32"/>
              <w:szCs w:val="32"/>
            </w:rPr>
            <w:instrText xml:space="preserve"> PAGEREF _Toc8557 \h </w:instrText>
          </w:r>
          <w:r>
            <w:rPr>
              <w:sz w:val="32"/>
              <w:szCs w:val="32"/>
            </w:rPr>
            <w:fldChar w:fldCharType="separate"/>
          </w:r>
          <w:r>
            <w:rPr>
              <w:sz w:val="32"/>
              <w:szCs w:val="32"/>
            </w:rPr>
            <w:t>15</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36C3B1DA">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_Toc11264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sz w:val="32"/>
              <w:szCs w:val="32"/>
              <w:highlight w:val="none"/>
              <w:lang w:val="en-US" w:eastAsia="zh-CN"/>
            </w:rPr>
            <w:t>2.组织实施</w:t>
          </w:r>
          <w:r>
            <w:rPr>
              <w:sz w:val="32"/>
              <w:szCs w:val="32"/>
            </w:rPr>
            <w:tab/>
          </w:r>
          <w:r>
            <w:rPr>
              <w:sz w:val="32"/>
              <w:szCs w:val="32"/>
            </w:rPr>
            <w:fldChar w:fldCharType="begin"/>
          </w:r>
          <w:r>
            <w:rPr>
              <w:sz w:val="32"/>
              <w:szCs w:val="32"/>
            </w:rPr>
            <w:instrText xml:space="preserve"> PAGEREF _Toc11264 \h </w:instrText>
          </w:r>
          <w:r>
            <w:rPr>
              <w:sz w:val="32"/>
              <w:szCs w:val="32"/>
            </w:rPr>
            <w:fldChar w:fldCharType="separate"/>
          </w:r>
          <w:r>
            <w:rPr>
              <w:sz w:val="32"/>
              <w:szCs w:val="32"/>
            </w:rPr>
            <w:t>16</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76C79E25">
          <w:pPr>
            <w:pStyle w:val="13"/>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_Toc13832 </w:instrText>
          </w:r>
          <w:r>
            <w:rPr>
              <w:rFonts w:hint="eastAsia" w:ascii="仿宋" w:hAnsi="仿宋" w:eastAsia="仿宋" w:cs="仿宋"/>
              <w:bCs/>
              <w:kern w:val="2"/>
              <w:sz w:val="32"/>
              <w:szCs w:val="32"/>
              <w:lang w:val="en-US" w:eastAsia="zh-CN"/>
            </w:rPr>
            <w:fldChar w:fldCharType="separate"/>
          </w:r>
          <w:r>
            <w:rPr>
              <w:rFonts w:hint="eastAsia" w:ascii="楷体_GB2312" w:hAnsi="楷体_GB2312" w:eastAsia="楷体_GB2312" w:cs="楷体_GB2312"/>
              <w:bCs/>
              <w:sz w:val="32"/>
              <w:szCs w:val="32"/>
              <w:highlight w:val="none"/>
              <w:lang w:val="en-US" w:eastAsia="zh-CN"/>
            </w:rPr>
            <w:t>（三）项目产出情况</w:t>
          </w:r>
          <w:r>
            <w:rPr>
              <w:sz w:val="32"/>
              <w:szCs w:val="32"/>
            </w:rPr>
            <w:tab/>
          </w:r>
          <w:r>
            <w:rPr>
              <w:sz w:val="32"/>
              <w:szCs w:val="32"/>
            </w:rPr>
            <w:fldChar w:fldCharType="begin"/>
          </w:r>
          <w:r>
            <w:rPr>
              <w:sz w:val="32"/>
              <w:szCs w:val="32"/>
            </w:rPr>
            <w:instrText xml:space="preserve"> PAGEREF _Toc13832 \h </w:instrText>
          </w:r>
          <w:r>
            <w:rPr>
              <w:sz w:val="32"/>
              <w:szCs w:val="32"/>
            </w:rPr>
            <w:fldChar w:fldCharType="separate"/>
          </w:r>
          <w:r>
            <w:rPr>
              <w:sz w:val="32"/>
              <w:szCs w:val="32"/>
            </w:rPr>
            <w:t>19</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7B684E32">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_Toc5529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sz w:val="32"/>
              <w:szCs w:val="32"/>
              <w:highlight w:val="none"/>
              <w:lang w:val="en-US" w:eastAsia="zh-CN"/>
            </w:rPr>
            <w:t>1.产出数量</w:t>
          </w:r>
          <w:r>
            <w:rPr>
              <w:sz w:val="32"/>
              <w:szCs w:val="32"/>
            </w:rPr>
            <w:tab/>
          </w:r>
          <w:r>
            <w:rPr>
              <w:sz w:val="32"/>
              <w:szCs w:val="32"/>
            </w:rPr>
            <w:fldChar w:fldCharType="begin"/>
          </w:r>
          <w:r>
            <w:rPr>
              <w:sz w:val="32"/>
              <w:szCs w:val="32"/>
            </w:rPr>
            <w:instrText xml:space="preserve"> PAGEREF _Toc5529 \h </w:instrText>
          </w:r>
          <w:r>
            <w:rPr>
              <w:sz w:val="32"/>
              <w:szCs w:val="32"/>
            </w:rPr>
            <w:fldChar w:fldCharType="separate"/>
          </w:r>
          <w:r>
            <w:rPr>
              <w:sz w:val="32"/>
              <w:szCs w:val="32"/>
            </w:rPr>
            <w:t>19</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6D593EFF">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_Toc19736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sz w:val="32"/>
              <w:szCs w:val="32"/>
              <w:highlight w:val="none"/>
              <w:lang w:val="en-US" w:eastAsia="zh-CN"/>
            </w:rPr>
            <w:t>2.产出质量</w:t>
          </w:r>
          <w:r>
            <w:rPr>
              <w:sz w:val="32"/>
              <w:szCs w:val="32"/>
            </w:rPr>
            <w:tab/>
          </w:r>
          <w:r>
            <w:rPr>
              <w:sz w:val="32"/>
              <w:szCs w:val="32"/>
            </w:rPr>
            <w:fldChar w:fldCharType="begin"/>
          </w:r>
          <w:r>
            <w:rPr>
              <w:sz w:val="32"/>
              <w:szCs w:val="32"/>
            </w:rPr>
            <w:instrText xml:space="preserve"> PAGEREF _Toc19736 \h </w:instrText>
          </w:r>
          <w:r>
            <w:rPr>
              <w:sz w:val="32"/>
              <w:szCs w:val="32"/>
            </w:rPr>
            <w:fldChar w:fldCharType="separate"/>
          </w:r>
          <w:r>
            <w:rPr>
              <w:sz w:val="32"/>
              <w:szCs w:val="32"/>
            </w:rPr>
            <w:t>20</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35259984">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_Toc30324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sz w:val="32"/>
              <w:szCs w:val="32"/>
              <w:highlight w:val="none"/>
              <w:lang w:val="en-US" w:eastAsia="zh-CN"/>
            </w:rPr>
            <w:t>3.产出时效</w:t>
          </w:r>
          <w:r>
            <w:rPr>
              <w:sz w:val="32"/>
              <w:szCs w:val="32"/>
            </w:rPr>
            <w:tab/>
          </w:r>
          <w:r>
            <w:rPr>
              <w:sz w:val="32"/>
              <w:szCs w:val="32"/>
            </w:rPr>
            <w:fldChar w:fldCharType="begin"/>
          </w:r>
          <w:r>
            <w:rPr>
              <w:sz w:val="32"/>
              <w:szCs w:val="32"/>
            </w:rPr>
            <w:instrText xml:space="preserve"> PAGEREF _Toc30324 \h </w:instrText>
          </w:r>
          <w:r>
            <w:rPr>
              <w:sz w:val="32"/>
              <w:szCs w:val="32"/>
            </w:rPr>
            <w:fldChar w:fldCharType="separate"/>
          </w:r>
          <w:r>
            <w:rPr>
              <w:sz w:val="32"/>
              <w:szCs w:val="32"/>
            </w:rPr>
            <w:t>21</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424997BF">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_Toc21377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sz w:val="32"/>
              <w:szCs w:val="32"/>
              <w:highlight w:val="none"/>
              <w:lang w:val="en-US" w:eastAsia="zh-CN"/>
            </w:rPr>
            <w:t>4.产出成本</w:t>
          </w:r>
          <w:r>
            <w:rPr>
              <w:sz w:val="32"/>
              <w:szCs w:val="32"/>
            </w:rPr>
            <w:tab/>
          </w:r>
          <w:r>
            <w:rPr>
              <w:sz w:val="32"/>
              <w:szCs w:val="32"/>
            </w:rPr>
            <w:fldChar w:fldCharType="begin"/>
          </w:r>
          <w:r>
            <w:rPr>
              <w:sz w:val="32"/>
              <w:szCs w:val="32"/>
            </w:rPr>
            <w:instrText xml:space="preserve"> PAGEREF _Toc21377 \h </w:instrText>
          </w:r>
          <w:r>
            <w:rPr>
              <w:sz w:val="32"/>
              <w:szCs w:val="32"/>
            </w:rPr>
            <w:fldChar w:fldCharType="separate"/>
          </w:r>
          <w:r>
            <w:rPr>
              <w:sz w:val="32"/>
              <w:szCs w:val="32"/>
            </w:rPr>
            <w:t>22</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319711B3">
          <w:pPr>
            <w:pStyle w:val="13"/>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_Toc5865 </w:instrText>
          </w:r>
          <w:r>
            <w:rPr>
              <w:rFonts w:hint="eastAsia" w:ascii="仿宋" w:hAnsi="仿宋" w:eastAsia="仿宋" w:cs="仿宋"/>
              <w:bCs/>
              <w:kern w:val="2"/>
              <w:sz w:val="32"/>
              <w:szCs w:val="32"/>
              <w:lang w:val="en-US" w:eastAsia="zh-CN"/>
            </w:rPr>
            <w:fldChar w:fldCharType="separate"/>
          </w:r>
          <w:r>
            <w:rPr>
              <w:rFonts w:hint="eastAsia" w:ascii="楷体_GB2312" w:hAnsi="楷体_GB2312" w:eastAsia="楷体_GB2312" w:cs="楷体_GB2312"/>
              <w:bCs/>
              <w:sz w:val="32"/>
              <w:szCs w:val="32"/>
              <w:highlight w:val="none"/>
              <w:lang w:val="en-US" w:eastAsia="zh-CN"/>
            </w:rPr>
            <w:t>（四）项目效益情况</w:t>
          </w:r>
          <w:r>
            <w:rPr>
              <w:sz w:val="32"/>
              <w:szCs w:val="32"/>
            </w:rPr>
            <w:tab/>
          </w:r>
          <w:r>
            <w:rPr>
              <w:sz w:val="32"/>
              <w:szCs w:val="32"/>
            </w:rPr>
            <w:fldChar w:fldCharType="begin"/>
          </w:r>
          <w:r>
            <w:rPr>
              <w:sz w:val="32"/>
              <w:szCs w:val="32"/>
            </w:rPr>
            <w:instrText xml:space="preserve"> PAGEREF _Toc5865 \h </w:instrText>
          </w:r>
          <w:r>
            <w:rPr>
              <w:sz w:val="32"/>
              <w:szCs w:val="32"/>
            </w:rPr>
            <w:fldChar w:fldCharType="separate"/>
          </w:r>
          <w:r>
            <w:rPr>
              <w:sz w:val="32"/>
              <w:szCs w:val="32"/>
            </w:rPr>
            <w:t>22</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5BF45881">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_Toc19257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sz w:val="32"/>
              <w:szCs w:val="32"/>
              <w:highlight w:val="none"/>
              <w:lang w:val="en-US" w:eastAsia="zh-CN"/>
            </w:rPr>
            <w:t>1.生态环境效益</w:t>
          </w:r>
          <w:r>
            <w:rPr>
              <w:sz w:val="32"/>
              <w:szCs w:val="32"/>
            </w:rPr>
            <w:tab/>
          </w:r>
          <w:r>
            <w:rPr>
              <w:sz w:val="32"/>
              <w:szCs w:val="32"/>
            </w:rPr>
            <w:fldChar w:fldCharType="begin"/>
          </w:r>
          <w:r>
            <w:rPr>
              <w:sz w:val="32"/>
              <w:szCs w:val="32"/>
            </w:rPr>
            <w:instrText xml:space="preserve"> PAGEREF _Toc19257 \h </w:instrText>
          </w:r>
          <w:r>
            <w:rPr>
              <w:sz w:val="32"/>
              <w:szCs w:val="32"/>
            </w:rPr>
            <w:fldChar w:fldCharType="separate"/>
          </w:r>
          <w:r>
            <w:rPr>
              <w:sz w:val="32"/>
              <w:szCs w:val="32"/>
            </w:rPr>
            <w:t>22</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2DD04EFB">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_Toc18468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sz w:val="32"/>
              <w:szCs w:val="32"/>
              <w:highlight w:val="none"/>
              <w:lang w:val="en-US" w:eastAsia="zh-CN"/>
            </w:rPr>
            <w:t>2.社会效益</w:t>
          </w:r>
          <w:r>
            <w:rPr>
              <w:sz w:val="32"/>
              <w:szCs w:val="32"/>
            </w:rPr>
            <w:tab/>
          </w:r>
          <w:r>
            <w:rPr>
              <w:sz w:val="32"/>
              <w:szCs w:val="32"/>
            </w:rPr>
            <w:fldChar w:fldCharType="begin"/>
          </w:r>
          <w:r>
            <w:rPr>
              <w:sz w:val="32"/>
              <w:szCs w:val="32"/>
            </w:rPr>
            <w:instrText xml:space="preserve"> PAGEREF _Toc18468 \h </w:instrText>
          </w:r>
          <w:r>
            <w:rPr>
              <w:sz w:val="32"/>
              <w:szCs w:val="32"/>
            </w:rPr>
            <w:fldChar w:fldCharType="separate"/>
          </w:r>
          <w:r>
            <w:rPr>
              <w:sz w:val="32"/>
              <w:szCs w:val="32"/>
            </w:rPr>
            <w:t>23</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7235D6F2">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_Toc896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sz w:val="32"/>
              <w:szCs w:val="32"/>
              <w:highlight w:val="none"/>
              <w:lang w:val="en-US" w:eastAsia="zh-CN"/>
            </w:rPr>
            <w:t>3.满意度</w:t>
          </w:r>
          <w:r>
            <w:rPr>
              <w:sz w:val="32"/>
              <w:szCs w:val="32"/>
            </w:rPr>
            <w:tab/>
          </w:r>
          <w:r>
            <w:rPr>
              <w:sz w:val="32"/>
              <w:szCs w:val="32"/>
            </w:rPr>
            <w:fldChar w:fldCharType="begin"/>
          </w:r>
          <w:r>
            <w:rPr>
              <w:sz w:val="32"/>
              <w:szCs w:val="32"/>
            </w:rPr>
            <w:instrText xml:space="preserve"> PAGEREF _Toc896 \h </w:instrText>
          </w:r>
          <w:r>
            <w:rPr>
              <w:sz w:val="32"/>
              <w:szCs w:val="32"/>
            </w:rPr>
            <w:fldChar w:fldCharType="separate"/>
          </w:r>
          <w:r>
            <w:rPr>
              <w:sz w:val="32"/>
              <w:szCs w:val="32"/>
            </w:rPr>
            <w:t>24</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29FDBC58">
          <w:pPr>
            <w:pStyle w:val="12"/>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_Toc31753 </w:instrText>
          </w:r>
          <w:r>
            <w:rPr>
              <w:rFonts w:hint="eastAsia" w:ascii="仿宋" w:hAnsi="仿宋" w:eastAsia="仿宋" w:cs="仿宋"/>
              <w:bCs/>
              <w:kern w:val="2"/>
              <w:sz w:val="32"/>
              <w:szCs w:val="32"/>
              <w:lang w:val="en-US" w:eastAsia="zh-CN"/>
            </w:rPr>
            <w:fldChar w:fldCharType="separate"/>
          </w:r>
          <w:r>
            <w:rPr>
              <w:rFonts w:hint="eastAsia" w:ascii="黑体" w:hAnsi="黑体" w:eastAsia="黑体" w:cs="黑体"/>
              <w:bCs/>
              <w:sz w:val="32"/>
              <w:szCs w:val="32"/>
              <w:highlight w:val="none"/>
              <w:lang w:val="en-US" w:eastAsia="zh-CN"/>
            </w:rPr>
            <w:t>五、主要问题及建议</w:t>
          </w:r>
          <w:r>
            <w:rPr>
              <w:sz w:val="32"/>
              <w:szCs w:val="32"/>
            </w:rPr>
            <w:tab/>
          </w:r>
          <w:r>
            <w:rPr>
              <w:sz w:val="32"/>
              <w:szCs w:val="32"/>
            </w:rPr>
            <w:fldChar w:fldCharType="begin"/>
          </w:r>
          <w:r>
            <w:rPr>
              <w:sz w:val="32"/>
              <w:szCs w:val="32"/>
            </w:rPr>
            <w:instrText xml:space="preserve"> PAGEREF _Toc31753 \h </w:instrText>
          </w:r>
          <w:r>
            <w:rPr>
              <w:sz w:val="32"/>
              <w:szCs w:val="32"/>
            </w:rPr>
            <w:fldChar w:fldCharType="separate"/>
          </w:r>
          <w:r>
            <w:rPr>
              <w:sz w:val="32"/>
              <w:szCs w:val="32"/>
            </w:rPr>
            <w:t>24</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600889C0">
          <w:pPr>
            <w:pStyle w:val="13"/>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_Toc4036 </w:instrText>
          </w:r>
          <w:r>
            <w:rPr>
              <w:rFonts w:hint="eastAsia" w:ascii="仿宋" w:hAnsi="仿宋" w:eastAsia="仿宋" w:cs="仿宋"/>
              <w:bCs/>
              <w:kern w:val="2"/>
              <w:sz w:val="32"/>
              <w:szCs w:val="32"/>
              <w:lang w:val="en-US" w:eastAsia="zh-CN"/>
            </w:rPr>
            <w:fldChar w:fldCharType="separate"/>
          </w:r>
          <w:r>
            <w:rPr>
              <w:rFonts w:hint="eastAsia" w:ascii="楷体_GB2312" w:hAnsi="楷体_GB2312" w:eastAsia="楷体_GB2312" w:cs="楷体_GB2312"/>
              <w:bCs/>
              <w:sz w:val="32"/>
              <w:szCs w:val="32"/>
              <w:highlight w:val="none"/>
              <w:lang w:val="en-US" w:eastAsia="zh-CN"/>
            </w:rPr>
            <w:t>（一）主要问题</w:t>
          </w:r>
          <w:r>
            <w:rPr>
              <w:sz w:val="32"/>
              <w:szCs w:val="32"/>
            </w:rPr>
            <w:tab/>
          </w:r>
          <w:r>
            <w:rPr>
              <w:sz w:val="32"/>
              <w:szCs w:val="32"/>
            </w:rPr>
            <w:fldChar w:fldCharType="begin"/>
          </w:r>
          <w:r>
            <w:rPr>
              <w:sz w:val="32"/>
              <w:szCs w:val="32"/>
            </w:rPr>
            <w:instrText xml:space="preserve"> PAGEREF _Toc4036 \h </w:instrText>
          </w:r>
          <w:r>
            <w:rPr>
              <w:sz w:val="32"/>
              <w:szCs w:val="32"/>
            </w:rPr>
            <w:fldChar w:fldCharType="separate"/>
          </w:r>
          <w:r>
            <w:rPr>
              <w:sz w:val="32"/>
              <w:szCs w:val="32"/>
            </w:rPr>
            <w:t>24</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0D0E3573">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_Toc9468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kern w:val="2"/>
              <w:sz w:val="32"/>
              <w:szCs w:val="32"/>
              <w:highlight w:val="none"/>
              <w:lang w:val="en-US" w:eastAsia="zh-CN" w:bidi="ar-SA"/>
            </w:rPr>
            <w:t>1.殡葬服务表单不规范凭证管理松监管效能低</w:t>
          </w:r>
          <w:r>
            <w:rPr>
              <w:sz w:val="32"/>
              <w:szCs w:val="32"/>
            </w:rPr>
            <w:tab/>
          </w:r>
          <w:r>
            <w:rPr>
              <w:sz w:val="32"/>
              <w:szCs w:val="32"/>
            </w:rPr>
            <w:fldChar w:fldCharType="begin"/>
          </w:r>
          <w:r>
            <w:rPr>
              <w:sz w:val="32"/>
              <w:szCs w:val="32"/>
            </w:rPr>
            <w:instrText xml:space="preserve"> PAGEREF _Toc9468 \h </w:instrText>
          </w:r>
          <w:r>
            <w:rPr>
              <w:sz w:val="32"/>
              <w:szCs w:val="32"/>
            </w:rPr>
            <w:fldChar w:fldCharType="separate"/>
          </w:r>
          <w:r>
            <w:rPr>
              <w:sz w:val="32"/>
              <w:szCs w:val="32"/>
            </w:rPr>
            <w:t>24</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495776C1">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_Toc23239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sz w:val="32"/>
              <w:szCs w:val="32"/>
              <w:highlight w:val="none"/>
              <w:lang w:val="en-US" w:eastAsia="zh-CN"/>
            </w:rPr>
            <w:t>2.档案管理不规范</w:t>
          </w:r>
          <w:r>
            <w:rPr>
              <w:sz w:val="32"/>
              <w:szCs w:val="32"/>
            </w:rPr>
            <w:tab/>
          </w:r>
          <w:r>
            <w:rPr>
              <w:sz w:val="32"/>
              <w:szCs w:val="32"/>
            </w:rPr>
            <w:fldChar w:fldCharType="begin"/>
          </w:r>
          <w:r>
            <w:rPr>
              <w:sz w:val="32"/>
              <w:szCs w:val="32"/>
            </w:rPr>
            <w:instrText xml:space="preserve"> PAGEREF _Toc23239 \h </w:instrText>
          </w:r>
          <w:r>
            <w:rPr>
              <w:sz w:val="32"/>
              <w:szCs w:val="32"/>
            </w:rPr>
            <w:fldChar w:fldCharType="separate"/>
          </w:r>
          <w:r>
            <w:rPr>
              <w:sz w:val="32"/>
              <w:szCs w:val="32"/>
            </w:rPr>
            <w:t>25</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1C9BFD54">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_Toc25856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sz w:val="32"/>
              <w:szCs w:val="32"/>
              <w:highlight w:val="none"/>
              <w:lang w:val="en-US" w:eastAsia="zh-CN"/>
            </w:rPr>
            <w:t>3.政策宣传不够深入，知晓率低</w:t>
          </w:r>
          <w:r>
            <w:rPr>
              <w:sz w:val="32"/>
              <w:szCs w:val="32"/>
            </w:rPr>
            <w:tab/>
          </w:r>
          <w:r>
            <w:rPr>
              <w:sz w:val="32"/>
              <w:szCs w:val="32"/>
            </w:rPr>
            <w:fldChar w:fldCharType="begin"/>
          </w:r>
          <w:r>
            <w:rPr>
              <w:sz w:val="32"/>
              <w:szCs w:val="32"/>
            </w:rPr>
            <w:instrText xml:space="preserve"> PAGEREF _Toc25856 \h </w:instrText>
          </w:r>
          <w:r>
            <w:rPr>
              <w:sz w:val="32"/>
              <w:szCs w:val="32"/>
            </w:rPr>
            <w:fldChar w:fldCharType="separate"/>
          </w:r>
          <w:r>
            <w:rPr>
              <w:sz w:val="32"/>
              <w:szCs w:val="32"/>
            </w:rPr>
            <w:t>25</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68819F20">
          <w:pPr>
            <w:pStyle w:val="13"/>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_Toc24504 </w:instrText>
          </w:r>
          <w:r>
            <w:rPr>
              <w:rFonts w:hint="eastAsia" w:ascii="仿宋" w:hAnsi="仿宋" w:eastAsia="仿宋" w:cs="仿宋"/>
              <w:bCs/>
              <w:kern w:val="2"/>
              <w:sz w:val="32"/>
              <w:szCs w:val="32"/>
              <w:lang w:val="en-US" w:eastAsia="zh-CN"/>
            </w:rPr>
            <w:fldChar w:fldCharType="separate"/>
          </w:r>
          <w:r>
            <w:rPr>
              <w:rFonts w:hint="eastAsia" w:ascii="楷体_GB2312" w:hAnsi="楷体_GB2312" w:eastAsia="楷体_GB2312" w:cs="楷体_GB2312"/>
              <w:bCs/>
              <w:sz w:val="32"/>
              <w:szCs w:val="32"/>
              <w:highlight w:val="none"/>
              <w:lang w:val="en-US" w:eastAsia="zh-CN"/>
            </w:rPr>
            <w:t>（二）有关建议</w:t>
          </w:r>
          <w:r>
            <w:rPr>
              <w:sz w:val="32"/>
              <w:szCs w:val="32"/>
            </w:rPr>
            <w:tab/>
          </w:r>
          <w:r>
            <w:rPr>
              <w:sz w:val="32"/>
              <w:szCs w:val="32"/>
            </w:rPr>
            <w:fldChar w:fldCharType="begin"/>
          </w:r>
          <w:r>
            <w:rPr>
              <w:sz w:val="32"/>
              <w:szCs w:val="32"/>
            </w:rPr>
            <w:instrText xml:space="preserve"> PAGEREF _Toc24504 \h </w:instrText>
          </w:r>
          <w:r>
            <w:rPr>
              <w:sz w:val="32"/>
              <w:szCs w:val="32"/>
            </w:rPr>
            <w:fldChar w:fldCharType="separate"/>
          </w:r>
          <w:r>
            <w:rPr>
              <w:sz w:val="32"/>
              <w:szCs w:val="32"/>
            </w:rPr>
            <w:t>25</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24322F49">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_Toc3796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sz w:val="32"/>
              <w:szCs w:val="32"/>
              <w:highlight w:val="none"/>
              <w:lang w:val="en-US" w:eastAsia="zh-CN"/>
            </w:rPr>
            <w:t>1</w:t>
          </w:r>
          <w:r>
            <w:rPr>
              <w:rFonts w:hint="default" w:ascii="仿宋_GB2312" w:hAnsi="仿宋_GB2312" w:eastAsia="仿宋_GB2312" w:cs="仿宋_GB2312"/>
              <w:bCs/>
              <w:sz w:val="32"/>
              <w:szCs w:val="32"/>
              <w:highlight w:val="none"/>
              <w:lang w:val="en-US" w:eastAsia="zh-CN"/>
            </w:rPr>
            <w:t>.健全监管机制，提升全流程监管效能</w:t>
          </w:r>
          <w:r>
            <w:rPr>
              <w:sz w:val="32"/>
              <w:szCs w:val="32"/>
            </w:rPr>
            <w:tab/>
          </w:r>
          <w:r>
            <w:rPr>
              <w:sz w:val="32"/>
              <w:szCs w:val="32"/>
            </w:rPr>
            <w:fldChar w:fldCharType="begin"/>
          </w:r>
          <w:r>
            <w:rPr>
              <w:sz w:val="32"/>
              <w:szCs w:val="32"/>
            </w:rPr>
            <w:instrText xml:space="preserve"> PAGEREF _Toc3796 \h </w:instrText>
          </w:r>
          <w:r>
            <w:rPr>
              <w:sz w:val="32"/>
              <w:szCs w:val="32"/>
            </w:rPr>
            <w:fldChar w:fldCharType="separate"/>
          </w:r>
          <w:r>
            <w:rPr>
              <w:sz w:val="32"/>
              <w:szCs w:val="32"/>
            </w:rPr>
            <w:t>25</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530322B7">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_Toc8548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sz w:val="32"/>
              <w:szCs w:val="32"/>
              <w:highlight w:val="none"/>
              <w:lang w:val="en-US" w:eastAsia="zh-CN"/>
            </w:rPr>
            <w:t>2.</w:t>
          </w:r>
          <w:r>
            <w:rPr>
              <w:rFonts w:hint="default" w:ascii="仿宋_GB2312" w:hAnsi="仿宋_GB2312" w:eastAsia="仿宋_GB2312" w:cs="仿宋_GB2312"/>
              <w:bCs/>
              <w:sz w:val="32"/>
              <w:szCs w:val="32"/>
              <w:highlight w:val="none"/>
              <w:lang w:val="en-US" w:eastAsia="zh-CN"/>
            </w:rPr>
            <w:t>完善档案管理体系，确保资料完整可追溯</w:t>
          </w:r>
          <w:r>
            <w:rPr>
              <w:sz w:val="32"/>
              <w:szCs w:val="32"/>
            </w:rPr>
            <w:tab/>
          </w:r>
          <w:r>
            <w:rPr>
              <w:sz w:val="32"/>
              <w:szCs w:val="32"/>
            </w:rPr>
            <w:fldChar w:fldCharType="begin"/>
          </w:r>
          <w:r>
            <w:rPr>
              <w:sz w:val="32"/>
              <w:szCs w:val="32"/>
            </w:rPr>
            <w:instrText xml:space="preserve"> PAGEREF _Toc8548 \h </w:instrText>
          </w:r>
          <w:r>
            <w:rPr>
              <w:sz w:val="32"/>
              <w:szCs w:val="32"/>
            </w:rPr>
            <w:fldChar w:fldCharType="separate"/>
          </w:r>
          <w:r>
            <w:rPr>
              <w:sz w:val="32"/>
              <w:szCs w:val="32"/>
            </w:rPr>
            <w:t>26</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377D8466">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_Toc20726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kern w:val="0"/>
              <w:sz w:val="32"/>
              <w:szCs w:val="32"/>
              <w:highlight w:val="none"/>
              <w:lang w:val="en-US" w:eastAsia="zh-CN" w:bidi="ar-SA"/>
            </w:rPr>
            <w:t>3</w:t>
          </w:r>
          <w:r>
            <w:rPr>
              <w:rFonts w:hint="default" w:ascii="仿宋_GB2312" w:hAnsi="仿宋_GB2312" w:eastAsia="仿宋_GB2312" w:cs="仿宋_GB2312"/>
              <w:bCs/>
              <w:kern w:val="0"/>
              <w:sz w:val="32"/>
              <w:szCs w:val="32"/>
              <w:highlight w:val="none"/>
              <w:lang w:val="en-US" w:eastAsia="zh-CN" w:bidi="ar-SA"/>
            </w:rPr>
            <w:t>.</w:t>
          </w:r>
          <w:r>
            <w:rPr>
              <w:rFonts w:hint="eastAsia" w:ascii="仿宋_GB2312" w:hAnsi="仿宋_GB2312" w:eastAsia="仿宋_GB2312" w:cs="仿宋_GB2312"/>
              <w:bCs/>
              <w:kern w:val="0"/>
              <w:sz w:val="32"/>
              <w:szCs w:val="32"/>
              <w:highlight w:val="none"/>
              <w:lang w:val="en-US" w:eastAsia="zh-CN" w:bidi="ar-SA"/>
            </w:rPr>
            <w:t>精准施策，进一步</w:t>
          </w:r>
          <w:r>
            <w:rPr>
              <w:rFonts w:hint="default" w:ascii="仿宋_GB2312" w:hAnsi="仿宋_GB2312" w:eastAsia="仿宋_GB2312" w:cs="仿宋_GB2312"/>
              <w:bCs/>
              <w:kern w:val="0"/>
              <w:sz w:val="32"/>
              <w:szCs w:val="32"/>
              <w:highlight w:val="none"/>
              <w:lang w:val="en-US" w:eastAsia="zh-CN" w:bidi="ar-SA"/>
            </w:rPr>
            <w:t>提升群众知晓率</w:t>
          </w:r>
          <w:r>
            <w:rPr>
              <w:sz w:val="32"/>
              <w:szCs w:val="32"/>
            </w:rPr>
            <w:tab/>
          </w:r>
          <w:r>
            <w:rPr>
              <w:sz w:val="32"/>
              <w:szCs w:val="32"/>
            </w:rPr>
            <w:fldChar w:fldCharType="begin"/>
          </w:r>
          <w:r>
            <w:rPr>
              <w:sz w:val="32"/>
              <w:szCs w:val="32"/>
            </w:rPr>
            <w:instrText xml:space="preserve"> PAGEREF _Toc20726 \h </w:instrText>
          </w:r>
          <w:r>
            <w:rPr>
              <w:sz w:val="32"/>
              <w:szCs w:val="32"/>
            </w:rPr>
            <w:fldChar w:fldCharType="separate"/>
          </w:r>
          <w:r>
            <w:rPr>
              <w:sz w:val="32"/>
              <w:szCs w:val="32"/>
            </w:rPr>
            <w:t>26</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074766F0">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_Toc30638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kern w:val="0"/>
              <w:sz w:val="32"/>
              <w:szCs w:val="32"/>
              <w:highlight w:val="none"/>
              <w:lang w:val="en-US" w:eastAsia="zh-CN" w:bidi="ar-SA"/>
            </w:rPr>
            <w:t>4.</w:t>
          </w:r>
          <w:r>
            <w:rPr>
              <w:rFonts w:hint="default" w:ascii="仿宋_GB2312" w:hAnsi="仿宋_GB2312" w:eastAsia="仿宋_GB2312" w:cs="仿宋_GB2312"/>
              <w:bCs/>
              <w:kern w:val="0"/>
              <w:sz w:val="32"/>
              <w:szCs w:val="32"/>
              <w:highlight w:val="none"/>
              <w:lang w:val="en-US" w:eastAsia="zh-CN" w:bidi="ar-SA"/>
            </w:rPr>
            <w:t>创新宣传模式，让殡葬惠民与生态安葬深入人心</w:t>
          </w:r>
          <w:r>
            <w:rPr>
              <w:sz w:val="32"/>
              <w:szCs w:val="32"/>
            </w:rPr>
            <w:tab/>
          </w:r>
          <w:r>
            <w:rPr>
              <w:sz w:val="32"/>
              <w:szCs w:val="32"/>
            </w:rPr>
            <w:fldChar w:fldCharType="begin"/>
          </w:r>
          <w:r>
            <w:rPr>
              <w:sz w:val="32"/>
              <w:szCs w:val="32"/>
            </w:rPr>
            <w:instrText xml:space="preserve"> PAGEREF _Toc30638 \h </w:instrText>
          </w:r>
          <w:r>
            <w:rPr>
              <w:sz w:val="32"/>
              <w:szCs w:val="32"/>
            </w:rPr>
            <w:fldChar w:fldCharType="separate"/>
          </w:r>
          <w:r>
            <w:rPr>
              <w:sz w:val="32"/>
              <w:szCs w:val="32"/>
            </w:rPr>
            <w:t>27</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06CDC56C">
          <w:pPr>
            <w:pStyle w:val="9"/>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_Toc25006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kern w:val="0"/>
              <w:sz w:val="32"/>
              <w:szCs w:val="32"/>
              <w:highlight w:val="none"/>
              <w:lang w:val="en-US" w:eastAsia="zh-CN" w:bidi="ar-SA"/>
            </w:rPr>
            <w:t>5.将</w:t>
          </w:r>
          <w:r>
            <w:rPr>
              <w:rFonts w:hint="default" w:ascii="仿宋_GB2312" w:hAnsi="仿宋_GB2312" w:eastAsia="仿宋_GB2312" w:cs="仿宋_GB2312"/>
              <w:bCs/>
              <w:kern w:val="0"/>
              <w:sz w:val="32"/>
              <w:szCs w:val="32"/>
              <w:highlight w:val="none"/>
              <w:lang w:val="en-US" w:eastAsia="zh-CN" w:bidi="ar-SA"/>
            </w:rPr>
            <w:t>基本殡葬费用由“减免”改</w:t>
          </w:r>
          <w:r>
            <w:rPr>
              <w:rFonts w:hint="eastAsia" w:ascii="仿宋_GB2312" w:hAnsi="仿宋_GB2312" w:eastAsia="仿宋_GB2312" w:cs="仿宋_GB2312"/>
              <w:bCs/>
              <w:kern w:val="0"/>
              <w:sz w:val="32"/>
              <w:szCs w:val="32"/>
              <w:highlight w:val="none"/>
              <w:lang w:val="en-US" w:eastAsia="zh-CN" w:bidi="ar-SA"/>
            </w:rPr>
            <w:t>为</w:t>
          </w:r>
          <w:r>
            <w:rPr>
              <w:rFonts w:hint="default" w:ascii="仿宋_GB2312" w:hAnsi="仿宋_GB2312" w:eastAsia="仿宋_GB2312" w:cs="仿宋_GB2312"/>
              <w:bCs/>
              <w:kern w:val="0"/>
              <w:sz w:val="32"/>
              <w:szCs w:val="32"/>
              <w:highlight w:val="none"/>
              <w:lang w:val="en-US" w:eastAsia="zh-CN" w:bidi="ar-SA"/>
            </w:rPr>
            <w:t>“事后补助”</w:t>
          </w:r>
          <w:r>
            <w:rPr>
              <w:sz w:val="32"/>
              <w:szCs w:val="32"/>
            </w:rPr>
            <w:tab/>
          </w:r>
          <w:r>
            <w:rPr>
              <w:sz w:val="32"/>
              <w:szCs w:val="32"/>
            </w:rPr>
            <w:fldChar w:fldCharType="begin"/>
          </w:r>
          <w:r>
            <w:rPr>
              <w:sz w:val="32"/>
              <w:szCs w:val="32"/>
            </w:rPr>
            <w:instrText xml:space="preserve"> PAGEREF _Toc25006 \h </w:instrText>
          </w:r>
          <w:r>
            <w:rPr>
              <w:sz w:val="32"/>
              <w:szCs w:val="32"/>
            </w:rPr>
            <w:fldChar w:fldCharType="separate"/>
          </w:r>
          <w:r>
            <w:rPr>
              <w:sz w:val="32"/>
              <w:szCs w:val="32"/>
            </w:rPr>
            <w:t>27</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4CC4E781">
          <w:pPr>
            <w:pStyle w:val="12"/>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_Toc19940 </w:instrText>
          </w:r>
          <w:r>
            <w:rPr>
              <w:rFonts w:hint="eastAsia" w:ascii="仿宋" w:hAnsi="仿宋" w:eastAsia="仿宋" w:cs="仿宋"/>
              <w:bCs/>
              <w:kern w:val="2"/>
              <w:sz w:val="32"/>
              <w:szCs w:val="32"/>
              <w:lang w:val="en-US" w:eastAsia="zh-CN"/>
            </w:rPr>
            <w:fldChar w:fldCharType="separate"/>
          </w:r>
          <w:r>
            <w:rPr>
              <w:rFonts w:hint="eastAsia" w:ascii="黑体" w:hAnsi="黑体" w:eastAsia="黑体" w:cs="黑体"/>
              <w:bCs/>
              <w:sz w:val="32"/>
              <w:szCs w:val="32"/>
              <w:highlight w:val="none"/>
              <w:lang w:val="en-US" w:eastAsia="zh-CN"/>
            </w:rPr>
            <w:t>六、附件</w:t>
          </w:r>
          <w:r>
            <w:rPr>
              <w:sz w:val="32"/>
              <w:szCs w:val="32"/>
            </w:rPr>
            <w:tab/>
          </w:r>
          <w:r>
            <w:rPr>
              <w:sz w:val="32"/>
              <w:szCs w:val="32"/>
            </w:rPr>
            <w:fldChar w:fldCharType="begin"/>
          </w:r>
          <w:r>
            <w:rPr>
              <w:sz w:val="32"/>
              <w:szCs w:val="32"/>
            </w:rPr>
            <w:instrText xml:space="preserve"> PAGEREF _Toc19940 \h </w:instrText>
          </w:r>
          <w:r>
            <w:rPr>
              <w:sz w:val="32"/>
              <w:szCs w:val="32"/>
            </w:rPr>
            <w:fldChar w:fldCharType="separate"/>
          </w:r>
          <w:r>
            <w:rPr>
              <w:sz w:val="32"/>
              <w:szCs w:val="32"/>
            </w:rPr>
            <w:t>28</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5B792D65">
          <w:pPr>
            <w:pStyle w:val="12"/>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_Toc31894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kern w:val="2"/>
              <w:sz w:val="32"/>
              <w:szCs w:val="32"/>
              <w:highlight w:val="none"/>
              <w:lang w:val="en-US" w:eastAsia="zh-CN" w:bidi="ar-SA"/>
            </w:rPr>
            <w:t xml:space="preserve">附件1 </w:t>
          </w:r>
          <w:r>
            <w:rPr>
              <w:rFonts w:hint="eastAsia" w:ascii="仿宋_GB2312" w:hAnsi="仿宋_GB2312" w:eastAsia="仿宋_GB2312" w:cs="仿宋_GB2312"/>
              <w:kern w:val="2"/>
              <w:sz w:val="32"/>
              <w:szCs w:val="32"/>
              <w:highlight w:val="none"/>
              <w:lang w:val="en-US" w:eastAsia="zh-CN" w:bidi="ar-SA"/>
            </w:rPr>
            <w:t xml:space="preserve"> </w:t>
          </w:r>
          <w:r>
            <w:rPr>
              <w:rFonts w:hint="eastAsia" w:ascii="仿宋_GB2312" w:hAnsi="仿宋_GB2312" w:eastAsia="仿宋_GB2312" w:cs="仿宋_GB2312"/>
              <w:bCs/>
              <w:kern w:val="2"/>
              <w:sz w:val="32"/>
              <w:szCs w:val="32"/>
              <w:highlight w:val="none"/>
              <w:lang w:val="en-US" w:eastAsia="zh-CN" w:bidi="ar-SA"/>
            </w:rPr>
            <w:t>石狮市殡葬服务所减免基本殡葬服务项目绩效评价指标体系评分表</w:t>
          </w:r>
          <w:r>
            <w:rPr>
              <w:sz w:val="32"/>
              <w:szCs w:val="32"/>
            </w:rPr>
            <w:tab/>
          </w:r>
          <w:r>
            <w:rPr>
              <w:sz w:val="32"/>
              <w:szCs w:val="32"/>
            </w:rPr>
            <w:fldChar w:fldCharType="begin"/>
          </w:r>
          <w:r>
            <w:rPr>
              <w:sz w:val="32"/>
              <w:szCs w:val="32"/>
            </w:rPr>
            <w:instrText xml:space="preserve"> PAGEREF _Toc31894 \h </w:instrText>
          </w:r>
          <w:r>
            <w:rPr>
              <w:sz w:val="32"/>
              <w:szCs w:val="32"/>
            </w:rPr>
            <w:fldChar w:fldCharType="separate"/>
          </w:r>
          <w:r>
            <w:rPr>
              <w:sz w:val="32"/>
              <w:szCs w:val="32"/>
            </w:rPr>
            <w:t>29</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710378FE">
          <w:pPr>
            <w:pStyle w:val="12"/>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_Toc178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kern w:val="2"/>
              <w:sz w:val="32"/>
              <w:szCs w:val="32"/>
              <w:highlight w:val="none"/>
              <w:lang w:val="en-US" w:eastAsia="zh-CN" w:bidi="ar-SA"/>
            </w:rPr>
            <w:t>附件2  调研图片</w:t>
          </w:r>
          <w:r>
            <w:rPr>
              <w:sz w:val="32"/>
              <w:szCs w:val="32"/>
            </w:rPr>
            <w:tab/>
          </w:r>
          <w:r>
            <w:rPr>
              <w:sz w:val="32"/>
              <w:szCs w:val="32"/>
            </w:rPr>
            <w:fldChar w:fldCharType="begin"/>
          </w:r>
          <w:r>
            <w:rPr>
              <w:sz w:val="32"/>
              <w:szCs w:val="32"/>
            </w:rPr>
            <w:instrText xml:space="preserve"> PAGEREF _Toc178 \h </w:instrText>
          </w:r>
          <w:r>
            <w:rPr>
              <w:sz w:val="32"/>
              <w:szCs w:val="32"/>
            </w:rPr>
            <w:fldChar w:fldCharType="separate"/>
          </w:r>
          <w:r>
            <w:rPr>
              <w:sz w:val="32"/>
              <w:szCs w:val="32"/>
            </w:rPr>
            <w:t>33</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7A282CBF">
          <w:pPr>
            <w:pStyle w:val="12"/>
            <w:tabs>
              <w:tab w:val="right" w:leader="dot" w:pos="8800"/>
            </w:tabs>
            <w:rPr>
              <w:sz w:val="32"/>
              <w:szCs w:val="32"/>
            </w:rPr>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_Toc17720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kern w:val="2"/>
              <w:sz w:val="32"/>
              <w:szCs w:val="32"/>
              <w:highlight w:val="none"/>
              <w:lang w:val="en-US" w:eastAsia="zh-CN" w:bidi="ar-SA"/>
            </w:rPr>
            <w:t>附件3 编制单位签章</w:t>
          </w:r>
          <w:r>
            <w:rPr>
              <w:sz w:val="32"/>
              <w:szCs w:val="32"/>
            </w:rPr>
            <w:tab/>
          </w:r>
          <w:r>
            <w:rPr>
              <w:sz w:val="32"/>
              <w:szCs w:val="32"/>
            </w:rPr>
            <w:fldChar w:fldCharType="begin"/>
          </w:r>
          <w:r>
            <w:rPr>
              <w:sz w:val="32"/>
              <w:szCs w:val="32"/>
            </w:rPr>
            <w:instrText xml:space="preserve"> PAGEREF _Toc17720 \h </w:instrText>
          </w:r>
          <w:r>
            <w:rPr>
              <w:sz w:val="32"/>
              <w:szCs w:val="32"/>
            </w:rPr>
            <w:fldChar w:fldCharType="separate"/>
          </w:r>
          <w:r>
            <w:rPr>
              <w:sz w:val="32"/>
              <w:szCs w:val="32"/>
            </w:rPr>
            <w:t>34</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6F513FCB">
          <w:pPr>
            <w:pStyle w:val="12"/>
            <w:tabs>
              <w:tab w:val="right" w:leader="dot" w:pos="8800"/>
            </w:tabs>
          </w:pPr>
          <w:r>
            <w:rPr>
              <w:rFonts w:hint="eastAsia" w:ascii="仿宋" w:hAnsi="仿宋" w:eastAsia="仿宋" w:cs="仿宋"/>
              <w:bCs/>
              <w:color w:val="FF0000"/>
              <w:kern w:val="2"/>
              <w:sz w:val="32"/>
              <w:szCs w:val="32"/>
              <w:lang w:val="en-US" w:eastAsia="zh-CN"/>
            </w:rPr>
            <w:fldChar w:fldCharType="begin"/>
          </w:r>
          <w:r>
            <w:rPr>
              <w:rFonts w:hint="eastAsia" w:ascii="仿宋" w:hAnsi="仿宋" w:eastAsia="仿宋" w:cs="仿宋"/>
              <w:bCs/>
              <w:kern w:val="2"/>
              <w:sz w:val="32"/>
              <w:szCs w:val="32"/>
              <w:lang w:val="en-US" w:eastAsia="zh-CN"/>
            </w:rPr>
            <w:instrText xml:space="preserve"> HYPERLINK \l _Toc16580 </w:instrText>
          </w:r>
          <w:r>
            <w:rPr>
              <w:rFonts w:hint="eastAsia" w:ascii="仿宋" w:hAnsi="仿宋" w:eastAsia="仿宋" w:cs="仿宋"/>
              <w:bCs/>
              <w:kern w:val="2"/>
              <w:sz w:val="32"/>
              <w:szCs w:val="32"/>
              <w:lang w:val="en-US" w:eastAsia="zh-CN"/>
            </w:rPr>
            <w:fldChar w:fldCharType="separate"/>
          </w:r>
          <w:r>
            <w:rPr>
              <w:rFonts w:hint="eastAsia" w:ascii="仿宋_GB2312" w:hAnsi="仿宋_GB2312" w:eastAsia="仿宋_GB2312" w:cs="仿宋_GB2312"/>
              <w:bCs/>
              <w:kern w:val="2"/>
              <w:sz w:val="32"/>
              <w:szCs w:val="32"/>
              <w:highlight w:val="none"/>
              <w:lang w:val="en-US" w:eastAsia="zh-CN" w:bidi="ar-SA"/>
            </w:rPr>
            <w:t>附件4 编制单位营业执照</w:t>
          </w:r>
          <w:r>
            <w:rPr>
              <w:sz w:val="32"/>
              <w:szCs w:val="32"/>
            </w:rPr>
            <w:tab/>
          </w:r>
          <w:r>
            <w:rPr>
              <w:sz w:val="32"/>
              <w:szCs w:val="32"/>
            </w:rPr>
            <w:fldChar w:fldCharType="begin"/>
          </w:r>
          <w:r>
            <w:rPr>
              <w:sz w:val="32"/>
              <w:szCs w:val="32"/>
            </w:rPr>
            <w:instrText xml:space="preserve"> PAGEREF _Toc16580 \h </w:instrText>
          </w:r>
          <w:r>
            <w:rPr>
              <w:sz w:val="32"/>
              <w:szCs w:val="32"/>
            </w:rPr>
            <w:fldChar w:fldCharType="separate"/>
          </w:r>
          <w:r>
            <w:rPr>
              <w:sz w:val="32"/>
              <w:szCs w:val="32"/>
            </w:rPr>
            <w:t>35</w:t>
          </w:r>
          <w:r>
            <w:rPr>
              <w:sz w:val="32"/>
              <w:szCs w:val="32"/>
            </w:rPr>
            <w:fldChar w:fldCharType="end"/>
          </w:r>
          <w:r>
            <w:rPr>
              <w:rFonts w:hint="eastAsia" w:ascii="仿宋" w:hAnsi="仿宋" w:eastAsia="仿宋" w:cs="仿宋"/>
              <w:bCs/>
              <w:color w:val="FF0000"/>
              <w:kern w:val="2"/>
              <w:sz w:val="32"/>
              <w:szCs w:val="32"/>
              <w:lang w:val="en-US" w:eastAsia="zh-CN"/>
            </w:rPr>
            <w:fldChar w:fldCharType="end"/>
          </w:r>
        </w:p>
        <w:p w14:paraId="624B878E">
          <w:pPr>
            <w:pStyle w:val="33"/>
            <w:pageBreakBefore w:val="0"/>
            <w:widowControl/>
            <w:kinsoku/>
            <w:wordWrap/>
            <w:overflowPunct/>
            <w:topLinePunct w:val="0"/>
            <w:autoSpaceDE/>
            <w:autoSpaceDN/>
            <w:bidi w:val="0"/>
            <w:adjustRightInd/>
            <w:snapToGrid/>
            <w:spacing w:before="0" w:beforeLines="0" w:after="0" w:afterLines="0" w:line="360" w:lineRule="auto"/>
            <w:ind w:left="0" w:leftChars="0" w:right="0" w:rightChars="0" w:firstLine="640" w:firstLineChars="200"/>
            <w:jc w:val="center"/>
            <w:textAlignment w:val="auto"/>
            <w:rPr>
              <w:rFonts w:hint="eastAsia" w:ascii="仿宋" w:hAnsi="仿宋" w:eastAsia="仿宋" w:cs="仿宋"/>
              <w:b/>
              <w:bCs/>
              <w:color w:val="auto"/>
              <w:kern w:val="2"/>
              <w:sz w:val="28"/>
              <w:szCs w:val="28"/>
              <w:lang w:val="en-US" w:eastAsia="zh-CN"/>
            </w:rPr>
            <w:sectPr>
              <w:headerReference r:id="rId7" w:type="default"/>
              <w:footerReference r:id="rId9" w:type="default"/>
              <w:headerReference r:id="rId8" w:type="even"/>
              <w:footerReference r:id="rId10" w:type="even"/>
              <w:pgSz w:w="11906" w:h="16838"/>
              <w:pgMar w:top="1440" w:right="1587" w:bottom="1440" w:left="1519" w:header="851" w:footer="992" w:gutter="0"/>
              <w:pgNumType w:fmt="upperRoman" w:start="1"/>
              <w:cols w:space="425" w:num="1"/>
              <w:docGrid w:type="lines" w:linePitch="312" w:charSpace="0"/>
            </w:sectPr>
          </w:pPr>
          <w:r>
            <w:rPr>
              <w:rFonts w:hint="eastAsia" w:ascii="仿宋" w:hAnsi="仿宋" w:eastAsia="仿宋" w:cs="仿宋"/>
              <w:bCs/>
              <w:color w:val="FF0000"/>
              <w:kern w:val="2"/>
              <w:szCs w:val="28"/>
              <w:lang w:val="en-US" w:eastAsia="zh-CN"/>
            </w:rPr>
            <w:fldChar w:fldCharType="end"/>
          </w:r>
        </w:p>
      </w:sdtContent>
    </w:sdt>
    <w:p w14:paraId="4E59E5AA">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黑体" w:hAnsi="黑体" w:eastAsia="黑体" w:cs="黑体"/>
          <w:b/>
          <w:bCs/>
          <w:color w:val="auto"/>
          <w:sz w:val="32"/>
          <w:szCs w:val="32"/>
          <w:lang w:val="en-US" w:eastAsia="zh-CN"/>
        </w:rPr>
      </w:pPr>
      <w:bookmarkStart w:id="5" w:name="_Toc17956"/>
      <w:r>
        <w:rPr>
          <w:rFonts w:hint="eastAsia" w:ascii="黑体" w:hAnsi="黑体" w:eastAsia="黑体" w:cs="黑体"/>
          <w:b/>
          <w:bCs/>
          <w:color w:val="auto"/>
          <w:sz w:val="32"/>
          <w:szCs w:val="32"/>
          <w:lang w:val="en-US" w:eastAsia="zh-CN"/>
        </w:rPr>
        <w:t>前 言</w:t>
      </w:r>
      <w:bookmarkEnd w:id="0"/>
      <w:bookmarkEnd w:id="1"/>
      <w:bookmarkEnd w:id="2"/>
      <w:bookmarkEnd w:id="5"/>
    </w:p>
    <w:p w14:paraId="405E85AD">
      <w:pPr>
        <w:pStyle w:val="34"/>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bookmarkStart w:id="6" w:name="_Toc5701"/>
      <w:bookmarkStart w:id="7" w:name="_Toc28585"/>
      <w:bookmarkStart w:id="8" w:name="_Toc21368"/>
      <w:bookmarkStart w:id="9" w:name="_Toc6800"/>
      <w:bookmarkStart w:id="10" w:name="_Toc4659"/>
      <w:bookmarkStart w:id="11" w:name="_Toc22601"/>
      <w:bookmarkStart w:id="12" w:name="_Toc15277"/>
      <w:bookmarkStart w:id="13" w:name="_Toc1679"/>
      <w:bookmarkStart w:id="14" w:name="_Toc9199"/>
      <w:bookmarkStart w:id="15" w:name="_Toc29564"/>
      <w:bookmarkStart w:id="16" w:name="_Toc8309"/>
      <w:bookmarkStart w:id="17" w:name="_Toc25464"/>
      <w:r>
        <w:rPr>
          <w:rFonts w:hint="eastAsia" w:ascii="仿宋_GB2312" w:hAnsi="仿宋_GB2312" w:eastAsia="仿宋_GB2312" w:cs="仿宋_GB2312"/>
          <w:color w:val="auto"/>
          <w:kern w:val="0"/>
          <w:sz w:val="32"/>
          <w:szCs w:val="32"/>
          <w:highlight w:val="none"/>
          <w:lang w:val="en-US" w:eastAsia="zh-CN" w:bidi="ar-SA"/>
        </w:rPr>
        <w:t>为加强财政资金管理，强化支出责任，提高财政资金的使用效益，建立科学、合理的财政支出绩效管理体系，为领导决策提供科学有力的依据，泉州市招标咨询中心有限公司受石狮市财政局的委托，组织专业人员成立项目支出绩效评价工作小组，根据《财政部关于印发〈项目支出绩效评价管理办法〉的通知》（财预〔2020〕10号）《中共中央 国务院关于全面实施预算绩效管理的意见》（中发〔2018〕34号）《福建省委、省政府关于全面实施预算绩效管理的实施意见》（闽委发〔2019〕5号）《福建省财政厅〈关于全面实施预算绩效管理若干措施〉的通知》（闽财绩〔2019〕2号）等有关文件要求，对石狮市殡葬服务所减免基本殡葬服务费专项开展绩效评价工作，按照财政部《第三方机构预算绩效评价业务监督管理暂行办法》（财监〔2021〕4号）的要求，以第三方身份出具报告。我中心评价小组经过数据采集、书面资料审查、实地调研、社会调查和分析研究等必要的绩效评价程序，结合单位情况，在梳理、分析、研究评估数据资料的基础上，形成《石狮市殡葬服务所减免基本殡葬服务费专项绩效评价报告》。</w:t>
      </w:r>
      <w:bookmarkEnd w:id="3"/>
      <w:bookmarkEnd w:id="4"/>
      <w:bookmarkEnd w:id="6"/>
      <w:bookmarkEnd w:id="7"/>
      <w:bookmarkEnd w:id="8"/>
      <w:bookmarkEnd w:id="9"/>
      <w:bookmarkEnd w:id="10"/>
      <w:bookmarkEnd w:id="11"/>
      <w:bookmarkEnd w:id="12"/>
      <w:bookmarkEnd w:id="13"/>
      <w:bookmarkEnd w:id="14"/>
      <w:bookmarkEnd w:id="15"/>
      <w:bookmarkEnd w:id="16"/>
      <w:bookmarkEnd w:id="17"/>
    </w:p>
    <w:p w14:paraId="21B1F532">
      <w:pPr>
        <w:pStyle w:val="34"/>
        <w:keepNext w:val="0"/>
        <w:keepLines w:val="0"/>
        <w:pageBreakBefore w:val="0"/>
        <w:shd w:val="clear" w:fill="FFFFFF" w:themeFill="background1"/>
        <w:kinsoku/>
        <w:wordWrap/>
        <w:topLinePunct w:val="0"/>
        <w:bidi w:val="0"/>
        <w:snapToGrid/>
        <w:spacing w:line="240" w:lineRule="auto"/>
        <w:ind w:left="0" w:leftChars="0" w:firstLine="0" w:firstLineChars="0"/>
        <w:jc w:val="center"/>
        <w:outlineLvl w:val="9"/>
        <w:rPr>
          <w:rFonts w:hint="eastAsia" w:ascii="仿宋_GB2312" w:hAnsi="仿宋_GB2312" w:eastAsia="仿宋_GB2312" w:cs="仿宋_GB2312"/>
          <w:color w:val="auto"/>
          <w:kern w:val="0"/>
          <w:sz w:val="32"/>
          <w:szCs w:val="32"/>
          <w:highlight w:val="none"/>
          <w:lang w:val="en-US" w:eastAsia="zh-CN" w:bidi="ar-SA"/>
        </w:rPr>
      </w:pPr>
    </w:p>
    <w:p w14:paraId="6B09A6DA">
      <w:pPr>
        <w:pStyle w:val="21"/>
        <w:keepNext w:val="0"/>
        <w:keepLines w:val="0"/>
        <w:pageBreakBefore w:val="0"/>
        <w:widowControl w:val="0"/>
        <w:shd w:val="clear" w:color="auto" w:fill="FFFFFF"/>
        <w:kinsoku/>
        <w:wordWrap/>
        <w:topLinePunct w:val="0"/>
        <w:bidi w:val="0"/>
        <w:snapToGrid/>
        <w:spacing w:line="240" w:lineRule="auto"/>
        <w:ind w:left="0" w:leftChars="0" w:firstLine="0" w:firstLineChars="0"/>
        <w:jc w:val="center"/>
        <w:outlineLvl w:val="9"/>
        <w:rPr>
          <w:rFonts w:hint="eastAsia" w:ascii="仿宋" w:hAnsi="仿宋" w:eastAsia="仿宋" w:cs="仿宋"/>
          <w:b/>
          <w:bCs/>
          <w:color w:val="auto"/>
          <w:sz w:val="44"/>
          <w:szCs w:val="44"/>
          <w:highlight w:val="none"/>
          <w:lang w:val="en-US" w:eastAsia="zh-CN"/>
        </w:rPr>
      </w:pPr>
    </w:p>
    <w:p w14:paraId="6941CB56">
      <w:pPr>
        <w:keepNext w:val="0"/>
        <w:keepLines w:val="0"/>
        <w:pageBreakBefore w:val="0"/>
        <w:widowControl w:val="0"/>
        <w:kinsoku/>
        <w:wordWrap/>
        <w:topLinePunct w:val="0"/>
        <w:bidi w:val="0"/>
        <w:snapToGrid/>
        <w:spacing w:line="240" w:lineRule="auto"/>
        <w:jc w:val="center"/>
        <w:rPr>
          <w:rFonts w:hint="eastAsia" w:ascii="仿宋" w:hAnsi="仿宋" w:eastAsia="仿宋" w:cs="仿宋"/>
          <w:b/>
          <w:bCs/>
          <w:color w:val="auto"/>
          <w:sz w:val="44"/>
          <w:szCs w:val="44"/>
          <w:highlight w:val="none"/>
          <w:lang w:val="en-US" w:eastAsia="zh-CN"/>
        </w:rPr>
        <w:sectPr>
          <w:headerReference r:id="rId11" w:type="default"/>
          <w:footerReference r:id="rId12" w:type="default"/>
          <w:footerReference r:id="rId13" w:type="even"/>
          <w:pgSz w:w="11906" w:h="16838"/>
          <w:pgMar w:top="1417" w:right="1474" w:bottom="1417" w:left="1587"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bookmarkStart w:id="18" w:name="_Toc4462"/>
    </w:p>
    <w:bookmarkEnd w:id="18"/>
    <w:p w14:paraId="5AD9697F">
      <w:pPr>
        <w:pStyle w:val="21"/>
        <w:keepNext w:val="0"/>
        <w:keepLines w:val="0"/>
        <w:pageBreakBefore w:val="0"/>
        <w:widowControl w:val="0"/>
        <w:shd w:val="clear" w:color="auto" w:fill="FFFFFF"/>
        <w:kinsoku/>
        <w:wordWrap/>
        <w:topLinePunct w:val="0"/>
        <w:bidi w:val="0"/>
        <w:snapToGrid/>
        <w:spacing w:line="240" w:lineRule="auto"/>
        <w:ind w:left="0" w:leftChars="0" w:firstLine="0" w:firstLineChars="0"/>
        <w:jc w:val="center"/>
        <w:outlineLvl w:val="9"/>
        <w:rPr>
          <w:rFonts w:hint="eastAsia" w:ascii="黑体" w:hAnsi="黑体" w:eastAsia="黑体" w:cs="黑体"/>
          <w:b/>
          <w:bCs/>
          <w:color w:val="auto"/>
          <w:kern w:val="0"/>
          <w:sz w:val="32"/>
          <w:szCs w:val="32"/>
          <w:highlight w:val="none"/>
          <w:lang w:val="en-US" w:eastAsia="zh-CN"/>
        </w:rPr>
      </w:pPr>
      <w:bookmarkStart w:id="19" w:name="_Toc22025"/>
      <w:bookmarkStart w:id="20" w:name="_Toc18511"/>
      <w:r>
        <w:rPr>
          <w:rFonts w:hint="eastAsia" w:ascii="黑体" w:hAnsi="黑体" w:eastAsia="黑体" w:cs="黑体"/>
          <w:b/>
          <w:bCs/>
          <w:color w:val="auto"/>
          <w:kern w:val="0"/>
          <w:sz w:val="32"/>
          <w:szCs w:val="32"/>
          <w:highlight w:val="none"/>
          <w:lang w:val="en-US" w:eastAsia="zh-CN"/>
        </w:rPr>
        <w:t>报告正文</w:t>
      </w:r>
      <w:bookmarkEnd w:id="19"/>
      <w:bookmarkEnd w:id="20"/>
    </w:p>
    <w:p w14:paraId="7C5A1B6B">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240" w:lineRule="auto"/>
        <w:ind w:firstLine="200" w:firstLineChars="200"/>
        <w:jc w:val="both"/>
        <w:textAlignment w:val="baseline"/>
        <w:outlineLvl w:val="9"/>
        <w:rPr>
          <w:rFonts w:hint="eastAsia" w:ascii="仿宋_GB2312" w:hAnsi="仿宋_GB2312" w:eastAsia="仿宋_GB2312" w:cs="仿宋_GB2312"/>
          <w:color w:val="auto"/>
          <w:kern w:val="2"/>
          <w:sz w:val="10"/>
          <w:szCs w:val="10"/>
          <w:highlight w:val="none"/>
          <w:lang w:val="en-US" w:eastAsia="zh-CN" w:bidi="ar-SA"/>
        </w:rPr>
      </w:pPr>
      <w:bookmarkStart w:id="21" w:name="_Toc12949"/>
      <w:bookmarkStart w:id="22" w:name="_Toc31225"/>
    </w:p>
    <w:p w14:paraId="6214DF6A">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0"/>
        <w:rPr>
          <w:rFonts w:hint="eastAsia" w:ascii="黑体" w:hAnsi="黑体" w:eastAsia="黑体" w:cs="黑体"/>
          <w:b/>
          <w:bCs/>
          <w:color w:val="auto"/>
          <w:sz w:val="32"/>
          <w:szCs w:val="32"/>
          <w:highlight w:val="none"/>
          <w:lang w:val="en-US" w:eastAsia="zh-CN"/>
        </w:rPr>
      </w:pPr>
      <w:bookmarkStart w:id="23" w:name="_Toc24718"/>
      <w:bookmarkStart w:id="24" w:name="_Toc22057"/>
      <w:r>
        <w:rPr>
          <w:rFonts w:hint="eastAsia" w:ascii="黑体" w:hAnsi="黑体" w:eastAsia="黑体" w:cs="黑体"/>
          <w:b/>
          <w:bCs/>
          <w:color w:val="auto"/>
          <w:sz w:val="32"/>
          <w:szCs w:val="32"/>
          <w:highlight w:val="none"/>
          <w:lang w:val="en-US" w:eastAsia="zh-CN"/>
        </w:rPr>
        <w:t>一、项目基本情况</w:t>
      </w:r>
      <w:bookmarkEnd w:id="21"/>
      <w:bookmarkEnd w:id="22"/>
      <w:bookmarkEnd w:id="23"/>
      <w:bookmarkEnd w:id="24"/>
    </w:p>
    <w:p w14:paraId="655ECDC2">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1"/>
        <w:rPr>
          <w:rFonts w:hint="eastAsia" w:ascii="楷体_GB2312" w:hAnsi="楷体_GB2312" w:eastAsia="楷体_GB2312" w:cs="楷体_GB2312"/>
          <w:b/>
          <w:bCs/>
          <w:color w:val="auto"/>
          <w:sz w:val="32"/>
          <w:szCs w:val="32"/>
          <w:highlight w:val="none"/>
          <w:lang w:val="en-US" w:eastAsia="zh-CN"/>
        </w:rPr>
      </w:pPr>
      <w:bookmarkStart w:id="25" w:name="_Toc29193"/>
      <w:bookmarkStart w:id="26" w:name="_Toc32508"/>
      <w:bookmarkStart w:id="27" w:name="_Toc1724"/>
      <w:bookmarkStart w:id="28" w:name="_Toc2766"/>
      <w:r>
        <w:rPr>
          <w:rFonts w:hint="eastAsia" w:ascii="楷体_GB2312" w:hAnsi="楷体_GB2312" w:eastAsia="楷体_GB2312" w:cs="楷体_GB2312"/>
          <w:b/>
          <w:bCs/>
          <w:color w:val="auto"/>
          <w:sz w:val="32"/>
          <w:szCs w:val="32"/>
          <w:highlight w:val="none"/>
          <w:lang w:val="en-US" w:eastAsia="zh-CN"/>
        </w:rPr>
        <w:t>（一）项目</w:t>
      </w:r>
      <w:bookmarkEnd w:id="25"/>
      <w:bookmarkEnd w:id="26"/>
      <w:r>
        <w:rPr>
          <w:rFonts w:hint="eastAsia" w:ascii="楷体_GB2312" w:hAnsi="楷体_GB2312" w:eastAsia="楷体_GB2312" w:cs="楷体_GB2312"/>
          <w:b/>
          <w:bCs/>
          <w:color w:val="auto"/>
          <w:sz w:val="32"/>
          <w:szCs w:val="32"/>
          <w:highlight w:val="none"/>
          <w:lang w:val="en-US" w:eastAsia="zh-CN"/>
        </w:rPr>
        <w:t>背景</w:t>
      </w:r>
      <w:bookmarkEnd w:id="27"/>
      <w:bookmarkEnd w:id="28"/>
    </w:p>
    <w:p w14:paraId="0F9A3449">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bookmarkStart w:id="29" w:name="_Toc10152"/>
      <w:bookmarkStart w:id="30" w:name="_Toc23177"/>
      <w:bookmarkStart w:id="31" w:name="_Toc22365"/>
      <w:bookmarkStart w:id="32" w:name="_Toc11322"/>
      <w:bookmarkStart w:id="33" w:name="_Toc19104"/>
      <w:bookmarkStart w:id="34" w:name="_Toc12683"/>
      <w:bookmarkStart w:id="35" w:name="_Toc7295"/>
      <w:bookmarkStart w:id="36" w:name="_Toc12380"/>
      <w:r>
        <w:rPr>
          <w:rFonts w:hint="default" w:ascii="仿宋_GB2312" w:hAnsi="仿宋_GB2312" w:eastAsia="仿宋_GB2312" w:cs="仿宋_GB2312"/>
          <w:color w:val="auto"/>
          <w:kern w:val="0"/>
          <w:sz w:val="32"/>
          <w:szCs w:val="32"/>
          <w:highlight w:val="none"/>
          <w:lang w:val="en-US" w:eastAsia="zh-CN" w:bidi="ar-SA"/>
        </w:rPr>
        <w:t>殡葬服务作为基本公共服务体系的关键构成，直接关</w:t>
      </w:r>
      <w:r>
        <w:rPr>
          <w:rFonts w:hint="eastAsia" w:ascii="仿宋_GB2312" w:hAnsi="仿宋_GB2312" w:eastAsia="仿宋_GB2312" w:cs="仿宋_GB2312"/>
          <w:color w:val="auto"/>
          <w:kern w:val="0"/>
          <w:sz w:val="32"/>
          <w:szCs w:val="32"/>
          <w:highlight w:val="none"/>
          <w:lang w:val="en-US" w:eastAsia="zh-CN" w:bidi="ar-SA"/>
        </w:rPr>
        <w:t>系到</w:t>
      </w:r>
      <w:r>
        <w:rPr>
          <w:rFonts w:hint="default" w:ascii="仿宋_GB2312" w:hAnsi="仿宋_GB2312" w:eastAsia="仿宋_GB2312" w:cs="仿宋_GB2312"/>
          <w:color w:val="auto"/>
          <w:kern w:val="0"/>
          <w:sz w:val="32"/>
          <w:szCs w:val="32"/>
          <w:highlight w:val="none"/>
          <w:lang w:val="en-US" w:eastAsia="zh-CN" w:bidi="ar-SA"/>
        </w:rPr>
        <w:t>群众切身利益与民生福祉。伴随社会发展进程加快，民众对减轻丧葬经济负担、提升殡葬服务品质的需求愈发迫切。为响应国家深化殡葬改革、推动殡葬事业科学发展的政策导向，石狮市人民政府立足本地实际，经多轮实地调研、专家论证与意见征集，自 2012 年起正式推行减免基本殡葬服务项目费用政策。该政策通过覆盖遗体接运、存放、火化、骨灰盒供应及骨灰寄存等基础服务项目，切实降低群众办丧成本，助力殡葬服务向普惠性、公益性方向转型。</w:t>
      </w:r>
    </w:p>
    <w:p w14:paraId="666D16BA">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default" w:ascii="仿宋_GB2312" w:hAnsi="仿宋_GB2312" w:eastAsia="仿宋_GB2312" w:cs="仿宋_GB2312"/>
          <w:color w:val="auto"/>
          <w:kern w:val="0"/>
          <w:sz w:val="32"/>
          <w:szCs w:val="32"/>
          <w:highlight w:val="none"/>
          <w:lang w:val="en-US" w:eastAsia="zh-CN" w:bidi="ar-SA"/>
        </w:rPr>
        <w:t>长期以来，殡葬费用始终是群众家庭经济支出的重要部分，尤其对低收入家庭、孤寡老人等特殊群体而言，丧葬开支往往成为难以承受的经济负担。为强化殡葬服务的社会保障属性，石狮市持续优化政策实施路径，通过动态调整减免范围、简化申请流程、加强资金监管等措施，推动殡葬服务体系不断完善。此举不仅让群众享受到更实惠、更优质的殡葬服务，更成为石狮市健全社会福利保障制度、推进基本公共服务均等化的重要实践，切实增强了群众的获得感与幸福感。</w:t>
      </w:r>
    </w:p>
    <w:p w14:paraId="5BDEDB6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630" w:leftChars="0"/>
        <w:jc w:val="both"/>
        <w:textAlignment w:val="auto"/>
        <w:outlineLvl w:val="1"/>
        <w:rPr>
          <w:rFonts w:hint="default" w:ascii="楷体_GB2312" w:hAnsi="楷体_GB2312" w:eastAsia="楷体_GB2312" w:cs="楷体_GB2312"/>
          <w:b/>
          <w:bCs/>
          <w:color w:val="auto"/>
          <w:sz w:val="32"/>
          <w:szCs w:val="32"/>
          <w:highlight w:val="none"/>
          <w:lang w:val="en-US" w:eastAsia="zh-CN"/>
        </w:rPr>
      </w:pPr>
      <w:bookmarkStart w:id="37" w:name="_Toc28745"/>
      <w:r>
        <w:rPr>
          <w:rFonts w:hint="eastAsia" w:ascii="楷体_GB2312" w:hAnsi="楷体_GB2312" w:eastAsia="楷体_GB2312" w:cs="楷体_GB2312"/>
          <w:b/>
          <w:bCs/>
          <w:color w:val="auto"/>
          <w:sz w:val="32"/>
          <w:szCs w:val="32"/>
          <w:highlight w:val="none"/>
          <w:lang w:val="en-US" w:eastAsia="zh-CN"/>
        </w:rPr>
        <w:t>（二）项目内容</w:t>
      </w:r>
      <w:bookmarkEnd w:id="29"/>
      <w:bookmarkEnd w:id="37"/>
    </w:p>
    <w:bookmarkEnd w:id="30"/>
    <w:bookmarkEnd w:id="31"/>
    <w:bookmarkEnd w:id="32"/>
    <w:bookmarkEnd w:id="33"/>
    <w:bookmarkEnd w:id="34"/>
    <w:bookmarkEnd w:id="35"/>
    <w:bookmarkEnd w:id="36"/>
    <w:p w14:paraId="46526289">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bookmarkStart w:id="38" w:name="_Toc13608"/>
      <w:bookmarkStart w:id="39" w:name="_Toc32352"/>
      <w:r>
        <w:rPr>
          <w:rFonts w:hint="default" w:ascii="仿宋_GB2312" w:hAnsi="仿宋_GB2312" w:eastAsia="仿宋_GB2312" w:cs="仿宋_GB2312"/>
          <w:color w:val="auto"/>
          <w:kern w:val="0"/>
          <w:sz w:val="32"/>
          <w:szCs w:val="32"/>
          <w:highlight w:val="none"/>
          <w:lang w:val="en-US" w:eastAsia="zh-CN" w:bidi="ar-SA"/>
        </w:rPr>
        <w:t>石狮市减免基本殡葬服务项目费用依据相关政策要求，针对符合条件的对象在石狮市殡仪馆办理火化事宜时涉及的基本殡葬服务项目费用进行减免。具体工作包括但不限于以下几个方面：</w:t>
      </w:r>
    </w:p>
    <w:p w14:paraId="66BEBF71">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default" w:ascii="仿宋_GB2312" w:hAnsi="仿宋_GB2312" w:eastAsia="仿宋_GB2312" w:cs="仿宋_GB2312"/>
          <w:color w:val="auto"/>
          <w:kern w:val="0"/>
          <w:sz w:val="32"/>
          <w:szCs w:val="32"/>
          <w:highlight w:val="none"/>
          <w:lang w:val="en-US" w:eastAsia="zh-CN" w:bidi="ar-SA"/>
        </w:rPr>
        <w:t>对于基本殡葬服务项目，明确了具体的减免项目及金额。遗体火化费 400 元、遗体接运（二次接运）费 400 元、三天以内冰棺租用费 240 元、普通骨灰盒费 250 元（殡仪馆提供 5 种以上类型骨灰盒供选择）、装遗体塑料袋费 10 元，合计 1300 元，这些项目均为在石狮市殡仪馆发生的基本殡葬服务项目，收费标准严格按照石狮市经济局核定标准执行。</w:t>
      </w:r>
    </w:p>
    <w:p w14:paraId="5BB09715">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default" w:ascii="仿宋_GB2312" w:hAnsi="仿宋_GB2312" w:eastAsia="仿宋_GB2312" w:cs="仿宋_GB2312"/>
          <w:color w:val="auto"/>
          <w:kern w:val="0"/>
          <w:sz w:val="32"/>
          <w:szCs w:val="32"/>
          <w:highlight w:val="none"/>
          <w:lang w:val="en-US" w:eastAsia="zh-CN" w:bidi="ar-SA"/>
        </w:rPr>
        <w:t>在操作流程方面，符合减免条件的对象人员去世后，丧事经办人（指死者的直系亲属或法定监护人）凭公安部门或医疗卫生机构出具的死亡证明，到户籍所在地的村（社区居）委会或市殡葬管理所领取《石狮市减免基本殡葬服务项目费用申请表》，填写相关信息，并提交经办人身份证原件及复印件、逝者的身份证或户口簿复印件等相应材料。且只有在殡仪馆内发生的基本殡葬服务项目费用方可减免，超出规定的项目费用，由经办人自行支付。</w:t>
      </w:r>
    </w:p>
    <w:p w14:paraId="32ACD68E">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default" w:ascii="仿宋_GB2312" w:hAnsi="仿宋_GB2312" w:eastAsia="仿宋_GB2312" w:cs="仿宋_GB2312"/>
          <w:color w:val="auto"/>
          <w:kern w:val="0"/>
          <w:sz w:val="32"/>
          <w:szCs w:val="32"/>
          <w:highlight w:val="none"/>
          <w:lang w:val="en-US" w:eastAsia="zh-CN" w:bidi="ar-SA"/>
        </w:rPr>
        <w:t>在经费保障上，减免费用由市财政全额负担，市财政局根据石狮市每年火化约 2000 具遗体、每具减免 1300 元的标准，纳入年度预算。基本殡葬服务项目费用减免部分先由永久墓园有限公司垫付，按季度结算，经相关部门审核后，由市财政局核拨资金。</w:t>
      </w:r>
    </w:p>
    <w:p w14:paraId="208D074D">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default" w:ascii="仿宋_GB2312" w:hAnsi="仿宋_GB2312" w:eastAsia="仿宋_GB2312" w:cs="仿宋_GB2312"/>
          <w:color w:val="auto"/>
          <w:kern w:val="0"/>
          <w:sz w:val="32"/>
          <w:szCs w:val="32"/>
          <w:highlight w:val="none"/>
          <w:lang w:val="en-US" w:eastAsia="zh-CN" w:bidi="ar-SA"/>
        </w:rPr>
        <w:t>同时，成立了专门的工作机构，即石狮市减免基本殡葬服务项目费用领导小组及下设办公室，负责统筹和日常工作；还建立了监督管理机制，各成员单位各司其职，加强对费用审核、拨付等环节的监管，市殡葬管理所对减免对象建立完整档案，确保项目规范有序实施。</w:t>
      </w:r>
    </w:p>
    <w:p w14:paraId="6044CE6E">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1"/>
        <w:rPr>
          <w:rFonts w:hint="eastAsia" w:ascii="仿宋_GB2312" w:hAnsi="仿宋_GB2312" w:eastAsia="仿宋_GB2312" w:cs="仿宋_GB2312"/>
          <w:color w:val="auto"/>
          <w:sz w:val="32"/>
          <w:szCs w:val="32"/>
          <w:highlight w:val="none"/>
          <w:lang w:val="en-US" w:eastAsia="zh-CN"/>
        </w:rPr>
      </w:pPr>
      <w:bookmarkStart w:id="40" w:name="_Toc24856"/>
      <w:r>
        <w:rPr>
          <w:rFonts w:hint="eastAsia" w:ascii="楷体_GB2312" w:hAnsi="楷体_GB2312" w:eastAsia="楷体_GB2312" w:cs="楷体_GB2312"/>
          <w:b/>
          <w:bCs/>
          <w:color w:val="auto"/>
          <w:sz w:val="32"/>
          <w:szCs w:val="32"/>
          <w:highlight w:val="none"/>
          <w:lang w:val="en-US" w:eastAsia="zh-CN"/>
        </w:rPr>
        <w:t>（三）项目组织管理情况</w:t>
      </w:r>
      <w:bookmarkEnd w:id="38"/>
      <w:bookmarkEnd w:id="40"/>
    </w:p>
    <w:p w14:paraId="76F1496A">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bookmarkStart w:id="41" w:name="_Toc25422"/>
      <w:r>
        <w:rPr>
          <w:rFonts w:hint="default" w:ascii="仿宋_GB2312" w:hAnsi="仿宋_GB2312" w:eastAsia="仿宋_GB2312" w:cs="仿宋_GB2312"/>
          <w:color w:val="auto"/>
          <w:kern w:val="0"/>
          <w:sz w:val="32"/>
          <w:szCs w:val="32"/>
          <w:highlight w:val="none"/>
          <w:lang w:val="en-US" w:eastAsia="zh-CN" w:bidi="ar-SA"/>
        </w:rPr>
        <w:t>石狮市减免基本殡葬服务项目费用工作涉及多个单位，各单位明确分工、协同合作，共同推进项目落实，具体职责如下：​</w:t>
      </w:r>
    </w:p>
    <w:p w14:paraId="35D9ECBC">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w:t>
      </w:r>
      <w:r>
        <w:rPr>
          <w:rFonts w:hint="default" w:ascii="仿宋_GB2312" w:hAnsi="仿宋_GB2312" w:eastAsia="仿宋_GB2312" w:cs="仿宋_GB2312"/>
          <w:color w:val="auto"/>
          <w:kern w:val="0"/>
          <w:sz w:val="32"/>
          <w:szCs w:val="32"/>
          <w:highlight w:val="none"/>
          <w:lang w:val="en-US" w:eastAsia="zh-CN" w:bidi="ar-SA"/>
        </w:rPr>
        <w:t>石狮市财政局在资金保障方面发挥关键作用，承担减免费用的全额资金筹备工作。依据石狮市每年火化遗体数量及每具减免标准，科学合理地将相关费用纳入年度预算。在项目执行过程中，严格把控资金流向，对资金执行情况进行实时跟踪，对使用情况开展全面、细致的监督与科学的绩效管理。通过严格审核每一笔资金支出，确保每一分钱都合规、合理地使用，切实保障项目经费稳定、高效运转。​</w:t>
      </w:r>
    </w:p>
    <w:p w14:paraId="7ED3C368">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2.石狮市民政局</w:t>
      </w:r>
      <w:r>
        <w:rPr>
          <w:rFonts w:hint="default" w:ascii="仿宋_GB2312" w:hAnsi="仿宋_GB2312" w:eastAsia="仿宋_GB2312" w:cs="仿宋_GB2312"/>
          <w:color w:val="auto"/>
          <w:kern w:val="0"/>
          <w:sz w:val="32"/>
          <w:szCs w:val="32"/>
          <w:highlight w:val="none"/>
          <w:lang w:val="en-US" w:eastAsia="zh-CN" w:bidi="ar-SA"/>
        </w:rPr>
        <w:t>（含市殡葬管理所）​</w:t>
      </w:r>
    </w:p>
    <w:p w14:paraId="67EC586D">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default" w:ascii="仿宋_GB2312" w:hAnsi="仿宋_GB2312" w:eastAsia="仿宋_GB2312" w:cs="仿宋_GB2312"/>
          <w:color w:val="auto"/>
          <w:kern w:val="0"/>
          <w:sz w:val="32"/>
          <w:szCs w:val="32"/>
          <w:highlight w:val="none"/>
          <w:lang w:val="en-US" w:eastAsia="zh-CN" w:bidi="ar-SA"/>
        </w:rPr>
        <w:t>市民政局作为行业主管部门，</w:t>
      </w:r>
      <w:r>
        <w:rPr>
          <w:rFonts w:hint="eastAsia" w:ascii="仿宋_GB2312" w:hAnsi="仿宋_GB2312" w:eastAsia="仿宋_GB2312" w:cs="仿宋_GB2312"/>
          <w:color w:val="auto"/>
          <w:kern w:val="0"/>
          <w:sz w:val="32"/>
          <w:szCs w:val="32"/>
          <w:highlight w:val="none"/>
          <w:lang w:val="en-US" w:eastAsia="zh-CN" w:bidi="ar-SA"/>
        </w:rPr>
        <w:t>负责</w:t>
      </w:r>
      <w:r>
        <w:rPr>
          <w:rFonts w:hint="default" w:ascii="仿宋_GB2312" w:hAnsi="仿宋_GB2312" w:eastAsia="仿宋_GB2312" w:cs="仿宋_GB2312"/>
          <w:color w:val="auto"/>
          <w:kern w:val="0"/>
          <w:sz w:val="32"/>
          <w:szCs w:val="32"/>
          <w:highlight w:val="none"/>
          <w:lang w:val="en-US" w:eastAsia="zh-CN" w:bidi="ar-SA"/>
        </w:rPr>
        <w:t>统筹规划与监管的核心职能</w:t>
      </w:r>
      <w:r>
        <w:rPr>
          <w:rFonts w:hint="eastAsia" w:ascii="仿宋_GB2312" w:hAnsi="仿宋_GB2312" w:eastAsia="仿宋_GB2312" w:cs="仿宋_GB2312"/>
          <w:color w:val="auto"/>
          <w:kern w:val="0"/>
          <w:sz w:val="32"/>
          <w:szCs w:val="32"/>
          <w:highlight w:val="none"/>
          <w:lang w:val="en-US" w:eastAsia="zh-CN" w:bidi="ar-SA"/>
        </w:rPr>
        <w:t>，</w:t>
      </w:r>
      <w:r>
        <w:rPr>
          <w:rFonts w:hint="default" w:ascii="仿宋_GB2312" w:hAnsi="仿宋_GB2312" w:eastAsia="仿宋_GB2312" w:cs="仿宋_GB2312"/>
          <w:color w:val="auto"/>
          <w:kern w:val="0"/>
          <w:sz w:val="32"/>
          <w:szCs w:val="32"/>
          <w:highlight w:val="none"/>
          <w:lang w:val="en-US" w:eastAsia="zh-CN" w:bidi="ar-SA"/>
        </w:rPr>
        <w:t>全面把控项目发展方向，确保项目契合政策导向与社会需求；通过建立健全监管机制，对项目全周期实施动态管理，强化各环节风险防控；同时，加强部门协同，整合资源，推动项目高效落地，保障项目规范有序推进，切实履行行业主管责任。</w:t>
      </w:r>
      <w:r>
        <w:rPr>
          <w:rFonts w:hint="eastAsia" w:ascii="仿宋_GB2312" w:hAnsi="仿宋_GB2312" w:eastAsia="仿宋_GB2312" w:cs="仿宋_GB2312"/>
          <w:color w:val="auto"/>
          <w:kern w:val="0"/>
          <w:sz w:val="32"/>
          <w:szCs w:val="32"/>
          <w:highlight w:val="none"/>
          <w:lang w:val="en-US" w:eastAsia="zh-CN" w:bidi="ar-SA"/>
        </w:rPr>
        <w:t xml:space="preserve">  </w:t>
      </w:r>
    </w:p>
    <w:p w14:paraId="49C7F7D2">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石狮市殡葬服务所</w:t>
      </w:r>
      <w:r>
        <w:rPr>
          <w:rFonts w:hint="default" w:ascii="仿宋_GB2312" w:hAnsi="仿宋_GB2312" w:eastAsia="仿宋_GB2312" w:cs="仿宋_GB2312"/>
          <w:color w:val="auto"/>
          <w:kern w:val="0"/>
          <w:sz w:val="32"/>
          <w:szCs w:val="32"/>
          <w:highlight w:val="none"/>
          <w:lang w:val="en-US" w:eastAsia="zh-CN" w:bidi="ar-SA"/>
        </w:rPr>
        <w:t>负责《石狮市减免基本殡葬服务项目费用申请表》的发放工作，通过村（社区居）委会、线下服务窗口等多种渠道，确保符合条件的人员或其家属能够便捷获取申请表。同时，做好申请表的回收工作，对提交的申请表进行初步审核，检查信息填写是否完整、材料是否齐全、申请人是否符合减免条件等。此外，承担《石狮市基本殡葬服务项目费用结算清册》的初审任务，对永久墓园有限公司提交的结算清册进行细致核对，包括费用明细、服务项目、火化数量等，确保结算数据准确无误。并且，按照档案管理规范，对减免对象建立全面、系统、完整的档案，档案内容涵盖申请表、申请人及逝者身份证明材料、相关特殊证明、结算清册等，为项目的后续管理与审计提供详实依据。</w:t>
      </w:r>
      <w:r>
        <w:rPr>
          <w:rFonts w:hint="eastAsia" w:ascii="仿宋_GB2312" w:hAnsi="仿宋_GB2312" w:eastAsia="仿宋_GB2312" w:cs="仿宋_GB2312"/>
          <w:color w:val="auto"/>
          <w:kern w:val="0"/>
          <w:sz w:val="32"/>
          <w:szCs w:val="32"/>
          <w:highlight w:val="none"/>
          <w:lang w:val="en-US" w:eastAsia="zh-CN" w:bidi="ar-SA"/>
        </w:rPr>
        <w:t xml:space="preserve">  </w:t>
      </w:r>
      <w:r>
        <w:rPr>
          <w:rFonts w:hint="default" w:ascii="仿宋_GB2312" w:hAnsi="仿宋_GB2312" w:eastAsia="仿宋_GB2312" w:cs="仿宋_GB2312"/>
          <w:color w:val="auto"/>
          <w:kern w:val="0"/>
          <w:sz w:val="32"/>
          <w:szCs w:val="32"/>
          <w:highlight w:val="none"/>
          <w:lang w:val="en-US" w:eastAsia="zh-CN" w:bidi="ar-SA"/>
        </w:rPr>
        <w:t>​</w:t>
      </w:r>
      <w:r>
        <w:rPr>
          <w:rFonts w:hint="eastAsia" w:ascii="仿宋_GB2312" w:hAnsi="仿宋_GB2312" w:eastAsia="仿宋_GB2312" w:cs="仿宋_GB2312"/>
          <w:color w:val="auto"/>
          <w:kern w:val="0"/>
          <w:sz w:val="32"/>
          <w:szCs w:val="32"/>
          <w:highlight w:val="none"/>
          <w:lang w:val="en-US" w:eastAsia="zh-CN" w:bidi="ar-SA"/>
        </w:rPr>
        <w:t xml:space="preserve">  3.</w:t>
      </w:r>
      <w:r>
        <w:rPr>
          <w:rFonts w:hint="default" w:ascii="仿宋_GB2312" w:hAnsi="仿宋_GB2312" w:eastAsia="仿宋_GB2312" w:cs="仿宋_GB2312"/>
          <w:color w:val="auto"/>
          <w:kern w:val="0"/>
          <w:sz w:val="32"/>
          <w:szCs w:val="32"/>
          <w:highlight w:val="none"/>
          <w:lang w:val="en-US" w:eastAsia="zh-CN" w:bidi="ar-SA"/>
        </w:rPr>
        <w:t>石狮市永久墓园有限公司依据项目要求，先行垫付基本殡葬服务项目费用减免部分的资金。在日常工作中，规范记录每一笔减免费用的支出情况。按季度及时、准确地填写《石狮市基本殡葬服务项目费用结算清册》，并附上对应的《石狮市减免基本殡葬服务项目费用申请表》，整理成册后提交给市殡葬管理所进行初审。积极配合相关部门完成后续的审核与资金结算工作，确保资金流转顺畅。​</w:t>
      </w:r>
    </w:p>
    <w:p w14:paraId="05452DDB">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4.</w:t>
      </w:r>
      <w:r>
        <w:rPr>
          <w:rFonts w:hint="default" w:ascii="仿宋_GB2312" w:hAnsi="仿宋_GB2312" w:eastAsia="仿宋_GB2312" w:cs="仿宋_GB2312"/>
          <w:color w:val="auto"/>
          <w:kern w:val="0"/>
          <w:sz w:val="32"/>
          <w:szCs w:val="32"/>
          <w:highlight w:val="none"/>
          <w:lang w:val="en-US" w:eastAsia="zh-CN" w:bidi="ar-SA"/>
        </w:rPr>
        <w:t>各镇人民政府、街道办事处其分管领导作为石狮市减免基本殡葬服务项目费用领导小组成员，承担着政策落地的重要职责。在本辖区内积极配合做好项目相关的协调工作，组织人员深入社区、村庄宣传减免政策，通过张贴海报、举办讲座、发放宣传资料等形式，提高政策知晓率。收集居民对项目的反馈意见，及时向上级部门汇报，协助解决政策执行过程中出现的问题，推动项目在基层顺利实施。​</w:t>
      </w:r>
    </w:p>
    <w:p w14:paraId="2F610E3C">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1"/>
        <w:rPr>
          <w:rFonts w:hint="eastAsia" w:ascii="楷体_GB2312" w:hAnsi="楷体_GB2312" w:eastAsia="楷体_GB2312" w:cs="楷体_GB2312"/>
          <w:b/>
          <w:bCs/>
          <w:color w:val="auto"/>
          <w:sz w:val="32"/>
          <w:szCs w:val="32"/>
          <w:highlight w:val="none"/>
          <w:lang w:val="en-US" w:eastAsia="zh-CN"/>
        </w:rPr>
      </w:pPr>
      <w:bookmarkStart w:id="42" w:name="_Toc283"/>
      <w:r>
        <w:rPr>
          <w:rFonts w:hint="eastAsia" w:ascii="楷体_GB2312" w:hAnsi="楷体_GB2312" w:eastAsia="楷体_GB2312" w:cs="楷体_GB2312"/>
          <w:b/>
          <w:bCs/>
          <w:color w:val="auto"/>
          <w:sz w:val="32"/>
          <w:szCs w:val="32"/>
          <w:highlight w:val="none"/>
          <w:lang w:val="en-US" w:eastAsia="zh-CN"/>
        </w:rPr>
        <w:t>（四）项目资金投入情况</w:t>
      </w:r>
      <w:bookmarkEnd w:id="41"/>
      <w:bookmarkEnd w:id="42"/>
    </w:p>
    <w:p w14:paraId="2DEB57D2">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r>
        <w:rPr>
          <w:rFonts w:hint="default" w:ascii="仿宋_GB2312" w:hAnsi="仿宋_GB2312" w:eastAsia="仿宋_GB2312" w:cs="仿宋_GB2312"/>
          <w:color w:val="auto"/>
          <w:kern w:val="0"/>
          <w:sz w:val="32"/>
          <w:szCs w:val="32"/>
          <w:highlight w:val="none"/>
          <w:lang w:val="en-US" w:eastAsia="zh-CN" w:bidi="ar-SA"/>
        </w:rPr>
        <w:t>石狮市相关部门重视基本殡葬服务领域的惠民工作，为落实减免基本殡葬服务项目费用政策，批复</w:t>
      </w:r>
      <w:r>
        <w:rPr>
          <w:rFonts w:hint="eastAsia" w:ascii="仿宋_GB2312" w:hAnsi="仿宋_GB2312" w:eastAsia="仿宋_GB2312" w:cs="仿宋_GB2312"/>
          <w:color w:val="auto"/>
          <w:kern w:val="0"/>
          <w:sz w:val="32"/>
          <w:szCs w:val="32"/>
          <w:highlight w:val="none"/>
          <w:lang w:val="en-US" w:eastAsia="zh-CN" w:bidi="ar-SA"/>
        </w:rPr>
        <w:t>财政2024年</w:t>
      </w:r>
      <w:r>
        <w:rPr>
          <w:rFonts w:hint="default" w:ascii="仿宋_GB2312" w:hAnsi="仿宋_GB2312" w:eastAsia="仿宋_GB2312" w:cs="仿宋_GB2312"/>
          <w:color w:val="auto"/>
          <w:kern w:val="0"/>
          <w:sz w:val="32"/>
          <w:szCs w:val="32"/>
          <w:highlight w:val="none"/>
          <w:lang w:val="en-US" w:eastAsia="zh-CN" w:bidi="ar-SA"/>
        </w:rPr>
        <w:t>资金 200 万元</w:t>
      </w:r>
      <w:r>
        <w:rPr>
          <w:rFonts w:hint="eastAsia" w:ascii="仿宋_GB2312" w:hAnsi="仿宋_GB2312" w:eastAsia="仿宋_GB2312" w:cs="仿宋_GB2312"/>
          <w:color w:val="auto"/>
          <w:kern w:val="0"/>
          <w:sz w:val="32"/>
          <w:szCs w:val="32"/>
          <w:highlight w:val="none"/>
          <w:lang w:val="en-US" w:eastAsia="zh-CN" w:bidi="ar-SA"/>
        </w:rPr>
        <w:t>，</w:t>
      </w:r>
      <w:r>
        <w:rPr>
          <w:rFonts w:hint="default" w:ascii="仿宋_GB2312" w:hAnsi="仿宋_GB2312" w:eastAsia="仿宋_GB2312" w:cs="仿宋_GB2312"/>
          <w:color w:val="auto"/>
          <w:kern w:val="0"/>
          <w:sz w:val="32"/>
          <w:szCs w:val="32"/>
          <w:highlight w:val="none"/>
          <w:lang w:val="en-US" w:eastAsia="zh-CN" w:bidi="ar-SA"/>
        </w:rPr>
        <w:t>专项用于保障符合减免条件人员的基本殡葬服务费用减免，具体涵盖遗体火化费、遗体接运费等项目</w:t>
      </w:r>
      <w:r>
        <w:rPr>
          <w:rFonts w:hint="eastAsia" w:ascii="仿宋_GB2312" w:hAnsi="仿宋_GB2312" w:eastAsia="仿宋_GB2312" w:cs="仿宋_GB2312"/>
          <w:color w:val="auto"/>
          <w:kern w:val="0"/>
          <w:sz w:val="32"/>
          <w:szCs w:val="32"/>
          <w:highlight w:val="none"/>
          <w:lang w:val="en-US" w:eastAsia="zh-CN" w:bidi="ar-SA"/>
        </w:rPr>
        <w:t>。此</w:t>
      </w:r>
      <w:r>
        <w:rPr>
          <w:rFonts w:hint="default" w:ascii="仿宋_GB2312" w:hAnsi="仿宋_GB2312" w:eastAsia="仿宋_GB2312" w:cs="仿宋_GB2312"/>
          <w:color w:val="auto"/>
          <w:kern w:val="0"/>
          <w:sz w:val="32"/>
          <w:szCs w:val="32"/>
          <w:highlight w:val="none"/>
          <w:lang w:val="en-US" w:eastAsia="zh-CN" w:bidi="ar-SA"/>
        </w:rPr>
        <w:t>后，</w:t>
      </w:r>
      <w:r>
        <w:rPr>
          <w:rFonts w:hint="eastAsia" w:ascii="仿宋_GB2312" w:hAnsi="仿宋_GB2312" w:eastAsia="仿宋_GB2312" w:cs="仿宋_GB2312"/>
          <w:color w:val="auto"/>
          <w:kern w:val="0"/>
          <w:sz w:val="32"/>
          <w:szCs w:val="32"/>
          <w:highlight w:val="none"/>
          <w:lang w:val="en-US" w:eastAsia="zh-CN" w:bidi="ar-SA"/>
        </w:rPr>
        <w:t>项目单位</w:t>
      </w:r>
      <w:r>
        <w:rPr>
          <w:rFonts w:hint="default" w:ascii="仿宋_GB2312" w:hAnsi="仿宋_GB2312" w:eastAsia="仿宋_GB2312" w:cs="仿宋_GB2312"/>
          <w:color w:val="auto"/>
          <w:kern w:val="0"/>
          <w:sz w:val="32"/>
          <w:szCs w:val="32"/>
          <w:highlight w:val="none"/>
          <w:lang w:val="en-US" w:eastAsia="zh-CN" w:bidi="ar-SA"/>
        </w:rPr>
        <w:t>根据实际需求又追加 26.616 万元，累计投入 226.616 万元。</w:t>
      </w:r>
    </w:p>
    <w:p w14:paraId="07FDC5BC">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1"/>
        <w:rPr>
          <w:rFonts w:hint="eastAsia" w:ascii="仿宋_GB2312" w:hAnsi="仿宋_GB2312" w:eastAsia="仿宋_GB2312" w:cs="仿宋_GB2312"/>
          <w:color w:val="auto"/>
          <w:sz w:val="32"/>
          <w:szCs w:val="32"/>
          <w:highlight w:val="none"/>
          <w:lang w:val="en-US" w:eastAsia="zh-CN"/>
        </w:rPr>
      </w:pPr>
      <w:bookmarkStart w:id="43" w:name="_Toc1841"/>
      <w:bookmarkStart w:id="44" w:name="_Toc7832"/>
      <w:r>
        <w:rPr>
          <w:rFonts w:hint="eastAsia" w:ascii="楷体_GB2312" w:hAnsi="楷体_GB2312" w:eastAsia="楷体_GB2312" w:cs="楷体_GB2312"/>
          <w:b/>
          <w:bCs/>
          <w:color w:val="auto"/>
          <w:sz w:val="32"/>
          <w:szCs w:val="32"/>
          <w:highlight w:val="none"/>
          <w:lang w:val="en-US" w:eastAsia="zh-CN"/>
        </w:rPr>
        <w:t>（五）项目绩效目标</w:t>
      </w:r>
      <w:bookmarkEnd w:id="43"/>
      <w:bookmarkEnd w:id="44"/>
    </w:p>
    <w:p w14:paraId="2500F424">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default" w:ascii="方正仿宋_GB2312" w:hAnsi="方正仿宋_GB2312" w:eastAsia="方正仿宋_GB2312" w:cs="方正仿宋_GB2312"/>
          <w:b/>
          <w:bCs/>
          <w:color w:val="auto"/>
          <w:sz w:val="32"/>
          <w:szCs w:val="32"/>
          <w:highlight w:val="none"/>
          <w:lang w:val="en-US" w:eastAsia="zh-CN"/>
        </w:rPr>
      </w:pPr>
      <w:bookmarkStart w:id="45" w:name="_Toc19012"/>
      <w:bookmarkStart w:id="46" w:name="_Toc32374"/>
      <w:r>
        <w:rPr>
          <w:rFonts w:hint="eastAsia" w:ascii="仿宋_GB2312" w:hAnsi="仿宋_GB2312" w:eastAsia="仿宋_GB2312" w:cs="仿宋_GB2312"/>
          <w:b/>
          <w:bCs/>
          <w:color w:val="auto"/>
          <w:sz w:val="32"/>
          <w:szCs w:val="32"/>
          <w:highlight w:val="none"/>
          <w:lang w:val="en-US" w:eastAsia="zh-CN"/>
        </w:rPr>
        <w:t>1.项目总体绩效目标</w:t>
      </w:r>
      <w:bookmarkEnd w:id="45"/>
      <w:bookmarkEnd w:id="46"/>
    </w:p>
    <w:p w14:paraId="62D77D4E">
      <w:pPr>
        <w:keepNext w:val="0"/>
        <w:keepLines w:val="0"/>
        <w:pageBreakBefore w:val="0"/>
        <w:widowControl w:val="0"/>
        <w:kinsoku/>
        <w:wordWrap/>
        <w:overflowPunct/>
        <w:topLinePunct w:val="0"/>
        <w:autoSpaceDE/>
        <w:autoSpaceDN/>
        <w:bidi w:val="0"/>
        <w:adjustRightInd/>
        <w:snapToGrid/>
        <w:spacing w:line="240" w:lineRule="auto"/>
        <w:ind w:leftChars="0" w:firstLine="640" w:firstLineChars="200"/>
        <w:jc w:val="both"/>
        <w:textAlignment w:val="auto"/>
        <w:outlineLvl w:val="9"/>
        <w:rPr>
          <w:rFonts w:hint="default" w:ascii="仿宋_GB2312" w:hAnsi="仿宋_GB2312" w:eastAsia="仿宋_GB2312" w:cs="仿宋_GB2312"/>
          <w:color w:val="auto"/>
          <w:kern w:val="0"/>
          <w:sz w:val="32"/>
          <w:szCs w:val="32"/>
          <w:highlight w:val="none"/>
          <w:lang w:val="en-US" w:eastAsia="zh-CN" w:bidi="ar-SA"/>
        </w:rPr>
      </w:pPr>
      <w:bookmarkStart w:id="47" w:name="_Toc16602"/>
      <w:r>
        <w:rPr>
          <w:rFonts w:hint="default" w:ascii="仿宋_GB2312" w:hAnsi="仿宋_GB2312" w:eastAsia="仿宋_GB2312" w:cs="仿宋_GB2312"/>
          <w:color w:val="auto"/>
          <w:kern w:val="0"/>
          <w:sz w:val="32"/>
          <w:szCs w:val="32"/>
          <w:highlight w:val="none"/>
          <w:lang w:val="en-US" w:eastAsia="zh-CN" w:bidi="ar-SA"/>
        </w:rPr>
        <w:t>通过实施减免基本殡葬服务项目费用政策，旨在构建覆盖全民、公平可及、优质高效的殡葬服务保障体系。政策实施过程中，精准划定减免对象范围，涵盖户籍居民、常住非户籍人员等群体，细化遗体接运、冷藏、火化、骨灰盒及骨灰寄存等减免项目，并制定标准化、透明化操作办法，让群众办理殡葬事宜时流程清晰、有章可循。这一惠民举措将有效减轻群众办丧经济负担，特别是为困难群体卸下丧葬支出的沉重包袱；通过简化办理手续、优化服务流程，让群众能够更便捷、高效地享受基本殡葬服务，切实提升群众在殡葬服务领域的获得感。</w:t>
      </w:r>
    </w:p>
    <w:p w14:paraId="46C9614C">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default" w:ascii="仿宋_GB2312" w:hAnsi="仿宋_GB2312" w:eastAsia="仿宋_GB2312" w:cs="仿宋_GB2312"/>
          <w:b/>
          <w:bCs/>
          <w:color w:val="auto"/>
          <w:sz w:val="32"/>
          <w:szCs w:val="32"/>
          <w:highlight w:val="none"/>
          <w:lang w:val="en-US" w:eastAsia="zh-CN"/>
        </w:rPr>
      </w:pPr>
      <w:bookmarkStart w:id="48" w:name="_Toc10745"/>
      <w:r>
        <w:rPr>
          <w:rFonts w:hint="eastAsia" w:ascii="仿宋_GB2312" w:hAnsi="仿宋_GB2312" w:eastAsia="仿宋_GB2312" w:cs="仿宋_GB2312"/>
          <w:b/>
          <w:bCs/>
          <w:color w:val="auto"/>
          <w:sz w:val="32"/>
          <w:szCs w:val="32"/>
          <w:highlight w:val="none"/>
          <w:lang w:val="en-US" w:eastAsia="zh-CN"/>
        </w:rPr>
        <w:t>2.项目绩效指标</w:t>
      </w:r>
      <w:bookmarkEnd w:id="47"/>
      <w:bookmarkEnd w:id="48"/>
    </w:p>
    <w:p w14:paraId="755FB67B">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石狮市殡葬服务所设置的减免基本殡葬服务项目绩效目标如下表1：</w:t>
      </w:r>
    </w:p>
    <w:p w14:paraId="0092D030">
      <w:pPr>
        <w:pageBreakBefore w:val="0"/>
        <w:widowControl w:val="0"/>
        <w:kinsoku/>
        <w:wordWrap/>
        <w:topLinePunct w:val="0"/>
        <w:bidi w:val="0"/>
        <w:snapToGrid/>
        <w:jc w:val="center"/>
        <w:rPr>
          <w:rFonts w:hint="eastAsia" w:ascii="仿宋" w:hAnsi="仿宋" w:eastAsia="仿宋" w:cs="仿宋"/>
          <w:b/>
          <w:bCs/>
          <w:color w:val="auto"/>
          <w:kern w:val="0"/>
          <w:sz w:val="28"/>
          <w:szCs w:val="28"/>
          <w:highlight w:val="none"/>
          <w:lang w:val="en-US" w:eastAsia="zh-CN" w:bidi="ar-SA"/>
        </w:rPr>
      </w:pPr>
      <w:r>
        <w:rPr>
          <w:rFonts w:hint="eastAsia" w:ascii="仿宋" w:hAnsi="仿宋" w:eastAsia="仿宋" w:cs="仿宋"/>
          <w:b/>
          <w:bCs/>
          <w:color w:val="auto"/>
          <w:kern w:val="0"/>
          <w:sz w:val="28"/>
          <w:szCs w:val="28"/>
          <w:highlight w:val="none"/>
          <w:lang w:val="en-US" w:eastAsia="zh-CN" w:bidi="ar-SA"/>
        </w:rPr>
        <w:t>表1 项目绩效指标表</w:t>
      </w:r>
    </w:p>
    <w:bookmarkEnd w:id="39"/>
    <w:tbl>
      <w:tblPr>
        <w:tblStyle w:val="16"/>
        <w:tblW w:w="4997"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699"/>
        <w:gridCol w:w="1699"/>
        <w:gridCol w:w="2839"/>
        <w:gridCol w:w="2819"/>
      </w:tblGrid>
      <w:tr w14:paraId="09FA58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0" w:hRule="atLeast"/>
          <w:jc w:val="center"/>
        </w:trPr>
        <w:tc>
          <w:tcPr>
            <w:tcW w:w="938"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1FAEA1D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一级指标</w:t>
            </w:r>
          </w:p>
        </w:tc>
        <w:tc>
          <w:tcPr>
            <w:tcW w:w="938"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7D7A742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二级指标</w:t>
            </w:r>
          </w:p>
        </w:tc>
        <w:tc>
          <w:tcPr>
            <w:tcW w:w="1567" w:type="pct"/>
            <w:tcBorders>
              <w:top w:val="single" w:color="000000" w:sz="4" w:space="0"/>
              <w:left w:val="single" w:color="000000" w:sz="4" w:space="0"/>
              <w:bottom w:val="single" w:color="000000" w:sz="4" w:space="0"/>
              <w:right w:val="nil"/>
            </w:tcBorders>
            <w:shd w:val="clear" w:color="auto" w:fill="D7D7D7" w:themeFill="background1" w:themeFillShade="D8"/>
            <w:vAlign w:val="center"/>
          </w:tcPr>
          <w:p w14:paraId="089D1C3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三级指标</w:t>
            </w:r>
          </w:p>
        </w:tc>
        <w:tc>
          <w:tcPr>
            <w:tcW w:w="1556"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121B2DF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指标值</w:t>
            </w:r>
          </w:p>
        </w:tc>
      </w:tr>
      <w:tr w14:paraId="049F2A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4" w:hRule="atLeast"/>
          <w:jc w:val="center"/>
        </w:trPr>
        <w:tc>
          <w:tcPr>
            <w:tcW w:w="9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63256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成本指标</w:t>
            </w:r>
          </w:p>
        </w:tc>
        <w:tc>
          <w:tcPr>
            <w:tcW w:w="9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A42B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经济成本指标</w:t>
            </w:r>
          </w:p>
        </w:tc>
        <w:tc>
          <w:tcPr>
            <w:tcW w:w="2840" w:type="dxa"/>
            <w:tcBorders>
              <w:top w:val="single" w:color="000000" w:sz="4" w:space="0"/>
              <w:left w:val="single" w:color="000000" w:sz="4" w:space="0"/>
              <w:bottom w:val="single" w:color="000000" w:sz="4" w:space="0"/>
              <w:right w:val="nil"/>
            </w:tcBorders>
            <w:shd w:val="clear" w:color="auto" w:fill="auto"/>
            <w:vAlign w:val="center"/>
          </w:tcPr>
          <w:p w14:paraId="5A2C7400">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资金支出进度</w:t>
            </w:r>
          </w:p>
        </w:tc>
        <w:tc>
          <w:tcPr>
            <w:tcW w:w="2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EF1E7">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≤247万元</w:t>
            </w:r>
          </w:p>
        </w:tc>
      </w:tr>
      <w:tr w14:paraId="6FE508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4" w:hRule="atLeast"/>
          <w:jc w:val="center"/>
        </w:trPr>
        <w:tc>
          <w:tcPr>
            <w:tcW w:w="93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835AA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产出指标</w:t>
            </w:r>
          </w:p>
        </w:tc>
        <w:tc>
          <w:tcPr>
            <w:tcW w:w="9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4ABE9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数量指标</w:t>
            </w:r>
          </w:p>
        </w:tc>
        <w:tc>
          <w:tcPr>
            <w:tcW w:w="2840" w:type="dxa"/>
            <w:tcBorders>
              <w:top w:val="single" w:color="000000" w:sz="4" w:space="0"/>
              <w:left w:val="single" w:color="000000" w:sz="4" w:space="0"/>
              <w:bottom w:val="single" w:color="000000" w:sz="4" w:space="0"/>
              <w:right w:val="nil"/>
            </w:tcBorders>
            <w:shd w:val="clear" w:color="auto" w:fill="auto"/>
            <w:vAlign w:val="center"/>
          </w:tcPr>
          <w:p w14:paraId="3790C520">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全市居民减免基本殡葬服务数量</w:t>
            </w:r>
          </w:p>
        </w:tc>
        <w:tc>
          <w:tcPr>
            <w:tcW w:w="2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EE0FE">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≤1900具</w:t>
            </w:r>
          </w:p>
        </w:tc>
      </w:tr>
      <w:tr w14:paraId="692DAA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4" w:hRule="atLeast"/>
          <w:jc w:val="center"/>
        </w:trPr>
        <w:tc>
          <w:tcPr>
            <w:tcW w:w="93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21560B">
            <w:pPr>
              <w:jc w:val="center"/>
              <w:rPr>
                <w:rFonts w:hint="eastAsia" w:ascii="仿宋" w:hAnsi="仿宋" w:eastAsia="仿宋" w:cs="仿宋"/>
                <w:i w:val="0"/>
                <w:iCs w:val="0"/>
                <w:color w:val="000000"/>
                <w:sz w:val="24"/>
                <w:szCs w:val="24"/>
                <w:u w:val="none"/>
              </w:rPr>
            </w:pPr>
          </w:p>
        </w:tc>
        <w:tc>
          <w:tcPr>
            <w:tcW w:w="9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5DC1C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质量指标</w:t>
            </w:r>
          </w:p>
        </w:tc>
        <w:tc>
          <w:tcPr>
            <w:tcW w:w="2840" w:type="dxa"/>
            <w:tcBorders>
              <w:top w:val="single" w:color="000000" w:sz="4" w:space="0"/>
              <w:left w:val="single" w:color="000000" w:sz="4" w:space="0"/>
              <w:bottom w:val="single" w:color="000000" w:sz="4" w:space="0"/>
              <w:right w:val="nil"/>
            </w:tcBorders>
            <w:shd w:val="clear" w:color="auto" w:fill="auto"/>
            <w:vAlign w:val="center"/>
          </w:tcPr>
          <w:p w14:paraId="480D6EC5">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遗体处理合格率</w:t>
            </w:r>
          </w:p>
        </w:tc>
        <w:tc>
          <w:tcPr>
            <w:tcW w:w="2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8ACABD">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≤100合格率</w:t>
            </w:r>
          </w:p>
        </w:tc>
      </w:tr>
      <w:tr w14:paraId="17DBA8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4" w:hRule="atLeast"/>
          <w:jc w:val="center"/>
        </w:trPr>
        <w:tc>
          <w:tcPr>
            <w:tcW w:w="93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ADFEB0">
            <w:pPr>
              <w:jc w:val="center"/>
              <w:rPr>
                <w:rFonts w:hint="eastAsia" w:ascii="仿宋" w:hAnsi="仿宋" w:eastAsia="仿宋" w:cs="仿宋"/>
                <w:i w:val="0"/>
                <w:iCs w:val="0"/>
                <w:color w:val="000000"/>
                <w:sz w:val="24"/>
                <w:szCs w:val="24"/>
                <w:u w:val="none"/>
              </w:rPr>
            </w:pPr>
          </w:p>
        </w:tc>
        <w:tc>
          <w:tcPr>
            <w:tcW w:w="9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9B7C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时效指标</w:t>
            </w:r>
          </w:p>
        </w:tc>
        <w:tc>
          <w:tcPr>
            <w:tcW w:w="2840" w:type="dxa"/>
            <w:tcBorders>
              <w:top w:val="single" w:color="000000" w:sz="4" w:space="0"/>
              <w:left w:val="single" w:color="000000" w:sz="4" w:space="0"/>
              <w:bottom w:val="single" w:color="000000" w:sz="4" w:space="0"/>
              <w:right w:val="nil"/>
            </w:tcBorders>
            <w:shd w:val="clear" w:color="auto" w:fill="auto"/>
            <w:vAlign w:val="center"/>
          </w:tcPr>
          <w:p w14:paraId="69EF2E6A">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项目开展时效</w:t>
            </w:r>
          </w:p>
        </w:tc>
        <w:tc>
          <w:tcPr>
            <w:tcW w:w="2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72813">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≤1年</w:t>
            </w:r>
          </w:p>
        </w:tc>
      </w:tr>
      <w:tr w14:paraId="1591A3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4" w:hRule="atLeast"/>
          <w:jc w:val="center"/>
        </w:trPr>
        <w:tc>
          <w:tcPr>
            <w:tcW w:w="9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EDB12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效益指标</w:t>
            </w:r>
          </w:p>
        </w:tc>
        <w:tc>
          <w:tcPr>
            <w:tcW w:w="9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832AF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社会效益指标</w:t>
            </w:r>
          </w:p>
        </w:tc>
        <w:tc>
          <w:tcPr>
            <w:tcW w:w="2840" w:type="dxa"/>
            <w:tcBorders>
              <w:top w:val="single" w:color="000000" w:sz="4" w:space="0"/>
              <w:left w:val="single" w:color="000000" w:sz="4" w:space="0"/>
              <w:bottom w:val="single" w:color="000000" w:sz="4" w:space="0"/>
              <w:right w:val="nil"/>
            </w:tcBorders>
            <w:shd w:val="clear" w:color="auto" w:fill="auto"/>
            <w:vAlign w:val="center"/>
          </w:tcPr>
          <w:p w14:paraId="59249542">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减免基本殡葬服务费政策知晓率</w:t>
            </w:r>
          </w:p>
        </w:tc>
        <w:tc>
          <w:tcPr>
            <w:tcW w:w="2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A1E3D">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≤100知晓率</w:t>
            </w:r>
          </w:p>
        </w:tc>
      </w:tr>
      <w:tr w14:paraId="3E103A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4" w:hRule="atLeast"/>
          <w:jc w:val="center"/>
        </w:trPr>
        <w:tc>
          <w:tcPr>
            <w:tcW w:w="9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88BEA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满意度指标</w:t>
            </w:r>
          </w:p>
        </w:tc>
        <w:tc>
          <w:tcPr>
            <w:tcW w:w="93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2974A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服务对象满意度指标</w:t>
            </w:r>
          </w:p>
        </w:tc>
        <w:tc>
          <w:tcPr>
            <w:tcW w:w="2840" w:type="dxa"/>
            <w:tcBorders>
              <w:top w:val="single" w:color="000000" w:sz="4" w:space="0"/>
              <w:left w:val="single" w:color="000000" w:sz="4" w:space="0"/>
              <w:bottom w:val="single" w:color="000000" w:sz="4" w:space="0"/>
              <w:right w:val="nil"/>
            </w:tcBorders>
            <w:shd w:val="clear" w:color="auto" w:fill="auto"/>
            <w:vAlign w:val="center"/>
          </w:tcPr>
          <w:p w14:paraId="1497F2FD">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服务对象满意度</w:t>
            </w:r>
          </w:p>
        </w:tc>
        <w:tc>
          <w:tcPr>
            <w:tcW w:w="28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2C7C2">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≤100满意度</w:t>
            </w:r>
          </w:p>
        </w:tc>
      </w:tr>
    </w:tbl>
    <w:p w14:paraId="64D08750">
      <w:pPr>
        <w:keepNext w:val="0"/>
        <w:keepLines w:val="0"/>
        <w:pageBreakBefore w:val="0"/>
        <w:widowControl w:val="0"/>
        <w:numPr>
          <w:ilvl w:val="0"/>
          <w:numId w:val="0"/>
        </w:numPr>
        <w:kinsoku/>
        <w:wordWrap/>
        <w:topLinePunct w:val="0"/>
        <w:bidi w:val="0"/>
        <w:snapToGrid/>
        <w:spacing w:line="240" w:lineRule="auto"/>
        <w:outlineLvl w:val="9"/>
        <w:rPr>
          <w:rFonts w:hint="eastAsia" w:ascii="仿宋" w:hAnsi="仿宋" w:eastAsia="仿宋" w:cs="仿宋"/>
          <w:color w:val="auto"/>
          <w:kern w:val="0"/>
          <w:sz w:val="21"/>
          <w:szCs w:val="21"/>
          <w:highlight w:val="none"/>
          <w:lang w:val="en-US" w:eastAsia="zh-CN" w:bidi="ar-SA"/>
        </w:rPr>
      </w:pPr>
    </w:p>
    <w:p w14:paraId="5D055635">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0"/>
        <w:rPr>
          <w:rFonts w:hint="eastAsia" w:ascii="黑体" w:hAnsi="黑体" w:eastAsia="黑体" w:cs="黑体"/>
          <w:b/>
          <w:bCs/>
          <w:color w:val="auto"/>
          <w:sz w:val="32"/>
          <w:szCs w:val="32"/>
          <w:highlight w:val="none"/>
          <w:lang w:val="en-US" w:eastAsia="zh-CN"/>
        </w:rPr>
      </w:pPr>
      <w:bookmarkStart w:id="49" w:name="_Toc18922"/>
      <w:bookmarkStart w:id="50" w:name="_Toc2466"/>
      <w:bookmarkStart w:id="51" w:name="_Toc22186"/>
      <w:bookmarkStart w:id="52" w:name="_Toc20010"/>
      <w:bookmarkStart w:id="53" w:name="_Toc21819"/>
      <w:r>
        <w:rPr>
          <w:rFonts w:hint="eastAsia" w:ascii="黑体" w:hAnsi="黑体" w:eastAsia="黑体" w:cs="黑体"/>
          <w:b/>
          <w:bCs/>
          <w:color w:val="auto"/>
          <w:sz w:val="32"/>
          <w:szCs w:val="32"/>
          <w:highlight w:val="none"/>
          <w:lang w:val="en-US" w:eastAsia="zh-CN"/>
        </w:rPr>
        <w:t>二、绩效评价工作开展情况</w:t>
      </w:r>
      <w:bookmarkEnd w:id="49"/>
      <w:bookmarkEnd w:id="50"/>
      <w:bookmarkEnd w:id="51"/>
      <w:bookmarkEnd w:id="52"/>
      <w:bookmarkEnd w:id="53"/>
    </w:p>
    <w:p w14:paraId="1DCBFC3B">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1"/>
        <w:rPr>
          <w:rFonts w:hint="eastAsia" w:ascii="楷体_GB2312" w:hAnsi="楷体_GB2312" w:eastAsia="楷体_GB2312" w:cs="楷体_GB2312"/>
          <w:b/>
          <w:bCs/>
          <w:color w:val="auto"/>
          <w:sz w:val="32"/>
          <w:szCs w:val="32"/>
          <w:highlight w:val="none"/>
          <w:lang w:val="en-US" w:eastAsia="zh-CN"/>
        </w:rPr>
      </w:pPr>
      <w:bookmarkStart w:id="54" w:name="_Toc4103"/>
      <w:bookmarkStart w:id="55" w:name="_Toc31093"/>
      <w:bookmarkStart w:id="56" w:name="_Toc18934"/>
      <w:bookmarkStart w:id="57" w:name="_Toc15060"/>
      <w:bookmarkStart w:id="58" w:name="_Toc7018"/>
      <w:bookmarkStart w:id="59" w:name="_Toc29519"/>
      <w:bookmarkStart w:id="60" w:name="_Toc3704"/>
      <w:bookmarkStart w:id="61" w:name="_Toc18978"/>
      <w:bookmarkStart w:id="62" w:name="_Toc25793"/>
      <w:r>
        <w:rPr>
          <w:rFonts w:hint="eastAsia" w:ascii="楷体_GB2312" w:hAnsi="楷体_GB2312" w:eastAsia="楷体_GB2312" w:cs="楷体_GB2312"/>
          <w:b/>
          <w:bCs/>
          <w:color w:val="auto"/>
          <w:sz w:val="32"/>
          <w:szCs w:val="32"/>
          <w:highlight w:val="none"/>
          <w:lang w:val="en-US" w:eastAsia="zh-CN"/>
        </w:rPr>
        <w:t>（一）评价目的</w:t>
      </w:r>
      <w:bookmarkEnd w:id="54"/>
      <w:bookmarkEnd w:id="55"/>
      <w:bookmarkEnd w:id="56"/>
      <w:bookmarkEnd w:id="57"/>
      <w:bookmarkEnd w:id="58"/>
      <w:bookmarkEnd w:id="59"/>
      <w:bookmarkEnd w:id="60"/>
      <w:bookmarkEnd w:id="61"/>
      <w:bookmarkEnd w:id="62"/>
    </w:p>
    <w:p w14:paraId="3887A54B">
      <w:pPr>
        <w:keepNext w:val="0"/>
        <w:keepLines w:val="0"/>
        <w:pageBreakBefore w:val="0"/>
        <w:widowControl w:val="0"/>
        <w:shd w:val="clear" w:color="auto" w:fill="FFFFFF"/>
        <w:kinsoku/>
        <w:wordWrap/>
        <w:overflowPunct w:val="0"/>
        <w:topLinePunct w:val="0"/>
        <w:autoSpaceDE w:val="0"/>
        <w:autoSpaceDN w:val="0"/>
        <w:bidi w:val="0"/>
        <w:adjustRightInd w:val="0"/>
        <w:snapToGrid/>
        <w:spacing w:line="240" w:lineRule="auto"/>
        <w:ind w:leftChars="0" w:firstLine="0" w:firstLineChars="0"/>
        <w:textAlignment w:val="baseline"/>
        <w:outlineLvl w:val="9"/>
        <w:rPr>
          <w:rFonts w:hint="eastAsia" w:ascii="仿宋_GB2312" w:hAnsi="仿宋_GB2312" w:eastAsia="仿宋_GB2312" w:cs="仿宋_GB2312"/>
          <w:color w:val="auto"/>
          <w:kern w:val="0"/>
          <w:sz w:val="32"/>
          <w:szCs w:val="32"/>
          <w:highlight w:val="none"/>
          <w:lang w:val="en-US" w:eastAsia="zh-CN" w:bidi="ar-SA"/>
        </w:rPr>
      </w:pPr>
      <w:bookmarkStart w:id="63" w:name="_Toc21092"/>
      <w:bookmarkStart w:id="64" w:name="_Toc20806"/>
      <w:bookmarkStart w:id="65" w:name="_Toc94"/>
      <w:r>
        <w:rPr>
          <w:rFonts w:hint="eastAsia" w:ascii="仿宋" w:hAnsi="仿宋" w:eastAsia="仿宋" w:cs="仿宋"/>
          <w:b w:val="0"/>
          <w:bCs w:val="0"/>
          <w:color w:val="auto"/>
          <w:kern w:val="0"/>
          <w:sz w:val="28"/>
          <w:szCs w:val="28"/>
          <w:highlight w:val="none"/>
          <w:lang w:val="en-US" w:eastAsia="zh-CN"/>
        </w:rPr>
        <w:t>　</w:t>
      </w:r>
      <w:r>
        <w:rPr>
          <w:rFonts w:hint="eastAsia" w:ascii="仿宋_GB2312" w:hAnsi="仿宋_GB2312" w:eastAsia="仿宋_GB2312" w:cs="仿宋_GB2312"/>
          <w:color w:val="auto"/>
          <w:sz w:val="32"/>
          <w:szCs w:val="32"/>
          <w:highlight w:val="none"/>
          <w:lang w:val="en-US" w:eastAsia="zh-CN"/>
        </w:rPr>
        <w:t>　</w:t>
      </w:r>
      <w:bookmarkStart w:id="66" w:name="_Toc23653"/>
      <w:bookmarkStart w:id="67" w:name="_Toc20517"/>
      <w:bookmarkStart w:id="68" w:name="_Toc15152"/>
      <w:bookmarkStart w:id="69" w:name="_Toc18921"/>
      <w:bookmarkStart w:id="70" w:name="_Toc3487"/>
      <w:bookmarkStart w:id="71" w:name="_Toc11691"/>
      <w:bookmarkStart w:id="72" w:name="_Toc2412"/>
      <w:r>
        <w:rPr>
          <w:rFonts w:hint="eastAsia" w:ascii="仿宋_GB2312" w:hAnsi="仿宋_GB2312" w:eastAsia="仿宋_GB2312" w:cs="仿宋_GB2312"/>
          <w:color w:val="auto"/>
          <w:kern w:val="0"/>
          <w:sz w:val="32"/>
          <w:szCs w:val="32"/>
          <w:highlight w:val="none"/>
          <w:lang w:val="en-US" w:eastAsia="zh-CN" w:bidi="ar-SA"/>
        </w:rPr>
        <w:t>通过评价，总结项目实施过程中的经验，发现问题，提出改进该项目决策、过程、产出和效益几方面的具体建议。为石狮市财政局、石狮市殡葬服务所及相关管理部门提升专项资金绩效工作管理水平，提高财政资金的使用效益，为下一步预算资金安排提供参考依据</w:t>
      </w:r>
      <w:bookmarkEnd w:id="63"/>
      <w:bookmarkEnd w:id="64"/>
      <w:r>
        <w:rPr>
          <w:rFonts w:hint="eastAsia" w:ascii="仿宋_GB2312" w:hAnsi="仿宋_GB2312" w:eastAsia="仿宋_GB2312" w:cs="仿宋_GB2312"/>
          <w:color w:val="auto"/>
          <w:kern w:val="0"/>
          <w:sz w:val="32"/>
          <w:szCs w:val="32"/>
          <w:highlight w:val="none"/>
          <w:lang w:val="en-US" w:eastAsia="zh-CN" w:bidi="ar-SA"/>
        </w:rPr>
        <w:t>。</w:t>
      </w:r>
      <w:bookmarkEnd w:id="65"/>
      <w:bookmarkEnd w:id="66"/>
      <w:bookmarkEnd w:id="67"/>
      <w:bookmarkEnd w:id="68"/>
      <w:bookmarkEnd w:id="69"/>
      <w:bookmarkEnd w:id="70"/>
      <w:bookmarkEnd w:id="71"/>
      <w:bookmarkEnd w:id="72"/>
    </w:p>
    <w:p w14:paraId="1EE63AD1">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1"/>
        <w:rPr>
          <w:rFonts w:hint="eastAsia" w:ascii="楷体_GB2312" w:hAnsi="楷体_GB2312" w:eastAsia="楷体_GB2312" w:cs="楷体_GB2312"/>
          <w:b/>
          <w:bCs/>
          <w:color w:val="auto"/>
          <w:sz w:val="32"/>
          <w:szCs w:val="32"/>
          <w:highlight w:val="none"/>
          <w:lang w:val="en-US" w:eastAsia="zh-CN"/>
        </w:rPr>
      </w:pPr>
      <w:bookmarkStart w:id="73" w:name="_Toc28925"/>
      <w:bookmarkStart w:id="74" w:name="_Toc2365"/>
      <w:bookmarkStart w:id="75" w:name="_Toc19410"/>
      <w:bookmarkStart w:id="76" w:name="_Toc22123"/>
      <w:bookmarkStart w:id="77" w:name="_Toc2903"/>
      <w:bookmarkStart w:id="78" w:name="_Toc2123"/>
      <w:bookmarkStart w:id="79" w:name="_Toc20507"/>
      <w:bookmarkStart w:id="80" w:name="_Toc9958"/>
      <w:bookmarkStart w:id="81" w:name="_Toc15559"/>
      <w:r>
        <w:rPr>
          <w:rFonts w:hint="eastAsia" w:ascii="楷体_GB2312" w:hAnsi="楷体_GB2312" w:eastAsia="楷体_GB2312" w:cs="楷体_GB2312"/>
          <w:b/>
          <w:bCs/>
          <w:color w:val="auto"/>
          <w:sz w:val="32"/>
          <w:szCs w:val="32"/>
          <w:highlight w:val="none"/>
          <w:lang w:val="en-US" w:eastAsia="zh-CN"/>
        </w:rPr>
        <w:t>（二）评价对象及范围</w:t>
      </w:r>
      <w:bookmarkEnd w:id="73"/>
      <w:bookmarkEnd w:id="74"/>
      <w:bookmarkEnd w:id="75"/>
      <w:bookmarkEnd w:id="76"/>
      <w:bookmarkEnd w:id="77"/>
      <w:bookmarkEnd w:id="78"/>
      <w:bookmarkEnd w:id="79"/>
      <w:bookmarkEnd w:id="80"/>
      <w:bookmarkEnd w:id="81"/>
    </w:p>
    <w:p w14:paraId="6FA61263">
      <w:pPr>
        <w:keepNext w:val="0"/>
        <w:keepLines w:val="0"/>
        <w:pageBreakBefore w:val="0"/>
        <w:widowControl w:val="0"/>
        <w:shd w:val="clear" w:color="auto" w:fill="FFFFFF"/>
        <w:kinsoku/>
        <w:wordWrap/>
        <w:overflowPunct w:val="0"/>
        <w:topLinePunct w:val="0"/>
        <w:autoSpaceDE w:val="0"/>
        <w:autoSpaceDN w:val="0"/>
        <w:bidi w:val="0"/>
        <w:adjustRightInd w:val="0"/>
        <w:snapToGrid/>
        <w:spacing w:line="240" w:lineRule="auto"/>
        <w:ind w:leftChars="0" w:firstLine="640" w:firstLineChars="200"/>
        <w:textAlignment w:val="baseline"/>
        <w:outlineLvl w:val="9"/>
        <w:rPr>
          <w:rFonts w:hint="eastAsia" w:ascii="仿宋_GB2312" w:hAnsi="仿宋_GB2312" w:eastAsia="仿宋_GB2312" w:cs="仿宋_GB2312"/>
          <w:color w:val="auto"/>
          <w:kern w:val="0"/>
          <w:sz w:val="32"/>
          <w:szCs w:val="32"/>
          <w:highlight w:val="none"/>
          <w:lang w:val="en-US" w:eastAsia="zh-CN" w:bidi="ar-SA"/>
        </w:rPr>
      </w:pPr>
      <w:bookmarkStart w:id="82" w:name="_Toc811"/>
      <w:bookmarkStart w:id="83" w:name="_Toc18862"/>
      <w:bookmarkStart w:id="84" w:name="_Toc6940"/>
      <w:bookmarkStart w:id="85" w:name="_Toc31471"/>
      <w:bookmarkStart w:id="86" w:name="_Toc1024"/>
      <w:bookmarkStart w:id="87" w:name="_Toc28337"/>
      <w:bookmarkStart w:id="88" w:name="_Toc26033"/>
      <w:bookmarkStart w:id="89" w:name="_Toc13029"/>
      <w:r>
        <w:rPr>
          <w:rFonts w:hint="eastAsia" w:ascii="仿宋_GB2312" w:hAnsi="仿宋_GB2312" w:eastAsia="仿宋_GB2312" w:cs="仿宋_GB2312"/>
          <w:color w:val="auto"/>
          <w:kern w:val="0"/>
          <w:sz w:val="32"/>
          <w:szCs w:val="32"/>
          <w:highlight w:val="none"/>
          <w:lang w:val="en-US" w:eastAsia="zh-CN" w:bidi="ar-SA"/>
        </w:rPr>
        <w:t>评价对象为2024年石狮市殡葬服务所减免基本殡葬服务项目涉及石狮市本级资金共</w:t>
      </w:r>
      <w:r>
        <w:rPr>
          <w:rFonts w:hint="eastAsia" w:ascii="仿宋_GB2312" w:hAnsi="仿宋_GB2312" w:eastAsia="仿宋_GB2312" w:cs="仿宋_GB2312"/>
          <w:color w:val="auto"/>
          <w:kern w:val="2"/>
          <w:sz w:val="32"/>
          <w:szCs w:val="32"/>
          <w:highlight w:val="none"/>
          <w:lang w:val="en-US" w:eastAsia="zh-CN" w:bidi="ar-SA"/>
        </w:rPr>
        <w:t>226.616</w:t>
      </w:r>
      <w:r>
        <w:rPr>
          <w:rFonts w:hint="eastAsia" w:ascii="仿宋_GB2312" w:hAnsi="仿宋_GB2312" w:eastAsia="仿宋_GB2312" w:cs="仿宋_GB2312"/>
          <w:color w:val="auto"/>
          <w:kern w:val="0"/>
          <w:sz w:val="32"/>
          <w:szCs w:val="32"/>
          <w:highlight w:val="none"/>
          <w:lang w:val="en-US" w:eastAsia="zh-CN" w:bidi="ar-SA"/>
        </w:rPr>
        <w:t>万元。</w:t>
      </w:r>
      <w:bookmarkEnd w:id="82"/>
      <w:bookmarkEnd w:id="83"/>
      <w:bookmarkEnd w:id="84"/>
      <w:bookmarkEnd w:id="85"/>
      <w:bookmarkEnd w:id="86"/>
      <w:bookmarkEnd w:id="87"/>
      <w:bookmarkEnd w:id="88"/>
      <w:bookmarkEnd w:id="89"/>
    </w:p>
    <w:p w14:paraId="220FFFFF">
      <w:pPr>
        <w:keepNext w:val="0"/>
        <w:keepLines w:val="0"/>
        <w:pageBreakBefore w:val="0"/>
        <w:widowControl w:val="0"/>
        <w:shd w:val="clear" w:color="auto" w:fill="FFFFFF"/>
        <w:kinsoku/>
        <w:wordWrap/>
        <w:overflowPunct w:val="0"/>
        <w:topLinePunct w:val="0"/>
        <w:autoSpaceDE w:val="0"/>
        <w:autoSpaceDN w:val="0"/>
        <w:bidi w:val="0"/>
        <w:adjustRightInd w:val="0"/>
        <w:snapToGrid/>
        <w:spacing w:line="240" w:lineRule="auto"/>
        <w:ind w:leftChars="0" w:firstLine="640" w:firstLineChars="200"/>
        <w:textAlignment w:val="baseline"/>
        <w:outlineLvl w:val="9"/>
        <w:rPr>
          <w:rFonts w:hint="eastAsia" w:ascii="仿宋_GB2312" w:hAnsi="仿宋_GB2312" w:eastAsia="仿宋_GB2312" w:cs="仿宋_GB2312"/>
          <w:color w:val="auto"/>
          <w:kern w:val="0"/>
          <w:sz w:val="32"/>
          <w:szCs w:val="32"/>
          <w:highlight w:val="none"/>
          <w:lang w:val="en-US" w:eastAsia="zh-CN" w:bidi="ar-SA"/>
        </w:rPr>
      </w:pPr>
      <w:bookmarkStart w:id="90" w:name="_Toc29257"/>
      <w:bookmarkStart w:id="91" w:name="_Toc20673"/>
      <w:bookmarkStart w:id="92" w:name="_Toc28433"/>
      <w:bookmarkStart w:id="93" w:name="_Toc27148"/>
      <w:bookmarkStart w:id="94" w:name="_Toc4221"/>
      <w:bookmarkStart w:id="95" w:name="_Toc28978"/>
      <w:bookmarkStart w:id="96" w:name="_Toc13906"/>
      <w:bookmarkStart w:id="97" w:name="_Toc5983"/>
      <w:r>
        <w:rPr>
          <w:rFonts w:hint="eastAsia" w:ascii="仿宋_GB2312" w:hAnsi="仿宋_GB2312" w:eastAsia="仿宋_GB2312" w:cs="仿宋_GB2312"/>
          <w:color w:val="auto"/>
          <w:kern w:val="0"/>
          <w:sz w:val="32"/>
          <w:szCs w:val="32"/>
          <w:highlight w:val="none"/>
          <w:lang w:val="en-US" w:eastAsia="zh-CN" w:bidi="ar-SA"/>
        </w:rPr>
        <w:t>评价范围为项目单位围绕绩效目标所实施的各项活动，包括绩效目标的设定、资金投入和使用、采取措施以及绩效目标的实现程度和效果等。</w:t>
      </w:r>
      <w:bookmarkEnd w:id="90"/>
      <w:bookmarkEnd w:id="91"/>
      <w:bookmarkEnd w:id="92"/>
      <w:bookmarkEnd w:id="93"/>
      <w:bookmarkEnd w:id="94"/>
      <w:bookmarkEnd w:id="95"/>
      <w:bookmarkEnd w:id="96"/>
      <w:bookmarkEnd w:id="97"/>
    </w:p>
    <w:p w14:paraId="76AFDC83">
      <w:pPr>
        <w:keepNext w:val="0"/>
        <w:keepLines w:val="0"/>
        <w:pageBreakBefore w:val="0"/>
        <w:widowControl w:val="0"/>
        <w:shd w:val="clear" w:color="auto" w:fill="FFFFFF"/>
        <w:kinsoku/>
        <w:wordWrap/>
        <w:overflowPunct w:val="0"/>
        <w:topLinePunct w:val="0"/>
        <w:autoSpaceDE w:val="0"/>
        <w:autoSpaceDN w:val="0"/>
        <w:bidi w:val="0"/>
        <w:adjustRightInd w:val="0"/>
        <w:snapToGrid/>
        <w:spacing w:line="240" w:lineRule="auto"/>
        <w:ind w:leftChars="0" w:firstLine="643" w:firstLineChars="200"/>
        <w:textAlignment w:val="baseline"/>
        <w:outlineLvl w:val="1"/>
        <w:rPr>
          <w:rFonts w:hint="eastAsia" w:ascii="仿宋" w:hAnsi="仿宋" w:eastAsia="仿宋" w:cs="仿宋"/>
          <w:b/>
          <w:bCs/>
          <w:color w:val="auto"/>
          <w:kern w:val="0"/>
          <w:sz w:val="28"/>
          <w:szCs w:val="28"/>
          <w:highlight w:val="none"/>
        </w:rPr>
      </w:pPr>
      <w:bookmarkStart w:id="98" w:name="_Toc31691"/>
      <w:bookmarkStart w:id="99" w:name="_Toc19688"/>
      <w:bookmarkStart w:id="100" w:name="_Toc13393"/>
      <w:bookmarkStart w:id="101" w:name="_Toc13168"/>
      <w:bookmarkStart w:id="102" w:name="_Toc4052"/>
      <w:bookmarkStart w:id="103" w:name="_Toc25485"/>
      <w:bookmarkStart w:id="104" w:name="_Toc11820"/>
      <w:bookmarkStart w:id="105" w:name="_Toc23160"/>
      <w:bookmarkStart w:id="106" w:name="_Toc26157"/>
      <w:r>
        <w:rPr>
          <w:rFonts w:hint="eastAsia" w:ascii="楷体_GB2312" w:hAnsi="楷体_GB2312" w:eastAsia="楷体_GB2312" w:cs="楷体_GB2312"/>
          <w:b/>
          <w:bCs/>
          <w:color w:val="auto"/>
          <w:sz w:val="32"/>
          <w:szCs w:val="32"/>
          <w:highlight w:val="none"/>
          <w:lang w:val="en-US" w:eastAsia="zh-CN"/>
        </w:rPr>
        <w:t>（三）评价依据</w:t>
      </w:r>
      <w:bookmarkEnd w:id="98"/>
      <w:bookmarkEnd w:id="99"/>
      <w:bookmarkEnd w:id="100"/>
      <w:bookmarkEnd w:id="101"/>
      <w:bookmarkEnd w:id="102"/>
      <w:bookmarkEnd w:id="103"/>
      <w:bookmarkEnd w:id="104"/>
      <w:bookmarkEnd w:id="105"/>
      <w:bookmarkEnd w:id="106"/>
    </w:p>
    <w:p w14:paraId="24F5897C">
      <w:pPr>
        <w:keepNext w:val="0"/>
        <w:keepLines w:val="0"/>
        <w:pageBreakBefore w:val="0"/>
        <w:widowControl w:val="0"/>
        <w:shd w:val="clear" w:color="auto" w:fill="FFFFFF"/>
        <w:kinsoku/>
        <w:wordWrap/>
        <w:overflowPunct w:val="0"/>
        <w:topLinePunct w:val="0"/>
        <w:autoSpaceDE w:val="0"/>
        <w:autoSpaceDN w:val="0"/>
        <w:bidi w:val="0"/>
        <w:adjustRightInd w:val="0"/>
        <w:snapToGrid/>
        <w:spacing w:line="560" w:lineRule="atLeast"/>
        <w:ind w:leftChars="0" w:firstLine="640" w:firstLineChars="200"/>
        <w:textAlignment w:val="baseline"/>
        <w:outlineLvl w:val="9"/>
        <w:rPr>
          <w:rFonts w:hint="eastAsia" w:ascii="仿宋_GB2312" w:hAnsi="仿宋_GB2312" w:eastAsia="仿宋_GB2312" w:cs="仿宋_GB2312"/>
          <w:color w:val="auto"/>
          <w:sz w:val="32"/>
          <w:szCs w:val="32"/>
          <w:highlight w:val="none"/>
          <w:lang w:val="en-US" w:eastAsia="zh-CN"/>
        </w:rPr>
      </w:pPr>
      <w:bookmarkStart w:id="107" w:name="_Toc11819"/>
      <w:bookmarkStart w:id="108" w:name="_Toc5788"/>
      <w:bookmarkStart w:id="109" w:name="_Toc2886"/>
      <w:bookmarkStart w:id="110" w:name="_Toc2199"/>
      <w:bookmarkStart w:id="111" w:name="_Toc30393"/>
      <w:bookmarkStart w:id="112" w:name="_Toc11899"/>
      <w:bookmarkStart w:id="113" w:name="_Toc29771"/>
      <w:r>
        <w:rPr>
          <w:rFonts w:hint="eastAsia" w:ascii="仿宋_GB2312" w:hAnsi="仿宋_GB2312" w:eastAsia="仿宋_GB2312" w:cs="仿宋_GB2312"/>
          <w:color w:val="auto"/>
          <w:sz w:val="32"/>
          <w:szCs w:val="32"/>
          <w:highlight w:val="none"/>
          <w:lang w:val="en-US" w:eastAsia="zh-CN"/>
        </w:rPr>
        <w:t>1.《中华人民共和国预算法》；</w:t>
      </w:r>
    </w:p>
    <w:p w14:paraId="7618AFC6">
      <w:pPr>
        <w:keepNext w:val="0"/>
        <w:keepLines w:val="0"/>
        <w:pageBreakBefore w:val="0"/>
        <w:widowControl w:val="0"/>
        <w:shd w:val="clear" w:color="auto" w:fill="FFFFFF"/>
        <w:kinsoku/>
        <w:wordWrap/>
        <w:overflowPunct w:val="0"/>
        <w:topLinePunct w:val="0"/>
        <w:autoSpaceDE w:val="0"/>
        <w:autoSpaceDN w:val="0"/>
        <w:bidi w:val="0"/>
        <w:adjustRightInd w:val="0"/>
        <w:snapToGrid/>
        <w:spacing w:line="560" w:lineRule="atLeast"/>
        <w:ind w:leftChars="0" w:firstLine="640" w:firstLineChars="200"/>
        <w:textAlignment w:val="baseline"/>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2.《项目支出绩效评价管理办法》（财预〔2020〕10号）；</w:t>
      </w:r>
    </w:p>
    <w:p w14:paraId="1A5D36C9">
      <w:pPr>
        <w:keepNext w:val="0"/>
        <w:keepLines w:val="0"/>
        <w:pageBreakBefore w:val="0"/>
        <w:widowControl w:val="0"/>
        <w:shd w:val="clear" w:color="auto" w:fill="FFFFFF"/>
        <w:kinsoku/>
        <w:wordWrap/>
        <w:overflowPunct w:val="0"/>
        <w:topLinePunct w:val="0"/>
        <w:autoSpaceDE w:val="0"/>
        <w:autoSpaceDN w:val="0"/>
        <w:bidi w:val="0"/>
        <w:adjustRightInd w:val="0"/>
        <w:snapToGrid/>
        <w:spacing w:line="560" w:lineRule="atLeast"/>
        <w:ind w:leftChars="0" w:firstLine="640" w:firstLineChars="200"/>
        <w:textAlignment w:val="baseline"/>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3.《中共中央 国务院关于全面实施预算绩效管理的意见》（中发〔2018〕34号）；</w:t>
      </w:r>
    </w:p>
    <w:p w14:paraId="7A89C9F1">
      <w:pPr>
        <w:keepNext w:val="0"/>
        <w:keepLines w:val="0"/>
        <w:pageBreakBefore w:val="0"/>
        <w:widowControl w:val="0"/>
        <w:shd w:val="clear" w:color="auto" w:fill="FFFFFF"/>
        <w:kinsoku/>
        <w:wordWrap/>
        <w:overflowPunct w:val="0"/>
        <w:topLinePunct w:val="0"/>
        <w:autoSpaceDE w:val="0"/>
        <w:autoSpaceDN w:val="0"/>
        <w:bidi w:val="0"/>
        <w:adjustRightInd w:val="0"/>
        <w:snapToGrid/>
        <w:spacing w:line="560" w:lineRule="atLeast"/>
        <w:ind w:leftChars="0" w:firstLine="640" w:firstLineChars="200"/>
        <w:textAlignment w:val="baseline"/>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4.《财政部关于印发〈预算绩效评价共性指标体系框架〉的通知》（财预〔2013〕53号）；</w:t>
      </w:r>
      <w:bookmarkEnd w:id="107"/>
      <w:bookmarkEnd w:id="108"/>
      <w:bookmarkEnd w:id="109"/>
      <w:bookmarkEnd w:id="110"/>
      <w:bookmarkEnd w:id="111"/>
      <w:bookmarkEnd w:id="112"/>
      <w:bookmarkEnd w:id="113"/>
    </w:p>
    <w:p w14:paraId="3ECEACEF">
      <w:pPr>
        <w:keepNext w:val="0"/>
        <w:keepLines w:val="0"/>
        <w:pageBreakBefore w:val="0"/>
        <w:widowControl w:val="0"/>
        <w:shd w:val="clear" w:color="auto" w:fill="FFFFFF"/>
        <w:kinsoku/>
        <w:wordWrap/>
        <w:overflowPunct w:val="0"/>
        <w:topLinePunct w:val="0"/>
        <w:autoSpaceDE w:val="0"/>
        <w:autoSpaceDN w:val="0"/>
        <w:bidi w:val="0"/>
        <w:adjustRightInd w:val="0"/>
        <w:snapToGrid/>
        <w:spacing w:line="560" w:lineRule="atLeast"/>
        <w:ind w:leftChars="0" w:firstLine="640" w:firstLineChars="200"/>
        <w:textAlignment w:val="baseline"/>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5.《殡葬管理条例》（中华人民共和国国务院令第 628 号）</w:t>
      </w:r>
      <w:bookmarkStart w:id="261" w:name="_GoBack"/>
      <w:bookmarkEnd w:id="261"/>
      <w:r>
        <w:rPr>
          <w:rFonts w:hint="eastAsia" w:ascii="仿宋_GB2312" w:hAnsi="仿宋_GB2312" w:eastAsia="仿宋_GB2312" w:cs="仿宋_GB2312"/>
          <w:color w:val="auto"/>
          <w:sz w:val="32"/>
          <w:szCs w:val="32"/>
          <w:highlight w:val="none"/>
          <w:lang w:val="en-US" w:eastAsia="zh-CN"/>
        </w:rPr>
        <w:t>；</w:t>
      </w:r>
    </w:p>
    <w:p w14:paraId="388D0860">
      <w:pPr>
        <w:keepNext w:val="0"/>
        <w:keepLines w:val="0"/>
        <w:pageBreakBefore w:val="0"/>
        <w:widowControl w:val="0"/>
        <w:shd w:val="clear" w:color="auto" w:fill="FFFFFF"/>
        <w:kinsoku/>
        <w:wordWrap/>
        <w:overflowPunct w:val="0"/>
        <w:topLinePunct w:val="0"/>
        <w:autoSpaceDE w:val="0"/>
        <w:autoSpaceDN w:val="0"/>
        <w:bidi w:val="0"/>
        <w:adjustRightInd w:val="0"/>
        <w:snapToGrid/>
        <w:spacing w:line="560" w:lineRule="atLeast"/>
        <w:ind w:leftChars="0" w:firstLine="640" w:firstLineChars="200"/>
        <w:textAlignment w:val="baseline"/>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6.《民政部关于全面推行惠民殡葬政策的指导意见》（民发〔2012〕211 号）；</w:t>
      </w:r>
    </w:p>
    <w:p w14:paraId="3FA9FE74">
      <w:pPr>
        <w:keepNext w:val="0"/>
        <w:keepLines w:val="0"/>
        <w:pageBreakBefore w:val="0"/>
        <w:widowControl w:val="0"/>
        <w:shd w:val="clear" w:color="auto" w:fill="FFFFFF"/>
        <w:kinsoku/>
        <w:wordWrap/>
        <w:overflowPunct w:val="0"/>
        <w:topLinePunct w:val="0"/>
        <w:autoSpaceDE w:val="0"/>
        <w:autoSpaceDN w:val="0"/>
        <w:bidi w:val="0"/>
        <w:adjustRightInd w:val="0"/>
        <w:snapToGrid/>
        <w:spacing w:line="560" w:lineRule="atLeast"/>
        <w:ind w:leftChars="0" w:firstLine="640" w:firstLineChars="200"/>
        <w:textAlignment w:val="baseline"/>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7.《福建省人民政府办公厅关于免除城乡困难群众基本殡葬服务费的通知》（闽政办〔2012〕163 号）；</w:t>
      </w:r>
    </w:p>
    <w:p w14:paraId="5090230B">
      <w:pPr>
        <w:keepNext w:val="0"/>
        <w:keepLines w:val="0"/>
        <w:pageBreakBefore w:val="0"/>
        <w:widowControl w:val="0"/>
        <w:shd w:val="clear" w:color="auto" w:fill="FFFFFF"/>
        <w:kinsoku/>
        <w:wordWrap/>
        <w:overflowPunct w:val="0"/>
        <w:topLinePunct w:val="0"/>
        <w:autoSpaceDE w:val="0"/>
        <w:autoSpaceDN w:val="0"/>
        <w:bidi w:val="0"/>
        <w:adjustRightInd w:val="0"/>
        <w:snapToGrid/>
        <w:spacing w:line="560" w:lineRule="atLeast"/>
        <w:ind w:leftChars="0" w:firstLine="640" w:firstLineChars="200"/>
        <w:textAlignment w:val="baseline"/>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8.《福建省殡葬服务收费管理暂行办法》（闽价费〔2012〕524 号）；</w:t>
      </w:r>
    </w:p>
    <w:p w14:paraId="1909A3E2">
      <w:pPr>
        <w:keepNext w:val="0"/>
        <w:keepLines w:val="0"/>
        <w:pageBreakBefore w:val="0"/>
        <w:widowControl w:val="0"/>
        <w:shd w:val="clear" w:color="auto" w:fill="FFFFFF"/>
        <w:kinsoku/>
        <w:wordWrap/>
        <w:overflowPunct w:val="0"/>
        <w:topLinePunct w:val="0"/>
        <w:autoSpaceDE w:val="0"/>
        <w:autoSpaceDN w:val="0"/>
        <w:bidi w:val="0"/>
        <w:adjustRightInd w:val="0"/>
        <w:snapToGrid/>
        <w:spacing w:line="560" w:lineRule="atLeast"/>
        <w:ind w:leftChars="0" w:firstLine="640" w:firstLineChars="200"/>
        <w:textAlignment w:val="baseline"/>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9.《</w:t>
      </w:r>
      <w:r>
        <w:rPr>
          <w:rFonts w:hint="default" w:ascii="仿宋_GB2312" w:hAnsi="仿宋_GB2312" w:eastAsia="仿宋_GB2312" w:cs="仿宋_GB2312"/>
          <w:color w:val="auto"/>
          <w:sz w:val="32"/>
          <w:szCs w:val="32"/>
          <w:highlight w:val="none"/>
          <w:lang w:val="en-US" w:eastAsia="zh-CN"/>
        </w:rPr>
        <w:t>石狮市人民政府关于印发石狮市减免基本殡葬服务项目费用实施</w:t>
      </w:r>
      <w:r>
        <w:rPr>
          <w:rFonts w:hint="eastAsia" w:ascii="仿宋_GB2312" w:hAnsi="仿宋_GB2312" w:eastAsia="仿宋_GB2312" w:cs="仿宋_GB2312"/>
          <w:color w:val="auto"/>
          <w:sz w:val="32"/>
          <w:szCs w:val="32"/>
          <w:highlight w:val="none"/>
          <w:lang w:val="en-US" w:eastAsia="zh-CN"/>
        </w:rPr>
        <w:t>意见</w:t>
      </w:r>
      <w:r>
        <w:rPr>
          <w:rFonts w:hint="default" w:ascii="仿宋_GB2312" w:hAnsi="仿宋_GB2312" w:eastAsia="仿宋_GB2312" w:cs="仿宋_GB2312"/>
          <w:color w:val="auto"/>
          <w:sz w:val="32"/>
          <w:szCs w:val="32"/>
          <w:highlight w:val="none"/>
          <w:lang w:val="en-US" w:eastAsia="zh-CN"/>
        </w:rPr>
        <w:t>的通知</w:t>
      </w:r>
      <w:r>
        <w:rPr>
          <w:rFonts w:hint="eastAsia" w:ascii="仿宋_GB2312" w:hAnsi="仿宋_GB2312" w:eastAsia="仿宋_GB2312" w:cs="仿宋_GB2312"/>
          <w:color w:val="auto"/>
          <w:sz w:val="32"/>
          <w:szCs w:val="32"/>
          <w:highlight w:val="none"/>
          <w:lang w:val="en-US" w:eastAsia="zh-CN"/>
        </w:rPr>
        <w:t>》</w:t>
      </w:r>
      <w:r>
        <w:rPr>
          <w:rFonts w:hint="default" w:ascii="仿宋_GB2312" w:hAnsi="仿宋_GB2312" w:eastAsia="仿宋_GB2312" w:cs="仿宋_GB2312"/>
          <w:color w:val="auto"/>
          <w:sz w:val="32"/>
          <w:szCs w:val="32"/>
          <w:highlight w:val="none"/>
          <w:lang w:val="en-US" w:eastAsia="zh-CN"/>
        </w:rPr>
        <w:t>狮政综〔2012〕</w:t>
      </w:r>
      <w:r>
        <w:rPr>
          <w:rFonts w:hint="eastAsia" w:ascii="仿宋_GB2312" w:hAnsi="仿宋_GB2312" w:eastAsia="仿宋_GB2312" w:cs="仿宋_GB2312"/>
          <w:color w:val="auto"/>
          <w:sz w:val="32"/>
          <w:szCs w:val="32"/>
          <w:highlight w:val="none"/>
          <w:lang w:val="en-US" w:eastAsia="zh-CN"/>
        </w:rPr>
        <w:t>90</w:t>
      </w:r>
      <w:r>
        <w:rPr>
          <w:rFonts w:hint="default" w:ascii="仿宋_GB2312" w:hAnsi="仿宋_GB2312" w:eastAsia="仿宋_GB2312" w:cs="仿宋_GB2312"/>
          <w:color w:val="auto"/>
          <w:sz w:val="32"/>
          <w:szCs w:val="32"/>
          <w:highlight w:val="none"/>
          <w:lang w:val="en-US" w:eastAsia="zh-CN"/>
        </w:rPr>
        <w:t>号</w:t>
      </w:r>
      <w:r>
        <w:rPr>
          <w:rFonts w:hint="eastAsia" w:ascii="仿宋_GB2312" w:hAnsi="仿宋_GB2312" w:eastAsia="仿宋_GB2312" w:cs="仿宋_GB2312"/>
          <w:color w:val="auto"/>
          <w:sz w:val="32"/>
          <w:szCs w:val="32"/>
          <w:highlight w:val="none"/>
          <w:lang w:val="en-US" w:eastAsia="zh-CN"/>
        </w:rPr>
        <w:t>;</w:t>
      </w:r>
    </w:p>
    <w:p w14:paraId="60E16F64">
      <w:pPr>
        <w:keepNext w:val="0"/>
        <w:keepLines w:val="0"/>
        <w:pageBreakBefore w:val="0"/>
        <w:widowControl w:val="0"/>
        <w:shd w:val="clear" w:color="auto" w:fill="FFFFFF"/>
        <w:kinsoku/>
        <w:wordWrap/>
        <w:overflowPunct w:val="0"/>
        <w:topLinePunct w:val="0"/>
        <w:autoSpaceDE w:val="0"/>
        <w:autoSpaceDN w:val="0"/>
        <w:bidi w:val="0"/>
        <w:adjustRightInd w:val="0"/>
        <w:snapToGrid/>
        <w:spacing w:line="560" w:lineRule="atLeast"/>
        <w:ind w:leftChars="0" w:firstLine="640" w:firstLineChars="200"/>
        <w:textAlignment w:val="baseline"/>
        <w:outlineLvl w:val="9"/>
        <w:rPr>
          <w:rFonts w:hint="eastAsia" w:ascii="仿宋" w:hAnsi="仿宋" w:eastAsia="仿宋" w:cs="仿宋"/>
          <w:b/>
          <w:bCs/>
          <w:color w:val="auto"/>
          <w:kern w:val="0"/>
          <w:sz w:val="28"/>
          <w:szCs w:val="28"/>
          <w:highlight w:val="none"/>
          <w:lang w:val="en-US" w:eastAsia="zh-CN"/>
        </w:rPr>
      </w:pPr>
      <w:r>
        <w:rPr>
          <w:rFonts w:hint="eastAsia" w:ascii="仿宋_GB2312" w:hAnsi="仿宋_GB2312" w:eastAsia="仿宋_GB2312" w:cs="仿宋_GB2312"/>
          <w:color w:val="auto"/>
          <w:sz w:val="32"/>
          <w:szCs w:val="32"/>
          <w:highlight w:val="none"/>
          <w:lang w:val="en-US" w:eastAsia="zh-CN"/>
        </w:rPr>
        <w:t>10.石狮市财政局、石狮市相关管理部门提供的其他资料等等。</w:t>
      </w:r>
      <w:bookmarkStart w:id="114" w:name="_Toc13191"/>
      <w:bookmarkStart w:id="115" w:name="_Toc10011"/>
      <w:bookmarkStart w:id="116" w:name="_Toc556"/>
      <w:r>
        <w:rPr>
          <w:rFonts w:hint="eastAsia" w:ascii="仿宋" w:hAnsi="仿宋" w:eastAsia="仿宋" w:cs="仿宋"/>
          <w:b w:val="0"/>
          <w:bCs w:val="0"/>
          <w:color w:val="auto"/>
          <w:kern w:val="0"/>
          <w:sz w:val="28"/>
          <w:szCs w:val="28"/>
          <w:highlight w:val="none"/>
          <w:lang w:val="en-US" w:eastAsia="zh-CN"/>
        </w:rPr>
        <w:t>　</w:t>
      </w:r>
      <w:bookmarkEnd w:id="114"/>
      <w:bookmarkEnd w:id="115"/>
      <w:bookmarkEnd w:id="116"/>
      <w:bookmarkStart w:id="117" w:name="_Toc21280"/>
      <w:bookmarkStart w:id="118" w:name="_Toc11208"/>
      <w:bookmarkStart w:id="119" w:name="_Toc3599"/>
      <w:bookmarkStart w:id="120" w:name="_Toc15154"/>
    </w:p>
    <w:p w14:paraId="4027780C">
      <w:pPr>
        <w:keepNext w:val="0"/>
        <w:keepLines w:val="0"/>
        <w:pageBreakBefore w:val="0"/>
        <w:widowControl w:val="0"/>
        <w:shd w:val="clear" w:color="auto" w:fill="FFFFFF"/>
        <w:kinsoku/>
        <w:wordWrap/>
        <w:overflowPunct w:val="0"/>
        <w:topLinePunct w:val="0"/>
        <w:autoSpaceDE w:val="0"/>
        <w:autoSpaceDN w:val="0"/>
        <w:bidi w:val="0"/>
        <w:adjustRightInd w:val="0"/>
        <w:snapToGrid/>
        <w:spacing w:line="240" w:lineRule="auto"/>
        <w:ind w:leftChars="0" w:firstLine="643" w:firstLineChars="200"/>
        <w:textAlignment w:val="baseline"/>
        <w:outlineLvl w:val="1"/>
        <w:rPr>
          <w:rFonts w:hint="eastAsia" w:ascii="楷体_GB2312" w:hAnsi="楷体_GB2312" w:eastAsia="楷体_GB2312" w:cs="楷体_GB2312"/>
          <w:b/>
          <w:bCs/>
          <w:color w:val="auto"/>
          <w:sz w:val="32"/>
          <w:szCs w:val="32"/>
          <w:highlight w:val="none"/>
          <w:lang w:val="en-US" w:eastAsia="zh-CN"/>
        </w:rPr>
      </w:pPr>
      <w:bookmarkStart w:id="121" w:name="_Toc14397"/>
      <w:bookmarkStart w:id="122" w:name="_Toc16597"/>
      <w:bookmarkStart w:id="123" w:name="_Toc19676"/>
      <w:r>
        <w:rPr>
          <w:rFonts w:hint="eastAsia" w:ascii="楷体_GB2312" w:hAnsi="楷体_GB2312" w:eastAsia="楷体_GB2312" w:cs="楷体_GB2312"/>
          <w:b/>
          <w:bCs/>
          <w:color w:val="auto"/>
          <w:sz w:val="32"/>
          <w:szCs w:val="32"/>
          <w:highlight w:val="none"/>
          <w:lang w:val="en-US" w:eastAsia="zh-CN"/>
        </w:rPr>
        <w:t>（四）评价原则和评价指标体系</w:t>
      </w:r>
      <w:bookmarkEnd w:id="117"/>
      <w:bookmarkEnd w:id="118"/>
      <w:bookmarkEnd w:id="119"/>
      <w:bookmarkEnd w:id="120"/>
      <w:bookmarkEnd w:id="121"/>
      <w:bookmarkEnd w:id="122"/>
      <w:bookmarkEnd w:id="123"/>
    </w:p>
    <w:p w14:paraId="3ED74CD2">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eastAsia" w:ascii="仿宋_GB2312" w:hAnsi="仿宋_GB2312" w:eastAsia="仿宋_GB2312" w:cs="仿宋_GB2312"/>
          <w:b/>
          <w:bCs/>
          <w:color w:val="auto"/>
          <w:sz w:val="32"/>
          <w:szCs w:val="32"/>
          <w:highlight w:val="none"/>
          <w:lang w:val="en-US" w:eastAsia="zh-CN"/>
        </w:rPr>
      </w:pPr>
      <w:bookmarkStart w:id="124" w:name="_Toc23690"/>
      <w:r>
        <w:rPr>
          <w:rFonts w:hint="eastAsia" w:ascii="仿宋_GB2312" w:hAnsi="仿宋_GB2312" w:eastAsia="仿宋_GB2312" w:cs="仿宋_GB2312"/>
          <w:b/>
          <w:bCs/>
          <w:color w:val="auto"/>
          <w:sz w:val="32"/>
          <w:szCs w:val="32"/>
          <w:highlight w:val="none"/>
          <w:lang w:val="en-US" w:eastAsia="zh-CN"/>
        </w:rPr>
        <w:t>1.评价原则</w:t>
      </w:r>
      <w:bookmarkEnd w:id="124"/>
    </w:p>
    <w:p w14:paraId="7296414D">
      <w:pPr>
        <w:keepNext w:val="0"/>
        <w:keepLines w:val="0"/>
        <w:pageBreakBefore w:val="0"/>
        <w:widowControl w:val="0"/>
        <w:shd w:val="clear" w:color="auto" w:fill="FFFFFF"/>
        <w:kinsoku/>
        <w:wordWrap/>
        <w:overflowPunct w:val="0"/>
        <w:topLinePunct w:val="0"/>
        <w:autoSpaceDE w:val="0"/>
        <w:autoSpaceDN w:val="0"/>
        <w:bidi w:val="0"/>
        <w:adjustRightInd w:val="0"/>
        <w:snapToGrid/>
        <w:spacing w:line="560" w:lineRule="exact"/>
        <w:ind w:leftChars="0" w:firstLine="640" w:firstLineChars="200"/>
        <w:textAlignment w:val="baseline"/>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绩效评价指标的确定应当遵循相关性原则、重要性原则、可比性原则、系统性原则、经济性原则。</w:t>
      </w:r>
    </w:p>
    <w:p w14:paraId="1A93853D">
      <w:pPr>
        <w:keepNext w:val="0"/>
        <w:keepLines w:val="0"/>
        <w:pageBreakBefore w:val="0"/>
        <w:widowControl w:val="0"/>
        <w:kinsoku/>
        <w:wordWrap/>
        <w:overflowPunct/>
        <w:topLinePunct w:val="0"/>
        <w:autoSpaceDE/>
        <w:autoSpaceDN/>
        <w:bidi w:val="0"/>
        <w:adjustRightInd/>
        <w:snapToGrid/>
        <w:spacing w:line="240" w:lineRule="auto"/>
        <w:ind w:leftChars="0" w:firstLine="643" w:firstLineChars="200"/>
        <w:jc w:val="both"/>
        <w:textAlignment w:val="auto"/>
        <w:outlineLvl w:val="2"/>
        <w:rPr>
          <w:rFonts w:hint="eastAsia" w:ascii="仿宋_GB2312" w:hAnsi="仿宋_GB2312" w:eastAsia="仿宋_GB2312" w:cs="仿宋_GB2312"/>
          <w:b/>
          <w:bCs/>
          <w:color w:val="auto"/>
          <w:sz w:val="32"/>
          <w:szCs w:val="32"/>
          <w:highlight w:val="none"/>
          <w:lang w:val="en-US" w:eastAsia="zh-CN"/>
        </w:rPr>
      </w:pPr>
      <w:bookmarkStart w:id="125" w:name="_Toc24286"/>
      <w:bookmarkStart w:id="126" w:name="_Toc22508"/>
      <w:r>
        <w:rPr>
          <w:rFonts w:hint="eastAsia" w:ascii="仿宋_GB2312" w:hAnsi="仿宋_GB2312" w:eastAsia="仿宋_GB2312" w:cs="仿宋_GB2312"/>
          <w:b/>
          <w:bCs/>
          <w:color w:val="auto"/>
          <w:sz w:val="32"/>
          <w:szCs w:val="32"/>
          <w:highlight w:val="none"/>
          <w:lang w:val="en-US" w:eastAsia="zh-CN"/>
        </w:rPr>
        <w:t>2.绩效评价指标体系</w:t>
      </w:r>
      <w:bookmarkEnd w:id="125"/>
      <w:bookmarkEnd w:id="126"/>
    </w:p>
    <w:p w14:paraId="1E6222C3">
      <w:pPr>
        <w:keepNext w:val="0"/>
        <w:keepLines w:val="0"/>
        <w:pageBreakBefore w:val="0"/>
        <w:widowControl w:val="0"/>
        <w:shd w:val="clear" w:color="auto" w:fill="FFFFFF"/>
        <w:kinsoku/>
        <w:wordWrap/>
        <w:overflowPunct w:val="0"/>
        <w:topLinePunct w:val="0"/>
        <w:autoSpaceDE w:val="0"/>
        <w:autoSpaceDN w:val="0"/>
        <w:bidi w:val="0"/>
        <w:adjustRightInd w:val="0"/>
        <w:snapToGrid/>
        <w:spacing w:line="560" w:lineRule="exact"/>
        <w:ind w:firstLine="640" w:firstLineChars="200"/>
        <w:textAlignment w:val="baseline"/>
        <w:outlineLvl w:val="9"/>
        <w:rPr>
          <w:rFonts w:hint="eastAsia" w:ascii="仿宋_GB2312" w:hAnsi="仿宋_GB2312" w:eastAsia="仿宋_GB2312" w:cs="仿宋_GB2312"/>
          <w:color w:val="auto"/>
          <w:sz w:val="32"/>
          <w:szCs w:val="32"/>
          <w:highlight w:val="none"/>
          <w:lang w:val="en-US" w:eastAsia="zh-CN"/>
        </w:rPr>
      </w:pPr>
      <w:bookmarkStart w:id="127" w:name="_Toc21549_WPSOffice_Level3"/>
      <w:bookmarkStart w:id="128" w:name="_Toc22358_WPSOffice_Level3"/>
      <w:r>
        <w:rPr>
          <w:rFonts w:hint="eastAsia" w:ascii="仿宋_GB2312" w:hAnsi="仿宋_GB2312" w:eastAsia="仿宋_GB2312" w:cs="仿宋_GB2312"/>
          <w:color w:val="auto"/>
          <w:sz w:val="32"/>
          <w:szCs w:val="32"/>
          <w:highlight w:val="none"/>
          <w:lang w:val="en-US" w:eastAsia="zh-CN"/>
        </w:rPr>
        <w:t>（1）指标体系设计的总体思路</w:t>
      </w:r>
      <w:bookmarkEnd w:id="127"/>
      <w:bookmarkEnd w:id="128"/>
    </w:p>
    <w:p w14:paraId="17018CB3">
      <w:pPr>
        <w:keepNext w:val="0"/>
        <w:keepLines w:val="0"/>
        <w:pageBreakBefore w:val="0"/>
        <w:widowControl w:val="0"/>
        <w:shd w:val="clear" w:color="auto" w:fill="FFFFFF"/>
        <w:kinsoku/>
        <w:wordWrap/>
        <w:overflowPunct w:val="0"/>
        <w:topLinePunct w:val="0"/>
        <w:autoSpaceDE w:val="0"/>
        <w:autoSpaceDN w:val="0"/>
        <w:bidi w:val="0"/>
        <w:adjustRightInd w:val="0"/>
        <w:snapToGrid/>
        <w:spacing w:line="560" w:lineRule="exact"/>
        <w:ind w:firstLine="640" w:firstLineChars="200"/>
        <w:textAlignment w:val="baseline"/>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本次绩效评价指标体系总体依据《项目支出绩效评价管理办法》（财预〔2020〕10号）的相关规定设计，在不改变“预算支出项目绩效评价共性指标体系”的一级和二级指标内容和权重的前提下，结合项目实际对三级指标进行细化和调整，并采用层次分析法，结合以往经验确定三级指标的权重。另外，根据相关法律法规、项目绩效目标及管理办法确定绩效评价标准。</w:t>
      </w:r>
    </w:p>
    <w:p w14:paraId="2040B649">
      <w:pPr>
        <w:keepNext w:val="0"/>
        <w:keepLines w:val="0"/>
        <w:pageBreakBefore w:val="0"/>
        <w:widowControl w:val="0"/>
        <w:shd w:val="clear" w:color="auto" w:fill="FFFFFF"/>
        <w:kinsoku/>
        <w:wordWrap/>
        <w:overflowPunct w:val="0"/>
        <w:topLinePunct w:val="0"/>
        <w:autoSpaceDE w:val="0"/>
        <w:autoSpaceDN w:val="0"/>
        <w:bidi w:val="0"/>
        <w:adjustRightInd w:val="0"/>
        <w:snapToGrid/>
        <w:spacing w:line="560" w:lineRule="exact"/>
        <w:ind w:leftChars="0" w:firstLine="640" w:firstLineChars="200"/>
        <w:textAlignment w:val="baseline"/>
        <w:outlineLvl w:val="9"/>
        <w:rPr>
          <w:rFonts w:hint="eastAsia" w:ascii="仿宋_GB2312" w:hAnsi="仿宋_GB2312" w:eastAsia="仿宋_GB2312" w:cs="仿宋_GB2312"/>
          <w:color w:val="auto"/>
          <w:sz w:val="32"/>
          <w:szCs w:val="32"/>
          <w:highlight w:val="none"/>
          <w:lang w:val="en-US" w:eastAsia="zh-CN"/>
        </w:rPr>
      </w:pPr>
      <w:bookmarkStart w:id="129" w:name="_Toc24348_WPSOffice_Level3"/>
      <w:bookmarkStart w:id="130" w:name="_Toc2892_WPSOffice_Level3"/>
      <w:r>
        <w:rPr>
          <w:rFonts w:hint="eastAsia" w:ascii="仿宋_GB2312" w:hAnsi="仿宋_GB2312" w:eastAsia="仿宋_GB2312" w:cs="仿宋_GB2312"/>
          <w:color w:val="auto"/>
          <w:sz w:val="32"/>
          <w:szCs w:val="32"/>
          <w:highlight w:val="none"/>
          <w:lang w:val="en-US" w:eastAsia="zh-CN"/>
        </w:rPr>
        <w:t>（2）指标体系</w:t>
      </w:r>
      <w:bookmarkEnd w:id="129"/>
      <w:bookmarkEnd w:id="130"/>
    </w:p>
    <w:p w14:paraId="5EA32BB9">
      <w:pPr>
        <w:pStyle w:val="15"/>
        <w:keepNext w:val="0"/>
        <w:keepLines w:val="0"/>
        <w:pageBreakBefore w:val="0"/>
        <w:widowControl w:val="0"/>
        <w:kinsoku/>
        <w:wordWrap/>
        <w:topLinePunct w:val="0"/>
        <w:bidi w:val="0"/>
        <w:snapToGrid/>
        <w:spacing w:line="560" w:lineRule="exact"/>
        <w:ind w:left="0" w:leftChars="0" w:firstLine="640" w:firstLineChars="200"/>
        <w:jc w:val="both"/>
        <w:rPr>
          <w:rFonts w:hint="eastAsia"/>
          <w:color w:val="auto"/>
          <w:highlight w:val="none"/>
          <w:lang w:val="en-US" w:eastAsia="zh-CN"/>
        </w:rPr>
      </w:pPr>
      <w:r>
        <w:rPr>
          <w:rFonts w:hint="eastAsia" w:ascii="仿宋_GB2312" w:hAnsi="仿宋_GB2312" w:eastAsia="仿宋_GB2312" w:cs="仿宋_GB2312"/>
          <w:color w:val="auto"/>
          <w:sz w:val="32"/>
          <w:szCs w:val="32"/>
          <w:highlight w:val="none"/>
          <w:lang w:val="en-US" w:eastAsia="zh-CN"/>
        </w:rPr>
        <w:t>评价工作组根据财政部《项目支出绩效评价管理办法》（财预〔2020〕10号）文件的要求，依据上述原则，围绕决策、过程、产出和效益四个方面设计绩效评价指标以及评分标准和分值。指标体系共设置4个一级指标、12个二级指标、23个三级指标。指标体系设定满分100分，其中：“决策”主要体现项目立项、绩效目标设定及资金分配的情况，“过程”主要体现项目的资金管理和组织实施的情况；“产出”主要体现项目产出数量、产出质量、产出时效及产出成本的情况；“效益”主要体现项目生态效益、社会效益和服务对象满意度等。</w:t>
      </w:r>
    </w:p>
    <w:p w14:paraId="3C0198AA">
      <w:pPr>
        <w:keepNext w:val="0"/>
        <w:keepLines w:val="0"/>
        <w:pageBreakBefore w:val="0"/>
        <w:widowControl w:val="0"/>
        <w:shd w:val="clear" w:color="auto" w:fill="FFFFFF"/>
        <w:kinsoku/>
        <w:wordWrap/>
        <w:overflowPunct w:val="0"/>
        <w:topLinePunct w:val="0"/>
        <w:autoSpaceDE w:val="0"/>
        <w:autoSpaceDN w:val="0"/>
        <w:bidi w:val="0"/>
        <w:adjustRightInd w:val="0"/>
        <w:snapToGrid/>
        <w:spacing w:line="560" w:lineRule="exact"/>
        <w:ind w:firstLine="640" w:firstLineChars="200"/>
        <w:textAlignment w:val="baseline"/>
        <w:outlineLvl w:val="9"/>
        <w:rPr>
          <w:rFonts w:hint="eastAsia" w:ascii="仿宋_GB2312" w:hAnsi="仿宋_GB2312" w:eastAsia="仿宋_GB2312" w:cs="仿宋_GB2312"/>
          <w:color w:val="auto"/>
          <w:sz w:val="32"/>
          <w:szCs w:val="32"/>
          <w:highlight w:val="none"/>
          <w:lang w:val="en-US" w:eastAsia="zh-CN"/>
        </w:rPr>
      </w:pPr>
      <w:bookmarkStart w:id="131" w:name="_Toc4935_WPSOffice_Level3"/>
      <w:bookmarkStart w:id="132" w:name="_Toc20953_WPSOffice_Level3"/>
      <w:r>
        <w:rPr>
          <w:rFonts w:hint="eastAsia" w:ascii="仿宋_GB2312" w:hAnsi="仿宋_GB2312" w:eastAsia="仿宋_GB2312" w:cs="仿宋_GB2312"/>
          <w:color w:val="auto"/>
          <w:sz w:val="32"/>
          <w:szCs w:val="32"/>
          <w:highlight w:val="none"/>
          <w:lang w:val="en-US" w:eastAsia="zh-CN"/>
        </w:rPr>
        <w:t>（3）绩效级次</w:t>
      </w:r>
      <w:bookmarkEnd w:id="131"/>
      <w:bookmarkEnd w:id="132"/>
    </w:p>
    <w:p w14:paraId="77CCF143">
      <w:pPr>
        <w:keepNext w:val="0"/>
        <w:keepLines w:val="0"/>
        <w:pageBreakBefore w:val="0"/>
        <w:widowControl w:val="0"/>
        <w:shd w:val="clear" w:color="auto" w:fill="FFFFFF"/>
        <w:kinsoku/>
        <w:wordWrap/>
        <w:overflowPunct w:val="0"/>
        <w:topLinePunct w:val="0"/>
        <w:autoSpaceDE w:val="0"/>
        <w:autoSpaceDN w:val="0"/>
        <w:bidi w:val="0"/>
        <w:adjustRightInd w:val="0"/>
        <w:snapToGrid/>
        <w:spacing w:line="560" w:lineRule="exact"/>
        <w:ind w:firstLine="640" w:firstLineChars="200"/>
        <w:textAlignment w:val="baseline"/>
        <w:outlineLvl w:val="9"/>
        <w:rPr>
          <w:rFonts w:hint="eastAsia" w:ascii="仿宋_GB2312" w:hAnsi="仿宋_GB2312" w:eastAsia="仿宋_GB2312" w:cs="仿宋_GB2312"/>
          <w:color w:val="auto"/>
          <w:sz w:val="32"/>
          <w:szCs w:val="32"/>
          <w:highlight w:val="none"/>
          <w:lang w:val="en-US" w:eastAsia="zh-CN"/>
        </w:rPr>
      </w:pPr>
      <w:bookmarkStart w:id="133" w:name="_Toc4675"/>
      <w:bookmarkStart w:id="134" w:name="_Toc9130"/>
      <w:bookmarkStart w:id="135" w:name="_Toc7595"/>
      <w:bookmarkStart w:id="136" w:name="_Toc17851"/>
      <w:bookmarkStart w:id="137" w:name="_Toc27891"/>
      <w:bookmarkStart w:id="138" w:name="_Toc24406"/>
      <w:bookmarkStart w:id="139" w:name="_Toc7760"/>
      <w:r>
        <w:rPr>
          <w:rFonts w:hint="eastAsia" w:ascii="仿宋_GB2312" w:hAnsi="仿宋_GB2312" w:eastAsia="仿宋_GB2312" w:cs="仿宋_GB2312"/>
          <w:color w:val="auto"/>
          <w:sz w:val="32"/>
          <w:szCs w:val="32"/>
          <w:highlight w:val="none"/>
          <w:lang w:val="en-US" w:eastAsia="zh-CN"/>
        </w:rPr>
        <w:t>评价结果包括综合评分和评级，分为四个等级，具体如下表所示：</w:t>
      </w:r>
      <w:bookmarkEnd w:id="133"/>
      <w:bookmarkEnd w:id="134"/>
      <w:bookmarkEnd w:id="135"/>
      <w:bookmarkEnd w:id="136"/>
      <w:bookmarkEnd w:id="137"/>
      <w:bookmarkEnd w:id="138"/>
      <w:bookmarkEnd w:id="139"/>
    </w:p>
    <w:p w14:paraId="78240C13">
      <w:pPr>
        <w:pageBreakBefore w:val="0"/>
        <w:widowControl w:val="0"/>
        <w:kinsoku/>
        <w:wordWrap/>
        <w:topLinePunct w:val="0"/>
        <w:bidi w:val="0"/>
        <w:snapToGrid/>
        <w:jc w:val="center"/>
        <w:rPr>
          <w:rFonts w:hint="default" w:ascii="仿宋" w:hAnsi="仿宋" w:eastAsia="仿宋" w:cs="仿宋"/>
          <w:b/>
          <w:bCs/>
          <w:color w:val="auto"/>
          <w:kern w:val="0"/>
          <w:sz w:val="28"/>
          <w:szCs w:val="28"/>
          <w:highlight w:val="none"/>
          <w:lang w:val="en-US" w:eastAsia="zh-CN" w:bidi="ar-SA"/>
        </w:rPr>
      </w:pPr>
      <w:r>
        <w:rPr>
          <w:rFonts w:hint="eastAsia" w:ascii="仿宋" w:hAnsi="仿宋" w:eastAsia="仿宋" w:cs="仿宋"/>
          <w:b/>
          <w:bCs/>
          <w:color w:val="auto"/>
          <w:kern w:val="0"/>
          <w:sz w:val="28"/>
          <w:szCs w:val="28"/>
          <w:highlight w:val="none"/>
          <w:lang w:val="en-US" w:eastAsia="zh-CN" w:bidi="ar-SA"/>
        </w:rPr>
        <w:t>表2 评价结果评级表</w:t>
      </w:r>
    </w:p>
    <w:tbl>
      <w:tblPr>
        <w:tblStyle w:val="16"/>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3"/>
        <w:gridCol w:w="1407"/>
        <w:gridCol w:w="2063"/>
        <w:gridCol w:w="2265"/>
        <w:gridCol w:w="1314"/>
      </w:tblGrid>
      <w:tr w14:paraId="6CAD98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exact"/>
          <w:tblHeader/>
          <w:jc w:val="center"/>
        </w:trPr>
        <w:tc>
          <w:tcPr>
            <w:tcW w:w="1473" w:type="dxa"/>
            <w:shd w:val="clear" w:color="auto" w:fill="D7D7D7"/>
            <w:vAlign w:val="center"/>
          </w:tcPr>
          <w:p w14:paraId="04D0A735">
            <w:pPr>
              <w:keepNext w:val="0"/>
              <w:keepLines/>
              <w:pageBreakBefore w:val="0"/>
              <w:widowControl w:val="0"/>
              <w:kinsoku/>
              <w:wordWrap/>
              <w:overflowPunct/>
              <w:topLinePunct w:val="0"/>
              <w:autoSpaceDE/>
              <w:autoSpaceDN/>
              <w:bidi w:val="0"/>
              <w:adjustRightInd/>
              <w:snapToGrid/>
              <w:spacing w:line="360" w:lineRule="auto"/>
              <w:jc w:val="center"/>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rPr>
              <w:t>评价等级</w:t>
            </w:r>
          </w:p>
        </w:tc>
        <w:tc>
          <w:tcPr>
            <w:tcW w:w="1407" w:type="dxa"/>
            <w:shd w:val="clear" w:color="auto" w:fill="D7D7D7"/>
            <w:vAlign w:val="center"/>
          </w:tcPr>
          <w:p w14:paraId="0D3A637E">
            <w:pPr>
              <w:keepNext w:val="0"/>
              <w:keepLines/>
              <w:pageBreakBefore w:val="0"/>
              <w:widowControl w:val="0"/>
              <w:kinsoku/>
              <w:wordWrap/>
              <w:overflowPunct/>
              <w:topLinePunct w:val="0"/>
              <w:autoSpaceDE/>
              <w:autoSpaceDN/>
              <w:bidi w:val="0"/>
              <w:adjustRightInd/>
              <w:snapToGrid/>
              <w:spacing w:line="360" w:lineRule="auto"/>
              <w:jc w:val="center"/>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rPr>
              <w:t>优</w:t>
            </w:r>
          </w:p>
        </w:tc>
        <w:tc>
          <w:tcPr>
            <w:tcW w:w="2063" w:type="dxa"/>
            <w:shd w:val="clear" w:color="auto" w:fill="D7D7D7"/>
            <w:vAlign w:val="center"/>
          </w:tcPr>
          <w:p w14:paraId="51BEEF63">
            <w:pPr>
              <w:keepNext w:val="0"/>
              <w:keepLines/>
              <w:pageBreakBefore w:val="0"/>
              <w:widowControl w:val="0"/>
              <w:kinsoku/>
              <w:wordWrap/>
              <w:overflowPunct/>
              <w:topLinePunct w:val="0"/>
              <w:autoSpaceDE/>
              <w:autoSpaceDN/>
              <w:bidi w:val="0"/>
              <w:adjustRightInd/>
              <w:snapToGrid/>
              <w:spacing w:line="360" w:lineRule="auto"/>
              <w:jc w:val="center"/>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rPr>
              <w:t>良</w:t>
            </w:r>
          </w:p>
        </w:tc>
        <w:tc>
          <w:tcPr>
            <w:tcW w:w="2265" w:type="dxa"/>
            <w:shd w:val="clear" w:color="auto" w:fill="D7D7D7"/>
            <w:vAlign w:val="center"/>
          </w:tcPr>
          <w:p w14:paraId="0F671D1C">
            <w:pPr>
              <w:keepNext w:val="0"/>
              <w:keepLines/>
              <w:pageBreakBefore w:val="0"/>
              <w:widowControl w:val="0"/>
              <w:kinsoku/>
              <w:wordWrap/>
              <w:overflowPunct/>
              <w:topLinePunct w:val="0"/>
              <w:autoSpaceDE/>
              <w:autoSpaceDN/>
              <w:bidi w:val="0"/>
              <w:adjustRightInd/>
              <w:snapToGrid/>
              <w:spacing w:line="360" w:lineRule="auto"/>
              <w:jc w:val="center"/>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rPr>
              <w:t>中</w:t>
            </w:r>
          </w:p>
        </w:tc>
        <w:tc>
          <w:tcPr>
            <w:tcW w:w="1314" w:type="dxa"/>
            <w:shd w:val="clear" w:color="auto" w:fill="D7D7D7"/>
            <w:vAlign w:val="center"/>
          </w:tcPr>
          <w:p w14:paraId="73AD3288">
            <w:pPr>
              <w:keepNext w:val="0"/>
              <w:keepLines/>
              <w:pageBreakBefore w:val="0"/>
              <w:widowControl w:val="0"/>
              <w:kinsoku/>
              <w:wordWrap/>
              <w:overflowPunct/>
              <w:topLinePunct w:val="0"/>
              <w:autoSpaceDE/>
              <w:autoSpaceDN/>
              <w:bidi w:val="0"/>
              <w:adjustRightInd/>
              <w:snapToGrid/>
              <w:spacing w:line="360" w:lineRule="auto"/>
              <w:jc w:val="center"/>
              <w:textAlignment w:val="auto"/>
              <w:rPr>
                <w:rFonts w:hint="eastAsia" w:ascii="仿宋" w:hAnsi="仿宋" w:eastAsia="仿宋" w:cs="仿宋"/>
                <w:b/>
                <w:color w:val="auto"/>
                <w:sz w:val="24"/>
                <w:szCs w:val="24"/>
                <w:highlight w:val="none"/>
              </w:rPr>
            </w:pPr>
            <w:r>
              <w:rPr>
                <w:rFonts w:hint="eastAsia" w:ascii="仿宋" w:hAnsi="仿宋" w:eastAsia="仿宋" w:cs="仿宋"/>
                <w:b/>
                <w:color w:val="auto"/>
                <w:sz w:val="24"/>
                <w:szCs w:val="24"/>
                <w:highlight w:val="none"/>
              </w:rPr>
              <w:t>差</w:t>
            </w:r>
          </w:p>
        </w:tc>
      </w:tr>
      <w:tr w14:paraId="3DE3A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39" w:hRule="exact"/>
          <w:jc w:val="center"/>
        </w:trPr>
        <w:tc>
          <w:tcPr>
            <w:tcW w:w="1473" w:type="dxa"/>
            <w:vAlign w:val="center"/>
          </w:tcPr>
          <w:p w14:paraId="1E18C344">
            <w:pPr>
              <w:keepNext w:val="0"/>
              <w:keepLines/>
              <w:pageBreakBefore w:val="0"/>
              <w:widowControl w:val="0"/>
              <w:kinsoku/>
              <w:wordWrap/>
              <w:overflowPunct/>
              <w:topLinePunct w:val="0"/>
              <w:autoSpaceDE/>
              <w:autoSpaceDN/>
              <w:bidi w:val="0"/>
              <w:adjustRightInd/>
              <w:snapToGrid/>
              <w:spacing w:line="360" w:lineRule="auto"/>
              <w:jc w:val="center"/>
              <w:textAlignment w:val="auto"/>
              <w:rPr>
                <w:rFonts w:hint="eastAsia" w:ascii="仿宋" w:hAnsi="仿宋" w:eastAsia="仿宋" w:cs="仿宋"/>
                <w:b w:val="0"/>
                <w:bCs/>
                <w:color w:val="auto"/>
                <w:sz w:val="24"/>
                <w:szCs w:val="24"/>
                <w:highlight w:val="none"/>
              </w:rPr>
            </w:pPr>
            <w:r>
              <w:rPr>
                <w:rFonts w:hint="eastAsia" w:ascii="仿宋" w:hAnsi="仿宋" w:eastAsia="仿宋" w:cs="仿宋"/>
                <w:b w:val="0"/>
                <w:bCs/>
                <w:color w:val="auto"/>
                <w:sz w:val="24"/>
                <w:szCs w:val="24"/>
                <w:highlight w:val="none"/>
              </w:rPr>
              <w:t>参考分值</w:t>
            </w:r>
          </w:p>
        </w:tc>
        <w:tc>
          <w:tcPr>
            <w:tcW w:w="1407" w:type="dxa"/>
            <w:vAlign w:val="center"/>
          </w:tcPr>
          <w:p w14:paraId="4CAB0452">
            <w:pPr>
              <w:keepNext w:val="0"/>
              <w:keepLines/>
              <w:pageBreakBefore w:val="0"/>
              <w:widowControl w:val="0"/>
              <w:kinsoku/>
              <w:wordWrap/>
              <w:overflowPunct/>
              <w:topLinePunct w:val="0"/>
              <w:autoSpaceDE/>
              <w:autoSpaceDN/>
              <w:bidi w:val="0"/>
              <w:adjustRightInd/>
              <w:snapToGrid/>
              <w:spacing w:line="360" w:lineRule="auto"/>
              <w:jc w:val="center"/>
              <w:textAlignment w:val="auto"/>
              <w:rPr>
                <w:rFonts w:hint="eastAsia" w:ascii="仿宋" w:hAnsi="仿宋" w:eastAsia="仿宋" w:cs="仿宋"/>
                <w:b w:val="0"/>
                <w:bCs/>
                <w:color w:val="auto"/>
                <w:sz w:val="24"/>
                <w:szCs w:val="24"/>
                <w:highlight w:val="none"/>
              </w:rPr>
            </w:pPr>
            <w:r>
              <w:rPr>
                <w:rFonts w:hint="eastAsia" w:ascii="仿宋" w:hAnsi="仿宋" w:eastAsia="仿宋" w:cs="仿宋"/>
                <w:b w:val="0"/>
                <w:bCs/>
                <w:color w:val="auto"/>
                <w:sz w:val="24"/>
                <w:szCs w:val="24"/>
                <w:highlight w:val="none"/>
              </w:rPr>
              <w:t xml:space="preserve">S </w:t>
            </w:r>
            <w:r>
              <w:rPr>
                <w:rFonts w:hint="eastAsia" w:ascii="仿宋" w:hAnsi="仿宋" w:eastAsia="仿宋" w:cs="仿宋"/>
                <w:b w:val="0"/>
                <w:bCs/>
                <w:color w:val="auto"/>
                <w:sz w:val="24"/>
                <w:szCs w:val="24"/>
                <w:highlight w:val="none"/>
                <w:lang w:val="en-US" w:eastAsia="zh-CN"/>
              </w:rPr>
              <w:t>≥</w:t>
            </w:r>
            <w:r>
              <w:rPr>
                <w:rFonts w:hint="eastAsia" w:ascii="仿宋" w:hAnsi="仿宋" w:eastAsia="仿宋" w:cs="仿宋"/>
                <w:b w:val="0"/>
                <w:bCs/>
                <w:color w:val="auto"/>
                <w:sz w:val="24"/>
                <w:szCs w:val="24"/>
                <w:highlight w:val="none"/>
              </w:rPr>
              <w:t xml:space="preserve"> 90</w:t>
            </w:r>
          </w:p>
        </w:tc>
        <w:tc>
          <w:tcPr>
            <w:tcW w:w="2063" w:type="dxa"/>
            <w:vAlign w:val="center"/>
          </w:tcPr>
          <w:p w14:paraId="6C2A905F">
            <w:pPr>
              <w:keepNext w:val="0"/>
              <w:keepLines/>
              <w:pageBreakBefore w:val="0"/>
              <w:widowControl w:val="0"/>
              <w:kinsoku/>
              <w:wordWrap/>
              <w:overflowPunct/>
              <w:topLinePunct w:val="0"/>
              <w:autoSpaceDE/>
              <w:autoSpaceDN/>
              <w:bidi w:val="0"/>
              <w:adjustRightInd/>
              <w:snapToGrid/>
              <w:spacing w:line="360" w:lineRule="auto"/>
              <w:jc w:val="center"/>
              <w:textAlignment w:val="auto"/>
              <w:rPr>
                <w:rFonts w:hint="eastAsia" w:ascii="仿宋" w:hAnsi="仿宋" w:eastAsia="仿宋" w:cs="仿宋"/>
                <w:b w:val="0"/>
                <w:bCs/>
                <w:color w:val="auto"/>
                <w:sz w:val="24"/>
                <w:szCs w:val="24"/>
                <w:highlight w:val="none"/>
              </w:rPr>
            </w:pPr>
            <w:r>
              <w:rPr>
                <w:rFonts w:hint="eastAsia" w:ascii="仿宋" w:hAnsi="仿宋" w:eastAsia="仿宋" w:cs="仿宋"/>
                <w:b w:val="0"/>
                <w:bCs/>
                <w:color w:val="auto"/>
                <w:sz w:val="24"/>
                <w:szCs w:val="24"/>
                <w:highlight w:val="none"/>
              </w:rPr>
              <w:t>90 ＞ S ≥ 80</w:t>
            </w:r>
          </w:p>
        </w:tc>
        <w:tc>
          <w:tcPr>
            <w:tcW w:w="2265" w:type="dxa"/>
            <w:vAlign w:val="center"/>
          </w:tcPr>
          <w:p w14:paraId="431B582D">
            <w:pPr>
              <w:keepNext w:val="0"/>
              <w:keepLines/>
              <w:pageBreakBefore w:val="0"/>
              <w:widowControl w:val="0"/>
              <w:kinsoku/>
              <w:wordWrap/>
              <w:overflowPunct/>
              <w:topLinePunct w:val="0"/>
              <w:autoSpaceDE/>
              <w:autoSpaceDN/>
              <w:bidi w:val="0"/>
              <w:adjustRightInd/>
              <w:snapToGrid/>
              <w:spacing w:line="360" w:lineRule="auto"/>
              <w:jc w:val="center"/>
              <w:textAlignment w:val="auto"/>
              <w:rPr>
                <w:rFonts w:hint="eastAsia" w:ascii="仿宋" w:hAnsi="仿宋" w:eastAsia="仿宋" w:cs="仿宋"/>
                <w:b w:val="0"/>
                <w:bCs/>
                <w:color w:val="auto"/>
                <w:sz w:val="24"/>
                <w:szCs w:val="24"/>
                <w:highlight w:val="none"/>
              </w:rPr>
            </w:pPr>
            <w:r>
              <w:rPr>
                <w:rFonts w:hint="eastAsia" w:ascii="仿宋" w:hAnsi="仿宋" w:eastAsia="仿宋" w:cs="仿宋"/>
                <w:b w:val="0"/>
                <w:bCs/>
                <w:color w:val="auto"/>
                <w:sz w:val="24"/>
                <w:szCs w:val="24"/>
                <w:highlight w:val="none"/>
              </w:rPr>
              <w:t>80 ＞ S ≥ 60</w:t>
            </w:r>
          </w:p>
        </w:tc>
        <w:tc>
          <w:tcPr>
            <w:tcW w:w="1314" w:type="dxa"/>
            <w:vAlign w:val="center"/>
          </w:tcPr>
          <w:p w14:paraId="02C64F0A">
            <w:pPr>
              <w:keepNext w:val="0"/>
              <w:keepLines/>
              <w:pageBreakBefore w:val="0"/>
              <w:widowControl w:val="0"/>
              <w:kinsoku/>
              <w:wordWrap/>
              <w:overflowPunct/>
              <w:topLinePunct w:val="0"/>
              <w:autoSpaceDE/>
              <w:autoSpaceDN/>
              <w:bidi w:val="0"/>
              <w:adjustRightInd/>
              <w:snapToGrid/>
              <w:spacing w:line="360" w:lineRule="auto"/>
              <w:jc w:val="center"/>
              <w:textAlignment w:val="auto"/>
              <w:rPr>
                <w:rFonts w:hint="eastAsia" w:ascii="仿宋" w:hAnsi="仿宋" w:eastAsia="仿宋" w:cs="仿宋"/>
                <w:b w:val="0"/>
                <w:bCs/>
                <w:color w:val="auto"/>
                <w:sz w:val="24"/>
                <w:szCs w:val="24"/>
                <w:highlight w:val="none"/>
              </w:rPr>
            </w:pPr>
            <w:r>
              <w:rPr>
                <w:rFonts w:hint="eastAsia" w:ascii="仿宋" w:hAnsi="仿宋" w:eastAsia="仿宋" w:cs="仿宋"/>
                <w:b w:val="0"/>
                <w:bCs/>
                <w:color w:val="auto"/>
                <w:sz w:val="24"/>
                <w:szCs w:val="24"/>
                <w:highlight w:val="none"/>
              </w:rPr>
              <w:t>S ＜ 60</w:t>
            </w:r>
          </w:p>
        </w:tc>
      </w:tr>
    </w:tbl>
    <w:p w14:paraId="7B988B8B">
      <w:pPr>
        <w:keepNext w:val="0"/>
        <w:keepLines w:val="0"/>
        <w:pageBreakBefore w:val="0"/>
        <w:widowControl w:val="0"/>
        <w:shd w:val="clear" w:color="auto" w:fill="FFFFFF"/>
        <w:kinsoku/>
        <w:wordWrap/>
        <w:overflowPunct/>
        <w:topLinePunct w:val="0"/>
        <w:autoSpaceDE/>
        <w:autoSpaceDN/>
        <w:bidi w:val="0"/>
        <w:adjustRightInd/>
        <w:snapToGrid/>
        <w:spacing w:line="240" w:lineRule="auto"/>
        <w:ind w:leftChars="0" w:firstLine="0" w:firstLineChars="0"/>
        <w:textAlignment w:val="auto"/>
        <w:outlineLvl w:val="9"/>
        <w:rPr>
          <w:rFonts w:hint="eastAsia" w:ascii="仿宋" w:hAnsi="仿宋" w:eastAsia="仿宋" w:cs="仿宋"/>
          <w:b w:val="0"/>
          <w:bCs w:val="0"/>
          <w:color w:val="auto"/>
          <w:sz w:val="21"/>
          <w:szCs w:val="21"/>
          <w:highlight w:val="none"/>
        </w:rPr>
      </w:pPr>
    </w:p>
    <w:p w14:paraId="5A754D0F">
      <w:pPr>
        <w:keepNext w:val="0"/>
        <w:keepLines w:val="0"/>
        <w:pageBreakBefore w:val="0"/>
        <w:widowControl w:val="0"/>
        <w:shd w:val="clear" w:color="auto" w:fill="FFFFFF"/>
        <w:kinsoku/>
        <w:wordWrap/>
        <w:overflowPunct w:val="0"/>
        <w:topLinePunct w:val="0"/>
        <w:autoSpaceDE w:val="0"/>
        <w:autoSpaceDN w:val="0"/>
        <w:bidi w:val="0"/>
        <w:adjustRightInd w:val="0"/>
        <w:snapToGrid/>
        <w:spacing w:line="560" w:lineRule="exact"/>
        <w:ind w:leftChars="0" w:firstLine="643" w:firstLineChars="200"/>
        <w:textAlignment w:val="baseline"/>
        <w:outlineLvl w:val="1"/>
        <w:rPr>
          <w:rFonts w:hint="eastAsia" w:ascii="楷体_GB2312" w:hAnsi="楷体_GB2312" w:eastAsia="楷体_GB2312" w:cs="楷体_GB2312"/>
          <w:b/>
          <w:bCs/>
          <w:color w:val="auto"/>
          <w:sz w:val="32"/>
          <w:szCs w:val="32"/>
          <w:highlight w:val="none"/>
          <w:lang w:val="en-US" w:eastAsia="zh-CN"/>
        </w:rPr>
      </w:pPr>
      <w:bookmarkStart w:id="140" w:name="_Toc2353"/>
      <w:bookmarkStart w:id="141" w:name="_Toc5849"/>
      <w:bookmarkStart w:id="142" w:name="_Toc13153"/>
      <w:bookmarkStart w:id="143" w:name="_Toc12071"/>
      <w:bookmarkStart w:id="144" w:name="_Toc29366"/>
      <w:bookmarkStart w:id="145" w:name="_Toc23713"/>
      <w:bookmarkStart w:id="146" w:name="_Toc29151"/>
      <w:r>
        <w:rPr>
          <w:rFonts w:hint="eastAsia" w:ascii="楷体_GB2312" w:hAnsi="楷体_GB2312" w:eastAsia="楷体_GB2312" w:cs="楷体_GB2312"/>
          <w:b/>
          <w:bCs/>
          <w:color w:val="auto"/>
          <w:sz w:val="32"/>
          <w:szCs w:val="32"/>
          <w:highlight w:val="none"/>
          <w:lang w:val="en-US" w:eastAsia="zh-CN"/>
        </w:rPr>
        <w:t>（五）评价方法和评价标准</w:t>
      </w:r>
      <w:bookmarkEnd w:id="140"/>
      <w:bookmarkEnd w:id="141"/>
      <w:bookmarkEnd w:id="142"/>
      <w:bookmarkEnd w:id="143"/>
      <w:bookmarkEnd w:id="144"/>
      <w:bookmarkEnd w:id="145"/>
      <w:bookmarkEnd w:id="146"/>
    </w:p>
    <w:p w14:paraId="0E2396F8">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eastAsia" w:ascii="仿宋_GB2312" w:hAnsi="仿宋_GB2312" w:eastAsia="仿宋_GB2312" w:cs="仿宋_GB2312"/>
          <w:b/>
          <w:bCs/>
          <w:color w:val="auto"/>
          <w:sz w:val="32"/>
          <w:szCs w:val="32"/>
          <w:highlight w:val="none"/>
          <w:lang w:val="en-US" w:eastAsia="zh-CN"/>
        </w:rPr>
      </w:pPr>
      <w:bookmarkStart w:id="147" w:name="_Toc22889"/>
      <w:bookmarkStart w:id="148" w:name="_Toc6863"/>
      <w:bookmarkStart w:id="149" w:name="_Toc6629"/>
      <w:bookmarkStart w:id="150" w:name="_Toc22074"/>
      <w:r>
        <w:rPr>
          <w:rFonts w:hint="eastAsia" w:ascii="仿宋_GB2312" w:hAnsi="仿宋_GB2312" w:eastAsia="仿宋_GB2312" w:cs="仿宋_GB2312"/>
          <w:b/>
          <w:bCs/>
          <w:color w:val="auto"/>
          <w:sz w:val="32"/>
          <w:szCs w:val="32"/>
          <w:highlight w:val="none"/>
          <w:lang w:val="en-US" w:eastAsia="zh-CN"/>
        </w:rPr>
        <w:t>1.评价方法</w:t>
      </w:r>
      <w:bookmarkEnd w:id="147"/>
      <w:bookmarkEnd w:id="148"/>
      <w:bookmarkEnd w:id="149"/>
    </w:p>
    <w:p w14:paraId="0F6300C4">
      <w:pPr>
        <w:keepNext w:val="0"/>
        <w:keepLines w:val="0"/>
        <w:pageBreakBefore w:val="0"/>
        <w:widowControl w:val="0"/>
        <w:shd w:val="clear" w:color="auto" w:fill="FFFFFF"/>
        <w:kinsoku/>
        <w:wordWrap/>
        <w:overflowPunct w:val="0"/>
        <w:topLinePunct w:val="0"/>
        <w:autoSpaceDE w:val="0"/>
        <w:autoSpaceDN w:val="0"/>
        <w:bidi w:val="0"/>
        <w:adjustRightInd w:val="0"/>
        <w:snapToGrid/>
        <w:spacing w:line="560" w:lineRule="exact"/>
        <w:ind w:firstLine="640" w:firstLineChars="200"/>
        <w:textAlignment w:val="baseline"/>
        <w:outlineLvl w:val="9"/>
        <w:rPr>
          <w:rFonts w:hint="eastAsia" w:ascii="仿宋_GB2312" w:hAnsi="仿宋_GB2312" w:eastAsia="仿宋_GB2312" w:cs="仿宋_GB2312"/>
          <w:color w:val="auto"/>
          <w:sz w:val="32"/>
          <w:szCs w:val="32"/>
          <w:highlight w:val="none"/>
          <w:lang w:val="en-US" w:eastAsia="zh-CN"/>
        </w:rPr>
      </w:pPr>
      <w:bookmarkStart w:id="151" w:name="_Toc31345"/>
      <w:r>
        <w:rPr>
          <w:rFonts w:hint="eastAsia" w:ascii="仿宋_GB2312" w:hAnsi="仿宋_GB2312" w:eastAsia="仿宋_GB2312" w:cs="仿宋_GB2312"/>
          <w:color w:val="auto"/>
          <w:sz w:val="32"/>
          <w:szCs w:val="32"/>
          <w:highlight w:val="none"/>
          <w:lang w:val="en-US" w:eastAsia="zh-CN"/>
        </w:rPr>
        <w:t>本次绩效评价主要采用了比较法、因素分析、公众（专家）评判法。一是通过对绩效目标与实施效果、历史与当期情况作比较，综合分析绩效目标的实现程度。二是通过进行现场调查以及发放问卷调查，评价绩效目标的实现程度。</w:t>
      </w:r>
      <w:bookmarkEnd w:id="150"/>
      <w:bookmarkEnd w:id="151"/>
    </w:p>
    <w:p w14:paraId="783ECBDF">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default" w:ascii="仿宋_GB2312" w:hAnsi="仿宋_GB2312" w:eastAsia="仿宋_GB2312" w:cs="仿宋_GB2312"/>
          <w:b/>
          <w:bCs/>
          <w:color w:val="auto"/>
          <w:sz w:val="32"/>
          <w:szCs w:val="32"/>
          <w:highlight w:val="none"/>
          <w:lang w:val="en-US" w:eastAsia="zh-CN"/>
        </w:rPr>
      </w:pPr>
      <w:bookmarkStart w:id="152" w:name="_Toc8869"/>
      <w:bookmarkStart w:id="153" w:name="_Toc27155"/>
      <w:r>
        <w:rPr>
          <w:rFonts w:hint="eastAsia" w:ascii="仿宋_GB2312" w:hAnsi="仿宋_GB2312" w:eastAsia="仿宋_GB2312" w:cs="仿宋_GB2312"/>
          <w:b/>
          <w:bCs/>
          <w:color w:val="auto"/>
          <w:sz w:val="32"/>
          <w:szCs w:val="32"/>
          <w:highlight w:val="none"/>
          <w:lang w:val="en-US" w:eastAsia="zh-CN"/>
        </w:rPr>
        <w:t>2.评价标准</w:t>
      </w:r>
      <w:bookmarkEnd w:id="152"/>
      <w:bookmarkEnd w:id="153"/>
    </w:p>
    <w:p w14:paraId="7FE0D570">
      <w:pPr>
        <w:pStyle w:val="15"/>
        <w:keepNext w:val="0"/>
        <w:keepLines w:val="0"/>
        <w:pageBreakBefore w:val="0"/>
        <w:widowControl w:val="0"/>
        <w:shd w:val="clear" w:color="auto" w:fill="FFFFFF"/>
        <w:kinsoku/>
        <w:wordWrap/>
        <w:topLinePunct w:val="0"/>
        <w:bidi w:val="0"/>
        <w:snapToGrid/>
        <w:spacing w:after="0" w:line="560" w:lineRule="exact"/>
        <w:ind w:left="0" w:leftChars="0" w:firstLine="0" w:firstLineChars="0"/>
        <w:rPr>
          <w:rFonts w:hint="eastAsia" w:ascii="仿宋_GB2312" w:hAnsi="仿宋_GB2312" w:eastAsia="仿宋_GB2312" w:cs="仿宋_GB2312"/>
          <w:color w:val="auto"/>
          <w:kern w:val="2"/>
          <w:sz w:val="32"/>
          <w:szCs w:val="32"/>
          <w:highlight w:val="none"/>
          <w:lang w:val="en-US" w:eastAsia="zh-CN" w:bidi="ar-SA"/>
        </w:rPr>
      </w:pPr>
      <w:r>
        <w:rPr>
          <w:rFonts w:hint="eastAsia" w:ascii="仿宋" w:hAnsi="仿宋" w:eastAsia="仿宋" w:cs="仿宋"/>
          <w:color w:val="auto"/>
          <w:kern w:val="0"/>
          <w:sz w:val="28"/>
          <w:szCs w:val="28"/>
          <w:highlight w:val="none"/>
          <w:lang w:eastAsia="zh-CN"/>
        </w:rPr>
        <w:t>　　</w:t>
      </w:r>
      <w:r>
        <w:rPr>
          <w:rFonts w:hint="eastAsia" w:ascii="仿宋_GB2312" w:hAnsi="仿宋_GB2312" w:eastAsia="仿宋_GB2312" w:cs="仿宋_GB2312"/>
          <w:color w:val="auto"/>
          <w:kern w:val="2"/>
          <w:sz w:val="32"/>
          <w:szCs w:val="32"/>
          <w:highlight w:val="none"/>
          <w:lang w:val="en-US" w:eastAsia="zh-CN" w:bidi="ar-SA"/>
        </w:rPr>
        <w:t>绩效评价标准是指衡量财政支出绩效目标完成程度的参考、依据和尺度。绩效评价标准具体包括：计划标准、行业标准、历史标准及其他经财政部门确认的标准。</w:t>
      </w:r>
    </w:p>
    <w:p w14:paraId="7A7C38D5">
      <w:pPr>
        <w:keepNext w:val="0"/>
        <w:keepLines w:val="0"/>
        <w:pageBreakBefore w:val="0"/>
        <w:widowControl w:val="0"/>
        <w:shd w:val="clear" w:color="auto" w:fill="FFFFFF"/>
        <w:kinsoku/>
        <w:wordWrap/>
        <w:overflowPunct w:val="0"/>
        <w:topLinePunct w:val="0"/>
        <w:autoSpaceDE w:val="0"/>
        <w:autoSpaceDN w:val="0"/>
        <w:bidi w:val="0"/>
        <w:adjustRightInd w:val="0"/>
        <w:snapToGrid/>
        <w:spacing w:line="560" w:lineRule="exact"/>
        <w:ind w:firstLine="643" w:firstLineChars="200"/>
        <w:textAlignment w:val="baseline"/>
        <w:outlineLvl w:val="1"/>
        <w:rPr>
          <w:rFonts w:hint="eastAsia" w:ascii="楷体_GB2312" w:hAnsi="楷体_GB2312" w:eastAsia="楷体_GB2312" w:cs="楷体_GB2312"/>
          <w:b/>
          <w:bCs/>
          <w:color w:val="auto"/>
          <w:sz w:val="32"/>
          <w:szCs w:val="32"/>
          <w:highlight w:val="none"/>
          <w:lang w:val="en-US" w:eastAsia="zh-CN"/>
        </w:rPr>
      </w:pPr>
      <w:bookmarkStart w:id="154" w:name="_Toc31462"/>
      <w:bookmarkStart w:id="155" w:name="_Toc21628"/>
      <w:bookmarkStart w:id="156" w:name="_Toc21200"/>
      <w:bookmarkStart w:id="157" w:name="_Toc12580"/>
      <w:bookmarkStart w:id="158" w:name="_Toc23090"/>
      <w:r>
        <w:rPr>
          <w:rFonts w:hint="eastAsia" w:ascii="楷体_GB2312" w:hAnsi="楷体_GB2312" w:eastAsia="楷体_GB2312" w:cs="楷体_GB2312"/>
          <w:b/>
          <w:bCs/>
          <w:color w:val="auto"/>
          <w:sz w:val="32"/>
          <w:szCs w:val="32"/>
          <w:highlight w:val="none"/>
          <w:lang w:val="en-US" w:eastAsia="zh-CN"/>
        </w:rPr>
        <w:t>（六）绩效评价工作过程</w:t>
      </w:r>
      <w:bookmarkEnd w:id="154"/>
      <w:bookmarkEnd w:id="155"/>
      <w:bookmarkEnd w:id="156"/>
      <w:bookmarkEnd w:id="157"/>
      <w:bookmarkEnd w:id="158"/>
    </w:p>
    <w:p w14:paraId="0C546EBF">
      <w:pPr>
        <w:pStyle w:val="22"/>
        <w:keepNext w:val="0"/>
        <w:keepLines w:val="0"/>
        <w:pageBreakBefore w:val="0"/>
        <w:widowControl w:val="0"/>
        <w:shd w:val="clear" w:color="auto" w:fill="FFFFFF"/>
        <w:kinsoku/>
        <w:wordWrap/>
        <w:topLinePunct w:val="0"/>
        <w:bidi w:val="0"/>
        <w:snapToGrid/>
        <w:spacing w:line="560" w:lineRule="exact"/>
        <w:ind w:leftChars="0" w:firstLine="600" w:firstLineChars="0"/>
        <w:rPr>
          <w:rFonts w:hint="eastAsia" w:ascii="仿宋" w:hAnsi="仿宋" w:eastAsia="仿宋" w:cs="仿宋"/>
          <w:color w:val="auto"/>
          <w:kern w:val="0"/>
          <w:sz w:val="28"/>
          <w:szCs w:val="28"/>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根据绩效评价相关规定，泉州市招标咨询中心地方财政绩效评价所绩效评价工作组运用科学、合理的绩效评价指标、评价标准和方法，通过前期准备、非现场评价、现场评价、分析评价、撰写与提交评价报告稿等流程，对2024年石狮市殡葬服务所减免基本殡葬服务费专项支出的经济性、效率性、效益性和公平性进行客观、公正地分析和评判，查找资金使用和管理中的薄弱环节，按时提交绩效评价报告。　</w:t>
      </w:r>
      <w:r>
        <w:rPr>
          <w:rFonts w:hint="eastAsia" w:ascii="仿宋" w:hAnsi="仿宋" w:eastAsia="仿宋" w:cs="仿宋"/>
          <w:color w:val="auto"/>
          <w:kern w:val="0"/>
          <w:sz w:val="28"/>
          <w:szCs w:val="28"/>
          <w:highlight w:val="none"/>
          <w:lang w:val="en-US" w:eastAsia="zh-CN" w:bidi="ar-SA"/>
        </w:rPr>
        <w:t>　</w:t>
      </w:r>
    </w:p>
    <w:p w14:paraId="05558CB4">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9"/>
        <w:rPr>
          <w:rFonts w:hint="eastAsia" w:ascii="黑体" w:hAnsi="黑体" w:eastAsia="黑体" w:cs="黑体"/>
          <w:b/>
          <w:bCs/>
          <w:color w:val="auto"/>
          <w:sz w:val="32"/>
          <w:szCs w:val="32"/>
          <w:highlight w:val="none"/>
          <w:lang w:val="en-US" w:eastAsia="zh-CN"/>
        </w:rPr>
      </w:pPr>
      <w:bookmarkStart w:id="159" w:name="_Toc5148"/>
      <w:bookmarkStart w:id="160" w:name="_Toc31015"/>
      <w:bookmarkStart w:id="161" w:name="_Toc21585"/>
    </w:p>
    <w:p w14:paraId="4592BBC3">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0"/>
        <w:rPr>
          <w:rFonts w:hint="eastAsia" w:ascii="黑体" w:hAnsi="黑体" w:eastAsia="黑体" w:cs="黑体"/>
          <w:b/>
          <w:bCs/>
          <w:color w:val="auto"/>
          <w:sz w:val="32"/>
          <w:szCs w:val="32"/>
          <w:highlight w:val="none"/>
          <w:lang w:val="en-US" w:eastAsia="zh-CN"/>
        </w:rPr>
      </w:pPr>
      <w:bookmarkStart w:id="162" w:name="_Toc6162"/>
      <w:r>
        <w:rPr>
          <w:rFonts w:hint="eastAsia" w:ascii="黑体" w:hAnsi="黑体" w:eastAsia="黑体" w:cs="黑体"/>
          <w:b/>
          <w:bCs/>
          <w:color w:val="auto"/>
          <w:sz w:val="32"/>
          <w:szCs w:val="32"/>
          <w:highlight w:val="none"/>
          <w:lang w:val="en-US" w:eastAsia="zh-CN"/>
        </w:rPr>
        <w:t>三、综合评价结论及分析</w:t>
      </w:r>
      <w:bookmarkEnd w:id="159"/>
      <w:bookmarkEnd w:id="160"/>
      <w:bookmarkEnd w:id="161"/>
      <w:bookmarkEnd w:id="162"/>
    </w:p>
    <w:p w14:paraId="7A884EA1">
      <w:pPr>
        <w:keepNext w:val="0"/>
        <w:keepLines w:val="0"/>
        <w:pageBreakBefore w:val="0"/>
        <w:widowControl w:val="0"/>
        <w:shd w:val="clear" w:color="auto" w:fill="FFFFFF"/>
        <w:kinsoku/>
        <w:wordWrap/>
        <w:overflowPunct w:val="0"/>
        <w:topLinePunct w:val="0"/>
        <w:autoSpaceDE w:val="0"/>
        <w:autoSpaceDN w:val="0"/>
        <w:bidi w:val="0"/>
        <w:adjustRightInd w:val="0"/>
        <w:snapToGrid/>
        <w:spacing w:line="560" w:lineRule="exact"/>
        <w:ind w:firstLine="643" w:firstLineChars="200"/>
        <w:textAlignment w:val="baseline"/>
        <w:outlineLvl w:val="1"/>
        <w:rPr>
          <w:rFonts w:hint="default" w:ascii="楷体_GB2312" w:hAnsi="楷体_GB2312" w:eastAsia="楷体_GB2312" w:cs="楷体_GB2312"/>
          <w:b/>
          <w:bCs/>
          <w:color w:val="auto"/>
          <w:sz w:val="32"/>
          <w:szCs w:val="32"/>
          <w:highlight w:val="none"/>
          <w:lang w:val="en-US" w:eastAsia="zh-CN"/>
        </w:rPr>
      </w:pPr>
      <w:bookmarkStart w:id="163" w:name="_Toc15130"/>
      <w:bookmarkStart w:id="164" w:name="_Toc514771154"/>
      <w:bookmarkStart w:id="165" w:name="_Toc3172"/>
      <w:bookmarkStart w:id="166" w:name="_Toc6320"/>
      <w:bookmarkStart w:id="167" w:name="_Toc30541"/>
      <w:bookmarkStart w:id="168" w:name="_Toc1648"/>
      <w:bookmarkStart w:id="169" w:name="_Toc13344_WPSOffice_Level2"/>
      <w:bookmarkStart w:id="170" w:name="_Toc28492"/>
      <w:bookmarkStart w:id="171" w:name="_Toc23429"/>
      <w:bookmarkStart w:id="172" w:name="_Toc15344"/>
      <w:bookmarkStart w:id="173" w:name="_Toc20556"/>
      <w:bookmarkStart w:id="174" w:name="_Toc25358"/>
      <w:bookmarkStart w:id="175" w:name="_Toc30697"/>
      <w:bookmarkStart w:id="176" w:name="_Toc11266"/>
      <w:bookmarkStart w:id="177" w:name="_Toc22034"/>
      <w:bookmarkStart w:id="178" w:name="_Toc6193"/>
      <w:bookmarkStart w:id="179" w:name="_Toc6785"/>
      <w:r>
        <w:rPr>
          <w:rFonts w:hint="eastAsia" w:ascii="楷体_GB2312" w:hAnsi="楷体_GB2312" w:eastAsia="楷体_GB2312" w:cs="楷体_GB2312"/>
          <w:b/>
          <w:bCs/>
          <w:color w:val="auto"/>
          <w:sz w:val="32"/>
          <w:szCs w:val="32"/>
          <w:highlight w:val="none"/>
          <w:lang w:val="en-US" w:eastAsia="zh-CN"/>
        </w:rPr>
        <w:t>（一）</w:t>
      </w:r>
      <w:bookmarkEnd w:id="163"/>
      <w:bookmarkEnd w:id="164"/>
      <w:bookmarkEnd w:id="165"/>
      <w:bookmarkEnd w:id="166"/>
      <w:bookmarkEnd w:id="167"/>
      <w:bookmarkEnd w:id="168"/>
      <w:bookmarkEnd w:id="169"/>
      <w:bookmarkEnd w:id="170"/>
      <w:bookmarkEnd w:id="171"/>
      <w:bookmarkEnd w:id="172"/>
      <w:bookmarkEnd w:id="173"/>
      <w:r>
        <w:rPr>
          <w:rFonts w:hint="eastAsia" w:ascii="楷体_GB2312" w:hAnsi="楷体_GB2312" w:eastAsia="楷体_GB2312" w:cs="楷体_GB2312"/>
          <w:b/>
          <w:bCs/>
          <w:color w:val="auto"/>
          <w:sz w:val="32"/>
          <w:szCs w:val="32"/>
          <w:highlight w:val="none"/>
          <w:lang w:val="en-US" w:eastAsia="zh-CN"/>
        </w:rPr>
        <w:t>项目综合评价</w:t>
      </w:r>
      <w:bookmarkEnd w:id="174"/>
      <w:bookmarkEnd w:id="175"/>
    </w:p>
    <w:p w14:paraId="69D6C772">
      <w:pPr>
        <w:keepNext w:val="0"/>
        <w:keepLines w:val="0"/>
        <w:pageBreakBefore w:val="0"/>
        <w:widowControl w:val="0"/>
        <w:shd w:val="clear" w:color="auto" w:fill="FFFFFF"/>
        <w:kinsoku/>
        <w:wordWrap/>
        <w:overflowPunct w:val="0"/>
        <w:topLinePunct w:val="0"/>
        <w:autoSpaceDE w:val="0"/>
        <w:autoSpaceDN w:val="0"/>
        <w:bidi w:val="0"/>
        <w:adjustRightInd w:val="0"/>
        <w:snapToGrid/>
        <w:spacing w:line="560" w:lineRule="exact"/>
        <w:ind w:firstLine="640" w:firstLineChars="200"/>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石狮市殡葬服务所基本殡葬费用减免项目以“减轻群众殡葬负担、推进殡葬服务公益化”为核心目标，投入 226.616 万元财政资金，聚焦遗体接运、冷藏、火化、骨灰寄存等关键环节，为 1919 名群众提供殡葬保障，尤其为困难家庭、低收入群体提供有力支持；该项目不仅直接减轻了群众殡葬经济压力，显著提升基本殡葬服务的可及性与普惠性，还完善了基本殡葬服务保障体系，营造了关爱民生的良好社会氛围，增强群众幸福感与获得感，有力推动殡葬服务公益化进程，初步实现惠民核心目标。但项目实施中仍存在亟待解决的问题：一方面，政策宣传存在盲区，委托第三方或亲属代办丧事的家属常因信息缺失不知晓减免政策，影响政策普惠覆盖范围；另一方面石狮市殡葬服务所对相关合作单位流程监管不到位，未规范申请人确认机制，对政策执行监管滞后且缺乏对合作机构的有效监管手段，整体监管效能不足，后续需从强化政策宣传触达率、完善全流程监管机制等方面精准施策，持续提升项目惠民实效与管理水平。</w:t>
      </w:r>
    </w:p>
    <w:p w14:paraId="73AEB039">
      <w:pPr>
        <w:keepNext w:val="0"/>
        <w:keepLines w:val="0"/>
        <w:pageBreakBefore w:val="0"/>
        <w:widowControl w:val="0"/>
        <w:shd w:val="clear" w:color="auto" w:fill="FFFFFF"/>
        <w:kinsoku/>
        <w:wordWrap/>
        <w:overflowPunct w:val="0"/>
        <w:topLinePunct w:val="0"/>
        <w:autoSpaceDE w:val="0"/>
        <w:autoSpaceDN w:val="0"/>
        <w:bidi w:val="0"/>
        <w:adjustRightInd w:val="0"/>
        <w:snapToGrid/>
        <w:spacing w:line="560" w:lineRule="exact"/>
        <w:ind w:firstLine="643" w:firstLineChars="200"/>
        <w:textAlignment w:val="baseline"/>
        <w:outlineLvl w:val="1"/>
        <w:rPr>
          <w:rFonts w:hint="eastAsia" w:ascii="仿宋" w:hAnsi="仿宋" w:eastAsia="仿宋" w:cs="仿宋"/>
          <w:color w:val="auto"/>
          <w:kern w:val="0"/>
          <w:sz w:val="28"/>
          <w:szCs w:val="28"/>
          <w:highlight w:val="none"/>
          <w:lang w:val="en-US" w:eastAsia="zh-CN"/>
        </w:rPr>
      </w:pPr>
      <w:bookmarkStart w:id="180" w:name="_Toc7607"/>
      <w:r>
        <w:rPr>
          <w:rFonts w:hint="eastAsia" w:ascii="楷体_GB2312" w:hAnsi="楷体_GB2312" w:eastAsia="楷体_GB2312" w:cs="楷体_GB2312"/>
          <w:b/>
          <w:bCs/>
          <w:color w:val="auto"/>
          <w:sz w:val="32"/>
          <w:szCs w:val="32"/>
          <w:highlight w:val="none"/>
          <w:lang w:val="en-US" w:eastAsia="zh-CN"/>
        </w:rPr>
        <w:t>（二）项目绩效分析</w:t>
      </w:r>
      <w:bookmarkEnd w:id="176"/>
      <w:bookmarkEnd w:id="180"/>
    </w:p>
    <w:p w14:paraId="1A2ED60C">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leftChars="0" w:firstLine="640" w:firstLineChars="200"/>
        <w:textAlignment w:val="baseline"/>
        <w:outlineLvl w:val="9"/>
        <w:rPr>
          <w:rFonts w:hint="eastAsia" w:ascii="仿宋" w:hAnsi="仿宋" w:eastAsia="仿宋" w:cs="仿宋"/>
          <w:b/>
          <w:bCs/>
          <w:color w:val="auto"/>
          <w:kern w:val="0"/>
          <w:sz w:val="28"/>
          <w:szCs w:val="28"/>
          <w:highlight w:val="none"/>
          <w:lang w:val="en-US" w:eastAsia="zh-CN" w:bidi="ar-SA"/>
        </w:rPr>
      </w:pPr>
      <w:bookmarkStart w:id="181" w:name="_Toc22302"/>
      <w:bookmarkStart w:id="182" w:name="_Toc892"/>
      <w:bookmarkStart w:id="183" w:name="_Toc31340"/>
      <w:bookmarkStart w:id="184" w:name="_Toc20258"/>
      <w:bookmarkStart w:id="185" w:name="_Toc19827"/>
      <w:bookmarkStart w:id="186" w:name="_Toc31736"/>
      <w:bookmarkStart w:id="187" w:name="_Toc14552"/>
      <w:r>
        <w:rPr>
          <w:rFonts w:hint="eastAsia" w:ascii="仿宋_GB2312" w:hAnsi="仿宋_GB2312" w:eastAsia="仿宋_GB2312" w:cs="仿宋_GB2312"/>
          <w:color w:val="auto"/>
          <w:kern w:val="2"/>
          <w:sz w:val="32"/>
          <w:szCs w:val="32"/>
          <w:highlight w:val="none"/>
          <w:lang w:val="en-US" w:eastAsia="zh-CN" w:bidi="ar-SA"/>
        </w:rPr>
        <w:t>评价组在基础数据分析及处理的基础上，对石狮市殡葬服务所减免基本殡葬费用专项进行客观公正地评价，综合评价得分90分，评价等级“优”。具体得分情况见表</w:t>
      </w:r>
      <w:bookmarkEnd w:id="177"/>
      <w:bookmarkEnd w:id="178"/>
      <w:bookmarkEnd w:id="179"/>
      <w:bookmarkEnd w:id="181"/>
      <w:bookmarkEnd w:id="182"/>
      <w:bookmarkEnd w:id="183"/>
      <w:bookmarkEnd w:id="184"/>
      <w:bookmarkEnd w:id="185"/>
      <w:bookmarkEnd w:id="186"/>
      <w:bookmarkEnd w:id="187"/>
      <w:bookmarkStart w:id="188" w:name="_Toc29479"/>
      <w:bookmarkStart w:id="189" w:name="_Toc23880"/>
      <w:bookmarkStart w:id="190" w:name="_Toc18602"/>
      <w:bookmarkStart w:id="191" w:name="_Toc18986"/>
      <w:r>
        <w:rPr>
          <w:rFonts w:hint="eastAsia" w:ascii="仿宋_GB2312" w:hAnsi="仿宋_GB2312" w:eastAsia="仿宋_GB2312" w:cs="仿宋_GB2312"/>
          <w:color w:val="auto"/>
          <w:kern w:val="2"/>
          <w:sz w:val="32"/>
          <w:szCs w:val="32"/>
          <w:highlight w:val="none"/>
          <w:lang w:val="en-US" w:eastAsia="zh-CN" w:bidi="ar-SA"/>
        </w:rPr>
        <w:t>3：</w:t>
      </w:r>
      <w:bookmarkStart w:id="192" w:name="_Toc9618"/>
      <w:bookmarkStart w:id="193" w:name="_Toc15792"/>
      <w:bookmarkStart w:id="194" w:name="_Toc24319"/>
      <w:bookmarkStart w:id="195" w:name="_Toc20596"/>
    </w:p>
    <w:p w14:paraId="4B146B71">
      <w:pPr>
        <w:keepNext w:val="0"/>
        <w:keepLines w:val="0"/>
        <w:pageBreakBefore w:val="0"/>
        <w:widowControl w:val="0"/>
        <w:kinsoku/>
        <w:wordWrap/>
        <w:topLinePunct w:val="0"/>
        <w:bidi w:val="0"/>
        <w:snapToGrid/>
        <w:jc w:val="center"/>
        <w:rPr>
          <w:rFonts w:hint="eastAsia" w:ascii="仿宋" w:hAnsi="仿宋" w:eastAsia="仿宋" w:cs="仿宋"/>
          <w:b/>
          <w:bCs/>
          <w:color w:val="auto"/>
          <w:kern w:val="0"/>
          <w:sz w:val="28"/>
          <w:szCs w:val="28"/>
          <w:highlight w:val="none"/>
          <w:lang w:val="en-US" w:eastAsia="zh-CN" w:bidi="ar-SA"/>
        </w:rPr>
      </w:pPr>
      <w:r>
        <w:rPr>
          <w:rFonts w:hint="eastAsia" w:ascii="仿宋" w:hAnsi="仿宋" w:eastAsia="仿宋" w:cs="仿宋"/>
          <w:b/>
          <w:bCs/>
          <w:color w:val="auto"/>
          <w:kern w:val="0"/>
          <w:sz w:val="28"/>
          <w:szCs w:val="28"/>
          <w:highlight w:val="none"/>
          <w:lang w:val="en-US" w:eastAsia="zh-CN" w:bidi="ar-SA"/>
        </w:rPr>
        <w:t>表3 指标得分情况表</w:t>
      </w:r>
      <w:bookmarkEnd w:id="188"/>
      <w:bookmarkEnd w:id="189"/>
      <w:bookmarkEnd w:id="190"/>
      <w:bookmarkEnd w:id="191"/>
      <w:bookmarkEnd w:id="192"/>
      <w:bookmarkEnd w:id="193"/>
      <w:bookmarkEnd w:id="194"/>
      <w:bookmarkEnd w:id="195"/>
    </w:p>
    <w:tbl>
      <w:tblPr>
        <w:tblStyle w:val="16"/>
        <w:tblW w:w="8760" w:type="dxa"/>
        <w:tblInd w:w="1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429"/>
        <w:gridCol w:w="2095"/>
        <w:gridCol w:w="2028"/>
        <w:gridCol w:w="2208"/>
      </w:tblGrid>
      <w:tr w14:paraId="4C6AFA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exact"/>
          <w:tblHeader/>
        </w:trPr>
        <w:tc>
          <w:tcPr>
            <w:tcW w:w="2429" w:type="dxa"/>
            <w:tcBorders>
              <w:top w:val="single" w:color="000000" w:sz="4" w:space="0"/>
              <w:left w:val="single" w:color="000000" w:sz="4" w:space="0"/>
              <w:bottom w:val="single" w:color="000000" w:sz="4" w:space="0"/>
              <w:right w:val="single" w:color="000000" w:sz="4" w:space="0"/>
            </w:tcBorders>
            <w:shd w:val="clear" w:color="auto" w:fill="D7D7D7"/>
            <w:vAlign w:val="center"/>
          </w:tcPr>
          <w:p w14:paraId="681D24B4">
            <w:pPr>
              <w:keepNext w:val="0"/>
              <w:keepLines/>
              <w:pageBreakBefore w:val="0"/>
              <w:widowControl w:val="0"/>
              <w:suppressLineNumbers w:val="0"/>
              <w:kinsoku/>
              <w:wordWrap/>
              <w:overflowPunct/>
              <w:topLinePunct w:val="0"/>
              <w:autoSpaceDE/>
              <w:autoSpaceDN/>
              <w:bidi w:val="0"/>
              <w:adjustRightInd/>
              <w:snapToGrid/>
              <w:spacing w:line="240" w:lineRule="auto"/>
              <w:jc w:val="center"/>
              <w:textAlignment w:val="center"/>
              <w:rPr>
                <w:rFonts w:hint="eastAsia" w:ascii="仿宋" w:hAnsi="仿宋" w:eastAsia="仿宋" w:cs="仿宋"/>
                <w:b/>
                <w:bCs/>
                <w:i w:val="0"/>
                <w:iCs w:val="0"/>
                <w:color w:val="auto"/>
                <w:sz w:val="24"/>
                <w:szCs w:val="24"/>
                <w:highlight w:val="none"/>
                <w:u w:val="none"/>
              </w:rPr>
            </w:pPr>
            <w:r>
              <w:rPr>
                <w:rFonts w:hint="eastAsia" w:ascii="仿宋" w:hAnsi="仿宋" w:eastAsia="仿宋" w:cs="仿宋"/>
                <w:b/>
                <w:bCs/>
                <w:i w:val="0"/>
                <w:iCs w:val="0"/>
                <w:color w:val="auto"/>
                <w:kern w:val="0"/>
                <w:sz w:val="24"/>
                <w:szCs w:val="24"/>
                <w:highlight w:val="none"/>
                <w:u w:val="none"/>
                <w:lang w:val="en-US" w:eastAsia="zh-CN"/>
              </w:rPr>
              <w:t>指标</w:t>
            </w:r>
          </w:p>
        </w:tc>
        <w:tc>
          <w:tcPr>
            <w:tcW w:w="2095" w:type="dxa"/>
            <w:tcBorders>
              <w:top w:val="single" w:color="000000" w:sz="4" w:space="0"/>
              <w:left w:val="single" w:color="000000" w:sz="4" w:space="0"/>
              <w:bottom w:val="single" w:color="000000" w:sz="4" w:space="0"/>
              <w:right w:val="single" w:color="000000" w:sz="4" w:space="0"/>
            </w:tcBorders>
            <w:shd w:val="clear" w:color="auto" w:fill="D7D7D7"/>
            <w:vAlign w:val="center"/>
          </w:tcPr>
          <w:p w14:paraId="3313C143">
            <w:pPr>
              <w:keepNext w:val="0"/>
              <w:keepLines/>
              <w:pageBreakBefore w:val="0"/>
              <w:widowControl w:val="0"/>
              <w:suppressLineNumbers w:val="0"/>
              <w:kinsoku/>
              <w:wordWrap/>
              <w:overflowPunct/>
              <w:topLinePunct w:val="0"/>
              <w:autoSpaceDE/>
              <w:autoSpaceDN/>
              <w:bidi w:val="0"/>
              <w:adjustRightInd/>
              <w:snapToGrid/>
              <w:spacing w:line="240" w:lineRule="auto"/>
              <w:jc w:val="center"/>
              <w:textAlignment w:val="center"/>
              <w:rPr>
                <w:rFonts w:hint="eastAsia" w:ascii="仿宋" w:hAnsi="仿宋" w:eastAsia="仿宋" w:cs="仿宋"/>
                <w:b/>
                <w:bCs/>
                <w:i w:val="0"/>
                <w:iCs w:val="0"/>
                <w:color w:val="auto"/>
                <w:sz w:val="24"/>
                <w:szCs w:val="24"/>
                <w:highlight w:val="none"/>
                <w:u w:val="none"/>
              </w:rPr>
            </w:pPr>
            <w:r>
              <w:rPr>
                <w:rFonts w:hint="eastAsia" w:ascii="仿宋" w:hAnsi="仿宋" w:eastAsia="仿宋" w:cs="仿宋"/>
                <w:b/>
                <w:bCs/>
                <w:i w:val="0"/>
                <w:iCs w:val="0"/>
                <w:color w:val="auto"/>
                <w:kern w:val="0"/>
                <w:sz w:val="24"/>
                <w:szCs w:val="24"/>
                <w:highlight w:val="none"/>
                <w:u w:val="none"/>
                <w:lang w:val="en-US" w:eastAsia="zh-CN"/>
              </w:rPr>
              <w:t>权重分</w:t>
            </w:r>
          </w:p>
        </w:tc>
        <w:tc>
          <w:tcPr>
            <w:tcW w:w="2028" w:type="dxa"/>
            <w:tcBorders>
              <w:top w:val="single" w:color="000000" w:sz="4" w:space="0"/>
              <w:left w:val="single" w:color="000000" w:sz="4" w:space="0"/>
              <w:bottom w:val="single" w:color="000000" w:sz="4" w:space="0"/>
              <w:right w:val="single" w:color="000000" w:sz="4" w:space="0"/>
            </w:tcBorders>
            <w:shd w:val="clear" w:color="auto" w:fill="D7D7D7"/>
            <w:vAlign w:val="center"/>
          </w:tcPr>
          <w:p w14:paraId="404B9F87">
            <w:pPr>
              <w:keepNext w:val="0"/>
              <w:keepLines/>
              <w:pageBreakBefore w:val="0"/>
              <w:widowControl w:val="0"/>
              <w:suppressLineNumbers w:val="0"/>
              <w:kinsoku/>
              <w:wordWrap/>
              <w:overflowPunct/>
              <w:topLinePunct w:val="0"/>
              <w:autoSpaceDE/>
              <w:autoSpaceDN/>
              <w:bidi w:val="0"/>
              <w:adjustRightInd/>
              <w:snapToGrid/>
              <w:spacing w:line="240" w:lineRule="auto"/>
              <w:jc w:val="center"/>
              <w:textAlignment w:val="center"/>
              <w:rPr>
                <w:rFonts w:hint="eastAsia" w:ascii="仿宋" w:hAnsi="仿宋" w:eastAsia="仿宋" w:cs="仿宋"/>
                <w:b/>
                <w:bCs/>
                <w:i w:val="0"/>
                <w:iCs w:val="0"/>
                <w:color w:val="auto"/>
                <w:sz w:val="24"/>
                <w:szCs w:val="24"/>
                <w:highlight w:val="none"/>
                <w:u w:val="none"/>
              </w:rPr>
            </w:pPr>
            <w:r>
              <w:rPr>
                <w:rFonts w:hint="eastAsia" w:ascii="仿宋" w:hAnsi="仿宋" w:eastAsia="仿宋" w:cs="仿宋"/>
                <w:b/>
                <w:bCs/>
                <w:i w:val="0"/>
                <w:iCs w:val="0"/>
                <w:color w:val="auto"/>
                <w:kern w:val="0"/>
                <w:sz w:val="24"/>
                <w:szCs w:val="24"/>
                <w:highlight w:val="none"/>
                <w:u w:val="none"/>
                <w:lang w:val="en-US" w:eastAsia="zh-CN"/>
              </w:rPr>
              <w:t>得分</w:t>
            </w:r>
          </w:p>
        </w:tc>
        <w:tc>
          <w:tcPr>
            <w:tcW w:w="2208" w:type="dxa"/>
            <w:tcBorders>
              <w:top w:val="single" w:color="000000" w:sz="4" w:space="0"/>
              <w:left w:val="single" w:color="000000" w:sz="4" w:space="0"/>
              <w:bottom w:val="single" w:color="000000" w:sz="4" w:space="0"/>
              <w:right w:val="single" w:color="000000" w:sz="4" w:space="0"/>
            </w:tcBorders>
            <w:shd w:val="clear" w:color="auto" w:fill="D7D7D7"/>
            <w:vAlign w:val="center"/>
          </w:tcPr>
          <w:p w14:paraId="6F69B799">
            <w:pPr>
              <w:keepNext w:val="0"/>
              <w:keepLines/>
              <w:pageBreakBefore w:val="0"/>
              <w:widowControl w:val="0"/>
              <w:suppressLineNumbers w:val="0"/>
              <w:kinsoku/>
              <w:wordWrap/>
              <w:overflowPunct/>
              <w:topLinePunct w:val="0"/>
              <w:autoSpaceDE/>
              <w:autoSpaceDN/>
              <w:bidi w:val="0"/>
              <w:adjustRightInd/>
              <w:snapToGrid/>
              <w:spacing w:line="240" w:lineRule="auto"/>
              <w:jc w:val="center"/>
              <w:textAlignment w:val="center"/>
              <w:rPr>
                <w:rFonts w:hint="default" w:ascii="仿宋" w:hAnsi="仿宋" w:eastAsia="仿宋" w:cs="仿宋"/>
                <w:b/>
                <w:bCs/>
                <w:i w:val="0"/>
                <w:iCs w:val="0"/>
                <w:color w:val="auto"/>
                <w:kern w:val="0"/>
                <w:sz w:val="24"/>
                <w:szCs w:val="24"/>
                <w:highlight w:val="none"/>
                <w:u w:val="none"/>
                <w:lang w:val="en-US" w:eastAsia="zh-CN"/>
              </w:rPr>
            </w:pPr>
            <w:r>
              <w:rPr>
                <w:rFonts w:hint="eastAsia" w:ascii="仿宋" w:hAnsi="仿宋" w:eastAsia="仿宋" w:cs="仿宋"/>
                <w:b/>
                <w:bCs/>
                <w:i w:val="0"/>
                <w:iCs w:val="0"/>
                <w:color w:val="auto"/>
                <w:kern w:val="0"/>
                <w:sz w:val="24"/>
                <w:szCs w:val="24"/>
                <w:highlight w:val="none"/>
                <w:u w:val="none"/>
                <w:lang w:val="en-US" w:eastAsia="zh-CN"/>
              </w:rPr>
              <w:t>得分率</w:t>
            </w:r>
          </w:p>
        </w:tc>
      </w:tr>
      <w:tr w14:paraId="0B6A29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567" w:hRule="exact"/>
        </w:trPr>
        <w:tc>
          <w:tcPr>
            <w:tcW w:w="2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89007">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000000"/>
                <w:kern w:val="0"/>
                <w:sz w:val="24"/>
                <w:szCs w:val="24"/>
                <w:u w:val="none"/>
                <w:lang w:val="en-US" w:eastAsia="zh-CN"/>
              </w:rPr>
              <w:t>决策</w:t>
            </w:r>
          </w:p>
        </w:tc>
        <w:tc>
          <w:tcPr>
            <w:tcW w:w="20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F4FCC">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000000"/>
                <w:kern w:val="0"/>
                <w:sz w:val="24"/>
                <w:szCs w:val="24"/>
                <w:u w:val="none"/>
                <w:lang w:val="en-US" w:eastAsia="zh-CN"/>
              </w:rPr>
            </w:pPr>
            <w:r>
              <w:rPr>
                <w:rFonts w:hint="eastAsia" w:ascii="仿宋" w:hAnsi="仿宋" w:eastAsia="仿宋" w:cs="仿宋"/>
                <w:i w:val="0"/>
                <w:iCs w:val="0"/>
                <w:color w:val="000000"/>
                <w:kern w:val="0"/>
                <w:sz w:val="24"/>
                <w:szCs w:val="24"/>
                <w:u w:val="none"/>
                <w:lang w:val="en-US" w:eastAsia="zh-CN"/>
              </w:rPr>
              <w:t>20</w:t>
            </w:r>
          </w:p>
        </w:tc>
        <w:tc>
          <w:tcPr>
            <w:tcW w:w="20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D9328">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default" w:ascii="仿宋" w:hAnsi="仿宋" w:eastAsia="仿宋" w:cs="仿宋"/>
                <w:i w:val="0"/>
                <w:iCs w:val="0"/>
                <w:color w:val="000000"/>
                <w:kern w:val="0"/>
                <w:sz w:val="24"/>
                <w:szCs w:val="24"/>
                <w:u w:val="none"/>
                <w:lang w:val="en-US" w:eastAsia="zh-CN"/>
              </w:rPr>
            </w:pPr>
            <w:r>
              <w:rPr>
                <w:rFonts w:hint="eastAsia" w:ascii="仿宋" w:hAnsi="仿宋" w:eastAsia="仿宋" w:cs="仿宋"/>
                <w:i w:val="0"/>
                <w:iCs w:val="0"/>
                <w:color w:val="000000"/>
                <w:kern w:val="0"/>
                <w:sz w:val="24"/>
                <w:szCs w:val="24"/>
                <w:u w:val="none"/>
                <w:lang w:val="en-US" w:eastAsia="zh-CN"/>
              </w:rPr>
              <w:t>19.50</w:t>
            </w:r>
          </w:p>
        </w:tc>
        <w:tc>
          <w:tcPr>
            <w:tcW w:w="22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36EB0">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000000"/>
                <w:kern w:val="0"/>
                <w:sz w:val="24"/>
                <w:szCs w:val="24"/>
                <w:u w:val="none"/>
                <w:lang w:val="en-US" w:eastAsia="zh-CN"/>
              </w:rPr>
            </w:pPr>
            <w:r>
              <w:rPr>
                <w:rFonts w:hint="eastAsia" w:ascii="仿宋" w:hAnsi="仿宋" w:eastAsia="仿宋" w:cs="仿宋"/>
                <w:i w:val="0"/>
                <w:iCs w:val="0"/>
                <w:color w:val="000000"/>
                <w:kern w:val="0"/>
                <w:sz w:val="24"/>
                <w:szCs w:val="24"/>
                <w:u w:val="none"/>
                <w:lang w:val="en-US" w:eastAsia="zh-CN"/>
              </w:rPr>
              <w:t>97.50%</w:t>
            </w:r>
          </w:p>
        </w:tc>
      </w:tr>
      <w:tr w14:paraId="3A5C08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567" w:hRule="exact"/>
        </w:trPr>
        <w:tc>
          <w:tcPr>
            <w:tcW w:w="2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DB0BB">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000000"/>
                <w:kern w:val="0"/>
                <w:sz w:val="24"/>
                <w:szCs w:val="24"/>
                <w:u w:val="none"/>
                <w:lang w:val="en-US" w:eastAsia="zh-CN"/>
              </w:rPr>
              <w:t>过程</w:t>
            </w:r>
          </w:p>
        </w:tc>
        <w:tc>
          <w:tcPr>
            <w:tcW w:w="20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31B20">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000000"/>
                <w:kern w:val="0"/>
                <w:sz w:val="24"/>
                <w:szCs w:val="24"/>
                <w:u w:val="none"/>
                <w:lang w:val="en-US" w:eastAsia="zh-CN"/>
              </w:rPr>
            </w:pPr>
            <w:r>
              <w:rPr>
                <w:rFonts w:hint="eastAsia" w:ascii="仿宋" w:hAnsi="仿宋" w:eastAsia="仿宋" w:cs="仿宋"/>
                <w:i w:val="0"/>
                <w:iCs w:val="0"/>
                <w:color w:val="000000"/>
                <w:kern w:val="0"/>
                <w:sz w:val="24"/>
                <w:szCs w:val="24"/>
                <w:u w:val="none"/>
                <w:lang w:val="en-US" w:eastAsia="zh-CN"/>
              </w:rPr>
              <w:t>20</w:t>
            </w:r>
          </w:p>
        </w:tc>
        <w:tc>
          <w:tcPr>
            <w:tcW w:w="20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72417">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000000"/>
                <w:kern w:val="0"/>
                <w:sz w:val="24"/>
                <w:szCs w:val="24"/>
                <w:u w:val="none"/>
                <w:lang w:val="en-US" w:eastAsia="zh-CN"/>
              </w:rPr>
            </w:pPr>
            <w:r>
              <w:rPr>
                <w:rFonts w:hint="eastAsia" w:ascii="仿宋" w:hAnsi="仿宋" w:eastAsia="仿宋" w:cs="仿宋"/>
                <w:i w:val="0"/>
                <w:iCs w:val="0"/>
                <w:color w:val="000000"/>
                <w:kern w:val="0"/>
                <w:sz w:val="24"/>
                <w:szCs w:val="24"/>
                <w:u w:val="none"/>
                <w:lang w:val="en-US" w:eastAsia="zh-CN"/>
              </w:rPr>
              <w:t>15</w:t>
            </w:r>
          </w:p>
        </w:tc>
        <w:tc>
          <w:tcPr>
            <w:tcW w:w="22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EDD25">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000000"/>
                <w:kern w:val="0"/>
                <w:sz w:val="24"/>
                <w:szCs w:val="24"/>
                <w:u w:val="none"/>
                <w:lang w:val="en-US" w:eastAsia="zh-CN"/>
              </w:rPr>
            </w:pPr>
            <w:r>
              <w:rPr>
                <w:rFonts w:hint="eastAsia" w:ascii="仿宋" w:hAnsi="仿宋" w:eastAsia="仿宋" w:cs="仿宋"/>
                <w:i w:val="0"/>
                <w:iCs w:val="0"/>
                <w:color w:val="000000"/>
                <w:kern w:val="0"/>
                <w:sz w:val="24"/>
                <w:szCs w:val="24"/>
                <w:u w:val="none"/>
                <w:lang w:val="en-US" w:eastAsia="zh-CN"/>
              </w:rPr>
              <w:t>75.00%</w:t>
            </w:r>
          </w:p>
        </w:tc>
      </w:tr>
      <w:tr w14:paraId="5C3C0C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567" w:hRule="exact"/>
        </w:trPr>
        <w:tc>
          <w:tcPr>
            <w:tcW w:w="2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A68D0">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000000"/>
                <w:kern w:val="0"/>
                <w:sz w:val="24"/>
                <w:szCs w:val="24"/>
                <w:u w:val="none"/>
                <w:lang w:val="en-US" w:eastAsia="zh-CN"/>
              </w:rPr>
              <w:t>产出</w:t>
            </w:r>
          </w:p>
        </w:tc>
        <w:tc>
          <w:tcPr>
            <w:tcW w:w="20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1FA76">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000000"/>
                <w:kern w:val="0"/>
                <w:sz w:val="24"/>
                <w:szCs w:val="24"/>
                <w:u w:val="none"/>
                <w:lang w:val="en-US" w:eastAsia="zh-CN"/>
              </w:rPr>
            </w:pPr>
            <w:r>
              <w:rPr>
                <w:rFonts w:hint="eastAsia" w:ascii="仿宋" w:hAnsi="仿宋" w:eastAsia="仿宋" w:cs="仿宋"/>
                <w:i w:val="0"/>
                <w:iCs w:val="0"/>
                <w:color w:val="000000"/>
                <w:kern w:val="0"/>
                <w:sz w:val="24"/>
                <w:szCs w:val="24"/>
                <w:u w:val="none"/>
                <w:lang w:val="en-US" w:eastAsia="zh-CN"/>
              </w:rPr>
              <w:t>35</w:t>
            </w:r>
          </w:p>
        </w:tc>
        <w:tc>
          <w:tcPr>
            <w:tcW w:w="20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51825">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default" w:ascii="仿宋" w:hAnsi="仿宋" w:eastAsia="仿宋" w:cs="仿宋"/>
                <w:i w:val="0"/>
                <w:iCs w:val="0"/>
                <w:color w:val="000000"/>
                <w:kern w:val="0"/>
                <w:sz w:val="24"/>
                <w:szCs w:val="24"/>
                <w:u w:val="none"/>
                <w:lang w:val="en-US" w:eastAsia="zh-CN"/>
              </w:rPr>
            </w:pPr>
            <w:r>
              <w:rPr>
                <w:rFonts w:hint="eastAsia" w:ascii="仿宋" w:hAnsi="仿宋" w:eastAsia="仿宋" w:cs="仿宋"/>
                <w:i w:val="0"/>
                <w:iCs w:val="0"/>
                <w:color w:val="000000"/>
                <w:kern w:val="0"/>
                <w:sz w:val="24"/>
                <w:szCs w:val="24"/>
                <w:u w:val="none"/>
                <w:lang w:val="en-US" w:eastAsia="zh-CN"/>
              </w:rPr>
              <w:t>32.50</w:t>
            </w:r>
          </w:p>
        </w:tc>
        <w:tc>
          <w:tcPr>
            <w:tcW w:w="22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3A8F7">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000000"/>
                <w:kern w:val="0"/>
                <w:sz w:val="24"/>
                <w:szCs w:val="24"/>
                <w:u w:val="none"/>
                <w:lang w:val="en-US" w:eastAsia="zh-CN"/>
              </w:rPr>
            </w:pPr>
            <w:r>
              <w:rPr>
                <w:rFonts w:hint="eastAsia" w:ascii="仿宋" w:hAnsi="仿宋" w:eastAsia="仿宋" w:cs="仿宋"/>
                <w:i w:val="0"/>
                <w:iCs w:val="0"/>
                <w:color w:val="000000"/>
                <w:kern w:val="0"/>
                <w:sz w:val="24"/>
                <w:szCs w:val="24"/>
                <w:u w:val="none"/>
                <w:lang w:val="en-US" w:eastAsia="zh-CN"/>
              </w:rPr>
              <w:t>92.86%</w:t>
            </w:r>
          </w:p>
        </w:tc>
      </w:tr>
      <w:tr w14:paraId="75E7EF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567" w:hRule="exact"/>
        </w:trPr>
        <w:tc>
          <w:tcPr>
            <w:tcW w:w="2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95DF4">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auto"/>
                <w:sz w:val="24"/>
                <w:szCs w:val="24"/>
                <w:highlight w:val="none"/>
                <w:u w:val="none"/>
              </w:rPr>
            </w:pPr>
            <w:r>
              <w:rPr>
                <w:rFonts w:hint="eastAsia" w:ascii="仿宋" w:hAnsi="仿宋" w:eastAsia="仿宋" w:cs="仿宋"/>
                <w:i w:val="0"/>
                <w:iCs w:val="0"/>
                <w:color w:val="000000"/>
                <w:kern w:val="0"/>
                <w:sz w:val="24"/>
                <w:szCs w:val="24"/>
                <w:u w:val="none"/>
                <w:lang w:val="en-US" w:eastAsia="zh-CN"/>
              </w:rPr>
              <w:t>效益</w:t>
            </w:r>
          </w:p>
        </w:tc>
        <w:tc>
          <w:tcPr>
            <w:tcW w:w="20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C006D">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000000"/>
                <w:kern w:val="0"/>
                <w:sz w:val="24"/>
                <w:szCs w:val="24"/>
                <w:u w:val="none"/>
                <w:lang w:val="en-US" w:eastAsia="zh-CN"/>
              </w:rPr>
            </w:pPr>
            <w:r>
              <w:rPr>
                <w:rFonts w:hint="eastAsia" w:ascii="仿宋" w:hAnsi="仿宋" w:eastAsia="仿宋" w:cs="仿宋"/>
                <w:i w:val="0"/>
                <w:iCs w:val="0"/>
                <w:color w:val="000000"/>
                <w:kern w:val="0"/>
                <w:sz w:val="24"/>
                <w:szCs w:val="24"/>
                <w:u w:val="none"/>
                <w:lang w:val="en-US" w:eastAsia="zh-CN"/>
              </w:rPr>
              <w:t>25</w:t>
            </w:r>
          </w:p>
        </w:tc>
        <w:tc>
          <w:tcPr>
            <w:tcW w:w="20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19614">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000000"/>
                <w:kern w:val="0"/>
                <w:sz w:val="24"/>
                <w:szCs w:val="24"/>
                <w:u w:val="none"/>
                <w:lang w:val="en-US" w:eastAsia="zh-CN"/>
              </w:rPr>
            </w:pPr>
            <w:r>
              <w:rPr>
                <w:rFonts w:hint="eastAsia" w:ascii="仿宋" w:hAnsi="仿宋" w:eastAsia="仿宋" w:cs="仿宋"/>
                <w:i w:val="0"/>
                <w:iCs w:val="0"/>
                <w:color w:val="000000"/>
                <w:kern w:val="0"/>
                <w:sz w:val="24"/>
                <w:szCs w:val="24"/>
                <w:u w:val="none"/>
                <w:lang w:val="en-US" w:eastAsia="zh-CN"/>
              </w:rPr>
              <w:t>23</w:t>
            </w:r>
          </w:p>
        </w:tc>
        <w:tc>
          <w:tcPr>
            <w:tcW w:w="22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6C89C">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000000"/>
                <w:kern w:val="0"/>
                <w:sz w:val="24"/>
                <w:szCs w:val="24"/>
                <w:u w:val="none"/>
                <w:lang w:val="en-US" w:eastAsia="zh-CN"/>
              </w:rPr>
            </w:pPr>
            <w:r>
              <w:rPr>
                <w:rFonts w:hint="eastAsia" w:ascii="仿宋" w:hAnsi="仿宋" w:eastAsia="仿宋" w:cs="仿宋"/>
                <w:i w:val="0"/>
                <w:iCs w:val="0"/>
                <w:color w:val="000000"/>
                <w:kern w:val="0"/>
                <w:sz w:val="24"/>
                <w:szCs w:val="24"/>
                <w:u w:val="none"/>
                <w:lang w:val="en-US" w:eastAsia="zh-CN"/>
              </w:rPr>
              <w:t>92.00%</w:t>
            </w:r>
          </w:p>
        </w:tc>
      </w:tr>
      <w:tr w14:paraId="27AFF1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544" w:hRule="exact"/>
        </w:trPr>
        <w:tc>
          <w:tcPr>
            <w:tcW w:w="24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96D20">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b/>
                <w:bCs/>
                <w:i w:val="0"/>
                <w:iCs w:val="0"/>
                <w:color w:val="auto"/>
                <w:sz w:val="24"/>
                <w:szCs w:val="24"/>
                <w:highlight w:val="none"/>
                <w:u w:val="none"/>
              </w:rPr>
            </w:pPr>
            <w:r>
              <w:rPr>
                <w:rFonts w:hint="eastAsia" w:ascii="仿宋" w:hAnsi="仿宋" w:eastAsia="仿宋" w:cs="仿宋"/>
                <w:b/>
                <w:bCs/>
                <w:i w:val="0"/>
                <w:iCs w:val="0"/>
                <w:color w:val="000000"/>
                <w:kern w:val="0"/>
                <w:sz w:val="24"/>
                <w:szCs w:val="24"/>
                <w:u w:val="none"/>
                <w:lang w:val="en-US" w:eastAsia="zh-CN"/>
              </w:rPr>
              <w:t>综合得分</w:t>
            </w:r>
          </w:p>
        </w:tc>
        <w:tc>
          <w:tcPr>
            <w:tcW w:w="20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7D2E0">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b/>
                <w:bCs/>
                <w:i w:val="0"/>
                <w:iCs w:val="0"/>
                <w:color w:val="000000"/>
                <w:kern w:val="0"/>
                <w:sz w:val="24"/>
                <w:szCs w:val="24"/>
                <w:u w:val="none"/>
                <w:lang w:val="en-US" w:eastAsia="zh-CN"/>
              </w:rPr>
            </w:pPr>
            <w:r>
              <w:rPr>
                <w:rFonts w:hint="eastAsia" w:ascii="仿宋" w:hAnsi="仿宋" w:eastAsia="仿宋" w:cs="仿宋"/>
                <w:b/>
                <w:bCs/>
                <w:i w:val="0"/>
                <w:iCs w:val="0"/>
                <w:color w:val="000000"/>
                <w:kern w:val="0"/>
                <w:sz w:val="24"/>
                <w:szCs w:val="24"/>
                <w:u w:val="none"/>
                <w:lang w:val="en-US" w:eastAsia="zh-CN"/>
              </w:rPr>
              <w:t>100</w:t>
            </w:r>
          </w:p>
        </w:tc>
        <w:tc>
          <w:tcPr>
            <w:tcW w:w="20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7DBE4">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b/>
                <w:bCs/>
                <w:i w:val="0"/>
                <w:iCs w:val="0"/>
                <w:color w:val="000000"/>
                <w:kern w:val="0"/>
                <w:sz w:val="24"/>
                <w:szCs w:val="24"/>
                <w:u w:val="none"/>
                <w:lang w:val="en-US" w:eastAsia="zh-CN"/>
              </w:rPr>
            </w:pPr>
            <w:r>
              <w:rPr>
                <w:rFonts w:hint="eastAsia" w:ascii="仿宋" w:hAnsi="仿宋" w:eastAsia="仿宋" w:cs="仿宋"/>
                <w:b/>
                <w:bCs/>
                <w:i w:val="0"/>
                <w:iCs w:val="0"/>
                <w:color w:val="000000"/>
                <w:kern w:val="0"/>
                <w:sz w:val="24"/>
                <w:szCs w:val="24"/>
                <w:u w:val="none"/>
                <w:lang w:val="en-US" w:eastAsia="zh-CN"/>
              </w:rPr>
              <w:t>90</w:t>
            </w:r>
          </w:p>
        </w:tc>
        <w:tc>
          <w:tcPr>
            <w:tcW w:w="22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19866">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b/>
                <w:bCs/>
                <w:i w:val="0"/>
                <w:iCs w:val="0"/>
                <w:color w:val="000000"/>
                <w:kern w:val="0"/>
                <w:sz w:val="24"/>
                <w:szCs w:val="24"/>
                <w:u w:val="none"/>
                <w:lang w:val="en-US" w:eastAsia="zh-CN"/>
              </w:rPr>
            </w:pPr>
            <w:r>
              <w:rPr>
                <w:rFonts w:hint="eastAsia" w:ascii="仿宋" w:hAnsi="仿宋" w:eastAsia="仿宋" w:cs="仿宋"/>
                <w:b/>
                <w:bCs/>
                <w:i w:val="0"/>
                <w:iCs w:val="0"/>
                <w:color w:val="000000"/>
                <w:kern w:val="0"/>
                <w:sz w:val="24"/>
                <w:szCs w:val="24"/>
                <w:u w:val="none"/>
                <w:lang w:val="en-US" w:eastAsia="zh-CN"/>
              </w:rPr>
              <w:t>90.00%</w:t>
            </w:r>
          </w:p>
        </w:tc>
      </w:tr>
      <w:tr w14:paraId="6D5A07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567" w:hRule="exact"/>
        </w:trPr>
        <w:tc>
          <w:tcPr>
            <w:tcW w:w="452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EA06E2">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b/>
                <w:bCs/>
                <w:i w:val="0"/>
                <w:iCs w:val="0"/>
                <w:color w:val="000000"/>
                <w:kern w:val="0"/>
                <w:sz w:val="24"/>
                <w:szCs w:val="24"/>
                <w:u w:val="none"/>
                <w:lang w:val="en-US" w:eastAsia="zh-CN"/>
              </w:rPr>
            </w:pPr>
            <w:r>
              <w:rPr>
                <w:rFonts w:hint="eastAsia" w:ascii="仿宋" w:hAnsi="仿宋" w:eastAsia="仿宋" w:cs="仿宋"/>
                <w:b/>
                <w:bCs/>
                <w:i w:val="0"/>
                <w:iCs w:val="0"/>
                <w:color w:val="000000"/>
                <w:kern w:val="0"/>
                <w:sz w:val="24"/>
                <w:szCs w:val="24"/>
                <w:u w:val="none"/>
                <w:lang w:val="en-US" w:eastAsia="zh-CN"/>
              </w:rPr>
              <w:t>绩效评定级别</w:t>
            </w:r>
          </w:p>
        </w:tc>
        <w:tc>
          <w:tcPr>
            <w:tcW w:w="423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B9AC36">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b/>
                <w:bCs/>
                <w:i w:val="0"/>
                <w:iCs w:val="0"/>
                <w:color w:val="000000"/>
                <w:kern w:val="0"/>
                <w:sz w:val="24"/>
                <w:szCs w:val="24"/>
                <w:u w:val="none"/>
                <w:lang w:val="en-US" w:eastAsia="zh-CN"/>
              </w:rPr>
            </w:pPr>
            <w:r>
              <w:rPr>
                <w:rFonts w:hint="eastAsia" w:ascii="仿宋" w:hAnsi="仿宋" w:eastAsia="仿宋" w:cs="仿宋"/>
                <w:b/>
                <w:bCs/>
                <w:i w:val="0"/>
                <w:iCs w:val="0"/>
                <w:color w:val="000000"/>
                <w:kern w:val="0"/>
                <w:sz w:val="24"/>
                <w:szCs w:val="24"/>
                <w:u w:val="none"/>
                <w:lang w:val="en-US" w:eastAsia="zh-CN"/>
              </w:rPr>
              <w:t>优</w:t>
            </w:r>
          </w:p>
        </w:tc>
      </w:tr>
    </w:tbl>
    <w:p w14:paraId="55EDAD00">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240" w:lineRule="auto"/>
        <w:jc w:val="both"/>
        <w:textAlignment w:val="baseline"/>
        <w:outlineLvl w:val="9"/>
        <w:rPr>
          <w:rFonts w:hint="eastAsia" w:ascii="仿宋_GB2312" w:hAnsi="仿宋_GB2312" w:eastAsia="仿宋_GB2312" w:cs="仿宋_GB2312"/>
          <w:color w:val="auto"/>
          <w:kern w:val="2"/>
          <w:sz w:val="10"/>
          <w:szCs w:val="10"/>
          <w:highlight w:val="none"/>
          <w:lang w:val="en-US" w:eastAsia="zh-CN" w:bidi="ar-SA"/>
        </w:rPr>
      </w:pPr>
      <w:bookmarkStart w:id="196" w:name="_Toc24004"/>
      <w:bookmarkStart w:id="197" w:name="_Toc12511"/>
      <w:bookmarkStart w:id="198" w:name="_Toc10258"/>
    </w:p>
    <w:p w14:paraId="31080B0D">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0"/>
        <w:rPr>
          <w:rFonts w:hint="eastAsia" w:ascii="黑体" w:hAnsi="黑体" w:eastAsia="黑体" w:cs="黑体"/>
          <w:b/>
          <w:bCs/>
          <w:color w:val="auto"/>
          <w:sz w:val="32"/>
          <w:szCs w:val="32"/>
          <w:highlight w:val="none"/>
          <w:lang w:val="en-US" w:eastAsia="zh-CN"/>
        </w:rPr>
      </w:pPr>
      <w:bookmarkStart w:id="199" w:name="_Toc11659"/>
      <w:bookmarkStart w:id="200" w:name="_Toc24212"/>
      <w:r>
        <w:rPr>
          <w:rFonts w:hint="eastAsia" w:ascii="黑体" w:hAnsi="黑体" w:eastAsia="黑体" w:cs="黑体"/>
          <w:b/>
          <w:bCs/>
          <w:color w:val="auto"/>
          <w:sz w:val="32"/>
          <w:szCs w:val="32"/>
          <w:highlight w:val="none"/>
          <w:lang w:val="en-US" w:eastAsia="zh-CN"/>
        </w:rPr>
        <w:t>四、绩效评价指标分析</w:t>
      </w:r>
      <w:bookmarkEnd w:id="199"/>
      <w:bookmarkEnd w:id="200"/>
    </w:p>
    <w:p w14:paraId="47763559">
      <w:pPr>
        <w:keepNext w:val="0"/>
        <w:keepLines w:val="0"/>
        <w:pageBreakBefore w:val="0"/>
        <w:widowControl w:val="0"/>
        <w:kinsoku/>
        <w:wordWrap/>
        <w:overflowPunct/>
        <w:topLinePunct w:val="0"/>
        <w:autoSpaceDE/>
        <w:autoSpaceDN/>
        <w:bidi w:val="0"/>
        <w:adjustRightInd/>
        <w:snapToGrid/>
        <w:spacing w:line="240" w:lineRule="auto"/>
        <w:ind w:firstLine="643" w:firstLineChars="200"/>
        <w:jc w:val="both"/>
        <w:textAlignment w:val="auto"/>
        <w:outlineLvl w:val="1"/>
        <w:rPr>
          <w:rFonts w:hint="eastAsia" w:ascii="楷体_GB2312" w:hAnsi="楷体_GB2312" w:eastAsia="楷体_GB2312" w:cs="楷体_GB2312"/>
          <w:b/>
          <w:bCs/>
          <w:color w:val="auto"/>
          <w:sz w:val="32"/>
          <w:szCs w:val="32"/>
          <w:highlight w:val="none"/>
          <w:lang w:val="en-US" w:eastAsia="zh-CN"/>
        </w:rPr>
      </w:pPr>
      <w:bookmarkStart w:id="201" w:name="_Toc677"/>
      <w:bookmarkStart w:id="202" w:name="_Toc15970"/>
      <w:r>
        <w:rPr>
          <w:rFonts w:hint="eastAsia" w:ascii="楷体_GB2312" w:hAnsi="楷体_GB2312" w:eastAsia="楷体_GB2312" w:cs="楷体_GB2312"/>
          <w:b/>
          <w:bCs/>
          <w:color w:val="auto"/>
          <w:sz w:val="32"/>
          <w:szCs w:val="32"/>
          <w:highlight w:val="none"/>
          <w:lang w:val="en-US" w:eastAsia="zh-CN"/>
        </w:rPr>
        <w:t>（一）项目决策情况</w:t>
      </w:r>
      <w:bookmarkEnd w:id="201"/>
      <w:bookmarkEnd w:id="202"/>
    </w:p>
    <w:p w14:paraId="3322D45E">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default"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主要从项目立项、绩效目标和资金投入三方面进行评价分析。该部分分值为 20 分，评价得分 19.50 分。</w:t>
      </w:r>
    </w:p>
    <w:p w14:paraId="39345B63">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eastAsia" w:ascii="仿宋_GB2312" w:hAnsi="仿宋_GB2312" w:eastAsia="仿宋_GB2312" w:cs="仿宋_GB2312"/>
          <w:b/>
          <w:bCs/>
          <w:color w:val="auto"/>
          <w:sz w:val="32"/>
          <w:szCs w:val="32"/>
          <w:highlight w:val="none"/>
          <w:lang w:val="en-US" w:eastAsia="zh-CN"/>
        </w:rPr>
      </w:pPr>
      <w:bookmarkStart w:id="203" w:name="_Toc7333"/>
      <w:bookmarkStart w:id="204" w:name="_Toc6388"/>
      <w:r>
        <w:rPr>
          <w:rFonts w:hint="eastAsia" w:ascii="仿宋_GB2312" w:hAnsi="仿宋_GB2312" w:eastAsia="仿宋_GB2312" w:cs="仿宋_GB2312"/>
          <w:b/>
          <w:bCs/>
          <w:color w:val="auto"/>
          <w:sz w:val="32"/>
          <w:szCs w:val="32"/>
          <w:highlight w:val="none"/>
          <w:lang w:val="en-US" w:eastAsia="zh-CN"/>
        </w:rPr>
        <w:t>1.项目立项</w:t>
      </w:r>
      <w:bookmarkEnd w:id="203"/>
      <w:bookmarkEnd w:id="204"/>
    </w:p>
    <w:p w14:paraId="6463443A">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（1）立项依据充分性</w:t>
      </w:r>
    </w:p>
    <w:p w14:paraId="64934C44">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default" w:ascii="仿宋_GB2312" w:hAnsi="仿宋_GB2312" w:eastAsia="仿宋_GB2312" w:cs="仿宋_GB2312"/>
          <w:color w:val="auto"/>
          <w:kern w:val="2"/>
          <w:sz w:val="32"/>
          <w:szCs w:val="32"/>
          <w:highlight w:val="none"/>
          <w:lang w:val="en-US" w:eastAsia="zh-CN" w:bidi="ar-SA"/>
        </w:rPr>
        <w:t>石狮市减免基本殡葬服务项目的立项具备充分的依据，在多个关键维度均体现出显著的合理性与必要性。​</w:t>
      </w:r>
    </w:p>
    <w:p w14:paraId="089E1EA7">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default" w:ascii="仿宋_GB2312" w:hAnsi="仿宋_GB2312" w:eastAsia="仿宋_GB2312" w:cs="仿宋_GB2312"/>
          <w:color w:val="auto"/>
          <w:kern w:val="2"/>
          <w:sz w:val="32"/>
          <w:szCs w:val="32"/>
          <w:highlight w:val="none"/>
          <w:lang w:val="en-US" w:eastAsia="zh-CN" w:bidi="ar-SA"/>
        </w:rPr>
        <w:t>①首先，从国家法律法规、国民经济发展规划及相关政策层面来看，该项目严格遵循《中华人民共和国宪法》中关于公民享有基本权利的精神，以及《殡葬管理条例》中“国家鼓励节地生态安葬，保障公民的基本殡葬服务需求”等规定，也符合《关于全面推行惠民殡葬政策的指导意见》等相关政策中“逐步扩大惠民殡葬政策覆盖范围，提高惠民服务标准”的要求，具备明确的政策依据和合法前提。</w:t>
      </w:r>
      <w:r>
        <w:rPr>
          <w:rFonts w:hint="eastAsia" w:ascii="仿宋_GB2312" w:hAnsi="仿宋_GB2312" w:eastAsia="仿宋_GB2312" w:cs="仿宋_GB2312"/>
          <w:color w:val="auto"/>
          <w:kern w:val="2"/>
          <w:sz w:val="32"/>
          <w:szCs w:val="32"/>
          <w:highlight w:val="none"/>
          <w:lang w:val="en-US" w:eastAsia="zh-CN" w:bidi="ar-SA"/>
        </w:rPr>
        <w:t xml:space="preserve">  </w:t>
      </w:r>
    </w:p>
    <w:p w14:paraId="7E55FF18">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default" w:ascii="仿宋_GB2312" w:hAnsi="仿宋_GB2312" w:eastAsia="仿宋_GB2312" w:cs="仿宋_GB2312"/>
          <w:color w:val="auto"/>
          <w:kern w:val="2"/>
          <w:sz w:val="32"/>
          <w:szCs w:val="32"/>
          <w:highlight w:val="none"/>
          <w:lang w:val="en-US" w:eastAsia="zh-CN" w:bidi="ar-SA"/>
        </w:rPr>
      </w:pPr>
      <w:r>
        <w:rPr>
          <w:rFonts w:hint="default" w:ascii="仿宋_GB2312" w:hAnsi="仿宋_GB2312" w:eastAsia="仿宋_GB2312" w:cs="仿宋_GB2312"/>
          <w:color w:val="auto"/>
          <w:kern w:val="2"/>
          <w:sz w:val="32"/>
          <w:szCs w:val="32"/>
          <w:highlight w:val="none"/>
          <w:lang w:val="en-US" w:eastAsia="zh-CN" w:bidi="ar-SA"/>
        </w:rPr>
        <w:t>②其次，在行业发展规划和政策要求方面，项目紧密围绕殡葬行业发展规划中“强化基本殡葬服务公益属性，推进殡葬服务均等化”的目标，满足《殡葬服务体系建设规划》中关于完善惠民殡葬政策、提升服务保障能力的行业政策要求，契合殡葬行业向公益化、规范化、便民化发展的方向。​</w:t>
      </w:r>
    </w:p>
    <w:p w14:paraId="3C7B4E4F">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default" w:ascii="仿宋_GB2312" w:hAnsi="仿宋_GB2312" w:eastAsia="仿宋_GB2312" w:cs="仿宋_GB2312"/>
          <w:color w:val="auto"/>
          <w:kern w:val="2"/>
          <w:sz w:val="32"/>
          <w:szCs w:val="32"/>
          <w:highlight w:val="none"/>
          <w:lang w:val="en-US" w:eastAsia="zh-CN" w:bidi="ar-SA"/>
        </w:rPr>
      </w:pPr>
      <w:r>
        <w:rPr>
          <w:rFonts w:hint="default" w:ascii="仿宋_GB2312" w:hAnsi="仿宋_GB2312" w:eastAsia="仿宋_GB2312" w:cs="仿宋_GB2312"/>
          <w:color w:val="auto"/>
          <w:kern w:val="2"/>
          <w:sz w:val="32"/>
          <w:szCs w:val="32"/>
          <w:highlight w:val="none"/>
          <w:lang w:val="en-US" w:eastAsia="zh-CN" w:bidi="ar-SA"/>
        </w:rPr>
        <w:t>③然后，从部门职责角度，基本殡葬服务保障属于民政部门的核心职责范畴，而殡葬所作为民政部门下属具体承担殡葬服务的机构，是落实该减免项目的直接载体。该减免项目是殡葬所践行</w:t>
      </w:r>
      <w:r>
        <w:rPr>
          <w:rFonts w:hint="eastAsia" w:ascii="仿宋_GB2312" w:hAnsi="仿宋_GB2312" w:eastAsia="仿宋_GB2312" w:cs="仿宋_GB2312"/>
          <w:color w:val="auto"/>
          <w:kern w:val="2"/>
          <w:sz w:val="32"/>
          <w:szCs w:val="32"/>
          <w:highlight w:val="none"/>
          <w:lang w:val="en-US" w:eastAsia="zh-CN" w:bidi="ar-SA"/>
        </w:rPr>
        <w:t>以人民为中心的发展思想</w:t>
      </w:r>
      <w:r>
        <w:rPr>
          <w:rFonts w:hint="default" w:ascii="仿宋_GB2312" w:hAnsi="仿宋_GB2312" w:eastAsia="仿宋_GB2312" w:cs="仿宋_GB2312"/>
          <w:color w:val="auto"/>
          <w:kern w:val="2"/>
          <w:sz w:val="32"/>
          <w:szCs w:val="32"/>
          <w:highlight w:val="none"/>
          <w:lang w:val="en-US" w:eastAsia="zh-CN" w:bidi="ar-SA"/>
        </w:rPr>
        <w:t>、履行殡葬公共服务职能的关键举措，与殡葬所的职责定位高度匹配。殡葬所负责具体的殡葬服务实施、费用核算与减免落地等工作，此项目是殡葬所保障群众殡葬权益、推进殡葬改革进程中不可或缺的工作内容，能让惠民政策真正落到实处，直接惠及群众。</w:t>
      </w:r>
    </w:p>
    <w:p w14:paraId="7AE1D6BC">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default" w:ascii="仿宋_GB2312" w:hAnsi="仿宋_GB2312" w:eastAsia="仿宋_GB2312" w:cs="仿宋_GB2312"/>
          <w:color w:val="auto"/>
          <w:kern w:val="2"/>
          <w:sz w:val="32"/>
          <w:szCs w:val="32"/>
          <w:highlight w:val="none"/>
          <w:lang w:val="en-US" w:eastAsia="zh-CN" w:bidi="ar-SA"/>
        </w:rPr>
      </w:pPr>
      <w:r>
        <w:rPr>
          <w:rFonts w:hint="default" w:ascii="仿宋_GB2312" w:hAnsi="仿宋_GB2312" w:eastAsia="仿宋_GB2312" w:cs="仿宋_GB2312"/>
          <w:color w:val="auto"/>
          <w:kern w:val="2"/>
          <w:sz w:val="32"/>
          <w:szCs w:val="32"/>
          <w:highlight w:val="none"/>
          <w:lang w:val="en-US" w:eastAsia="zh-CN" w:bidi="ar-SA"/>
        </w:rPr>
        <w:t>④接着，在公共财政支持及事权支出责任划分上，基本殡葬服务作为保障公民基本生活权益的公共服务，具有显著的公共属性，理应纳入公共财政支持范围，且其资金安排符合中央与地方事权支出责任划分原则，地方财政承担主要支出责任，通过年度财政预算统筹保障项目资金，确保了财政资金使用的合理性和针对性。​</w:t>
      </w:r>
    </w:p>
    <w:p w14:paraId="5F70E209">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default" w:ascii="仿宋_GB2312" w:hAnsi="仿宋_GB2312" w:eastAsia="仿宋_GB2312" w:cs="仿宋_GB2312"/>
          <w:color w:val="auto"/>
          <w:kern w:val="2"/>
          <w:sz w:val="32"/>
          <w:szCs w:val="32"/>
          <w:highlight w:val="none"/>
          <w:lang w:val="en-US" w:eastAsia="zh-CN" w:bidi="ar-SA"/>
        </w:rPr>
      </w:pPr>
      <w:r>
        <w:rPr>
          <w:rFonts w:hint="default" w:ascii="仿宋_GB2312" w:hAnsi="仿宋_GB2312" w:eastAsia="仿宋_GB2312" w:cs="仿宋_GB2312"/>
          <w:color w:val="auto"/>
          <w:kern w:val="2"/>
          <w:sz w:val="32"/>
          <w:szCs w:val="32"/>
          <w:highlight w:val="none"/>
          <w:lang w:val="en-US" w:eastAsia="zh-CN" w:bidi="ar-SA"/>
        </w:rPr>
        <w:t>⑤最后，石狮市的</w:t>
      </w:r>
      <w:r>
        <w:rPr>
          <w:rFonts w:hint="eastAsia" w:ascii="仿宋_GB2312" w:hAnsi="仿宋_GB2312" w:eastAsia="仿宋_GB2312" w:cs="仿宋_GB2312"/>
          <w:color w:val="auto"/>
          <w:kern w:val="2"/>
          <w:sz w:val="32"/>
          <w:szCs w:val="32"/>
          <w:highlight w:val="none"/>
          <w:lang w:val="en-US" w:eastAsia="zh-CN" w:bidi="ar-SA"/>
        </w:rPr>
        <w:t>减免基本殡葬费用项目</w:t>
      </w:r>
      <w:r>
        <w:rPr>
          <w:rFonts w:hint="default" w:ascii="仿宋_GB2312" w:hAnsi="仿宋_GB2312" w:eastAsia="仿宋_GB2312" w:cs="仿宋_GB2312"/>
          <w:color w:val="auto"/>
          <w:kern w:val="2"/>
          <w:sz w:val="32"/>
          <w:szCs w:val="32"/>
          <w:highlight w:val="none"/>
          <w:lang w:val="en-US" w:eastAsia="zh-CN" w:bidi="ar-SA"/>
        </w:rPr>
        <w:t>具有全域覆盖性、长期稳定性和标准统一性，针对全市所有户籍居民及特定群体的基本殡葬需求，不存在与相关项目重复的情况。​</w:t>
      </w:r>
    </w:p>
    <w:p w14:paraId="57B978C9">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default" w:ascii="仿宋_GB2312" w:hAnsi="仿宋_GB2312" w:eastAsia="仿宋_GB2312" w:cs="仿宋_GB2312"/>
          <w:color w:val="auto"/>
          <w:kern w:val="2"/>
          <w:sz w:val="32"/>
          <w:szCs w:val="32"/>
          <w:highlight w:val="none"/>
          <w:lang w:val="en-US" w:eastAsia="zh-CN" w:bidi="ar-SA"/>
        </w:rPr>
      </w:pPr>
      <w:r>
        <w:rPr>
          <w:rFonts w:hint="default" w:ascii="仿宋_GB2312" w:hAnsi="仿宋_GB2312" w:eastAsia="仿宋_GB2312" w:cs="仿宋_GB2312"/>
          <w:color w:val="auto"/>
          <w:kern w:val="2"/>
          <w:sz w:val="32"/>
          <w:szCs w:val="32"/>
          <w:highlight w:val="none"/>
          <w:lang w:val="en-US" w:eastAsia="zh-CN" w:bidi="ar-SA"/>
        </w:rPr>
        <w:t>综上所述，石狮市减免基本殡葬服务项目的立项在合规性、必要性、合理性等方面均具备充分依据，是完善公共服务体系、深化殡葬改革、增进民生福祉的重要举措，项目立项依据充分，根据评分标准，指标分值</w:t>
      </w:r>
      <w:r>
        <w:rPr>
          <w:rFonts w:hint="eastAsia" w:ascii="仿宋_GB2312" w:hAnsi="仿宋_GB2312" w:eastAsia="仿宋_GB2312" w:cs="仿宋_GB2312"/>
          <w:color w:val="auto"/>
          <w:kern w:val="2"/>
          <w:sz w:val="32"/>
          <w:szCs w:val="32"/>
          <w:highlight w:val="none"/>
          <w:lang w:val="en-US" w:eastAsia="zh-CN" w:bidi="ar-SA"/>
        </w:rPr>
        <w:t xml:space="preserve"> 4 </w:t>
      </w:r>
      <w:r>
        <w:rPr>
          <w:rFonts w:hint="default" w:ascii="仿宋_GB2312" w:hAnsi="仿宋_GB2312" w:eastAsia="仿宋_GB2312" w:cs="仿宋_GB2312"/>
          <w:color w:val="auto"/>
          <w:kern w:val="2"/>
          <w:sz w:val="32"/>
          <w:szCs w:val="32"/>
          <w:highlight w:val="none"/>
          <w:lang w:val="en-US" w:eastAsia="zh-CN" w:bidi="ar-SA"/>
        </w:rPr>
        <w:t>分，得分</w:t>
      </w:r>
      <w:r>
        <w:rPr>
          <w:rFonts w:hint="eastAsia" w:ascii="仿宋_GB2312" w:hAnsi="仿宋_GB2312" w:eastAsia="仿宋_GB2312" w:cs="仿宋_GB2312"/>
          <w:color w:val="auto"/>
          <w:kern w:val="2"/>
          <w:sz w:val="32"/>
          <w:szCs w:val="32"/>
          <w:highlight w:val="none"/>
          <w:lang w:val="en-US" w:eastAsia="zh-CN" w:bidi="ar-SA"/>
        </w:rPr>
        <w:t xml:space="preserve"> 4</w:t>
      </w:r>
      <w:r>
        <w:rPr>
          <w:rFonts w:hint="default" w:ascii="仿宋_GB2312" w:hAnsi="仿宋_GB2312" w:eastAsia="仿宋_GB2312" w:cs="仿宋_GB2312"/>
          <w:color w:val="auto"/>
          <w:kern w:val="2"/>
          <w:sz w:val="32"/>
          <w:szCs w:val="32"/>
          <w:highlight w:val="none"/>
          <w:lang w:val="en-US" w:eastAsia="zh-CN" w:bidi="ar-SA"/>
        </w:rPr>
        <w:t xml:space="preserve"> 分。</w:t>
      </w:r>
    </w:p>
    <w:p w14:paraId="17ED0840">
      <w:pPr>
        <w:keepNext w:val="0"/>
        <w:keepLines w:val="0"/>
        <w:pageBreakBefore w:val="0"/>
        <w:widowControl w:val="0"/>
        <w:numPr>
          <w:ilvl w:val="0"/>
          <w:numId w:val="1"/>
        </w:numPr>
        <w:shd w:val="clear" w:color="auto" w:fill="FFFFFF"/>
        <w:kinsoku/>
        <w:wordWrap/>
        <w:overflowPunct w:val="0"/>
        <w:topLinePunct w:val="0"/>
        <w:autoSpaceDE w:val="0"/>
        <w:autoSpaceDN w:val="0"/>
        <w:bidi w:val="0"/>
        <w:adjustRightInd w:val="0"/>
        <w:snapToGrid/>
        <w:spacing w:line="560" w:lineRule="exact"/>
        <w:ind w:left="800" w:leftChars="0" w:firstLine="0" w:firstLineChars="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立项程序规范性</w:t>
      </w:r>
    </w:p>
    <w:p w14:paraId="29925C85">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default" w:ascii="仿宋_GB2312" w:hAnsi="仿宋_GB2312" w:eastAsia="仿宋_GB2312" w:cs="仿宋_GB2312"/>
          <w:color w:val="auto"/>
          <w:kern w:val="2"/>
          <w:sz w:val="32"/>
          <w:szCs w:val="32"/>
          <w:highlight w:val="none"/>
          <w:lang w:val="en-US" w:eastAsia="zh-CN" w:bidi="ar-SA"/>
        </w:rPr>
      </w:pPr>
      <w:r>
        <w:rPr>
          <w:rFonts w:hint="default" w:ascii="仿宋_GB2312" w:hAnsi="仿宋_GB2312" w:eastAsia="仿宋_GB2312" w:cs="仿宋_GB2312"/>
          <w:color w:val="auto"/>
          <w:kern w:val="2"/>
          <w:sz w:val="32"/>
          <w:szCs w:val="32"/>
          <w:highlight w:val="none"/>
          <w:lang w:val="en-US" w:eastAsia="zh-CN" w:bidi="ar-SA"/>
        </w:rPr>
        <w:t>项目按照规定的程序申请设立。石狮市在减免基本殡葬服务项目费用的立项过程中，严格遵循相关程序和规定。首先，</w:t>
      </w:r>
      <w:r>
        <w:rPr>
          <w:rFonts w:hint="eastAsia" w:ascii="仿宋_GB2312" w:hAnsi="仿宋_GB2312" w:eastAsia="仿宋_GB2312" w:cs="仿宋_GB2312"/>
          <w:color w:val="auto"/>
          <w:kern w:val="2"/>
          <w:sz w:val="32"/>
          <w:szCs w:val="32"/>
          <w:highlight w:val="none"/>
          <w:lang w:val="en-US" w:eastAsia="zh-CN" w:bidi="ar-SA"/>
        </w:rPr>
        <w:t>石狮市殡葬服务所</w:t>
      </w:r>
      <w:r>
        <w:rPr>
          <w:rFonts w:hint="default" w:ascii="仿宋_GB2312" w:hAnsi="仿宋_GB2312" w:eastAsia="仿宋_GB2312" w:cs="仿宋_GB2312"/>
          <w:color w:val="auto"/>
          <w:kern w:val="2"/>
          <w:sz w:val="32"/>
          <w:szCs w:val="32"/>
          <w:highlight w:val="none"/>
          <w:lang w:val="en-US" w:eastAsia="zh-CN" w:bidi="ar-SA"/>
        </w:rPr>
        <w:t>结合本市实际情况，依据民政部《关于进一步深化殡葬改革促进殡葬事业科学发展的指导意见》（民发〔2009〕170 号），对本地殡葬服务现状、群众需求等进行</w:t>
      </w:r>
      <w:r>
        <w:rPr>
          <w:rFonts w:hint="eastAsia" w:ascii="仿宋_GB2312" w:hAnsi="仿宋_GB2312" w:eastAsia="仿宋_GB2312" w:cs="仿宋_GB2312"/>
          <w:color w:val="auto"/>
          <w:kern w:val="2"/>
          <w:sz w:val="32"/>
          <w:szCs w:val="32"/>
          <w:highlight w:val="none"/>
          <w:lang w:val="en-US" w:eastAsia="zh-CN" w:bidi="ar-SA"/>
        </w:rPr>
        <w:t>调研</w:t>
      </w:r>
      <w:r>
        <w:rPr>
          <w:rFonts w:hint="default" w:ascii="仿宋_GB2312" w:hAnsi="仿宋_GB2312" w:eastAsia="仿宋_GB2312" w:cs="仿宋_GB2312"/>
          <w:color w:val="auto"/>
          <w:kern w:val="2"/>
          <w:sz w:val="32"/>
          <w:szCs w:val="32"/>
          <w:highlight w:val="none"/>
          <w:lang w:val="en-US" w:eastAsia="zh-CN" w:bidi="ar-SA"/>
        </w:rPr>
        <w:t>分析</w:t>
      </w:r>
      <w:r>
        <w:rPr>
          <w:rFonts w:hint="eastAsia" w:ascii="仿宋_GB2312" w:hAnsi="仿宋_GB2312" w:eastAsia="仿宋_GB2312" w:cs="仿宋_GB2312"/>
          <w:color w:val="auto"/>
          <w:kern w:val="2"/>
          <w:sz w:val="32"/>
          <w:szCs w:val="32"/>
          <w:highlight w:val="none"/>
          <w:lang w:val="en-US" w:eastAsia="zh-CN" w:bidi="ar-SA"/>
        </w:rPr>
        <w:t>，</w:t>
      </w:r>
      <w:r>
        <w:rPr>
          <w:rFonts w:hint="default" w:ascii="仿宋_GB2312" w:hAnsi="仿宋_GB2312" w:eastAsia="仿宋_GB2312" w:cs="仿宋_GB2312"/>
          <w:color w:val="auto"/>
          <w:kern w:val="2"/>
          <w:sz w:val="32"/>
          <w:szCs w:val="32"/>
          <w:highlight w:val="none"/>
          <w:lang w:val="en-US" w:eastAsia="zh-CN" w:bidi="ar-SA"/>
        </w:rPr>
        <w:t>基于调研情况，制定了《石狮市减免基本殡葬服务项目费用实施意见》，明确了工作机构、减免对象、减免项目及金额、操作办法、经费承担、监督管理等关键要素，涵盖了项目实施的各方面内容。该实施意见经 2012 年第 4 次常务会议研究通过，由石狮市人民政府印发给各镇人民政府、街道办事处及市直有关单位贯彻执行。整个立项程序规范、严谨，相关申请和审批材料齐全、完整，确保了项目立项的合法性和科学性。</w:t>
      </w:r>
      <w:r>
        <w:rPr>
          <w:rFonts w:hint="eastAsia" w:ascii="仿宋_GB2312" w:hAnsi="仿宋_GB2312" w:eastAsia="仿宋_GB2312" w:cs="仿宋_GB2312"/>
          <w:color w:val="auto"/>
          <w:kern w:val="2"/>
          <w:sz w:val="32"/>
          <w:szCs w:val="32"/>
          <w:highlight w:val="none"/>
          <w:lang w:val="en-US" w:eastAsia="zh-CN" w:bidi="ar-SA"/>
        </w:rPr>
        <w:t>根据评分标准，指标</w:t>
      </w:r>
      <w:r>
        <w:rPr>
          <w:rFonts w:hint="default" w:ascii="仿宋_GB2312" w:hAnsi="仿宋_GB2312" w:eastAsia="仿宋_GB2312" w:cs="仿宋_GB2312"/>
          <w:color w:val="auto"/>
          <w:kern w:val="2"/>
          <w:sz w:val="32"/>
          <w:szCs w:val="32"/>
          <w:highlight w:val="none"/>
          <w:lang w:val="en-US" w:eastAsia="zh-CN" w:bidi="ar-SA"/>
        </w:rPr>
        <w:t>分值 3 分，得分 3 分。</w:t>
      </w:r>
    </w:p>
    <w:p w14:paraId="7EA046D0">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eastAsia" w:ascii="仿宋_GB2312" w:hAnsi="仿宋_GB2312" w:eastAsia="仿宋_GB2312" w:cs="仿宋_GB2312"/>
          <w:b/>
          <w:bCs/>
          <w:color w:val="auto"/>
          <w:sz w:val="32"/>
          <w:szCs w:val="32"/>
          <w:highlight w:val="none"/>
          <w:lang w:val="en-US" w:eastAsia="zh-CN"/>
        </w:rPr>
      </w:pPr>
      <w:bookmarkStart w:id="205" w:name="_Toc20338"/>
      <w:bookmarkStart w:id="206" w:name="_Toc14266"/>
      <w:r>
        <w:rPr>
          <w:rFonts w:hint="eastAsia" w:ascii="仿宋_GB2312" w:hAnsi="仿宋_GB2312" w:eastAsia="仿宋_GB2312" w:cs="仿宋_GB2312"/>
          <w:b/>
          <w:bCs/>
          <w:color w:val="auto"/>
          <w:sz w:val="32"/>
          <w:szCs w:val="32"/>
          <w:highlight w:val="none"/>
          <w:lang w:val="en-US" w:eastAsia="zh-CN"/>
        </w:rPr>
        <w:t>2.绩效目标</w:t>
      </w:r>
      <w:bookmarkEnd w:id="205"/>
      <w:bookmarkEnd w:id="206"/>
    </w:p>
    <w:p w14:paraId="3F996C6F">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（1）绩效目标合理性</w:t>
      </w:r>
    </w:p>
    <w:p w14:paraId="39F704B0">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default"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石狮市殡葬服务所</w:t>
      </w:r>
      <w:r>
        <w:rPr>
          <w:rFonts w:hint="default" w:ascii="仿宋_GB2312" w:hAnsi="仿宋_GB2312" w:eastAsia="仿宋_GB2312" w:cs="仿宋_GB2312"/>
          <w:color w:val="auto"/>
          <w:kern w:val="2"/>
          <w:sz w:val="32"/>
          <w:szCs w:val="32"/>
          <w:highlight w:val="none"/>
          <w:lang w:val="en-US" w:eastAsia="zh-CN" w:bidi="ar-SA"/>
        </w:rPr>
        <w:t>减免基本殡葬服务费</w:t>
      </w:r>
      <w:r>
        <w:rPr>
          <w:rFonts w:hint="eastAsia" w:ascii="仿宋_GB2312" w:hAnsi="仿宋_GB2312" w:eastAsia="仿宋_GB2312" w:cs="仿宋_GB2312"/>
          <w:color w:val="auto"/>
          <w:kern w:val="2"/>
          <w:sz w:val="32"/>
          <w:szCs w:val="32"/>
          <w:highlight w:val="none"/>
          <w:lang w:val="en-US" w:eastAsia="zh-CN" w:bidi="ar-SA"/>
        </w:rPr>
        <w:t>专项</w:t>
      </w:r>
      <w:r>
        <w:rPr>
          <w:rFonts w:hint="default" w:ascii="仿宋_GB2312" w:hAnsi="仿宋_GB2312" w:eastAsia="仿宋_GB2312" w:cs="仿宋_GB2312"/>
          <w:color w:val="auto"/>
          <w:kern w:val="2"/>
          <w:sz w:val="32"/>
          <w:szCs w:val="32"/>
          <w:highlight w:val="none"/>
          <w:lang w:val="en-US" w:eastAsia="zh-CN" w:bidi="ar-SA"/>
        </w:rPr>
        <w:t>绩效目标表的分析可知，该项目的绩效目标具有一定合理性。项目围绕减免基本殡葬服务费这一核心任务，设置了成本、产出、效益和满意度等方面的绩效指标，这些指标与实际工作内容存在一定关联。</w:t>
      </w:r>
      <w:r>
        <w:rPr>
          <w:rFonts w:hint="eastAsia" w:ascii="仿宋_GB2312" w:hAnsi="仿宋_GB2312" w:eastAsia="仿宋_GB2312" w:cs="仿宋_GB2312"/>
          <w:color w:val="auto"/>
          <w:kern w:val="2"/>
          <w:sz w:val="32"/>
          <w:szCs w:val="32"/>
          <w:highlight w:val="none"/>
          <w:lang w:val="en-US" w:eastAsia="zh-CN" w:bidi="ar-SA"/>
        </w:rPr>
        <w:t>但本项目绩效目标的设置不够合理准确本项目，</w:t>
      </w:r>
      <w:r>
        <w:rPr>
          <w:rFonts w:hint="default" w:ascii="仿宋_GB2312" w:hAnsi="仿宋_GB2312" w:eastAsia="仿宋_GB2312" w:cs="仿宋_GB2312"/>
          <w:color w:val="auto"/>
          <w:kern w:val="2"/>
          <w:sz w:val="32"/>
          <w:szCs w:val="32"/>
          <w:highlight w:val="none"/>
          <w:lang w:val="en-US" w:eastAsia="zh-CN" w:bidi="ar-SA"/>
        </w:rPr>
        <w:t>多个核心指标的方向设置明显有误。以质量指标“遗体处理合格率”为例，为确保服务质量、追求工作的高质量完成，应使用“≥100%”来衡量，然而项目却将其设定为“≤100 合格率”</w:t>
      </w:r>
      <w:r>
        <w:rPr>
          <w:rFonts w:hint="eastAsia" w:ascii="仿宋_GB2312" w:hAnsi="仿宋_GB2312" w:eastAsia="仿宋_GB2312" w:cs="仿宋_GB2312"/>
          <w:color w:val="auto"/>
          <w:kern w:val="2"/>
          <w:sz w:val="32"/>
          <w:szCs w:val="32"/>
          <w:highlight w:val="none"/>
          <w:lang w:val="en-US" w:eastAsia="zh-CN" w:bidi="ar-SA"/>
        </w:rPr>
        <w:t>；</w:t>
      </w:r>
      <w:r>
        <w:rPr>
          <w:rFonts w:hint="default" w:ascii="仿宋_GB2312" w:hAnsi="仿宋_GB2312" w:eastAsia="仿宋_GB2312" w:cs="仿宋_GB2312"/>
          <w:color w:val="auto"/>
          <w:kern w:val="2"/>
          <w:sz w:val="32"/>
          <w:szCs w:val="32"/>
          <w:highlight w:val="none"/>
          <w:lang w:val="en-US" w:eastAsia="zh-CN" w:bidi="ar-SA"/>
        </w:rPr>
        <w:t>“减免基本殡葬服务费政策知晓率”指标同样如此，政策推广的本意是让更多人了解并从中受益，理应全力提高知晓率，可指标却定为“≤100 知晓率”</w:t>
      </w:r>
      <w:r>
        <w:rPr>
          <w:rFonts w:hint="eastAsia" w:ascii="仿宋_GB2312" w:hAnsi="仿宋_GB2312" w:eastAsia="仿宋_GB2312" w:cs="仿宋_GB2312"/>
          <w:color w:val="auto"/>
          <w:kern w:val="2"/>
          <w:sz w:val="32"/>
          <w:szCs w:val="32"/>
          <w:highlight w:val="none"/>
          <w:lang w:val="en-US" w:eastAsia="zh-CN" w:bidi="ar-SA"/>
        </w:rPr>
        <w:t>；</w:t>
      </w:r>
      <w:r>
        <w:rPr>
          <w:rFonts w:hint="default" w:ascii="仿宋_GB2312" w:hAnsi="仿宋_GB2312" w:eastAsia="仿宋_GB2312" w:cs="仿宋_GB2312"/>
          <w:color w:val="auto"/>
          <w:kern w:val="2"/>
          <w:sz w:val="32"/>
          <w:szCs w:val="32"/>
          <w:highlight w:val="none"/>
          <w:lang w:val="en-US" w:eastAsia="zh-CN" w:bidi="ar-SA"/>
        </w:rPr>
        <w:t>“服务对象满意度” 指标，</w:t>
      </w:r>
      <w:r>
        <w:rPr>
          <w:rFonts w:hint="eastAsia" w:ascii="仿宋_GB2312" w:hAnsi="仿宋_GB2312" w:eastAsia="仿宋_GB2312" w:cs="仿宋_GB2312"/>
          <w:color w:val="auto"/>
          <w:kern w:val="2"/>
          <w:sz w:val="32"/>
          <w:szCs w:val="32"/>
          <w:highlight w:val="none"/>
          <w:lang w:val="en-US" w:eastAsia="zh-CN" w:bidi="ar-SA"/>
        </w:rPr>
        <w:t>是为了</w:t>
      </w:r>
      <w:r>
        <w:rPr>
          <w:rFonts w:hint="default" w:ascii="仿宋_GB2312" w:hAnsi="仿宋_GB2312" w:eastAsia="仿宋_GB2312" w:cs="仿宋_GB2312"/>
          <w:color w:val="auto"/>
          <w:kern w:val="2"/>
          <w:sz w:val="32"/>
          <w:szCs w:val="32"/>
          <w:highlight w:val="none"/>
          <w:lang w:val="en-US" w:eastAsia="zh-CN" w:bidi="ar-SA"/>
        </w:rPr>
        <w:t>服务对象达到最高程度的满意，可指标值却被设为“≤100 满意度”</w:t>
      </w:r>
      <w:r>
        <w:rPr>
          <w:rFonts w:hint="eastAsia" w:ascii="仿宋_GB2312" w:hAnsi="仿宋_GB2312" w:eastAsia="仿宋_GB2312" w:cs="仿宋_GB2312"/>
          <w:color w:val="auto"/>
          <w:kern w:val="2"/>
          <w:sz w:val="32"/>
          <w:szCs w:val="32"/>
          <w:highlight w:val="none"/>
          <w:lang w:val="en-US" w:eastAsia="zh-CN" w:bidi="ar-SA"/>
        </w:rPr>
        <w:t>。根</w:t>
      </w:r>
      <w:r>
        <w:rPr>
          <w:rFonts w:hint="default" w:ascii="仿宋_GB2312" w:hAnsi="仿宋_GB2312" w:eastAsia="仿宋_GB2312" w:cs="仿宋_GB2312"/>
          <w:color w:val="auto"/>
          <w:kern w:val="2"/>
          <w:sz w:val="32"/>
          <w:szCs w:val="32"/>
          <w:highlight w:val="none"/>
          <w:lang w:val="en-US" w:eastAsia="zh-CN" w:bidi="ar-SA"/>
        </w:rPr>
        <w:t xml:space="preserve">据评分标准，指标分值为 4 分，扣除 </w:t>
      </w:r>
      <w:r>
        <w:rPr>
          <w:rFonts w:hint="eastAsia" w:ascii="仿宋_GB2312" w:hAnsi="仿宋_GB2312" w:eastAsia="仿宋_GB2312" w:cs="仿宋_GB2312"/>
          <w:color w:val="auto"/>
          <w:kern w:val="2"/>
          <w:sz w:val="32"/>
          <w:szCs w:val="32"/>
          <w:highlight w:val="none"/>
          <w:lang w:val="en-US" w:eastAsia="zh-CN" w:bidi="ar-SA"/>
        </w:rPr>
        <w:t>0.5</w:t>
      </w:r>
      <w:r>
        <w:rPr>
          <w:rFonts w:hint="default" w:ascii="仿宋_GB2312" w:hAnsi="仿宋_GB2312" w:eastAsia="仿宋_GB2312" w:cs="仿宋_GB2312"/>
          <w:color w:val="auto"/>
          <w:kern w:val="2"/>
          <w:sz w:val="32"/>
          <w:szCs w:val="32"/>
          <w:highlight w:val="none"/>
          <w:lang w:val="en-US" w:eastAsia="zh-CN" w:bidi="ar-SA"/>
        </w:rPr>
        <w:t xml:space="preserve"> 分，得分 </w:t>
      </w:r>
      <w:r>
        <w:rPr>
          <w:rFonts w:hint="eastAsia" w:ascii="仿宋_GB2312" w:hAnsi="仿宋_GB2312" w:eastAsia="仿宋_GB2312" w:cs="仿宋_GB2312"/>
          <w:color w:val="auto"/>
          <w:kern w:val="2"/>
          <w:sz w:val="32"/>
          <w:szCs w:val="32"/>
          <w:highlight w:val="none"/>
          <w:lang w:val="en-US" w:eastAsia="zh-CN" w:bidi="ar-SA"/>
        </w:rPr>
        <w:t>3.5</w:t>
      </w:r>
      <w:r>
        <w:rPr>
          <w:rFonts w:hint="default" w:ascii="仿宋_GB2312" w:hAnsi="仿宋_GB2312" w:eastAsia="仿宋_GB2312" w:cs="仿宋_GB2312"/>
          <w:color w:val="auto"/>
          <w:kern w:val="2"/>
          <w:sz w:val="32"/>
          <w:szCs w:val="32"/>
          <w:highlight w:val="none"/>
          <w:lang w:val="en-US" w:eastAsia="zh-CN" w:bidi="ar-SA"/>
        </w:rPr>
        <w:t>分。</w:t>
      </w:r>
    </w:p>
    <w:p w14:paraId="4892EB40">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default"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（2）绩效目标明确性</w:t>
      </w:r>
    </w:p>
    <w:p w14:paraId="0565E7D8">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default" w:ascii="仿宋_GB2312" w:hAnsi="仿宋_GB2312" w:eastAsia="仿宋_GB2312" w:cs="仿宋_GB2312"/>
          <w:color w:val="auto"/>
          <w:kern w:val="2"/>
          <w:sz w:val="32"/>
          <w:szCs w:val="32"/>
          <w:highlight w:val="none"/>
          <w:lang w:val="en-US" w:eastAsia="zh-CN" w:bidi="ar-SA"/>
        </w:rPr>
      </w:pPr>
      <w:bookmarkStart w:id="207" w:name="_Toc3728"/>
      <w:r>
        <w:rPr>
          <w:rFonts w:hint="default" w:ascii="仿宋_GB2312" w:hAnsi="仿宋_GB2312" w:eastAsia="仿宋_GB2312" w:cs="仿宋_GB2312"/>
          <w:color w:val="auto"/>
          <w:kern w:val="2"/>
          <w:sz w:val="32"/>
          <w:szCs w:val="32"/>
          <w:highlight w:val="none"/>
          <w:lang w:val="en-US" w:eastAsia="zh-CN" w:bidi="ar-SA"/>
        </w:rPr>
        <w:t>总体来说，本项目的绩效指标有细化分解为具体的绩效指标，大部分指标设置相对较为清晰明确好衡量</w:t>
      </w:r>
      <w:r>
        <w:rPr>
          <w:rFonts w:hint="eastAsia" w:ascii="仿宋_GB2312" w:hAnsi="仿宋_GB2312" w:eastAsia="仿宋_GB2312" w:cs="仿宋_GB2312"/>
          <w:color w:val="auto"/>
          <w:kern w:val="2"/>
          <w:sz w:val="32"/>
          <w:szCs w:val="32"/>
          <w:highlight w:val="none"/>
          <w:lang w:val="en-US" w:eastAsia="zh-CN" w:bidi="ar-SA"/>
        </w:rPr>
        <w:t>、明确</w:t>
      </w:r>
      <w:r>
        <w:rPr>
          <w:rFonts w:hint="default" w:ascii="仿宋_GB2312" w:hAnsi="仿宋_GB2312" w:eastAsia="仿宋_GB2312" w:cs="仿宋_GB2312"/>
          <w:color w:val="auto"/>
          <w:kern w:val="2"/>
          <w:sz w:val="32"/>
          <w:szCs w:val="32"/>
          <w:highlight w:val="none"/>
          <w:lang w:val="en-US" w:eastAsia="zh-CN" w:bidi="ar-SA"/>
        </w:rPr>
        <w:t xml:space="preserve">。根据评分标准，指标分值 </w:t>
      </w:r>
      <w:r>
        <w:rPr>
          <w:rFonts w:hint="eastAsia" w:ascii="仿宋_GB2312" w:hAnsi="仿宋_GB2312" w:eastAsia="仿宋_GB2312" w:cs="仿宋_GB2312"/>
          <w:color w:val="auto"/>
          <w:kern w:val="2"/>
          <w:sz w:val="32"/>
          <w:szCs w:val="32"/>
          <w:highlight w:val="none"/>
          <w:lang w:val="en-US" w:eastAsia="zh-CN" w:bidi="ar-SA"/>
        </w:rPr>
        <w:t xml:space="preserve">3 </w:t>
      </w:r>
      <w:r>
        <w:rPr>
          <w:rFonts w:hint="default" w:ascii="仿宋_GB2312" w:hAnsi="仿宋_GB2312" w:eastAsia="仿宋_GB2312" w:cs="仿宋_GB2312"/>
          <w:color w:val="auto"/>
          <w:kern w:val="2"/>
          <w:sz w:val="32"/>
          <w:szCs w:val="32"/>
          <w:highlight w:val="none"/>
          <w:lang w:val="en-US" w:eastAsia="zh-CN" w:bidi="ar-SA"/>
        </w:rPr>
        <w:t>分，得分</w:t>
      </w:r>
      <w:r>
        <w:rPr>
          <w:rFonts w:hint="eastAsia" w:ascii="仿宋_GB2312" w:hAnsi="仿宋_GB2312" w:eastAsia="仿宋_GB2312" w:cs="仿宋_GB2312"/>
          <w:color w:val="auto"/>
          <w:kern w:val="2"/>
          <w:sz w:val="32"/>
          <w:szCs w:val="32"/>
          <w:highlight w:val="none"/>
          <w:lang w:val="en-US" w:eastAsia="zh-CN" w:bidi="ar-SA"/>
        </w:rPr>
        <w:t xml:space="preserve"> 3 </w:t>
      </w:r>
      <w:r>
        <w:rPr>
          <w:rFonts w:hint="default" w:ascii="仿宋_GB2312" w:hAnsi="仿宋_GB2312" w:eastAsia="仿宋_GB2312" w:cs="仿宋_GB2312"/>
          <w:color w:val="auto"/>
          <w:kern w:val="2"/>
          <w:sz w:val="32"/>
          <w:szCs w:val="32"/>
          <w:highlight w:val="none"/>
          <w:lang w:val="en-US" w:eastAsia="zh-CN" w:bidi="ar-SA"/>
        </w:rPr>
        <w:t>分。</w:t>
      </w:r>
    </w:p>
    <w:p w14:paraId="56499AF4">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default" w:ascii="仿宋_GB2312" w:hAnsi="仿宋_GB2312" w:eastAsia="仿宋_GB2312" w:cs="仿宋_GB2312"/>
          <w:b/>
          <w:bCs/>
          <w:color w:val="auto"/>
          <w:sz w:val="32"/>
          <w:szCs w:val="32"/>
          <w:highlight w:val="none"/>
          <w:lang w:val="en-US" w:eastAsia="zh-CN"/>
        </w:rPr>
      </w:pPr>
      <w:bookmarkStart w:id="208" w:name="_Toc15015"/>
      <w:r>
        <w:rPr>
          <w:rFonts w:hint="eastAsia" w:ascii="仿宋_GB2312" w:hAnsi="仿宋_GB2312" w:eastAsia="仿宋_GB2312" w:cs="仿宋_GB2312"/>
          <w:b/>
          <w:bCs/>
          <w:color w:val="auto"/>
          <w:sz w:val="32"/>
          <w:szCs w:val="32"/>
          <w:highlight w:val="none"/>
          <w:lang w:val="en-US" w:eastAsia="zh-CN"/>
        </w:rPr>
        <w:t>3.资金投入</w:t>
      </w:r>
      <w:bookmarkEnd w:id="207"/>
      <w:bookmarkEnd w:id="208"/>
    </w:p>
    <w:p w14:paraId="00EB4908">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（1）预算编制科学性</w:t>
      </w:r>
    </w:p>
    <w:p w14:paraId="36FE4E0F">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kern w:val="2"/>
          <w:sz w:val="32"/>
          <w:szCs w:val="32"/>
          <w:highlight w:val="none"/>
          <w:lang w:val="en-US" w:eastAsia="zh-CN" w:bidi="ar-SA"/>
        </w:rPr>
        <w:t>石狮市殡葬服务所</w:t>
      </w:r>
      <w:r>
        <w:rPr>
          <w:rFonts w:hint="default" w:ascii="仿宋_GB2312" w:hAnsi="仿宋_GB2312" w:eastAsia="仿宋_GB2312" w:cs="仿宋_GB2312"/>
          <w:color w:val="auto"/>
          <w:kern w:val="2"/>
          <w:sz w:val="32"/>
          <w:szCs w:val="32"/>
          <w:highlight w:val="none"/>
          <w:lang w:val="en-US" w:eastAsia="zh-CN" w:bidi="ar-SA"/>
        </w:rPr>
        <w:t>减免基本殡葬服务费</w:t>
      </w:r>
      <w:r>
        <w:rPr>
          <w:rFonts w:hint="eastAsia" w:ascii="仿宋_GB2312" w:hAnsi="仿宋_GB2312" w:eastAsia="仿宋_GB2312" w:cs="仿宋_GB2312"/>
          <w:color w:val="auto"/>
          <w:kern w:val="2"/>
          <w:sz w:val="32"/>
          <w:szCs w:val="32"/>
          <w:highlight w:val="none"/>
          <w:lang w:val="en-US" w:eastAsia="zh-CN" w:bidi="ar-SA"/>
        </w:rPr>
        <w:t>专项</w:t>
      </w:r>
      <w:r>
        <w:rPr>
          <w:rFonts w:hint="eastAsia" w:ascii="仿宋_GB2312" w:hAnsi="仿宋_GB2312" w:eastAsia="仿宋_GB2312" w:cs="仿宋_GB2312"/>
          <w:color w:val="auto"/>
          <w:sz w:val="32"/>
          <w:szCs w:val="32"/>
          <w:highlight w:val="none"/>
          <w:lang w:val="en-US" w:eastAsia="zh-CN"/>
        </w:rPr>
        <w:t>预算编制较为科学规范，该项目以历年数据为重要依据，结合区域人口结构、殡葬服务需求等实际情况，以近三年平均服务量 2000 人 / 年为基准，按人均标准精准测算年度预算规模。基于历史经验与现实需求相结合的编制模式，充分利用了长期服务数据积累的参考价值，又通过年度业务量预判、成本构成分析等环节实现预算与实际需求的精准匹配，充分体现了预算编制的科学性、合理性与可操作性。根据评分标准，指标分值 4 分，得分 4 分。</w:t>
      </w:r>
    </w:p>
    <w:p w14:paraId="5843D9F2">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（2）资金分配合理性</w:t>
      </w:r>
    </w:p>
    <w:p w14:paraId="06640396">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kern w:val="2"/>
          <w:sz w:val="32"/>
          <w:szCs w:val="32"/>
          <w:highlight w:val="none"/>
          <w:lang w:val="en-US" w:eastAsia="zh-CN" w:bidi="ar-SA"/>
        </w:rPr>
        <w:t>石狮市殡葬服务所</w:t>
      </w:r>
      <w:r>
        <w:rPr>
          <w:rFonts w:hint="default" w:ascii="仿宋_GB2312" w:hAnsi="仿宋_GB2312" w:eastAsia="仿宋_GB2312" w:cs="仿宋_GB2312"/>
          <w:color w:val="auto"/>
          <w:kern w:val="2"/>
          <w:sz w:val="32"/>
          <w:szCs w:val="32"/>
          <w:highlight w:val="none"/>
          <w:lang w:val="en-US" w:eastAsia="zh-CN" w:bidi="ar-SA"/>
        </w:rPr>
        <w:t>减免基本殡葬服务费</w:t>
      </w:r>
      <w:r>
        <w:rPr>
          <w:rFonts w:hint="eastAsia" w:ascii="仿宋_GB2312" w:hAnsi="仿宋_GB2312" w:eastAsia="仿宋_GB2312" w:cs="仿宋_GB2312"/>
          <w:color w:val="auto"/>
          <w:kern w:val="2"/>
          <w:sz w:val="32"/>
          <w:szCs w:val="32"/>
          <w:highlight w:val="none"/>
          <w:lang w:val="en-US" w:eastAsia="zh-CN" w:bidi="ar-SA"/>
        </w:rPr>
        <w:t>专项</w:t>
      </w:r>
      <w:r>
        <w:rPr>
          <w:rFonts w:hint="eastAsia" w:ascii="仿宋_GB2312" w:hAnsi="仿宋_GB2312" w:eastAsia="仿宋_GB2312" w:cs="仿宋_GB2312"/>
          <w:color w:val="auto"/>
          <w:sz w:val="32"/>
          <w:szCs w:val="32"/>
          <w:highlight w:val="none"/>
          <w:lang w:val="en-US" w:eastAsia="zh-CN"/>
        </w:rPr>
        <w:t>的资金分配严格遵循《石狮市减免基本殡葬服务项目费用实施意见》（狮政综〔2012〕90 号）规定，具有明确的合规性依据：市财政按每年约 2000 具火化遗体、每具 1300 元的标准将减免费用纳入年度预算，资金来源由财政全额负担；费用减免部分先由永久墓园有限公司垫付并按季度结算，经市殡葬管理所初审、市民政局审核后，由市财政局核拨，形成“垫付 - 审核 - 核拨”的规范流程；同时建立联合督查制度，市民政局、财政局负责审核管理，市监察局、审计局实施财务监管和审计，杜绝挤占挪用现象，对虚报冒领行为依法追责，确保资金分配使用符合规定程序。根据评分标准，指标分值 2 分，得分 2 分。</w:t>
      </w:r>
    </w:p>
    <w:p w14:paraId="164A9504">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1"/>
        <w:rPr>
          <w:rFonts w:hint="eastAsia" w:ascii="楷体_GB2312" w:hAnsi="楷体_GB2312" w:eastAsia="楷体_GB2312" w:cs="楷体_GB2312"/>
          <w:b/>
          <w:bCs/>
          <w:color w:val="auto"/>
          <w:sz w:val="32"/>
          <w:szCs w:val="32"/>
          <w:highlight w:val="none"/>
          <w:lang w:val="en-US" w:eastAsia="zh-CN"/>
        </w:rPr>
      </w:pPr>
      <w:bookmarkStart w:id="209" w:name="_Toc31955"/>
      <w:bookmarkStart w:id="210" w:name="_Toc5137"/>
      <w:r>
        <w:rPr>
          <w:rFonts w:hint="eastAsia" w:ascii="楷体_GB2312" w:hAnsi="楷体_GB2312" w:eastAsia="楷体_GB2312" w:cs="楷体_GB2312"/>
          <w:b/>
          <w:bCs/>
          <w:color w:val="auto"/>
          <w:sz w:val="32"/>
          <w:szCs w:val="32"/>
          <w:highlight w:val="none"/>
          <w:lang w:val="en-US" w:eastAsia="zh-CN"/>
        </w:rPr>
        <w:t>（二）项目过程情况</w:t>
      </w:r>
      <w:bookmarkEnd w:id="209"/>
      <w:bookmarkEnd w:id="210"/>
    </w:p>
    <w:p w14:paraId="0300CEBC">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项目过程主要从资金管理和组织实施两方面进行分析。该部分分值为 20 分，评价得分 15 分。</w:t>
      </w:r>
    </w:p>
    <w:p w14:paraId="10C07114">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eastAsia" w:ascii="仿宋_GB2312" w:hAnsi="仿宋_GB2312" w:eastAsia="仿宋_GB2312" w:cs="仿宋_GB2312"/>
          <w:b/>
          <w:bCs/>
          <w:color w:val="auto"/>
          <w:sz w:val="32"/>
          <w:szCs w:val="32"/>
          <w:highlight w:val="none"/>
          <w:lang w:val="en-US" w:eastAsia="zh-CN"/>
        </w:rPr>
      </w:pPr>
      <w:bookmarkStart w:id="211" w:name="_Toc22695"/>
      <w:bookmarkStart w:id="212" w:name="_Toc8557"/>
      <w:r>
        <w:rPr>
          <w:rFonts w:hint="eastAsia" w:ascii="仿宋_GB2312" w:hAnsi="仿宋_GB2312" w:eastAsia="仿宋_GB2312" w:cs="仿宋_GB2312"/>
          <w:b/>
          <w:bCs/>
          <w:color w:val="auto"/>
          <w:sz w:val="32"/>
          <w:szCs w:val="32"/>
          <w:highlight w:val="none"/>
          <w:lang w:val="en-US" w:eastAsia="zh-CN"/>
        </w:rPr>
        <w:t>1.资金管理</w:t>
      </w:r>
      <w:bookmarkEnd w:id="211"/>
      <w:bookmarkEnd w:id="212"/>
    </w:p>
    <w:p w14:paraId="69AB55D7">
      <w:pPr>
        <w:pStyle w:val="34"/>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（1）资金到位率</w:t>
      </w:r>
    </w:p>
    <w:p w14:paraId="6CE2A2FB">
      <w:pPr>
        <w:pStyle w:val="34"/>
        <w:keepNext w:val="0"/>
        <w:keepLines w:val="0"/>
        <w:pageBreakBefore w:val="0"/>
        <w:widowControl w:val="0"/>
        <w:shd w:val="clear" w:fill="FFFFFF" w:themeFill="background1"/>
        <w:kinsoku/>
        <w:wordWrap/>
        <w:overflowPunct/>
        <w:topLinePunct w:val="0"/>
        <w:autoSpaceDE/>
        <w:autoSpaceDN/>
        <w:bidi w:val="0"/>
        <w:adjustRightInd/>
        <w:snapToGrid/>
        <w:spacing w:line="560" w:lineRule="exact"/>
        <w:ind w:left="0" w:leftChars="0" w:firstLine="640" w:firstLineChars="200"/>
        <w:jc w:val="both"/>
        <w:textAlignment w:val="auto"/>
        <w:outlineLvl w:val="9"/>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2024年石狮市殡葬服务所减免基本殡葬服务费项目年初批复预算资金共计</w:t>
      </w:r>
      <w:r>
        <w:rPr>
          <w:rFonts w:hint="eastAsia" w:ascii="仿宋_GB2312" w:hAnsi="仿宋_GB2312" w:eastAsia="仿宋_GB2312" w:cs="仿宋_GB2312"/>
          <w:color w:val="auto"/>
          <w:kern w:val="2"/>
          <w:sz w:val="32"/>
          <w:szCs w:val="32"/>
          <w:highlight w:val="none"/>
          <w:lang w:val="en-US" w:eastAsia="zh-CN" w:bidi="ar-SA"/>
        </w:rPr>
        <w:t>226.616</w:t>
      </w:r>
      <w:r>
        <w:rPr>
          <w:rFonts w:hint="eastAsia" w:ascii="仿宋_GB2312" w:hAnsi="仿宋_GB2312" w:eastAsia="仿宋_GB2312" w:cs="仿宋_GB2312"/>
          <w:color w:val="auto"/>
          <w:kern w:val="0"/>
          <w:sz w:val="32"/>
          <w:szCs w:val="32"/>
          <w:highlight w:val="none"/>
          <w:lang w:val="en-US" w:eastAsia="zh-CN" w:bidi="ar-SA"/>
        </w:rPr>
        <w:t>万元，当年度预算资金实际到位</w:t>
      </w:r>
      <w:r>
        <w:rPr>
          <w:rFonts w:hint="eastAsia" w:ascii="仿宋_GB2312" w:hAnsi="仿宋_GB2312" w:eastAsia="仿宋_GB2312" w:cs="仿宋_GB2312"/>
          <w:color w:val="auto"/>
          <w:kern w:val="2"/>
          <w:sz w:val="32"/>
          <w:szCs w:val="32"/>
          <w:highlight w:val="none"/>
          <w:lang w:val="en-US" w:eastAsia="zh-CN" w:bidi="ar-SA"/>
        </w:rPr>
        <w:t>226.616</w:t>
      </w:r>
      <w:r>
        <w:rPr>
          <w:rFonts w:hint="eastAsia" w:ascii="仿宋_GB2312" w:hAnsi="仿宋_GB2312" w:eastAsia="仿宋_GB2312" w:cs="仿宋_GB2312"/>
          <w:color w:val="auto"/>
          <w:kern w:val="0"/>
          <w:sz w:val="32"/>
          <w:szCs w:val="32"/>
          <w:highlight w:val="none"/>
          <w:lang w:val="en-US" w:eastAsia="zh-CN" w:bidi="ar-SA"/>
        </w:rPr>
        <w:t>万元，资金到位率100%。根据评分标准，指标分值 3 分，得分3 分。</w:t>
      </w:r>
    </w:p>
    <w:p w14:paraId="49EAE06A">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（2）预算执行率</w:t>
      </w:r>
    </w:p>
    <w:p w14:paraId="20C7E35D">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20"/>
          <w:szCs w:val="20"/>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2024年石狮市殡葬服务所减免基本殡葬服务费专项到位资金226.616万元，项目实际支出226.616万元，预算执行率100%。该项目指标分值 3 分，得分 3 分。</w:t>
      </w:r>
    </w:p>
    <w:p w14:paraId="7364BEC0">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（3）资金使用合规性</w:t>
      </w:r>
    </w:p>
    <w:p w14:paraId="492021C0">
      <w:pPr>
        <w:spacing w:line="580" w:lineRule="exact"/>
        <w:ind w:firstLine="640" w:firstLineChars="200"/>
        <w:rPr>
          <w:rFonts w:hint="default"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在减免基本殡葬服务项目资金使用过程中，石狮市殡葬服务所承担着统筹规划、审核审批、全程监管及资金中转的核心职责，而石狮市永久墓园有限公司则主要负责费用垫付及结算材料提交工作。然而，石狮市殡葬服务所并未充分履行监管职责，对永久墓园的财务管理工作监督不够到位，具体表现为：在收费凭证管理上，永久墓园提供的石狮殡仪馆业务收费单未盖有效印章，且未能主动提供发票，导致家属缺失缴费的法定凭证。因此，我中心绩效评价小组无法判断石狮市永久墓园提供的相关流程手续的合规性。综上所述，根据评分标准，指标分值 4 分，扣除1分，得分 3 分。</w:t>
      </w:r>
    </w:p>
    <w:p w14:paraId="0E153055">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eastAsia" w:ascii="仿宋_GB2312" w:hAnsi="仿宋_GB2312" w:eastAsia="仿宋_GB2312" w:cs="仿宋_GB2312"/>
          <w:color w:val="auto"/>
          <w:kern w:val="2"/>
          <w:sz w:val="32"/>
          <w:szCs w:val="32"/>
          <w:highlight w:val="none"/>
          <w:lang w:val="en-US" w:eastAsia="zh-CN" w:bidi="ar-SA"/>
        </w:rPr>
      </w:pPr>
      <w:bookmarkStart w:id="213" w:name="_Toc5378"/>
      <w:bookmarkStart w:id="214" w:name="_Toc11264"/>
      <w:r>
        <w:rPr>
          <w:rFonts w:hint="eastAsia" w:ascii="仿宋_GB2312" w:hAnsi="仿宋_GB2312" w:eastAsia="仿宋_GB2312" w:cs="仿宋_GB2312"/>
          <w:b/>
          <w:bCs/>
          <w:color w:val="auto"/>
          <w:sz w:val="32"/>
          <w:szCs w:val="32"/>
          <w:highlight w:val="none"/>
          <w:lang w:val="en-US" w:eastAsia="zh-CN"/>
        </w:rPr>
        <w:t>2.组织实施</w:t>
      </w:r>
      <w:bookmarkEnd w:id="213"/>
      <w:bookmarkEnd w:id="214"/>
    </w:p>
    <w:p w14:paraId="6F5B726C">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（1）管理制度健全性</w:t>
      </w:r>
    </w:p>
    <w:p w14:paraId="2AF02E7C">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①财务管理制度。</w:t>
      </w:r>
      <w:r>
        <w:rPr>
          <w:rFonts w:hint="eastAsia" w:ascii="仿宋_GB2312" w:hAnsi="仿宋_GB2312" w:eastAsia="仿宋_GB2312" w:cs="仿宋_GB2312"/>
          <w:color w:val="auto"/>
          <w:kern w:val="0"/>
          <w:sz w:val="32"/>
          <w:szCs w:val="32"/>
          <w:highlight w:val="none"/>
          <w:lang w:val="en-US" w:eastAsia="zh-CN" w:bidi="ar-SA"/>
        </w:rPr>
        <w:t>石狮市殡葬服务所减免基本殡葬服务费项目于2012年开始实施至今</w:t>
      </w:r>
      <w:r>
        <w:rPr>
          <w:rFonts w:hint="eastAsia" w:ascii="仿宋_GB2312" w:hAnsi="仿宋_GB2312" w:eastAsia="仿宋_GB2312" w:cs="仿宋_GB2312"/>
          <w:color w:val="auto"/>
          <w:kern w:val="2"/>
          <w:sz w:val="32"/>
          <w:szCs w:val="32"/>
          <w:highlight w:val="none"/>
          <w:lang w:val="en-US" w:eastAsia="zh-CN" w:bidi="ar-SA"/>
        </w:rPr>
        <w:t>，长期依赖民政局通用财务管理制度，未针对殡葬服务业务特点（如费用减免流程、专项资金核算等）制定专项管理规范，导致预算管理、收支管理、票据管理等工作缺乏贴合实际的细化规范，可能存在财务管理与业务需求脱节的风险。直至 2025 年才完善相关制度，制度建设的滞后性或已对前期财务工作的精准性和规范性产生影响，增加了财务流程潜在的执行漏洞与监管盲区。</w:t>
      </w:r>
    </w:p>
    <w:p w14:paraId="0A8A2EF4">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②业务管理制度。石狮市殡葬服务所当前业务管理制度存在缺失，未能构建起覆盖核心业务全流程的规范体系，日常工作开展缺乏系统性方向指引；实施流程与步骤不规范，无论是殡葬服务质量检查，还是项目的政策宣传、申请受理与资金发放，各环节均未形成标准化书面操作规范，并且监管机制缺失，也未制定内部违规操作责任追究细则。</w:t>
      </w:r>
    </w:p>
    <w:p w14:paraId="7B3A5940">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default"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综上所述，根据评分标准，该指标分值 3 分，扣除 1 分，最终得分 2 分。</w:t>
      </w:r>
    </w:p>
    <w:p w14:paraId="24537EC7">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left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（2）制度执行有效性</w:t>
      </w:r>
    </w:p>
    <w:p w14:paraId="379659BB">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left="0" w:leftChars="0"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①财务管理方面。石狮市殡葬服务所制度执行有效性存在不足。对于石狮市永久墓园收费凭证管理的乱象，未能及时规范督促其落实整改。规范的财务管理制度必然对收费凭证开具、印章使用、票据留存等环节有明确要求，但实际操作中，永久墓园业务收费单未加盖有效印章、未主动提供发票，相关业务人员到管理层，均未严格遵循制度规定。</w:t>
      </w:r>
    </w:p>
    <w:p w14:paraId="7AB8D115">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left="0" w:leftChars="0"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default" w:ascii="仿宋_GB2312" w:hAnsi="仿宋_GB2312" w:eastAsia="仿宋_GB2312" w:cs="仿宋_GB2312"/>
          <w:color w:val="auto"/>
          <w:kern w:val="2"/>
          <w:sz w:val="32"/>
          <w:szCs w:val="32"/>
          <w:highlight w:val="none"/>
          <w:lang w:val="en-US" w:eastAsia="zh-CN" w:bidi="ar-SA"/>
        </w:rPr>
        <w:t>②</w:t>
      </w:r>
      <w:r>
        <w:rPr>
          <w:rFonts w:hint="eastAsia" w:ascii="仿宋_GB2312" w:hAnsi="仿宋_GB2312" w:eastAsia="仿宋_GB2312" w:cs="仿宋_GB2312"/>
          <w:color w:val="auto"/>
          <w:kern w:val="2"/>
          <w:sz w:val="32"/>
          <w:szCs w:val="32"/>
          <w:highlight w:val="none"/>
          <w:lang w:val="en-US" w:eastAsia="zh-CN" w:bidi="ar-SA"/>
        </w:rPr>
        <w:t xml:space="preserve">项目流程制度方面。项目在申请与服务流程中存在多处不规范问题。申请表未设置申请人签字盖章环节，手续多由镇村经办人代填，全流程缺乏申请人确认步骤，申请信息是否经申请人确认无从核实，易引发误差或争议；永久墓园提供的石狮殡仪馆业务收费单未盖有效印章只有园方的手写数据，且未设置申请人确认签字环节。此外，部分乡镇仍沿用旧版表单，未按规定及时更新。  </w:t>
      </w:r>
    </w:p>
    <w:p w14:paraId="30981725">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left="0" w:leftChars="0"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当前永久墓园按季度提交《费用结算清册》及《申请表》申请资金拨付，殡葬管理所主要审核提交材料，而冰棺使用、遗体接运车辆服务的费用减免申报，暂以家属在永久墓园初始的冰棺和车辆服务预订信息为核心依据，且仅在申请表上简单备注冰棺使用日期，未建立与永久墓园遗体接运台账、冰棺使用登记明细等实际服务记录台账。若家属因特殊情况变更服务需求（如调整冰棺使用天数、接运安排），需重新填报信息并启动更正手续，这不仅增加家属与工作人员的沟通成本，还易产生重复填报、反复核验的额外工作，影响服务整体效率，同时也使得财政资金拨付缺乏“实际服务与申报信息一致性”的精准支撑，难以完全避免因信息偏差导致的费用核算风险，削弱了财务监管对资金精准使用的保障作用。</w:t>
      </w:r>
    </w:p>
    <w:p w14:paraId="17A60976">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left="0" w:leftChars="0"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default" w:ascii="仿宋_GB2312" w:hAnsi="仿宋_GB2312" w:eastAsia="仿宋_GB2312" w:cs="仿宋_GB2312"/>
          <w:color w:val="auto"/>
          <w:kern w:val="2"/>
          <w:sz w:val="32"/>
          <w:szCs w:val="32"/>
          <w:highlight w:val="none"/>
          <w:lang w:val="en-US" w:eastAsia="zh-CN" w:bidi="ar-SA"/>
        </w:rPr>
        <w:t>石狮市减免基本殡葬服务项目在监管层面存在明显薄弱环节，尚未对流程规范执行、凭证合规管理、表单更新使用等关键领域形成有效监管约束，具体问题如下：</w:t>
      </w:r>
    </w:p>
    <w:p w14:paraId="6C8BAF95">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left="0" w:leftChars="0"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default" w:ascii="仿宋_GB2312" w:hAnsi="仿宋_GB2312" w:eastAsia="仿宋_GB2312" w:cs="仿宋_GB2312"/>
          <w:color w:val="auto"/>
          <w:kern w:val="2"/>
          <w:sz w:val="32"/>
          <w:szCs w:val="32"/>
          <w:highlight w:val="none"/>
          <w:lang w:val="en-US" w:eastAsia="zh-CN" w:bidi="ar-SA"/>
        </w:rPr>
        <w:t>①</w:t>
      </w:r>
      <w:r>
        <w:rPr>
          <w:rFonts w:hint="eastAsia" w:ascii="仿宋_GB2312" w:hAnsi="仿宋_GB2312" w:eastAsia="仿宋_GB2312" w:cs="仿宋_GB2312"/>
          <w:color w:val="auto"/>
          <w:kern w:val="2"/>
          <w:sz w:val="32"/>
          <w:szCs w:val="32"/>
          <w:highlight w:val="none"/>
          <w:lang w:val="en-US" w:eastAsia="zh-CN" w:bidi="ar-SA"/>
        </w:rPr>
        <w:t> 对合作方凭证管理监管不到位：未有效督促永久墓园规范业务收费单管理，永久墓园提供的石狮殡仪馆业务收费单仅有手写数据记录，既未加盖有效印章，也未设置家属确认签字环节，且未主动向家属提供相关发票，监管方未及时发现并进行整改，导致家属缺失合规的缴费与减免凭证，权益保障缺乏监管支撑。</w:t>
      </w:r>
    </w:p>
    <w:p w14:paraId="1819ED98">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left="0" w:leftChars="0"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default" w:ascii="仿宋_GB2312" w:hAnsi="仿宋_GB2312" w:eastAsia="仿宋_GB2312" w:cs="仿宋_GB2312"/>
          <w:color w:val="auto"/>
          <w:kern w:val="2"/>
          <w:sz w:val="32"/>
          <w:szCs w:val="32"/>
          <w:highlight w:val="none"/>
          <w:lang w:val="en-US" w:eastAsia="zh-CN" w:bidi="ar-SA"/>
        </w:rPr>
        <w:t>②</w:t>
      </w:r>
      <w:r>
        <w:rPr>
          <w:rFonts w:hint="eastAsia" w:ascii="仿宋_GB2312" w:hAnsi="仿宋_GB2312" w:eastAsia="仿宋_GB2312" w:cs="仿宋_GB2312"/>
          <w:color w:val="auto"/>
          <w:kern w:val="2"/>
          <w:sz w:val="32"/>
          <w:szCs w:val="32"/>
          <w:highlight w:val="none"/>
          <w:lang w:val="en-US" w:eastAsia="zh-CN" w:bidi="ar-SA"/>
        </w:rPr>
        <w:t> 基层表单更新监管存在漏洞：部分乡镇仍沿用旧版申请表（如冰棺租金减免期限按旧规填报），未能及时督促乡镇同步更新表单，造成信息采集标准不统一，影响政策执行精准性。</w:t>
      </w:r>
    </w:p>
    <w:p w14:paraId="7DFCB531">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left="0" w:leftChars="0"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default" w:ascii="仿宋_GB2312" w:hAnsi="仿宋_GB2312" w:eastAsia="仿宋_GB2312" w:cs="仿宋_GB2312"/>
          <w:color w:val="auto"/>
          <w:kern w:val="2"/>
          <w:sz w:val="32"/>
          <w:szCs w:val="32"/>
          <w:highlight w:val="none"/>
          <w:lang w:val="en-US" w:eastAsia="zh-CN" w:bidi="ar-SA"/>
        </w:rPr>
        <w:t>③</w:t>
      </w:r>
      <w:r>
        <w:rPr>
          <w:rFonts w:hint="eastAsia" w:ascii="仿宋_GB2312" w:hAnsi="仿宋_GB2312" w:eastAsia="仿宋_GB2312" w:cs="仿宋_GB2312"/>
          <w:color w:val="auto"/>
          <w:kern w:val="2"/>
          <w:sz w:val="32"/>
          <w:szCs w:val="32"/>
          <w:highlight w:val="none"/>
          <w:lang w:val="en-US" w:eastAsia="zh-CN" w:bidi="ar-SA"/>
        </w:rPr>
        <w:t>申请流程关键环节监管缺位：未落实申请流程关键环节的监管责任，对申请表无申请人签字盖章、多由他人代填等不规范情况未及时介入整改，未能通过监管形成有效约束，导致申请信息真实性难以核实，易引发误差或争议。</w:t>
      </w:r>
    </w:p>
    <w:p w14:paraId="4CF67718">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left="0" w:leftChars="0" w:firstLine="640" w:firstLineChars="200"/>
        <w:jc w:val="both"/>
        <w:textAlignment w:val="baseline"/>
        <w:outlineLvl w:val="9"/>
        <w:rPr>
          <w:rFonts w:hint="default"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综上，项目监管未能全面覆盖核心环节，监管效能不足，使得执行中的各类不规范问题难以得到及时纠偏，削弱了对项目规范推进的保障作用。指标分值 4 分，扣除 2 分，得分 2 分。</w:t>
      </w:r>
    </w:p>
    <w:p w14:paraId="18326F39">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（5）档案管理规范性</w:t>
      </w:r>
    </w:p>
    <w:p w14:paraId="3D7620AC">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color w:val="auto"/>
          <w:kern w:val="2"/>
          <w:sz w:val="32"/>
          <w:szCs w:val="32"/>
          <w:highlight w:val="none"/>
          <w:lang w:val="en-US" w:eastAsia="zh-CN" w:bidi="ar-SA"/>
        </w:rPr>
      </w:pPr>
      <w:bookmarkStart w:id="215" w:name="_Toc25946"/>
      <w:r>
        <w:rPr>
          <w:rFonts w:hint="eastAsia" w:ascii="仿宋_GB2312" w:hAnsi="仿宋_GB2312" w:eastAsia="仿宋_GB2312" w:cs="仿宋_GB2312"/>
          <w:color w:val="auto"/>
          <w:kern w:val="2"/>
          <w:sz w:val="32"/>
          <w:szCs w:val="32"/>
          <w:highlight w:val="none"/>
          <w:lang w:val="en-US" w:eastAsia="zh-CN" w:bidi="ar-SA"/>
        </w:rPr>
        <w:t>减免基本殡葬服务项目在档案管理中，前期采用纸质档案管理方式，自2024 年 8 月起，申请资料实行电子化管理，但无论是纸质档案还是电子档案，该项目档案管理存在明显疏漏：均未收录家属的缴费凭证及发票底单，直接影响费用减免核算的准确性与合规性，既无法通过原始凭证验证减免金额与实际缴费的匹配性，也难以在后续审计、核查或家属对减免结果有异议时提供有效追溯依据，可能导致减免流程的透明度和公信力受损，甚至为费用纠纷埋下隐患；其次，部分申请手续不够规范。例如：逝者王天从的《石狮市骨灰领取申请(证明)表》保证人签字处，保证人签字处未签字，居民死亡证明村委会盖章处落款日期未填写；逝者蔡海钦家属的经办人性别被错误录入；逝者李大民申请表中留存的联系方式有误；个别档案存在扫描模糊问题，申请人信息及公章清晰度不足、无法辨认影响档案完整性与可用性。根据评分标准，指标分值 3 分，扣除 1 分，得分2 分。</w:t>
      </w:r>
    </w:p>
    <w:p w14:paraId="3775DE71">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1"/>
        <w:rPr>
          <w:rFonts w:hint="eastAsia" w:ascii="楷体_GB2312" w:hAnsi="楷体_GB2312" w:eastAsia="楷体_GB2312" w:cs="楷体_GB2312"/>
          <w:b/>
          <w:bCs/>
          <w:color w:val="auto"/>
          <w:sz w:val="32"/>
          <w:szCs w:val="32"/>
          <w:highlight w:val="none"/>
          <w:lang w:val="en-US" w:eastAsia="zh-CN"/>
        </w:rPr>
      </w:pPr>
      <w:bookmarkStart w:id="216" w:name="_Toc13832"/>
      <w:r>
        <w:rPr>
          <w:rFonts w:hint="eastAsia" w:ascii="楷体_GB2312" w:hAnsi="楷体_GB2312" w:eastAsia="楷体_GB2312" w:cs="楷体_GB2312"/>
          <w:b/>
          <w:bCs/>
          <w:color w:val="auto"/>
          <w:sz w:val="32"/>
          <w:szCs w:val="32"/>
          <w:highlight w:val="none"/>
          <w:lang w:val="en-US" w:eastAsia="zh-CN"/>
        </w:rPr>
        <w:t>（三）项目产出情况</w:t>
      </w:r>
      <w:bookmarkEnd w:id="215"/>
      <w:bookmarkEnd w:id="216"/>
    </w:p>
    <w:p w14:paraId="6D650A15">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项目产出主要从产出数量、产出质量、产出时效、产出成本四方面评价。该部分分值为 35 分，评价得分 32.50 分。</w:t>
      </w:r>
    </w:p>
    <w:p w14:paraId="2B6A76B7">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eastAsia" w:ascii="仿宋_GB2312" w:hAnsi="仿宋_GB2312" w:eastAsia="仿宋_GB2312" w:cs="仿宋_GB2312"/>
          <w:b/>
          <w:bCs/>
          <w:color w:val="auto"/>
          <w:sz w:val="32"/>
          <w:szCs w:val="32"/>
          <w:highlight w:val="none"/>
          <w:lang w:val="en-US" w:eastAsia="zh-CN"/>
        </w:rPr>
      </w:pPr>
      <w:bookmarkStart w:id="217" w:name="_Toc5529"/>
      <w:bookmarkStart w:id="218" w:name="_Toc17742"/>
      <w:r>
        <w:rPr>
          <w:rFonts w:hint="eastAsia" w:ascii="仿宋_GB2312" w:hAnsi="仿宋_GB2312" w:eastAsia="仿宋_GB2312" w:cs="仿宋_GB2312"/>
          <w:b/>
          <w:bCs/>
          <w:color w:val="auto"/>
          <w:sz w:val="32"/>
          <w:szCs w:val="32"/>
          <w:highlight w:val="none"/>
          <w:lang w:val="en-US" w:eastAsia="zh-CN"/>
        </w:rPr>
        <w:t>1.产出数量</w:t>
      </w:r>
      <w:bookmarkEnd w:id="217"/>
      <w:bookmarkEnd w:id="218"/>
    </w:p>
    <w:p w14:paraId="18FD68C8">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default"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（1）当年度实际减免服务人数</w:t>
      </w:r>
    </w:p>
    <w:p w14:paraId="74D12CAB">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bookmarkStart w:id="219" w:name="_Toc20204"/>
      <w:r>
        <w:rPr>
          <w:rFonts w:hint="eastAsia" w:ascii="仿宋_GB2312" w:hAnsi="仿宋_GB2312" w:eastAsia="仿宋_GB2312" w:cs="仿宋_GB2312"/>
          <w:color w:val="auto"/>
          <w:kern w:val="2"/>
          <w:sz w:val="32"/>
          <w:szCs w:val="32"/>
          <w:highlight w:val="none"/>
          <w:lang w:val="en-US" w:eastAsia="zh-CN" w:bidi="ar-SA"/>
        </w:rPr>
        <w:t>2024 年度，石狮市持续推进基本殡葬费用减免政策落地见效，切实减轻群众丧葬负担，全年实际享受该项减免政策的人数总计达 1919人，因殡葬服务受人口自然变动等客观特殊情况影响，实际人数与年度预计的 2000 人较为接近，数据较为合理。根据评分标准，指标分值 6 分，得分 6 分。</w:t>
      </w:r>
    </w:p>
    <w:p w14:paraId="2BA4930B">
      <w:pPr>
        <w:keepNext w:val="0"/>
        <w:keepLines w:val="0"/>
        <w:pageBreakBefore w:val="0"/>
        <w:widowControl w:val="0"/>
        <w:kinsoku/>
        <w:wordWrap/>
        <w:topLinePunct w:val="0"/>
        <w:bidi w:val="0"/>
        <w:snapToGrid/>
        <w:jc w:val="center"/>
        <w:rPr>
          <w:rFonts w:hint="default" w:ascii="仿宋" w:hAnsi="仿宋" w:eastAsia="仿宋" w:cs="仿宋"/>
          <w:b/>
          <w:bCs/>
          <w:color w:val="auto"/>
          <w:kern w:val="0"/>
          <w:sz w:val="28"/>
          <w:szCs w:val="28"/>
          <w:highlight w:val="none"/>
          <w:lang w:val="en-US" w:eastAsia="zh-CN" w:bidi="ar-SA"/>
        </w:rPr>
      </w:pPr>
      <w:r>
        <w:rPr>
          <w:rFonts w:hint="eastAsia" w:ascii="仿宋" w:hAnsi="仿宋" w:eastAsia="仿宋" w:cs="仿宋"/>
          <w:b/>
          <w:bCs/>
          <w:color w:val="auto"/>
          <w:kern w:val="0"/>
          <w:sz w:val="28"/>
          <w:szCs w:val="28"/>
          <w:highlight w:val="none"/>
          <w:lang w:val="en-US" w:eastAsia="zh-CN" w:bidi="ar-SA"/>
        </w:rPr>
        <w:t>表4 2024年度享受减免政策的人数统计表</w:t>
      </w:r>
    </w:p>
    <w:tbl>
      <w:tblPr>
        <w:tblStyle w:val="16"/>
        <w:tblW w:w="1076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56" w:type="dxa"/>
          <w:left w:w="77" w:type="dxa"/>
          <w:bottom w:w="56" w:type="dxa"/>
          <w:right w:w="77" w:type="dxa"/>
        </w:tblCellMar>
      </w:tblPr>
      <w:tblGrid>
        <w:gridCol w:w="2882"/>
        <w:gridCol w:w="597"/>
        <w:gridCol w:w="597"/>
        <w:gridCol w:w="597"/>
        <w:gridCol w:w="597"/>
        <w:gridCol w:w="597"/>
        <w:gridCol w:w="597"/>
        <w:gridCol w:w="597"/>
        <w:gridCol w:w="598"/>
        <w:gridCol w:w="598"/>
        <w:gridCol w:w="598"/>
        <w:gridCol w:w="598"/>
        <w:gridCol w:w="598"/>
        <w:gridCol w:w="714"/>
      </w:tblGrid>
      <w:tr w14:paraId="152F35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56" w:type="dxa"/>
            <w:left w:w="77" w:type="dxa"/>
            <w:bottom w:w="56" w:type="dxa"/>
            <w:right w:w="77" w:type="dxa"/>
          </w:tblCellMar>
        </w:tblPrEx>
        <w:trPr>
          <w:trHeight w:val="0" w:hRule="atLeast"/>
          <w:tblHeader/>
          <w:jc w:val="center"/>
        </w:trPr>
        <w:tc>
          <w:tcPr>
            <w:tcW w:w="2882" w:type="dxa"/>
            <w:tcBorders>
              <w:top w:val="single" w:color="auto" w:sz="4" w:space="0"/>
              <w:left w:val="single" w:color="auto" w:sz="4" w:space="0"/>
              <w:bottom w:val="single" w:color="auto" w:sz="4" w:space="0"/>
              <w:right w:val="single" w:color="auto" w:sz="4" w:space="0"/>
            </w:tcBorders>
            <w:shd w:val="clear" w:color="auto" w:fill="D7D7D7" w:themeFill="background1" w:themeFillShade="D8"/>
            <w:noWrap/>
            <w:vAlign w:val="center"/>
          </w:tcPr>
          <w:p w14:paraId="5D6A0568">
            <w:pPr>
              <w:keepNext w:val="0"/>
              <w:keepLines w:val="0"/>
              <w:widowControl/>
              <w:suppressLineNumbers w:val="0"/>
              <w:snapToGrid w:val="0"/>
              <w:jc w:val="center"/>
              <w:textAlignment w:val="center"/>
              <w:rPr>
                <w:rFonts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月份</w:t>
            </w:r>
          </w:p>
        </w:tc>
        <w:tc>
          <w:tcPr>
            <w:tcW w:w="597" w:type="dxa"/>
            <w:tcBorders>
              <w:top w:val="single" w:color="auto" w:sz="4" w:space="0"/>
              <w:left w:val="single" w:color="auto" w:sz="4" w:space="0"/>
              <w:bottom w:val="single" w:color="auto" w:sz="4" w:space="0"/>
              <w:right w:val="single" w:color="auto" w:sz="4" w:space="0"/>
            </w:tcBorders>
            <w:shd w:val="clear" w:color="auto" w:fill="D7D7D7" w:themeFill="background1" w:themeFillShade="D8"/>
            <w:noWrap/>
            <w:vAlign w:val="center"/>
          </w:tcPr>
          <w:p w14:paraId="60B6C249">
            <w:pPr>
              <w:keepNext w:val="0"/>
              <w:keepLines w:val="0"/>
              <w:widowControl/>
              <w:suppressLineNumbers w:val="0"/>
              <w:snapToGrid w:val="0"/>
              <w:jc w:val="center"/>
              <w:textAlignment w:val="center"/>
              <w:rPr>
                <w:rFonts w:hint="eastAsia" w:ascii="仿宋" w:hAnsi="仿宋" w:eastAsia="仿宋" w:cs="仿宋"/>
                <w:b/>
                <w:i w:val="0"/>
                <w:iCs w:val="0"/>
                <w:color w:val="000000"/>
                <w:sz w:val="22"/>
                <w:szCs w:val="22"/>
                <w:u w:val="none"/>
              </w:rPr>
            </w:pPr>
            <w:r>
              <w:rPr>
                <w:rFonts w:hint="eastAsia" w:ascii="仿宋" w:hAnsi="仿宋" w:eastAsia="仿宋" w:cs="仿宋"/>
                <w:b/>
                <w:i w:val="0"/>
                <w:iCs w:val="0"/>
                <w:color w:val="000000"/>
                <w:kern w:val="0"/>
                <w:sz w:val="22"/>
                <w:szCs w:val="22"/>
                <w:u w:val="none"/>
                <w:lang w:val="en-US" w:eastAsia="zh-CN" w:bidi="ar"/>
              </w:rPr>
              <w:t>1</w:t>
            </w:r>
          </w:p>
        </w:tc>
        <w:tc>
          <w:tcPr>
            <w:tcW w:w="597" w:type="dxa"/>
            <w:tcBorders>
              <w:top w:val="single" w:color="auto" w:sz="4" w:space="0"/>
              <w:left w:val="single" w:color="auto" w:sz="4" w:space="0"/>
              <w:bottom w:val="single" w:color="auto" w:sz="4" w:space="0"/>
              <w:right w:val="single" w:color="auto" w:sz="4" w:space="0"/>
            </w:tcBorders>
            <w:shd w:val="clear" w:color="auto" w:fill="D7D7D7" w:themeFill="background1" w:themeFillShade="D8"/>
            <w:noWrap/>
            <w:vAlign w:val="center"/>
          </w:tcPr>
          <w:p w14:paraId="41E93425">
            <w:pPr>
              <w:keepNext w:val="0"/>
              <w:keepLines w:val="0"/>
              <w:widowControl/>
              <w:suppressLineNumbers w:val="0"/>
              <w:snapToGrid w:val="0"/>
              <w:jc w:val="center"/>
              <w:textAlignment w:val="center"/>
              <w:rPr>
                <w:rFonts w:hint="eastAsia" w:ascii="仿宋" w:hAnsi="仿宋" w:eastAsia="仿宋" w:cs="仿宋"/>
                <w:b/>
                <w:i w:val="0"/>
                <w:iCs w:val="0"/>
                <w:color w:val="000000"/>
                <w:sz w:val="22"/>
                <w:szCs w:val="22"/>
                <w:u w:val="none"/>
              </w:rPr>
            </w:pPr>
            <w:r>
              <w:rPr>
                <w:rFonts w:hint="eastAsia" w:ascii="仿宋" w:hAnsi="仿宋" w:eastAsia="仿宋" w:cs="仿宋"/>
                <w:b/>
                <w:i w:val="0"/>
                <w:iCs w:val="0"/>
                <w:color w:val="000000"/>
                <w:kern w:val="0"/>
                <w:sz w:val="22"/>
                <w:szCs w:val="22"/>
                <w:u w:val="none"/>
                <w:lang w:val="en-US" w:eastAsia="zh-CN" w:bidi="ar"/>
              </w:rPr>
              <w:t>2</w:t>
            </w:r>
          </w:p>
        </w:tc>
        <w:tc>
          <w:tcPr>
            <w:tcW w:w="597" w:type="dxa"/>
            <w:tcBorders>
              <w:top w:val="single" w:color="auto" w:sz="4" w:space="0"/>
              <w:left w:val="single" w:color="auto" w:sz="4" w:space="0"/>
              <w:bottom w:val="single" w:color="auto" w:sz="4" w:space="0"/>
              <w:right w:val="single" w:color="auto" w:sz="4" w:space="0"/>
            </w:tcBorders>
            <w:shd w:val="clear" w:color="auto" w:fill="D7D7D7" w:themeFill="background1" w:themeFillShade="D8"/>
            <w:noWrap/>
            <w:vAlign w:val="center"/>
          </w:tcPr>
          <w:p w14:paraId="650075DF">
            <w:pPr>
              <w:keepNext w:val="0"/>
              <w:keepLines w:val="0"/>
              <w:widowControl/>
              <w:suppressLineNumbers w:val="0"/>
              <w:snapToGrid w:val="0"/>
              <w:jc w:val="center"/>
              <w:textAlignment w:val="center"/>
              <w:rPr>
                <w:rFonts w:hint="eastAsia" w:ascii="仿宋" w:hAnsi="仿宋" w:eastAsia="仿宋" w:cs="仿宋"/>
                <w:b/>
                <w:i w:val="0"/>
                <w:iCs w:val="0"/>
                <w:color w:val="000000"/>
                <w:sz w:val="22"/>
                <w:szCs w:val="22"/>
                <w:u w:val="none"/>
              </w:rPr>
            </w:pPr>
            <w:r>
              <w:rPr>
                <w:rFonts w:hint="eastAsia" w:ascii="仿宋" w:hAnsi="仿宋" w:eastAsia="仿宋" w:cs="仿宋"/>
                <w:b/>
                <w:i w:val="0"/>
                <w:iCs w:val="0"/>
                <w:color w:val="000000"/>
                <w:kern w:val="0"/>
                <w:sz w:val="22"/>
                <w:szCs w:val="22"/>
                <w:u w:val="none"/>
                <w:lang w:val="en-US" w:eastAsia="zh-CN" w:bidi="ar"/>
              </w:rPr>
              <w:t>3</w:t>
            </w:r>
          </w:p>
        </w:tc>
        <w:tc>
          <w:tcPr>
            <w:tcW w:w="597" w:type="dxa"/>
            <w:tcBorders>
              <w:top w:val="single" w:color="auto" w:sz="4" w:space="0"/>
              <w:left w:val="single" w:color="auto" w:sz="4" w:space="0"/>
              <w:bottom w:val="single" w:color="auto" w:sz="4" w:space="0"/>
              <w:right w:val="single" w:color="auto" w:sz="4" w:space="0"/>
            </w:tcBorders>
            <w:shd w:val="clear" w:color="auto" w:fill="D7D7D7" w:themeFill="background1" w:themeFillShade="D8"/>
            <w:noWrap/>
            <w:vAlign w:val="center"/>
          </w:tcPr>
          <w:p w14:paraId="1A7A4F4C">
            <w:pPr>
              <w:keepNext w:val="0"/>
              <w:keepLines w:val="0"/>
              <w:widowControl/>
              <w:suppressLineNumbers w:val="0"/>
              <w:snapToGrid w:val="0"/>
              <w:jc w:val="center"/>
              <w:textAlignment w:val="center"/>
              <w:rPr>
                <w:rFonts w:hint="eastAsia" w:ascii="仿宋" w:hAnsi="仿宋" w:eastAsia="仿宋" w:cs="仿宋"/>
                <w:b/>
                <w:i w:val="0"/>
                <w:iCs w:val="0"/>
                <w:color w:val="000000"/>
                <w:sz w:val="22"/>
                <w:szCs w:val="22"/>
                <w:u w:val="none"/>
              </w:rPr>
            </w:pPr>
            <w:r>
              <w:rPr>
                <w:rFonts w:hint="eastAsia" w:ascii="仿宋" w:hAnsi="仿宋" w:eastAsia="仿宋" w:cs="仿宋"/>
                <w:b/>
                <w:i w:val="0"/>
                <w:iCs w:val="0"/>
                <w:color w:val="000000"/>
                <w:kern w:val="0"/>
                <w:sz w:val="22"/>
                <w:szCs w:val="22"/>
                <w:u w:val="none"/>
                <w:lang w:val="en-US" w:eastAsia="zh-CN" w:bidi="ar"/>
              </w:rPr>
              <w:t>4</w:t>
            </w:r>
          </w:p>
        </w:tc>
        <w:tc>
          <w:tcPr>
            <w:tcW w:w="597" w:type="dxa"/>
            <w:tcBorders>
              <w:top w:val="single" w:color="auto" w:sz="4" w:space="0"/>
              <w:left w:val="single" w:color="auto" w:sz="4" w:space="0"/>
              <w:bottom w:val="single" w:color="auto" w:sz="4" w:space="0"/>
              <w:right w:val="single" w:color="auto" w:sz="4" w:space="0"/>
            </w:tcBorders>
            <w:shd w:val="clear" w:color="auto" w:fill="D7D7D7" w:themeFill="background1" w:themeFillShade="D8"/>
            <w:noWrap/>
            <w:vAlign w:val="center"/>
          </w:tcPr>
          <w:p w14:paraId="40EAEAFD">
            <w:pPr>
              <w:keepNext w:val="0"/>
              <w:keepLines w:val="0"/>
              <w:widowControl/>
              <w:suppressLineNumbers w:val="0"/>
              <w:snapToGrid w:val="0"/>
              <w:jc w:val="center"/>
              <w:textAlignment w:val="center"/>
              <w:rPr>
                <w:rFonts w:hint="eastAsia" w:ascii="仿宋" w:hAnsi="仿宋" w:eastAsia="仿宋" w:cs="仿宋"/>
                <w:b/>
                <w:i w:val="0"/>
                <w:iCs w:val="0"/>
                <w:color w:val="000000"/>
                <w:sz w:val="22"/>
                <w:szCs w:val="22"/>
                <w:u w:val="none"/>
              </w:rPr>
            </w:pPr>
            <w:r>
              <w:rPr>
                <w:rFonts w:hint="eastAsia" w:ascii="仿宋" w:hAnsi="仿宋" w:eastAsia="仿宋" w:cs="仿宋"/>
                <w:b/>
                <w:i w:val="0"/>
                <w:iCs w:val="0"/>
                <w:color w:val="000000"/>
                <w:kern w:val="0"/>
                <w:sz w:val="22"/>
                <w:szCs w:val="22"/>
                <w:u w:val="none"/>
                <w:lang w:val="en-US" w:eastAsia="zh-CN" w:bidi="ar"/>
              </w:rPr>
              <w:t>5</w:t>
            </w:r>
          </w:p>
        </w:tc>
        <w:tc>
          <w:tcPr>
            <w:tcW w:w="597" w:type="dxa"/>
            <w:tcBorders>
              <w:top w:val="single" w:color="auto" w:sz="4" w:space="0"/>
              <w:left w:val="single" w:color="auto" w:sz="4" w:space="0"/>
              <w:bottom w:val="single" w:color="auto" w:sz="4" w:space="0"/>
              <w:right w:val="single" w:color="auto" w:sz="4" w:space="0"/>
            </w:tcBorders>
            <w:shd w:val="clear" w:color="auto" w:fill="D7D7D7" w:themeFill="background1" w:themeFillShade="D8"/>
            <w:noWrap/>
            <w:vAlign w:val="center"/>
          </w:tcPr>
          <w:p w14:paraId="3500B40D">
            <w:pPr>
              <w:keepNext w:val="0"/>
              <w:keepLines w:val="0"/>
              <w:widowControl/>
              <w:suppressLineNumbers w:val="0"/>
              <w:snapToGrid w:val="0"/>
              <w:jc w:val="center"/>
              <w:textAlignment w:val="center"/>
              <w:rPr>
                <w:rFonts w:hint="eastAsia" w:ascii="仿宋" w:hAnsi="仿宋" w:eastAsia="仿宋" w:cs="仿宋"/>
                <w:b/>
                <w:i w:val="0"/>
                <w:iCs w:val="0"/>
                <w:color w:val="000000"/>
                <w:sz w:val="22"/>
                <w:szCs w:val="22"/>
                <w:u w:val="none"/>
              </w:rPr>
            </w:pPr>
            <w:r>
              <w:rPr>
                <w:rFonts w:hint="eastAsia" w:ascii="仿宋" w:hAnsi="仿宋" w:eastAsia="仿宋" w:cs="仿宋"/>
                <w:b/>
                <w:i w:val="0"/>
                <w:iCs w:val="0"/>
                <w:color w:val="000000"/>
                <w:kern w:val="0"/>
                <w:sz w:val="22"/>
                <w:szCs w:val="22"/>
                <w:u w:val="none"/>
                <w:lang w:val="en-US" w:eastAsia="zh-CN" w:bidi="ar"/>
              </w:rPr>
              <w:t>6</w:t>
            </w:r>
          </w:p>
        </w:tc>
        <w:tc>
          <w:tcPr>
            <w:tcW w:w="597" w:type="dxa"/>
            <w:tcBorders>
              <w:top w:val="single" w:color="auto" w:sz="4" w:space="0"/>
              <w:left w:val="single" w:color="auto" w:sz="4" w:space="0"/>
              <w:bottom w:val="single" w:color="auto" w:sz="4" w:space="0"/>
              <w:right w:val="single" w:color="auto" w:sz="4" w:space="0"/>
            </w:tcBorders>
            <w:shd w:val="clear" w:color="auto" w:fill="D7D7D7" w:themeFill="background1" w:themeFillShade="D8"/>
            <w:noWrap/>
            <w:vAlign w:val="center"/>
          </w:tcPr>
          <w:p w14:paraId="01CB262E">
            <w:pPr>
              <w:keepNext w:val="0"/>
              <w:keepLines w:val="0"/>
              <w:widowControl/>
              <w:suppressLineNumbers w:val="0"/>
              <w:snapToGrid w:val="0"/>
              <w:jc w:val="center"/>
              <w:textAlignment w:val="center"/>
              <w:rPr>
                <w:rFonts w:hint="eastAsia" w:ascii="仿宋" w:hAnsi="仿宋" w:eastAsia="仿宋" w:cs="仿宋"/>
                <w:b/>
                <w:i w:val="0"/>
                <w:iCs w:val="0"/>
                <w:color w:val="000000"/>
                <w:sz w:val="22"/>
                <w:szCs w:val="22"/>
                <w:u w:val="none"/>
              </w:rPr>
            </w:pPr>
            <w:r>
              <w:rPr>
                <w:rFonts w:hint="eastAsia" w:ascii="仿宋" w:hAnsi="仿宋" w:eastAsia="仿宋" w:cs="仿宋"/>
                <w:b/>
                <w:i w:val="0"/>
                <w:iCs w:val="0"/>
                <w:color w:val="000000"/>
                <w:kern w:val="0"/>
                <w:sz w:val="22"/>
                <w:szCs w:val="22"/>
                <w:u w:val="none"/>
                <w:lang w:val="en-US" w:eastAsia="zh-CN" w:bidi="ar"/>
              </w:rPr>
              <w:t>7</w:t>
            </w:r>
          </w:p>
        </w:tc>
        <w:tc>
          <w:tcPr>
            <w:tcW w:w="598" w:type="dxa"/>
            <w:tcBorders>
              <w:top w:val="single" w:color="auto" w:sz="4" w:space="0"/>
              <w:left w:val="single" w:color="auto" w:sz="4" w:space="0"/>
              <w:bottom w:val="single" w:color="auto" w:sz="4" w:space="0"/>
              <w:right w:val="single" w:color="auto" w:sz="4" w:space="0"/>
            </w:tcBorders>
            <w:shd w:val="clear" w:color="auto" w:fill="D7D7D7" w:themeFill="background1" w:themeFillShade="D8"/>
            <w:noWrap/>
            <w:vAlign w:val="center"/>
          </w:tcPr>
          <w:p w14:paraId="153209A1">
            <w:pPr>
              <w:keepNext w:val="0"/>
              <w:keepLines w:val="0"/>
              <w:widowControl/>
              <w:suppressLineNumbers w:val="0"/>
              <w:snapToGrid w:val="0"/>
              <w:jc w:val="center"/>
              <w:textAlignment w:val="center"/>
              <w:rPr>
                <w:rFonts w:hint="eastAsia" w:ascii="仿宋" w:hAnsi="仿宋" w:eastAsia="仿宋" w:cs="仿宋"/>
                <w:b/>
                <w:i w:val="0"/>
                <w:iCs w:val="0"/>
                <w:color w:val="000000"/>
                <w:sz w:val="22"/>
                <w:szCs w:val="22"/>
                <w:u w:val="none"/>
              </w:rPr>
            </w:pPr>
            <w:r>
              <w:rPr>
                <w:rFonts w:hint="eastAsia" w:ascii="仿宋" w:hAnsi="仿宋" w:eastAsia="仿宋" w:cs="仿宋"/>
                <w:b/>
                <w:i w:val="0"/>
                <w:iCs w:val="0"/>
                <w:color w:val="000000"/>
                <w:kern w:val="0"/>
                <w:sz w:val="22"/>
                <w:szCs w:val="22"/>
                <w:u w:val="none"/>
                <w:lang w:val="en-US" w:eastAsia="zh-CN" w:bidi="ar"/>
              </w:rPr>
              <w:t>8</w:t>
            </w:r>
          </w:p>
        </w:tc>
        <w:tc>
          <w:tcPr>
            <w:tcW w:w="598" w:type="dxa"/>
            <w:tcBorders>
              <w:top w:val="single" w:color="auto" w:sz="4" w:space="0"/>
              <w:left w:val="single" w:color="auto" w:sz="4" w:space="0"/>
              <w:bottom w:val="single" w:color="auto" w:sz="4" w:space="0"/>
              <w:right w:val="single" w:color="auto" w:sz="4" w:space="0"/>
            </w:tcBorders>
            <w:shd w:val="clear" w:color="auto" w:fill="D7D7D7" w:themeFill="background1" w:themeFillShade="D8"/>
            <w:noWrap/>
            <w:vAlign w:val="center"/>
          </w:tcPr>
          <w:p w14:paraId="35603DB3">
            <w:pPr>
              <w:keepNext w:val="0"/>
              <w:keepLines w:val="0"/>
              <w:widowControl/>
              <w:suppressLineNumbers w:val="0"/>
              <w:snapToGrid w:val="0"/>
              <w:jc w:val="center"/>
              <w:textAlignment w:val="center"/>
              <w:rPr>
                <w:rFonts w:hint="eastAsia" w:ascii="仿宋" w:hAnsi="仿宋" w:eastAsia="仿宋" w:cs="仿宋"/>
                <w:b/>
                <w:i w:val="0"/>
                <w:iCs w:val="0"/>
                <w:color w:val="000000"/>
                <w:sz w:val="22"/>
                <w:szCs w:val="22"/>
                <w:u w:val="none"/>
              </w:rPr>
            </w:pPr>
            <w:r>
              <w:rPr>
                <w:rFonts w:hint="eastAsia" w:ascii="仿宋" w:hAnsi="仿宋" w:eastAsia="仿宋" w:cs="仿宋"/>
                <w:b/>
                <w:i w:val="0"/>
                <w:iCs w:val="0"/>
                <w:color w:val="000000"/>
                <w:kern w:val="0"/>
                <w:sz w:val="22"/>
                <w:szCs w:val="22"/>
                <w:u w:val="none"/>
                <w:lang w:val="en-US" w:eastAsia="zh-CN" w:bidi="ar"/>
              </w:rPr>
              <w:t>9</w:t>
            </w:r>
          </w:p>
        </w:tc>
        <w:tc>
          <w:tcPr>
            <w:tcW w:w="598" w:type="dxa"/>
            <w:tcBorders>
              <w:top w:val="single" w:color="auto" w:sz="4" w:space="0"/>
              <w:left w:val="single" w:color="auto" w:sz="4" w:space="0"/>
              <w:bottom w:val="single" w:color="auto" w:sz="4" w:space="0"/>
              <w:right w:val="single" w:color="auto" w:sz="4" w:space="0"/>
            </w:tcBorders>
            <w:shd w:val="clear" w:color="auto" w:fill="D7D7D7" w:themeFill="background1" w:themeFillShade="D8"/>
            <w:noWrap/>
            <w:vAlign w:val="center"/>
          </w:tcPr>
          <w:p w14:paraId="1F7AF466">
            <w:pPr>
              <w:keepNext w:val="0"/>
              <w:keepLines w:val="0"/>
              <w:widowControl/>
              <w:suppressLineNumbers w:val="0"/>
              <w:snapToGrid w:val="0"/>
              <w:jc w:val="center"/>
              <w:textAlignment w:val="center"/>
              <w:rPr>
                <w:rFonts w:hint="eastAsia" w:ascii="仿宋" w:hAnsi="仿宋" w:eastAsia="仿宋" w:cs="仿宋"/>
                <w:b/>
                <w:i w:val="0"/>
                <w:iCs w:val="0"/>
                <w:color w:val="000000"/>
                <w:sz w:val="22"/>
                <w:szCs w:val="22"/>
                <w:u w:val="none"/>
              </w:rPr>
            </w:pPr>
            <w:r>
              <w:rPr>
                <w:rFonts w:hint="eastAsia" w:ascii="仿宋" w:hAnsi="仿宋" w:eastAsia="仿宋" w:cs="仿宋"/>
                <w:b/>
                <w:i w:val="0"/>
                <w:iCs w:val="0"/>
                <w:color w:val="000000"/>
                <w:kern w:val="0"/>
                <w:sz w:val="22"/>
                <w:szCs w:val="22"/>
                <w:u w:val="none"/>
                <w:lang w:val="en-US" w:eastAsia="zh-CN" w:bidi="ar"/>
              </w:rPr>
              <w:t>10</w:t>
            </w:r>
          </w:p>
        </w:tc>
        <w:tc>
          <w:tcPr>
            <w:tcW w:w="598" w:type="dxa"/>
            <w:tcBorders>
              <w:top w:val="single" w:color="auto" w:sz="4" w:space="0"/>
              <w:left w:val="single" w:color="auto" w:sz="4" w:space="0"/>
              <w:bottom w:val="single" w:color="auto" w:sz="4" w:space="0"/>
              <w:right w:val="single" w:color="auto" w:sz="4" w:space="0"/>
            </w:tcBorders>
            <w:shd w:val="clear" w:color="auto" w:fill="D7D7D7" w:themeFill="background1" w:themeFillShade="D8"/>
            <w:noWrap/>
            <w:vAlign w:val="center"/>
          </w:tcPr>
          <w:p w14:paraId="107A2F31">
            <w:pPr>
              <w:keepNext w:val="0"/>
              <w:keepLines w:val="0"/>
              <w:widowControl/>
              <w:suppressLineNumbers w:val="0"/>
              <w:snapToGrid w:val="0"/>
              <w:jc w:val="center"/>
              <w:textAlignment w:val="center"/>
              <w:rPr>
                <w:rFonts w:hint="eastAsia" w:ascii="仿宋" w:hAnsi="仿宋" w:eastAsia="仿宋" w:cs="仿宋"/>
                <w:b/>
                <w:i w:val="0"/>
                <w:iCs w:val="0"/>
                <w:color w:val="000000"/>
                <w:sz w:val="22"/>
                <w:szCs w:val="22"/>
                <w:u w:val="none"/>
              </w:rPr>
            </w:pPr>
            <w:r>
              <w:rPr>
                <w:rFonts w:hint="eastAsia" w:ascii="仿宋" w:hAnsi="仿宋" w:eastAsia="仿宋" w:cs="仿宋"/>
                <w:b/>
                <w:i w:val="0"/>
                <w:iCs w:val="0"/>
                <w:color w:val="000000"/>
                <w:kern w:val="0"/>
                <w:sz w:val="22"/>
                <w:szCs w:val="22"/>
                <w:u w:val="none"/>
                <w:lang w:val="en-US" w:eastAsia="zh-CN" w:bidi="ar"/>
              </w:rPr>
              <w:t>11</w:t>
            </w:r>
          </w:p>
        </w:tc>
        <w:tc>
          <w:tcPr>
            <w:tcW w:w="598" w:type="dxa"/>
            <w:tcBorders>
              <w:top w:val="single" w:color="auto" w:sz="4" w:space="0"/>
              <w:left w:val="single" w:color="auto" w:sz="4" w:space="0"/>
              <w:bottom w:val="single" w:color="auto" w:sz="4" w:space="0"/>
              <w:right w:val="single" w:color="auto" w:sz="4" w:space="0"/>
            </w:tcBorders>
            <w:shd w:val="clear" w:color="auto" w:fill="D7D7D7" w:themeFill="background1" w:themeFillShade="D8"/>
            <w:noWrap/>
            <w:vAlign w:val="center"/>
          </w:tcPr>
          <w:p w14:paraId="3285E91E">
            <w:pPr>
              <w:keepNext w:val="0"/>
              <w:keepLines w:val="0"/>
              <w:widowControl/>
              <w:suppressLineNumbers w:val="0"/>
              <w:snapToGrid w:val="0"/>
              <w:jc w:val="center"/>
              <w:textAlignment w:val="center"/>
              <w:rPr>
                <w:rFonts w:hint="eastAsia" w:ascii="仿宋" w:hAnsi="仿宋" w:eastAsia="仿宋" w:cs="仿宋"/>
                <w:b/>
                <w:i w:val="0"/>
                <w:iCs w:val="0"/>
                <w:color w:val="000000"/>
                <w:sz w:val="22"/>
                <w:szCs w:val="22"/>
                <w:u w:val="none"/>
              </w:rPr>
            </w:pPr>
            <w:r>
              <w:rPr>
                <w:rFonts w:hint="eastAsia" w:ascii="仿宋" w:hAnsi="仿宋" w:eastAsia="仿宋" w:cs="仿宋"/>
                <w:b/>
                <w:i w:val="0"/>
                <w:iCs w:val="0"/>
                <w:color w:val="000000"/>
                <w:kern w:val="0"/>
                <w:sz w:val="22"/>
                <w:szCs w:val="22"/>
                <w:u w:val="none"/>
                <w:lang w:val="en-US" w:eastAsia="zh-CN" w:bidi="ar"/>
              </w:rPr>
              <w:t>12</w:t>
            </w:r>
          </w:p>
        </w:tc>
        <w:tc>
          <w:tcPr>
            <w:tcW w:w="714" w:type="dxa"/>
            <w:tcBorders>
              <w:top w:val="single" w:color="auto" w:sz="4" w:space="0"/>
              <w:left w:val="single" w:color="auto" w:sz="4" w:space="0"/>
              <w:bottom w:val="single" w:color="auto" w:sz="4" w:space="0"/>
              <w:right w:val="single" w:color="auto" w:sz="4" w:space="0"/>
            </w:tcBorders>
            <w:shd w:val="clear" w:color="auto" w:fill="D7D7D7" w:themeFill="background1" w:themeFillShade="D8"/>
            <w:noWrap/>
            <w:vAlign w:val="center"/>
          </w:tcPr>
          <w:p w14:paraId="1938CBD3">
            <w:pPr>
              <w:keepNext w:val="0"/>
              <w:keepLines w:val="0"/>
              <w:widowControl/>
              <w:suppressLineNumbers w:val="0"/>
              <w:snapToGrid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合计</w:t>
            </w:r>
          </w:p>
        </w:tc>
      </w:tr>
      <w:tr w14:paraId="56B9A9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56" w:type="dxa"/>
            <w:left w:w="77" w:type="dxa"/>
            <w:bottom w:w="56" w:type="dxa"/>
            <w:right w:w="77" w:type="dxa"/>
          </w:tblCellMar>
        </w:tblPrEx>
        <w:trPr>
          <w:trHeight w:val="0" w:hRule="atLeast"/>
          <w:jc w:val="center"/>
        </w:trPr>
        <w:tc>
          <w:tcPr>
            <w:tcW w:w="2882"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32038C9">
            <w:pPr>
              <w:keepNext w:val="0"/>
              <w:keepLines w:val="0"/>
              <w:widowControl/>
              <w:suppressLineNumbers w:val="0"/>
              <w:snapToGrid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实际享受该项减免政策的人数</w:t>
            </w:r>
          </w:p>
        </w:tc>
        <w:tc>
          <w:tcPr>
            <w:tcW w:w="59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B121520">
            <w:pPr>
              <w:keepNext w:val="0"/>
              <w:keepLines w:val="0"/>
              <w:widowControl/>
              <w:suppressLineNumbers w:val="0"/>
              <w:snapToGrid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184</w:t>
            </w:r>
          </w:p>
        </w:tc>
        <w:tc>
          <w:tcPr>
            <w:tcW w:w="59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3E7AC9A">
            <w:pPr>
              <w:keepNext w:val="0"/>
              <w:keepLines w:val="0"/>
              <w:widowControl/>
              <w:suppressLineNumbers w:val="0"/>
              <w:snapToGrid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165</w:t>
            </w:r>
          </w:p>
        </w:tc>
        <w:tc>
          <w:tcPr>
            <w:tcW w:w="59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7F257F7">
            <w:pPr>
              <w:keepNext w:val="0"/>
              <w:keepLines w:val="0"/>
              <w:widowControl/>
              <w:suppressLineNumbers w:val="0"/>
              <w:snapToGrid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200</w:t>
            </w:r>
          </w:p>
        </w:tc>
        <w:tc>
          <w:tcPr>
            <w:tcW w:w="59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31FF298">
            <w:pPr>
              <w:keepNext w:val="0"/>
              <w:keepLines w:val="0"/>
              <w:widowControl/>
              <w:suppressLineNumbers w:val="0"/>
              <w:snapToGrid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144</w:t>
            </w:r>
          </w:p>
        </w:tc>
        <w:tc>
          <w:tcPr>
            <w:tcW w:w="59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A74EE6D">
            <w:pPr>
              <w:keepNext w:val="0"/>
              <w:keepLines w:val="0"/>
              <w:widowControl/>
              <w:suppressLineNumbers w:val="0"/>
              <w:snapToGrid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166</w:t>
            </w:r>
          </w:p>
        </w:tc>
        <w:tc>
          <w:tcPr>
            <w:tcW w:w="59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091B090">
            <w:pPr>
              <w:keepNext w:val="0"/>
              <w:keepLines w:val="0"/>
              <w:widowControl/>
              <w:suppressLineNumbers w:val="0"/>
              <w:snapToGrid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163</w:t>
            </w:r>
          </w:p>
        </w:tc>
        <w:tc>
          <w:tcPr>
            <w:tcW w:w="59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4277D88">
            <w:pPr>
              <w:keepNext w:val="0"/>
              <w:keepLines w:val="0"/>
              <w:widowControl/>
              <w:suppressLineNumbers w:val="0"/>
              <w:snapToGrid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137</w:t>
            </w:r>
          </w:p>
        </w:tc>
        <w:tc>
          <w:tcPr>
            <w:tcW w:w="59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51C4E9C">
            <w:pPr>
              <w:keepNext w:val="0"/>
              <w:keepLines w:val="0"/>
              <w:widowControl/>
              <w:suppressLineNumbers w:val="0"/>
              <w:snapToGrid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154</w:t>
            </w:r>
          </w:p>
        </w:tc>
        <w:tc>
          <w:tcPr>
            <w:tcW w:w="59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6559C73">
            <w:pPr>
              <w:keepNext w:val="0"/>
              <w:keepLines w:val="0"/>
              <w:widowControl/>
              <w:suppressLineNumbers w:val="0"/>
              <w:snapToGrid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151</w:t>
            </w:r>
          </w:p>
        </w:tc>
        <w:tc>
          <w:tcPr>
            <w:tcW w:w="59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FE3F736">
            <w:pPr>
              <w:keepNext w:val="0"/>
              <w:keepLines w:val="0"/>
              <w:widowControl/>
              <w:suppressLineNumbers w:val="0"/>
              <w:snapToGrid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159</w:t>
            </w:r>
          </w:p>
        </w:tc>
        <w:tc>
          <w:tcPr>
            <w:tcW w:w="59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31FBE7D">
            <w:pPr>
              <w:keepNext w:val="0"/>
              <w:keepLines w:val="0"/>
              <w:widowControl/>
              <w:suppressLineNumbers w:val="0"/>
              <w:snapToGrid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140</w:t>
            </w:r>
          </w:p>
        </w:tc>
        <w:tc>
          <w:tcPr>
            <w:tcW w:w="59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4DB2B6F">
            <w:pPr>
              <w:keepNext w:val="0"/>
              <w:keepLines w:val="0"/>
              <w:widowControl/>
              <w:suppressLineNumbers w:val="0"/>
              <w:snapToGrid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156</w:t>
            </w:r>
          </w:p>
        </w:tc>
        <w:tc>
          <w:tcPr>
            <w:tcW w:w="71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2AAE377">
            <w:pPr>
              <w:keepNext w:val="0"/>
              <w:keepLines w:val="0"/>
              <w:widowControl/>
              <w:suppressLineNumbers w:val="0"/>
              <w:snapToGrid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1919</w:t>
            </w:r>
          </w:p>
        </w:tc>
      </w:tr>
    </w:tbl>
    <w:p w14:paraId="0E16B5B4">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（2）参与节地生态安葬人数</w:t>
      </w:r>
    </w:p>
    <w:p w14:paraId="6E0F4DCC">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2022 年村级骨灰堂安葬 891 人次，石狮市殡仪馆骨灰堂安葬 308 人次，合计节地安葬人数1199人，2023 年村级骨灰堂安葬 1020 人次，石狮市殡仪馆骨灰堂安葬 393 人次，合计节地安葬人数1413人；2024 年，村级骨灰堂安葬 834 人次，石狮市殡仪馆骨灰堂安葬 329人次灰堂，1 人次选择海葬，合计节地安葬人数1163人，回顾三年数据，村级骨灰堂安葬人次呈下降趋势，市殡仪馆骨灰堂安葬人次波动频繁，海葬推广参与度低，反映出殡葬管理所在宣传工作的覆盖面、宣传形式及内容与群众需求的契合度等方面仍存在优化空间，而这些因素对群众深入认知与广泛接受多样化殡葬方式、推进殡葬改革持续发展具有重要影响。根据评分标准，指标分值 5分，扣除 1 分，得分 4 分。</w:t>
      </w:r>
    </w:p>
    <w:p w14:paraId="36AE94BE">
      <w:pPr>
        <w:keepNext w:val="0"/>
        <w:keepLines w:val="0"/>
        <w:pageBreakBefore w:val="0"/>
        <w:widowControl w:val="0"/>
        <w:kinsoku/>
        <w:wordWrap/>
        <w:topLinePunct w:val="0"/>
        <w:bidi w:val="0"/>
        <w:snapToGrid/>
        <w:jc w:val="center"/>
        <w:rPr>
          <w:rFonts w:hint="default" w:ascii="仿宋" w:hAnsi="仿宋" w:eastAsia="仿宋" w:cs="仿宋"/>
          <w:b/>
          <w:bCs/>
          <w:color w:val="auto"/>
          <w:kern w:val="0"/>
          <w:sz w:val="28"/>
          <w:szCs w:val="28"/>
          <w:highlight w:val="none"/>
          <w:lang w:val="en-US" w:eastAsia="zh-CN" w:bidi="ar-SA"/>
        </w:rPr>
      </w:pPr>
      <w:r>
        <w:rPr>
          <w:rFonts w:hint="eastAsia" w:ascii="仿宋" w:hAnsi="仿宋" w:eastAsia="仿宋" w:cs="仿宋"/>
          <w:b/>
          <w:bCs/>
          <w:color w:val="auto"/>
          <w:kern w:val="0"/>
          <w:sz w:val="28"/>
          <w:szCs w:val="28"/>
          <w:highlight w:val="none"/>
          <w:lang w:val="en-US" w:eastAsia="zh-CN" w:bidi="ar-SA"/>
        </w:rPr>
        <w:t>表5 2022-2024年度安葬于骨灰堂的情况统计表</w:t>
      </w:r>
    </w:p>
    <w:tbl>
      <w:tblPr>
        <w:tblStyle w:val="17"/>
        <w:tblW w:w="86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80" w:type="dxa"/>
          <w:left w:w="128" w:type="dxa"/>
          <w:bottom w:w="80" w:type="dxa"/>
          <w:right w:w="128" w:type="dxa"/>
        </w:tblCellMar>
      </w:tblPr>
      <w:tblGrid>
        <w:gridCol w:w="1032"/>
        <w:gridCol w:w="2268"/>
        <w:gridCol w:w="2738"/>
        <w:gridCol w:w="1094"/>
        <w:gridCol w:w="1542"/>
      </w:tblGrid>
      <w:tr w14:paraId="6B701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80" w:type="dxa"/>
            <w:left w:w="128" w:type="dxa"/>
            <w:bottom w:w="80" w:type="dxa"/>
            <w:right w:w="128" w:type="dxa"/>
          </w:tblCellMar>
        </w:tblPrEx>
        <w:trPr>
          <w:trHeight w:val="0" w:hRule="atLeast"/>
          <w:tblHeader/>
          <w:jc w:val="center"/>
        </w:trPr>
        <w:tc>
          <w:tcPr>
            <w:tcW w:w="1032" w:type="dxa"/>
            <w:shd w:val="clear" w:color="auto" w:fill="D7D7D7" w:themeFill="background1" w:themeFillShade="D8"/>
            <w:vAlign w:val="center"/>
          </w:tcPr>
          <w:p w14:paraId="5BF2701F">
            <w:pPr>
              <w:keepNext w:val="0"/>
              <w:keepLines/>
              <w:pageBreakBefore w:val="0"/>
              <w:widowControl w:val="0"/>
              <w:kinsoku/>
              <w:wordWrap/>
              <w:overflowPunct/>
              <w:topLinePunct w:val="0"/>
              <w:autoSpaceDE/>
              <w:autoSpaceDN/>
              <w:bidi w:val="0"/>
              <w:adjustRightInd/>
              <w:snapToGrid w:val="0"/>
              <w:spacing w:line="240" w:lineRule="exact"/>
              <w:jc w:val="center"/>
              <w:textAlignment w:val="auto"/>
              <w:outlineLvl w:val="9"/>
              <w:rPr>
                <w:rFonts w:hint="eastAsia" w:ascii="仿宋" w:hAnsi="仿宋" w:eastAsia="仿宋" w:cs="仿宋"/>
                <w:b/>
                <w:color w:val="auto"/>
                <w:sz w:val="24"/>
                <w:szCs w:val="24"/>
                <w:highlight w:val="none"/>
                <w:vertAlign w:val="baseline"/>
                <w:lang w:val="en-US" w:eastAsia="zh-CN"/>
              </w:rPr>
            </w:pPr>
            <w:r>
              <w:rPr>
                <w:rFonts w:hint="eastAsia" w:ascii="仿宋" w:hAnsi="仿宋" w:eastAsia="仿宋" w:cs="仿宋"/>
                <w:b/>
                <w:color w:val="auto"/>
                <w:sz w:val="24"/>
                <w:szCs w:val="24"/>
                <w:highlight w:val="none"/>
                <w:vertAlign w:val="baseline"/>
                <w:lang w:val="en-US" w:eastAsia="zh-CN"/>
              </w:rPr>
              <w:t>年份</w:t>
            </w:r>
          </w:p>
        </w:tc>
        <w:tc>
          <w:tcPr>
            <w:tcW w:w="2268" w:type="dxa"/>
            <w:shd w:val="clear" w:color="auto" w:fill="D7D7D7" w:themeFill="background1" w:themeFillShade="D8"/>
            <w:vAlign w:val="center"/>
          </w:tcPr>
          <w:p w14:paraId="38FD887C">
            <w:pPr>
              <w:keepNext w:val="0"/>
              <w:keepLines/>
              <w:pageBreakBefore w:val="0"/>
              <w:widowControl w:val="0"/>
              <w:suppressLineNumbers w:val="0"/>
              <w:kinsoku/>
              <w:wordWrap/>
              <w:overflowPunct/>
              <w:topLinePunct w:val="0"/>
              <w:autoSpaceDE/>
              <w:autoSpaceDN/>
              <w:bidi w:val="0"/>
              <w:adjustRightInd/>
              <w:snapToGrid w:val="0"/>
              <w:spacing w:line="240" w:lineRule="exact"/>
              <w:jc w:val="center"/>
              <w:textAlignment w:val="center"/>
              <w:outlineLvl w:val="9"/>
              <w:rPr>
                <w:rFonts w:hint="eastAsia" w:ascii="仿宋" w:hAnsi="仿宋" w:eastAsia="仿宋" w:cs="仿宋"/>
                <w:b/>
                <w:color w:val="auto"/>
                <w:sz w:val="24"/>
                <w:szCs w:val="24"/>
                <w:highlight w:val="none"/>
                <w:vertAlign w:val="baseline"/>
                <w:lang w:val="en-US" w:eastAsia="zh-CN"/>
              </w:rPr>
            </w:pPr>
            <w:r>
              <w:rPr>
                <w:rFonts w:hint="eastAsia" w:ascii="仿宋" w:hAnsi="仿宋" w:eastAsia="仿宋" w:cs="仿宋"/>
                <w:b/>
                <w:i w:val="0"/>
                <w:iCs w:val="0"/>
                <w:color w:val="000000"/>
                <w:kern w:val="0"/>
                <w:sz w:val="24"/>
                <w:szCs w:val="24"/>
                <w:u w:val="none"/>
                <w:lang w:val="en-US" w:eastAsia="zh-CN" w:bidi="ar"/>
              </w:rPr>
              <w:t>村级骨灰堂</w:t>
            </w:r>
          </w:p>
        </w:tc>
        <w:tc>
          <w:tcPr>
            <w:tcW w:w="2738" w:type="dxa"/>
            <w:shd w:val="clear" w:color="auto" w:fill="D7D7D7" w:themeFill="background1" w:themeFillShade="D8"/>
            <w:vAlign w:val="center"/>
          </w:tcPr>
          <w:p w14:paraId="464B11C6">
            <w:pPr>
              <w:keepNext w:val="0"/>
              <w:keepLines/>
              <w:pageBreakBefore w:val="0"/>
              <w:widowControl w:val="0"/>
              <w:suppressLineNumbers w:val="0"/>
              <w:kinsoku/>
              <w:wordWrap/>
              <w:overflowPunct/>
              <w:topLinePunct w:val="0"/>
              <w:autoSpaceDE/>
              <w:autoSpaceDN/>
              <w:bidi w:val="0"/>
              <w:adjustRightInd/>
              <w:snapToGrid w:val="0"/>
              <w:spacing w:line="240" w:lineRule="exact"/>
              <w:jc w:val="center"/>
              <w:textAlignment w:val="center"/>
              <w:outlineLvl w:val="9"/>
              <w:rPr>
                <w:rFonts w:hint="eastAsia" w:ascii="仿宋" w:hAnsi="仿宋" w:eastAsia="仿宋" w:cs="仿宋"/>
                <w:b/>
                <w:color w:val="auto"/>
                <w:sz w:val="24"/>
                <w:szCs w:val="24"/>
                <w:highlight w:val="none"/>
                <w:vertAlign w:val="baseline"/>
                <w:lang w:val="en-US" w:eastAsia="zh-CN"/>
              </w:rPr>
            </w:pPr>
            <w:r>
              <w:rPr>
                <w:rFonts w:hint="eastAsia" w:ascii="仿宋" w:hAnsi="仿宋" w:eastAsia="仿宋" w:cs="仿宋"/>
                <w:b/>
                <w:i w:val="0"/>
                <w:iCs w:val="0"/>
                <w:color w:val="000000"/>
                <w:kern w:val="0"/>
                <w:sz w:val="24"/>
                <w:szCs w:val="24"/>
                <w:u w:val="none"/>
                <w:lang w:val="en-US" w:eastAsia="zh-CN" w:bidi="ar"/>
              </w:rPr>
              <w:t>石狮市殡仪馆骨灰堂</w:t>
            </w:r>
          </w:p>
        </w:tc>
        <w:tc>
          <w:tcPr>
            <w:tcW w:w="1094" w:type="dxa"/>
            <w:shd w:val="clear" w:color="auto" w:fill="D7D7D7" w:themeFill="background1" w:themeFillShade="D8"/>
            <w:vAlign w:val="center"/>
          </w:tcPr>
          <w:p w14:paraId="581388FE">
            <w:pPr>
              <w:keepNext w:val="0"/>
              <w:keepLines/>
              <w:pageBreakBefore w:val="0"/>
              <w:widowControl w:val="0"/>
              <w:suppressLineNumbers w:val="0"/>
              <w:kinsoku/>
              <w:wordWrap/>
              <w:overflowPunct/>
              <w:topLinePunct w:val="0"/>
              <w:autoSpaceDE/>
              <w:autoSpaceDN/>
              <w:bidi w:val="0"/>
              <w:adjustRightInd/>
              <w:snapToGrid w:val="0"/>
              <w:spacing w:line="240" w:lineRule="exact"/>
              <w:jc w:val="center"/>
              <w:textAlignment w:val="center"/>
              <w:outlineLvl w:val="9"/>
              <w:rPr>
                <w:rFonts w:hint="eastAsia" w:ascii="仿宋" w:hAnsi="仿宋" w:eastAsia="仿宋" w:cs="仿宋"/>
                <w:b/>
                <w:color w:val="auto"/>
                <w:sz w:val="24"/>
                <w:szCs w:val="24"/>
                <w:highlight w:val="none"/>
                <w:vertAlign w:val="baseline"/>
                <w:lang w:val="en-US" w:eastAsia="zh-CN"/>
              </w:rPr>
            </w:pPr>
            <w:r>
              <w:rPr>
                <w:rFonts w:hint="eastAsia" w:ascii="仿宋" w:hAnsi="仿宋" w:eastAsia="仿宋" w:cs="仿宋"/>
                <w:b/>
                <w:i w:val="0"/>
                <w:iCs w:val="0"/>
                <w:color w:val="000000"/>
                <w:kern w:val="0"/>
                <w:sz w:val="24"/>
                <w:szCs w:val="24"/>
                <w:u w:val="none"/>
                <w:lang w:val="en-US" w:eastAsia="zh-CN" w:bidi="ar"/>
              </w:rPr>
              <w:t>海葬</w:t>
            </w:r>
          </w:p>
        </w:tc>
        <w:tc>
          <w:tcPr>
            <w:tcW w:w="1542" w:type="dxa"/>
            <w:shd w:val="clear" w:color="auto" w:fill="D7D7D7" w:themeFill="background1" w:themeFillShade="D8"/>
            <w:vAlign w:val="center"/>
          </w:tcPr>
          <w:p w14:paraId="33395016">
            <w:pPr>
              <w:keepNext w:val="0"/>
              <w:keepLines w:val="0"/>
              <w:pageBreakBefore w:val="0"/>
              <w:widowControl/>
              <w:suppressLineNumbers w:val="0"/>
              <w:kinsoku/>
              <w:wordWrap/>
              <w:overflowPunct/>
              <w:topLinePunct w:val="0"/>
              <w:autoSpaceDE/>
              <w:autoSpaceDN/>
              <w:bidi w:val="0"/>
              <w:adjustRightInd/>
              <w:jc w:val="center"/>
              <w:textAlignment w:val="center"/>
              <w:outlineLvl w:val="9"/>
              <w:rPr>
                <w:rFonts w:hint="eastAsia" w:ascii="仿宋" w:hAnsi="仿宋" w:eastAsia="仿宋" w:cs="仿宋"/>
                <w:b/>
                <w:i w:val="0"/>
                <w:iCs w:val="0"/>
                <w:color w:val="000000"/>
                <w:kern w:val="0"/>
                <w:sz w:val="24"/>
                <w:szCs w:val="24"/>
                <w:u w:val="none"/>
                <w:lang w:val="en-US" w:eastAsia="zh-CN" w:bidi="ar"/>
              </w:rPr>
            </w:pPr>
            <w:r>
              <w:rPr>
                <w:rFonts w:hint="eastAsia" w:ascii="仿宋" w:hAnsi="仿宋" w:eastAsia="仿宋" w:cs="仿宋"/>
                <w:b/>
                <w:bCs/>
                <w:i w:val="0"/>
                <w:iCs w:val="0"/>
                <w:color w:val="000000"/>
                <w:kern w:val="0"/>
                <w:sz w:val="24"/>
                <w:szCs w:val="24"/>
                <w:u w:val="none"/>
                <w:lang w:val="en-US" w:eastAsia="zh-CN" w:bidi="ar"/>
              </w:rPr>
              <w:t>合计</w:t>
            </w:r>
          </w:p>
        </w:tc>
      </w:tr>
      <w:tr w14:paraId="7BB4E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80" w:type="dxa"/>
            <w:left w:w="128" w:type="dxa"/>
            <w:bottom w:w="80" w:type="dxa"/>
            <w:right w:w="128" w:type="dxa"/>
          </w:tblCellMar>
        </w:tblPrEx>
        <w:trPr>
          <w:trHeight w:val="0" w:hRule="atLeast"/>
          <w:jc w:val="center"/>
        </w:trPr>
        <w:tc>
          <w:tcPr>
            <w:tcW w:w="1032" w:type="dxa"/>
            <w:vAlign w:val="center"/>
          </w:tcPr>
          <w:p w14:paraId="02690F26">
            <w:pPr>
              <w:keepNext w:val="0"/>
              <w:keepLines/>
              <w:pageBreakBefore w:val="0"/>
              <w:widowControl w:val="0"/>
              <w:kinsoku/>
              <w:wordWrap/>
              <w:overflowPunct/>
              <w:topLinePunct w:val="0"/>
              <w:autoSpaceDE/>
              <w:autoSpaceDN/>
              <w:bidi w:val="0"/>
              <w:adjustRightInd/>
              <w:snapToGrid w:val="0"/>
              <w:spacing w:line="240" w:lineRule="exact"/>
              <w:jc w:val="center"/>
              <w:textAlignment w:val="auto"/>
              <w:outlineLvl w:val="9"/>
              <w:rPr>
                <w:rFonts w:hint="eastAsia" w:ascii="仿宋" w:hAnsi="仿宋" w:eastAsia="仿宋" w:cs="仿宋"/>
                <w:color w:val="auto"/>
                <w:sz w:val="24"/>
                <w:szCs w:val="24"/>
                <w:highlight w:val="none"/>
                <w:vertAlign w:val="baseline"/>
                <w:lang w:val="en-US" w:eastAsia="zh-CN"/>
              </w:rPr>
            </w:pPr>
            <w:r>
              <w:rPr>
                <w:rFonts w:hint="eastAsia" w:ascii="仿宋" w:hAnsi="仿宋" w:eastAsia="仿宋" w:cs="仿宋"/>
                <w:color w:val="auto"/>
                <w:sz w:val="24"/>
                <w:szCs w:val="24"/>
                <w:highlight w:val="none"/>
                <w:vertAlign w:val="baseline"/>
                <w:lang w:val="en-US" w:eastAsia="zh-CN"/>
              </w:rPr>
              <w:t>2022</w:t>
            </w:r>
          </w:p>
        </w:tc>
        <w:tc>
          <w:tcPr>
            <w:tcW w:w="2268" w:type="dxa"/>
            <w:vAlign w:val="center"/>
          </w:tcPr>
          <w:p w14:paraId="3DFD98D8">
            <w:pPr>
              <w:keepNext w:val="0"/>
              <w:keepLines/>
              <w:pageBreakBefore w:val="0"/>
              <w:widowControl w:val="0"/>
              <w:suppressLineNumbers w:val="0"/>
              <w:kinsoku/>
              <w:wordWrap/>
              <w:overflowPunct/>
              <w:topLinePunct w:val="0"/>
              <w:autoSpaceDE/>
              <w:autoSpaceDN/>
              <w:bidi w:val="0"/>
              <w:adjustRightInd/>
              <w:snapToGrid w:val="0"/>
              <w:spacing w:line="240" w:lineRule="exact"/>
              <w:jc w:val="center"/>
              <w:textAlignment w:val="center"/>
              <w:outlineLvl w:val="9"/>
              <w:rPr>
                <w:rFonts w:hint="eastAsia" w:ascii="仿宋" w:hAnsi="仿宋" w:eastAsia="仿宋" w:cs="仿宋"/>
                <w:color w:val="auto"/>
                <w:sz w:val="24"/>
                <w:szCs w:val="24"/>
                <w:highlight w:val="none"/>
                <w:vertAlign w:val="baseline"/>
                <w:lang w:val="en-US" w:eastAsia="zh-CN"/>
              </w:rPr>
            </w:pPr>
            <w:r>
              <w:rPr>
                <w:rFonts w:hint="eastAsia" w:ascii="仿宋" w:hAnsi="仿宋" w:eastAsia="仿宋" w:cs="仿宋"/>
                <w:i w:val="0"/>
                <w:iCs w:val="0"/>
                <w:color w:val="000000"/>
                <w:kern w:val="0"/>
                <w:sz w:val="24"/>
                <w:szCs w:val="24"/>
                <w:u w:val="none"/>
                <w:lang w:val="en-US" w:eastAsia="zh-CN" w:bidi="ar"/>
              </w:rPr>
              <w:t>891</w:t>
            </w:r>
          </w:p>
        </w:tc>
        <w:tc>
          <w:tcPr>
            <w:tcW w:w="2738" w:type="dxa"/>
            <w:vAlign w:val="center"/>
          </w:tcPr>
          <w:p w14:paraId="04757C76">
            <w:pPr>
              <w:keepNext w:val="0"/>
              <w:keepLines/>
              <w:pageBreakBefore w:val="0"/>
              <w:widowControl w:val="0"/>
              <w:suppressLineNumbers w:val="0"/>
              <w:kinsoku/>
              <w:wordWrap/>
              <w:overflowPunct/>
              <w:topLinePunct w:val="0"/>
              <w:autoSpaceDE/>
              <w:autoSpaceDN/>
              <w:bidi w:val="0"/>
              <w:adjustRightInd/>
              <w:snapToGrid w:val="0"/>
              <w:spacing w:line="240" w:lineRule="exact"/>
              <w:jc w:val="center"/>
              <w:textAlignment w:val="center"/>
              <w:outlineLvl w:val="9"/>
              <w:rPr>
                <w:rFonts w:hint="eastAsia" w:ascii="仿宋" w:hAnsi="仿宋" w:eastAsia="仿宋" w:cs="仿宋"/>
                <w:color w:val="auto"/>
                <w:sz w:val="24"/>
                <w:szCs w:val="24"/>
                <w:highlight w:val="none"/>
                <w:vertAlign w:val="baseline"/>
                <w:lang w:val="en-US" w:eastAsia="zh-CN"/>
              </w:rPr>
            </w:pPr>
            <w:r>
              <w:rPr>
                <w:rFonts w:hint="eastAsia" w:ascii="仿宋" w:hAnsi="仿宋" w:eastAsia="仿宋" w:cs="仿宋"/>
                <w:i w:val="0"/>
                <w:iCs w:val="0"/>
                <w:color w:val="000000"/>
                <w:kern w:val="0"/>
                <w:sz w:val="24"/>
                <w:szCs w:val="24"/>
                <w:u w:val="none"/>
                <w:lang w:val="en-US" w:eastAsia="zh-CN" w:bidi="ar"/>
              </w:rPr>
              <w:t>308</w:t>
            </w:r>
          </w:p>
        </w:tc>
        <w:tc>
          <w:tcPr>
            <w:tcW w:w="1094" w:type="dxa"/>
            <w:vAlign w:val="center"/>
          </w:tcPr>
          <w:p w14:paraId="0F0B638C">
            <w:pPr>
              <w:keepNext w:val="0"/>
              <w:keepLines/>
              <w:pageBreakBefore w:val="0"/>
              <w:widowControl w:val="0"/>
              <w:kinsoku/>
              <w:wordWrap/>
              <w:overflowPunct/>
              <w:topLinePunct w:val="0"/>
              <w:autoSpaceDE/>
              <w:autoSpaceDN/>
              <w:bidi w:val="0"/>
              <w:adjustRightInd/>
              <w:snapToGrid w:val="0"/>
              <w:spacing w:line="240" w:lineRule="exact"/>
              <w:jc w:val="center"/>
              <w:textAlignment w:val="auto"/>
              <w:outlineLvl w:val="9"/>
              <w:rPr>
                <w:rFonts w:hint="eastAsia" w:ascii="仿宋" w:hAnsi="仿宋" w:eastAsia="仿宋" w:cs="仿宋"/>
                <w:color w:val="auto"/>
                <w:sz w:val="24"/>
                <w:szCs w:val="24"/>
                <w:highlight w:val="none"/>
                <w:vertAlign w:val="baseline"/>
                <w:lang w:val="en-US" w:eastAsia="zh-CN"/>
              </w:rPr>
            </w:pPr>
          </w:p>
        </w:tc>
        <w:tc>
          <w:tcPr>
            <w:tcW w:w="1542" w:type="dxa"/>
            <w:vAlign w:val="center"/>
          </w:tcPr>
          <w:p w14:paraId="6F9EB985">
            <w:pPr>
              <w:keepNext w:val="0"/>
              <w:keepLines w:val="0"/>
              <w:pageBreakBefore w:val="0"/>
              <w:widowControl/>
              <w:suppressLineNumbers w:val="0"/>
              <w:kinsoku/>
              <w:wordWrap/>
              <w:overflowPunct/>
              <w:topLinePunct w:val="0"/>
              <w:autoSpaceDE/>
              <w:autoSpaceDN/>
              <w:bidi w:val="0"/>
              <w:adjustRightInd/>
              <w:jc w:val="center"/>
              <w:textAlignment w:val="center"/>
              <w:outlineLvl w:val="9"/>
              <w:rPr>
                <w:rFonts w:hint="eastAsia" w:ascii="仿宋" w:hAnsi="仿宋" w:eastAsia="仿宋" w:cs="仿宋"/>
                <w:color w:val="auto"/>
                <w:sz w:val="24"/>
                <w:szCs w:val="24"/>
                <w:highlight w:val="none"/>
                <w:vertAlign w:val="baseline"/>
                <w:lang w:val="en-US" w:eastAsia="zh-CN"/>
              </w:rPr>
            </w:pPr>
            <w:r>
              <w:rPr>
                <w:rFonts w:hint="eastAsia" w:ascii="仿宋" w:hAnsi="仿宋" w:eastAsia="仿宋" w:cs="仿宋"/>
                <w:b/>
                <w:bCs/>
                <w:i w:val="0"/>
                <w:iCs w:val="0"/>
                <w:color w:val="000000"/>
                <w:kern w:val="0"/>
                <w:sz w:val="24"/>
                <w:szCs w:val="24"/>
                <w:u w:val="none"/>
                <w:lang w:val="en-US" w:eastAsia="zh-CN" w:bidi="ar"/>
              </w:rPr>
              <w:t>1199</w:t>
            </w:r>
          </w:p>
        </w:tc>
      </w:tr>
      <w:tr w14:paraId="5C28B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80" w:type="dxa"/>
            <w:left w:w="128" w:type="dxa"/>
            <w:bottom w:w="80" w:type="dxa"/>
            <w:right w:w="128" w:type="dxa"/>
          </w:tblCellMar>
        </w:tblPrEx>
        <w:trPr>
          <w:trHeight w:val="0" w:hRule="atLeast"/>
          <w:jc w:val="center"/>
        </w:trPr>
        <w:tc>
          <w:tcPr>
            <w:tcW w:w="1032" w:type="dxa"/>
            <w:vAlign w:val="center"/>
          </w:tcPr>
          <w:p w14:paraId="3D0CF1D7">
            <w:pPr>
              <w:keepNext w:val="0"/>
              <w:keepLines/>
              <w:pageBreakBefore w:val="0"/>
              <w:widowControl w:val="0"/>
              <w:kinsoku/>
              <w:wordWrap/>
              <w:overflowPunct/>
              <w:topLinePunct w:val="0"/>
              <w:autoSpaceDE/>
              <w:autoSpaceDN/>
              <w:bidi w:val="0"/>
              <w:adjustRightInd/>
              <w:snapToGrid w:val="0"/>
              <w:spacing w:line="240" w:lineRule="exact"/>
              <w:jc w:val="center"/>
              <w:textAlignment w:val="auto"/>
              <w:outlineLvl w:val="9"/>
              <w:rPr>
                <w:rFonts w:hint="eastAsia" w:ascii="仿宋" w:hAnsi="仿宋" w:eastAsia="仿宋" w:cs="仿宋"/>
                <w:color w:val="auto"/>
                <w:sz w:val="24"/>
                <w:szCs w:val="24"/>
                <w:highlight w:val="none"/>
                <w:vertAlign w:val="baseline"/>
                <w:lang w:val="en-US" w:eastAsia="zh-CN"/>
              </w:rPr>
            </w:pPr>
            <w:r>
              <w:rPr>
                <w:rFonts w:hint="eastAsia" w:ascii="仿宋" w:hAnsi="仿宋" w:eastAsia="仿宋" w:cs="仿宋"/>
                <w:color w:val="auto"/>
                <w:sz w:val="24"/>
                <w:szCs w:val="24"/>
                <w:highlight w:val="none"/>
                <w:vertAlign w:val="baseline"/>
                <w:lang w:val="en-US" w:eastAsia="zh-CN"/>
              </w:rPr>
              <w:t>2023</w:t>
            </w:r>
          </w:p>
        </w:tc>
        <w:tc>
          <w:tcPr>
            <w:tcW w:w="2268" w:type="dxa"/>
            <w:vAlign w:val="center"/>
          </w:tcPr>
          <w:p w14:paraId="769C8879">
            <w:pPr>
              <w:keepNext w:val="0"/>
              <w:keepLines/>
              <w:pageBreakBefore w:val="0"/>
              <w:widowControl w:val="0"/>
              <w:suppressLineNumbers w:val="0"/>
              <w:kinsoku/>
              <w:wordWrap/>
              <w:overflowPunct/>
              <w:topLinePunct w:val="0"/>
              <w:autoSpaceDE/>
              <w:autoSpaceDN/>
              <w:bidi w:val="0"/>
              <w:adjustRightInd/>
              <w:snapToGrid w:val="0"/>
              <w:spacing w:line="240" w:lineRule="exact"/>
              <w:jc w:val="center"/>
              <w:textAlignment w:val="center"/>
              <w:outlineLvl w:val="9"/>
              <w:rPr>
                <w:rFonts w:hint="eastAsia" w:ascii="仿宋" w:hAnsi="仿宋" w:eastAsia="仿宋" w:cs="仿宋"/>
                <w:color w:val="auto"/>
                <w:sz w:val="24"/>
                <w:szCs w:val="24"/>
                <w:highlight w:val="none"/>
                <w:vertAlign w:val="baseline"/>
                <w:lang w:val="en-US" w:eastAsia="zh-CN"/>
              </w:rPr>
            </w:pPr>
            <w:r>
              <w:rPr>
                <w:rFonts w:hint="eastAsia" w:ascii="仿宋" w:hAnsi="仿宋" w:eastAsia="仿宋" w:cs="仿宋"/>
                <w:i w:val="0"/>
                <w:iCs w:val="0"/>
                <w:color w:val="000000"/>
                <w:kern w:val="0"/>
                <w:sz w:val="24"/>
                <w:szCs w:val="24"/>
                <w:u w:val="none"/>
                <w:lang w:val="en-US" w:eastAsia="zh-CN" w:bidi="ar"/>
              </w:rPr>
              <w:t>1020</w:t>
            </w:r>
          </w:p>
        </w:tc>
        <w:tc>
          <w:tcPr>
            <w:tcW w:w="2738" w:type="dxa"/>
            <w:vAlign w:val="center"/>
          </w:tcPr>
          <w:p w14:paraId="1DED1739">
            <w:pPr>
              <w:keepNext w:val="0"/>
              <w:keepLines/>
              <w:pageBreakBefore w:val="0"/>
              <w:widowControl w:val="0"/>
              <w:suppressLineNumbers w:val="0"/>
              <w:kinsoku/>
              <w:wordWrap/>
              <w:overflowPunct/>
              <w:topLinePunct w:val="0"/>
              <w:autoSpaceDE/>
              <w:autoSpaceDN/>
              <w:bidi w:val="0"/>
              <w:adjustRightInd/>
              <w:snapToGrid w:val="0"/>
              <w:spacing w:line="240" w:lineRule="exact"/>
              <w:jc w:val="center"/>
              <w:textAlignment w:val="center"/>
              <w:outlineLvl w:val="9"/>
              <w:rPr>
                <w:rFonts w:hint="eastAsia" w:ascii="仿宋" w:hAnsi="仿宋" w:eastAsia="仿宋" w:cs="仿宋"/>
                <w:color w:val="auto"/>
                <w:sz w:val="24"/>
                <w:szCs w:val="24"/>
                <w:highlight w:val="none"/>
                <w:vertAlign w:val="baseline"/>
                <w:lang w:val="en-US" w:eastAsia="zh-CN"/>
              </w:rPr>
            </w:pPr>
            <w:r>
              <w:rPr>
                <w:rFonts w:hint="eastAsia" w:ascii="仿宋" w:hAnsi="仿宋" w:eastAsia="仿宋" w:cs="仿宋"/>
                <w:i w:val="0"/>
                <w:iCs w:val="0"/>
                <w:color w:val="000000"/>
                <w:kern w:val="0"/>
                <w:sz w:val="24"/>
                <w:szCs w:val="24"/>
                <w:u w:val="none"/>
                <w:lang w:val="en-US" w:eastAsia="zh-CN" w:bidi="ar"/>
              </w:rPr>
              <w:t>393</w:t>
            </w:r>
          </w:p>
        </w:tc>
        <w:tc>
          <w:tcPr>
            <w:tcW w:w="1094" w:type="dxa"/>
            <w:vAlign w:val="center"/>
          </w:tcPr>
          <w:p w14:paraId="04EC16D8">
            <w:pPr>
              <w:keepNext w:val="0"/>
              <w:keepLines/>
              <w:pageBreakBefore w:val="0"/>
              <w:widowControl w:val="0"/>
              <w:kinsoku/>
              <w:wordWrap/>
              <w:overflowPunct/>
              <w:topLinePunct w:val="0"/>
              <w:autoSpaceDE/>
              <w:autoSpaceDN/>
              <w:bidi w:val="0"/>
              <w:adjustRightInd/>
              <w:snapToGrid w:val="0"/>
              <w:spacing w:line="240" w:lineRule="exact"/>
              <w:jc w:val="center"/>
              <w:textAlignment w:val="auto"/>
              <w:outlineLvl w:val="9"/>
              <w:rPr>
                <w:rFonts w:hint="eastAsia" w:ascii="仿宋" w:hAnsi="仿宋" w:eastAsia="仿宋" w:cs="仿宋"/>
                <w:color w:val="auto"/>
                <w:sz w:val="24"/>
                <w:szCs w:val="24"/>
                <w:highlight w:val="none"/>
                <w:vertAlign w:val="baseline"/>
                <w:lang w:val="en-US" w:eastAsia="zh-CN"/>
              </w:rPr>
            </w:pPr>
          </w:p>
        </w:tc>
        <w:tc>
          <w:tcPr>
            <w:tcW w:w="1542" w:type="dxa"/>
            <w:vAlign w:val="center"/>
          </w:tcPr>
          <w:p w14:paraId="493455BA">
            <w:pPr>
              <w:keepNext w:val="0"/>
              <w:keepLines w:val="0"/>
              <w:pageBreakBefore w:val="0"/>
              <w:widowControl/>
              <w:suppressLineNumbers w:val="0"/>
              <w:kinsoku/>
              <w:wordWrap/>
              <w:overflowPunct/>
              <w:topLinePunct w:val="0"/>
              <w:autoSpaceDE/>
              <w:autoSpaceDN/>
              <w:bidi w:val="0"/>
              <w:adjustRightInd/>
              <w:jc w:val="center"/>
              <w:textAlignment w:val="center"/>
              <w:outlineLvl w:val="9"/>
              <w:rPr>
                <w:rFonts w:hint="eastAsia" w:ascii="仿宋" w:hAnsi="仿宋" w:eastAsia="仿宋" w:cs="仿宋"/>
                <w:color w:val="auto"/>
                <w:sz w:val="24"/>
                <w:szCs w:val="24"/>
                <w:highlight w:val="none"/>
                <w:vertAlign w:val="baseline"/>
                <w:lang w:val="en-US" w:eastAsia="zh-CN"/>
              </w:rPr>
            </w:pPr>
            <w:r>
              <w:rPr>
                <w:rFonts w:hint="eastAsia" w:ascii="仿宋" w:hAnsi="仿宋" w:eastAsia="仿宋" w:cs="仿宋"/>
                <w:b/>
                <w:bCs/>
                <w:i w:val="0"/>
                <w:iCs w:val="0"/>
                <w:color w:val="000000"/>
                <w:kern w:val="0"/>
                <w:sz w:val="24"/>
                <w:szCs w:val="24"/>
                <w:u w:val="none"/>
                <w:lang w:val="en-US" w:eastAsia="zh-CN" w:bidi="ar"/>
              </w:rPr>
              <w:t>1413</w:t>
            </w:r>
          </w:p>
        </w:tc>
      </w:tr>
      <w:tr w14:paraId="2122A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80" w:type="dxa"/>
            <w:left w:w="128" w:type="dxa"/>
            <w:bottom w:w="80" w:type="dxa"/>
            <w:right w:w="128" w:type="dxa"/>
          </w:tblCellMar>
        </w:tblPrEx>
        <w:trPr>
          <w:trHeight w:val="0" w:hRule="atLeast"/>
          <w:jc w:val="center"/>
        </w:trPr>
        <w:tc>
          <w:tcPr>
            <w:tcW w:w="1032" w:type="dxa"/>
            <w:vAlign w:val="center"/>
          </w:tcPr>
          <w:p w14:paraId="58787E4D">
            <w:pPr>
              <w:keepNext w:val="0"/>
              <w:keepLines/>
              <w:pageBreakBefore w:val="0"/>
              <w:widowControl w:val="0"/>
              <w:kinsoku/>
              <w:wordWrap/>
              <w:overflowPunct/>
              <w:topLinePunct w:val="0"/>
              <w:autoSpaceDE/>
              <w:autoSpaceDN/>
              <w:bidi w:val="0"/>
              <w:adjustRightInd/>
              <w:snapToGrid w:val="0"/>
              <w:spacing w:line="240" w:lineRule="exact"/>
              <w:jc w:val="center"/>
              <w:textAlignment w:val="auto"/>
              <w:outlineLvl w:val="9"/>
              <w:rPr>
                <w:rFonts w:hint="eastAsia" w:ascii="仿宋" w:hAnsi="仿宋" w:eastAsia="仿宋" w:cs="仿宋"/>
                <w:color w:val="auto"/>
                <w:sz w:val="24"/>
                <w:szCs w:val="24"/>
                <w:highlight w:val="none"/>
                <w:vertAlign w:val="baseline"/>
                <w:lang w:val="en-US" w:eastAsia="zh-CN"/>
              </w:rPr>
            </w:pPr>
            <w:r>
              <w:rPr>
                <w:rFonts w:hint="eastAsia" w:ascii="仿宋" w:hAnsi="仿宋" w:eastAsia="仿宋" w:cs="仿宋"/>
                <w:color w:val="auto"/>
                <w:sz w:val="24"/>
                <w:szCs w:val="24"/>
                <w:highlight w:val="none"/>
                <w:vertAlign w:val="baseline"/>
                <w:lang w:val="en-US" w:eastAsia="zh-CN"/>
              </w:rPr>
              <w:t>2024</w:t>
            </w:r>
          </w:p>
        </w:tc>
        <w:tc>
          <w:tcPr>
            <w:tcW w:w="2268" w:type="dxa"/>
            <w:vAlign w:val="center"/>
          </w:tcPr>
          <w:p w14:paraId="115A5A65">
            <w:pPr>
              <w:keepNext w:val="0"/>
              <w:keepLines/>
              <w:pageBreakBefore w:val="0"/>
              <w:widowControl w:val="0"/>
              <w:suppressLineNumbers w:val="0"/>
              <w:kinsoku/>
              <w:wordWrap/>
              <w:overflowPunct/>
              <w:topLinePunct w:val="0"/>
              <w:autoSpaceDE/>
              <w:autoSpaceDN/>
              <w:bidi w:val="0"/>
              <w:adjustRightInd/>
              <w:snapToGrid w:val="0"/>
              <w:spacing w:line="240" w:lineRule="exact"/>
              <w:jc w:val="center"/>
              <w:textAlignment w:val="center"/>
              <w:outlineLvl w:val="9"/>
              <w:rPr>
                <w:rFonts w:hint="eastAsia" w:ascii="仿宋" w:hAnsi="仿宋" w:eastAsia="仿宋" w:cs="仿宋"/>
                <w:color w:val="auto"/>
                <w:sz w:val="24"/>
                <w:szCs w:val="24"/>
                <w:highlight w:val="none"/>
                <w:vertAlign w:val="baseline"/>
                <w:lang w:val="en-US" w:eastAsia="zh-CN"/>
              </w:rPr>
            </w:pPr>
            <w:r>
              <w:rPr>
                <w:rFonts w:hint="eastAsia" w:ascii="仿宋" w:hAnsi="仿宋" w:eastAsia="仿宋" w:cs="仿宋"/>
                <w:i w:val="0"/>
                <w:iCs w:val="0"/>
                <w:color w:val="000000"/>
                <w:kern w:val="0"/>
                <w:sz w:val="24"/>
                <w:szCs w:val="24"/>
                <w:u w:val="none"/>
                <w:lang w:val="en-US" w:eastAsia="zh-CN" w:bidi="ar"/>
              </w:rPr>
              <w:t>834</w:t>
            </w:r>
          </w:p>
        </w:tc>
        <w:tc>
          <w:tcPr>
            <w:tcW w:w="2738" w:type="dxa"/>
            <w:vAlign w:val="center"/>
          </w:tcPr>
          <w:p w14:paraId="7C3D86CA">
            <w:pPr>
              <w:keepNext w:val="0"/>
              <w:keepLines/>
              <w:pageBreakBefore w:val="0"/>
              <w:widowControl w:val="0"/>
              <w:suppressLineNumbers w:val="0"/>
              <w:kinsoku/>
              <w:wordWrap/>
              <w:overflowPunct/>
              <w:topLinePunct w:val="0"/>
              <w:autoSpaceDE/>
              <w:autoSpaceDN/>
              <w:bidi w:val="0"/>
              <w:adjustRightInd/>
              <w:snapToGrid w:val="0"/>
              <w:spacing w:line="240" w:lineRule="exact"/>
              <w:jc w:val="center"/>
              <w:textAlignment w:val="center"/>
              <w:outlineLvl w:val="9"/>
              <w:rPr>
                <w:rFonts w:hint="eastAsia" w:ascii="仿宋" w:hAnsi="仿宋" w:eastAsia="仿宋" w:cs="仿宋"/>
                <w:color w:val="auto"/>
                <w:sz w:val="24"/>
                <w:szCs w:val="24"/>
                <w:highlight w:val="none"/>
                <w:vertAlign w:val="baseline"/>
                <w:lang w:val="en-US" w:eastAsia="zh-CN"/>
              </w:rPr>
            </w:pPr>
            <w:r>
              <w:rPr>
                <w:rFonts w:hint="eastAsia" w:ascii="仿宋" w:hAnsi="仿宋" w:eastAsia="仿宋" w:cs="仿宋"/>
                <w:i w:val="0"/>
                <w:iCs w:val="0"/>
                <w:color w:val="000000"/>
                <w:kern w:val="0"/>
                <w:sz w:val="24"/>
                <w:szCs w:val="24"/>
                <w:u w:val="none"/>
                <w:lang w:val="en-US" w:eastAsia="zh-CN" w:bidi="ar"/>
              </w:rPr>
              <w:t>329</w:t>
            </w:r>
          </w:p>
        </w:tc>
        <w:tc>
          <w:tcPr>
            <w:tcW w:w="1094" w:type="dxa"/>
            <w:vAlign w:val="center"/>
          </w:tcPr>
          <w:p w14:paraId="5F256635">
            <w:pPr>
              <w:keepNext w:val="0"/>
              <w:keepLines/>
              <w:pageBreakBefore w:val="0"/>
              <w:widowControl w:val="0"/>
              <w:kinsoku/>
              <w:wordWrap/>
              <w:overflowPunct/>
              <w:topLinePunct w:val="0"/>
              <w:autoSpaceDE/>
              <w:autoSpaceDN/>
              <w:bidi w:val="0"/>
              <w:adjustRightInd/>
              <w:snapToGrid w:val="0"/>
              <w:spacing w:line="240" w:lineRule="exact"/>
              <w:jc w:val="center"/>
              <w:textAlignment w:val="auto"/>
              <w:outlineLvl w:val="9"/>
              <w:rPr>
                <w:rFonts w:hint="eastAsia" w:ascii="仿宋" w:hAnsi="仿宋" w:eastAsia="仿宋" w:cs="仿宋"/>
                <w:color w:val="auto"/>
                <w:sz w:val="24"/>
                <w:szCs w:val="24"/>
                <w:highlight w:val="none"/>
                <w:vertAlign w:val="baseline"/>
                <w:lang w:val="en-US" w:eastAsia="zh-CN"/>
              </w:rPr>
            </w:pPr>
            <w:r>
              <w:rPr>
                <w:rFonts w:hint="eastAsia" w:ascii="仿宋" w:hAnsi="仿宋" w:eastAsia="仿宋" w:cs="仿宋"/>
                <w:color w:val="auto"/>
                <w:sz w:val="24"/>
                <w:szCs w:val="24"/>
                <w:highlight w:val="none"/>
                <w:vertAlign w:val="baseline"/>
                <w:lang w:val="en-US" w:eastAsia="zh-CN"/>
              </w:rPr>
              <w:t>1</w:t>
            </w:r>
          </w:p>
        </w:tc>
        <w:tc>
          <w:tcPr>
            <w:tcW w:w="1542" w:type="dxa"/>
            <w:vAlign w:val="center"/>
          </w:tcPr>
          <w:p w14:paraId="03955B64">
            <w:pPr>
              <w:keepNext w:val="0"/>
              <w:keepLines w:val="0"/>
              <w:pageBreakBefore w:val="0"/>
              <w:widowControl/>
              <w:suppressLineNumbers w:val="0"/>
              <w:kinsoku/>
              <w:wordWrap/>
              <w:overflowPunct/>
              <w:topLinePunct w:val="0"/>
              <w:autoSpaceDE/>
              <w:autoSpaceDN/>
              <w:bidi w:val="0"/>
              <w:adjustRightInd/>
              <w:jc w:val="center"/>
              <w:textAlignment w:val="center"/>
              <w:outlineLvl w:val="9"/>
              <w:rPr>
                <w:rFonts w:hint="eastAsia" w:ascii="仿宋" w:hAnsi="仿宋" w:eastAsia="仿宋" w:cs="仿宋"/>
                <w:color w:val="auto"/>
                <w:sz w:val="24"/>
                <w:szCs w:val="24"/>
                <w:highlight w:val="none"/>
                <w:vertAlign w:val="baseline"/>
                <w:lang w:val="en-US" w:eastAsia="zh-CN"/>
              </w:rPr>
            </w:pPr>
            <w:r>
              <w:rPr>
                <w:rFonts w:hint="eastAsia" w:ascii="仿宋" w:hAnsi="仿宋" w:eastAsia="仿宋" w:cs="仿宋"/>
                <w:b/>
                <w:bCs/>
                <w:i w:val="0"/>
                <w:iCs w:val="0"/>
                <w:color w:val="000000"/>
                <w:kern w:val="0"/>
                <w:sz w:val="24"/>
                <w:szCs w:val="24"/>
                <w:u w:val="none"/>
                <w:lang w:val="en-US" w:eastAsia="zh-CN" w:bidi="ar"/>
              </w:rPr>
              <w:t>1163</w:t>
            </w:r>
          </w:p>
        </w:tc>
      </w:tr>
    </w:tbl>
    <w:p w14:paraId="1CE5C094">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eastAsia" w:ascii="仿宋_GB2312" w:hAnsi="仿宋_GB2312" w:eastAsia="仿宋_GB2312" w:cs="仿宋_GB2312"/>
          <w:b/>
          <w:bCs/>
          <w:color w:val="auto"/>
          <w:sz w:val="32"/>
          <w:szCs w:val="32"/>
          <w:highlight w:val="none"/>
          <w:lang w:val="en-US" w:eastAsia="zh-CN"/>
        </w:rPr>
      </w:pPr>
      <w:bookmarkStart w:id="220" w:name="_Toc19736"/>
      <w:r>
        <w:rPr>
          <w:rFonts w:hint="eastAsia" w:ascii="仿宋_GB2312" w:hAnsi="仿宋_GB2312" w:eastAsia="仿宋_GB2312" w:cs="仿宋_GB2312"/>
          <w:b/>
          <w:bCs/>
          <w:color w:val="auto"/>
          <w:sz w:val="32"/>
          <w:szCs w:val="32"/>
          <w:highlight w:val="none"/>
          <w:lang w:val="en-US" w:eastAsia="zh-CN"/>
        </w:rPr>
        <w:t>2.产出质量</w:t>
      </w:r>
      <w:bookmarkEnd w:id="219"/>
      <w:bookmarkEnd w:id="220"/>
    </w:p>
    <w:p w14:paraId="3518BAE4">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（1）减免资格符合率</w:t>
      </w:r>
    </w:p>
    <w:p w14:paraId="585CB78C">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通过抽查石狮市殡葬服务所提供的“减免基本殡葬服务项目档案”可知，本次抽查的资料为300份，符合的份数共计300份，因此考察2024年度减免对象资格符合率为100%。</w:t>
      </w:r>
      <w:r>
        <w:rPr>
          <w:rFonts w:hint="eastAsia" w:ascii="仿宋_GB2312" w:hAnsi="仿宋_GB2312" w:eastAsia="仿宋_GB2312" w:cs="仿宋_GB2312"/>
          <w:color w:val="auto"/>
          <w:kern w:val="2"/>
          <w:sz w:val="32"/>
          <w:szCs w:val="32"/>
          <w:highlight w:val="none"/>
          <w:lang w:val="en-US" w:eastAsia="zh-CN" w:bidi="ar-SA"/>
        </w:rPr>
        <w:t>根据评分标准，指标分值 6 分，得分 6 分。</w:t>
      </w:r>
    </w:p>
    <w:p w14:paraId="2F38ED9C">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kern w:val="2"/>
          <w:sz w:val="32"/>
          <w:szCs w:val="32"/>
          <w:highlight w:val="none"/>
          <w:lang w:val="en-US" w:eastAsia="zh-CN" w:bidi="ar-SA"/>
        </w:rPr>
        <w:t>（2）</w:t>
      </w:r>
      <w:r>
        <w:rPr>
          <w:rFonts w:hint="eastAsia" w:ascii="仿宋_GB2312" w:hAnsi="仿宋_GB2312" w:eastAsia="仿宋_GB2312" w:cs="仿宋_GB2312"/>
          <w:color w:val="auto"/>
          <w:sz w:val="32"/>
          <w:szCs w:val="32"/>
          <w:highlight w:val="none"/>
          <w:lang w:val="en-US" w:eastAsia="zh-CN"/>
        </w:rPr>
        <w:t>石狮市殡葬费用减免项目执行质量</w:t>
      </w:r>
    </w:p>
    <w:p w14:paraId="7F03CAA9">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为全面了解 2024 年度石狮市减免基本殡葬服务费用项目执行质量、听取民生民意，中心绩效评价小组依据《石狮市减免基本殡葬服务项目费用申请表》中经办人联系方式开展家属电话调查，调查结果暴露出两项亟待解决的核心问题：一是家属对补助项目及费用减免情况知晓度严重不足，部分委托村里办理丧事的亲戚或第三方操办相关事宜的家属，均未被告知“减免基本殡葬服务费用”政策内容，且完全不清楚操办方是否已申请费用减免、减免是否落实；二是申请手续规范性存在明显漏洞，李文积、李清加、李建业、邱奕丁等 4 户逝者家属明确表示并非实际经办人，但《石狮市减免基本殡葬服务项目费用申请表》“经办人”栏却填写其姓名，存在信息不实问题，需深入核查填写环节责任、排查是否存在更多同类错填情况。</w:t>
      </w:r>
      <w:r>
        <w:rPr>
          <w:rFonts w:hint="eastAsia" w:ascii="仿宋_GB2312" w:hAnsi="仿宋_GB2312" w:eastAsia="仿宋_GB2312" w:cs="仿宋_GB2312"/>
          <w:color w:val="auto"/>
          <w:kern w:val="2"/>
          <w:sz w:val="32"/>
          <w:szCs w:val="32"/>
          <w:highlight w:val="none"/>
          <w:lang w:val="en-US" w:eastAsia="zh-CN" w:bidi="ar-SA"/>
        </w:rPr>
        <w:t>根据评分标准，指标分值 6 分，扣除 1.5 分，得分 4.5 分。</w:t>
      </w:r>
    </w:p>
    <w:p w14:paraId="760C075D">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eastAsia" w:ascii="仿宋_GB2312" w:hAnsi="仿宋_GB2312" w:eastAsia="仿宋_GB2312" w:cs="仿宋_GB2312"/>
          <w:b/>
          <w:bCs/>
          <w:color w:val="auto"/>
          <w:sz w:val="32"/>
          <w:szCs w:val="32"/>
          <w:highlight w:val="none"/>
          <w:lang w:val="en-US" w:eastAsia="zh-CN"/>
        </w:rPr>
      </w:pPr>
      <w:bookmarkStart w:id="221" w:name="_Toc8274"/>
      <w:bookmarkStart w:id="222" w:name="_Toc30324"/>
      <w:r>
        <w:rPr>
          <w:rFonts w:hint="eastAsia" w:ascii="仿宋_GB2312" w:hAnsi="仿宋_GB2312" w:eastAsia="仿宋_GB2312" w:cs="仿宋_GB2312"/>
          <w:b/>
          <w:bCs/>
          <w:color w:val="auto"/>
          <w:sz w:val="32"/>
          <w:szCs w:val="32"/>
          <w:highlight w:val="none"/>
          <w:lang w:val="en-US" w:eastAsia="zh-CN"/>
        </w:rPr>
        <w:t>3.产出时效</w:t>
      </w:r>
      <w:bookmarkEnd w:id="221"/>
      <w:bookmarkEnd w:id="222"/>
    </w:p>
    <w:p w14:paraId="49146482">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（1）资金拨付及时率</w:t>
      </w:r>
    </w:p>
    <w:p w14:paraId="1A5CB106">
      <w:pPr>
        <w:spacing w:line="580" w:lineRule="exact"/>
        <w:ind w:firstLine="640" w:firstLineChars="200"/>
        <w:jc w:val="left"/>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石狮市殡葬服务所每年以“前一年第四季度 + 本年度 1-3 季度”为固定时间段开展预算编制及资金拨付工作。按照</w:t>
      </w:r>
      <w:r>
        <w:rPr>
          <w:rFonts w:hint="default" w:ascii="仿宋_GB2312" w:hAnsi="仿宋_GB2312" w:eastAsia="仿宋_GB2312" w:cs="仿宋_GB2312"/>
          <w:color w:val="auto"/>
          <w:sz w:val="32"/>
          <w:szCs w:val="32"/>
          <w:highlight w:val="none"/>
          <w:lang w:val="en-US" w:eastAsia="zh-CN"/>
        </w:rPr>
        <w:t>石狮市人民政府关于印发石狮市减免基本殡葬服务项目费用实施</w:t>
      </w:r>
      <w:r>
        <w:rPr>
          <w:rFonts w:hint="eastAsia" w:ascii="仿宋_GB2312" w:hAnsi="仿宋_GB2312" w:eastAsia="仿宋_GB2312" w:cs="仿宋_GB2312"/>
          <w:color w:val="auto"/>
          <w:sz w:val="32"/>
          <w:szCs w:val="32"/>
          <w:highlight w:val="none"/>
          <w:lang w:val="en-US" w:eastAsia="zh-CN"/>
        </w:rPr>
        <w:t>意见</w:t>
      </w:r>
      <w:r>
        <w:rPr>
          <w:rFonts w:hint="default" w:ascii="仿宋_GB2312" w:hAnsi="仿宋_GB2312" w:eastAsia="仿宋_GB2312" w:cs="仿宋_GB2312"/>
          <w:color w:val="auto"/>
          <w:sz w:val="32"/>
          <w:szCs w:val="32"/>
          <w:highlight w:val="none"/>
          <w:lang w:val="en-US" w:eastAsia="zh-CN"/>
        </w:rPr>
        <w:t>的通知</w:t>
      </w:r>
      <w:r>
        <w:rPr>
          <w:rFonts w:hint="eastAsia" w:ascii="仿宋_GB2312" w:hAnsi="仿宋_GB2312" w:eastAsia="仿宋_GB2312" w:cs="仿宋_GB2312"/>
          <w:color w:val="auto"/>
          <w:sz w:val="32"/>
          <w:szCs w:val="32"/>
          <w:highlight w:val="none"/>
          <w:lang w:val="en-US" w:eastAsia="zh-CN"/>
        </w:rPr>
        <w:t>(狮政综〔2012〕90 号)要求，基本殡葬服务项目费用减免部分先由永久墓园有限公司垫付，需按季度结算。查看资金拨付凭证可知，2024 年 2 月 6 日拨付 496，280.00 元，结清 2023 年第四季度费用；2024 年 4 月 12 日拨付 659,660.00 元，结清 2024 年第一季度；2024 年 7 月 12 日拨付 565,060.00 元，结清第二季度款项；2024 年 11 月 14 日分两笔，分别拨付 266,160.00 元与 279,000.00 元，结清 2024 年第三季度费用。由此可见，2024 年资金拨付基本做到按季度结算，资金拨付较为及时，保障了费用减免部分资金的正常流转。</w:t>
      </w:r>
      <w:r>
        <w:rPr>
          <w:rFonts w:hint="eastAsia" w:ascii="仿宋_GB2312" w:hAnsi="仿宋_GB2312" w:eastAsia="仿宋_GB2312" w:cs="仿宋_GB2312"/>
          <w:color w:val="auto"/>
          <w:kern w:val="2"/>
          <w:sz w:val="32"/>
          <w:szCs w:val="32"/>
          <w:highlight w:val="none"/>
          <w:lang w:val="en-US" w:eastAsia="zh-CN" w:bidi="ar-SA"/>
        </w:rPr>
        <w:t>根据评分标准，指标分值 6 分，得分 6 分。</w:t>
      </w:r>
    </w:p>
    <w:p w14:paraId="7DBCA696">
      <w:pPr>
        <w:keepNext w:val="0"/>
        <w:keepLines w:val="0"/>
        <w:pageBreakBefore w:val="0"/>
        <w:widowControl w:val="0"/>
        <w:kinsoku/>
        <w:wordWrap/>
        <w:topLinePunct w:val="0"/>
        <w:bidi w:val="0"/>
        <w:snapToGrid/>
        <w:jc w:val="center"/>
        <w:rPr>
          <w:rFonts w:hint="default" w:ascii="仿宋" w:hAnsi="仿宋" w:eastAsia="仿宋" w:cs="仿宋"/>
          <w:b/>
          <w:bCs/>
          <w:color w:val="auto"/>
          <w:kern w:val="0"/>
          <w:sz w:val="28"/>
          <w:szCs w:val="28"/>
          <w:highlight w:val="none"/>
          <w:lang w:val="en-US" w:eastAsia="zh-CN" w:bidi="ar-SA"/>
        </w:rPr>
      </w:pPr>
      <w:r>
        <w:rPr>
          <w:rFonts w:hint="eastAsia" w:ascii="仿宋" w:hAnsi="仿宋" w:eastAsia="仿宋" w:cs="仿宋"/>
          <w:b/>
          <w:bCs/>
          <w:color w:val="auto"/>
          <w:kern w:val="0"/>
          <w:sz w:val="28"/>
          <w:szCs w:val="28"/>
          <w:highlight w:val="none"/>
          <w:lang w:val="en-US" w:eastAsia="zh-CN" w:bidi="ar-SA"/>
        </w:rPr>
        <w:t>表6 资金拨付及时率情况统计表</w:t>
      </w:r>
    </w:p>
    <w:tbl>
      <w:tblPr>
        <w:tblStyle w:val="16"/>
        <w:tblW w:w="4443"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07"/>
        <w:gridCol w:w="2167"/>
        <w:gridCol w:w="2631"/>
        <w:gridCol w:w="2147"/>
      </w:tblGrid>
      <w:tr w14:paraId="185A66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blHeader/>
          <w:jc w:val="center"/>
        </w:trPr>
        <w:tc>
          <w:tcPr>
            <w:tcW w:w="687"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14:paraId="100A4C8B">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序号</w:t>
            </w:r>
          </w:p>
        </w:tc>
        <w:tc>
          <w:tcPr>
            <w:tcW w:w="1345"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14:paraId="2EE4AB70">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金额</w:t>
            </w:r>
          </w:p>
        </w:tc>
        <w:tc>
          <w:tcPr>
            <w:tcW w:w="1633"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14:paraId="4ED3F2EA">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所属时间段</w:t>
            </w:r>
          </w:p>
        </w:tc>
        <w:tc>
          <w:tcPr>
            <w:tcW w:w="1333"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14:paraId="0807E88A">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拨付时间</w:t>
            </w:r>
          </w:p>
        </w:tc>
      </w:tr>
      <w:tr w14:paraId="554F80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567" w:hRule="atLeast"/>
          <w:jc w:val="center"/>
        </w:trPr>
        <w:tc>
          <w:tcPr>
            <w:tcW w:w="6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4BA302">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w:t>
            </w:r>
          </w:p>
        </w:tc>
        <w:tc>
          <w:tcPr>
            <w:tcW w:w="13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3AE984">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default" w:ascii="仿宋" w:hAnsi="仿宋" w:eastAsia="仿宋" w:cs="仿宋"/>
                <w:i w:val="0"/>
                <w:iCs w:val="0"/>
                <w:color w:val="000000"/>
                <w:sz w:val="24"/>
                <w:szCs w:val="24"/>
                <w:u w:val="none"/>
                <w:lang w:val="en-US"/>
              </w:rPr>
            </w:pPr>
            <w:r>
              <w:rPr>
                <w:rFonts w:hint="eastAsia" w:ascii="仿宋" w:hAnsi="仿宋" w:eastAsia="仿宋" w:cs="仿宋"/>
                <w:i w:val="0"/>
                <w:iCs w:val="0"/>
                <w:color w:val="000000"/>
                <w:kern w:val="0"/>
                <w:sz w:val="24"/>
                <w:szCs w:val="24"/>
                <w:u w:val="none"/>
                <w:lang w:val="en-US" w:eastAsia="zh-CN" w:bidi="ar"/>
              </w:rPr>
              <w:t>496,280.00</w:t>
            </w:r>
          </w:p>
        </w:tc>
        <w:tc>
          <w:tcPr>
            <w:tcW w:w="16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EA56DF">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2023年第四季度</w:t>
            </w:r>
          </w:p>
        </w:tc>
        <w:tc>
          <w:tcPr>
            <w:tcW w:w="1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58F944">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2024.02.06</w:t>
            </w:r>
          </w:p>
        </w:tc>
      </w:tr>
      <w:tr w14:paraId="61A62D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567" w:hRule="atLeast"/>
          <w:jc w:val="center"/>
        </w:trPr>
        <w:tc>
          <w:tcPr>
            <w:tcW w:w="6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CC4256">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2</w:t>
            </w:r>
          </w:p>
        </w:tc>
        <w:tc>
          <w:tcPr>
            <w:tcW w:w="13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80834">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default" w:ascii="仿宋" w:hAnsi="仿宋" w:eastAsia="仿宋" w:cs="仿宋"/>
                <w:i w:val="0"/>
                <w:iCs w:val="0"/>
                <w:color w:val="000000"/>
                <w:sz w:val="24"/>
                <w:szCs w:val="24"/>
                <w:u w:val="none"/>
                <w:lang w:val="en-US"/>
              </w:rPr>
            </w:pPr>
            <w:r>
              <w:rPr>
                <w:rFonts w:hint="eastAsia" w:ascii="仿宋" w:hAnsi="仿宋" w:eastAsia="仿宋" w:cs="仿宋"/>
                <w:i w:val="0"/>
                <w:iCs w:val="0"/>
                <w:color w:val="000000"/>
                <w:kern w:val="0"/>
                <w:sz w:val="24"/>
                <w:szCs w:val="24"/>
                <w:u w:val="none"/>
                <w:lang w:val="en-US" w:eastAsia="zh-CN" w:bidi="ar"/>
              </w:rPr>
              <w:t>659,660.00</w:t>
            </w:r>
          </w:p>
        </w:tc>
        <w:tc>
          <w:tcPr>
            <w:tcW w:w="16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8AEC58">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2024年第一季度</w:t>
            </w:r>
          </w:p>
        </w:tc>
        <w:tc>
          <w:tcPr>
            <w:tcW w:w="1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4EB243">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2024.04.12</w:t>
            </w:r>
          </w:p>
        </w:tc>
      </w:tr>
      <w:tr w14:paraId="43C0CD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567" w:hRule="atLeast"/>
          <w:jc w:val="center"/>
        </w:trPr>
        <w:tc>
          <w:tcPr>
            <w:tcW w:w="6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4520B5">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3</w:t>
            </w:r>
          </w:p>
        </w:tc>
        <w:tc>
          <w:tcPr>
            <w:tcW w:w="13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8A8617">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default" w:ascii="仿宋" w:hAnsi="仿宋" w:eastAsia="仿宋" w:cs="仿宋"/>
                <w:i w:val="0"/>
                <w:iCs w:val="0"/>
                <w:color w:val="000000"/>
                <w:sz w:val="24"/>
                <w:szCs w:val="24"/>
                <w:u w:val="none"/>
                <w:lang w:val="en-US"/>
              </w:rPr>
            </w:pPr>
            <w:r>
              <w:rPr>
                <w:rFonts w:hint="eastAsia" w:ascii="仿宋" w:hAnsi="仿宋" w:eastAsia="仿宋" w:cs="仿宋"/>
                <w:i w:val="0"/>
                <w:iCs w:val="0"/>
                <w:color w:val="000000"/>
                <w:kern w:val="0"/>
                <w:sz w:val="24"/>
                <w:szCs w:val="24"/>
                <w:u w:val="none"/>
                <w:lang w:val="en-US" w:eastAsia="zh-CN" w:bidi="ar"/>
              </w:rPr>
              <w:t>565,060.00</w:t>
            </w:r>
          </w:p>
        </w:tc>
        <w:tc>
          <w:tcPr>
            <w:tcW w:w="16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3827A">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2024年第二季度</w:t>
            </w:r>
          </w:p>
        </w:tc>
        <w:tc>
          <w:tcPr>
            <w:tcW w:w="1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8BEB16">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2024.07.12</w:t>
            </w:r>
          </w:p>
        </w:tc>
      </w:tr>
      <w:tr w14:paraId="44124F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567" w:hRule="atLeast"/>
          <w:jc w:val="center"/>
        </w:trPr>
        <w:tc>
          <w:tcPr>
            <w:tcW w:w="6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25EC2">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4</w:t>
            </w:r>
          </w:p>
        </w:tc>
        <w:tc>
          <w:tcPr>
            <w:tcW w:w="13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BB003A">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default" w:ascii="仿宋" w:hAnsi="仿宋" w:eastAsia="仿宋" w:cs="仿宋"/>
                <w:i w:val="0"/>
                <w:iCs w:val="0"/>
                <w:color w:val="000000"/>
                <w:sz w:val="24"/>
                <w:szCs w:val="24"/>
                <w:u w:val="none"/>
                <w:lang w:val="en-US"/>
              </w:rPr>
            </w:pPr>
            <w:r>
              <w:rPr>
                <w:rFonts w:hint="eastAsia" w:ascii="仿宋" w:hAnsi="仿宋" w:eastAsia="仿宋" w:cs="仿宋"/>
                <w:i w:val="0"/>
                <w:iCs w:val="0"/>
                <w:color w:val="000000"/>
                <w:kern w:val="0"/>
                <w:sz w:val="24"/>
                <w:szCs w:val="24"/>
                <w:u w:val="none"/>
                <w:lang w:val="en-US" w:eastAsia="zh-CN" w:bidi="ar"/>
              </w:rPr>
              <w:t>545,160.00(两笔)</w:t>
            </w:r>
          </w:p>
        </w:tc>
        <w:tc>
          <w:tcPr>
            <w:tcW w:w="16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E7B7A2">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2024年第三季度</w:t>
            </w:r>
          </w:p>
        </w:tc>
        <w:tc>
          <w:tcPr>
            <w:tcW w:w="133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1A708">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2024.11.14</w:t>
            </w:r>
          </w:p>
        </w:tc>
      </w:tr>
    </w:tbl>
    <w:p w14:paraId="6CDF9966">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eastAsia" w:ascii="仿宋_GB2312" w:hAnsi="仿宋_GB2312" w:eastAsia="仿宋_GB2312" w:cs="仿宋_GB2312"/>
          <w:b/>
          <w:bCs/>
          <w:color w:val="auto"/>
          <w:sz w:val="32"/>
          <w:szCs w:val="32"/>
          <w:highlight w:val="none"/>
          <w:lang w:val="en-US" w:eastAsia="zh-CN"/>
        </w:rPr>
      </w:pPr>
      <w:bookmarkStart w:id="223" w:name="_Toc21377"/>
      <w:r>
        <w:rPr>
          <w:rFonts w:hint="eastAsia" w:ascii="仿宋_GB2312" w:hAnsi="仿宋_GB2312" w:eastAsia="仿宋_GB2312" w:cs="仿宋_GB2312"/>
          <w:b/>
          <w:bCs/>
          <w:color w:val="auto"/>
          <w:sz w:val="32"/>
          <w:szCs w:val="32"/>
          <w:highlight w:val="none"/>
          <w:lang w:val="en-US" w:eastAsia="zh-CN"/>
        </w:rPr>
        <w:t>4.产出成本</w:t>
      </w:r>
      <w:bookmarkEnd w:id="223"/>
    </w:p>
    <w:p w14:paraId="604C397F">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（4）殡葬服务减少收费总额</w:t>
      </w:r>
    </w:p>
    <w:p w14:paraId="35B1AC6C">
      <w:pPr>
        <w:keepNext w:val="0"/>
        <w:keepLines w:val="0"/>
        <w:pageBreakBefore w:val="0"/>
        <w:widowControl w:val="0"/>
        <w:kinsoku/>
        <w:wordWrap/>
        <w:overflowPunct/>
        <w:topLinePunct w:val="0"/>
        <w:autoSpaceDE/>
        <w:autoSpaceDN/>
        <w:bidi w:val="0"/>
        <w:adjustRightInd/>
        <w:snapToGrid/>
        <w:spacing w:line="560" w:lineRule="exact"/>
        <w:ind w:leftChars="0" w:firstLine="640" w:firstLineChars="200"/>
        <w:jc w:val="both"/>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kern w:val="2"/>
          <w:sz w:val="32"/>
          <w:szCs w:val="32"/>
          <w:highlight w:val="none"/>
          <w:lang w:val="en-US" w:eastAsia="zh-CN" w:bidi="ar-SA"/>
        </w:rPr>
        <w:t>本年度基本殡葬服务项目减免工作成效显著，全年共为 1919 位群众减免基本殡葬费用，累计减少收费总额达 2,266,160.00 元，切实减轻群众丧葬负担，充分发挥惠民殡葬政策兜底保障作用，让“逝有所安”不再成为家庭的经济重担更有效缓解了群众“身后事”的焦虑，让民生温度可触可感，进一步提升了群众的获得感与幸福感，为构建和谐社会筑牢民生根基。根据评分标准，指标分值 6 分，得分 6 分。</w:t>
      </w:r>
    </w:p>
    <w:p w14:paraId="7A948BAD">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1"/>
        <w:rPr>
          <w:rFonts w:hint="eastAsia" w:ascii="楷体_GB2312" w:hAnsi="楷体_GB2312" w:eastAsia="楷体_GB2312" w:cs="楷体_GB2312"/>
          <w:b/>
          <w:bCs/>
          <w:color w:val="auto"/>
          <w:sz w:val="32"/>
          <w:szCs w:val="32"/>
          <w:highlight w:val="none"/>
          <w:lang w:val="en-US" w:eastAsia="zh-CN"/>
        </w:rPr>
      </w:pPr>
      <w:bookmarkStart w:id="224" w:name="_Toc24914"/>
      <w:bookmarkStart w:id="225" w:name="_Toc5865"/>
      <w:r>
        <w:rPr>
          <w:rFonts w:hint="eastAsia" w:ascii="楷体_GB2312" w:hAnsi="楷体_GB2312" w:eastAsia="楷体_GB2312" w:cs="楷体_GB2312"/>
          <w:b/>
          <w:bCs/>
          <w:color w:val="auto"/>
          <w:sz w:val="32"/>
          <w:szCs w:val="32"/>
          <w:highlight w:val="none"/>
          <w:lang w:val="en-US" w:eastAsia="zh-CN"/>
        </w:rPr>
        <w:t>（四）项目效益情况</w:t>
      </w:r>
      <w:bookmarkEnd w:id="224"/>
      <w:bookmarkEnd w:id="225"/>
    </w:p>
    <w:p w14:paraId="516B78C5">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主要从社会效益、满意度两个方面评价项目效益情况。该部分分值 25 分，评价得分 23 分。</w:t>
      </w:r>
    </w:p>
    <w:p w14:paraId="01F994B9">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eastAsia" w:ascii="仿宋_GB2312" w:hAnsi="仿宋_GB2312" w:eastAsia="仿宋_GB2312" w:cs="仿宋_GB2312"/>
          <w:b/>
          <w:bCs/>
          <w:color w:val="auto"/>
          <w:sz w:val="32"/>
          <w:szCs w:val="32"/>
          <w:highlight w:val="none"/>
          <w:lang w:val="en-US" w:eastAsia="zh-CN"/>
        </w:rPr>
      </w:pPr>
      <w:bookmarkStart w:id="226" w:name="_Toc19257"/>
      <w:bookmarkStart w:id="227" w:name="_Toc16108"/>
      <w:r>
        <w:rPr>
          <w:rFonts w:hint="eastAsia" w:ascii="仿宋_GB2312" w:hAnsi="仿宋_GB2312" w:eastAsia="仿宋_GB2312" w:cs="仿宋_GB2312"/>
          <w:b/>
          <w:bCs/>
          <w:color w:val="auto"/>
          <w:sz w:val="32"/>
          <w:szCs w:val="32"/>
          <w:highlight w:val="none"/>
          <w:lang w:val="en-US" w:eastAsia="zh-CN"/>
        </w:rPr>
        <w:t>1.生态环境效益</w:t>
      </w:r>
      <w:bookmarkEnd w:id="226"/>
      <w:bookmarkEnd w:id="227"/>
    </w:p>
    <w:p w14:paraId="3BF711C4">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default"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（1）节地生态安葬推进成效</w:t>
      </w:r>
    </w:p>
    <w:p w14:paraId="54078967">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在推进节地生态安葬工作上，石狮市殡葬服务所目前主要依托清明节前后文明祭扫活动开展相关宣传。这种宣传模式虽能在特定时段形成一定影响力，但由于缺乏常态化、定期化的宣传机制，难以持续、深入地向群众传递节地生态安葬理念，导致群众对其认知难以巩固和深化，限制了节地生态安葬推广的广度和深度，不利于节地生态安葬工作的长效推进与广泛普及。根据评分标准，指标分值 5 分，扣除 1 分，得分 4 分。</w:t>
      </w:r>
    </w:p>
    <w:p w14:paraId="73A5C2B0">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default" w:ascii="仿宋_GB2312" w:hAnsi="仿宋_GB2312" w:eastAsia="仿宋_GB2312" w:cs="仿宋_GB2312"/>
          <w:b/>
          <w:bCs/>
          <w:color w:val="auto"/>
          <w:sz w:val="32"/>
          <w:szCs w:val="32"/>
          <w:highlight w:val="none"/>
          <w:lang w:val="en-US" w:eastAsia="zh-CN"/>
        </w:rPr>
      </w:pPr>
      <w:bookmarkStart w:id="228" w:name="_Toc18468"/>
      <w:r>
        <w:rPr>
          <w:rFonts w:hint="eastAsia" w:ascii="仿宋_GB2312" w:hAnsi="仿宋_GB2312" w:eastAsia="仿宋_GB2312" w:cs="仿宋_GB2312"/>
          <w:b/>
          <w:bCs/>
          <w:color w:val="auto"/>
          <w:sz w:val="32"/>
          <w:szCs w:val="32"/>
          <w:highlight w:val="none"/>
          <w:lang w:val="en-US" w:eastAsia="zh-CN"/>
        </w:rPr>
        <w:t>2.社会效益</w:t>
      </w:r>
      <w:bookmarkEnd w:id="228"/>
    </w:p>
    <w:p w14:paraId="21BA5C70">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（1）减轻民众经济负担</w:t>
      </w:r>
    </w:p>
    <w:p w14:paraId="78397DA9">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default"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减免基本殡葬服务费用是一项惠民利民的重要举措。石狮市推行这一政策，极大地减轻了民众的经济负担。从丧葬用品购置到遗体火化、骨灰寄存等基础服务费用的减免，让群众无需为亲人身后事的经济压力而忧心，彰显了政府对民生的关怀，也让殡葬服务回归公益本质，切实为民众排忧解难。</w:t>
      </w:r>
    </w:p>
    <w:p w14:paraId="02F78B74">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根据问卷调查统计结果（收集有效问卷35份），100%的市民表示本次减免基本殡葬费用项目“有效减轻”民众经济负担。根据评分标准，指标分值 5 分，得分 5 分。</w:t>
      </w:r>
    </w:p>
    <w:p w14:paraId="63209DA6">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（2）收到投诉件次数</w:t>
      </w:r>
    </w:p>
    <w:p w14:paraId="72B3AC7C">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2024 年度石狮市殡葬服务所在减免基本殡葬服务费项目的实施过程中未收到投诉件。整体来看，殡葬服务管理在合规性方面表现良好，根据评分标准，指标分值 5 分，得分 5 分。</w:t>
      </w:r>
    </w:p>
    <w:p w14:paraId="4BE87022">
      <w:pPr>
        <w:keepNext w:val="0"/>
        <w:keepLines w:val="0"/>
        <w:pageBreakBefore w:val="0"/>
        <w:widowControl w:val="0"/>
        <w:numPr>
          <w:ilvl w:val="0"/>
          <w:numId w:val="2"/>
        </w:numPr>
        <w:shd w:val="clear" w:color="auto" w:fill="FFFFFF"/>
        <w:kinsoku/>
        <w:wordWrap/>
        <w:overflowPunct w:val="0"/>
        <w:topLinePunct w:val="0"/>
        <w:autoSpaceDE w:val="0"/>
        <w:autoSpaceDN w:val="0"/>
        <w:bidi w:val="0"/>
        <w:adjustRightInd w:val="0"/>
        <w:snapToGrid/>
        <w:spacing w:line="560" w:lineRule="exact"/>
        <w:ind w:left="0" w:leftChars="0"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政策知晓率</w:t>
      </w:r>
    </w:p>
    <w:p w14:paraId="3A80557D">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default"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 xml:space="preserve"> 在石狮市减免基本殡葬费用政策知晓率方面，存在不足有待进一步优化。2024 年我中心绩效评价小组依据《石狮市减免基本殡葬服务项目费用申请表》经办人联系方式，对享受减免项目的家属开展电话调查，部分家属对补助项目表示不知情，如</w:t>
      </w:r>
      <w:r>
        <w:rPr>
          <w:rFonts w:hint="eastAsia" w:ascii="仿宋_GB2312" w:hAnsi="仿宋_GB2312" w:eastAsia="仿宋_GB2312" w:cs="仿宋_GB2312"/>
          <w:color w:val="auto"/>
          <w:sz w:val="32"/>
          <w:szCs w:val="32"/>
          <w:highlight w:val="none"/>
          <w:lang w:val="en-US" w:eastAsia="zh-CN"/>
        </w:rPr>
        <w:t>逝者蔡永国、林圣贤、董光明、谢秀闯、王天从、龚火金、李大民、林文聘、郭碧玉、李志扬等家属均委托村里办理丧事的亲戚或第三方操办相关事宜，对补助项目表示不了解，也不知相关费用是否已经完成减免</w:t>
      </w:r>
      <w:r>
        <w:rPr>
          <w:rFonts w:hint="eastAsia" w:ascii="仿宋_GB2312" w:hAnsi="仿宋_GB2312" w:eastAsia="仿宋_GB2312" w:cs="仿宋_GB2312"/>
          <w:color w:val="auto"/>
          <w:kern w:val="2"/>
          <w:sz w:val="32"/>
          <w:szCs w:val="32"/>
          <w:highlight w:val="none"/>
          <w:lang w:val="en-US" w:eastAsia="zh-CN" w:bidi="ar-SA"/>
        </w:rPr>
        <w:t>。其二，从石狮市居民整体政策知晓率来看，此类情况反映出政策宣传在广度与深度上存在不足，尚未有效覆盖到各个群体，未能让居民充分了解政策红利，亟须进一步优化宣传策略，扩大宣传覆盖面，增强宣传效果，切实提升居民对惠民殡葬政策的知晓度与认知度。</w:t>
      </w:r>
    </w:p>
    <w:p w14:paraId="0CA5102D">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0000FF"/>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根据电话问卷统计结果（收集有效问卷35份），30%的家属对石狮市减免基本殡葬费用项目知晓情况不佳。根据评分标准，指标分值 5 分，扣除 1 分，得分 4 分。</w:t>
      </w:r>
    </w:p>
    <w:p w14:paraId="21E6FAE0">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eastAsia" w:ascii="仿宋_GB2312" w:hAnsi="仿宋_GB2312" w:eastAsia="仿宋_GB2312" w:cs="仿宋_GB2312"/>
          <w:b/>
          <w:bCs/>
          <w:color w:val="auto"/>
          <w:sz w:val="32"/>
          <w:szCs w:val="32"/>
          <w:highlight w:val="none"/>
          <w:lang w:val="en-US" w:eastAsia="zh-CN"/>
        </w:rPr>
      </w:pPr>
      <w:bookmarkStart w:id="229" w:name="_Toc17347"/>
      <w:bookmarkStart w:id="230" w:name="_Toc896"/>
      <w:r>
        <w:rPr>
          <w:rFonts w:hint="eastAsia" w:ascii="仿宋_GB2312" w:hAnsi="仿宋_GB2312" w:eastAsia="仿宋_GB2312" w:cs="仿宋_GB2312"/>
          <w:b/>
          <w:bCs/>
          <w:color w:val="auto"/>
          <w:sz w:val="32"/>
          <w:szCs w:val="32"/>
          <w:highlight w:val="none"/>
          <w:lang w:val="en-US" w:eastAsia="zh-CN"/>
        </w:rPr>
        <w:t>3.满意度</w:t>
      </w:r>
      <w:bookmarkEnd w:id="229"/>
      <w:bookmarkEnd w:id="230"/>
    </w:p>
    <w:p w14:paraId="0CA6DD91">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本次满意度调查对象主要是逝者家属。根据问卷调查统计结果（收集有效问卷35份），100%的市民对本次减免基本殡葬服务项目感到满意。该项目指标分值 5 分，得分 5 分。</w:t>
      </w:r>
    </w:p>
    <w:p w14:paraId="32DEE10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outlineLvl w:val="0"/>
        <w:rPr>
          <w:rFonts w:hint="eastAsia" w:ascii="仿宋_GB2312" w:hAnsi="仿宋_GB2312" w:eastAsia="仿宋_GB2312" w:cs="仿宋_GB2312"/>
          <w:color w:val="auto"/>
          <w:kern w:val="2"/>
          <w:sz w:val="32"/>
          <w:szCs w:val="32"/>
          <w:highlight w:val="none"/>
          <w:lang w:val="en-US" w:eastAsia="zh-CN" w:bidi="ar-SA"/>
        </w:rPr>
      </w:pPr>
      <w:bookmarkStart w:id="231" w:name="_Toc20466"/>
      <w:bookmarkStart w:id="232" w:name="_Toc31753"/>
      <w:r>
        <w:rPr>
          <w:rFonts w:hint="eastAsia" w:ascii="黑体" w:hAnsi="黑体" w:eastAsia="黑体" w:cs="黑体"/>
          <w:b/>
          <w:bCs/>
          <w:color w:val="auto"/>
          <w:sz w:val="32"/>
          <w:szCs w:val="32"/>
          <w:highlight w:val="none"/>
          <w:lang w:val="en-US" w:eastAsia="zh-CN"/>
        </w:rPr>
        <w:t>五、主要问题及建议</w:t>
      </w:r>
      <w:bookmarkEnd w:id="231"/>
      <w:bookmarkEnd w:id="232"/>
    </w:p>
    <w:p w14:paraId="355725FD">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1"/>
        <w:rPr>
          <w:rFonts w:hint="eastAsia" w:ascii="仿宋_GB2312" w:hAnsi="仿宋_GB2312" w:eastAsia="仿宋_GB2312" w:cs="仿宋_GB2312"/>
          <w:color w:val="auto"/>
          <w:kern w:val="2"/>
          <w:sz w:val="32"/>
          <w:szCs w:val="32"/>
          <w:highlight w:val="none"/>
          <w:lang w:val="en-US" w:eastAsia="zh-CN" w:bidi="ar-SA"/>
        </w:rPr>
      </w:pPr>
      <w:bookmarkStart w:id="233" w:name="_Toc4036"/>
      <w:bookmarkStart w:id="234" w:name="_Toc18252"/>
      <w:r>
        <w:rPr>
          <w:rFonts w:hint="eastAsia" w:ascii="楷体_GB2312" w:hAnsi="楷体_GB2312" w:eastAsia="楷体_GB2312" w:cs="楷体_GB2312"/>
          <w:b/>
          <w:bCs/>
          <w:color w:val="auto"/>
          <w:sz w:val="32"/>
          <w:szCs w:val="32"/>
          <w:highlight w:val="none"/>
          <w:lang w:val="en-US" w:eastAsia="zh-CN"/>
        </w:rPr>
        <w:t>（一）主要问题</w:t>
      </w:r>
      <w:bookmarkEnd w:id="233"/>
      <w:bookmarkEnd w:id="234"/>
      <w:bookmarkStart w:id="235" w:name="_Toc1494"/>
    </w:p>
    <w:bookmarkEnd w:id="235"/>
    <w:p w14:paraId="41FC2EF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200" w:firstLine="321" w:firstLineChars="100"/>
        <w:jc w:val="both"/>
        <w:textAlignment w:val="auto"/>
        <w:outlineLvl w:val="2"/>
        <w:rPr>
          <w:rFonts w:hint="default" w:ascii="仿宋_GB2312" w:hAnsi="仿宋_GB2312" w:eastAsia="仿宋_GB2312" w:cs="仿宋_GB2312"/>
          <w:b/>
          <w:bCs/>
          <w:color w:val="auto"/>
          <w:kern w:val="2"/>
          <w:sz w:val="32"/>
          <w:szCs w:val="32"/>
          <w:highlight w:val="none"/>
          <w:lang w:val="en-US" w:eastAsia="zh-CN" w:bidi="ar-SA"/>
        </w:rPr>
      </w:pPr>
      <w:bookmarkStart w:id="236" w:name="_Toc9468"/>
      <w:bookmarkStart w:id="237" w:name="_Toc10930"/>
      <w:r>
        <w:rPr>
          <w:rFonts w:hint="eastAsia" w:ascii="仿宋_GB2312" w:hAnsi="仿宋_GB2312" w:eastAsia="仿宋_GB2312" w:cs="仿宋_GB2312"/>
          <w:b/>
          <w:bCs/>
          <w:color w:val="auto"/>
          <w:kern w:val="2"/>
          <w:sz w:val="32"/>
          <w:szCs w:val="32"/>
          <w:highlight w:val="none"/>
          <w:lang w:val="en-US" w:eastAsia="zh-CN" w:bidi="ar-SA"/>
        </w:rPr>
        <w:t>1.殡葬服务表单不规范凭证管理松监管效能低</w:t>
      </w:r>
      <w:bookmarkEnd w:id="236"/>
    </w:p>
    <w:bookmarkEnd w:id="237"/>
    <w:p w14:paraId="509C2C0F">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color w:val="auto"/>
          <w:kern w:val="2"/>
          <w:sz w:val="32"/>
          <w:szCs w:val="32"/>
          <w:highlight w:val="none"/>
          <w:lang w:val="en-US" w:eastAsia="zh-CN" w:bidi="ar-SA"/>
        </w:rPr>
      </w:pPr>
      <w:bookmarkStart w:id="238" w:name="_Toc504"/>
      <w:r>
        <w:rPr>
          <w:rFonts w:hint="eastAsia" w:ascii="仿宋_GB2312" w:hAnsi="仿宋_GB2312" w:eastAsia="仿宋_GB2312" w:cs="仿宋_GB2312"/>
          <w:color w:val="auto"/>
          <w:kern w:val="2"/>
          <w:sz w:val="32"/>
          <w:szCs w:val="32"/>
          <w:highlight w:val="none"/>
          <w:lang w:val="en-US" w:eastAsia="zh-CN" w:bidi="ar-SA"/>
        </w:rPr>
        <w:t>当前殡葬服务管理工作存在衔接不畅、规范执行与监管缺位的综合问题，具体表现为：部分乡镇沿用旧版《减免申请表》致档案不统一，申请填报无灵活调整机制增加家属与工作人员负担，还存在非经办人被误填联系方式情况；永久墓园提供的业务收费单未盖有效印章、仅手写记录且未开具增值税普通发票，使家属缺失法定缴费及减免凭证；石狮市殡葬服务所对相关合作单位流程监管不到位，未规范申请人确认机制，对政策执行监管滞后且缺乏对合作机构的有效监管手段，整体监管效能不足，这些问题影响了殡葬服务的规范性、办理效率以及家属合法权益的保障。</w:t>
      </w:r>
    </w:p>
    <w:p w14:paraId="28C4D33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200" w:firstLine="321" w:firstLineChars="100"/>
        <w:jc w:val="both"/>
        <w:textAlignment w:val="auto"/>
        <w:outlineLvl w:val="2"/>
        <w:rPr>
          <w:rFonts w:hint="eastAsia" w:ascii="仿宋_GB2312" w:hAnsi="仿宋_GB2312" w:eastAsia="仿宋_GB2312" w:cs="仿宋_GB2312"/>
          <w:b/>
          <w:bCs/>
          <w:color w:val="auto"/>
          <w:sz w:val="32"/>
          <w:szCs w:val="32"/>
          <w:highlight w:val="none"/>
          <w:lang w:val="en-US" w:eastAsia="zh-CN"/>
        </w:rPr>
      </w:pPr>
      <w:bookmarkStart w:id="239" w:name="_Toc23239"/>
      <w:r>
        <w:rPr>
          <w:rFonts w:hint="eastAsia" w:ascii="仿宋_GB2312" w:hAnsi="仿宋_GB2312" w:eastAsia="仿宋_GB2312" w:cs="仿宋_GB2312"/>
          <w:b/>
          <w:bCs/>
          <w:color w:val="auto"/>
          <w:sz w:val="32"/>
          <w:szCs w:val="32"/>
          <w:highlight w:val="none"/>
          <w:lang w:val="en-US" w:eastAsia="zh-CN"/>
        </w:rPr>
        <w:t>2.档案管理不规范</w:t>
      </w:r>
      <w:bookmarkEnd w:id="239"/>
    </w:p>
    <w:p w14:paraId="258129D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当前殡葬服务档案管理存在不足：缴费凭证及发票底单未归档留存，费用减免申报缺乏有效追溯依据；部分档案填写不规范、信息录入有误；电子档案扫描质量不佳，影响档案完整性与使用效能。</w:t>
      </w:r>
    </w:p>
    <w:p w14:paraId="4DE750D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200" w:firstLine="321" w:firstLineChars="100"/>
        <w:jc w:val="both"/>
        <w:textAlignment w:val="auto"/>
        <w:outlineLvl w:val="2"/>
        <w:rPr>
          <w:rFonts w:hint="default" w:ascii="仿宋_GB2312" w:hAnsi="仿宋_GB2312" w:eastAsia="仿宋_GB2312" w:cs="仿宋_GB2312"/>
          <w:b/>
          <w:bCs/>
          <w:color w:val="auto"/>
          <w:sz w:val="32"/>
          <w:szCs w:val="32"/>
          <w:highlight w:val="none"/>
          <w:lang w:val="en-US" w:eastAsia="zh-CN"/>
        </w:rPr>
      </w:pPr>
      <w:bookmarkStart w:id="240" w:name="_Toc25856"/>
      <w:r>
        <w:rPr>
          <w:rFonts w:hint="eastAsia" w:ascii="仿宋_GB2312" w:hAnsi="仿宋_GB2312" w:eastAsia="仿宋_GB2312" w:cs="仿宋_GB2312"/>
          <w:b/>
          <w:bCs/>
          <w:color w:val="auto"/>
          <w:sz w:val="32"/>
          <w:szCs w:val="32"/>
          <w:highlight w:val="none"/>
          <w:lang w:val="en-US" w:eastAsia="zh-CN"/>
        </w:rPr>
        <w:t>3.政策宣传不够深入，知晓率低</w:t>
      </w:r>
      <w:bookmarkEnd w:id="240"/>
    </w:p>
    <w:p w14:paraId="59D988B6">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石狮市减免基本殡葬费用政策在实施过程中，因宣传与执行机制存在漏洞，导致政策红利与目标群体严重脱节。一方面，政策宣传过度依赖清明节等特定时段的集中推广，第三方代办公司并未主动告知家属此项政策，村级经办人也忽视政策传达，导致家属不知晓此项减免政策；另一方面，个别减免对象全程由经办人代填代报，未设申请人签字确认环节，致使政策信息传递中断。例如，逝者李文积家属反馈“非本人经办却被填为申请人”，证明信息传递在代办环节中断，即便获得费用减免，也无法感知政策红利。这种状况不仅削弱了群众对殡葬服务公益化改革的获得感，使政策目标与实际效果出现巨大落差。</w:t>
      </w:r>
    </w:p>
    <w:p w14:paraId="20BEBB30">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1"/>
        <w:rPr>
          <w:rFonts w:hint="default" w:ascii="楷体_GB2312" w:hAnsi="楷体_GB2312" w:eastAsia="楷体_GB2312" w:cs="楷体_GB2312"/>
          <w:b/>
          <w:bCs/>
          <w:color w:val="auto"/>
          <w:sz w:val="32"/>
          <w:szCs w:val="32"/>
          <w:highlight w:val="none"/>
          <w:lang w:val="en-US" w:eastAsia="zh-CN"/>
        </w:rPr>
      </w:pPr>
      <w:bookmarkStart w:id="241" w:name="_Toc24504"/>
      <w:r>
        <w:rPr>
          <w:rFonts w:hint="eastAsia" w:ascii="楷体_GB2312" w:hAnsi="楷体_GB2312" w:eastAsia="楷体_GB2312" w:cs="楷体_GB2312"/>
          <w:b/>
          <w:bCs/>
          <w:color w:val="auto"/>
          <w:sz w:val="32"/>
          <w:szCs w:val="32"/>
          <w:highlight w:val="none"/>
          <w:lang w:val="en-US" w:eastAsia="zh-CN"/>
        </w:rPr>
        <w:t>（二）有关建议</w:t>
      </w:r>
      <w:bookmarkEnd w:id="238"/>
      <w:bookmarkEnd w:id="241"/>
    </w:p>
    <w:p w14:paraId="1691D9EC">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default" w:ascii="仿宋_GB2312" w:hAnsi="仿宋_GB2312" w:eastAsia="仿宋_GB2312" w:cs="仿宋_GB2312"/>
          <w:b/>
          <w:bCs/>
          <w:color w:val="auto"/>
          <w:sz w:val="32"/>
          <w:szCs w:val="32"/>
          <w:highlight w:val="none"/>
          <w:lang w:val="en-US" w:eastAsia="zh-CN"/>
        </w:rPr>
      </w:pPr>
      <w:bookmarkStart w:id="242" w:name="_Toc3796"/>
      <w:r>
        <w:rPr>
          <w:rFonts w:hint="eastAsia" w:ascii="仿宋_GB2312" w:hAnsi="仿宋_GB2312" w:eastAsia="仿宋_GB2312" w:cs="仿宋_GB2312"/>
          <w:b/>
          <w:bCs/>
          <w:color w:val="auto"/>
          <w:sz w:val="32"/>
          <w:szCs w:val="32"/>
          <w:highlight w:val="none"/>
          <w:lang w:val="en-US" w:eastAsia="zh-CN"/>
        </w:rPr>
        <w:t>1</w:t>
      </w:r>
      <w:r>
        <w:rPr>
          <w:rFonts w:hint="default" w:ascii="仿宋_GB2312" w:hAnsi="仿宋_GB2312" w:eastAsia="仿宋_GB2312" w:cs="仿宋_GB2312"/>
          <w:b/>
          <w:bCs/>
          <w:color w:val="auto"/>
          <w:sz w:val="32"/>
          <w:szCs w:val="32"/>
          <w:highlight w:val="none"/>
          <w:lang w:val="en-US" w:eastAsia="zh-CN"/>
        </w:rPr>
        <w:t>.健全监管机制，提升全流程监管效能</w:t>
      </w:r>
      <w:bookmarkEnd w:id="242"/>
    </w:p>
    <w:p w14:paraId="764A8A0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石狮市殡葬服务所应建立多层级复核机制，严格筑牢申请环节的信息真实性防线。具体如下：</w:t>
      </w:r>
    </w:p>
    <w:p w14:paraId="49E160D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开展全市旧版表单专项清查，要求相关乡镇尽快完成更换，并组织基层经办人开展新版表单填报培训。</w:t>
      </w:r>
    </w:p>
    <w:p w14:paraId="59A4880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在申请资料初审环节，《石狮市减免基本殡葬服务项目费用申请表》经办人必须对申请人身份进行严格核验，通过比对逝者身份证、户口簿及申请人有效证件，确认申请人为逝者直系亲属或法定监护人；若涉及代办情况，必须要求代办人出具经公证的代办函件（明确代办权限、范围及有效期），同时核验代办人身份证原件及复印件，确保代办行为的合法性与规范性，杜绝无关人员冒领、错领减免费用。</w:t>
      </w:r>
    </w:p>
    <w:p w14:paraId="08E90FC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完善复核制度，由殡葬管理所专人对经办人审核通过的申请资料进行二次核查，重点确认身份信息一致性、代办函件有效性等关键内容，形成复核记录存档备查。</w:t>
      </w:r>
    </w:p>
    <w:p w14:paraId="1D9F449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同时，加强对合作机构及政策执行的全流程监管：每月随机抽查永久墓园不少于 20% 的业务凭证，重点检查收费单是否加盖有效印章、是否按规定向家属提供增值税普通发票，对发现的违规行为，立即暂缓相关费用结算，下达整改通知书，限期 3 个工作日内完成整改，整改验收合格后方可恢复结算。</w:t>
      </w:r>
    </w:p>
    <w:p w14:paraId="58DE1A63">
      <w:pPr>
        <w:keepNext w:val="0"/>
        <w:keepLines w:val="0"/>
        <w:pageBreakBefore w:val="0"/>
        <w:widowControl w:val="0"/>
        <w:kinsoku/>
        <w:wordWrap/>
        <w:overflowPunct/>
        <w:topLinePunct w:val="0"/>
        <w:autoSpaceDE/>
        <w:autoSpaceDN/>
        <w:bidi w:val="0"/>
        <w:adjustRightInd/>
        <w:snapToGrid/>
        <w:spacing w:line="560" w:lineRule="exact"/>
        <w:ind w:leftChars="0" w:firstLine="643" w:firstLineChars="200"/>
        <w:jc w:val="both"/>
        <w:textAlignment w:val="auto"/>
        <w:outlineLvl w:val="2"/>
        <w:rPr>
          <w:rFonts w:hint="default" w:ascii="仿宋_GB2312" w:hAnsi="仿宋_GB2312" w:eastAsia="仿宋_GB2312" w:cs="仿宋_GB2312"/>
          <w:b/>
          <w:bCs/>
          <w:color w:val="auto"/>
          <w:sz w:val="32"/>
          <w:szCs w:val="32"/>
          <w:highlight w:val="none"/>
          <w:lang w:val="en-US" w:eastAsia="zh-CN"/>
        </w:rPr>
      </w:pPr>
      <w:bookmarkStart w:id="243" w:name="_Toc8548"/>
      <w:r>
        <w:rPr>
          <w:rFonts w:hint="eastAsia" w:ascii="仿宋_GB2312" w:hAnsi="仿宋_GB2312" w:eastAsia="仿宋_GB2312" w:cs="仿宋_GB2312"/>
          <w:b/>
          <w:bCs/>
          <w:color w:val="auto"/>
          <w:sz w:val="32"/>
          <w:szCs w:val="32"/>
          <w:highlight w:val="none"/>
          <w:lang w:val="en-US" w:eastAsia="zh-CN"/>
        </w:rPr>
        <w:t>2.</w:t>
      </w:r>
      <w:r>
        <w:rPr>
          <w:rFonts w:hint="default" w:ascii="仿宋_GB2312" w:hAnsi="仿宋_GB2312" w:eastAsia="仿宋_GB2312" w:cs="仿宋_GB2312"/>
          <w:b/>
          <w:bCs/>
          <w:color w:val="auto"/>
          <w:sz w:val="32"/>
          <w:szCs w:val="32"/>
          <w:highlight w:val="none"/>
          <w:lang w:val="en-US" w:eastAsia="zh-CN"/>
        </w:rPr>
        <w:t>完善档案管理体系，确保资料完整可追溯</w:t>
      </w:r>
      <w:bookmarkEnd w:id="243"/>
    </w:p>
    <w:p w14:paraId="284C7BE6">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针对档案填写不完整及扫描模糊问题，建议实行“村（居）初审 + 殡葬所复审”双审制度，对档案填写完整性（如保证人签字、死亡证明日期）逐页核查，对扫描模糊的档案要求重新扫描上传，定期开展档案抽查，确保档案无遗漏、可追溯，为后续审计与争议处理提供完整依据。</w:t>
      </w:r>
    </w:p>
    <w:p w14:paraId="6129748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outlineLvl w:val="2"/>
        <w:rPr>
          <w:rFonts w:hint="default" w:ascii="仿宋_GB2312" w:hAnsi="仿宋_GB2312" w:eastAsia="仿宋_GB2312" w:cs="仿宋_GB2312"/>
          <w:b/>
          <w:bCs/>
          <w:color w:val="auto"/>
          <w:kern w:val="0"/>
          <w:sz w:val="32"/>
          <w:szCs w:val="32"/>
          <w:highlight w:val="none"/>
          <w:lang w:val="en-US" w:eastAsia="zh-CN" w:bidi="ar-SA"/>
        </w:rPr>
      </w:pPr>
      <w:bookmarkStart w:id="244" w:name="_Toc20726"/>
      <w:r>
        <w:rPr>
          <w:rFonts w:hint="eastAsia" w:ascii="仿宋_GB2312" w:hAnsi="仿宋_GB2312" w:eastAsia="仿宋_GB2312" w:cs="仿宋_GB2312"/>
          <w:b/>
          <w:bCs/>
          <w:color w:val="auto"/>
          <w:kern w:val="0"/>
          <w:sz w:val="32"/>
          <w:szCs w:val="32"/>
          <w:highlight w:val="none"/>
          <w:lang w:val="en-US" w:eastAsia="zh-CN" w:bidi="ar-SA"/>
        </w:rPr>
        <w:t>3</w:t>
      </w:r>
      <w:r>
        <w:rPr>
          <w:rFonts w:hint="default" w:ascii="仿宋_GB2312" w:hAnsi="仿宋_GB2312" w:eastAsia="仿宋_GB2312" w:cs="仿宋_GB2312"/>
          <w:b/>
          <w:bCs/>
          <w:color w:val="auto"/>
          <w:kern w:val="0"/>
          <w:sz w:val="32"/>
          <w:szCs w:val="32"/>
          <w:highlight w:val="none"/>
          <w:lang w:val="en-US" w:eastAsia="zh-CN" w:bidi="ar-SA"/>
        </w:rPr>
        <w:t>.</w:t>
      </w:r>
      <w:r>
        <w:rPr>
          <w:rFonts w:hint="eastAsia" w:ascii="仿宋_GB2312" w:hAnsi="仿宋_GB2312" w:eastAsia="仿宋_GB2312" w:cs="仿宋_GB2312"/>
          <w:b/>
          <w:bCs/>
          <w:color w:val="auto"/>
          <w:kern w:val="0"/>
          <w:sz w:val="32"/>
          <w:szCs w:val="32"/>
          <w:highlight w:val="none"/>
          <w:lang w:val="en-US" w:eastAsia="zh-CN" w:bidi="ar-SA"/>
        </w:rPr>
        <w:t>精准施策，进一步</w:t>
      </w:r>
      <w:r>
        <w:rPr>
          <w:rFonts w:hint="default" w:ascii="仿宋_GB2312" w:hAnsi="仿宋_GB2312" w:eastAsia="仿宋_GB2312" w:cs="仿宋_GB2312"/>
          <w:b/>
          <w:bCs/>
          <w:color w:val="auto"/>
          <w:kern w:val="0"/>
          <w:sz w:val="32"/>
          <w:szCs w:val="32"/>
          <w:highlight w:val="none"/>
          <w:lang w:val="en-US" w:eastAsia="zh-CN" w:bidi="ar-SA"/>
        </w:rPr>
        <w:t>提升群众知晓率</w:t>
      </w:r>
      <w:bookmarkEnd w:id="244"/>
    </w:p>
    <w:p w14:paraId="46AA49F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石狮市殡葬服务所应聚焦“第三方代办”“村级代填”等关键环节，精准施策，确保政策有效落地。针对第三方殡葬公司，严格规范代办流程，要求其开展代申请业务时，必须出具家属亲笔签署的代办委托单，无委托单者不予办理业务，从源头上保障业务办理的规范性和家属知情权。对于村级经办人，建立严格的身份审核制度，通过定期核查、备案登记等方式，确保代办人身份真实可靠；同时，将政策宣传纳入村级经办人的日常工作考核指标，明确其政策普及责任。在申请表填写环节，要求经办人必须当场向家属口头详细讲解政策核心内容，包括减免条件、项目及金额等，讲解完毕后，由家属在申请表新增的“政策知晓确认栏”签字确认，确保家属充分理解政策红利。</w:t>
      </w:r>
    </w:p>
    <w:p w14:paraId="6684519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outlineLvl w:val="2"/>
        <w:rPr>
          <w:rFonts w:hint="default" w:ascii="仿宋_GB2312" w:hAnsi="仿宋_GB2312" w:eastAsia="仿宋_GB2312" w:cs="仿宋_GB2312"/>
          <w:b/>
          <w:bCs/>
          <w:color w:val="auto"/>
          <w:kern w:val="0"/>
          <w:sz w:val="32"/>
          <w:szCs w:val="32"/>
          <w:highlight w:val="none"/>
          <w:lang w:val="en-US" w:eastAsia="zh-CN" w:bidi="ar-SA"/>
        </w:rPr>
      </w:pPr>
      <w:bookmarkStart w:id="245" w:name="_Toc30638"/>
      <w:r>
        <w:rPr>
          <w:rFonts w:hint="eastAsia" w:ascii="仿宋_GB2312" w:hAnsi="仿宋_GB2312" w:eastAsia="仿宋_GB2312" w:cs="仿宋_GB2312"/>
          <w:b/>
          <w:bCs/>
          <w:color w:val="auto"/>
          <w:kern w:val="0"/>
          <w:sz w:val="32"/>
          <w:szCs w:val="32"/>
          <w:highlight w:val="none"/>
          <w:lang w:val="en-US" w:eastAsia="zh-CN" w:bidi="ar-SA"/>
        </w:rPr>
        <w:t>4.</w:t>
      </w:r>
      <w:r>
        <w:rPr>
          <w:rFonts w:hint="default" w:ascii="仿宋_GB2312" w:hAnsi="仿宋_GB2312" w:eastAsia="仿宋_GB2312" w:cs="仿宋_GB2312"/>
          <w:b/>
          <w:bCs/>
          <w:color w:val="auto"/>
          <w:kern w:val="0"/>
          <w:sz w:val="32"/>
          <w:szCs w:val="32"/>
          <w:highlight w:val="none"/>
          <w:lang w:val="en-US" w:eastAsia="zh-CN" w:bidi="ar-SA"/>
        </w:rPr>
        <w:t>创新宣传模式，让殡葬惠民与生态安葬深入人心</w:t>
      </w:r>
      <w:bookmarkEnd w:id="245"/>
    </w:p>
    <w:p w14:paraId="34717B8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outlineLvl w:val="9"/>
        <w:rPr>
          <w:rFonts w:hint="default" w:ascii="仿宋_GB2312" w:hAnsi="仿宋_GB2312" w:eastAsia="仿宋_GB2312" w:cs="仿宋_GB2312"/>
          <w:b w:val="0"/>
          <w:bCs w:val="0"/>
          <w:color w:val="auto"/>
          <w:kern w:val="2"/>
          <w:sz w:val="32"/>
          <w:szCs w:val="32"/>
          <w:highlight w:val="none"/>
          <w:lang w:val="en-US" w:eastAsia="zh-CN" w:bidi="ar-SA"/>
        </w:rPr>
      </w:pPr>
      <w:bookmarkStart w:id="246" w:name="_Toc7685"/>
      <w:r>
        <w:rPr>
          <w:rFonts w:hint="eastAsia" w:ascii="仿宋_GB2312" w:hAnsi="仿宋_GB2312" w:eastAsia="仿宋_GB2312" w:cs="仿宋_GB2312"/>
          <w:b w:val="0"/>
          <w:bCs w:val="0"/>
          <w:color w:val="auto"/>
          <w:kern w:val="2"/>
          <w:sz w:val="32"/>
          <w:szCs w:val="32"/>
          <w:highlight w:val="none"/>
          <w:lang w:val="en-US" w:eastAsia="zh-CN" w:bidi="ar-SA"/>
        </w:rPr>
        <w:t>石狮市殡葬服务所</w:t>
      </w:r>
      <w:r>
        <w:rPr>
          <w:rFonts w:hint="default" w:ascii="仿宋_GB2312" w:hAnsi="仿宋_GB2312" w:eastAsia="仿宋_GB2312" w:cs="仿宋_GB2312"/>
          <w:b w:val="0"/>
          <w:bCs w:val="0"/>
          <w:color w:val="auto"/>
          <w:kern w:val="2"/>
          <w:sz w:val="32"/>
          <w:szCs w:val="32"/>
          <w:highlight w:val="none"/>
          <w:lang w:val="en-US" w:eastAsia="zh-CN" w:bidi="ar-SA"/>
        </w:rPr>
        <w:t>可借助线上线下协同发力，提升减免基本殡葬服务费用及节地生态安葬推广成效。线下通过乡镇集市、村委会公告栏张贴方言口语化宣传海报，直观呈现减免政策的具体内容、申请方式，以及节地生态安葬“节约土地、简化流程”等优势；在清明节、重阳节等传统祭扫节点，于殡仪馆、公墓设置宣传点，发放简易折。线上依托微信公众号，定期推送图文等多样化内容，深度解读减免政策细则与节地生态安葬的操作流程、环保意义，通过通俗易懂的案例分享，增强群众对两项工作的认知与接受度。</w:t>
      </w:r>
    </w:p>
    <w:p w14:paraId="2BFBF96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outlineLvl w:val="2"/>
        <w:rPr>
          <w:rFonts w:hint="eastAsia" w:ascii="仿宋_GB2312" w:hAnsi="仿宋_GB2312" w:eastAsia="仿宋_GB2312" w:cs="仿宋_GB2312"/>
          <w:b/>
          <w:bCs/>
          <w:color w:val="auto"/>
          <w:kern w:val="0"/>
          <w:sz w:val="32"/>
          <w:szCs w:val="32"/>
          <w:highlight w:val="none"/>
          <w:lang w:val="en-US" w:eastAsia="zh-CN" w:bidi="ar-SA"/>
        </w:rPr>
      </w:pPr>
      <w:bookmarkStart w:id="247" w:name="_Toc25006"/>
      <w:r>
        <w:rPr>
          <w:rFonts w:hint="eastAsia" w:ascii="仿宋_GB2312" w:hAnsi="仿宋_GB2312" w:eastAsia="仿宋_GB2312" w:cs="仿宋_GB2312"/>
          <w:b/>
          <w:bCs/>
          <w:color w:val="auto"/>
          <w:kern w:val="0"/>
          <w:sz w:val="32"/>
          <w:szCs w:val="32"/>
          <w:highlight w:val="none"/>
          <w:lang w:val="en-US" w:eastAsia="zh-CN" w:bidi="ar-SA"/>
        </w:rPr>
        <w:t>5.将</w:t>
      </w:r>
      <w:r>
        <w:rPr>
          <w:rFonts w:hint="default" w:ascii="仿宋_GB2312" w:hAnsi="仿宋_GB2312" w:eastAsia="仿宋_GB2312" w:cs="仿宋_GB2312"/>
          <w:b/>
          <w:bCs/>
          <w:color w:val="auto"/>
          <w:kern w:val="0"/>
          <w:sz w:val="32"/>
          <w:szCs w:val="32"/>
          <w:highlight w:val="none"/>
          <w:lang w:val="en-US" w:eastAsia="zh-CN" w:bidi="ar-SA"/>
        </w:rPr>
        <w:t>基本殡葬费用由“减免”改</w:t>
      </w:r>
      <w:r>
        <w:rPr>
          <w:rFonts w:hint="eastAsia" w:ascii="仿宋_GB2312" w:hAnsi="仿宋_GB2312" w:eastAsia="仿宋_GB2312" w:cs="仿宋_GB2312"/>
          <w:b/>
          <w:bCs/>
          <w:color w:val="auto"/>
          <w:kern w:val="0"/>
          <w:sz w:val="32"/>
          <w:szCs w:val="32"/>
          <w:highlight w:val="none"/>
          <w:lang w:val="en-US" w:eastAsia="zh-CN" w:bidi="ar-SA"/>
        </w:rPr>
        <w:t>为</w:t>
      </w:r>
      <w:r>
        <w:rPr>
          <w:rFonts w:hint="default" w:ascii="仿宋_GB2312" w:hAnsi="仿宋_GB2312" w:eastAsia="仿宋_GB2312" w:cs="仿宋_GB2312"/>
          <w:b/>
          <w:bCs/>
          <w:color w:val="auto"/>
          <w:kern w:val="0"/>
          <w:sz w:val="32"/>
          <w:szCs w:val="32"/>
          <w:highlight w:val="none"/>
          <w:lang w:val="en-US" w:eastAsia="zh-CN" w:bidi="ar-SA"/>
        </w:rPr>
        <w:t>“事后补助”</w:t>
      </w:r>
      <w:bookmarkEnd w:id="247"/>
    </w:p>
    <w:p w14:paraId="55AE1E2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outlineLvl w:val="9"/>
        <w:rPr>
          <w:rFonts w:hint="default" w:ascii="仿宋_GB2312" w:hAnsi="仿宋_GB2312" w:eastAsia="仿宋_GB2312" w:cs="仿宋_GB2312"/>
          <w:b w:val="0"/>
          <w:bCs w:val="0"/>
          <w:color w:val="auto"/>
          <w:kern w:val="2"/>
          <w:sz w:val="32"/>
          <w:szCs w:val="32"/>
          <w:highlight w:val="none"/>
          <w:lang w:val="en-US" w:eastAsia="zh-CN" w:bidi="ar-SA"/>
        </w:rPr>
      </w:pPr>
      <w:r>
        <w:rPr>
          <w:rFonts w:hint="default" w:ascii="仿宋_GB2312" w:hAnsi="仿宋_GB2312" w:eastAsia="仿宋_GB2312" w:cs="仿宋_GB2312"/>
          <w:b w:val="0"/>
          <w:bCs w:val="0"/>
          <w:color w:val="auto"/>
          <w:kern w:val="2"/>
          <w:sz w:val="32"/>
          <w:szCs w:val="32"/>
          <w:highlight w:val="none"/>
          <w:lang w:val="en-US" w:eastAsia="zh-CN" w:bidi="ar-SA"/>
        </w:rPr>
        <w:t>当前基本殡葬费用采用的“减免模式”存在显著不足：一是依赖事前申报，家属需提前确定服务需求，后续若有变更需走 “多退少补”流程，不仅增加沟通与审核成本，还常因流程繁琐导致调整落实不到位；二是</w:t>
      </w:r>
      <w:r>
        <w:rPr>
          <w:rFonts w:hint="eastAsia" w:ascii="仿宋_GB2312" w:hAnsi="仿宋_GB2312" w:eastAsia="仿宋_GB2312" w:cs="仿宋_GB2312"/>
          <w:b w:val="0"/>
          <w:bCs w:val="0"/>
          <w:color w:val="auto"/>
          <w:kern w:val="2"/>
          <w:sz w:val="32"/>
          <w:szCs w:val="32"/>
          <w:highlight w:val="none"/>
          <w:lang w:val="en-US" w:eastAsia="zh-CN" w:bidi="ar-SA"/>
        </w:rPr>
        <w:t>丧葬多委托代办完成，</w:t>
      </w:r>
      <w:r>
        <w:rPr>
          <w:rFonts w:hint="default" w:ascii="仿宋_GB2312" w:hAnsi="仿宋_GB2312" w:eastAsia="仿宋_GB2312" w:cs="仿宋_GB2312"/>
          <w:b w:val="0"/>
          <w:bCs w:val="0"/>
          <w:color w:val="auto"/>
          <w:kern w:val="2"/>
          <w:sz w:val="32"/>
          <w:szCs w:val="32"/>
          <w:highlight w:val="none"/>
          <w:lang w:val="en-US" w:eastAsia="zh-CN" w:bidi="ar-SA"/>
        </w:rPr>
        <w:t>第三方或亲戚代填申请表时，缺乏家属签字确认与政策告知环节，</w:t>
      </w:r>
      <w:r>
        <w:rPr>
          <w:rFonts w:hint="eastAsia" w:ascii="仿宋_GB2312" w:hAnsi="仿宋_GB2312" w:eastAsia="仿宋_GB2312" w:cs="仿宋_GB2312"/>
          <w:b w:val="0"/>
          <w:bCs w:val="0"/>
          <w:color w:val="auto"/>
          <w:kern w:val="2"/>
          <w:sz w:val="32"/>
          <w:szCs w:val="32"/>
          <w:highlight w:val="none"/>
          <w:lang w:val="en-US" w:eastAsia="zh-CN" w:bidi="ar-SA"/>
        </w:rPr>
        <w:t>导致</w:t>
      </w:r>
      <w:r>
        <w:rPr>
          <w:rFonts w:hint="default" w:ascii="仿宋_GB2312" w:hAnsi="仿宋_GB2312" w:eastAsia="仿宋_GB2312" w:cs="仿宋_GB2312"/>
          <w:b w:val="0"/>
          <w:bCs w:val="0"/>
          <w:color w:val="auto"/>
          <w:kern w:val="2"/>
          <w:sz w:val="32"/>
          <w:szCs w:val="32"/>
          <w:highlight w:val="none"/>
          <w:lang w:val="en-US" w:eastAsia="zh-CN" w:bidi="ar-SA"/>
        </w:rPr>
        <w:t>部分家属不知晓减免政策，</w:t>
      </w:r>
      <w:r>
        <w:rPr>
          <w:rFonts w:hint="eastAsia" w:ascii="仿宋_GB2312" w:hAnsi="仿宋_GB2312" w:eastAsia="仿宋_GB2312" w:cs="仿宋_GB2312"/>
          <w:b w:val="0"/>
          <w:bCs w:val="0"/>
          <w:color w:val="auto"/>
          <w:kern w:val="2"/>
          <w:sz w:val="32"/>
          <w:szCs w:val="32"/>
          <w:highlight w:val="none"/>
          <w:lang w:val="en-US" w:eastAsia="zh-CN" w:bidi="ar-SA"/>
        </w:rPr>
        <w:t>政策</w:t>
      </w:r>
      <w:r>
        <w:rPr>
          <w:rFonts w:hint="default" w:ascii="仿宋_GB2312" w:hAnsi="仿宋_GB2312" w:eastAsia="仿宋_GB2312" w:cs="仿宋_GB2312"/>
          <w:b w:val="0"/>
          <w:bCs w:val="0"/>
          <w:color w:val="auto"/>
          <w:kern w:val="2"/>
          <w:sz w:val="32"/>
          <w:szCs w:val="32"/>
          <w:highlight w:val="none"/>
          <w:lang w:val="en-US" w:eastAsia="zh-CN" w:bidi="ar-SA"/>
        </w:rPr>
        <w:t>效果大打折扣</w:t>
      </w:r>
      <w:r>
        <w:rPr>
          <w:rFonts w:hint="eastAsia" w:ascii="仿宋_GB2312" w:hAnsi="仿宋_GB2312" w:eastAsia="仿宋_GB2312" w:cs="仿宋_GB2312"/>
          <w:b w:val="0"/>
          <w:bCs w:val="0"/>
          <w:color w:val="auto"/>
          <w:kern w:val="2"/>
          <w:sz w:val="32"/>
          <w:szCs w:val="32"/>
          <w:highlight w:val="none"/>
          <w:lang w:val="en-US" w:eastAsia="zh-CN" w:bidi="ar-SA"/>
        </w:rPr>
        <w:t>。</w:t>
      </w:r>
    </w:p>
    <w:p w14:paraId="7A53ABD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outlineLvl w:val="9"/>
        <w:rPr>
          <w:rFonts w:hint="default" w:ascii="仿宋_GB2312" w:hAnsi="仿宋_GB2312" w:eastAsia="仿宋_GB2312" w:cs="仿宋_GB2312"/>
          <w:b w:val="0"/>
          <w:bCs w:val="0"/>
          <w:color w:val="auto"/>
          <w:kern w:val="2"/>
          <w:sz w:val="32"/>
          <w:szCs w:val="32"/>
          <w:highlight w:val="none"/>
          <w:lang w:val="en-US" w:eastAsia="zh-CN" w:bidi="ar-SA"/>
        </w:rPr>
      </w:pPr>
      <w:r>
        <w:rPr>
          <w:rFonts w:hint="eastAsia" w:ascii="仿宋_GB2312" w:hAnsi="仿宋_GB2312" w:eastAsia="仿宋_GB2312" w:cs="仿宋_GB2312"/>
          <w:b w:val="0"/>
          <w:bCs w:val="0"/>
          <w:color w:val="auto"/>
          <w:kern w:val="2"/>
          <w:sz w:val="32"/>
          <w:szCs w:val="32"/>
          <w:highlight w:val="none"/>
          <w:lang w:val="en-US" w:eastAsia="zh-CN" w:bidi="ar-SA"/>
        </w:rPr>
        <w:t>因</w:t>
      </w:r>
      <w:r>
        <w:rPr>
          <w:rFonts w:hint="default" w:ascii="仿宋_GB2312" w:hAnsi="仿宋_GB2312" w:eastAsia="仿宋_GB2312" w:cs="仿宋_GB2312"/>
          <w:b w:val="0"/>
          <w:bCs w:val="0"/>
          <w:color w:val="auto"/>
          <w:kern w:val="2"/>
          <w:sz w:val="32"/>
          <w:szCs w:val="32"/>
          <w:highlight w:val="none"/>
          <w:lang w:val="en-US" w:eastAsia="zh-CN" w:bidi="ar-SA"/>
        </w:rPr>
        <w:t>此，建议将“减免模式”调整为“事后补助模式”，具体实施方式为：家属办理丧事时先按正常标准支付所有基本殡葬服务费用，留存殡仪馆开具的正规收费发票与服务明细</w:t>
      </w:r>
      <w:r>
        <w:rPr>
          <w:rFonts w:hint="eastAsia" w:ascii="仿宋_GB2312" w:hAnsi="仿宋_GB2312" w:eastAsia="仿宋_GB2312" w:cs="仿宋_GB2312"/>
          <w:b w:val="0"/>
          <w:bCs w:val="0"/>
          <w:color w:val="auto"/>
          <w:kern w:val="2"/>
          <w:sz w:val="32"/>
          <w:szCs w:val="32"/>
          <w:highlight w:val="none"/>
          <w:lang w:val="en-US" w:eastAsia="zh-CN" w:bidi="ar-SA"/>
        </w:rPr>
        <w:t>；申</w:t>
      </w:r>
      <w:r>
        <w:rPr>
          <w:rFonts w:hint="default" w:ascii="仿宋_GB2312" w:hAnsi="仿宋_GB2312" w:eastAsia="仿宋_GB2312" w:cs="仿宋_GB2312"/>
          <w:b w:val="0"/>
          <w:bCs w:val="0"/>
          <w:color w:val="auto"/>
          <w:kern w:val="2"/>
          <w:sz w:val="32"/>
          <w:szCs w:val="32"/>
          <w:highlight w:val="none"/>
          <w:lang w:val="en-US" w:eastAsia="zh-CN" w:bidi="ar-SA"/>
        </w:rPr>
        <w:t>报死亡信息时，可同步向村（居）委会</w:t>
      </w:r>
      <w:r>
        <w:rPr>
          <w:rFonts w:hint="eastAsia" w:ascii="仿宋_GB2312" w:hAnsi="仿宋_GB2312" w:eastAsia="仿宋_GB2312" w:cs="仿宋_GB2312"/>
          <w:b w:val="0"/>
          <w:bCs w:val="0"/>
          <w:color w:val="auto"/>
          <w:kern w:val="2"/>
          <w:sz w:val="32"/>
          <w:szCs w:val="32"/>
          <w:highlight w:val="none"/>
          <w:lang w:val="en-US" w:eastAsia="zh-CN" w:bidi="ar-SA"/>
        </w:rPr>
        <w:t>登记申领政策补助</w:t>
      </w:r>
      <w:r>
        <w:rPr>
          <w:rFonts w:hint="default" w:ascii="仿宋_GB2312" w:hAnsi="仿宋_GB2312" w:eastAsia="仿宋_GB2312" w:cs="仿宋_GB2312"/>
          <w:b w:val="0"/>
          <w:bCs w:val="0"/>
          <w:color w:val="auto"/>
          <w:kern w:val="2"/>
          <w:sz w:val="32"/>
          <w:szCs w:val="32"/>
          <w:highlight w:val="none"/>
          <w:lang w:val="en-US" w:eastAsia="zh-CN" w:bidi="ar-SA"/>
        </w:rPr>
        <w:t>，无需提前预估服务用量；丧事办完后，家属凭收费发票、死亡证明、本人身份证明及银行卡信息，在规定时限内（如 30 日内）提交正式补助申请；经村（居）委会材料真实性核对、乡镇民政办初审后，由殡葬管理所根据实际消费明细核定补助金额，最终将补助资金直接拨付至家属银行账户。这种模式能省去事前申报与变更调整的繁琐手续，以实际消费凭证确保费用核算精准，更通过“资金直达家属账户”避免代办环节的信息断层，让惠民红利切实落到丧主手中，同时降低监管成本与误差风险。</w:t>
      </w:r>
    </w:p>
    <w:p w14:paraId="48C7D16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outlineLvl w:val="9"/>
        <w:rPr>
          <w:rFonts w:hint="eastAsia" w:ascii="仿宋_GB2312" w:hAnsi="仿宋_GB2312" w:eastAsia="仿宋_GB2312" w:cs="仿宋_GB2312"/>
          <w:b w:val="0"/>
          <w:bCs w:val="0"/>
          <w:color w:val="auto"/>
          <w:kern w:val="2"/>
          <w:sz w:val="32"/>
          <w:szCs w:val="32"/>
          <w:highlight w:val="none"/>
          <w:lang w:val="en-US" w:eastAsia="zh-CN" w:bidi="ar-SA"/>
        </w:rPr>
      </w:pPr>
    </w:p>
    <w:p w14:paraId="5119CB1E">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both"/>
        <w:textAlignment w:val="auto"/>
        <w:outlineLvl w:val="0"/>
        <w:rPr>
          <w:rFonts w:hint="default" w:ascii="仿宋_GB2312" w:hAnsi="仿宋_GB2312" w:eastAsia="仿宋_GB2312" w:cs="仿宋_GB2312"/>
          <w:color w:val="auto"/>
          <w:kern w:val="2"/>
          <w:sz w:val="32"/>
          <w:szCs w:val="32"/>
          <w:highlight w:val="none"/>
          <w:lang w:val="en-US" w:eastAsia="zh-CN" w:bidi="ar-SA"/>
        </w:rPr>
      </w:pPr>
      <w:bookmarkStart w:id="248" w:name="_Toc19940"/>
      <w:r>
        <w:rPr>
          <w:rFonts w:hint="eastAsia" w:ascii="黑体" w:hAnsi="黑体" w:eastAsia="黑体" w:cs="黑体"/>
          <w:b/>
          <w:bCs/>
          <w:color w:val="auto"/>
          <w:sz w:val="32"/>
          <w:szCs w:val="32"/>
          <w:highlight w:val="none"/>
          <w:lang w:val="en-US" w:eastAsia="zh-CN"/>
        </w:rPr>
        <w:t>六、附件</w:t>
      </w:r>
      <w:bookmarkEnd w:id="246"/>
      <w:bookmarkEnd w:id="248"/>
    </w:p>
    <w:p w14:paraId="6BCB7559">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bookmarkStart w:id="249" w:name="_Toc20083"/>
      <w:bookmarkStart w:id="250" w:name="_Toc19777"/>
      <w:bookmarkStart w:id="251" w:name="_Toc27273"/>
      <w:bookmarkStart w:id="252" w:name="_Toc7526"/>
      <w:bookmarkStart w:id="253" w:name="_Toc16664"/>
      <w:r>
        <w:rPr>
          <w:rFonts w:hint="eastAsia" w:ascii="仿宋_GB2312" w:hAnsi="仿宋_GB2312" w:eastAsia="仿宋_GB2312" w:cs="仿宋_GB2312"/>
          <w:color w:val="auto"/>
          <w:kern w:val="2"/>
          <w:sz w:val="32"/>
          <w:szCs w:val="32"/>
          <w:highlight w:val="none"/>
          <w:lang w:val="en-US" w:eastAsia="zh-CN" w:bidi="ar-SA"/>
        </w:rPr>
        <w:t xml:space="preserve">附件1 </w:t>
      </w:r>
      <w:bookmarkEnd w:id="249"/>
      <w:bookmarkEnd w:id="250"/>
      <w:bookmarkEnd w:id="251"/>
      <w:bookmarkEnd w:id="252"/>
      <w:bookmarkEnd w:id="253"/>
      <w:r>
        <w:rPr>
          <w:rFonts w:hint="eastAsia" w:ascii="仿宋_GB2312" w:hAnsi="仿宋_GB2312" w:eastAsia="仿宋_GB2312" w:cs="仿宋_GB2312"/>
          <w:color w:val="auto"/>
          <w:kern w:val="2"/>
          <w:sz w:val="32"/>
          <w:szCs w:val="32"/>
          <w:highlight w:val="none"/>
          <w:lang w:val="en-US" w:eastAsia="zh-CN" w:bidi="ar-SA"/>
        </w:rPr>
        <w:t>减免基本殡葬服务项目绩效评价指标体系评分表</w:t>
      </w:r>
    </w:p>
    <w:p w14:paraId="03620EE7">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附件2 减免基本殡葬服务项目调研图片</w:t>
      </w:r>
    </w:p>
    <w:p w14:paraId="066CE962">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default"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US" w:eastAsia="zh-CN" w:bidi="ar-SA"/>
        </w:rPr>
        <w:t>附件3 编制单位签章</w:t>
      </w:r>
    </w:p>
    <w:p w14:paraId="0FDE50A7">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ind w:firstLine="640" w:firstLineChars="200"/>
        <w:jc w:val="both"/>
        <w:textAlignment w:val="baseline"/>
        <w:outlineLvl w:val="9"/>
        <w:rPr>
          <w:rFonts w:hint="default" w:ascii="仿宋_GB2312" w:hAnsi="仿宋_GB2312" w:eastAsia="仿宋_GB2312" w:cs="仿宋_GB2312"/>
          <w:color w:val="auto"/>
          <w:kern w:val="2"/>
          <w:sz w:val="32"/>
          <w:szCs w:val="32"/>
          <w:highlight w:val="none"/>
          <w:lang w:val="en-US" w:eastAsia="zh-CN" w:bidi="ar-SA"/>
        </w:rPr>
      </w:pPr>
      <w:bookmarkStart w:id="254" w:name="_Toc9939"/>
      <w:r>
        <w:rPr>
          <w:rFonts w:hint="eastAsia" w:ascii="仿宋_GB2312" w:hAnsi="仿宋_GB2312" w:eastAsia="仿宋_GB2312" w:cs="仿宋_GB2312"/>
          <w:color w:val="auto"/>
          <w:kern w:val="2"/>
          <w:sz w:val="32"/>
          <w:szCs w:val="32"/>
          <w:highlight w:val="none"/>
          <w:lang w:val="en-US" w:eastAsia="zh-CN" w:bidi="ar-SA"/>
        </w:rPr>
        <w:t>附件4 编制单位营业执照</w:t>
      </w:r>
      <w:bookmarkEnd w:id="254"/>
    </w:p>
    <w:p w14:paraId="1489E72F">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560" w:lineRule="exact"/>
        <w:jc w:val="both"/>
        <w:textAlignment w:val="baseline"/>
        <w:outlineLvl w:val="9"/>
        <w:rPr>
          <w:rFonts w:hint="default" w:ascii="仿宋_GB2312" w:hAnsi="仿宋_GB2312" w:eastAsia="仿宋_GB2312" w:cs="仿宋_GB2312"/>
          <w:color w:val="auto"/>
          <w:kern w:val="2"/>
          <w:sz w:val="32"/>
          <w:szCs w:val="32"/>
          <w:highlight w:val="none"/>
          <w:lang w:val="en-US" w:eastAsia="zh-CN" w:bidi="ar-SA"/>
        </w:rPr>
        <w:sectPr>
          <w:headerReference r:id="rId14" w:type="default"/>
          <w:headerReference r:id="rId15" w:type="even"/>
          <w:pgSz w:w="11906" w:h="16838"/>
          <w:pgMar w:top="1417" w:right="1474" w:bottom="1417" w:left="1587"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2C90FC3C">
      <w:pPr>
        <w:keepNext w:val="0"/>
        <w:keepLines w:val="0"/>
        <w:pageBreakBefore w:val="0"/>
        <w:widowControl w:val="0"/>
        <w:numPr>
          <w:ilvl w:val="0"/>
          <w:numId w:val="0"/>
        </w:numPr>
        <w:shd w:val="clear" w:color="auto" w:fill="FFFFFF"/>
        <w:kinsoku/>
        <w:wordWrap/>
        <w:overflowPunct w:val="0"/>
        <w:topLinePunct w:val="0"/>
        <w:autoSpaceDE w:val="0"/>
        <w:autoSpaceDN w:val="0"/>
        <w:bidi w:val="0"/>
        <w:adjustRightInd w:val="0"/>
        <w:snapToGrid/>
        <w:spacing w:line="240" w:lineRule="auto"/>
        <w:jc w:val="center"/>
        <w:textAlignment w:val="baseline"/>
        <w:outlineLvl w:val="0"/>
        <w:rPr>
          <w:rFonts w:hint="eastAsia" w:ascii="仿宋_GB2312" w:hAnsi="仿宋_GB2312" w:eastAsia="仿宋_GB2312" w:cs="仿宋_GB2312"/>
          <w:color w:val="auto"/>
          <w:kern w:val="2"/>
          <w:sz w:val="32"/>
          <w:szCs w:val="32"/>
          <w:highlight w:val="none"/>
          <w:lang w:val="en-US" w:eastAsia="zh-CN" w:bidi="ar-SA"/>
        </w:rPr>
      </w:pPr>
      <w:bookmarkStart w:id="255" w:name="_Toc27013"/>
      <w:bookmarkStart w:id="256" w:name="_Toc31894"/>
      <w:r>
        <w:rPr>
          <w:rFonts w:hint="eastAsia" w:ascii="仿宋_GB2312" w:hAnsi="仿宋_GB2312" w:eastAsia="仿宋_GB2312" w:cs="仿宋_GB2312"/>
          <w:b/>
          <w:bCs/>
          <w:color w:val="auto"/>
          <w:kern w:val="2"/>
          <w:sz w:val="32"/>
          <w:szCs w:val="32"/>
          <w:highlight w:val="none"/>
          <w:lang w:val="en-US" w:eastAsia="zh-CN" w:bidi="ar-SA"/>
        </w:rPr>
        <w:t xml:space="preserve">附件1 </w:t>
      </w:r>
      <w:r>
        <w:rPr>
          <w:rFonts w:hint="eastAsia" w:ascii="仿宋_GB2312" w:hAnsi="仿宋_GB2312" w:eastAsia="仿宋_GB2312" w:cs="仿宋_GB2312"/>
          <w:color w:val="auto"/>
          <w:kern w:val="2"/>
          <w:sz w:val="32"/>
          <w:szCs w:val="32"/>
          <w:highlight w:val="none"/>
          <w:lang w:val="en-US" w:eastAsia="zh-CN" w:bidi="ar-SA"/>
        </w:rPr>
        <w:t xml:space="preserve"> </w:t>
      </w:r>
      <w:r>
        <w:rPr>
          <w:rFonts w:hint="eastAsia" w:ascii="仿宋_GB2312" w:hAnsi="仿宋_GB2312" w:eastAsia="仿宋_GB2312" w:cs="仿宋_GB2312"/>
          <w:b/>
          <w:bCs/>
          <w:color w:val="auto"/>
          <w:kern w:val="2"/>
          <w:sz w:val="32"/>
          <w:szCs w:val="32"/>
          <w:highlight w:val="none"/>
          <w:lang w:val="en-US" w:eastAsia="zh-CN" w:bidi="ar-SA"/>
        </w:rPr>
        <w:t>石狮市殡葬服务所减免基本殡葬服务项目绩效评价指标体系评分表</w:t>
      </w:r>
      <w:bookmarkEnd w:id="255"/>
      <w:bookmarkEnd w:id="256"/>
    </w:p>
    <w:p w14:paraId="4DC0FFFC">
      <w:pPr>
        <w:pageBreakBefore w:val="0"/>
        <w:widowControl w:val="0"/>
        <w:kinsoku/>
        <w:wordWrap/>
        <w:topLinePunct w:val="0"/>
        <w:bidi w:val="0"/>
        <w:snapToGrid/>
        <w:rPr>
          <w:rFonts w:hint="eastAsia"/>
          <w:color w:val="auto"/>
          <w:highlight w:val="none"/>
          <w:lang w:val="en-US" w:eastAsia="zh-CN"/>
        </w:rPr>
      </w:pPr>
    </w:p>
    <w:tbl>
      <w:tblPr>
        <w:tblStyle w:val="16"/>
        <w:tblW w:w="1535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73"/>
        <w:gridCol w:w="941"/>
        <w:gridCol w:w="1034"/>
        <w:gridCol w:w="1258"/>
        <w:gridCol w:w="3872"/>
        <w:gridCol w:w="6073"/>
        <w:gridCol w:w="816"/>
        <w:gridCol w:w="783"/>
      </w:tblGrid>
      <w:tr w14:paraId="21A24E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573" w:type="dxa"/>
            <w:tcBorders>
              <w:top w:val="single" w:color="000000" w:sz="4" w:space="0"/>
              <w:left w:val="single" w:color="000000" w:sz="4" w:space="0"/>
              <w:bottom w:val="single" w:color="000000" w:sz="4" w:space="0"/>
              <w:right w:val="single" w:color="000000" w:sz="4" w:space="0"/>
            </w:tcBorders>
            <w:shd w:val="clear" w:color="auto" w:fill="D7D7D7"/>
            <w:vAlign w:val="center"/>
          </w:tcPr>
          <w:p w14:paraId="43DFE142">
            <w:pPr>
              <w:keepNext w:val="0"/>
              <w:keepLines/>
              <w:pageBreakBefore w:val="0"/>
              <w:widowControl w:val="0"/>
              <w:suppressLineNumbers w:val="0"/>
              <w:kinsoku/>
              <w:wordWrap/>
              <w:overflowPunct/>
              <w:topLinePunct w:val="0"/>
              <w:autoSpaceDE/>
              <w:autoSpaceDN/>
              <w:bidi w:val="0"/>
              <w:adjustRightInd/>
              <w:snapToGrid/>
              <w:jc w:val="center"/>
              <w:textAlignment w:val="center"/>
              <w:rPr>
                <w:rFonts w:ascii="仿宋" w:hAnsi="仿宋" w:eastAsia="仿宋" w:cs="仿宋"/>
                <w:i w:val="0"/>
                <w:iCs w:val="0"/>
                <w:color w:val="auto"/>
                <w:sz w:val="20"/>
                <w:szCs w:val="20"/>
                <w:highlight w:val="none"/>
                <w:u w:val="none"/>
              </w:rPr>
            </w:pPr>
            <w:r>
              <w:rPr>
                <w:rFonts w:hint="eastAsia" w:ascii="仿宋" w:hAnsi="仿宋" w:eastAsia="仿宋" w:cs="仿宋"/>
                <w:i w:val="0"/>
                <w:iCs w:val="0"/>
                <w:color w:val="auto"/>
                <w:kern w:val="0"/>
                <w:sz w:val="20"/>
                <w:szCs w:val="20"/>
                <w:highlight w:val="none"/>
                <w:u w:val="none"/>
                <w:lang w:val="en-US" w:eastAsia="zh-CN"/>
              </w:rPr>
              <w:t>序号</w:t>
            </w:r>
          </w:p>
        </w:tc>
        <w:tc>
          <w:tcPr>
            <w:tcW w:w="941" w:type="dxa"/>
            <w:tcBorders>
              <w:top w:val="single" w:color="000000" w:sz="4" w:space="0"/>
              <w:left w:val="single" w:color="000000" w:sz="4" w:space="0"/>
              <w:bottom w:val="single" w:color="000000" w:sz="4" w:space="0"/>
              <w:right w:val="single" w:color="000000" w:sz="4" w:space="0"/>
            </w:tcBorders>
            <w:shd w:val="clear" w:color="auto" w:fill="D7D7D7"/>
            <w:vAlign w:val="center"/>
          </w:tcPr>
          <w:p w14:paraId="4921781C">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auto"/>
                <w:kern w:val="0"/>
                <w:sz w:val="20"/>
                <w:szCs w:val="20"/>
                <w:highlight w:val="none"/>
                <w:u w:val="none"/>
                <w:lang w:val="en-US" w:eastAsia="zh-CN"/>
              </w:rPr>
              <w:t>一级指标</w:t>
            </w:r>
          </w:p>
        </w:tc>
        <w:tc>
          <w:tcPr>
            <w:tcW w:w="1034" w:type="dxa"/>
            <w:tcBorders>
              <w:top w:val="single" w:color="000000" w:sz="4" w:space="0"/>
              <w:left w:val="single" w:color="000000" w:sz="4" w:space="0"/>
              <w:bottom w:val="single" w:color="000000" w:sz="4" w:space="0"/>
              <w:right w:val="single" w:color="000000" w:sz="4" w:space="0"/>
            </w:tcBorders>
            <w:shd w:val="clear" w:color="auto" w:fill="D7D7D7"/>
            <w:vAlign w:val="center"/>
          </w:tcPr>
          <w:p w14:paraId="283F7D8A">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auto"/>
                <w:kern w:val="0"/>
                <w:sz w:val="20"/>
                <w:szCs w:val="20"/>
                <w:highlight w:val="none"/>
                <w:u w:val="none"/>
                <w:lang w:val="en-US" w:eastAsia="zh-CN"/>
              </w:rPr>
              <w:t>二级指标</w:t>
            </w:r>
          </w:p>
        </w:tc>
        <w:tc>
          <w:tcPr>
            <w:tcW w:w="1258" w:type="dxa"/>
            <w:tcBorders>
              <w:top w:val="single" w:color="000000" w:sz="4" w:space="0"/>
              <w:left w:val="single" w:color="000000" w:sz="4" w:space="0"/>
              <w:bottom w:val="single" w:color="000000" w:sz="4" w:space="0"/>
              <w:right w:val="single" w:color="000000" w:sz="4" w:space="0"/>
            </w:tcBorders>
            <w:shd w:val="clear" w:color="auto" w:fill="D7D7D7"/>
            <w:vAlign w:val="center"/>
          </w:tcPr>
          <w:p w14:paraId="673BAB5A">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auto"/>
                <w:kern w:val="0"/>
                <w:sz w:val="20"/>
                <w:szCs w:val="20"/>
                <w:highlight w:val="none"/>
                <w:u w:val="none"/>
                <w:lang w:val="en-US" w:eastAsia="zh-CN"/>
              </w:rPr>
              <w:t>三级指标</w:t>
            </w:r>
          </w:p>
        </w:tc>
        <w:tc>
          <w:tcPr>
            <w:tcW w:w="3872" w:type="dxa"/>
            <w:tcBorders>
              <w:top w:val="single" w:color="000000" w:sz="4" w:space="0"/>
              <w:left w:val="single" w:color="000000" w:sz="4" w:space="0"/>
              <w:bottom w:val="single" w:color="000000" w:sz="4" w:space="0"/>
              <w:right w:val="single" w:color="000000" w:sz="4" w:space="0"/>
            </w:tcBorders>
            <w:shd w:val="clear" w:color="auto" w:fill="D7D7D7"/>
            <w:vAlign w:val="center"/>
          </w:tcPr>
          <w:p w14:paraId="07BA693E">
            <w:pPr>
              <w:keepNext w:val="0"/>
              <w:keepLines/>
              <w:pageBreakBefore w:val="0"/>
              <w:widowControl w:val="0"/>
              <w:suppressLineNumbers w:val="0"/>
              <w:kinsoku/>
              <w:wordWrap/>
              <w:overflowPunct/>
              <w:topLinePunct w:val="0"/>
              <w:autoSpaceDE/>
              <w:autoSpaceDN/>
              <w:bidi w:val="0"/>
              <w:adjustRightInd/>
              <w:snapToGrid/>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auto"/>
                <w:kern w:val="0"/>
                <w:sz w:val="20"/>
                <w:szCs w:val="20"/>
                <w:highlight w:val="none"/>
                <w:u w:val="none"/>
                <w:lang w:val="en-US" w:eastAsia="zh-CN"/>
              </w:rPr>
              <w:t>指标解释</w:t>
            </w:r>
          </w:p>
        </w:tc>
        <w:tc>
          <w:tcPr>
            <w:tcW w:w="6073" w:type="dxa"/>
            <w:tcBorders>
              <w:top w:val="single" w:color="000000" w:sz="4" w:space="0"/>
              <w:left w:val="single" w:color="000000" w:sz="4" w:space="0"/>
              <w:bottom w:val="single" w:color="000000" w:sz="4" w:space="0"/>
              <w:right w:val="single" w:color="000000" w:sz="4" w:space="0"/>
            </w:tcBorders>
            <w:shd w:val="clear" w:color="auto" w:fill="D7D7D7"/>
            <w:vAlign w:val="center"/>
          </w:tcPr>
          <w:p w14:paraId="0135A922">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auto"/>
                <w:kern w:val="0"/>
                <w:sz w:val="20"/>
                <w:szCs w:val="20"/>
                <w:highlight w:val="none"/>
                <w:u w:val="none"/>
                <w:lang w:val="en-US" w:eastAsia="zh-CN"/>
              </w:rPr>
              <w:t>评分标准</w:t>
            </w:r>
          </w:p>
        </w:tc>
        <w:tc>
          <w:tcPr>
            <w:tcW w:w="816" w:type="dxa"/>
            <w:tcBorders>
              <w:top w:val="single" w:color="000000" w:sz="4" w:space="0"/>
              <w:left w:val="single" w:color="000000" w:sz="4" w:space="0"/>
              <w:bottom w:val="single" w:color="000000" w:sz="4" w:space="0"/>
              <w:right w:val="single" w:color="000000" w:sz="4" w:space="0"/>
            </w:tcBorders>
            <w:shd w:val="clear" w:color="auto" w:fill="D7D7D7"/>
            <w:vAlign w:val="center"/>
          </w:tcPr>
          <w:p w14:paraId="17B4EC31">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auto"/>
                <w:kern w:val="0"/>
                <w:sz w:val="20"/>
                <w:szCs w:val="20"/>
                <w:highlight w:val="none"/>
                <w:u w:val="none"/>
                <w:lang w:val="en-US" w:eastAsia="zh-CN"/>
              </w:rPr>
              <w:t>权重</w:t>
            </w:r>
          </w:p>
        </w:tc>
        <w:tc>
          <w:tcPr>
            <w:tcW w:w="783" w:type="dxa"/>
            <w:tcBorders>
              <w:top w:val="single" w:color="000000" w:sz="4" w:space="0"/>
              <w:left w:val="single" w:color="000000" w:sz="4" w:space="0"/>
              <w:bottom w:val="single" w:color="000000" w:sz="4" w:space="0"/>
              <w:right w:val="single" w:color="000000" w:sz="4" w:space="0"/>
            </w:tcBorders>
            <w:shd w:val="clear" w:color="auto" w:fill="D7D7D7"/>
            <w:vAlign w:val="center"/>
          </w:tcPr>
          <w:p w14:paraId="03DDDFF7">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auto"/>
                <w:kern w:val="0"/>
                <w:sz w:val="20"/>
                <w:szCs w:val="20"/>
                <w:highlight w:val="none"/>
                <w:u w:val="none"/>
                <w:lang w:val="en-US" w:eastAsia="zh-CN"/>
              </w:rPr>
              <w:t>得分</w:t>
            </w:r>
          </w:p>
        </w:tc>
      </w:tr>
      <w:tr w14:paraId="178ABB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6F40C1">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rPr>
              <w:t>1</w:t>
            </w:r>
          </w:p>
        </w:tc>
        <w:tc>
          <w:tcPr>
            <w:tcW w:w="9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BC86BD">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决策（20%）</w:t>
            </w:r>
          </w:p>
        </w:tc>
        <w:tc>
          <w:tcPr>
            <w:tcW w:w="10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74DB57">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项目</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立项</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（7%）</w:t>
            </w:r>
          </w:p>
        </w:tc>
        <w:tc>
          <w:tcPr>
            <w:tcW w:w="12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7CFC2">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立项依据充分性</w:t>
            </w:r>
          </w:p>
        </w:tc>
        <w:tc>
          <w:tcPr>
            <w:tcW w:w="3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792F7">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项目立项是否符合法律法规、相关政策、发展规划以及部门职责，用以反映和考核项目立项依据情况。</w:t>
            </w:r>
          </w:p>
        </w:tc>
        <w:tc>
          <w:tcPr>
            <w:tcW w:w="60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9D0F3">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①项目立项是否符合国家法律法规、国民经济发展规划和相关政策(1分)；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②项目立项是否符合行业发展规划和政策要求(1分)；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③项目立项是否与部门职责范围相符，属于部门履职所需(1分)；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④项目是否属于公共财政支持范围，是否符合中央、地方事权支出责任划分原则(1分)；</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50668">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4</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E2AF0">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4</w:t>
            </w:r>
          </w:p>
        </w:tc>
      </w:tr>
      <w:tr w14:paraId="577D11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143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B1EA8">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rPr>
              <w:t>2</w:t>
            </w:r>
          </w:p>
        </w:tc>
        <w:tc>
          <w:tcPr>
            <w:tcW w:w="9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1F7F31">
            <w:pPr>
              <w:jc w:val="center"/>
              <w:rPr>
                <w:rFonts w:hint="eastAsia" w:ascii="仿宋" w:hAnsi="仿宋" w:eastAsia="仿宋" w:cs="仿宋"/>
                <w:i w:val="0"/>
                <w:iCs w:val="0"/>
                <w:color w:val="auto"/>
                <w:sz w:val="20"/>
                <w:szCs w:val="20"/>
                <w:highlight w:val="none"/>
                <w:u w:val="none"/>
              </w:rPr>
            </w:pPr>
          </w:p>
        </w:tc>
        <w:tc>
          <w:tcPr>
            <w:tcW w:w="10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5A5FAD">
            <w:pPr>
              <w:jc w:val="center"/>
              <w:rPr>
                <w:rFonts w:hint="eastAsia" w:ascii="仿宋" w:hAnsi="仿宋" w:eastAsia="仿宋" w:cs="仿宋"/>
                <w:i w:val="0"/>
                <w:iCs w:val="0"/>
                <w:color w:val="auto"/>
                <w:sz w:val="20"/>
                <w:szCs w:val="20"/>
                <w:highlight w:val="none"/>
                <w:u w:val="none"/>
              </w:rPr>
            </w:pPr>
          </w:p>
        </w:tc>
        <w:tc>
          <w:tcPr>
            <w:tcW w:w="12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0975E">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立项程序规范性</w:t>
            </w:r>
          </w:p>
        </w:tc>
        <w:tc>
          <w:tcPr>
            <w:tcW w:w="3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22EB2">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项目申请、设立过程是否符合相关要求，用以反映和考核项目立项的规范情况。</w:t>
            </w:r>
          </w:p>
        </w:tc>
        <w:tc>
          <w:tcPr>
            <w:tcW w:w="60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4CCBD3">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①项目是否按照规定的程序申请设立(1分)；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②审批文件、材料是否符合相关要求(1分)；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③事前是否已经过必要的可行性研究、专家论证、风险评估、绩效评估、集体决策(1分)。</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6F7A3">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3</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E60C8">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3</w:t>
            </w:r>
          </w:p>
        </w:tc>
      </w:tr>
      <w:tr w14:paraId="61347D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01797F">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rPr>
              <w:t>3</w:t>
            </w:r>
          </w:p>
        </w:tc>
        <w:tc>
          <w:tcPr>
            <w:tcW w:w="9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C3A7CC">
            <w:pPr>
              <w:jc w:val="center"/>
              <w:rPr>
                <w:rFonts w:hint="eastAsia" w:ascii="仿宋" w:hAnsi="仿宋" w:eastAsia="仿宋" w:cs="仿宋"/>
                <w:i w:val="0"/>
                <w:iCs w:val="0"/>
                <w:color w:val="auto"/>
                <w:sz w:val="20"/>
                <w:szCs w:val="20"/>
                <w:highlight w:val="none"/>
                <w:u w:val="none"/>
              </w:rPr>
            </w:pPr>
          </w:p>
        </w:tc>
        <w:tc>
          <w:tcPr>
            <w:tcW w:w="10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B9694DA">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绩效</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目标(7%)</w:t>
            </w:r>
          </w:p>
        </w:tc>
        <w:tc>
          <w:tcPr>
            <w:tcW w:w="12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9554D">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绩效目标合理性</w:t>
            </w:r>
          </w:p>
        </w:tc>
        <w:tc>
          <w:tcPr>
            <w:tcW w:w="3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E7DED">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项目所设定的绩效目标是否依据充分，是否符合客观实际，用以反映和考核项目绩效目标与项目实施的相符情况。</w:t>
            </w:r>
          </w:p>
        </w:tc>
        <w:tc>
          <w:tcPr>
            <w:tcW w:w="60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2C485">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①项目是否有绩效目标(1分)；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②项目绩效目标与实际工作内容是否具有相关性(1分)；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③项目预期产出效益和效果是否符合正常的业绩水平(1分)；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④是否与预算确定的项目投资额或资金量相匹配(1分)。</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2F58A">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4</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1F3B5">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3.5</w:t>
            </w:r>
          </w:p>
        </w:tc>
      </w:tr>
      <w:tr w14:paraId="4F886A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C1554B">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rPr>
              <w:t>4</w:t>
            </w:r>
          </w:p>
        </w:tc>
        <w:tc>
          <w:tcPr>
            <w:tcW w:w="9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1C834F">
            <w:pPr>
              <w:jc w:val="center"/>
              <w:rPr>
                <w:rFonts w:hint="eastAsia" w:ascii="仿宋" w:hAnsi="仿宋" w:eastAsia="仿宋" w:cs="仿宋"/>
                <w:i w:val="0"/>
                <w:iCs w:val="0"/>
                <w:color w:val="auto"/>
                <w:sz w:val="20"/>
                <w:szCs w:val="20"/>
                <w:highlight w:val="none"/>
                <w:u w:val="none"/>
              </w:rPr>
            </w:pPr>
          </w:p>
        </w:tc>
        <w:tc>
          <w:tcPr>
            <w:tcW w:w="10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2EADAE">
            <w:pPr>
              <w:jc w:val="center"/>
              <w:rPr>
                <w:rFonts w:hint="eastAsia" w:ascii="仿宋" w:hAnsi="仿宋" w:eastAsia="仿宋" w:cs="仿宋"/>
                <w:i w:val="0"/>
                <w:iCs w:val="0"/>
                <w:color w:val="auto"/>
                <w:sz w:val="20"/>
                <w:szCs w:val="20"/>
                <w:highlight w:val="none"/>
                <w:u w:val="none"/>
              </w:rPr>
            </w:pPr>
          </w:p>
        </w:tc>
        <w:tc>
          <w:tcPr>
            <w:tcW w:w="12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CD5F6">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绩效指标</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明确性</w:t>
            </w:r>
          </w:p>
        </w:tc>
        <w:tc>
          <w:tcPr>
            <w:tcW w:w="3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402C8">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依据绩效目标设定的绩效指标是否清晰、细化、可衡量等，用以反映和考核项目绩效目标的明细化情况。</w:t>
            </w:r>
          </w:p>
        </w:tc>
        <w:tc>
          <w:tcPr>
            <w:tcW w:w="60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EDF79">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①是否将项目绩效目标细化分解为具体的绩效指标(1分)；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②是否通过清晰、可衡量的指标值予以体现(1分)；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③是否与项目目标任务数或计划数相对应(1分)。</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221E7">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3</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43DB5">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3</w:t>
            </w:r>
          </w:p>
        </w:tc>
      </w:tr>
      <w:tr w14:paraId="24F5D9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969B5B">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rPr>
              <w:t>5</w:t>
            </w:r>
          </w:p>
        </w:tc>
        <w:tc>
          <w:tcPr>
            <w:tcW w:w="9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560317">
            <w:pPr>
              <w:jc w:val="center"/>
              <w:rPr>
                <w:rFonts w:hint="eastAsia" w:ascii="仿宋" w:hAnsi="仿宋" w:eastAsia="仿宋" w:cs="仿宋"/>
                <w:i w:val="0"/>
                <w:iCs w:val="0"/>
                <w:color w:val="auto"/>
                <w:sz w:val="20"/>
                <w:szCs w:val="20"/>
                <w:highlight w:val="none"/>
                <w:u w:val="none"/>
              </w:rPr>
            </w:pPr>
          </w:p>
        </w:tc>
        <w:tc>
          <w:tcPr>
            <w:tcW w:w="10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119949">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资金</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投入(6%)</w:t>
            </w:r>
          </w:p>
        </w:tc>
        <w:tc>
          <w:tcPr>
            <w:tcW w:w="12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A4C13">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预算编制科学性</w:t>
            </w:r>
          </w:p>
        </w:tc>
        <w:tc>
          <w:tcPr>
            <w:tcW w:w="3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F679B">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项目预算编制是否经过科学论证、有明确标准，资金额度与年度目标是否相适应，用以反映和考核项目预算编制的科学性、合理性情况。</w:t>
            </w:r>
          </w:p>
        </w:tc>
        <w:tc>
          <w:tcPr>
            <w:tcW w:w="60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07546">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①预算编制是否经过科学论证(1分)；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②预算内容与项目内容是否匹配(1分)；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③预算额度测算依据是否充分，是否按照标准编制(1分)；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④预算确定的项目投资额或资金量是否与工作任务相匹配(1分)。</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6D33E">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4</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6006D">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4</w:t>
            </w:r>
          </w:p>
        </w:tc>
      </w:tr>
      <w:tr w14:paraId="071656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3484FA">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rPr>
              <w:t>6</w:t>
            </w:r>
          </w:p>
        </w:tc>
        <w:tc>
          <w:tcPr>
            <w:tcW w:w="9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BC2AC2">
            <w:pPr>
              <w:jc w:val="center"/>
              <w:rPr>
                <w:rFonts w:hint="eastAsia" w:ascii="仿宋" w:hAnsi="仿宋" w:eastAsia="仿宋" w:cs="仿宋"/>
                <w:i w:val="0"/>
                <w:iCs w:val="0"/>
                <w:color w:val="auto"/>
                <w:sz w:val="20"/>
                <w:szCs w:val="20"/>
                <w:highlight w:val="none"/>
                <w:u w:val="none"/>
              </w:rPr>
            </w:pPr>
          </w:p>
        </w:tc>
        <w:tc>
          <w:tcPr>
            <w:tcW w:w="10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5EE5E9">
            <w:pPr>
              <w:jc w:val="center"/>
              <w:rPr>
                <w:rFonts w:hint="eastAsia" w:ascii="仿宋" w:hAnsi="仿宋" w:eastAsia="仿宋" w:cs="仿宋"/>
                <w:i w:val="0"/>
                <w:iCs w:val="0"/>
                <w:color w:val="auto"/>
                <w:sz w:val="20"/>
                <w:szCs w:val="20"/>
                <w:highlight w:val="none"/>
                <w:u w:val="none"/>
              </w:rPr>
            </w:pPr>
          </w:p>
        </w:tc>
        <w:tc>
          <w:tcPr>
            <w:tcW w:w="12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7CB73">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资金分配</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合理性</w:t>
            </w:r>
          </w:p>
        </w:tc>
        <w:tc>
          <w:tcPr>
            <w:tcW w:w="3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FF361">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项目预算资金分配是否有测算依据，与补助单位或地方实际是否相适应，用以反映和考核项目预算资金分配的科学性、合理性情况。</w:t>
            </w:r>
          </w:p>
        </w:tc>
        <w:tc>
          <w:tcPr>
            <w:tcW w:w="60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88E57">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①预算资金分配依据是否充分(1分)；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②资金分配额度是否合理，与项目单位或地方实际是否相适应(1分)。</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B0D8D">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2</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251EA">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2</w:t>
            </w:r>
          </w:p>
        </w:tc>
      </w:tr>
      <w:tr w14:paraId="6B3284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CC1FB2">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rPr>
              <w:t>7</w:t>
            </w:r>
          </w:p>
        </w:tc>
        <w:tc>
          <w:tcPr>
            <w:tcW w:w="9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D86FA2">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过程（20%）</w:t>
            </w:r>
          </w:p>
        </w:tc>
        <w:tc>
          <w:tcPr>
            <w:tcW w:w="10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6591E09">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资金</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管理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（10%）</w:t>
            </w:r>
          </w:p>
        </w:tc>
        <w:tc>
          <w:tcPr>
            <w:tcW w:w="12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3F043">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资金到位率</w:t>
            </w:r>
          </w:p>
        </w:tc>
        <w:tc>
          <w:tcPr>
            <w:tcW w:w="3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EB1F0">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实际到位资金与预算资金的比率，用以反映和考核资金落实情况对项目实施的总体保障程度。</w:t>
            </w:r>
          </w:p>
        </w:tc>
        <w:tc>
          <w:tcPr>
            <w:tcW w:w="60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7EBB2">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资金到位率=（实际到位资金/预算资金）×100%。(满分3分按比例扣分)。</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65A0E">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3</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25259">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3</w:t>
            </w:r>
          </w:p>
        </w:tc>
      </w:tr>
      <w:tr w14:paraId="479D69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473DC">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rPr>
              <w:t>8</w:t>
            </w:r>
          </w:p>
        </w:tc>
        <w:tc>
          <w:tcPr>
            <w:tcW w:w="9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5A003C">
            <w:pPr>
              <w:jc w:val="center"/>
              <w:rPr>
                <w:rFonts w:hint="eastAsia" w:ascii="仿宋" w:hAnsi="仿宋" w:eastAsia="仿宋" w:cs="仿宋"/>
                <w:i w:val="0"/>
                <w:iCs w:val="0"/>
                <w:color w:val="auto"/>
                <w:sz w:val="20"/>
                <w:szCs w:val="20"/>
                <w:highlight w:val="none"/>
                <w:u w:val="none"/>
              </w:rPr>
            </w:pPr>
          </w:p>
        </w:tc>
        <w:tc>
          <w:tcPr>
            <w:tcW w:w="10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BE588B">
            <w:pPr>
              <w:jc w:val="center"/>
              <w:rPr>
                <w:rFonts w:hint="eastAsia" w:ascii="仿宋" w:hAnsi="仿宋" w:eastAsia="仿宋" w:cs="仿宋"/>
                <w:i w:val="0"/>
                <w:iCs w:val="0"/>
                <w:color w:val="auto"/>
                <w:sz w:val="20"/>
                <w:szCs w:val="20"/>
                <w:highlight w:val="none"/>
                <w:u w:val="none"/>
              </w:rPr>
            </w:pPr>
          </w:p>
        </w:tc>
        <w:tc>
          <w:tcPr>
            <w:tcW w:w="12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C46F4">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预算执行率</w:t>
            </w:r>
          </w:p>
        </w:tc>
        <w:tc>
          <w:tcPr>
            <w:tcW w:w="3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4522B">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项目预算资金是否按照计划执行，用以反映或考核项目预算执行情况。</w:t>
            </w:r>
          </w:p>
        </w:tc>
        <w:tc>
          <w:tcPr>
            <w:tcW w:w="60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B8FA5">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预算执行率=（实际支出资金/实际到位资金）×100%。(满分3分按比例扣分)。</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682D7">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3</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F8D9B">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3</w:t>
            </w:r>
          </w:p>
        </w:tc>
      </w:tr>
      <w:tr w14:paraId="33295D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174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B9EF6C">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rPr>
              <w:t>9</w:t>
            </w:r>
          </w:p>
        </w:tc>
        <w:tc>
          <w:tcPr>
            <w:tcW w:w="9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56AE44">
            <w:pPr>
              <w:jc w:val="center"/>
              <w:rPr>
                <w:rFonts w:hint="eastAsia" w:ascii="仿宋" w:hAnsi="仿宋" w:eastAsia="仿宋" w:cs="仿宋"/>
                <w:i w:val="0"/>
                <w:iCs w:val="0"/>
                <w:color w:val="auto"/>
                <w:sz w:val="20"/>
                <w:szCs w:val="20"/>
                <w:highlight w:val="none"/>
                <w:u w:val="none"/>
              </w:rPr>
            </w:pPr>
          </w:p>
        </w:tc>
        <w:tc>
          <w:tcPr>
            <w:tcW w:w="10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268AA8">
            <w:pPr>
              <w:jc w:val="center"/>
              <w:rPr>
                <w:rFonts w:hint="eastAsia" w:ascii="仿宋" w:hAnsi="仿宋" w:eastAsia="仿宋" w:cs="仿宋"/>
                <w:i w:val="0"/>
                <w:iCs w:val="0"/>
                <w:color w:val="auto"/>
                <w:sz w:val="20"/>
                <w:szCs w:val="20"/>
                <w:highlight w:val="none"/>
                <w:u w:val="none"/>
              </w:rPr>
            </w:pPr>
          </w:p>
        </w:tc>
        <w:tc>
          <w:tcPr>
            <w:tcW w:w="12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680B8">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资金使用合规性</w:t>
            </w:r>
          </w:p>
        </w:tc>
        <w:tc>
          <w:tcPr>
            <w:tcW w:w="3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AA626">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项目资金使用是否符合相关的财务管理制度规定，用以反映和考核项目资金的规范运行情况。</w:t>
            </w:r>
          </w:p>
        </w:tc>
        <w:tc>
          <w:tcPr>
            <w:tcW w:w="60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34260">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①是否符合国家财经法规和财务管理制度以及有关专项资金管理办法的规定(1分)；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②资金的拨付是否有完整的审批程序和手续(1分)；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③是否符合项目预算批复或合同规定的用途(1分)；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④是否存在截留、挤占、挪用、虚列支出等情况(1分)。</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6820E">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4</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61843">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3</w:t>
            </w:r>
          </w:p>
        </w:tc>
      </w:tr>
      <w:tr w14:paraId="34F13B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0C149A">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rPr>
              <w:t>10</w:t>
            </w:r>
          </w:p>
        </w:tc>
        <w:tc>
          <w:tcPr>
            <w:tcW w:w="9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850FA5">
            <w:pPr>
              <w:jc w:val="center"/>
              <w:rPr>
                <w:rFonts w:hint="eastAsia" w:ascii="仿宋" w:hAnsi="仿宋" w:eastAsia="仿宋" w:cs="仿宋"/>
                <w:i w:val="0"/>
                <w:iCs w:val="0"/>
                <w:color w:val="auto"/>
                <w:sz w:val="20"/>
                <w:szCs w:val="20"/>
                <w:highlight w:val="none"/>
                <w:u w:val="none"/>
              </w:rPr>
            </w:pPr>
          </w:p>
        </w:tc>
        <w:tc>
          <w:tcPr>
            <w:tcW w:w="10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44528E1">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组织</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实施</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(10%)</w:t>
            </w:r>
          </w:p>
        </w:tc>
        <w:tc>
          <w:tcPr>
            <w:tcW w:w="12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FB3E4">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管理制度健全性</w:t>
            </w:r>
          </w:p>
        </w:tc>
        <w:tc>
          <w:tcPr>
            <w:tcW w:w="3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B287C">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项目实施单位的财务和业务管理制度是否健全，用以反映和考核财务和业务管理制度对项目顺利实施的保障情况。</w:t>
            </w:r>
          </w:p>
        </w:tc>
        <w:tc>
          <w:tcPr>
            <w:tcW w:w="60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37F85">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①是否已制定或具有相应的财务和业务管理制度(1.5分)；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②财务和业务管理制度是否合法、合规、完整(1.5分)。</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5FA56">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3</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D34F2">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2</w:t>
            </w:r>
          </w:p>
        </w:tc>
      </w:tr>
      <w:tr w14:paraId="592993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CA6628">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rPr>
              <w:t>11</w:t>
            </w:r>
          </w:p>
        </w:tc>
        <w:tc>
          <w:tcPr>
            <w:tcW w:w="9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2FED3E">
            <w:pPr>
              <w:jc w:val="center"/>
              <w:rPr>
                <w:rFonts w:hint="eastAsia" w:ascii="仿宋" w:hAnsi="仿宋" w:eastAsia="仿宋" w:cs="仿宋"/>
                <w:i w:val="0"/>
                <w:iCs w:val="0"/>
                <w:color w:val="auto"/>
                <w:sz w:val="20"/>
                <w:szCs w:val="20"/>
                <w:highlight w:val="none"/>
                <w:u w:val="none"/>
              </w:rPr>
            </w:pPr>
          </w:p>
        </w:tc>
        <w:tc>
          <w:tcPr>
            <w:tcW w:w="10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33D252">
            <w:pPr>
              <w:jc w:val="center"/>
              <w:rPr>
                <w:rFonts w:hint="eastAsia" w:ascii="仿宋" w:hAnsi="仿宋" w:eastAsia="仿宋" w:cs="仿宋"/>
                <w:i w:val="0"/>
                <w:iCs w:val="0"/>
                <w:color w:val="auto"/>
                <w:sz w:val="20"/>
                <w:szCs w:val="20"/>
                <w:highlight w:val="none"/>
                <w:u w:val="none"/>
              </w:rPr>
            </w:pPr>
          </w:p>
        </w:tc>
        <w:tc>
          <w:tcPr>
            <w:tcW w:w="12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99807">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制度执行有效性</w:t>
            </w:r>
          </w:p>
        </w:tc>
        <w:tc>
          <w:tcPr>
            <w:tcW w:w="3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F028F">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项目实施是否符合相关管理规定，用以反映和考核相关管理制度的有效执行情况。</w:t>
            </w:r>
          </w:p>
        </w:tc>
        <w:tc>
          <w:tcPr>
            <w:tcW w:w="60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5A070">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①凭证附件完整，符合财务管理制度要求资金拨付审核流程规范（1分）；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②项目申请审核流程是否完整，各项手续是否齐全(2分)。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③项目监管机制健全，对服务实施过程的阶段性评估、考核执行等环节监督到位，能及时发现并纠偏问题（1 分）。</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15A71">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4</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A39E9">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2</w:t>
            </w:r>
          </w:p>
        </w:tc>
      </w:tr>
      <w:tr w14:paraId="1368D5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AC1522">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rPr>
              <w:t>12</w:t>
            </w:r>
          </w:p>
        </w:tc>
        <w:tc>
          <w:tcPr>
            <w:tcW w:w="9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FAAE6B">
            <w:pPr>
              <w:jc w:val="center"/>
              <w:rPr>
                <w:rFonts w:hint="eastAsia" w:ascii="仿宋" w:hAnsi="仿宋" w:eastAsia="仿宋" w:cs="仿宋"/>
                <w:i w:val="0"/>
                <w:iCs w:val="0"/>
                <w:color w:val="auto"/>
                <w:sz w:val="20"/>
                <w:szCs w:val="20"/>
                <w:highlight w:val="none"/>
                <w:u w:val="none"/>
              </w:rPr>
            </w:pPr>
          </w:p>
        </w:tc>
        <w:tc>
          <w:tcPr>
            <w:tcW w:w="10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103C19">
            <w:pPr>
              <w:jc w:val="center"/>
              <w:rPr>
                <w:rFonts w:hint="eastAsia" w:ascii="仿宋" w:hAnsi="仿宋" w:eastAsia="仿宋" w:cs="仿宋"/>
                <w:i w:val="0"/>
                <w:iCs w:val="0"/>
                <w:color w:val="auto"/>
                <w:sz w:val="20"/>
                <w:szCs w:val="20"/>
                <w:highlight w:val="none"/>
                <w:u w:val="none"/>
              </w:rPr>
            </w:pPr>
          </w:p>
        </w:tc>
        <w:tc>
          <w:tcPr>
            <w:tcW w:w="12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C266C">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 xml:space="preserve"> 档案管理规范性</w:t>
            </w:r>
          </w:p>
        </w:tc>
        <w:tc>
          <w:tcPr>
            <w:tcW w:w="3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6D09C">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项目实施过程中项目资料是否齐全，是否及时归档。</w:t>
            </w:r>
          </w:p>
        </w:tc>
        <w:tc>
          <w:tcPr>
            <w:tcW w:w="60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C0C44">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①项目实施资料及时归档整理且资料齐全，得3分；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②项目实施资料完整，但未及时进行分类，未及时归档，存放凌乱，得2分；</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③项目资料凌乱，并且有缺失，不得分。</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5EC03">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3</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2876B">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2</w:t>
            </w:r>
          </w:p>
        </w:tc>
      </w:tr>
      <w:tr w14:paraId="057557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220BE">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rPr>
              <w:t>13</w:t>
            </w:r>
          </w:p>
        </w:tc>
        <w:tc>
          <w:tcPr>
            <w:tcW w:w="9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BB9E44">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产出</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指标（35%）</w:t>
            </w:r>
          </w:p>
        </w:tc>
        <w:tc>
          <w:tcPr>
            <w:tcW w:w="10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CF1124">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产出</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数量</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（11%）</w:t>
            </w:r>
          </w:p>
        </w:tc>
        <w:tc>
          <w:tcPr>
            <w:tcW w:w="12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56D78">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当年度实际减免服务人数</w:t>
            </w:r>
          </w:p>
        </w:tc>
        <w:tc>
          <w:tcPr>
            <w:tcW w:w="3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C1FFA">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考察当年度实际减免服务人数</w:t>
            </w:r>
          </w:p>
        </w:tc>
        <w:tc>
          <w:tcPr>
            <w:tcW w:w="60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4169B2">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根据</w:t>
            </w:r>
            <w:r>
              <w:rPr>
                <w:rFonts w:hint="default" w:ascii="仿宋" w:hAnsi="仿宋" w:eastAsia="仿宋" w:cs="仿宋"/>
                <w:i w:val="0"/>
                <w:iCs w:val="0"/>
                <w:color w:val="000000"/>
                <w:kern w:val="0"/>
                <w:sz w:val="20"/>
                <w:szCs w:val="20"/>
                <w:u w:val="none"/>
                <w:lang w:val="en-US" w:eastAsia="zh-CN" w:bidi="ar"/>
              </w:rPr>
              <w:t>实际</w:t>
            </w:r>
            <w:r>
              <w:rPr>
                <w:rFonts w:hint="eastAsia" w:ascii="仿宋" w:hAnsi="仿宋" w:eastAsia="仿宋" w:cs="仿宋"/>
                <w:i w:val="0"/>
                <w:iCs w:val="0"/>
                <w:color w:val="000000"/>
                <w:kern w:val="0"/>
                <w:sz w:val="20"/>
                <w:szCs w:val="20"/>
                <w:u w:val="none"/>
                <w:lang w:val="en-US" w:eastAsia="zh-CN" w:bidi="ar"/>
              </w:rPr>
              <w:t>减免</w:t>
            </w:r>
            <w:r>
              <w:rPr>
                <w:rFonts w:hint="default" w:ascii="仿宋" w:hAnsi="仿宋" w:eastAsia="仿宋" w:cs="仿宋"/>
                <w:i w:val="0"/>
                <w:iCs w:val="0"/>
                <w:color w:val="000000"/>
                <w:kern w:val="0"/>
                <w:sz w:val="20"/>
                <w:szCs w:val="20"/>
                <w:u w:val="none"/>
                <w:lang w:val="en-US" w:eastAsia="zh-CN" w:bidi="ar"/>
              </w:rPr>
              <w:t>人数与预计</w:t>
            </w:r>
            <w:r>
              <w:rPr>
                <w:rFonts w:hint="eastAsia" w:ascii="仿宋" w:hAnsi="仿宋" w:eastAsia="仿宋" w:cs="仿宋"/>
                <w:i w:val="0"/>
                <w:iCs w:val="0"/>
                <w:color w:val="000000"/>
                <w:kern w:val="0"/>
                <w:sz w:val="20"/>
                <w:szCs w:val="20"/>
                <w:u w:val="none"/>
                <w:lang w:val="en-US" w:eastAsia="zh-CN" w:bidi="ar"/>
              </w:rPr>
              <w:t>减免</w:t>
            </w:r>
            <w:r>
              <w:rPr>
                <w:rFonts w:hint="default" w:ascii="仿宋" w:hAnsi="仿宋" w:eastAsia="仿宋" w:cs="仿宋"/>
                <w:i w:val="0"/>
                <w:iCs w:val="0"/>
                <w:color w:val="000000"/>
                <w:kern w:val="0"/>
                <w:sz w:val="20"/>
                <w:szCs w:val="20"/>
                <w:u w:val="none"/>
                <w:lang w:val="en-US" w:eastAsia="zh-CN" w:bidi="ar"/>
              </w:rPr>
              <w:t>人数的波动情况核算</w:t>
            </w:r>
            <w:r>
              <w:rPr>
                <w:rFonts w:hint="eastAsia" w:ascii="仿宋" w:hAnsi="仿宋" w:eastAsia="仿宋" w:cs="仿宋"/>
                <w:i w:val="0"/>
                <w:iCs w:val="0"/>
                <w:color w:val="000000"/>
                <w:kern w:val="0"/>
                <w:sz w:val="20"/>
                <w:szCs w:val="20"/>
                <w:u w:val="none"/>
                <w:lang w:val="en-US" w:eastAsia="zh-CN" w:bidi="ar"/>
              </w:rPr>
              <w:t>，</w:t>
            </w:r>
            <w:r>
              <w:rPr>
                <w:rFonts w:hint="default" w:ascii="仿宋" w:hAnsi="仿宋" w:eastAsia="仿宋" w:cs="仿宋"/>
                <w:i w:val="0"/>
                <w:iCs w:val="0"/>
                <w:color w:val="000000"/>
                <w:kern w:val="0"/>
                <w:sz w:val="20"/>
                <w:szCs w:val="20"/>
                <w:u w:val="none"/>
                <w:lang w:val="en-US" w:eastAsia="zh-CN" w:bidi="ar"/>
              </w:rPr>
              <w:t>波动幅度≤5% 得满分 6 分，5%-10%（含）得 4-5 分，10%-15%（含）得 2-3 分，波动幅度＞15% 得 0-1 分。</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C9E99">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6</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1AE56">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6</w:t>
            </w:r>
          </w:p>
        </w:tc>
      </w:tr>
      <w:tr w14:paraId="7610E1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43F0B">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rPr>
              <w:t>14</w:t>
            </w:r>
          </w:p>
        </w:tc>
        <w:tc>
          <w:tcPr>
            <w:tcW w:w="9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494D5D">
            <w:pPr>
              <w:jc w:val="center"/>
              <w:rPr>
                <w:rFonts w:hint="eastAsia" w:ascii="仿宋" w:hAnsi="仿宋" w:eastAsia="仿宋" w:cs="仿宋"/>
                <w:i w:val="0"/>
                <w:iCs w:val="0"/>
                <w:color w:val="auto"/>
                <w:sz w:val="20"/>
                <w:szCs w:val="20"/>
                <w:highlight w:val="none"/>
                <w:u w:val="none"/>
              </w:rPr>
            </w:pPr>
          </w:p>
        </w:tc>
        <w:tc>
          <w:tcPr>
            <w:tcW w:w="10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F48EA5">
            <w:pPr>
              <w:jc w:val="center"/>
              <w:rPr>
                <w:rFonts w:hint="eastAsia" w:ascii="仿宋" w:hAnsi="仿宋" w:eastAsia="仿宋" w:cs="仿宋"/>
                <w:i w:val="0"/>
                <w:iCs w:val="0"/>
                <w:color w:val="auto"/>
                <w:sz w:val="20"/>
                <w:szCs w:val="20"/>
                <w:highlight w:val="none"/>
                <w:u w:val="none"/>
              </w:rPr>
            </w:pPr>
          </w:p>
        </w:tc>
        <w:tc>
          <w:tcPr>
            <w:tcW w:w="12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42355">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参与节地生态安葬人数</w:t>
            </w:r>
          </w:p>
        </w:tc>
        <w:tc>
          <w:tcPr>
            <w:tcW w:w="3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C6264">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反映殡葬改革政策推动下，新型安葬模式的推广效果和民众接受程度。</w:t>
            </w:r>
          </w:p>
        </w:tc>
        <w:tc>
          <w:tcPr>
            <w:tcW w:w="60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25223">
            <w:pPr>
              <w:keepNext w:val="0"/>
              <w:keepLines w:val="0"/>
              <w:widowControl/>
              <w:suppressLineNumbers w:val="0"/>
              <w:jc w:val="left"/>
              <w:textAlignment w:val="center"/>
              <w:rPr>
                <w:rFonts w:hint="default" w:ascii="仿宋" w:hAnsi="仿宋" w:eastAsia="仿宋" w:cs="仿宋"/>
                <w:i w:val="0"/>
                <w:iCs w:val="0"/>
                <w:color w:val="auto"/>
                <w:sz w:val="20"/>
                <w:szCs w:val="20"/>
                <w:highlight w:val="none"/>
                <w:u w:val="none"/>
                <w:lang w:val="en-US" w:eastAsia="zh-CN"/>
              </w:rPr>
            </w:pPr>
            <w:r>
              <w:rPr>
                <w:rFonts w:hint="eastAsia" w:ascii="仿宋" w:hAnsi="仿宋" w:eastAsia="仿宋" w:cs="仿宋"/>
                <w:i w:val="0"/>
                <w:iCs w:val="0"/>
                <w:color w:val="auto"/>
                <w:sz w:val="20"/>
                <w:szCs w:val="20"/>
                <w:highlight w:val="none"/>
                <w:u w:val="none"/>
                <w:lang w:val="en-US" w:eastAsia="zh-CN"/>
              </w:rPr>
              <w:t>结合2023-2025三年参与节地生态安葬的人数进行统计，人数始终呈持续增长趋势则得满分，人数若呈下降趋势则根据下降的幅度给分。</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189DA">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5</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B9697">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4</w:t>
            </w:r>
          </w:p>
        </w:tc>
      </w:tr>
      <w:tr w14:paraId="34AB2F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5623ED">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rPr>
              <w:t>1</w:t>
            </w:r>
            <w:r>
              <w:rPr>
                <w:rFonts w:hint="eastAsia" w:ascii="宋体" w:hAnsi="宋体" w:cs="宋体"/>
                <w:i w:val="0"/>
                <w:iCs w:val="0"/>
                <w:color w:val="auto"/>
                <w:kern w:val="0"/>
                <w:sz w:val="20"/>
                <w:szCs w:val="20"/>
                <w:highlight w:val="none"/>
                <w:u w:val="none"/>
                <w:lang w:val="en-US" w:eastAsia="zh-CN"/>
              </w:rPr>
              <w:t>5</w:t>
            </w:r>
          </w:p>
        </w:tc>
        <w:tc>
          <w:tcPr>
            <w:tcW w:w="9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449E1C">
            <w:pPr>
              <w:jc w:val="center"/>
              <w:rPr>
                <w:rFonts w:hint="eastAsia" w:ascii="仿宋" w:hAnsi="仿宋" w:eastAsia="仿宋" w:cs="仿宋"/>
                <w:i w:val="0"/>
                <w:iCs w:val="0"/>
                <w:color w:val="auto"/>
                <w:sz w:val="20"/>
                <w:szCs w:val="20"/>
                <w:highlight w:val="none"/>
                <w:u w:val="none"/>
              </w:rPr>
            </w:pPr>
          </w:p>
        </w:tc>
        <w:tc>
          <w:tcPr>
            <w:tcW w:w="10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F7D73B9">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质量指标（12%）</w:t>
            </w:r>
          </w:p>
        </w:tc>
        <w:tc>
          <w:tcPr>
            <w:tcW w:w="12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6BD97">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减免对象资格符合率</w:t>
            </w:r>
          </w:p>
        </w:tc>
        <w:tc>
          <w:tcPr>
            <w:tcW w:w="387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EADB5">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考察2024年度减免对象资格符合率</w:t>
            </w:r>
          </w:p>
        </w:tc>
        <w:tc>
          <w:tcPr>
            <w:tcW w:w="60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FA34D">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对当年度享受减免政策的对象资料进行抽查，反映资格审核的精准度。</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315E5">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6</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78E4D">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6</w:t>
            </w:r>
          </w:p>
        </w:tc>
      </w:tr>
      <w:tr w14:paraId="713BA4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26F7FF">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rPr>
              <w:t>1</w:t>
            </w:r>
            <w:r>
              <w:rPr>
                <w:rFonts w:hint="eastAsia" w:ascii="宋体" w:hAnsi="宋体" w:cs="宋体"/>
                <w:i w:val="0"/>
                <w:iCs w:val="0"/>
                <w:color w:val="auto"/>
                <w:kern w:val="0"/>
                <w:sz w:val="20"/>
                <w:szCs w:val="20"/>
                <w:highlight w:val="none"/>
                <w:u w:val="none"/>
                <w:lang w:val="en-US" w:eastAsia="zh-CN"/>
              </w:rPr>
              <w:t>6</w:t>
            </w:r>
          </w:p>
        </w:tc>
        <w:tc>
          <w:tcPr>
            <w:tcW w:w="9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09504A">
            <w:pPr>
              <w:jc w:val="center"/>
              <w:rPr>
                <w:rFonts w:hint="eastAsia" w:ascii="仿宋" w:hAnsi="仿宋" w:eastAsia="仿宋" w:cs="仿宋"/>
                <w:i w:val="0"/>
                <w:iCs w:val="0"/>
                <w:color w:val="auto"/>
                <w:sz w:val="20"/>
                <w:szCs w:val="20"/>
                <w:highlight w:val="none"/>
                <w:u w:val="none"/>
              </w:rPr>
            </w:pPr>
          </w:p>
        </w:tc>
        <w:tc>
          <w:tcPr>
            <w:tcW w:w="10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1E30FB">
            <w:pPr>
              <w:jc w:val="center"/>
              <w:rPr>
                <w:rFonts w:hint="eastAsia" w:ascii="仿宋" w:hAnsi="仿宋" w:eastAsia="仿宋" w:cs="仿宋"/>
                <w:i w:val="0"/>
                <w:iCs w:val="0"/>
                <w:color w:val="auto"/>
                <w:sz w:val="20"/>
                <w:szCs w:val="20"/>
                <w:highlight w:val="none"/>
                <w:u w:val="none"/>
              </w:rPr>
            </w:pPr>
          </w:p>
        </w:tc>
        <w:tc>
          <w:tcPr>
            <w:tcW w:w="1258" w:type="dxa"/>
            <w:tcBorders>
              <w:top w:val="single" w:color="000000" w:sz="4" w:space="0"/>
              <w:left w:val="single" w:color="000000" w:sz="4" w:space="0"/>
              <w:bottom w:val="single" w:color="auto" w:sz="4" w:space="0"/>
              <w:right w:val="single" w:color="000000" w:sz="4" w:space="0"/>
            </w:tcBorders>
            <w:shd w:val="clear" w:color="auto" w:fill="auto"/>
            <w:vAlign w:val="center"/>
          </w:tcPr>
          <w:p w14:paraId="4EF457B1">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石狮市殡葬费用减免项目执行质量</w:t>
            </w:r>
          </w:p>
        </w:tc>
        <w:tc>
          <w:tcPr>
            <w:tcW w:w="3872" w:type="dxa"/>
            <w:tcBorders>
              <w:top w:val="single" w:color="000000" w:sz="4" w:space="0"/>
              <w:left w:val="single" w:color="000000" w:sz="4" w:space="0"/>
              <w:bottom w:val="single" w:color="auto" w:sz="4" w:space="0"/>
              <w:right w:val="single" w:color="000000" w:sz="4" w:space="0"/>
            </w:tcBorders>
            <w:shd w:val="clear" w:color="auto" w:fill="auto"/>
            <w:vAlign w:val="center"/>
          </w:tcPr>
          <w:p w14:paraId="61991FAC">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考察石狮市殡葬费用减免项目执行质量</w:t>
            </w:r>
          </w:p>
        </w:tc>
        <w:tc>
          <w:tcPr>
            <w:tcW w:w="60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6F2A6">
            <w:pPr>
              <w:keepNext w:val="0"/>
              <w:keepLines w:val="0"/>
              <w:widowControl/>
              <w:suppressLineNumbers w:val="0"/>
              <w:jc w:val="left"/>
              <w:textAlignment w:val="center"/>
              <w:rPr>
                <w:rFonts w:hint="default" w:ascii="仿宋" w:hAnsi="仿宋" w:eastAsia="仿宋" w:cs="仿宋"/>
                <w:i w:val="0"/>
                <w:iCs w:val="0"/>
                <w:color w:val="auto"/>
                <w:sz w:val="20"/>
                <w:szCs w:val="20"/>
                <w:highlight w:val="none"/>
                <w:u w:val="none"/>
                <w:lang w:val="en-US"/>
              </w:rPr>
            </w:pPr>
            <w:r>
              <w:rPr>
                <w:rFonts w:hint="eastAsia" w:ascii="仿宋" w:hAnsi="仿宋" w:eastAsia="仿宋" w:cs="仿宋"/>
                <w:i w:val="0"/>
                <w:iCs w:val="0"/>
                <w:color w:val="000000"/>
                <w:kern w:val="0"/>
                <w:sz w:val="20"/>
                <w:szCs w:val="20"/>
                <w:u w:val="none"/>
                <w:lang w:val="en-US" w:eastAsia="zh-CN" w:bidi="ar"/>
              </w:rPr>
              <w:t>根据家属对殡葬费用减免补助的政策知晓率情况给分，存在认知盲区（即完全不知晓补助项目），相应分数，直至扣完为止。</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046A6">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6</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499BE">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4.5</w:t>
            </w:r>
          </w:p>
        </w:tc>
      </w:tr>
      <w:tr w14:paraId="327744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3EFD89">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kern w:val="2"/>
                <w:sz w:val="20"/>
                <w:szCs w:val="20"/>
                <w:highlight w:val="none"/>
                <w:u w:val="none"/>
                <w:lang w:val="en-US" w:eastAsia="zh-CN" w:bidi="ar-SA"/>
              </w:rPr>
            </w:pPr>
            <w:r>
              <w:rPr>
                <w:rFonts w:hint="eastAsia" w:ascii="宋体" w:hAnsi="宋体" w:eastAsia="宋体" w:cs="宋体"/>
                <w:i w:val="0"/>
                <w:iCs w:val="0"/>
                <w:color w:val="auto"/>
                <w:kern w:val="0"/>
                <w:sz w:val="20"/>
                <w:szCs w:val="20"/>
                <w:highlight w:val="none"/>
                <w:u w:val="none"/>
                <w:lang w:val="en-US" w:eastAsia="zh-CN"/>
              </w:rPr>
              <w:t>17</w:t>
            </w:r>
          </w:p>
        </w:tc>
        <w:tc>
          <w:tcPr>
            <w:tcW w:w="9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827E22">
            <w:pPr>
              <w:jc w:val="center"/>
              <w:rPr>
                <w:rFonts w:hint="eastAsia" w:ascii="仿宋" w:hAnsi="仿宋" w:eastAsia="仿宋" w:cs="仿宋"/>
                <w:i w:val="0"/>
                <w:iCs w:val="0"/>
                <w:color w:val="auto"/>
                <w:sz w:val="20"/>
                <w:szCs w:val="20"/>
                <w:highlight w:val="none"/>
                <w:u w:val="none"/>
              </w:rPr>
            </w:pPr>
          </w:p>
        </w:tc>
        <w:tc>
          <w:tcPr>
            <w:tcW w:w="1034" w:type="dxa"/>
            <w:tcBorders>
              <w:top w:val="single" w:color="000000" w:sz="4" w:space="0"/>
              <w:left w:val="single" w:color="000000" w:sz="4" w:space="0"/>
              <w:bottom w:val="single" w:color="000000" w:sz="4" w:space="0"/>
              <w:right w:val="single" w:color="auto" w:sz="4" w:space="0"/>
            </w:tcBorders>
            <w:shd w:val="clear" w:color="auto" w:fill="auto"/>
            <w:vAlign w:val="center"/>
          </w:tcPr>
          <w:p w14:paraId="4863936B">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产出时效</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（6%）</w:t>
            </w:r>
          </w:p>
        </w:tc>
        <w:tc>
          <w:tcPr>
            <w:tcW w:w="1258" w:type="dxa"/>
            <w:tcBorders>
              <w:top w:val="single" w:color="auto" w:sz="4" w:space="0"/>
              <w:left w:val="single" w:color="auto" w:sz="4" w:space="0"/>
              <w:bottom w:val="single" w:color="auto" w:sz="4" w:space="0"/>
              <w:right w:val="single" w:color="auto" w:sz="4" w:space="0"/>
            </w:tcBorders>
            <w:shd w:val="clear" w:color="auto" w:fill="auto"/>
            <w:vAlign w:val="center"/>
          </w:tcPr>
          <w:p w14:paraId="6C6331DA">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资金拨付及时率</w:t>
            </w:r>
          </w:p>
        </w:tc>
        <w:tc>
          <w:tcPr>
            <w:tcW w:w="3872" w:type="dxa"/>
            <w:tcBorders>
              <w:top w:val="single" w:color="auto" w:sz="4" w:space="0"/>
              <w:left w:val="single" w:color="auto" w:sz="4" w:space="0"/>
              <w:bottom w:val="single" w:color="auto" w:sz="4" w:space="0"/>
              <w:right w:val="single" w:color="auto" w:sz="4" w:space="0"/>
            </w:tcBorders>
            <w:shd w:val="clear" w:color="auto" w:fill="auto"/>
            <w:vAlign w:val="center"/>
          </w:tcPr>
          <w:p w14:paraId="5FBAEF3E">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考察资金拨付的及时率情况</w:t>
            </w:r>
          </w:p>
        </w:tc>
        <w:tc>
          <w:tcPr>
            <w:tcW w:w="6073" w:type="dxa"/>
            <w:tcBorders>
              <w:top w:val="single" w:color="000000" w:sz="4" w:space="0"/>
              <w:left w:val="single" w:color="auto" w:sz="4" w:space="0"/>
              <w:bottom w:val="single" w:color="000000" w:sz="4" w:space="0"/>
              <w:right w:val="single" w:color="000000" w:sz="4" w:space="0"/>
            </w:tcBorders>
            <w:shd w:val="clear" w:color="auto" w:fill="auto"/>
            <w:vAlign w:val="center"/>
          </w:tcPr>
          <w:p w14:paraId="3CBFFE09">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资金拨付及时率=及时拨付的资金/应拨付的资金总额×100%；指标得分=及时率×指标分值。</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F15AB">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6</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6AED9">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6</w:t>
            </w:r>
          </w:p>
        </w:tc>
      </w:tr>
      <w:tr w14:paraId="712BCD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C436E">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kern w:val="2"/>
                <w:sz w:val="20"/>
                <w:szCs w:val="20"/>
                <w:highlight w:val="none"/>
                <w:u w:val="none"/>
                <w:lang w:val="en-US" w:eastAsia="zh-CN" w:bidi="ar-SA"/>
              </w:rPr>
            </w:pPr>
            <w:r>
              <w:rPr>
                <w:rFonts w:hint="eastAsia" w:ascii="宋体" w:hAnsi="宋体" w:eastAsia="宋体" w:cs="宋体"/>
                <w:i w:val="0"/>
                <w:iCs w:val="0"/>
                <w:color w:val="auto"/>
                <w:kern w:val="0"/>
                <w:sz w:val="20"/>
                <w:szCs w:val="20"/>
                <w:highlight w:val="none"/>
                <w:u w:val="none"/>
                <w:lang w:val="en-US" w:eastAsia="zh-CN"/>
              </w:rPr>
              <w:t>18</w:t>
            </w:r>
          </w:p>
        </w:tc>
        <w:tc>
          <w:tcPr>
            <w:tcW w:w="9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2B755E">
            <w:pPr>
              <w:jc w:val="center"/>
              <w:rPr>
                <w:rFonts w:hint="eastAsia" w:ascii="仿宋" w:hAnsi="仿宋" w:eastAsia="仿宋" w:cs="仿宋"/>
                <w:i w:val="0"/>
                <w:iCs w:val="0"/>
                <w:color w:val="auto"/>
                <w:sz w:val="20"/>
                <w:szCs w:val="20"/>
                <w:highlight w:val="none"/>
                <w:u w:val="none"/>
              </w:rPr>
            </w:pPr>
          </w:p>
        </w:tc>
        <w:tc>
          <w:tcPr>
            <w:tcW w:w="1034" w:type="dxa"/>
            <w:tcBorders>
              <w:top w:val="single" w:color="000000" w:sz="4" w:space="0"/>
              <w:left w:val="single" w:color="000000" w:sz="4" w:space="0"/>
              <w:bottom w:val="single" w:color="000000" w:sz="4" w:space="0"/>
              <w:right w:val="single" w:color="auto" w:sz="4" w:space="0"/>
            </w:tcBorders>
            <w:shd w:val="clear" w:color="auto" w:fill="auto"/>
            <w:vAlign w:val="center"/>
          </w:tcPr>
          <w:p w14:paraId="21460FC2">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成本指标（6%）</w:t>
            </w:r>
          </w:p>
        </w:tc>
        <w:tc>
          <w:tcPr>
            <w:tcW w:w="1258" w:type="dxa"/>
            <w:tcBorders>
              <w:top w:val="single" w:color="auto" w:sz="4" w:space="0"/>
              <w:left w:val="single" w:color="auto" w:sz="4" w:space="0"/>
              <w:bottom w:val="single" w:color="auto" w:sz="4" w:space="0"/>
              <w:right w:val="single" w:color="auto" w:sz="4" w:space="0"/>
            </w:tcBorders>
            <w:shd w:val="clear" w:color="auto" w:fill="auto"/>
            <w:vAlign w:val="center"/>
          </w:tcPr>
          <w:p w14:paraId="3041FA62">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殡葬服务减少收费总额</w:t>
            </w:r>
          </w:p>
        </w:tc>
        <w:tc>
          <w:tcPr>
            <w:tcW w:w="3872" w:type="dxa"/>
            <w:tcBorders>
              <w:top w:val="single" w:color="auto" w:sz="4" w:space="0"/>
              <w:left w:val="single" w:color="auto" w:sz="4" w:space="0"/>
              <w:bottom w:val="single" w:color="auto" w:sz="4" w:space="0"/>
              <w:right w:val="single" w:color="auto" w:sz="4" w:space="0"/>
            </w:tcBorders>
            <w:shd w:val="clear" w:color="auto" w:fill="auto"/>
            <w:vAlign w:val="center"/>
          </w:tcPr>
          <w:p w14:paraId="095CADB0">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考察当年度殡葬服务减少收费总额</w:t>
            </w:r>
          </w:p>
        </w:tc>
        <w:tc>
          <w:tcPr>
            <w:tcW w:w="6073" w:type="dxa"/>
            <w:tcBorders>
              <w:top w:val="single" w:color="000000" w:sz="4" w:space="0"/>
              <w:left w:val="single" w:color="auto" w:sz="4" w:space="0"/>
              <w:bottom w:val="single" w:color="000000" w:sz="4" w:space="0"/>
              <w:right w:val="single" w:color="000000" w:sz="4" w:space="0"/>
            </w:tcBorders>
            <w:shd w:val="clear" w:color="auto" w:fill="auto"/>
            <w:vAlign w:val="center"/>
          </w:tcPr>
          <w:p w14:paraId="3BEC4E06">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达到目标值，得满分；否则，视情况酌情扣分。</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916F1">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6</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8E621">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6</w:t>
            </w:r>
          </w:p>
        </w:tc>
      </w:tr>
      <w:tr w14:paraId="643B56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0" w:hRule="atLeast"/>
          <w:jc w:val="center"/>
        </w:trPr>
        <w:tc>
          <w:tcPr>
            <w:tcW w:w="0" w:type="auto"/>
            <w:tcBorders>
              <w:top w:val="single" w:color="000000" w:sz="4" w:space="0"/>
              <w:left w:val="single" w:color="000000" w:sz="4" w:space="0"/>
              <w:bottom w:val="single" w:color="auto" w:sz="4" w:space="0"/>
              <w:right w:val="single" w:color="000000" w:sz="4" w:space="0"/>
            </w:tcBorders>
            <w:shd w:val="clear" w:color="auto" w:fill="auto"/>
            <w:noWrap/>
            <w:vAlign w:val="center"/>
          </w:tcPr>
          <w:p w14:paraId="068E4E43">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kern w:val="2"/>
                <w:sz w:val="20"/>
                <w:szCs w:val="20"/>
                <w:highlight w:val="none"/>
                <w:u w:val="none"/>
                <w:lang w:val="en-US" w:eastAsia="zh-CN" w:bidi="ar-SA"/>
              </w:rPr>
            </w:pPr>
            <w:r>
              <w:rPr>
                <w:rFonts w:hint="eastAsia" w:ascii="宋体" w:hAnsi="宋体" w:eastAsia="宋体" w:cs="宋体"/>
                <w:i w:val="0"/>
                <w:iCs w:val="0"/>
                <w:color w:val="auto"/>
                <w:kern w:val="0"/>
                <w:sz w:val="20"/>
                <w:szCs w:val="20"/>
                <w:highlight w:val="none"/>
                <w:u w:val="none"/>
                <w:lang w:val="en-US" w:eastAsia="zh-CN"/>
              </w:rPr>
              <w:t>19</w:t>
            </w:r>
          </w:p>
        </w:tc>
        <w:tc>
          <w:tcPr>
            <w:tcW w:w="941" w:type="dxa"/>
            <w:vMerge w:val="restart"/>
            <w:tcBorders>
              <w:top w:val="single" w:color="000000" w:sz="4" w:space="0"/>
              <w:left w:val="single" w:color="000000" w:sz="4" w:space="0"/>
              <w:bottom w:val="single" w:color="auto" w:sz="4" w:space="0"/>
              <w:right w:val="single" w:color="000000" w:sz="4" w:space="0"/>
            </w:tcBorders>
            <w:shd w:val="clear" w:color="auto" w:fill="auto"/>
            <w:vAlign w:val="center"/>
          </w:tcPr>
          <w:p w14:paraId="0781BAA3">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效益</w:t>
            </w:r>
            <w:r>
              <w:rPr>
                <w:rFonts w:hint="eastAsia" w:ascii="仿宋" w:hAnsi="仿宋" w:eastAsia="仿宋" w:cs="仿宋"/>
                <w:i w:val="0"/>
                <w:iCs w:val="0"/>
                <w:color w:val="000000"/>
                <w:kern w:val="0"/>
                <w:sz w:val="20"/>
                <w:szCs w:val="20"/>
                <w:u w:val="none"/>
                <w:lang w:val="en-US" w:eastAsia="zh-CN" w:bidi="ar"/>
              </w:rPr>
              <w:br w:type="textWrapping"/>
            </w:r>
            <w:r>
              <w:rPr>
                <w:rFonts w:hint="eastAsia" w:ascii="仿宋" w:hAnsi="仿宋" w:eastAsia="仿宋" w:cs="仿宋"/>
                <w:i w:val="0"/>
                <w:iCs w:val="0"/>
                <w:color w:val="000000"/>
                <w:kern w:val="0"/>
                <w:sz w:val="20"/>
                <w:szCs w:val="20"/>
                <w:u w:val="none"/>
                <w:lang w:val="en-US" w:eastAsia="zh-CN" w:bidi="ar"/>
              </w:rPr>
              <w:t>指标（25%）</w:t>
            </w:r>
          </w:p>
        </w:tc>
        <w:tc>
          <w:tcPr>
            <w:tcW w:w="1034" w:type="dxa"/>
            <w:tcBorders>
              <w:top w:val="single" w:color="000000" w:sz="4" w:space="0"/>
              <w:left w:val="single" w:color="000000" w:sz="4" w:space="0"/>
              <w:bottom w:val="single" w:color="auto" w:sz="4" w:space="0"/>
              <w:right w:val="single" w:color="auto" w:sz="4" w:space="0"/>
            </w:tcBorders>
            <w:shd w:val="clear" w:color="auto" w:fill="auto"/>
            <w:vAlign w:val="center"/>
          </w:tcPr>
          <w:p w14:paraId="21822070">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生态环境效益（5%）</w:t>
            </w:r>
          </w:p>
        </w:tc>
        <w:tc>
          <w:tcPr>
            <w:tcW w:w="1258" w:type="dxa"/>
            <w:tcBorders>
              <w:top w:val="single" w:color="auto" w:sz="4" w:space="0"/>
              <w:left w:val="single" w:color="auto" w:sz="4" w:space="0"/>
              <w:bottom w:val="single" w:color="auto" w:sz="4" w:space="0"/>
              <w:right w:val="single" w:color="auto" w:sz="4" w:space="0"/>
            </w:tcBorders>
            <w:shd w:val="clear" w:color="auto" w:fill="auto"/>
            <w:vAlign w:val="center"/>
          </w:tcPr>
          <w:p w14:paraId="5B6C7188">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节地生态安葬推进成效</w:t>
            </w:r>
          </w:p>
        </w:tc>
        <w:tc>
          <w:tcPr>
            <w:tcW w:w="3872" w:type="dxa"/>
            <w:tcBorders>
              <w:top w:val="single" w:color="auto" w:sz="4" w:space="0"/>
              <w:left w:val="single" w:color="auto" w:sz="4" w:space="0"/>
              <w:bottom w:val="single" w:color="auto" w:sz="4" w:space="0"/>
              <w:right w:val="single" w:color="auto" w:sz="4" w:space="0"/>
            </w:tcBorders>
            <w:shd w:val="clear" w:color="auto" w:fill="auto"/>
            <w:vAlign w:val="center"/>
          </w:tcPr>
          <w:p w14:paraId="200A6BFA">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考察节地生态安葬推进成效</w:t>
            </w:r>
          </w:p>
        </w:tc>
        <w:tc>
          <w:tcPr>
            <w:tcW w:w="6073" w:type="dxa"/>
            <w:tcBorders>
              <w:top w:val="single" w:color="000000" w:sz="4" w:space="0"/>
              <w:left w:val="single" w:color="auto" w:sz="4" w:space="0"/>
              <w:bottom w:val="single" w:color="000000" w:sz="4" w:space="0"/>
              <w:right w:val="single" w:color="000000" w:sz="4" w:space="0"/>
            </w:tcBorders>
            <w:shd w:val="clear" w:color="auto" w:fill="auto"/>
            <w:vAlign w:val="center"/>
          </w:tcPr>
          <w:p w14:paraId="2053470C">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按当年度节地安葬的推进成效给分，成效较好得满分，成效一般得3分，成效较差，不得分。</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F9C6D">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5</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E5AFF">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4</w:t>
            </w:r>
          </w:p>
        </w:tc>
      </w:tr>
      <w:tr w14:paraId="7A7A40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869"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auto"/>
            <w:noWrap/>
            <w:vAlign w:val="center"/>
          </w:tcPr>
          <w:p w14:paraId="34EE73FD">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kern w:val="2"/>
                <w:sz w:val="20"/>
                <w:szCs w:val="20"/>
                <w:highlight w:val="none"/>
                <w:u w:val="none"/>
                <w:lang w:val="en-US" w:eastAsia="zh-CN" w:bidi="ar-SA"/>
              </w:rPr>
            </w:pPr>
            <w:r>
              <w:rPr>
                <w:rFonts w:hint="eastAsia" w:ascii="宋体" w:hAnsi="宋体" w:eastAsia="宋体" w:cs="宋体"/>
                <w:i w:val="0"/>
                <w:iCs w:val="0"/>
                <w:color w:val="auto"/>
                <w:kern w:val="0"/>
                <w:sz w:val="20"/>
                <w:szCs w:val="20"/>
                <w:highlight w:val="none"/>
                <w:u w:val="none"/>
                <w:lang w:val="en-US" w:eastAsia="zh-CN"/>
              </w:rPr>
              <w:t>20</w:t>
            </w:r>
          </w:p>
        </w:tc>
        <w:tc>
          <w:tcPr>
            <w:tcW w:w="94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63E1B49E">
            <w:pPr>
              <w:jc w:val="center"/>
              <w:rPr>
                <w:rFonts w:hint="eastAsia" w:ascii="仿宋" w:hAnsi="仿宋" w:eastAsia="仿宋" w:cs="仿宋"/>
                <w:i w:val="0"/>
                <w:iCs w:val="0"/>
                <w:color w:val="auto"/>
                <w:sz w:val="20"/>
                <w:szCs w:val="20"/>
                <w:highlight w:val="none"/>
                <w:u w:val="none"/>
              </w:rPr>
            </w:pPr>
          </w:p>
        </w:tc>
        <w:tc>
          <w:tcPr>
            <w:tcW w:w="103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5D1E7D3">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社会效益（15%）</w:t>
            </w:r>
          </w:p>
        </w:tc>
        <w:tc>
          <w:tcPr>
            <w:tcW w:w="1258" w:type="dxa"/>
            <w:tcBorders>
              <w:top w:val="single" w:color="auto" w:sz="4" w:space="0"/>
              <w:left w:val="single" w:color="auto" w:sz="4" w:space="0"/>
              <w:bottom w:val="single" w:color="auto" w:sz="4" w:space="0"/>
              <w:right w:val="single" w:color="auto" w:sz="4" w:space="0"/>
            </w:tcBorders>
            <w:shd w:val="clear" w:color="auto" w:fill="auto"/>
            <w:vAlign w:val="center"/>
          </w:tcPr>
          <w:p w14:paraId="125176B5">
            <w:pPr>
              <w:keepNext w:val="0"/>
              <w:keepLines w:val="0"/>
              <w:widowControl/>
              <w:suppressLineNumbers w:val="0"/>
              <w:jc w:val="center"/>
              <w:textAlignment w:val="center"/>
              <w:rPr>
                <w:rFonts w:hint="default" w:ascii="仿宋" w:hAnsi="仿宋" w:eastAsia="仿宋" w:cs="仿宋"/>
                <w:i w:val="0"/>
                <w:iCs w:val="0"/>
                <w:color w:val="auto"/>
                <w:kern w:val="0"/>
                <w:sz w:val="20"/>
                <w:szCs w:val="20"/>
                <w:highlight w:val="none"/>
                <w:u w:val="none"/>
                <w:lang w:val="en-US" w:eastAsia="zh-CN"/>
              </w:rPr>
            </w:pPr>
            <w:r>
              <w:rPr>
                <w:rFonts w:hint="eastAsia" w:ascii="仿宋" w:hAnsi="仿宋" w:eastAsia="仿宋" w:cs="仿宋"/>
                <w:i w:val="0"/>
                <w:iCs w:val="0"/>
                <w:color w:val="000000"/>
                <w:kern w:val="0"/>
                <w:sz w:val="20"/>
                <w:szCs w:val="20"/>
                <w:u w:val="none"/>
                <w:lang w:val="en-US" w:eastAsia="zh-CN" w:bidi="ar"/>
              </w:rPr>
              <w:t>减轻民众经济负担</w:t>
            </w:r>
          </w:p>
        </w:tc>
        <w:tc>
          <w:tcPr>
            <w:tcW w:w="3872" w:type="dxa"/>
            <w:tcBorders>
              <w:top w:val="single" w:color="auto" w:sz="4" w:space="0"/>
              <w:left w:val="single" w:color="auto" w:sz="4" w:space="0"/>
              <w:bottom w:val="single" w:color="auto" w:sz="4" w:space="0"/>
              <w:right w:val="single" w:color="auto" w:sz="4" w:space="0"/>
            </w:tcBorders>
            <w:shd w:val="clear" w:color="auto" w:fill="auto"/>
            <w:vAlign w:val="center"/>
          </w:tcPr>
          <w:p w14:paraId="39FC4CD2">
            <w:pPr>
              <w:keepNext w:val="0"/>
              <w:keepLines w:val="0"/>
              <w:widowControl/>
              <w:suppressLineNumbers w:val="0"/>
              <w:jc w:val="left"/>
              <w:textAlignment w:val="center"/>
              <w:rPr>
                <w:rFonts w:hint="default" w:ascii="仿宋" w:hAnsi="仿宋" w:eastAsia="仿宋" w:cs="仿宋"/>
                <w:i w:val="0"/>
                <w:iCs w:val="0"/>
                <w:color w:val="auto"/>
                <w:kern w:val="0"/>
                <w:sz w:val="20"/>
                <w:szCs w:val="20"/>
                <w:highlight w:val="none"/>
                <w:u w:val="none"/>
                <w:lang w:val="en-US" w:eastAsia="zh-CN"/>
              </w:rPr>
            </w:pPr>
            <w:r>
              <w:rPr>
                <w:rFonts w:hint="eastAsia" w:ascii="仿宋" w:hAnsi="仿宋" w:eastAsia="仿宋" w:cs="仿宋"/>
                <w:i w:val="0"/>
                <w:iCs w:val="0"/>
                <w:color w:val="000000"/>
                <w:kern w:val="0"/>
                <w:sz w:val="20"/>
                <w:szCs w:val="20"/>
                <w:u w:val="none"/>
                <w:lang w:val="en-US" w:eastAsia="zh-CN" w:bidi="ar"/>
              </w:rPr>
              <w:t>政策是否有效缓解民众经济负担</w:t>
            </w:r>
          </w:p>
        </w:tc>
        <w:tc>
          <w:tcPr>
            <w:tcW w:w="6073" w:type="dxa"/>
            <w:tcBorders>
              <w:top w:val="single" w:color="000000" w:sz="4" w:space="0"/>
              <w:left w:val="single" w:color="auto" w:sz="4" w:space="0"/>
              <w:bottom w:val="single" w:color="000000" w:sz="4" w:space="0"/>
              <w:right w:val="single" w:color="000000" w:sz="4" w:space="0"/>
            </w:tcBorders>
            <w:shd w:val="clear" w:color="auto" w:fill="auto"/>
            <w:vAlign w:val="center"/>
          </w:tcPr>
          <w:p w14:paraId="1F558F1B">
            <w:pPr>
              <w:keepNext w:val="0"/>
              <w:keepLines w:val="0"/>
              <w:widowControl/>
              <w:suppressLineNumbers w:val="0"/>
              <w:jc w:val="left"/>
              <w:textAlignment w:val="center"/>
              <w:rPr>
                <w:rFonts w:hint="default" w:ascii="仿宋" w:hAnsi="仿宋" w:eastAsia="仿宋" w:cs="仿宋"/>
                <w:i w:val="0"/>
                <w:iCs w:val="0"/>
                <w:color w:val="auto"/>
                <w:kern w:val="0"/>
                <w:sz w:val="20"/>
                <w:szCs w:val="20"/>
                <w:highlight w:val="none"/>
                <w:u w:val="none"/>
                <w:lang w:val="en-US" w:eastAsia="zh-CN"/>
              </w:rPr>
            </w:pPr>
            <w:r>
              <w:rPr>
                <w:rFonts w:hint="eastAsia" w:ascii="仿宋" w:hAnsi="仿宋" w:eastAsia="仿宋" w:cs="仿宋"/>
                <w:i w:val="0"/>
                <w:iCs w:val="0"/>
                <w:color w:val="000000"/>
                <w:kern w:val="0"/>
                <w:sz w:val="20"/>
                <w:szCs w:val="20"/>
                <w:u w:val="none"/>
                <w:lang w:val="en-US" w:eastAsia="zh-CN" w:bidi="ar"/>
              </w:rPr>
              <w:t>问卷调查民众满意度超过90%及以上的民众认为有效缓解，得满分；80及以上的民众认为一定程度上缓解，得2分；无效果，则不得分。</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47BA4">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rPr>
            </w:pPr>
            <w:r>
              <w:rPr>
                <w:rFonts w:hint="eastAsia" w:ascii="仿宋" w:hAnsi="仿宋" w:eastAsia="仿宋" w:cs="仿宋"/>
                <w:i w:val="0"/>
                <w:iCs w:val="0"/>
                <w:color w:val="000000"/>
                <w:kern w:val="0"/>
                <w:sz w:val="20"/>
                <w:szCs w:val="20"/>
                <w:u w:val="none"/>
                <w:lang w:val="en-US" w:eastAsia="zh-CN" w:bidi="ar"/>
              </w:rPr>
              <w:t>5</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DFA2A">
            <w:pPr>
              <w:keepNext w:val="0"/>
              <w:keepLines w:val="0"/>
              <w:widowControl/>
              <w:suppressLineNumbers w:val="0"/>
              <w:jc w:val="center"/>
              <w:textAlignment w:val="center"/>
              <w:rPr>
                <w:rFonts w:hint="default" w:ascii="仿宋" w:hAnsi="仿宋" w:eastAsia="仿宋" w:cs="仿宋"/>
                <w:i w:val="0"/>
                <w:iCs w:val="0"/>
                <w:color w:val="000000"/>
                <w:kern w:val="0"/>
                <w:sz w:val="20"/>
                <w:szCs w:val="20"/>
                <w:u w:val="none"/>
                <w:lang w:val="en-US" w:eastAsia="zh-CN"/>
              </w:rPr>
            </w:pPr>
            <w:r>
              <w:rPr>
                <w:rFonts w:hint="eastAsia" w:ascii="仿宋" w:hAnsi="仿宋" w:eastAsia="仿宋" w:cs="仿宋"/>
                <w:i w:val="0"/>
                <w:iCs w:val="0"/>
                <w:color w:val="000000"/>
                <w:kern w:val="0"/>
                <w:sz w:val="20"/>
                <w:szCs w:val="20"/>
                <w:u w:val="none"/>
                <w:lang w:val="en-US" w:eastAsia="zh-CN" w:bidi="ar"/>
              </w:rPr>
              <w:t>5</w:t>
            </w:r>
          </w:p>
        </w:tc>
      </w:tr>
      <w:tr w14:paraId="19E20E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899"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auto"/>
            <w:noWrap/>
            <w:vAlign w:val="center"/>
          </w:tcPr>
          <w:p w14:paraId="3A65CD0C">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kern w:val="2"/>
                <w:sz w:val="20"/>
                <w:szCs w:val="20"/>
                <w:highlight w:val="none"/>
                <w:u w:val="none"/>
                <w:lang w:val="en-US" w:eastAsia="zh-CN" w:bidi="ar-SA"/>
              </w:rPr>
            </w:pPr>
            <w:r>
              <w:rPr>
                <w:rFonts w:hint="eastAsia" w:ascii="宋体" w:hAnsi="宋体" w:eastAsia="宋体" w:cs="宋体"/>
                <w:i w:val="0"/>
                <w:iCs w:val="0"/>
                <w:color w:val="auto"/>
                <w:kern w:val="0"/>
                <w:sz w:val="20"/>
                <w:szCs w:val="20"/>
                <w:highlight w:val="none"/>
                <w:u w:val="none"/>
                <w:lang w:val="en-US" w:eastAsia="zh-CN"/>
              </w:rPr>
              <w:t>21</w:t>
            </w:r>
          </w:p>
        </w:tc>
        <w:tc>
          <w:tcPr>
            <w:tcW w:w="94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6CA12689">
            <w:pPr>
              <w:jc w:val="center"/>
              <w:rPr>
                <w:rFonts w:hint="eastAsia" w:ascii="仿宋" w:hAnsi="仿宋" w:eastAsia="仿宋" w:cs="仿宋"/>
                <w:i w:val="0"/>
                <w:iCs w:val="0"/>
                <w:color w:val="auto"/>
                <w:sz w:val="20"/>
                <w:szCs w:val="20"/>
                <w:highlight w:val="none"/>
                <w:u w:val="none"/>
              </w:rPr>
            </w:pPr>
          </w:p>
        </w:tc>
        <w:tc>
          <w:tcPr>
            <w:tcW w:w="103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044088C">
            <w:pPr>
              <w:jc w:val="center"/>
              <w:rPr>
                <w:rFonts w:hint="eastAsia" w:ascii="仿宋" w:hAnsi="仿宋" w:eastAsia="仿宋" w:cs="仿宋"/>
                <w:i w:val="0"/>
                <w:iCs w:val="0"/>
                <w:color w:val="auto"/>
                <w:sz w:val="20"/>
                <w:szCs w:val="20"/>
                <w:highlight w:val="none"/>
                <w:u w:val="none"/>
              </w:rPr>
            </w:pPr>
          </w:p>
        </w:tc>
        <w:tc>
          <w:tcPr>
            <w:tcW w:w="1258" w:type="dxa"/>
            <w:tcBorders>
              <w:top w:val="single" w:color="auto" w:sz="4" w:space="0"/>
              <w:left w:val="single" w:color="auto" w:sz="4" w:space="0"/>
              <w:bottom w:val="single" w:color="auto" w:sz="4" w:space="0"/>
              <w:right w:val="single" w:color="auto" w:sz="4" w:space="0"/>
            </w:tcBorders>
            <w:shd w:val="clear" w:color="auto" w:fill="auto"/>
            <w:vAlign w:val="center"/>
          </w:tcPr>
          <w:p w14:paraId="45A89707">
            <w:pPr>
              <w:keepNext w:val="0"/>
              <w:keepLines w:val="0"/>
              <w:widowControl/>
              <w:suppressLineNumbers w:val="0"/>
              <w:jc w:val="center"/>
              <w:textAlignment w:val="center"/>
              <w:rPr>
                <w:rFonts w:hint="default" w:ascii="仿宋" w:hAnsi="仿宋" w:eastAsia="仿宋" w:cs="仿宋"/>
                <w:i w:val="0"/>
                <w:iCs w:val="0"/>
                <w:color w:val="auto"/>
                <w:sz w:val="20"/>
                <w:szCs w:val="20"/>
                <w:highlight w:val="none"/>
                <w:u w:val="none"/>
                <w:lang w:val="en-US" w:eastAsia="zh-CN"/>
              </w:rPr>
            </w:pPr>
            <w:r>
              <w:rPr>
                <w:rFonts w:hint="eastAsia" w:ascii="仿宋" w:hAnsi="仿宋" w:eastAsia="仿宋" w:cs="仿宋"/>
                <w:i w:val="0"/>
                <w:iCs w:val="0"/>
                <w:color w:val="auto"/>
                <w:sz w:val="20"/>
                <w:szCs w:val="20"/>
                <w:highlight w:val="none"/>
                <w:u w:val="none"/>
                <w:lang w:val="en-US" w:eastAsia="zh-CN"/>
              </w:rPr>
              <w:t>收到投诉件次数</w:t>
            </w:r>
          </w:p>
        </w:tc>
        <w:tc>
          <w:tcPr>
            <w:tcW w:w="3872" w:type="dxa"/>
            <w:tcBorders>
              <w:top w:val="single" w:color="auto" w:sz="4" w:space="0"/>
              <w:left w:val="single" w:color="auto" w:sz="4" w:space="0"/>
              <w:bottom w:val="single" w:color="auto" w:sz="4" w:space="0"/>
              <w:right w:val="single" w:color="auto" w:sz="4" w:space="0"/>
            </w:tcBorders>
            <w:shd w:val="clear" w:color="auto" w:fill="auto"/>
            <w:vAlign w:val="center"/>
          </w:tcPr>
          <w:p w14:paraId="39627368">
            <w:pPr>
              <w:keepNext w:val="0"/>
              <w:keepLines w:val="0"/>
              <w:widowControl/>
              <w:suppressLineNumbers w:val="0"/>
              <w:jc w:val="left"/>
              <w:textAlignment w:val="center"/>
              <w:rPr>
                <w:rFonts w:hint="default" w:ascii="仿宋" w:hAnsi="仿宋" w:eastAsia="仿宋" w:cs="仿宋"/>
                <w:i w:val="0"/>
                <w:iCs w:val="0"/>
                <w:color w:val="auto"/>
                <w:sz w:val="20"/>
                <w:szCs w:val="20"/>
                <w:highlight w:val="none"/>
                <w:u w:val="none"/>
                <w:lang w:val="en-US"/>
              </w:rPr>
            </w:pPr>
            <w:r>
              <w:rPr>
                <w:rFonts w:hint="eastAsia" w:ascii="仿宋" w:hAnsi="仿宋" w:eastAsia="仿宋" w:cs="仿宋"/>
                <w:i w:val="0"/>
                <w:iCs w:val="0"/>
                <w:color w:val="000000"/>
                <w:kern w:val="0"/>
                <w:sz w:val="20"/>
                <w:szCs w:val="20"/>
                <w:u w:val="none"/>
                <w:lang w:val="en-US" w:eastAsia="zh-CN" w:bidi="ar"/>
              </w:rPr>
              <w:t>考察当年度项目实施过程中是否</w:t>
            </w:r>
            <w:r>
              <w:rPr>
                <w:rFonts w:hint="eastAsia" w:ascii="仿宋" w:hAnsi="仿宋" w:eastAsia="仿宋" w:cs="仿宋"/>
                <w:i w:val="0"/>
                <w:iCs w:val="0"/>
                <w:color w:val="auto"/>
                <w:sz w:val="20"/>
                <w:szCs w:val="20"/>
                <w:highlight w:val="none"/>
                <w:u w:val="none"/>
                <w:lang w:val="en-US" w:eastAsia="zh-CN"/>
              </w:rPr>
              <w:t>收到投诉件</w:t>
            </w:r>
          </w:p>
        </w:tc>
        <w:tc>
          <w:tcPr>
            <w:tcW w:w="6073" w:type="dxa"/>
            <w:tcBorders>
              <w:top w:val="single" w:color="000000" w:sz="4" w:space="0"/>
              <w:left w:val="single" w:color="auto" w:sz="4" w:space="0"/>
              <w:bottom w:val="single" w:color="000000" w:sz="4" w:space="0"/>
              <w:right w:val="single" w:color="000000" w:sz="4" w:space="0"/>
            </w:tcBorders>
            <w:shd w:val="clear" w:color="auto" w:fill="auto"/>
            <w:vAlign w:val="center"/>
          </w:tcPr>
          <w:p w14:paraId="3B1A5E00">
            <w:pPr>
              <w:keepNext w:val="0"/>
              <w:keepLines w:val="0"/>
              <w:widowControl/>
              <w:suppressLineNumbers w:val="0"/>
              <w:jc w:val="left"/>
              <w:textAlignment w:val="center"/>
              <w:rPr>
                <w:rFonts w:hint="default" w:ascii="仿宋" w:hAnsi="仿宋" w:eastAsia="仿宋" w:cs="仿宋"/>
                <w:i w:val="0"/>
                <w:iCs w:val="0"/>
                <w:color w:val="auto"/>
                <w:sz w:val="20"/>
                <w:szCs w:val="20"/>
                <w:highlight w:val="none"/>
                <w:u w:val="none"/>
                <w:lang w:val="en-US" w:eastAsia="zh-CN"/>
              </w:rPr>
            </w:pPr>
            <w:r>
              <w:rPr>
                <w:rFonts w:hint="eastAsia" w:ascii="仿宋" w:hAnsi="仿宋" w:eastAsia="仿宋" w:cs="仿宋"/>
                <w:i w:val="0"/>
                <w:iCs w:val="0"/>
                <w:color w:val="auto"/>
                <w:sz w:val="20"/>
                <w:szCs w:val="20"/>
                <w:highlight w:val="none"/>
                <w:u w:val="none"/>
                <w:lang w:val="en-US" w:eastAsia="zh-CN"/>
              </w:rPr>
              <w:t>未收到投诉件得满分，每收到一次，扣除1分，直至扣完为止。</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23FCC">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5</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45BA6">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5</w:t>
            </w:r>
          </w:p>
        </w:tc>
      </w:tr>
      <w:tr w14:paraId="21F556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899"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auto"/>
            <w:noWrap/>
            <w:vAlign w:val="center"/>
          </w:tcPr>
          <w:p w14:paraId="7277921F">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kern w:val="2"/>
                <w:sz w:val="20"/>
                <w:szCs w:val="20"/>
                <w:highlight w:val="none"/>
                <w:u w:val="none"/>
                <w:lang w:val="en-US" w:eastAsia="zh-CN" w:bidi="ar-SA"/>
              </w:rPr>
            </w:pPr>
            <w:r>
              <w:rPr>
                <w:rFonts w:hint="eastAsia" w:ascii="宋体" w:hAnsi="宋体" w:eastAsia="宋体" w:cs="宋体"/>
                <w:i w:val="0"/>
                <w:iCs w:val="0"/>
                <w:color w:val="auto"/>
                <w:kern w:val="0"/>
                <w:sz w:val="20"/>
                <w:szCs w:val="20"/>
                <w:highlight w:val="none"/>
                <w:u w:val="none"/>
                <w:lang w:val="en-US" w:eastAsia="zh-CN"/>
              </w:rPr>
              <w:t>22</w:t>
            </w:r>
          </w:p>
        </w:tc>
        <w:tc>
          <w:tcPr>
            <w:tcW w:w="94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62E20566">
            <w:pPr>
              <w:jc w:val="center"/>
              <w:rPr>
                <w:rFonts w:hint="eastAsia" w:ascii="仿宋" w:hAnsi="仿宋" w:eastAsia="仿宋" w:cs="仿宋"/>
                <w:i w:val="0"/>
                <w:iCs w:val="0"/>
                <w:color w:val="auto"/>
                <w:sz w:val="20"/>
                <w:szCs w:val="20"/>
                <w:highlight w:val="none"/>
                <w:u w:val="none"/>
              </w:rPr>
            </w:pPr>
          </w:p>
        </w:tc>
        <w:tc>
          <w:tcPr>
            <w:tcW w:w="103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65E4EA5">
            <w:pPr>
              <w:jc w:val="center"/>
              <w:rPr>
                <w:rFonts w:hint="eastAsia" w:ascii="仿宋" w:hAnsi="仿宋" w:eastAsia="仿宋" w:cs="仿宋"/>
                <w:i w:val="0"/>
                <w:iCs w:val="0"/>
                <w:color w:val="auto"/>
                <w:sz w:val="20"/>
                <w:szCs w:val="20"/>
                <w:highlight w:val="none"/>
                <w:u w:val="none"/>
              </w:rPr>
            </w:pPr>
          </w:p>
        </w:tc>
        <w:tc>
          <w:tcPr>
            <w:tcW w:w="1258" w:type="dxa"/>
            <w:tcBorders>
              <w:top w:val="single" w:color="auto" w:sz="4" w:space="0"/>
              <w:left w:val="single" w:color="auto" w:sz="4" w:space="0"/>
              <w:bottom w:val="single" w:color="auto" w:sz="4" w:space="0"/>
              <w:right w:val="single" w:color="auto" w:sz="4" w:space="0"/>
            </w:tcBorders>
            <w:shd w:val="clear" w:color="auto" w:fill="auto"/>
            <w:vAlign w:val="center"/>
          </w:tcPr>
          <w:p w14:paraId="2A66F2CB">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政策知晓率</w:t>
            </w:r>
          </w:p>
        </w:tc>
        <w:tc>
          <w:tcPr>
            <w:tcW w:w="3872" w:type="dxa"/>
            <w:tcBorders>
              <w:top w:val="single" w:color="auto" w:sz="4" w:space="0"/>
              <w:left w:val="single" w:color="auto" w:sz="4" w:space="0"/>
              <w:bottom w:val="single" w:color="auto" w:sz="4" w:space="0"/>
              <w:right w:val="single" w:color="auto" w:sz="4" w:space="0"/>
            </w:tcBorders>
            <w:shd w:val="clear" w:color="auto" w:fill="auto"/>
            <w:vAlign w:val="center"/>
          </w:tcPr>
          <w:p w14:paraId="772E8E39">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考察市民对减免基本殡葬服务费专项的政策知晓率情况。</w:t>
            </w:r>
          </w:p>
        </w:tc>
        <w:tc>
          <w:tcPr>
            <w:tcW w:w="6073" w:type="dxa"/>
            <w:tcBorders>
              <w:top w:val="single" w:color="000000" w:sz="4" w:space="0"/>
              <w:left w:val="single" w:color="auto" w:sz="4" w:space="0"/>
              <w:bottom w:val="single" w:color="000000" w:sz="4" w:space="0"/>
              <w:right w:val="single" w:color="000000" w:sz="4" w:space="0"/>
            </w:tcBorders>
            <w:shd w:val="clear" w:color="auto" w:fill="auto"/>
            <w:vAlign w:val="center"/>
          </w:tcPr>
          <w:p w14:paraId="125B9730">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知晓率度超过90%及以上，5分；80%及以上，3分；70%及以上，1分；60%以下，0分。</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B36B4">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5</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6A4CF">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4</w:t>
            </w:r>
          </w:p>
        </w:tc>
      </w:tr>
      <w:tr w14:paraId="26145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0"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auto"/>
            <w:noWrap/>
            <w:vAlign w:val="center"/>
          </w:tcPr>
          <w:p w14:paraId="59F488DF">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kern w:val="2"/>
                <w:sz w:val="20"/>
                <w:szCs w:val="20"/>
                <w:highlight w:val="none"/>
                <w:u w:val="none"/>
                <w:lang w:val="en-US" w:eastAsia="zh-CN" w:bidi="ar-SA"/>
              </w:rPr>
            </w:pPr>
            <w:r>
              <w:rPr>
                <w:rFonts w:hint="eastAsia" w:ascii="宋体" w:hAnsi="宋体" w:eastAsia="宋体" w:cs="宋体"/>
                <w:i w:val="0"/>
                <w:iCs w:val="0"/>
                <w:color w:val="auto"/>
                <w:kern w:val="0"/>
                <w:sz w:val="20"/>
                <w:szCs w:val="20"/>
                <w:highlight w:val="none"/>
                <w:u w:val="none"/>
                <w:lang w:val="en-US" w:eastAsia="zh-CN"/>
              </w:rPr>
              <w:t>2</w:t>
            </w:r>
            <w:r>
              <w:rPr>
                <w:rFonts w:hint="eastAsia" w:ascii="宋体" w:hAnsi="宋体" w:cs="宋体"/>
                <w:i w:val="0"/>
                <w:iCs w:val="0"/>
                <w:color w:val="auto"/>
                <w:kern w:val="0"/>
                <w:sz w:val="20"/>
                <w:szCs w:val="20"/>
                <w:highlight w:val="none"/>
                <w:u w:val="none"/>
                <w:lang w:val="en-US" w:eastAsia="zh-CN"/>
              </w:rPr>
              <w:t>3</w:t>
            </w:r>
          </w:p>
        </w:tc>
        <w:tc>
          <w:tcPr>
            <w:tcW w:w="94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B5D5BA9">
            <w:pPr>
              <w:jc w:val="center"/>
              <w:rPr>
                <w:rFonts w:hint="eastAsia" w:ascii="仿宋" w:hAnsi="仿宋" w:eastAsia="仿宋" w:cs="仿宋"/>
                <w:i w:val="0"/>
                <w:iCs w:val="0"/>
                <w:color w:val="auto"/>
                <w:sz w:val="20"/>
                <w:szCs w:val="20"/>
                <w:highlight w:val="none"/>
                <w:u w:val="none"/>
              </w:rPr>
            </w:pPr>
          </w:p>
        </w:tc>
        <w:tc>
          <w:tcPr>
            <w:tcW w:w="1034" w:type="dxa"/>
            <w:tcBorders>
              <w:top w:val="single" w:color="auto" w:sz="4" w:space="0"/>
              <w:left w:val="single" w:color="auto" w:sz="4" w:space="0"/>
              <w:bottom w:val="single" w:color="auto" w:sz="4" w:space="0"/>
              <w:right w:val="single" w:color="auto" w:sz="4" w:space="0"/>
            </w:tcBorders>
            <w:shd w:val="clear" w:color="auto" w:fill="auto"/>
            <w:vAlign w:val="center"/>
          </w:tcPr>
          <w:p w14:paraId="10EF2D31">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满意度指标（5%）</w:t>
            </w:r>
          </w:p>
        </w:tc>
        <w:tc>
          <w:tcPr>
            <w:tcW w:w="1258" w:type="dxa"/>
            <w:tcBorders>
              <w:top w:val="single" w:color="auto" w:sz="4" w:space="0"/>
              <w:left w:val="single" w:color="auto" w:sz="4" w:space="0"/>
              <w:bottom w:val="single" w:color="auto" w:sz="4" w:space="0"/>
              <w:right w:val="single" w:color="auto" w:sz="4" w:space="0"/>
            </w:tcBorders>
            <w:shd w:val="clear" w:color="auto" w:fill="auto"/>
            <w:vAlign w:val="center"/>
          </w:tcPr>
          <w:p w14:paraId="71444C72">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家属满意度</w:t>
            </w:r>
          </w:p>
        </w:tc>
        <w:tc>
          <w:tcPr>
            <w:tcW w:w="3872" w:type="dxa"/>
            <w:tcBorders>
              <w:top w:val="single" w:color="auto" w:sz="4" w:space="0"/>
              <w:left w:val="single" w:color="auto" w:sz="4" w:space="0"/>
              <w:bottom w:val="single" w:color="auto" w:sz="4" w:space="0"/>
              <w:right w:val="single" w:color="auto" w:sz="4" w:space="0"/>
            </w:tcBorders>
            <w:shd w:val="clear" w:color="auto" w:fill="auto"/>
            <w:vAlign w:val="center"/>
          </w:tcPr>
          <w:p w14:paraId="68B6AA30">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反映家属对项目实施效果的满意程度。</w:t>
            </w:r>
          </w:p>
        </w:tc>
        <w:tc>
          <w:tcPr>
            <w:tcW w:w="6073" w:type="dxa"/>
            <w:tcBorders>
              <w:top w:val="single" w:color="000000" w:sz="4" w:space="0"/>
              <w:left w:val="single" w:color="auto" w:sz="4" w:space="0"/>
              <w:bottom w:val="single" w:color="000000" w:sz="4" w:space="0"/>
              <w:right w:val="single" w:color="000000" w:sz="4" w:space="0"/>
            </w:tcBorders>
            <w:shd w:val="clear" w:color="auto" w:fill="auto"/>
            <w:vAlign w:val="center"/>
          </w:tcPr>
          <w:p w14:paraId="0250873A">
            <w:pPr>
              <w:keepNext w:val="0"/>
              <w:keepLines w:val="0"/>
              <w:widowControl/>
              <w:suppressLineNumbers w:val="0"/>
              <w:jc w:val="left"/>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社会问卷调查满意度超过90%及以上，3分；80%及以上，2分；70%及以上，2分；60%以下，0分。</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0109B">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5</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45A75">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5</w:t>
            </w:r>
          </w:p>
        </w:tc>
      </w:tr>
      <w:tr w14:paraId="7F0011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0"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auto"/>
            <w:noWrap/>
            <w:vAlign w:val="center"/>
          </w:tcPr>
          <w:p w14:paraId="6075C052">
            <w:pPr>
              <w:keepNext w:val="0"/>
              <w:keepLines/>
              <w:pageBreakBefore w:val="0"/>
              <w:widowControl w:val="0"/>
              <w:suppressLineNumbers w:val="0"/>
              <w:kinsoku/>
              <w:wordWrap/>
              <w:overflowPunct/>
              <w:topLinePunct w:val="0"/>
              <w:autoSpaceDE/>
              <w:autoSpaceDN/>
              <w:bidi w:val="0"/>
              <w:adjustRightInd/>
              <w:snapToGrid/>
              <w:jc w:val="center"/>
              <w:textAlignment w:val="center"/>
              <w:rPr>
                <w:rFonts w:hint="eastAsia" w:ascii="宋体" w:hAnsi="宋体" w:eastAsia="宋体" w:cs="宋体"/>
                <w:i w:val="0"/>
                <w:iCs w:val="0"/>
                <w:color w:val="auto"/>
                <w:kern w:val="2"/>
                <w:sz w:val="20"/>
                <w:szCs w:val="20"/>
                <w:highlight w:val="none"/>
                <w:u w:val="none"/>
                <w:lang w:val="en-US" w:eastAsia="zh-CN" w:bidi="ar-SA"/>
              </w:rPr>
            </w:pPr>
            <w:r>
              <w:rPr>
                <w:rFonts w:hint="eastAsia" w:ascii="宋体" w:hAnsi="宋体" w:eastAsia="宋体" w:cs="宋体"/>
                <w:i w:val="0"/>
                <w:iCs w:val="0"/>
                <w:color w:val="auto"/>
                <w:kern w:val="0"/>
                <w:sz w:val="20"/>
                <w:szCs w:val="20"/>
                <w:highlight w:val="none"/>
                <w:u w:val="none"/>
                <w:lang w:val="en-US" w:eastAsia="zh-CN"/>
              </w:rPr>
              <w:t>2</w:t>
            </w:r>
            <w:r>
              <w:rPr>
                <w:rFonts w:hint="eastAsia" w:ascii="宋体" w:hAnsi="宋体" w:cs="宋体"/>
                <w:i w:val="0"/>
                <w:iCs w:val="0"/>
                <w:color w:val="auto"/>
                <w:kern w:val="0"/>
                <w:sz w:val="20"/>
                <w:szCs w:val="20"/>
                <w:highlight w:val="none"/>
                <w:u w:val="none"/>
                <w:lang w:val="en-US" w:eastAsia="zh-CN"/>
              </w:rPr>
              <w:t>4</w:t>
            </w:r>
          </w:p>
        </w:tc>
        <w:tc>
          <w:tcPr>
            <w:tcW w:w="13178"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78ED1749">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总权重、评价总分（S）</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40D68">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100</w:t>
            </w:r>
          </w:p>
        </w:tc>
        <w:tc>
          <w:tcPr>
            <w:tcW w:w="7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F9320">
            <w:pPr>
              <w:keepNext w:val="0"/>
              <w:keepLines w:val="0"/>
              <w:widowControl/>
              <w:suppressLineNumbers w:val="0"/>
              <w:jc w:val="center"/>
              <w:textAlignment w:val="center"/>
              <w:rPr>
                <w:rFonts w:hint="eastAsia" w:ascii="仿宋" w:hAnsi="仿宋" w:eastAsia="仿宋" w:cs="仿宋"/>
                <w:i w:val="0"/>
                <w:iCs w:val="0"/>
                <w:color w:val="auto"/>
                <w:sz w:val="20"/>
                <w:szCs w:val="20"/>
                <w:highlight w:val="none"/>
                <w:u w:val="none"/>
              </w:rPr>
            </w:pPr>
            <w:r>
              <w:rPr>
                <w:rFonts w:hint="eastAsia" w:ascii="仿宋" w:hAnsi="仿宋" w:eastAsia="仿宋" w:cs="仿宋"/>
                <w:i w:val="0"/>
                <w:iCs w:val="0"/>
                <w:color w:val="000000"/>
                <w:kern w:val="0"/>
                <w:sz w:val="20"/>
                <w:szCs w:val="20"/>
                <w:u w:val="none"/>
                <w:lang w:val="en-US" w:eastAsia="zh-CN" w:bidi="ar"/>
              </w:rPr>
              <w:t>90</w:t>
            </w:r>
          </w:p>
        </w:tc>
      </w:tr>
    </w:tbl>
    <w:p w14:paraId="4125CF21">
      <w:pPr>
        <w:pageBreakBefore w:val="0"/>
        <w:widowControl w:val="0"/>
        <w:kinsoku/>
        <w:wordWrap/>
        <w:topLinePunct w:val="0"/>
        <w:bidi w:val="0"/>
        <w:snapToGrid/>
        <w:rPr>
          <w:rFonts w:hint="eastAsia"/>
          <w:color w:val="auto"/>
          <w:highlight w:val="none"/>
          <w:lang w:val="en-US" w:eastAsia="zh-CN"/>
        </w:rPr>
        <w:sectPr>
          <w:headerReference r:id="rId16" w:type="default"/>
          <w:pgSz w:w="16838" w:h="11906" w:orient="landscape"/>
          <w:pgMar w:top="1587" w:right="1417" w:bottom="1474" w:left="1417" w:header="851" w:footer="992" w:gutter="0"/>
          <w:pgBorders>
            <w:top w:val="none" w:sz="0" w:space="0"/>
            <w:left w:val="none" w:sz="0" w:space="0"/>
            <w:bottom w:val="none" w:sz="0" w:space="0"/>
            <w:right w:val="none" w:sz="0" w:space="0"/>
          </w:pgBorders>
          <w:pgNumType w:fmt="decimal"/>
          <w:cols w:space="425" w:num="1"/>
          <w:docGrid w:type="lines" w:linePitch="312" w:charSpace="0"/>
        </w:sectPr>
      </w:pPr>
    </w:p>
    <w:bookmarkEnd w:id="196"/>
    <w:bookmarkEnd w:id="197"/>
    <w:bookmarkEnd w:id="198"/>
    <w:p w14:paraId="5ED4C9D9">
      <w:pPr>
        <w:keepNext w:val="0"/>
        <w:keepLines w:val="0"/>
        <w:pageBreakBefore w:val="0"/>
        <w:widowControl w:val="0"/>
        <w:kinsoku/>
        <w:wordWrap/>
        <w:overflowPunct/>
        <w:topLinePunct w:val="0"/>
        <w:autoSpaceDE/>
        <w:autoSpaceDN/>
        <w:bidi w:val="0"/>
        <w:adjustRightInd/>
        <w:snapToGrid/>
        <w:textAlignment w:val="auto"/>
        <w:outlineLvl w:val="0"/>
        <w:rPr>
          <w:rFonts w:hint="eastAsia" w:ascii="仿宋_GB2312" w:hAnsi="仿宋_GB2312" w:eastAsia="仿宋_GB2312" w:cs="仿宋_GB2312"/>
          <w:b/>
          <w:bCs/>
          <w:color w:val="auto"/>
          <w:kern w:val="2"/>
          <w:sz w:val="32"/>
          <w:szCs w:val="32"/>
          <w:highlight w:val="none"/>
          <w:lang w:val="en-US" w:eastAsia="zh-CN" w:bidi="ar-SA"/>
        </w:rPr>
      </w:pPr>
      <w:bookmarkStart w:id="257" w:name="_Toc178"/>
      <w:bookmarkStart w:id="258" w:name="_Toc25904"/>
      <w:r>
        <w:rPr>
          <w:rFonts w:hint="eastAsia" w:ascii="仿宋_GB2312" w:hAnsi="仿宋_GB2312" w:eastAsia="仿宋_GB2312" w:cs="仿宋_GB2312"/>
          <w:b/>
          <w:bCs/>
          <w:color w:val="auto"/>
          <w:kern w:val="2"/>
          <w:sz w:val="32"/>
          <w:szCs w:val="32"/>
          <w:highlight w:val="none"/>
          <w:lang w:val="en-US" w:eastAsia="zh-CN" w:bidi="ar-SA"/>
        </w:rPr>
        <w:t>附件2  调研图片</w:t>
      </w:r>
      <w:bookmarkEnd w:id="257"/>
      <w:bookmarkEnd w:id="258"/>
    </w:p>
    <w:tbl>
      <w:tblPr>
        <w:tblStyle w:val="17"/>
        <w:tblW w:w="99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18"/>
      </w:tblGrid>
      <w:tr w14:paraId="54960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89" w:hRule="exact"/>
          <w:jc w:val="center"/>
        </w:trPr>
        <w:tc>
          <w:tcPr>
            <w:tcW w:w="9918" w:type="dxa"/>
            <w:vAlign w:val="center"/>
          </w:tcPr>
          <w:p w14:paraId="51252C49">
            <w:pPr>
              <w:pageBreakBefore w:val="0"/>
              <w:widowControl w:val="0"/>
              <w:kinsoku/>
              <w:wordWrap/>
              <w:topLinePunct w:val="0"/>
              <w:bidi w:val="0"/>
              <w:snapToGrid/>
              <w:jc w:val="center"/>
              <w:rPr>
                <w:rFonts w:hint="eastAsia" w:eastAsia="宋体"/>
                <w:b/>
                <w:color w:val="auto"/>
                <w:sz w:val="28"/>
                <w:szCs w:val="28"/>
                <w:highlight w:val="none"/>
                <w:lang w:eastAsia="zh-CN"/>
              </w:rPr>
            </w:pPr>
            <w:r>
              <w:rPr>
                <w:rFonts w:hint="eastAsia" w:eastAsia="宋体"/>
                <w:b/>
                <w:color w:val="auto"/>
                <w:sz w:val="28"/>
                <w:szCs w:val="28"/>
                <w:highlight w:val="none"/>
                <w:lang w:eastAsia="zh-CN"/>
              </w:rPr>
              <w:drawing>
                <wp:inline distT="0" distB="0" distL="114300" distR="114300">
                  <wp:extent cx="5668645" cy="4250055"/>
                  <wp:effectExtent l="0" t="0" r="8255" b="17145"/>
                  <wp:docPr id="1" name="图片 1" descr="6b2f3cdaea5998c7468f9afba17083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6b2f3cdaea5998c7468f9afba17083c2"/>
                          <pic:cNvPicPr>
                            <a:picLocks noChangeAspect="1"/>
                          </pic:cNvPicPr>
                        </pic:nvPicPr>
                        <pic:blipFill>
                          <a:blip r:embed="rId24"/>
                          <a:stretch>
                            <a:fillRect/>
                          </a:stretch>
                        </pic:blipFill>
                        <pic:spPr>
                          <a:xfrm>
                            <a:off x="0" y="0"/>
                            <a:ext cx="5668645" cy="4250055"/>
                          </a:xfrm>
                          <a:prstGeom prst="rect">
                            <a:avLst/>
                          </a:prstGeom>
                        </pic:spPr>
                      </pic:pic>
                    </a:graphicData>
                  </a:graphic>
                </wp:inline>
              </w:drawing>
            </w:r>
          </w:p>
        </w:tc>
      </w:tr>
    </w:tbl>
    <w:p w14:paraId="1CC5E9A5">
      <w:pPr>
        <w:keepNext w:val="0"/>
        <w:keepLines w:val="0"/>
        <w:pageBreakBefore w:val="0"/>
        <w:widowControl w:val="0"/>
        <w:kinsoku/>
        <w:wordWrap/>
        <w:overflowPunct/>
        <w:topLinePunct w:val="0"/>
        <w:autoSpaceDE/>
        <w:autoSpaceDN/>
        <w:bidi w:val="0"/>
        <w:adjustRightInd/>
        <w:snapToGrid/>
        <w:textAlignment w:val="auto"/>
        <w:outlineLvl w:val="9"/>
        <w:rPr>
          <w:rFonts w:hint="eastAsia" w:ascii="仿宋_GB2312" w:hAnsi="仿宋_GB2312" w:eastAsia="仿宋_GB2312" w:cs="仿宋_GB2312"/>
          <w:b/>
          <w:bCs/>
          <w:color w:val="auto"/>
          <w:kern w:val="2"/>
          <w:sz w:val="32"/>
          <w:szCs w:val="32"/>
          <w:lang w:val="en-US" w:eastAsia="zh-CN" w:bidi="ar-SA"/>
        </w:rPr>
      </w:pPr>
    </w:p>
    <w:p w14:paraId="4AD51A9D">
      <w:pPr>
        <w:keepNext w:val="0"/>
        <w:keepLines w:val="0"/>
        <w:pageBreakBefore w:val="0"/>
        <w:widowControl w:val="0"/>
        <w:kinsoku/>
        <w:wordWrap/>
        <w:overflowPunct/>
        <w:topLinePunct w:val="0"/>
        <w:autoSpaceDE/>
        <w:autoSpaceDN/>
        <w:bidi w:val="0"/>
        <w:adjustRightInd/>
        <w:snapToGrid/>
        <w:textAlignment w:val="auto"/>
        <w:outlineLvl w:val="0"/>
        <w:rPr>
          <w:rFonts w:hint="default" w:ascii="仿宋_GB2312" w:hAnsi="仿宋_GB2312" w:eastAsia="仿宋_GB2312" w:cs="仿宋_GB2312"/>
          <w:b/>
          <w:bCs/>
          <w:color w:val="auto"/>
          <w:kern w:val="2"/>
          <w:sz w:val="32"/>
          <w:szCs w:val="32"/>
          <w:highlight w:val="none"/>
          <w:lang w:val="en-US" w:eastAsia="zh-CN" w:bidi="ar-SA"/>
        </w:rPr>
      </w:pPr>
      <w:bookmarkStart w:id="259" w:name="_Toc17720"/>
      <w:r>
        <w:rPr>
          <w:rFonts w:hint="eastAsia" w:ascii="仿宋_GB2312" w:hAnsi="仿宋_GB2312" w:eastAsia="仿宋_GB2312" w:cs="仿宋_GB2312"/>
          <w:b/>
          <w:bCs/>
          <w:color w:val="auto"/>
          <w:kern w:val="2"/>
          <w:sz w:val="32"/>
          <w:szCs w:val="32"/>
          <w:highlight w:val="none"/>
          <w:lang w:val="en-US" w:eastAsia="zh-CN" w:bidi="ar-SA"/>
        </w:rPr>
        <w:t>附件3 编制单位签章</w:t>
      </w:r>
      <w:bookmarkEnd w:id="259"/>
    </w:p>
    <w:p w14:paraId="7EA04B14">
      <w:pPr>
        <w:rPr>
          <w:rFonts w:hint="default"/>
          <w:lang w:val="en-US" w:eastAsia="zh-CN"/>
        </w:rPr>
      </w:pPr>
    </w:p>
    <w:tbl>
      <w:tblPr>
        <w:tblStyle w:val="1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73"/>
        <w:gridCol w:w="7449"/>
      </w:tblGrid>
      <w:tr w14:paraId="60783F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61" w:hRule="atLeast"/>
          <w:jc w:val="center"/>
        </w:trPr>
        <w:tc>
          <w:tcPr>
            <w:tcW w:w="1073" w:type="dxa"/>
            <w:vAlign w:val="center"/>
          </w:tcPr>
          <w:p w14:paraId="68B51607">
            <w:pPr>
              <w:widowControl w:val="0"/>
              <w:jc w:val="distribute"/>
              <w:rPr>
                <w:rFonts w:hint="eastAsia" w:ascii="黑体" w:hAnsi="黑体" w:eastAsia="黑体" w:cs="华文中宋"/>
                <w:color w:val="auto"/>
                <w:sz w:val="28"/>
                <w:szCs w:val="28"/>
              </w:rPr>
            </w:pPr>
            <w:r>
              <w:rPr>
                <w:rFonts w:hint="eastAsia" w:ascii="黑体" w:hAnsi="黑体" w:eastAsia="黑体" w:cs="华文中宋"/>
                <w:color w:val="auto"/>
                <w:sz w:val="28"/>
                <w:szCs w:val="28"/>
              </w:rPr>
              <w:t>项目</w:t>
            </w:r>
          </w:p>
          <w:p w14:paraId="2FBEEF63">
            <w:pPr>
              <w:widowControl w:val="0"/>
              <w:jc w:val="distribute"/>
              <w:rPr>
                <w:rFonts w:ascii="黑体" w:hAnsi="黑体" w:eastAsia="黑体" w:cs="华文中宋"/>
                <w:color w:val="auto"/>
                <w:sz w:val="28"/>
                <w:szCs w:val="28"/>
              </w:rPr>
            </w:pPr>
            <w:r>
              <w:rPr>
                <w:rFonts w:hint="eastAsia" w:ascii="黑体" w:hAnsi="黑体" w:eastAsia="黑体" w:cs="华文中宋"/>
                <w:color w:val="auto"/>
                <w:sz w:val="28"/>
                <w:szCs w:val="28"/>
              </w:rPr>
              <w:t>名称</w:t>
            </w:r>
          </w:p>
        </w:tc>
        <w:tc>
          <w:tcPr>
            <w:tcW w:w="7449" w:type="dxa"/>
            <w:vAlign w:val="center"/>
          </w:tcPr>
          <w:p w14:paraId="3D2FF994">
            <w:pPr>
              <w:widowControl w:val="0"/>
              <w:jc w:val="center"/>
              <w:rPr>
                <w:rFonts w:hint="eastAsia" w:ascii="仿宋" w:hAnsi="仿宋" w:eastAsia="仿宋" w:cs="华文中宋"/>
                <w:color w:val="auto"/>
                <w:sz w:val="30"/>
                <w:szCs w:val="30"/>
                <w:lang w:val="en-US" w:eastAsia="zh-CN"/>
              </w:rPr>
            </w:pPr>
            <w:r>
              <w:rPr>
                <w:rFonts w:hint="eastAsia" w:ascii="仿宋" w:hAnsi="仿宋" w:eastAsia="仿宋" w:cs="华文中宋"/>
                <w:color w:val="auto"/>
                <w:sz w:val="30"/>
                <w:szCs w:val="30"/>
                <w:lang w:val="en-US" w:eastAsia="zh-CN"/>
              </w:rPr>
              <w:t>石狮市殡葬服务所减免基本殡葬服务费专项</w:t>
            </w:r>
          </w:p>
          <w:p w14:paraId="5F817620">
            <w:pPr>
              <w:widowControl w:val="0"/>
              <w:jc w:val="center"/>
              <w:rPr>
                <w:rFonts w:hint="default" w:ascii="仿宋" w:hAnsi="仿宋" w:eastAsia="仿宋" w:cs="华文中宋"/>
                <w:color w:val="auto"/>
                <w:sz w:val="30"/>
                <w:szCs w:val="30"/>
                <w:lang w:val="en-US" w:eastAsia="zh-CN"/>
              </w:rPr>
            </w:pPr>
            <w:r>
              <w:rPr>
                <w:rFonts w:hint="eastAsia" w:ascii="仿宋" w:hAnsi="仿宋" w:eastAsia="仿宋" w:cs="华文中宋"/>
                <w:color w:val="auto"/>
                <w:sz w:val="30"/>
                <w:szCs w:val="30"/>
                <w:lang w:val="en-US" w:eastAsia="zh-CN"/>
              </w:rPr>
              <w:t>绩效评价报告</w:t>
            </w:r>
          </w:p>
        </w:tc>
      </w:tr>
      <w:tr w14:paraId="5900F3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4" w:hRule="atLeast"/>
          <w:jc w:val="center"/>
        </w:trPr>
        <w:tc>
          <w:tcPr>
            <w:tcW w:w="1073" w:type="dxa"/>
            <w:vAlign w:val="center"/>
          </w:tcPr>
          <w:p w14:paraId="72844DA5">
            <w:pPr>
              <w:widowControl w:val="0"/>
              <w:spacing w:line="300" w:lineRule="exact"/>
              <w:jc w:val="distribute"/>
              <w:rPr>
                <w:rFonts w:hint="eastAsia" w:ascii="黑体" w:hAnsi="黑体" w:eastAsia="黑体" w:cs="华文中宋"/>
                <w:color w:val="auto"/>
                <w:sz w:val="28"/>
                <w:szCs w:val="28"/>
              </w:rPr>
            </w:pPr>
            <w:r>
              <w:rPr>
                <w:rFonts w:hint="eastAsia" w:ascii="黑体" w:hAnsi="黑体" w:eastAsia="黑体" w:cs="华文中宋"/>
                <w:color w:val="auto"/>
                <w:sz w:val="28"/>
                <w:szCs w:val="28"/>
              </w:rPr>
              <w:t>编制</w:t>
            </w:r>
          </w:p>
          <w:p w14:paraId="541C4609">
            <w:pPr>
              <w:widowControl w:val="0"/>
              <w:spacing w:line="300" w:lineRule="exact"/>
              <w:jc w:val="distribute"/>
              <w:rPr>
                <w:rFonts w:hint="eastAsia" w:ascii="黑体" w:hAnsi="黑体" w:eastAsia="黑体" w:cs="华文中宋"/>
                <w:color w:val="auto"/>
                <w:sz w:val="28"/>
                <w:szCs w:val="28"/>
              </w:rPr>
            </w:pPr>
            <w:r>
              <w:rPr>
                <w:rFonts w:hint="eastAsia" w:ascii="黑体" w:hAnsi="黑体" w:eastAsia="黑体" w:cs="华文中宋"/>
                <w:color w:val="auto"/>
                <w:sz w:val="28"/>
                <w:szCs w:val="28"/>
              </w:rPr>
              <w:t>单位</w:t>
            </w:r>
          </w:p>
          <w:p w14:paraId="37F6D77C">
            <w:pPr>
              <w:widowControl w:val="0"/>
              <w:jc w:val="distribute"/>
              <w:rPr>
                <w:rFonts w:ascii="黑体" w:hAnsi="黑体" w:eastAsia="黑体" w:cs="华文中宋"/>
                <w:color w:val="auto"/>
                <w:szCs w:val="21"/>
              </w:rPr>
            </w:pPr>
            <w:r>
              <w:rPr>
                <w:rFonts w:hint="eastAsia" w:ascii="黑体" w:hAnsi="黑体" w:eastAsia="黑体" w:cs="华文中宋"/>
                <w:color w:val="auto"/>
                <w:szCs w:val="21"/>
              </w:rPr>
              <w:t>（盖章）</w:t>
            </w:r>
          </w:p>
        </w:tc>
        <w:tc>
          <w:tcPr>
            <w:tcW w:w="7449" w:type="dxa"/>
            <w:tcBorders>
              <w:bottom w:val="single" w:color="auto" w:sz="4" w:space="0"/>
            </w:tcBorders>
            <w:vAlign w:val="center"/>
          </w:tcPr>
          <w:p w14:paraId="7A18457D">
            <w:pPr>
              <w:widowControl w:val="0"/>
              <w:jc w:val="center"/>
              <w:rPr>
                <w:rFonts w:ascii="仿宋_GB2312" w:hAnsi="华文中宋" w:eastAsia="仿宋_GB2312" w:cs="华文中宋"/>
                <w:color w:val="auto"/>
                <w:sz w:val="32"/>
                <w:szCs w:val="32"/>
              </w:rPr>
            </w:pPr>
          </w:p>
        </w:tc>
      </w:tr>
      <w:tr w14:paraId="3009AF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6" w:hRule="atLeast"/>
          <w:jc w:val="center"/>
        </w:trPr>
        <w:tc>
          <w:tcPr>
            <w:tcW w:w="1073" w:type="dxa"/>
            <w:vAlign w:val="center"/>
          </w:tcPr>
          <w:p w14:paraId="5E9212CB">
            <w:pPr>
              <w:widowControl w:val="0"/>
              <w:jc w:val="distribute"/>
              <w:rPr>
                <w:rFonts w:hint="eastAsia" w:ascii="黑体" w:hAnsi="黑体" w:eastAsia="黑体" w:cs="华文中宋"/>
                <w:color w:val="auto"/>
                <w:sz w:val="28"/>
                <w:szCs w:val="28"/>
              </w:rPr>
            </w:pPr>
            <w:r>
              <w:rPr>
                <w:rFonts w:hint="eastAsia" w:ascii="黑体" w:hAnsi="黑体" w:eastAsia="黑体" w:cs="华文中宋"/>
                <w:color w:val="auto"/>
                <w:sz w:val="28"/>
                <w:szCs w:val="28"/>
                <w:lang w:val="en-US" w:eastAsia="zh-CN"/>
              </w:rPr>
              <w:t>主评人</w:t>
            </w:r>
          </w:p>
          <w:p w14:paraId="523D236F">
            <w:pPr>
              <w:widowControl w:val="0"/>
              <w:jc w:val="distribute"/>
              <w:rPr>
                <w:rFonts w:ascii="黑体" w:hAnsi="黑体" w:eastAsia="黑体" w:cs="华文中宋"/>
                <w:color w:val="auto"/>
                <w:szCs w:val="21"/>
              </w:rPr>
            </w:pPr>
            <w:r>
              <w:rPr>
                <w:rFonts w:hint="eastAsia" w:ascii="黑体" w:hAnsi="黑体" w:eastAsia="黑体" w:cs="华文中宋"/>
                <w:color w:val="auto"/>
                <w:szCs w:val="21"/>
              </w:rPr>
              <w:t>（签章）</w:t>
            </w:r>
          </w:p>
        </w:tc>
        <w:tc>
          <w:tcPr>
            <w:tcW w:w="7449" w:type="dxa"/>
            <w:tcBorders>
              <w:top w:val="single" w:color="auto" w:sz="4" w:space="0"/>
              <w:bottom w:val="single" w:color="auto" w:sz="4" w:space="0"/>
            </w:tcBorders>
            <w:vAlign w:val="center"/>
          </w:tcPr>
          <w:p w14:paraId="02EE6F74">
            <w:pPr>
              <w:widowControl w:val="0"/>
              <w:jc w:val="center"/>
              <w:rPr>
                <w:rFonts w:ascii="仿宋_GB2312" w:hAnsi="华文中宋" w:eastAsia="仿宋_GB2312" w:cs="华文中宋"/>
                <w:color w:val="auto"/>
                <w:sz w:val="32"/>
                <w:szCs w:val="32"/>
              </w:rPr>
            </w:pPr>
          </w:p>
        </w:tc>
      </w:tr>
      <w:tr w14:paraId="36E58F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52" w:hRule="atLeast"/>
          <w:jc w:val="center"/>
        </w:trPr>
        <w:tc>
          <w:tcPr>
            <w:tcW w:w="1073" w:type="dxa"/>
            <w:vAlign w:val="center"/>
          </w:tcPr>
          <w:p w14:paraId="75049262">
            <w:pPr>
              <w:widowControl w:val="0"/>
              <w:spacing w:line="300" w:lineRule="exact"/>
              <w:jc w:val="distribute"/>
              <w:rPr>
                <w:rFonts w:hint="eastAsia" w:ascii="黑体" w:hAnsi="黑体" w:eastAsia="黑体" w:cs="华文中宋"/>
                <w:color w:val="auto"/>
                <w:sz w:val="28"/>
                <w:szCs w:val="28"/>
              </w:rPr>
            </w:pPr>
            <w:r>
              <w:rPr>
                <w:rFonts w:hint="eastAsia" w:ascii="黑体" w:hAnsi="黑体" w:eastAsia="黑体" w:cs="华文中宋"/>
                <w:color w:val="auto"/>
                <w:sz w:val="28"/>
                <w:szCs w:val="28"/>
              </w:rPr>
              <w:t>编制</w:t>
            </w:r>
          </w:p>
          <w:p w14:paraId="16326B45">
            <w:pPr>
              <w:widowControl w:val="0"/>
              <w:jc w:val="distribute"/>
              <w:rPr>
                <w:rFonts w:hint="eastAsia" w:ascii="黑体" w:hAnsi="黑体" w:eastAsia="黑体" w:cs="华文中宋"/>
                <w:color w:val="auto"/>
                <w:szCs w:val="21"/>
              </w:rPr>
            </w:pPr>
            <w:r>
              <w:rPr>
                <w:rFonts w:hint="eastAsia" w:ascii="黑体" w:hAnsi="黑体" w:eastAsia="黑体" w:cs="华文中宋"/>
                <w:color w:val="auto"/>
                <w:sz w:val="28"/>
                <w:szCs w:val="28"/>
                <w:lang w:val="en-US" w:eastAsia="zh-CN"/>
              </w:rPr>
              <w:t>人员</w:t>
            </w:r>
            <w:r>
              <w:rPr>
                <w:rFonts w:hint="eastAsia" w:ascii="黑体" w:hAnsi="黑体" w:eastAsia="黑体" w:cs="华文中宋"/>
                <w:color w:val="auto"/>
                <w:szCs w:val="21"/>
              </w:rPr>
              <w:t>（签章）</w:t>
            </w:r>
          </w:p>
        </w:tc>
        <w:tc>
          <w:tcPr>
            <w:tcW w:w="7449" w:type="dxa"/>
            <w:tcBorders>
              <w:top w:val="single" w:color="auto" w:sz="4" w:space="0"/>
              <w:bottom w:val="single" w:color="auto" w:sz="4" w:space="0"/>
            </w:tcBorders>
            <w:vAlign w:val="center"/>
          </w:tcPr>
          <w:p w14:paraId="5C073717">
            <w:pPr>
              <w:widowControl w:val="0"/>
              <w:jc w:val="center"/>
              <w:rPr>
                <w:rFonts w:ascii="仿宋_GB2312" w:hAnsi="华文中宋" w:eastAsia="仿宋_GB2312" w:cs="华文中宋"/>
                <w:color w:val="auto"/>
                <w:sz w:val="32"/>
                <w:szCs w:val="32"/>
              </w:rPr>
            </w:pPr>
          </w:p>
        </w:tc>
      </w:tr>
      <w:tr w14:paraId="5499DD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04" w:hRule="atLeast"/>
          <w:jc w:val="center"/>
        </w:trPr>
        <w:tc>
          <w:tcPr>
            <w:tcW w:w="1073" w:type="dxa"/>
            <w:vAlign w:val="center"/>
          </w:tcPr>
          <w:p w14:paraId="79B25BCB">
            <w:pPr>
              <w:widowControl w:val="0"/>
              <w:jc w:val="distribute"/>
              <w:rPr>
                <w:rFonts w:ascii="黑体" w:hAnsi="黑体" w:eastAsia="黑体" w:cs="华文中宋"/>
                <w:color w:val="auto"/>
                <w:sz w:val="28"/>
                <w:szCs w:val="28"/>
              </w:rPr>
            </w:pPr>
            <w:r>
              <w:rPr>
                <w:rFonts w:hint="eastAsia" w:ascii="黑体" w:hAnsi="黑体" w:eastAsia="黑体" w:cs="华文中宋"/>
                <w:color w:val="auto"/>
                <w:sz w:val="28"/>
                <w:szCs w:val="28"/>
              </w:rPr>
              <w:t>校对人</w:t>
            </w:r>
            <w:r>
              <w:rPr>
                <w:rFonts w:hint="eastAsia" w:ascii="黑体" w:hAnsi="黑体" w:eastAsia="黑体" w:cs="华文中宋"/>
                <w:color w:val="auto"/>
                <w:szCs w:val="21"/>
              </w:rPr>
              <w:t>（签章）</w:t>
            </w:r>
          </w:p>
        </w:tc>
        <w:tc>
          <w:tcPr>
            <w:tcW w:w="7449" w:type="dxa"/>
            <w:tcBorders>
              <w:top w:val="single" w:color="auto" w:sz="4" w:space="0"/>
              <w:bottom w:val="single" w:color="auto" w:sz="4" w:space="0"/>
            </w:tcBorders>
            <w:vAlign w:val="center"/>
          </w:tcPr>
          <w:p w14:paraId="6DF37832">
            <w:pPr>
              <w:widowControl w:val="0"/>
              <w:jc w:val="center"/>
              <w:rPr>
                <w:rFonts w:ascii="仿宋_GB2312" w:hAnsi="华文中宋" w:eastAsia="仿宋_GB2312" w:cs="华文中宋"/>
                <w:color w:val="auto"/>
                <w:sz w:val="32"/>
                <w:szCs w:val="32"/>
              </w:rPr>
            </w:pPr>
          </w:p>
        </w:tc>
      </w:tr>
      <w:tr w14:paraId="4FC4DD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54" w:hRule="atLeast"/>
          <w:jc w:val="center"/>
        </w:trPr>
        <w:tc>
          <w:tcPr>
            <w:tcW w:w="1073" w:type="dxa"/>
            <w:vAlign w:val="center"/>
          </w:tcPr>
          <w:p w14:paraId="456B7598">
            <w:pPr>
              <w:widowControl w:val="0"/>
              <w:jc w:val="distribute"/>
              <w:rPr>
                <w:rFonts w:ascii="黑体" w:hAnsi="黑体" w:eastAsia="黑体" w:cs="华文中宋"/>
                <w:color w:val="auto"/>
                <w:sz w:val="28"/>
                <w:szCs w:val="28"/>
              </w:rPr>
            </w:pPr>
            <w:r>
              <w:rPr>
                <w:rFonts w:hint="eastAsia" w:ascii="黑体" w:hAnsi="黑体" w:eastAsia="黑体" w:cs="华文中宋"/>
                <w:color w:val="auto"/>
                <w:sz w:val="28"/>
                <w:szCs w:val="28"/>
                <w:lang w:val="en-US" w:eastAsia="zh-CN"/>
              </w:rPr>
              <w:t>复核人</w:t>
            </w:r>
            <w:r>
              <w:rPr>
                <w:rFonts w:hint="eastAsia" w:ascii="黑体" w:hAnsi="黑体" w:eastAsia="黑体" w:cs="华文中宋"/>
                <w:color w:val="auto"/>
                <w:szCs w:val="21"/>
              </w:rPr>
              <w:t>（签章）</w:t>
            </w:r>
          </w:p>
        </w:tc>
        <w:tc>
          <w:tcPr>
            <w:tcW w:w="7449" w:type="dxa"/>
            <w:tcBorders>
              <w:top w:val="single" w:color="auto" w:sz="4" w:space="0"/>
              <w:bottom w:val="single" w:color="auto" w:sz="4" w:space="0"/>
            </w:tcBorders>
            <w:vAlign w:val="center"/>
          </w:tcPr>
          <w:p w14:paraId="47401A7A">
            <w:pPr>
              <w:widowControl w:val="0"/>
              <w:jc w:val="center"/>
              <w:rPr>
                <w:rFonts w:ascii="仿宋_GB2312" w:hAnsi="华文中宋" w:eastAsia="仿宋_GB2312" w:cs="华文中宋"/>
                <w:color w:val="auto"/>
                <w:sz w:val="32"/>
                <w:szCs w:val="32"/>
              </w:rPr>
            </w:pPr>
          </w:p>
        </w:tc>
      </w:tr>
      <w:tr w14:paraId="30E638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7" w:hRule="atLeast"/>
          <w:jc w:val="center"/>
        </w:trPr>
        <w:tc>
          <w:tcPr>
            <w:tcW w:w="1073" w:type="dxa"/>
            <w:vAlign w:val="center"/>
          </w:tcPr>
          <w:p w14:paraId="49235D32">
            <w:pPr>
              <w:widowControl w:val="0"/>
              <w:jc w:val="center"/>
              <w:rPr>
                <w:rFonts w:ascii="黑体" w:hAnsi="黑体" w:eastAsia="黑体" w:cs="华文中宋"/>
                <w:color w:val="auto"/>
                <w:sz w:val="32"/>
                <w:szCs w:val="32"/>
              </w:rPr>
            </w:pPr>
            <w:r>
              <w:rPr>
                <w:rFonts w:hint="eastAsia" w:ascii="黑体" w:hAnsi="黑体" w:eastAsia="黑体" w:cs="华文中宋"/>
                <w:color w:val="auto"/>
                <w:sz w:val="32"/>
                <w:szCs w:val="32"/>
              </w:rPr>
              <w:t>时间</w:t>
            </w:r>
          </w:p>
        </w:tc>
        <w:tc>
          <w:tcPr>
            <w:tcW w:w="7449" w:type="dxa"/>
            <w:tcBorders>
              <w:top w:val="single" w:color="auto" w:sz="4" w:space="0"/>
            </w:tcBorders>
            <w:vAlign w:val="center"/>
          </w:tcPr>
          <w:p w14:paraId="7C290491">
            <w:pPr>
              <w:widowControl w:val="0"/>
              <w:jc w:val="center"/>
              <w:rPr>
                <w:rFonts w:ascii="仿宋" w:hAnsi="仿宋" w:eastAsia="仿宋" w:cs="华文中宋"/>
                <w:color w:val="auto"/>
                <w:sz w:val="32"/>
                <w:szCs w:val="32"/>
              </w:rPr>
            </w:pPr>
            <w:r>
              <w:rPr>
                <w:rFonts w:hint="eastAsia" w:ascii="仿宋" w:hAnsi="仿宋" w:eastAsia="仿宋" w:cs="华文中宋"/>
                <w:color w:val="auto"/>
                <w:sz w:val="32"/>
                <w:szCs w:val="32"/>
              </w:rPr>
              <w:t>202</w:t>
            </w:r>
            <w:r>
              <w:rPr>
                <w:rFonts w:hint="eastAsia" w:ascii="仿宋" w:hAnsi="仿宋" w:eastAsia="仿宋" w:cs="华文中宋"/>
                <w:color w:val="auto"/>
                <w:sz w:val="32"/>
                <w:szCs w:val="32"/>
                <w:lang w:val="en-US" w:eastAsia="zh-CN"/>
              </w:rPr>
              <w:t>5年8</w:t>
            </w:r>
            <w:r>
              <w:rPr>
                <w:rFonts w:hint="eastAsia" w:ascii="仿宋" w:hAnsi="仿宋" w:eastAsia="仿宋" w:cs="华文中宋"/>
                <w:color w:val="auto"/>
                <w:sz w:val="32"/>
                <w:szCs w:val="32"/>
              </w:rPr>
              <w:t>月</w:t>
            </w:r>
          </w:p>
        </w:tc>
      </w:tr>
    </w:tbl>
    <w:p w14:paraId="794EC3EF">
      <w:pPr>
        <w:rPr>
          <w:rFonts w:hint="default"/>
          <w:lang w:val="en-US" w:eastAsia="zh-CN"/>
        </w:rPr>
      </w:pPr>
    </w:p>
    <w:p w14:paraId="4EDE8473">
      <w:pPr>
        <w:rPr>
          <w:rFonts w:hint="default"/>
          <w:lang w:val="en-US" w:eastAsia="zh-CN"/>
        </w:rPr>
        <w:sectPr>
          <w:headerReference r:id="rId17" w:type="default"/>
          <w:headerReference r:id="rId18" w:type="even"/>
          <w:pgSz w:w="11906" w:h="16838"/>
          <w:pgMar w:top="1417" w:right="1474" w:bottom="1417" w:left="1587"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03FA92E9">
      <w:pPr>
        <w:keepNext w:val="0"/>
        <w:keepLines w:val="0"/>
        <w:pageBreakBefore w:val="0"/>
        <w:widowControl w:val="0"/>
        <w:kinsoku/>
        <w:wordWrap/>
        <w:overflowPunct/>
        <w:topLinePunct w:val="0"/>
        <w:autoSpaceDE/>
        <w:autoSpaceDN/>
        <w:bidi w:val="0"/>
        <w:adjustRightInd/>
        <w:snapToGrid/>
        <w:textAlignment w:val="auto"/>
        <w:outlineLvl w:val="0"/>
        <w:rPr>
          <w:rFonts w:hint="default" w:ascii="仿宋_GB2312" w:hAnsi="仿宋_GB2312" w:eastAsia="仿宋_GB2312" w:cs="仿宋_GB2312"/>
          <w:b/>
          <w:bCs/>
          <w:color w:val="auto"/>
          <w:kern w:val="2"/>
          <w:sz w:val="32"/>
          <w:szCs w:val="32"/>
          <w:highlight w:val="none"/>
          <w:lang w:val="en-US" w:eastAsia="zh-CN" w:bidi="ar-SA"/>
        </w:rPr>
      </w:pPr>
      <w:bookmarkStart w:id="260" w:name="_Toc16580"/>
      <w:r>
        <w:rPr>
          <w:rFonts w:hint="eastAsia" w:ascii="仿宋_GB2312" w:hAnsi="仿宋_GB2312" w:eastAsia="仿宋_GB2312" w:cs="仿宋_GB2312"/>
          <w:b/>
          <w:bCs/>
          <w:color w:val="auto"/>
          <w:kern w:val="2"/>
          <w:sz w:val="32"/>
          <w:szCs w:val="32"/>
          <w:highlight w:val="none"/>
          <w:lang w:val="en-US" w:eastAsia="zh-CN" w:bidi="ar-SA"/>
        </w:rPr>
        <w:t>附件4 编制单位营业执照</w:t>
      </w:r>
      <w:bookmarkEnd w:id="260"/>
    </w:p>
    <w:p w14:paraId="56EC066C">
      <w:pPr>
        <w:rPr>
          <w:rFonts w:hint="default"/>
          <w:lang w:val="en-US" w:eastAsia="zh-CN"/>
        </w:rPr>
      </w:pPr>
      <w:r>
        <w:rPr>
          <w:rFonts w:hint="eastAsia" w:eastAsia="黑体"/>
          <w:lang w:eastAsia="zh-CN"/>
        </w:rPr>
        <w:drawing>
          <wp:anchor distT="0" distB="0" distL="114300" distR="114300" simplePos="0" relativeHeight="251662336" behindDoc="0" locked="0" layoutInCell="1" allowOverlap="1">
            <wp:simplePos x="0" y="0"/>
            <wp:positionH relativeFrom="column">
              <wp:posOffset>-1290320</wp:posOffset>
            </wp:positionH>
            <wp:positionV relativeFrom="paragraph">
              <wp:posOffset>1507490</wp:posOffset>
            </wp:positionV>
            <wp:extent cx="7505065" cy="5309870"/>
            <wp:effectExtent l="0" t="0" r="5080" b="635"/>
            <wp:wrapSquare wrapText="bothSides"/>
            <wp:docPr id="11" name="图片 11" descr="2b3d139fc160ef5342389a9ad11ef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b3d139fc160ef5342389a9ad11ef27"/>
                    <pic:cNvPicPr>
                      <a:picLocks noChangeAspect="1"/>
                    </pic:cNvPicPr>
                  </pic:nvPicPr>
                  <pic:blipFill>
                    <a:blip r:embed="rId25"/>
                    <a:stretch>
                      <a:fillRect/>
                    </a:stretch>
                  </pic:blipFill>
                  <pic:spPr>
                    <a:xfrm rot="16200000">
                      <a:off x="0" y="0"/>
                      <a:ext cx="7505065" cy="5309870"/>
                    </a:xfrm>
                    <a:prstGeom prst="rect">
                      <a:avLst/>
                    </a:prstGeom>
                  </pic:spPr>
                </pic:pic>
              </a:graphicData>
            </a:graphic>
          </wp:anchor>
        </w:drawing>
      </w:r>
    </w:p>
    <w:p w14:paraId="0153E85C">
      <w:pPr>
        <w:pageBreakBefore w:val="0"/>
        <w:widowControl w:val="0"/>
        <w:kinsoku/>
        <w:wordWrap/>
        <w:topLinePunct w:val="0"/>
        <w:bidi w:val="0"/>
        <w:snapToGrid/>
        <w:rPr>
          <w:rFonts w:hint="default"/>
          <w:color w:val="auto"/>
          <w:highlight w:val="none"/>
          <w:lang w:val="en-US" w:eastAsia="zh-CN"/>
        </w:rPr>
      </w:pPr>
    </w:p>
    <w:sectPr>
      <w:headerReference r:id="rId19" w:type="default"/>
      <w:footerReference r:id="rId21" w:type="default"/>
      <w:headerReference r:id="rId20" w:type="even"/>
      <w:pgSz w:w="11906" w:h="16838"/>
      <w:pgMar w:top="1417" w:right="1587" w:bottom="1417" w:left="1474"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embedRegular r:id="rId1" w:fontKey="{D25F135D-9D7C-4642-8047-2B69C8AFD3AB}"/>
  </w:font>
  <w:font w:name="黑体">
    <w:panose1 w:val="02010609060101010101"/>
    <w:charset w:val="86"/>
    <w:family w:val="auto"/>
    <w:pitch w:val="default"/>
    <w:sig w:usb0="800002BF" w:usb1="38CF7CFA" w:usb2="00000016" w:usb3="00000000" w:csb0="00040001" w:csb1="00000000"/>
    <w:embedRegular r:id="rId2" w:fontKey="{23B804A2-D969-4F20-B679-D9B9E8D8C85A}"/>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
    <w:panose1 w:val="02010609060101010101"/>
    <w:charset w:val="86"/>
    <w:family w:val="auto"/>
    <w:pitch w:val="default"/>
    <w:sig w:usb0="800002BF" w:usb1="38CF7CFA" w:usb2="00000016" w:usb3="00000000" w:csb0="00040001" w:csb1="00000000"/>
    <w:embedRegular r:id="rId3" w:fontKey="{FDB9FCD6-2808-49B2-89D8-66685CE692A9}"/>
  </w:font>
  <w:font w:name="Calibri Light">
    <w:altName w:val="Calibri"/>
    <w:panose1 w:val="020F0302020204030204"/>
    <w:charset w:val="00"/>
    <w:family w:val="swiss"/>
    <w:pitch w:val="default"/>
    <w:sig w:usb0="00000000" w:usb1="00000000" w:usb2="00000009" w:usb3="00000000" w:csb0="200001FF" w:csb1="00000000"/>
  </w:font>
  <w:font w:name="Cambria">
    <w:panose1 w:val="02040503050406030204"/>
    <w:charset w:val="00"/>
    <w:family w:val="auto"/>
    <w:pitch w:val="default"/>
    <w:sig w:usb0="E00002FF" w:usb1="400004FF" w:usb2="00000000" w:usb3="00000000" w:csb0="2000019F" w:csb1="00000000"/>
  </w:font>
  <w:font w:name="方正小标宋简体">
    <w:panose1 w:val="03000509000000000000"/>
    <w:charset w:val="86"/>
    <w:family w:val="auto"/>
    <w:pitch w:val="default"/>
    <w:sig w:usb0="00000001" w:usb1="080E0000" w:usb2="00000000" w:usb3="00000000" w:csb0="00040000" w:csb1="00000000"/>
    <w:embedRegular r:id="rId4" w:fontKey="{24EF6303-CB26-4517-A705-366642F3F65B}"/>
  </w:font>
  <w:font w:name="方正粗黑宋简体">
    <w:panose1 w:val="02000000000000000000"/>
    <w:charset w:val="86"/>
    <w:family w:val="auto"/>
    <w:pitch w:val="default"/>
    <w:sig w:usb0="A00002BF" w:usb1="184F6CFA" w:usb2="00000012" w:usb3="00000000" w:csb0="00040001" w:csb1="00000000"/>
    <w:embedRegular r:id="rId5" w:fontKey="{351FC720-CE90-4B3D-BA08-E64B1D4F8707}"/>
  </w:font>
  <w:font w:name="仿宋_GB2312">
    <w:panose1 w:val="02010609030101010101"/>
    <w:charset w:val="86"/>
    <w:family w:val="modern"/>
    <w:pitch w:val="default"/>
    <w:sig w:usb0="00000001" w:usb1="080E0000" w:usb2="00000000" w:usb3="00000000" w:csb0="00040000" w:csb1="00000000"/>
    <w:embedRegular r:id="rId6" w:fontKey="{74A4D478-AB10-4DA3-9938-6BED8AD2CD6E}"/>
  </w:font>
  <w:font w:name="楷体_GB2312">
    <w:panose1 w:val="02010609030101010101"/>
    <w:charset w:val="86"/>
    <w:family w:val="modern"/>
    <w:pitch w:val="default"/>
    <w:sig w:usb0="00000001" w:usb1="080E0000" w:usb2="00000000" w:usb3="00000000" w:csb0="00040000" w:csb1="00000000"/>
    <w:embedRegular r:id="rId7" w:fontKey="{F5BEC55E-E6B8-4687-B2EF-4F33529B49C8}"/>
  </w:font>
  <w:font w:name="华文中宋">
    <w:panose1 w:val="02010600040101010101"/>
    <w:charset w:val="86"/>
    <w:family w:val="auto"/>
    <w:pitch w:val="default"/>
    <w:sig w:usb0="00000287" w:usb1="080F0000" w:usb2="00000000" w:usb3="00000000" w:csb0="0004009F" w:csb1="DFD70000"/>
    <w:embedRegular r:id="rId8" w:fontKey="{95AB5658-C75D-4BB4-B0D0-5CA311173515}"/>
  </w:font>
  <w:font w:name="方正仿宋_GB2312">
    <w:panose1 w:val="02000000000000000000"/>
    <w:charset w:val="86"/>
    <w:family w:val="auto"/>
    <w:pitch w:val="default"/>
    <w:sig w:usb0="A00002BF" w:usb1="184F6CFA" w:usb2="00000012" w:usb3="00000000" w:csb0="00040001" w:csb1="00000000"/>
    <w:embedRegular r:id="rId9" w:fontKey="{0B2B44B2-33A2-479F-851C-0D41556C6E33}"/>
  </w:font>
  <w:font w:name="WPSEMBED1">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A85630">
    <w:pPr>
      <w:pStyle w:val="10"/>
      <w:jc w:val="center"/>
      <w:rPr>
        <w:rFonts w:hint="default" w:eastAsiaTheme="minorEastAsia"/>
        <w:lang w:val="en-US" w:eastAsia="zh-C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706DF3">
    <w:pPr>
      <w:pStyle w:val="10"/>
      <w:ind w:firstLine="36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45935E">
                          <w:pPr>
                            <w:pStyle w:val="10"/>
                          </w:pPr>
                          <w:r>
                            <w:fldChar w:fldCharType="begin"/>
                          </w:r>
                          <w:r>
                            <w:instrText xml:space="preserve"> PAGE  \* MERGEFORMAT </w:instrText>
                          </w:r>
                          <w:r>
                            <w:fldChar w:fldCharType="separate"/>
                          </w:r>
                          <w:r>
                            <w:t>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6945935E">
                    <w:pPr>
                      <w:pStyle w:val="10"/>
                    </w:pPr>
                    <w:r>
                      <w:fldChar w:fldCharType="begin"/>
                    </w:r>
                    <w:r>
                      <w:instrText xml:space="preserve"> PAGE  \* MERGEFORMAT </w:instrText>
                    </w:r>
                    <w:r>
                      <w:fldChar w:fldCharType="separate"/>
                    </w:r>
                    <w:r>
                      <w:t>5</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198A1B">
    <w:pPr>
      <w:pStyle w:val="10"/>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438BBD">
                          <w:pPr>
                            <w:pStyle w:val="10"/>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3B438BBD">
                    <w:pPr>
                      <w:pStyle w:val="10"/>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A2A092">
    <w:pPr>
      <w:pStyle w:val="10"/>
      <w:jc w:val="center"/>
      <w:rPr>
        <w:rFonts w:hint="default" w:eastAsia="宋体"/>
        <w:lang w:val="en-US" w:eastAsia="zh-CN"/>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88405F">
                          <w:pPr>
                            <w:pStyle w:val="1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0988405F">
                    <w:pPr>
                      <w:pStyle w:val="1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065F15">
    <w:pPr>
      <w:pStyle w:val="10"/>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3AAEFF">
                          <w:pPr>
                            <w:pStyle w:val="10"/>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3C3AAEFF">
                    <w:pPr>
                      <w:pStyle w:val="10"/>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D2789A">
    <w:pPr>
      <w:pStyle w:val="10"/>
      <w:jc w:val="center"/>
      <w:rPr>
        <w:rFonts w:hint="default" w:eastAsia="宋体"/>
        <w:lang w:val="en-US" w:eastAsia="zh-CN"/>
      </w:rP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103F7B7">
                          <w:pPr>
                            <w:pStyle w:val="10"/>
                          </w:pPr>
                          <w:r>
                            <w:fldChar w:fldCharType="begin"/>
                          </w:r>
                          <w:r>
                            <w:instrText xml:space="preserve"> PAGE  \* MERGEFORMAT </w:instrText>
                          </w:r>
                          <w:r>
                            <w:fldChar w:fldCharType="separate"/>
                          </w:r>
                          <w:r>
                            <w:t>35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4103F7B7">
                    <w:pPr>
                      <w:pStyle w:val="10"/>
                    </w:pPr>
                    <w:r>
                      <w:fldChar w:fldCharType="begin"/>
                    </w:r>
                    <w:r>
                      <w:instrText xml:space="preserve"> PAGE  \* MERGEFORMAT </w:instrText>
                    </w:r>
                    <w:r>
                      <w:fldChar w:fldCharType="separate"/>
                    </w:r>
                    <w:r>
                      <w:t>35</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0C839F">
    <w:pPr>
      <w:pStyle w:val="11"/>
      <w:jc w:val="center"/>
      <w:rPr>
        <w:rFonts w:hint="default" w:eastAsiaTheme="minorEastAsia"/>
        <w:lang w:val="en-US" w:eastAsia="zh-CN"/>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3ECB33">
    <w:pPr>
      <w:pStyle w:val="11"/>
      <w:pBdr>
        <w:bottom w:val="single" w:color="auto" w:sz="4" w:space="1"/>
      </w:pBdr>
      <w:jc w:val="right"/>
      <w:rPr>
        <w:rFonts w:hint="default" w:eastAsiaTheme="minorEastAsia"/>
        <w:lang w:val="en-US" w:eastAsia="zh-CN"/>
      </w:rPr>
    </w:pPr>
    <w:r>
      <w:rPr>
        <w:rFonts w:hint="eastAsia"/>
        <w:b/>
        <w:bCs/>
        <w:sz w:val="18"/>
        <w:szCs w:val="18"/>
      </w:rPr>
      <w:drawing>
        <wp:anchor distT="0" distB="0" distL="114300" distR="114300" simplePos="0" relativeHeight="251661312" behindDoc="0" locked="0" layoutInCell="1" allowOverlap="1">
          <wp:simplePos x="0" y="0"/>
          <wp:positionH relativeFrom="column">
            <wp:posOffset>5621655</wp:posOffset>
          </wp:positionH>
          <wp:positionV relativeFrom="paragraph">
            <wp:posOffset>-133985</wp:posOffset>
          </wp:positionV>
          <wp:extent cx="314325" cy="306705"/>
          <wp:effectExtent l="0" t="0" r="9525" b="17145"/>
          <wp:wrapSquare wrapText="bothSides"/>
          <wp:docPr id="20" name="图片 20"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ASUS\AppData\Local\Temp\WeChat Files\f186046fc3a4df704901618a4b76ec6.png"/>
                  <pic:cNvPicPr>
                    <a:picLocks noChangeAspect="1" noChangeArrowheads="1"/>
                  </pic:cNvPicPr>
                </pic:nvPicPr>
                <pic:blipFill>
                  <a:blip r:embed="rId1"/>
                  <a:srcRect/>
                  <a:stretch>
                    <a:fillRect/>
                  </a:stretch>
                </pic:blipFill>
                <pic:spPr>
                  <a:xfrm>
                    <a:off x="6473825" y="466725"/>
                    <a:ext cx="314325" cy="306705"/>
                  </a:xfrm>
                  <a:prstGeom prst="rect">
                    <a:avLst/>
                  </a:prstGeom>
                  <a:noFill/>
                  <a:ln w="9525" cmpd="sng">
                    <a:noFill/>
                    <a:miter lim="800000"/>
                    <a:headEnd/>
                    <a:tailEnd/>
                  </a:ln>
                  <a:effectLst/>
                </pic:spPr>
              </pic:pic>
            </a:graphicData>
          </a:graphic>
        </wp:anchor>
      </w:drawing>
    </w:r>
    <w:r>
      <w:rPr>
        <w:rFonts w:hint="eastAsia"/>
        <w:lang w:val="en-US" w:eastAsia="zh-CN"/>
      </w:rPr>
      <w:t>泉州市招标咨询中心有限公司</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3F0AF1">
    <w:pPr>
      <w:pStyle w:val="11"/>
      <w:pBdr>
        <w:bottom w:val="single" w:color="auto" w:sz="4" w:space="1"/>
      </w:pBdr>
      <w:jc w:val="right"/>
      <w:rPr>
        <w:rFonts w:hint="default" w:eastAsiaTheme="minorEastAsia"/>
        <w:lang w:val="en-US" w:eastAsia="zh-CN"/>
      </w:rPr>
    </w:pPr>
    <w:r>
      <w:rPr>
        <w:rFonts w:hint="eastAsia"/>
        <w:b/>
        <w:bCs/>
        <w:sz w:val="18"/>
        <w:szCs w:val="18"/>
      </w:rPr>
      <w:drawing>
        <wp:anchor distT="0" distB="0" distL="114300" distR="114300" simplePos="0" relativeHeight="251670528" behindDoc="0" locked="0" layoutInCell="1" allowOverlap="1">
          <wp:simplePos x="0" y="0"/>
          <wp:positionH relativeFrom="column">
            <wp:posOffset>5657215</wp:posOffset>
          </wp:positionH>
          <wp:positionV relativeFrom="paragraph">
            <wp:posOffset>-100330</wp:posOffset>
          </wp:positionV>
          <wp:extent cx="314325" cy="306705"/>
          <wp:effectExtent l="0" t="0" r="9525" b="17145"/>
          <wp:wrapSquare wrapText="bothSides"/>
          <wp:docPr id="9" name="图片 9"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ASUS\AppData\Local\Temp\WeChat Files\f186046fc3a4df704901618a4b76ec6.png"/>
                  <pic:cNvPicPr>
                    <a:picLocks noChangeAspect="1" noChangeArrowheads="1"/>
                  </pic:cNvPicPr>
                </pic:nvPicPr>
                <pic:blipFill>
                  <a:blip r:embed="rId1"/>
                  <a:srcRect/>
                  <a:stretch>
                    <a:fillRect/>
                  </a:stretch>
                </pic:blipFill>
                <pic:spPr>
                  <a:xfrm>
                    <a:off x="6473825" y="466725"/>
                    <a:ext cx="314325" cy="306705"/>
                  </a:xfrm>
                  <a:prstGeom prst="rect">
                    <a:avLst/>
                  </a:prstGeom>
                  <a:noFill/>
                  <a:ln w="9525" cmpd="sng">
                    <a:noFill/>
                    <a:miter lim="800000"/>
                    <a:headEnd/>
                    <a:tailEnd/>
                  </a:ln>
                  <a:effectLst/>
                </pic:spPr>
              </pic:pic>
            </a:graphicData>
          </a:graphic>
        </wp:anchor>
      </w:drawing>
    </w:r>
    <w:r>
      <w:rPr>
        <w:rFonts w:hint="eastAsia"/>
        <w:lang w:val="en-US" w:eastAsia="zh-CN"/>
      </w:rPr>
      <w:t>泉州市招标咨询中心有限公司</w:t>
    </w:r>
  </w:p>
  <w:p w14:paraId="42566171">
    <w:pPr>
      <w:pStyle w:val="11"/>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D85265">
    <w:pPr>
      <w:pStyle w:val="11"/>
      <w:pBdr>
        <w:bottom w:val="single" w:color="auto" w:sz="4" w:space="1"/>
      </w:pBdr>
      <w:jc w:val="right"/>
      <w:rPr>
        <w:rFonts w:hint="default" w:eastAsia="宋体"/>
        <w:lang w:val="en-US" w:eastAsia="zh-CN"/>
      </w:rPr>
    </w:pPr>
    <w:r>
      <w:rPr>
        <w:rFonts w:hint="eastAsia"/>
        <w:b/>
        <w:bCs/>
        <w:sz w:val="18"/>
        <w:szCs w:val="18"/>
      </w:rPr>
      <w:drawing>
        <wp:anchor distT="0" distB="0" distL="114300" distR="114300" simplePos="0" relativeHeight="251659264" behindDoc="0" locked="0" layoutInCell="1" allowOverlap="1">
          <wp:simplePos x="0" y="0"/>
          <wp:positionH relativeFrom="column">
            <wp:posOffset>5671820</wp:posOffset>
          </wp:positionH>
          <wp:positionV relativeFrom="paragraph">
            <wp:posOffset>-70485</wp:posOffset>
          </wp:positionV>
          <wp:extent cx="314325" cy="306705"/>
          <wp:effectExtent l="0" t="0" r="3175" b="10795"/>
          <wp:wrapSquare wrapText="bothSides"/>
          <wp:docPr id="4101" name="图片 7" descr="C:\Users\ASUS\AppData\Local\Temp\WeChat Files\f186046fc3a4df704901618a4b76ec6.png"/>
          <wp:cNvGraphicFramePr/>
          <a:graphic xmlns:a="http://schemas.openxmlformats.org/drawingml/2006/main">
            <a:graphicData uri="http://schemas.openxmlformats.org/drawingml/2006/picture">
              <pic:pic xmlns:pic="http://schemas.openxmlformats.org/drawingml/2006/picture">
                <pic:nvPicPr>
                  <pic:cNvPr id="4101" name="图片 7" descr="C:\Users\ASUS\AppData\Local\Temp\WeChat Files\f186046fc3a4df704901618a4b76ec6.png"/>
                  <pic:cNvPicPr/>
                </pic:nvPicPr>
                <pic:blipFill>
                  <a:blip r:embed="rId1" cstate="print"/>
                  <a:srcRect/>
                  <a:stretch>
                    <a:fillRect/>
                  </a:stretch>
                </pic:blipFill>
                <pic:spPr>
                  <a:xfrm>
                    <a:off x="0" y="0"/>
                    <a:ext cx="314325" cy="306705"/>
                  </a:xfrm>
                  <a:prstGeom prst="rect">
                    <a:avLst/>
                  </a:prstGeom>
                  <a:ln>
                    <a:noFill/>
                  </a:ln>
                </pic:spPr>
              </pic:pic>
            </a:graphicData>
          </a:graphic>
        </wp:anchor>
      </w:drawing>
    </w:r>
    <w:r>
      <w:rPr>
        <w:rFonts w:hint="eastAsia"/>
        <w:lang w:val="en-US" w:eastAsia="zh-CN"/>
      </w:rPr>
      <w:t>泉州市招标咨询中心有限公司</w:t>
    </w:r>
  </w:p>
  <w:p w14:paraId="5D887DEE">
    <w:pPr>
      <w:pStyle w:val="11"/>
      <w:rPr>
        <w:rFonts w:hint="default"/>
        <w:lang w:val="en-US" w:eastAsia="zh-CN"/>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31AEF6">
    <w:pPr>
      <w:pStyle w:val="11"/>
      <w:pBdr>
        <w:bottom w:val="single" w:color="auto" w:sz="4" w:space="1"/>
      </w:pBdr>
      <w:jc w:val="right"/>
      <w:rPr>
        <w:rFonts w:hint="default" w:eastAsia="宋体"/>
        <w:lang w:val="en-US" w:eastAsia="zh-CN"/>
      </w:rPr>
    </w:pPr>
    <w:r>
      <w:rPr>
        <w:rFonts w:hint="eastAsia"/>
        <w:b/>
        <w:bCs/>
        <w:sz w:val="18"/>
        <w:szCs w:val="18"/>
      </w:rPr>
      <w:drawing>
        <wp:anchor distT="0" distB="0" distL="114300" distR="114300" simplePos="0" relativeHeight="251668480" behindDoc="1" locked="0" layoutInCell="1" allowOverlap="1">
          <wp:simplePos x="0" y="0"/>
          <wp:positionH relativeFrom="column">
            <wp:posOffset>5633720</wp:posOffset>
          </wp:positionH>
          <wp:positionV relativeFrom="paragraph">
            <wp:posOffset>-104140</wp:posOffset>
          </wp:positionV>
          <wp:extent cx="314325" cy="329565"/>
          <wp:effectExtent l="0" t="0" r="9525" b="13335"/>
          <wp:wrapTight wrapText="bothSides">
            <wp:wrapPolygon>
              <wp:start x="0" y="0"/>
              <wp:lineTo x="0" y="20643"/>
              <wp:lineTo x="20247" y="20643"/>
              <wp:lineTo x="20247" y="0"/>
              <wp:lineTo x="0" y="0"/>
            </wp:wrapPolygon>
          </wp:wrapTight>
          <wp:docPr id="4" name="图片 8" descr="C:\Users\ASUS\AppData\Local\Temp\WeChat Files\f186046fc3a4df704901618a4b76ec6.png"/>
          <wp:cNvGraphicFramePr/>
          <a:graphic xmlns:a="http://schemas.openxmlformats.org/drawingml/2006/main">
            <a:graphicData uri="http://schemas.openxmlformats.org/drawingml/2006/picture">
              <pic:pic xmlns:pic="http://schemas.openxmlformats.org/drawingml/2006/picture">
                <pic:nvPicPr>
                  <pic:cNvPr id="4" name="图片 8" descr="C:\Users\ASUS\AppData\Local\Temp\WeChat Files\f186046fc3a4df704901618a4b76ec6.png"/>
                  <pic:cNvPicPr/>
                </pic:nvPicPr>
                <pic:blipFill>
                  <a:blip r:embed="rId1" cstate="print"/>
                  <a:srcRect/>
                  <a:stretch>
                    <a:fillRect/>
                  </a:stretch>
                </pic:blipFill>
                <pic:spPr>
                  <a:xfrm>
                    <a:off x="0" y="0"/>
                    <a:ext cx="314325" cy="329565"/>
                  </a:xfrm>
                  <a:prstGeom prst="rect">
                    <a:avLst/>
                  </a:prstGeom>
                  <a:ln>
                    <a:noFill/>
                  </a:ln>
                </pic:spPr>
              </pic:pic>
            </a:graphicData>
          </a:graphic>
        </wp:anchor>
      </w:drawing>
    </w:r>
    <w:r>
      <w:rPr>
        <w:rFonts w:hint="eastAsia"/>
        <w:lang w:eastAsia="zh-CN"/>
      </w:rPr>
      <w:tab/>
    </w:r>
    <w:r>
      <w:rPr>
        <w:rFonts w:hint="eastAsia"/>
        <w:lang w:val="en-US" w:eastAsia="zh-CN"/>
      </w:rPr>
      <w:t>泉州市招标咨询中心有限公司</w:t>
    </w:r>
  </w:p>
  <w:p w14:paraId="5A5FE524">
    <w:pPr>
      <w:pStyle w:val="11"/>
      <w:tabs>
        <w:tab w:val="left" w:pos="8060"/>
        <w:tab w:val="clear" w:pos="4153"/>
      </w:tabs>
      <w:rPr>
        <w:rFonts w:hint="eastAsia" w:eastAsia="宋体"/>
        <w:lang w:eastAsia="zh-CN"/>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94655">
    <w:pPr>
      <w:pStyle w:val="11"/>
      <w:pBdr>
        <w:bottom w:val="single" w:color="auto" w:sz="4" w:space="1"/>
      </w:pBdr>
      <w:jc w:val="right"/>
      <w:rPr>
        <w:rFonts w:hint="default" w:eastAsia="宋体"/>
        <w:lang w:val="en-US" w:eastAsia="zh-CN"/>
      </w:rPr>
    </w:pPr>
    <w:r>
      <w:rPr>
        <w:rFonts w:hint="eastAsia"/>
        <w:lang w:eastAsia="zh-CN"/>
      </w:rPr>
      <w:tab/>
    </w:r>
    <w:r>
      <w:rPr>
        <w:rFonts w:hint="eastAsia"/>
        <w:b/>
        <w:bCs/>
        <w:sz w:val="18"/>
        <w:szCs w:val="18"/>
      </w:rPr>
      <w:drawing>
        <wp:anchor distT="0" distB="0" distL="114300" distR="114300" simplePos="0" relativeHeight="251662336" behindDoc="0" locked="0" layoutInCell="1" allowOverlap="1">
          <wp:simplePos x="0" y="0"/>
          <wp:positionH relativeFrom="column">
            <wp:posOffset>5642610</wp:posOffset>
          </wp:positionH>
          <wp:positionV relativeFrom="paragraph">
            <wp:posOffset>-106045</wp:posOffset>
          </wp:positionV>
          <wp:extent cx="314325" cy="306705"/>
          <wp:effectExtent l="0" t="0" r="9525" b="17145"/>
          <wp:wrapSquare wrapText="bothSides"/>
          <wp:docPr id="2" name="图片 8" descr="C:\Users\ASUS\AppData\Local\Temp\WeChat Files\f186046fc3a4df704901618a4b76ec6.png"/>
          <wp:cNvGraphicFramePr/>
          <a:graphic xmlns:a="http://schemas.openxmlformats.org/drawingml/2006/main">
            <a:graphicData uri="http://schemas.openxmlformats.org/drawingml/2006/picture">
              <pic:pic xmlns:pic="http://schemas.openxmlformats.org/drawingml/2006/picture">
                <pic:nvPicPr>
                  <pic:cNvPr id="2" name="图片 8" descr="C:\Users\ASUS\AppData\Local\Temp\WeChat Files\f186046fc3a4df704901618a4b76ec6.png"/>
                  <pic:cNvPicPr/>
                </pic:nvPicPr>
                <pic:blipFill>
                  <a:blip r:embed="rId1" cstate="print"/>
                  <a:srcRect/>
                  <a:stretch>
                    <a:fillRect/>
                  </a:stretch>
                </pic:blipFill>
                <pic:spPr>
                  <a:xfrm>
                    <a:off x="0" y="0"/>
                    <a:ext cx="314325" cy="306705"/>
                  </a:xfrm>
                  <a:prstGeom prst="rect">
                    <a:avLst/>
                  </a:prstGeom>
                  <a:ln>
                    <a:noFill/>
                  </a:ln>
                </pic:spPr>
              </pic:pic>
            </a:graphicData>
          </a:graphic>
        </wp:anchor>
      </w:drawing>
    </w:r>
    <w:r>
      <w:rPr>
        <w:rFonts w:hint="eastAsia"/>
        <w:lang w:val="en-US" w:eastAsia="zh-CN"/>
      </w:rPr>
      <w:t>泉州市招标咨询中心有限公司</w:t>
    </w:r>
  </w:p>
  <w:p w14:paraId="09DB3500">
    <w:pPr>
      <w:pStyle w:val="11"/>
      <w:tabs>
        <w:tab w:val="left" w:pos="8060"/>
        <w:tab w:val="clear" w:pos="4153"/>
      </w:tabs>
      <w:rPr>
        <w:rFonts w:hint="eastAsia"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FC2269">
    <w:pPr>
      <w:pStyle w:val="11"/>
      <w:rPr>
        <w:rFonts w:hint="eastAsia"/>
        <w:lang w:eastAsia="zh-CN"/>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9DE111">
    <w:pPr>
      <w:pStyle w:val="11"/>
      <w:pBdr>
        <w:top w:val="none" w:color="auto" w:sz="0" w:space="0"/>
        <w:left w:val="none" w:color="auto" w:sz="0" w:space="0"/>
        <w:bottom w:val="none" w:color="auto" w:sz="0" w:space="0"/>
        <w:right w:val="none" w:color="auto" w:sz="0" w:space="0"/>
        <w:between w:val="none" w:color="auto" w:sz="0" w:space="0"/>
      </w:pBd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F6782A">
    <w:pPr>
      <w:pStyle w:val="11"/>
      <w:tabs>
        <w:tab w:val="left" w:pos="8060"/>
        <w:tab w:val="clear" w:pos="4153"/>
      </w:tabs>
      <w:rPr>
        <w:rFonts w:hint="eastAsia" w:eastAsia="宋体"/>
        <w:lang w:eastAsia="zh-CN"/>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D9E9AD">
    <w:pPr>
      <w:pStyle w:val="11"/>
      <w:pBdr>
        <w:bottom w:val="single" w:color="auto" w:sz="4" w:space="1"/>
      </w:pBdr>
      <w:jc w:val="right"/>
      <w:rPr>
        <w:rFonts w:hint="default" w:eastAsia="宋体"/>
        <w:lang w:val="en-US" w:eastAsia="zh-CN"/>
      </w:rPr>
    </w:pPr>
    <w:r>
      <w:rPr>
        <w:rFonts w:hint="eastAsia"/>
        <w:b/>
        <w:bCs/>
        <w:sz w:val="18"/>
        <w:szCs w:val="18"/>
      </w:rPr>
      <w:drawing>
        <wp:anchor distT="0" distB="0" distL="114300" distR="114300" simplePos="0" relativeHeight="251663360" behindDoc="0" locked="0" layoutInCell="1" allowOverlap="1">
          <wp:simplePos x="0" y="0"/>
          <wp:positionH relativeFrom="column">
            <wp:posOffset>5615305</wp:posOffset>
          </wp:positionH>
          <wp:positionV relativeFrom="paragraph">
            <wp:posOffset>-102235</wp:posOffset>
          </wp:positionV>
          <wp:extent cx="314325" cy="306705"/>
          <wp:effectExtent l="0" t="0" r="9525" b="17145"/>
          <wp:wrapSquare wrapText="bothSides"/>
          <wp:docPr id="4097" name="图片 8" descr="C:\Users\ASUS\AppData\Local\Temp\WeChat Files\f186046fc3a4df704901618a4b76ec6.png"/>
          <wp:cNvGraphicFramePr/>
          <a:graphic xmlns:a="http://schemas.openxmlformats.org/drawingml/2006/main">
            <a:graphicData uri="http://schemas.openxmlformats.org/drawingml/2006/picture">
              <pic:pic xmlns:pic="http://schemas.openxmlformats.org/drawingml/2006/picture">
                <pic:nvPicPr>
                  <pic:cNvPr id="4097" name="图片 8" descr="C:\Users\ASUS\AppData\Local\Temp\WeChat Files\f186046fc3a4df704901618a4b76ec6.png"/>
                  <pic:cNvPicPr/>
                </pic:nvPicPr>
                <pic:blipFill>
                  <a:blip r:embed="rId1" cstate="print"/>
                  <a:srcRect/>
                  <a:stretch>
                    <a:fillRect/>
                  </a:stretch>
                </pic:blipFill>
                <pic:spPr>
                  <a:xfrm>
                    <a:off x="0" y="0"/>
                    <a:ext cx="314325" cy="306705"/>
                  </a:xfrm>
                  <a:prstGeom prst="rect">
                    <a:avLst/>
                  </a:prstGeom>
                  <a:ln>
                    <a:noFill/>
                  </a:ln>
                </pic:spPr>
              </pic:pic>
            </a:graphicData>
          </a:graphic>
        </wp:anchor>
      </w:drawing>
    </w:r>
    <w:r>
      <w:rPr>
        <w:rFonts w:hint="eastAsia"/>
        <w:lang w:val="en-US" w:eastAsia="zh-CN"/>
      </w:rPr>
      <w:t>泉州市招标咨询中心有限公司</w:t>
    </w:r>
  </w:p>
  <w:p w14:paraId="18066EAF">
    <w:pPr>
      <w:pStyle w:val="11"/>
      <w:rPr>
        <w:rFonts w:hint="default"/>
        <w:lang w:val="en-US" w:eastAsia="zh-CN"/>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6D1DEB">
    <w:pPr>
      <w:pStyle w:val="11"/>
      <w:pBdr>
        <w:bottom w:val="single" w:color="auto" w:sz="4" w:space="1"/>
      </w:pBdr>
      <w:jc w:val="right"/>
      <w:rPr>
        <w:rFonts w:hint="default" w:eastAsia="宋体"/>
        <w:lang w:val="en-US" w:eastAsia="zh-CN"/>
      </w:rPr>
    </w:pPr>
    <w:r>
      <w:rPr>
        <w:rFonts w:hint="eastAsia"/>
        <w:b/>
        <w:bCs/>
        <w:sz w:val="18"/>
        <w:szCs w:val="18"/>
      </w:rPr>
      <w:drawing>
        <wp:anchor distT="0" distB="0" distL="114300" distR="114300" simplePos="0" relativeHeight="251659264" behindDoc="0" locked="0" layoutInCell="1" allowOverlap="1">
          <wp:simplePos x="0" y="0"/>
          <wp:positionH relativeFrom="column">
            <wp:posOffset>5615940</wp:posOffset>
          </wp:positionH>
          <wp:positionV relativeFrom="paragraph">
            <wp:posOffset>-64135</wp:posOffset>
          </wp:positionV>
          <wp:extent cx="314325" cy="306705"/>
          <wp:effectExtent l="0" t="0" r="3175" b="10795"/>
          <wp:wrapSquare wrapText="bothSides"/>
          <wp:docPr id="4100" name="图片 14" descr="C:\Users\ASUS\AppData\Local\Temp\WeChat Files\f186046fc3a4df704901618a4b76ec6.png"/>
          <wp:cNvGraphicFramePr/>
          <a:graphic xmlns:a="http://schemas.openxmlformats.org/drawingml/2006/main">
            <a:graphicData uri="http://schemas.openxmlformats.org/drawingml/2006/picture">
              <pic:pic xmlns:pic="http://schemas.openxmlformats.org/drawingml/2006/picture">
                <pic:nvPicPr>
                  <pic:cNvPr id="4100" name="图片 14" descr="C:\Users\ASUS\AppData\Local\Temp\WeChat Files\f186046fc3a4df704901618a4b76ec6.png"/>
                  <pic:cNvPicPr/>
                </pic:nvPicPr>
                <pic:blipFill>
                  <a:blip r:embed="rId1" cstate="print"/>
                  <a:srcRect/>
                  <a:stretch>
                    <a:fillRect/>
                  </a:stretch>
                </pic:blipFill>
                <pic:spPr>
                  <a:xfrm>
                    <a:off x="0" y="0"/>
                    <a:ext cx="314325" cy="306705"/>
                  </a:xfrm>
                  <a:prstGeom prst="rect">
                    <a:avLst/>
                  </a:prstGeom>
                  <a:ln>
                    <a:noFill/>
                  </a:ln>
                </pic:spPr>
              </pic:pic>
            </a:graphicData>
          </a:graphic>
        </wp:anchor>
      </w:drawing>
    </w:r>
    <w:r>
      <w:rPr>
        <w:rFonts w:hint="eastAsia"/>
        <w:lang w:val="en-US" w:eastAsia="zh-CN"/>
      </w:rPr>
      <w:t>泉州市招标咨询中心有限公司</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33F15A">
    <w:pPr>
      <w:pStyle w:val="11"/>
      <w:pBdr>
        <w:bottom w:val="single" w:color="auto" w:sz="4" w:space="1"/>
      </w:pBdr>
      <w:jc w:val="left"/>
      <w:rPr>
        <w:rFonts w:hint="default" w:eastAsia="宋体"/>
        <w:lang w:val="en-US" w:eastAsia="zh-CN"/>
      </w:rPr>
    </w:pPr>
    <w:r>
      <w:rPr>
        <w:rFonts w:hint="eastAsia"/>
        <w:b/>
        <w:bCs/>
        <w:sz w:val="18"/>
        <w:szCs w:val="18"/>
      </w:rPr>
      <w:drawing>
        <wp:anchor distT="0" distB="0" distL="114300" distR="114300" simplePos="0" relativeHeight="251667456" behindDoc="1" locked="0" layoutInCell="1" allowOverlap="1">
          <wp:simplePos x="0" y="0"/>
          <wp:positionH relativeFrom="column">
            <wp:posOffset>-353060</wp:posOffset>
          </wp:positionH>
          <wp:positionV relativeFrom="paragraph">
            <wp:posOffset>-90170</wp:posOffset>
          </wp:positionV>
          <wp:extent cx="314325" cy="329565"/>
          <wp:effectExtent l="0" t="0" r="9525" b="13335"/>
          <wp:wrapTight wrapText="bothSides">
            <wp:wrapPolygon>
              <wp:start x="0" y="0"/>
              <wp:lineTo x="0" y="20643"/>
              <wp:lineTo x="20247" y="20643"/>
              <wp:lineTo x="20247" y="0"/>
              <wp:lineTo x="0" y="0"/>
            </wp:wrapPolygon>
          </wp:wrapTight>
          <wp:docPr id="3" name="图片 8" descr="C:\Users\ASUS\AppData\Local\Temp\WeChat Files\f186046fc3a4df704901618a4b76ec6.png"/>
          <wp:cNvGraphicFramePr/>
          <a:graphic xmlns:a="http://schemas.openxmlformats.org/drawingml/2006/main">
            <a:graphicData uri="http://schemas.openxmlformats.org/drawingml/2006/picture">
              <pic:pic xmlns:pic="http://schemas.openxmlformats.org/drawingml/2006/picture">
                <pic:nvPicPr>
                  <pic:cNvPr id="3" name="图片 8" descr="C:\Users\ASUS\AppData\Local\Temp\WeChat Files\f186046fc3a4df704901618a4b76ec6.png"/>
                  <pic:cNvPicPr/>
                </pic:nvPicPr>
                <pic:blipFill>
                  <a:blip r:embed="rId1" cstate="print"/>
                  <a:srcRect/>
                  <a:stretch>
                    <a:fillRect/>
                  </a:stretch>
                </pic:blipFill>
                <pic:spPr>
                  <a:xfrm>
                    <a:off x="0" y="0"/>
                    <a:ext cx="314325" cy="329565"/>
                  </a:xfrm>
                  <a:prstGeom prst="rect">
                    <a:avLst/>
                  </a:prstGeom>
                  <a:ln>
                    <a:noFill/>
                  </a:ln>
                </pic:spPr>
              </pic:pic>
            </a:graphicData>
          </a:graphic>
        </wp:anchor>
      </w:drawing>
    </w:r>
    <w:r>
      <w:rPr>
        <w:rFonts w:hint="eastAsia"/>
        <w:lang w:val="en-US" w:eastAsia="zh-CN"/>
      </w:rPr>
      <w:t>泉州市招标咨询中心有限公司</w:t>
    </w:r>
  </w:p>
  <w:p w14:paraId="36AE15CC">
    <w:pPr>
      <w:pStyle w:val="11"/>
      <w:tabs>
        <w:tab w:val="left" w:pos="8060"/>
        <w:tab w:val="clear" w:pos="4153"/>
      </w:tabs>
      <w:rPr>
        <w:rFonts w:hint="eastAsia" w:eastAsia="宋体"/>
        <w:lang w:eastAsia="zh-CN"/>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0B1229">
    <w:pPr>
      <w:pStyle w:val="11"/>
      <w:pBdr>
        <w:bottom w:val="single" w:color="auto" w:sz="4" w:space="1"/>
      </w:pBdr>
      <w:jc w:val="right"/>
      <w:rPr>
        <w:rFonts w:hint="default" w:eastAsia="宋体"/>
        <w:lang w:val="en-US" w:eastAsia="zh-CN"/>
      </w:rPr>
    </w:pPr>
    <w:r>
      <w:rPr>
        <w:rFonts w:hint="eastAsia"/>
        <w:b/>
        <w:bCs/>
        <w:sz w:val="18"/>
        <w:szCs w:val="18"/>
      </w:rPr>
      <w:drawing>
        <wp:anchor distT="0" distB="0" distL="114300" distR="114300" simplePos="0" relativeHeight="251669504" behindDoc="0" locked="0" layoutInCell="1" allowOverlap="1">
          <wp:simplePos x="0" y="0"/>
          <wp:positionH relativeFrom="column">
            <wp:posOffset>8902065</wp:posOffset>
          </wp:positionH>
          <wp:positionV relativeFrom="paragraph">
            <wp:posOffset>-64135</wp:posOffset>
          </wp:positionV>
          <wp:extent cx="314325" cy="306705"/>
          <wp:effectExtent l="0" t="0" r="9525" b="17145"/>
          <wp:wrapSquare wrapText="bothSides"/>
          <wp:docPr id="8" name="图片 14" descr="C:\Users\ASUS\AppData\Local\Temp\WeChat Files\f186046fc3a4df704901618a4b76ec6.png"/>
          <wp:cNvGraphicFramePr/>
          <a:graphic xmlns:a="http://schemas.openxmlformats.org/drawingml/2006/main">
            <a:graphicData uri="http://schemas.openxmlformats.org/drawingml/2006/picture">
              <pic:pic xmlns:pic="http://schemas.openxmlformats.org/drawingml/2006/picture">
                <pic:nvPicPr>
                  <pic:cNvPr id="8" name="图片 14" descr="C:\Users\ASUS\AppData\Local\Temp\WeChat Files\f186046fc3a4df704901618a4b76ec6.png"/>
                  <pic:cNvPicPr/>
                </pic:nvPicPr>
                <pic:blipFill>
                  <a:blip r:embed="rId1" cstate="print"/>
                  <a:srcRect/>
                  <a:stretch>
                    <a:fillRect/>
                  </a:stretch>
                </pic:blipFill>
                <pic:spPr>
                  <a:xfrm>
                    <a:off x="0" y="0"/>
                    <a:ext cx="314325" cy="306705"/>
                  </a:xfrm>
                  <a:prstGeom prst="rect">
                    <a:avLst/>
                  </a:prstGeom>
                  <a:ln>
                    <a:noFill/>
                  </a:ln>
                </pic:spPr>
              </pic:pic>
            </a:graphicData>
          </a:graphic>
        </wp:anchor>
      </w:drawing>
    </w:r>
    <w:r>
      <w:rPr>
        <w:rFonts w:hint="eastAsia"/>
        <w:lang w:val="en-US" w:eastAsia="zh-CN"/>
      </w:rPr>
      <w:t>泉州市招标咨询中心有限公司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1"/>
    <w:multiLevelType w:val="singleLevel"/>
    <w:tmpl w:val="00000001"/>
    <w:lvl w:ilvl="0" w:tentative="0">
      <w:start w:val="2"/>
      <w:numFmt w:val="decimal"/>
      <w:suff w:val="nothing"/>
      <w:lvlText w:val="（%1）"/>
      <w:lvlJc w:val="left"/>
      <w:pPr>
        <w:ind w:left="800" w:leftChars="0" w:firstLine="0" w:firstLineChars="0"/>
      </w:pPr>
    </w:lvl>
  </w:abstractNum>
  <w:abstractNum w:abstractNumId="1">
    <w:nsid w:val="00000003"/>
    <w:multiLevelType w:val="singleLevel"/>
    <w:tmpl w:val="00000003"/>
    <w:lvl w:ilvl="0" w:tentative="0">
      <w:start w:val="2"/>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0"/>
  <w:bordersDoNotSurroundFooter w:val="0"/>
  <w:documentProtection w:enforcement="0"/>
  <w:defaultTabStop w:val="420"/>
  <w:evenAndOddHeaders w:val="1"/>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QyYzczMDY4ZDljNGRiMzk3NzEzMmY0OGNiNjVhMTkifQ=="/>
  </w:docVars>
  <w:rsids>
    <w:rsidRoot w:val="00000000"/>
    <w:rsid w:val="01574E39"/>
    <w:rsid w:val="017D46B0"/>
    <w:rsid w:val="01F64D0F"/>
    <w:rsid w:val="01F73E3E"/>
    <w:rsid w:val="025B107D"/>
    <w:rsid w:val="03725565"/>
    <w:rsid w:val="03DA4B36"/>
    <w:rsid w:val="0534472D"/>
    <w:rsid w:val="070E1F29"/>
    <w:rsid w:val="082668FC"/>
    <w:rsid w:val="0A1C7B60"/>
    <w:rsid w:val="0A6C3DC0"/>
    <w:rsid w:val="0A7B511F"/>
    <w:rsid w:val="0AF26656"/>
    <w:rsid w:val="0B23679E"/>
    <w:rsid w:val="0BE27E4F"/>
    <w:rsid w:val="0BF64289"/>
    <w:rsid w:val="0D1C2FB3"/>
    <w:rsid w:val="0D8855C1"/>
    <w:rsid w:val="0EF04119"/>
    <w:rsid w:val="0F6B6D3C"/>
    <w:rsid w:val="104A2D96"/>
    <w:rsid w:val="104A7D2C"/>
    <w:rsid w:val="117D648C"/>
    <w:rsid w:val="13D41093"/>
    <w:rsid w:val="14D75C97"/>
    <w:rsid w:val="150317C5"/>
    <w:rsid w:val="161746CA"/>
    <w:rsid w:val="16AA5AF7"/>
    <w:rsid w:val="181F2ACE"/>
    <w:rsid w:val="18B273BB"/>
    <w:rsid w:val="19BF4E39"/>
    <w:rsid w:val="19F34862"/>
    <w:rsid w:val="1A4E3151"/>
    <w:rsid w:val="1AD77392"/>
    <w:rsid w:val="1AE23C2A"/>
    <w:rsid w:val="1AF5661E"/>
    <w:rsid w:val="1EE87E10"/>
    <w:rsid w:val="1F520570"/>
    <w:rsid w:val="1F543A73"/>
    <w:rsid w:val="214E08AB"/>
    <w:rsid w:val="21D342AD"/>
    <w:rsid w:val="22B57C80"/>
    <w:rsid w:val="238D2546"/>
    <w:rsid w:val="24D51B31"/>
    <w:rsid w:val="256B4F5E"/>
    <w:rsid w:val="2580651A"/>
    <w:rsid w:val="264E29E7"/>
    <w:rsid w:val="272307B0"/>
    <w:rsid w:val="27AB306C"/>
    <w:rsid w:val="280C1E05"/>
    <w:rsid w:val="289736DD"/>
    <w:rsid w:val="28EB6D14"/>
    <w:rsid w:val="29944330"/>
    <w:rsid w:val="2BA0063E"/>
    <w:rsid w:val="2BE824C3"/>
    <w:rsid w:val="2C386781"/>
    <w:rsid w:val="2C54280B"/>
    <w:rsid w:val="2E7B724F"/>
    <w:rsid w:val="2F136818"/>
    <w:rsid w:val="2F8E0616"/>
    <w:rsid w:val="30182170"/>
    <w:rsid w:val="304E43B1"/>
    <w:rsid w:val="31145700"/>
    <w:rsid w:val="31A47CDC"/>
    <w:rsid w:val="335E512E"/>
    <w:rsid w:val="33A87367"/>
    <w:rsid w:val="340109F9"/>
    <w:rsid w:val="34181115"/>
    <w:rsid w:val="356B239B"/>
    <w:rsid w:val="356E40ED"/>
    <w:rsid w:val="35DF3F1C"/>
    <w:rsid w:val="3C991F43"/>
    <w:rsid w:val="3E20211A"/>
    <w:rsid w:val="3E8C7FF7"/>
    <w:rsid w:val="3ED100BA"/>
    <w:rsid w:val="3F4F5CA4"/>
    <w:rsid w:val="3FC31624"/>
    <w:rsid w:val="40880C4C"/>
    <w:rsid w:val="41216ADA"/>
    <w:rsid w:val="41B40210"/>
    <w:rsid w:val="42604E18"/>
    <w:rsid w:val="43994F1E"/>
    <w:rsid w:val="440356A1"/>
    <w:rsid w:val="44A27181"/>
    <w:rsid w:val="44B94848"/>
    <w:rsid w:val="45336CAD"/>
    <w:rsid w:val="456675EE"/>
    <w:rsid w:val="45CB2A5A"/>
    <w:rsid w:val="45D911C2"/>
    <w:rsid w:val="467636B4"/>
    <w:rsid w:val="4743732D"/>
    <w:rsid w:val="47553FF9"/>
    <w:rsid w:val="49E669E4"/>
    <w:rsid w:val="4AB71C5A"/>
    <w:rsid w:val="4B616383"/>
    <w:rsid w:val="4BFB0BB5"/>
    <w:rsid w:val="4C87313A"/>
    <w:rsid w:val="507050B2"/>
    <w:rsid w:val="507C2A18"/>
    <w:rsid w:val="51E94A63"/>
    <w:rsid w:val="565A6B70"/>
    <w:rsid w:val="58AD7CAC"/>
    <w:rsid w:val="5B645363"/>
    <w:rsid w:val="5CD44332"/>
    <w:rsid w:val="5D6871AD"/>
    <w:rsid w:val="5F967D7B"/>
    <w:rsid w:val="5FC57A79"/>
    <w:rsid w:val="66397FFA"/>
    <w:rsid w:val="665E0E02"/>
    <w:rsid w:val="66624C8D"/>
    <w:rsid w:val="66D34A16"/>
    <w:rsid w:val="67287D3D"/>
    <w:rsid w:val="689B1CE2"/>
    <w:rsid w:val="69362DAC"/>
    <w:rsid w:val="69BE5558"/>
    <w:rsid w:val="6BF47192"/>
    <w:rsid w:val="6DE0074F"/>
    <w:rsid w:val="6ED22A10"/>
    <w:rsid w:val="6F4B40BC"/>
    <w:rsid w:val="6FE261F3"/>
    <w:rsid w:val="70C40F7D"/>
    <w:rsid w:val="70ED487B"/>
    <w:rsid w:val="72730953"/>
    <w:rsid w:val="72E8111E"/>
    <w:rsid w:val="774F5A8A"/>
    <w:rsid w:val="792D16D7"/>
    <w:rsid w:val="795727A9"/>
    <w:rsid w:val="79E955B1"/>
    <w:rsid w:val="7B8353EC"/>
    <w:rsid w:val="7C131AAE"/>
    <w:rsid w:val="7C543CAA"/>
    <w:rsid w:val="7D2A7556"/>
    <w:rsid w:val="7DF26156"/>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宋体"/>
      <w:kern w:val="2"/>
      <w:sz w:val="21"/>
      <w:szCs w:val="24"/>
      <w:lang w:val="en-US" w:eastAsia="zh-CN" w:bidi="ar-SA"/>
    </w:rPr>
  </w:style>
  <w:style w:type="paragraph" w:styleId="2">
    <w:name w:val="heading 1"/>
    <w:basedOn w:val="1"/>
    <w:next w:val="1"/>
    <w:qFormat/>
    <w:uiPriority w:val="9"/>
    <w:pPr>
      <w:keepNext/>
      <w:keepLines/>
      <w:spacing w:line="576" w:lineRule="auto"/>
      <w:outlineLvl w:val="0"/>
    </w:pPr>
    <w:rPr>
      <w:b/>
      <w:kern w:val="44"/>
      <w:sz w:val="44"/>
    </w:rPr>
  </w:style>
  <w:style w:type="paragraph" w:styleId="3">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4">
    <w:name w:val="heading 4"/>
    <w:basedOn w:val="1"/>
    <w:next w:val="1"/>
    <w:semiHidden/>
    <w:unhideWhenUsed/>
    <w:qFormat/>
    <w:uiPriority w:val="0"/>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18">
    <w:name w:val="Default Paragraph Font"/>
    <w:qFormat/>
    <w:uiPriority w:val="0"/>
  </w:style>
  <w:style w:type="table" w:default="1" w:styleId="16">
    <w:name w:val="Normal Table"/>
    <w:qFormat/>
    <w:uiPriority w:val="0"/>
    <w:tblPr>
      <w:tblCellMar>
        <w:top w:w="0" w:type="dxa"/>
        <w:left w:w="108" w:type="dxa"/>
        <w:bottom w:w="0" w:type="dxa"/>
        <w:right w:w="108" w:type="dxa"/>
      </w:tblCellMar>
    </w:tblPr>
  </w:style>
  <w:style w:type="paragraph" w:styleId="5">
    <w:name w:val="Normal Indent"/>
    <w:basedOn w:val="1"/>
    <w:qFormat/>
    <w:uiPriority w:val="0"/>
    <w:pPr>
      <w:ind w:firstLine="420" w:firstLineChars="200"/>
    </w:pPr>
    <w:rPr>
      <w:rFonts w:eastAsia="宋体"/>
      <w:sz w:val="21"/>
    </w:rPr>
  </w:style>
  <w:style w:type="paragraph" w:styleId="6">
    <w:name w:val="annotation text"/>
    <w:basedOn w:val="1"/>
    <w:qFormat/>
    <w:uiPriority w:val="0"/>
    <w:pPr>
      <w:jc w:val="left"/>
    </w:pPr>
  </w:style>
  <w:style w:type="paragraph" w:styleId="7">
    <w:name w:val="Body Text"/>
    <w:next w:val="1"/>
    <w:qFormat/>
    <w:uiPriority w:val="1"/>
    <w:pPr>
      <w:widowControl w:val="0"/>
      <w:jc w:val="both"/>
    </w:pPr>
    <w:rPr>
      <w:rFonts w:ascii="宋体" w:hAnsi="宋体" w:eastAsia="宋体" w:cs="宋体"/>
      <w:kern w:val="2"/>
      <w:sz w:val="32"/>
      <w:szCs w:val="32"/>
      <w:lang w:val="zh-CN" w:eastAsia="zh-CN" w:bidi="zh-CN"/>
    </w:rPr>
  </w:style>
  <w:style w:type="paragraph" w:styleId="8">
    <w:name w:val="Body Text Indent"/>
    <w:basedOn w:val="1"/>
    <w:qFormat/>
    <w:uiPriority w:val="0"/>
    <w:pPr>
      <w:widowControl w:val="0"/>
      <w:spacing w:line="500" w:lineRule="exact"/>
      <w:ind w:left="1588" w:leftChars="832" w:firstLine="433" w:firstLineChars="196"/>
      <w:jc w:val="both"/>
    </w:pPr>
    <w:rPr>
      <w:rFonts w:ascii="Calibri" w:hAnsi="Calibri" w:eastAsia="宋体" w:cs="宋体"/>
      <w:kern w:val="2"/>
      <w:sz w:val="24"/>
      <w:szCs w:val="24"/>
      <w:lang w:val="en-US" w:eastAsia="zh-CN" w:bidi="ar-SA"/>
    </w:rPr>
  </w:style>
  <w:style w:type="paragraph" w:styleId="9">
    <w:name w:val="toc 3"/>
    <w:basedOn w:val="1"/>
    <w:next w:val="1"/>
    <w:qFormat/>
    <w:uiPriority w:val="0"/>
    <w:pPr>
      <w:ind w:left="840" w:leftChars="400"/>
    </w:pPr>
  </w:style>
  <w:style w:type="paragraph" w:styleId="10">
    <w:name w:val="footer"/>
    <w:basedOn w:val="1"/>
    <w:qFormat/>
    <w:uiPriority w:val="0"/>
    <w:pPr>
      <w:tabs>
        <w:tab w:val="center" w:pos="4153"/>
        <w:tab w:val="right" w:pos="8306"/>
      </w:tabs>
      <w:snapToGrid w:val="0"/>
      <w:jc w:val="left"/>
    </w:pPr>
    <w:rPr>
      <w:sz w:val="18"/>
    </w:rPr>
  </w:style>
  <w:style w:type="paragraph" w:styleId="11">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2">
    <w:name w:val="toc 1"/>
    <w:basedOn w:val="1"/>
    <w:next w:val="1"/>
    <w:qFormat/>
    <w:uiPriority w:val="0"/>
  </w:style>
  <w:style w:type="paragraph" w:styleId="13">
    <w:name w:val="toc 2"/>
    <w:basedOn w:val="1"/>
    <w:next w:val="1"/>
    <w:qFormat/>
    <w:uiPriority w:val="0"/>
    <w:pPr>
      <w:ind w:left="420" w:leftChars="200"/>
    </w:pPr>
  </w:style>
  <w:style w:type="paragraph" w:styleId="14">
    <w:name w:val="Normal (Web)"/>
    <w:basedOn w:val="1"/>
    <w:qFormat/>
    <w:uiPriority w:val="0"/>
    <w:pPr>
      <w:spacing w:before="0" w:beforeAutospacing="1" w:after="0" w:afterAutospacing="1"/>
      <w:ind w:left="0" w:right="0"/>
      <w:jc w:val="left"/>
    </w:pPr>
    <w:rPr>
      <w:kern w:val="0"/>
      <w:sz w:val="24"/>
      <w:lang w:val="en-US" w:eastAsia="zh-CN"/>
    </w:rPr>
  </w:style>
  <w:style w:type="paragraph" w:styleId="15">
    <w:name w:val="Body Text First Indent 2"/>
    <w:basedOn w:val="8"/>
    <w:next w:val="1"/>
    <w:qFormat/>
    <w:uiPriority w:val="0"/>
    <w:pPr>
      <w:widowControl w:val="0"/>
      <w:spacing w:after="120" w:line="240" w:lineRule="auto"/>
      <w:ind w:left="420" w:leftChars="200" w:firstLine="420" w:firstLineChars="200"/>
      <w:jc w:val="both"/>
    </w:pPr>
    <w:rPr>
      <w:rFonts w:ascii="Calibri" w:hAnsi="Calibri" w:eastAsia="宋体" w:cs="宋体"/>
      <w:kern w:val="2"/>
      <w:sz w:val="21"/>
      <w:szCs w:val="24"/>
      <w:lang w:val="en-US" w:eastAsia="zh-CN" w:bidi="ar-SA"/>
    </w:rPr>
  </w:style>
  <w:style w:type="table" w:styleId="17">
    <w:name w:val="Table Grid"/>
    <w:basedOn w:val="16"/>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9">
    <w:name w:val="Strong"/>
    <w:basedOn w:val="18"/>
    <w:qFormat/>
    <w:uiPriority w:val="0"/>
    <w:rPr>
      <w:b/>
    </w:rPr>
  </w:style>
  <w:style w:type="character" w:styleId="20">
    <w:name w:val="Hyperlink"/>
    <w:basedOn w:val="18"/>
    <w:qFormat/>
    <w:uiPriority w:val="0"/>
    <w:rPr>
      <w:color w:val="0000FF"/>
      <w:u w:val="single"/>
    </w:rPr>
  </w:style>
  <w:style w:type="paragraph" w:customStyle="1" w:styleId="21">
    <w:name w:val="List Paragraph_d43f83bf-5bdd-48b8-abeb-1ba32a40ac26"/>
    <w:qFormat/>
    <w:uiPriority w:val="34"/>
    <w:pPr>
      <w:widowControl w:val="0"/>
      <w:ind w:firstLine="420" w:firstLineChars="200"/>
      <w:jc w:val="both"/>
    </w:pPr>
    <w:rPr>
      <w:rFonts w:ascii="Calibri" w:hAnsi="Calibri" w:eastAsia="宋体" w:cs="宋体"/>
      <w:kern w:val="2"/>
      <w:sz w:val="21"/>
      <w:szCs w:val="24"/>
      <w:lang w:val="en-US" w:eastAsia="zh-CN" w:bidi="ar-SA"/>
    </w:rPr>
  </w:style>
  <w:style w:type="paragraph" w:customStyle="1" w:styleId="22">
    <w:name w:val="p0"/>
    <w:qFormat/>
    <w:uiPriority w:val="0"/>
    <w:pPr>
      <w:widowControl w:val="0"/>
      <w:jc w:val="both"/>
    </w:pPr>
    <w:rPr>
      <w:rFonts w:ascii="Calibri" w:hAnsi="Calibri" w:eastAsia="宋体" w:cs="宋体"/>
      <w:kern w:val="2"/>
      <w:sz w:val="21"/>
      <w:szCs w:val="24"/>
      <w:lang w:val="en-US" w:eastAsia="zh-CN" w:bidi="ar-SA"/>
    </w:rPr>
  </w:style>
  <w:style w:type="character" w:customStyle="1" w:styleId="23">
    <w:name w:val="font61"/>
    <w:basedOn w:val="18"/>
    <w:qFormat/>
    <w:uiPriority w:val="0"/>
    <w:rPr>
      <w:rFonts w:hint="eastAsia" w:ascii="仿宋" w:hAnsi="仿宋" w:eastAsia="仿宋" w:cs="仿宋"/>
      <w:color w:val="FF0000"/>
      <w:sz w:val="18"/>
      <w:szCs w:val="18"/>
      <w:u w:val="none"/>
    </w:rPr>
  </w:style>
  <w:style w:type="character" w:customStyle="1" w:styleId="24">
    <w:name w:val="font01"/>
    <w:basedOn w:val="18"/>
    <w:qFormat/>
    <w:uiPriority w:val="0"/>
    <w:rPr>
      <w:rFonts w:hint="eastAsia" w:ascii="仿宋" w:hAnsi="仿宋" w:eastAsia="仿宋" w:cs="仿宋"/>
      <w:color w:val="000000"/>
      <w:sz w:val="18"/>
      <w:szCs w:val="18"/>
      <w:u w:val="none"/>
    </w:rPr>
  </w:style>
  <w:style w:type="paragraph" w:customStyle="1" w:styleId="25">
    <w:name w:val="WPSOffice手动目录 1"/>
    <w:qFormat/>
    <w:uiPriority w:val="0"/>
    <w:rPr>
      <w:rFonts w:ascii="Times New Roman" w:hAnsi="Times New Roman" w:eastAsia="宋体" w:cs="Times New Roman"/>
      <w:lang w:val="en-US" w:eastAsia="zh-CN" w:bidi="ar-SA"/>
    </w:rPr>
  </w:style>
  <w:style w:type="paragraph" w:customStyle="1" w:styleId="26">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27">
    <w:name w:val="WPSOffice手动目录 3"/>
    <w:qFormat/>
    <w:uiPriority w:val="0"/>
    <w:pPr>
      <w:ind w:leftChars="400"/>
    </w:pPr>
    <w:rPr>
      <w:rFonts w:ascii="Times New Roman" w:hAnsi="Times New Roman" w:eastAsia="宋体" w:cs="Times New Roman"/>
      <w:sz w:val="20"/>
      <w:szCs w:val="20"/>
    </w:rPr>
  </w:style>
  <w:style w:type="character" w:customStyle="1" w:styleId="28">
    <w:name w:val="font31"/>
    <w:basedOn w:val="18"/>
    <w:qFormat/>
    <w:uiPriority w:val="0"/>
    <w:rPr>
      <w:rFonts w:hint="eastAsia" w:ascii="仿宋" w:hAnsi="仿宋" w:eastAsia="仿宋" w:cs="仿宋"/>
      <w:color w:val="000000"/>
      <w:sz w:val="21"/>
      <w:szCs w:val="21"/>
      <w:u w:val="none"/>
    </w:rPr>
  </w:style>
  <w:style w:type="character" w:customStyle="1" w:styleId="29">
    <w:name w:val="font21"/>
    <w:basedOn w:val="18"/>
    <w:qFormat/>
    <w:uiPriority w:val="0"/>
    <w:rPr>
      <w:rFonts w:hint="eastAsia" w:ascii="仿宋" w:hAnsi="仿宋" w:eastAsia="仿宋" w:cs="仿宋"/>
      <w:color w:val="000000"/>
      <w:sz w:val="21"/>
      <w:szCs w:val="21"/>
      <w:u w:val="none"/>
    </w:rPr>
  </w:style>
  <w:style w:type="character" w:customStyle="1" w:styleId="30">
    <w:name w:val="font41"/>
    <w:basedOn w:val="18"/>
    <w:qFormat/>
    <w:uiPriority w:val="0"/>
    <w:rPr>
      <w:rFonts w:ascii="Symbol" w:hAnsi="Symbol" w:cs="Symbol"/>
      <w:color w:val="000000"/>
      <w:sz w:val="20"/>
      <w:szCs w:val="20"/>
      <w:u w:val="none"/>
    </w:rPr>
  </w:style>
  <w:style w:type="character" w:customStyle="1" w:styleId="31">
    <w:name w:val="font11"/>
    <w:basedOn w:val="18"/>
    <w:qFormat/>
    <w:uiPriority w:val="0"/>
    <w:rPr>
      <w:rFonts w:hint="eastAsia" w:ascii="宋体" w:hAnsi="宋体" w:eastAsia="宋体" w:cs="宋体"/>
      <w:color w:val="000000"/>
      <w:sz w:val="20"/>
      <w:szCs w:val="20"/>
      <w:u w:val="none"/>
    </w:rPr>
  </w:style>
  <w:style w:type="paragraph" w:customStyle="1" w:styleId="32">
    <w:name w:val="TOC Heading_717ed404-7eaf-4318-8285-e384ac400bc6"/>
    <w:basedOn w:val="2"/>
    <w:next w:val="1"/>
    <w:qFormat/>
    <w:uiPriority w:val="39"/>
    <w:pPr>
      <w:spacing w:before="240" w:after="0" w:line="259" w:lineRule="auto"/>
      <w:outlineLvl w:val="9"/>
    </w:pPr>
    <w:rPr>
      <w:rFonts w:ascii="Calibri Light" w:hAnsi="Calibri Light" w:eastAsia="宋体" w:cs="宋体"/>
      <w:b w:val="0"/>
      <w:color w:val="2E75B6"/>
      <w:kern w:val="0"/>
      <w:sz w:val="32"/>
      <w:szCs w:val="32"/>
    </w:rPr>
  </w:style>
  <w:style w:type="paragraph" w:customStyle="1" w:styleId="33">
    <w:name w:val="TOC Heading"/>
    <w:basedOn w:val="2"/>
    <w:next w:val="1"/>
    <w:unhideWhenUsed/>
    <w:qFormat/>
    <w:uiPriority w:val="39"/>
    <w:pPr>
      <w:spacing w:before="240" w:after="0" w:line="259" w:lineRule="auto"/>
      <w:outlineLvl w:val="9"/>
    </w:pPr>
    <w:rPr>
      <w:rFonts w:asciiTheme="majorHAnsi" w:hAnsiTheme="majorHAnsi" w:eastAsiaTheme="majorEastAsia" w:cstheme="majorBidi"/>
      <w:b w:val="0"/>
      <w:color w:val="376092" w:themeColor="accent1" w:themeShade="BF"/>
      <w:kern w:val="0"/>
      <w:sz w:val="32"/>
      <w:szCs w:val="32"/>
    </w:rPr>
  </w:style>
  <w:style w:type="paragraph" w:customStyle="1" w:styleId="34">
    <w:name w:val="List Paragraph"/>
    <w:qFormat/>
    <w:uiPriority w:val="34"/>
    <w:pPr>
      <w:widowControl w:val="0"/>
      <w:ind w:firstLine="420" w:firstLineChars="200"/>
      <w:jc w:val="both"/>
    </w:pPr>
    <w:rPr>
      <w:rFonts w:asciiTheme="minorHAnsi" w:hAnsiTheme="minorHAnsi" w:eastAsiaTheme="minorEastAsia" w:cstheme="minorBidi"/>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5.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4.png"/><Relationship Id="rId24" Type="http://schemas.openxmlformats.org/officeDocument/2006/relationships/image" Target="media/image3.jpeg"/><Relationship Id="rId23" Type="http://schemas.openxmlformats.org/officeDocument/2006/relationships/image" Target="media/image2.png"/><Relationship Id="rId22" Type="http://schemas.openxmlformats.org/officeDocument/2006/relationships/theme" Target="theme/theme1.xml"/><Relationship Id="rId21" Type="http://schemas.openxmlformats.org/officeDocument/2006/relationships/footer" Target="footer6.xml"/><Relationship Id="rId20" Type="http://schemas.openxmlformats.org/officeDocument/2006/relationships/header" Target="header13.xml"/><Relationship Id="rId2" Type="http://schemas.openxmlformats.org/officeDocument/2006/relationships/settings" Target="settings.xml"/><Relationship Id="rId19" Type="http://schemas.openxmlformats.org/officeDocument/2006/relationships/header" Target="header12.xml"/><Relationship Id="rId18" Type="http://schemas.openxmlformats.org/officeDocument/2006/relationships/header" Target="header11.xml"/><Relationship Id="rId17" Type="http://schemas.openxmlformats.org/officeDocument/2006/relationships/header" Target="header10.xml"/><Relationship Id="rId16" Type="http://schemas.openxmlformats.org/officeDocument/2006/relationships/header" Target="header9.xml"/><Relationship Id="rId15" Type="http://schemas.openxmlformats.org/officeDocument/2006/relationships/header" Target="header8.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footer" Target="footer4.xml"/><Relationship Id="rId11" Type="http://schemas.openxmlformats.org/officeDocument/2006/relationships/header" Target="header6.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43</Pages>
  <Words>2394</Words>
  <Characters>2498</Characters>
  <Paragraphs>1029</Paragraphs>
  <TotalTime>18</TotalTime>
  <ScaleCrop>false</ScaleCrop>
  <LinksUpToDate>false</LinksUpToDate>
  <CharactersWithSpaces>2696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2021-11-14T08:56:00Z</dcterms:created>
  <dc:creator>Admin</dc:creator>
  <cp:lastModifiedBy>Day丶17</cp:lastModifiedBy>
  <cp:lastPrinted>2024-06-24T07:42:00Z</cp:lastPrinted>
  <dcterms:modified xsi:type="dcterms:W3CDTF">2026-07-20T03:05:18Z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6A186EEB544146B29CD7B9D3C1D89075_13</vt:lpwstr>
  </property>
  <property fmtid="{D5CDD505-2E9C-101B-9397-08002B2CF9AE}" pid="4" name="KSOTemplateDocerSaveRecord">
    <vt:lpwstr>eyJoZGlkIjoiZDI1YTc4ZGRlZTE4ZWFlMjI5YmQ4MzczOGY3NmZhOGMiLCJ1c2VySWQiOiI0Njc0NjIyMzcifQ==</vt:lpwstr>
  </property>
</Properties>
</file>